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E1BD" w14:textId="2C4A6427" w:rsidR="00643859" w:rsidRPr="00DF1151" w:rsidRDefault="00A236E0" w:rsidP="00643859">
      <w:pPr>
        <w:spacing w:after="0"/>
        <w:ind w:left="5040" w:firstLine="720"/>
        <w:rPr>
          <w:rFonts w:ascii="Times New Roman" w:hAnsi="Times New Roman" w:cs="Times New Roman"/>
          <w:sz w:val="24"/>
          <w:szCs w:val="24"/>
        </w:rPr>
      </w:pPr>
      <w:r>
        <w:rPr>
          <w:rFonts w:ascii="Times New Roman" w:hAnsi="Times New Roman" w:cs="Times New Roman"/>
          <w:sz w:val="24"/>
          <w:szCs w:val="24"/>
        </w:rPr>
        <w:t>May</w:t>
      </w:r>
      <w:r w:rsidR="00C13217" w:rsidRPr="00DF1151">
        <w:rPr>
          <w:rFonts w:ascii="Times New Roman" w:hAnsi="Times New Roman" w:cs="Times New Roman"/>
          <w:sz w:val="24"/>
          <w:szCs w:val="24"/>
        </w:rPr>
        <w:t xml:space="preserve"> </w:t>
      </w:r>
      <w:r w:rsidR="008946C4">
        <w:rPr>
          <w:rFonts w:ascii="Times New Roman" w:hAnsi="Times New Roman" w:cs="Times New Roman"/>
          <w:sz w:val="24"/>
          <w:szCs w:val="24"/>
        </w:rPr>
        <w:t>2</w:t>
      </w:r>
      <w:r w:rsidR="008764E3">
        <w:rPr>
          <w:rFonts w:ascii="Times New Roman" w:hAnsi="Times New Roman" w:cs="Times New Roman"/>
          <w:sz w:val="24"/>
          <w:szCs w:val="24"/>
        </w:rPr>
        <w:t>1</w:t>
      </w:r>
      <w:r w:rsidR="00A76C6A">
        <w:rPr>
          <w:rFonts w:ascii="Times New Roman" w:hAnsi="Times New Roman" w:cs="Times New Roman"/>
          <w:sz w:val="24"/>
          <w:szCs w:val="24"/>
        </w:rPr>
        <w:t xml:space="preserve">, </w:t>
      </w:r>
      <w:r w:rsidR="00643859" w:rsidRPr="00DF1151">
        <w:rPr>
          <w:rFonts w:ascii="Times New Roman" w:hAnsi="Times New Roman" w:cs="Times New Roman"/>
          <w:sz w:val="24"/>
          <w:szCs w:val="24"/>
        </w:rPr>
        <w:t>202</w:t>
      </w:r>
      <w:r>
        <w:rPr>
          <w:rFonts w:ascii="Times New Roman" w:hAnsi="Times New Roman" w:cs="Times New Roman"/>
          <w:sz w:val="24"/>
          <w:szCs w:val="24"/>
        </w:rPr>
        <w:t>3</w:t>
      </w:r>
    </w:p>
    <w:p w14:paraId="5A070A42" w14:textId="311D22AD" w:rsidR="00643859" w:rsidRPr="00DF1151" w:rsidRDefault="00643859" w:rsidP="00643859">
      <w:pPr>
        <w:spacing w:after="0"/>
        <w:ind w:left="5040" w:firstLine="720"/>
        <w:rPr>
          <w:rFonts w:ascii="Times New Roman" w:hAnsi="Times New Roman" w:cs="Times New Roman"/>
          <w:sz w:val="24"/>
          <w:szCs w:val="24"/>
        </w:rPr>
      </w:pPr>
      <w:r w:rsidRPr="00DF1151">
        <w:rPr>
          <w:rFonts w:ascii="Times New Roman" w:hAnsi="Times New Roman" w:cs="Times New Roman"/>
          <w:sz w:val="24"/>
          <w:szCs w:val="24"/>
        </w:rPr>
        <w:t>1228 Ponderosa Drive</w:t>
      </w:r>
    </w:p>
    <w:p w14:paraId="45C81C1E" w14:textId="0C225226" w:rsidR="00643859" w:rsidRPr="00DF1151" w:rsidRDefault="00643859" w:rsidP="00643859">
      <w:pPr>
        <w:spacing w:after="0"/>
        <w:ind w:left="5040" w:firstLine="720"/>
        <w:rPr>
          <w:rFonts w:ascii="Times New Roman" w:hAnsi="Times New Roman" w:cs="Times New Roman"/>
          <w:sz w:val="24"/>
          <w:szCs w:val="24"/>
        </w:rPr>
      </w:pPr>
      <w:r w:rsidRPr="00DF1151">
        <w:rPr>
          <w:rFonts w:ascii="Times New Roman" w:hAnsi="Times New Roman" w:cs="Times New Roman"/>
          <w:sz w:val="24"/>
          <w:szCs w:val="24"/>
        </w:rPr>
        <w:t>Moscow, Idaho    83843</w:t>
      </w:r>
    </w:p>
    <w:p w14:paraId="61F2E912" w14:textId="77777777" w:rsidR="00643859" w:rsidRPr="00DF1151" w:rsidRDefault="00643859" w:rsidP="00643859">
      <w:pPr>
        <w:spacing w:after="0"/>
        <w:rPr>
          <w:rFonts w:ascii="Times New Roman" w:hAnsi="Times New Roman" w:cs="Times New Roman"/>
          <w:color w:val="333333"/>
          <w:sz w:val="24"/>
          <w:szCs w:val="24"/>
          <w:shd w:val="clear" w:color="auto" w:fill="FFFDEE"/>
        </w:rPr>
      </w:pPr>
    </w:p>
    <w:p w14:paraId="5893EADE" w14:textId="77777777" w:rsidR="00643859" w:rsidRPr="00DF1151" w:rsidRDefault="00643859" w:rsidP="00643859">
      <w:pPr>
        <w:spacing w:after="0"/>
        <w:rPr>
          <w:rFonts w:ascii="Times New Roman" w:hAnsi="Times New Roman" w:cs="Times New Roman"/>
          <w:color w:val="333333"/>
          <w:sz w:val="24"/>
          <w:szCs w:val="24"/>
          <w:shd w:val="clear" w:color="auto" w:fill="FFFDEE"/>
        </w:rPr>
      </w:pPr>
    </w:p>
    <w:p w14:paraId="344782C3" w14:textId="77777777" w:rsidR="008924D2" w:rsidRPr="00DF1151" w:rsidRDefault="008924D2" w:rsidP="00167EC7">
      <w:pPr>
        <w:spacing w:after="0"/>
        <w:rPr>
          <w:rFonts w:ascii="Times New Roman" w:hAnsi="Times New Roman" w:cs="Times New Roman"/>
          <w:color w:val="000000" w:themeColor="text1"/>
          <w:sz w:val="24"/>
          <w:szCs w:val="24"/>
          <w:shd w:val="clear" w:color="auto" w:fill="FFFDEE"/>
        </w:rPr>
      </w:pPr>
    </w:p>
    <w:p w14:paraId="0ABC5D99" w14:textId="77777777" w:rsidR="008924D2" w:rsidRPr="00DF1151" w:rsidRDefault="008924D2" w:rsidP="00167EC7">
      <w:pPr>
        <w:spacing w:after="0"/>
        <w:rPr>
          <w:rFonts w:ascii="Times New Roman" w:hAnsi="Times New Roman" w:cs="Times New Roman"/>
          <w:color w:val="000000" w:themeColor="text1"/>
          <w:sz w:val="24"/>
          <w:szCs w:val="24"/>
          <w:shd w:val="clear" w:color="auto" w:fill="FFFDEE"/>
        </w:rPr>
      </w:pPr>
    </w:p>
    <w:p w14:paraId="21831DFD" w14:textId="77777777" w:rsidR="008924D2" w:rsidRPr="00DF1151" w:rsidRDefault="008924D2" w:rsidP="00167EC7">
      <w:pPr>
        <w:spacing w:after="0"/>
        <w:rPr>
          <w:rFonts w:ascii="Times New Roman" w:hAnsi="Times New Roman" w:cs="Times New Roman"/>
          <w:color w:val="000000" w:themeColor="text1"/>
          <w:sz w:val="24"/>
          <w:szCs w:val="24"/>
          <w:shd w:val="clear" w:color="auto" w:fill="FFFDEE"/>
        </w:rPr>
      </w:pPr>
    </w:p>
    <w:p w14:paraId="2D7ACC8E" w14:textId="34733FB0" w:rsidR="008924D2" w:rsidRPr="00DF1151" w:rsidRDefault="004F5916" w:rsidP="00167EC7">
      <w:pPr>
        <w:spacing w:after="0"/>
        <w:rPr>
          <w:rFonts w:ascii="Times New Roman" w:hAnsi="Times New Roman" w:cs="Times New Roman"/>
          <w:color w:val="000000" w:themeColor="text1"/>
          <w:sz w:val="24"/>
          <w:szCs w:val="24"/>
        </w:rPr>
      </w:pPr>
      <w:r w:rsidRPr="00DF1151">
        <w:rPr>
          <w:rFonts w:ascii="Times New Roman" w:hAnsi="Times New Roman" w:cs="Times New Roman"/>
          <w:color w:val="000000" w:themeColor="text1"/>
          <w:sz w:val="24"/>
          <w:szCs w:val="24"/>
          <w:shd w:val="clear" w:color="auto" w:fill="FFFDEE"/>
        </w:rPr>
        <w:t>Objection Reviewing Officer</w:t>
      </w:r>
    </w:p>
    <w:p w14:paraId="25F90207" w14:textId="0DA3C366" w:rsidR="008924D2" w:rsidRPr="00DF1151" w:rsidRDefault="00FF7121" w:rsidP="00167EC7">
      <w:pPr>
        <w:spacing w:after="0"/>
        <w:rPr>
          <w:rFonts w:ascii="Times New Roman" w:hAnsi="Times New Roman" w:cs="Times New Roman"/>
          <w:color w:val="000000" w:themeColor="text1"/>
          <w:sz w:val="24"/>
          <w:szCs w:val="24"/>
        </w:rPr>
      </w:pPr>
      <w:r w:rsidRPr="00DF1151">
        <w:rPr>
          <w:rFonts w:ascii="Times New Roman" w:hAnsi="Times New Roman" w:cs="Times New Roman"/>
          <w:color w:val="000000" w:themeColor="text1"/>
          <w:sz w:val="24"/>
          <w:szCs w:val="24"/>
        </w:rPr>
        <w:t>USDA Forest Service</w:t>
      </w:r>
    </w:p>
    <w:p w14:paraId="1894DA1A" w14:textId="41325C0C" w:rsidR="008924D2" w:rsidRPr="00DF1151" w:rsidRDefault="00FF7121" w:rsidP="00167EC7">
      <w:pPr>
        <w:spacing w:after="0"/>
        <w:rPr>
          <w:rFonts w:ascii="Times New Roman" w:hAnsi="Times New Roman" w:cs="Times New Roman"/>
          <w:color w:val="000000" w:themeColor="text1"/>
          <w:sz w:val="24"/>
          <w:szCs w:val="24"/>
        </w:rPr>
      </w:pPr>
      <w:r w:rsidRPr="00DF1151">
        <w:rPr>
          <w:rFonts w:ascii="Times New Roman" w:hAnsi="Times New Roman" w:cs="Times New Roman"/>
          <w:color w:val="000000" w:themeColor="text1"/>
          <w:sz w:val="24"/>
          <w:szCs w:val="24"/>
        </w:rPr>
        <w:t>Northern Region</w:t>
      </w:r>
    </w:p>
    <w:p w14:paraId="4401FC78" w14:textId="04ACFD1B" w:rsidR="00FF7121" w:rsidRPr="00DF1151" w:rsidRDefault="00FF7121" w:rsidP="00167EC7">
      <w:pPr>
        <w:spacing w:after="0"/>
        <w:rPr>
          <w:rFonts w:ascii="Times New Roman" w:hAnsi="Times New Roman" w:cs="Times New Roman"/>
          <w:color w:val="000000" w:themeColor="text1"/>
          <w:sz w:val="24"/>
          <w:szCs w:val="24"/>
        </w:rPr>
      </w:pPr>
      <w:r w:rsidRPr="00DF1151">
        <w:rPr>
          <w:rFonts w:ascii="Times New Roman" w:hAnsi="Times New Roman" w:cs="Times New Roman"/>
          <w:color w:val="000000" w:themeColor="text1"/>
          <w:sz w:val="24"/>
          <w:szCs w:val="24"/>
        </w:rPr>
        <w:t>26 Fort Missoula Road</w:t>
      </w:r>
    </w:p>
    <w:p w14:paraId="7B76A2BD" w14:textId="53493F3B" w:rsidR="00FF7121" w:rsidRPr="00DF1151" w:rsidRDefault="00FF7121" w:rsidP="00167EC7">
      <w:pPr>
        <w:spacing w:after="0"/>
        <w:rPr>
          <w:rFonts w:ascii="Times New Roman" w:hAnsi="Times New Roman" w:cs="Times New Roman"/>
          <w:color w:val="000000" w:themeColor="text1"/>
          <w:sz w:val="24"/>
          <w:szCs w:val="24"/>
        </w:rPr>
      </w:pPr>
      <w:r w:rsidRPr="00DF1151">
        <w:rPr>
          <w:rFonts w:ascii="Times New Roman" w:hAnsi="Times New Roman" w:cs="Times New Roman"/>
          <w:color w:val="000000" w:themeColor="text1"/>
          <w:sz w:val="24"/>
          <w:szCs w:val="24"/>
        </w:rPr>
        <w:t>Missoula, Montana     59804</w:t>
      </w:r>
    </w:p>
    <w:p w14:paraId="7B58F747" w14:textId="77777777" w:rsidR="00FF7121" w:rsidRPr="00DF1151" w:rsidRDefault="00FF7121" w:rsidP="00167EC7">
      <w:pPr>
        <w:spacing w:after="0"/>
        <w:rPr>
          <w:rFonts w:ascii="Times New Roman" w:hAnsi="Times New Roman" w:cs="Times New Roman"/>
          <w:color w:val="000000" w:themeColor="text1"/>
          <w:sz w:val="24"/>
          <w:szCs w:val="24"/>
        </w:rPr>
      </w:pPr>
    </w:p>
    <w:p w14:paraId="65FD5AA5" w14:textId="06D00918" w:rsidR="00730296" w:rsidRPr="00240975" w:rsidRDefault="00A73105" w:rsidP="00167EC7">
      <w:pPr>
        <w:spacing w:after="0"/>
        <w:rPr>
          <w:rFonts w:ascii="Times New Roman" w:hAnsi="Times New Roman" w:cs="Times New Roman"/>
          <w:color w:val="000000" w:themeColor="text1"/>
          <w:sz w:val="24"/>
          <w:szCs w:val="24"/>
        </w:rPr>
      </w:pPr>
      <w:r w:rsidRPr="00240975">
        <w:rPr>
          <w:rFonts w:ascii="Times New Roman" w:hAnsi="Times New Roman" w:cs="Times New Roman"/>
          <w:color w:val="000000" w:themeColor="text1"/>
          <w:sz w:val="24"/>
          <w:szCs w:val="24"/>
        </w:rPr>
        <w:t xml:space="preserve">Subject: </w:t>
      </w:r>
      <w:r w:rsidR="00882F25" w:rsidRPr="00240975">
        <w:rPr>
          <w:rFonts w:ascii="Times New Roman" w:hAnsi="Times New Roman" w:cs="Times New Roman"/>
          <w:color w:val="000000" w:themeColor="text1"/>
          <w:sz w:val="24"/>
          <w:szCs w:val="24"/>
        </w:rPr>
        <w:t xml:space="preserve">Dead Laundry </w:t>
      </w:r>
      <w:r w:rsidR="00FF7121" w:rsidRPr="00240975">
        <w:rPr>
          <w:rFonts w:ascii="Times New Roman" w:hAnsi="Times New Roman" w:cs="Times New Roman"/>
          <w:color w:val="000000" w:themeColor="text1"/>
          <w:sz w:val="24"/>
          <w:szCs w:val="24"/>
        </w:rPr>
        <w:t>Objection</w:t>
      </w:r>
    </w:p>
    <w:p w14:paraId="621D5CDE" w14:textId="77777777" w:rsidR="00643859" w:rsidRPr="00240975" w:rsidRDefault="00643859" w:rsidP="00167EC7">
      <w:pPr>
        <w:spacing w:after="0"/>
        <w:rPr>
          <w:rFonts w:ascii="Times New Roman" w:hAnsi="Times New Roman" w:cs="Times New Roman"/>
          <w:color w:val="000000" w:themeColor="text1"/>
          <w:sz w:val="24"/>
          <w:szCs w:val="24"/>
        </w:rPr>
      </w:pPr>
    </w:p>
    <w:p w14:paraId="00FAC8D1" w14:textId="71BBB5A5" w:rsidR="006F3F88" w:rsidRPr="00240975" w:rsidRDefault="006F3F88" w:rsidP="00643859">
      <w:pPr>
        <w:spacing w:after="0"/>
        <w:rPr>
          <w:rFonts w:ascii="Times New Roman" w:hAnsi="Times New Roman" w:cs="Times New Roman"/>
          <w:color w:val="000000" w:themeColor="text1"/>
          <w:sz w:val="24"/>
          <w:szCs w:val="24"/>
        </w:rPr>
      </w:pPr>
      <w:r w:rsidRPr="00240975">
        <w:rPr>
          <w:rFonts w:ascii="Times New Roman" w:hAnsi="Times New Roman" w:cs="Times New Roman"/>
          <w:color w:val="000000" w:themeColor="text1"/>
          <w:sz w:val="24"/>
          <w:szCs w:val="24"/>
        </w:rPr>
        <w:t xml:space="preserve">Dear </w:t>
      </w:r>
      <w:r w:rsidR="00FF7121" w:rsidRPr="00240975">
        <w:rPr>
          <w:rFonts w:ascii="Times New Roman" w:hAnsi="Times New Roman" w:cs="Times New Roman"/>
          <w:color w:val="000000" w:themeColor="text1"/>
          <w:sz w:val="24"/>
          <w:szCs w:val="24"/>
        </w:rPr>
        <w:t>Sir</w:t>
      </w:r>
      <w:r w:rsidR="00E30821" w:rsidRPr="00240975">
        <w:rPr>
          <w:rFonts w:ascii="Times New Roman" w:hAnsi="Times New Roman" w:cs="Times New Roman"/>
          <w:color w:val="000000" w:themeColor="text1"/>
          <w:sz w:val="24"/>
          <w:szCs w:val="24"/>
        </w:rPr>
        <w:t>,</w:t>
      </w:r>
    </w:p>
    <w:p w14:paraId="2E3F2438" w14:textId="47DDF850" w:rsidR="00643859" w:rsidRPr="00240975" w:rsidRDefault="00643859" w:rsidP="00643859">
      <w:pPr>
        <w:spacing w:after="0"/>
        <w:rPr>
          <w:rFonts w:ascii="Times New Roman" w:hAnsi="Times New Roman" w:cs="Times New Roman"/>
          <w:color w:val="000000" w:themeColor="text1"/>
          <w:sz w:val="24"/>
          <w:szCs w:val="24"/>
        </w:rPr>
      </w:pPr>
    </w:p>
    <w:p w14:paraId="400FDF8D" w14:textId="0E5FD68F" w:rsidR="00882F25" w:rsidRPr="00240975" w:rsidRDefault="00FF7121" w:rsidP="00F5221E">
      <w:pPr>
        <w:spacing w:after="200" w:line="276" w:lineRule="auto"/>
        <w:rPr>
          <w:rFonts w:ascii="Times New Roman" w:eastAsia="Times New Roman" w:hAnsi="Times New Roman" w:cs="Times New Roman"/>
          <w:sz w:val="24"/>
          <w:szCs w:val="24"/>
        </w:rPr>
      </w:pPr>
      <w:r w:rsidRPr="00240975">
        <w:rPr>
          <w:rFonts w:ascii="Times New Roman" w:hAnsi="Times New Roman" w:cs="Times New Roman"/>
          <w:color w:val="000000" w:themeColor="text1"/>
          <w:sz w:val="24"/>
          <w:szCs w:val="24"/>
        </w:rPr>
        <w:t>The following paragraphs detail my objection to the Dead Laundry project on the Nez Perce – Clearwater National Forests</w:t>
      </w:r>
      <w:r w:rsidR="00F86EA3" w:rsidRPr="00240975">
        <w:rPr>
          <w:rFonts w:ascii="Times New Roman" w:hAnsi="Times New Roman" w:cs="Times New Roman"/>
          <w:color w:val="000000" w:themeColor="text1"/>
          <w:sz w:val="24"/>
          <w:szCs w:val="24"/>
        </w:rPr>
        <w:t>.</w:t>
      </w:r>
      <w:r w:rsidR="00FF3FA0" w:rsidRPr="00240975">
        <w:rPr>
          <w:rFonts w:ascii="Times New Roman" w:hAnsi="Times New Roman" w:cs="Times New Roman"/>
          <w:color w:val="000000" w:themeColor="text1"/>
          <w:sz w:val="24"/>
          <w:szCs w:val="24"/>
        </w:rPr>
        <w:t xml:space="preserve"> </w:t>
      </w:r>
    </w:p>
    <w:p w14:paraId="49236BB1" w14:textId="4C0FA67C" w:rsidR="00813546" w:rsidRPr="00240975" w:rsidRDefault="00A56136" w:rsidP="00C82190">
      <w:pPr>
        <w:spacing w:after="200" w:line="276" w:lineRule="auto"/>
        <w:rPr>
          <w:rFonts w:ascii="Times New Roman" w:hAnsi="Times New Roman" w:cs="Times New Roman"/>
          <w:b/>
          <w:bCs/>
          <w:color w:val="000000" w:themeColor="text1"/>
          <w:sz w:val="24"/>
          <w:szCs w:val="24"/>
        </w:rPr>
      </w:pPr>
      <w:r w:rsidRPr="00240975">
        <w:rPr>
          <w:rFonts w:ascii="Times New Roman" w:hAnsi="Times New Roman" w:cs="Times New Roman"/>
          <w:b/>
          <w:bCs/>
          <w:color w:val="000000" w:themeColor="text1"/>
          <w:sz w:val="24"/>
          <w:szCs w:val="24"/>
        </w:rPr>
        <w:t xml:space="preserve">Objection 1 </w:t>
      </w:r>
      <w:r w:rsidR="00100DDA" w:rsidRPr="00240975">
        <w:rPr>
          <w:rFonts w:ascii="Times New Roman" w:hAnsi="Times New Roman" w:cs="Times New Roman"/>
          <w:b/>
          <w:bCs/>
          <w:color w:val="000000" w:themeColor="text1"/>
          <w:sz w:val="24"/>
          <w:szCs w:val="24"/>
        </w:rPr>
        <w:t>–</w:t>
      </w:r>
      <w:r w:rsidRPr="00240975">
        <w:rPr>
          <w:rFonts w:ascii="Times New Roman" w:hAnsi="Times New Roman" w:cs="Times New Roman"/>
          <w:b/>
          <w:bCs/>
          <w:color w:val="000000" w:themeColor="text1"/>
          <w:sz w:val="24"/>
          <w:szCs w:val="24"/>
        </w:rPr>
        <w:t xml:space="preserve"> </w:t>
      </w:r>
      <w:r w:rsidR="00100DDA" w:rsidRPr="00240975">
        <w:rPr>
          <w:rFonts w:ascii="Times New Roman" w:hAnsi="Times New Roman" w:cs="Times New Roman"/>
          <w:b/>
          <w:bCs/>
          <w:color w:val="000000" w:themeColor="text1"/>
          <w:sz w:val="24"/>
          <w:szCs w:val="24"/>
        </w:rPr>
        <w:t xml:space="preserve">Overstated </w:t>
      </w:r>
      <w:r w:rsidR="00724C75" w:rsidRPr="00240975">
        <w:rPr>
          <w:rFonts w:ascii="Times New Roman" w:hAnsi="Times New Roman" w:cs="Times New Roman"/>
          <w:b/>
          <w:bCs/>
          <w:color w:val="000000" w:themeColor="text1"/>
          <w:sz w:val="24"/>
          <w:szCs w:val="24"/>
        </w:rPr>
        <w:t>Purpose and Need</w:t>
      </w:r>
      <w:r w:rsidR="00100DDA" w:rsidRPr="00240975">
        <w:rPr>
          <w:rFonts w:ascii="Times New Roman" w:hAnsi="Times New Roman" w:cs="Times New Roman"/>
          <w:b/>
          <w:bCs/>
          <w:color w:val="000000" w:themeColor="text1"/>
          <w:sz w:val="24"/>
          <w:szCs w:val="24"/>
        </w:rPr>
        <w:t xml:space="preserve"> for Action</w:t>
      </w:r>
    </w:p>
    <w:p w14:paraId="7DEC0151" w14:textId="52B974E8" w:rsidR="004133B2" w:rsidRDefault="00F86EA3" w:rsidP="00C82190">
      <w:pPr>
        <w:spacing w:after="200" w:line="276" w:lineRule="auto"/>
        <w:rPr>
          <w:rFonts w:ascii="Times New Roman" w:hAnsi="Times New Roman" w:cs="Times New Roman"/>
          <w:color w:val="000000" w:themeColor="text1"/>
          <w:sz w:val="24"/>
          <w:szCs w:val="24"/>
        </w:rPr>
      </w:pPr>
      <w:r w:rsidRPr="004133B2">
        <w:rPr>
          <w:rFonts w:ascii="Times New Roman" w:hAnsi="Times New Roman" w:cs="Times New Roman"/>
          <w:color w:val="000000" w:themeColor="text1"/>
          <w:sz w:val="24"/>
          <w:szCs w:val="24"/>
        </w:rPr>
        <w:t>The purpose and need for the project in the Final Environmental Assessment and Draft Decision Notice do not agree. In the Environmental Assessment</w:t>
      </w:r>
      <w:r w:rsidR="00240975" w:rsidRPr="004133B2">
        <w:rPr>
          <w:rFonts w:ascii="Times New Roman" w:hAnsi="Times New Roman" w:cs="Times New Roman"/>
          <w:color w:val="000000" w:themeColor="text1"/>
          <w:sz w:val="24"/>
          <w:szCs w:val="24"/>
        </w:rPr>
        <w:t xml:space="preserve"> t</w:t>
      </w:r>
      <w:r w:rsidR="009D2F99" w:rsidRPr="004133B2">
        <w:rPr>
          <w:rFonts w:ascii="Times New Roman" w:hAnsi="Times New Roman" w:cs="Times New Roman"/>
          <w:color w:val="000000" w:themeColor="text1"/>
          <w:sz w:val="24"/>
          <w:szCs w:val="24"/>
        </w:rPr>
        <w:t xml:space="preserve">he Nez Perce Clearwater National Forest suggests </w:t>
      </w:r>
      <w:r w:rsidR="00724C75" w:rsidRPr="004133B2">
        <w:rPr>
          <w:rFonts w:ascii="Times New Roman" w:hAnsi="Times New Roman" w:cs="Times New Roman"/>
          <w:color w:val="000000" w:themeColor="text1"/>
          <w:sz w:val="24"/>
          <w:szCs w:val="24"/>
        </w:rPr>
        <w:t>that the primary purpose and need</w:t>
      </w:r>
      <w:r w:rsidR="00240975" w:rsidRPr="004133B2">
        <w:rPr>
          <w:rFonts w:ascii="Times New Roman" w:hAnsi="Times New Roman" w:cs="Times New Roman"/>
          <w:color w:val="000000" w:themeColor="text1"/>
          <w:sz w:val="24"/>
          <w:szCs w:val="24"/>
        </w:rPr>
        <w:t xml:space="preserve"> for the project is to</w:t>
      </w:r>
      <w:r w:rsidR="00240975" w:rsidRPr="004133B2">
        <w:rPr>
          <w:rFonts w:ascii="Times New Roman" w:eastAsia="Times New Roman" w:hAnsi="Times New Roman" w:cs="Times New Roman"/>
          <w:color w:val="222222"/>
          <w:sz w:val="24"/>
          <w:szCs w:val="24"/>
        </w:rPr>
        <w:t xml:space="preserve"> </w:t>
      </w:r>
      <w:r w:rsidR="004133B2">
        <w:rPr>
          <w:rFonts w:ascii="Times New Roman" w:eastAsia="Times New Roman" w:hAnsi="Times New Roman" w:cs="Times New Roman"/>
          <w:color w:val="222222"/>
          <w:sz w:val="24"/>
          <w:szCs w:val="24"/>
        </w:rPr>
        <w:t>“</w:t>
      </w:r>
      <w:r w:rsidR="00240975" w:rsidRPr="004133B2">
        <w:rPr>
          <w:rFonts w:ascii="Times New Roman" w:eastAsia="Times New Roman" w:hAnsi="Times New Roman" w:cs="Times New Roman"/>
          <w:color w:val="222222"/>
          <w:sz w:val="24"/>
          <w:szCs w:val="24"/>
        </w:rPr>
        <w:t>reduce hazardous fuel loading within the project area to provide protection for the wildland urban interface areas associated with private inholdings within the project area.</w:t>
      </w:r>
      <w:r w:rsidR="00240975" w:rsidRPr="004133B2">
        <w:rPr>
          <w:rFonts w:ascii="Times New Roman" w:hAnsi="Times New Roman" w:cs="Times New Roman"/>
          <w:color w:val="000000" w:themeColor="text1"/>
          <w:sz w:val="24"/>
          <w:szCs w:val="24"/>
        </w:rPr>
        <w:t xml:space="preserve">, </w:t>
      </w:r>
      <w:r w:rsidR="00240975" w:rsidRPr="004133B2">
        <w:rPr>
          <w:rFonts w:ascii="Times New Roman" w:eastAsia="Times New Roman" w:hAnsi="Times New Roman" w:cs="Times New Roman"/>
          <w:color w:val="222222"/>
          <w:sz w:val="24"/>
          <w:szCs w:val="24"/>
        </w:rPr>
        <w:t>h</w:t>
      </w:r>
      <w:r w:rsidR="00240975" w:rsidRPr="00240975">
        <w:rPr>
          <w:rFonts w:ascii="Times New Roman" w:eastAsia="Times New Roman" w:hAnsi="Times New Roman" w:cs="Times New Roman"/>
          <w:color w:val="222222"/>
          <w:sz w:val="24"/>
          <w:szCs w:val="24"/>
        </w:rPr>
        <w:t>arvest wood products to sustain local and regional economies</w:t>
      </w:r>
      <w:r w:rsidR="00240975" w:rsidRPr="004133B2">
        <w:rPr>
          <w:rFonts w:ascii="Times New Roman" w:eastAsia="Times New Roman" w:hAnsi="Times New Roman" w:cs="Times New Roman"/>
          <w:color w:val="222222"/>
          <w:sz w:val="24"/>
          <w:szCs w:val="24"/>
        </w:rPr>
        <w:t>, and</w:t>
      </w:r>
      <w:r w:rsidR="00240975" w:rsidRPr="00240975">
        <w:rPr>
          <w:rFonts w:ascii="Times New Roman" w:eastAsia="Times New Roman" w:hAnsi="Times New Roman" w:cs="Times New Roman"/>
          <w:color w:val="222222"/>
          <w:sz w:val="24"/>
          <w:szCs w:val="24"/>
        </w:rPr>
        <w:t xml:space="preserve"> </w:t>
      </w:r>
      <w:r w:rsidR="00240975" w:rsidRPr="004133B2">
        <w:rPr>
          <w:rFonts w:ascii="Times New Roman" w:eastAsia="Times New Roman" w:hAnsi="Times New Roman" w:cs="Times New Roman"/>
          <w:color w:val="222222"/>
          <w:sz w:val="24"/>
          <w:szCs w:val="24"/>
        </w:rPr>
        <w:t>i</w:t>
      </w:r>
      <w:r w:rsidR="00240975" w:rsidRPr="00240975">
        <w:rPr>
          <w:rFonts w:ascii="Times New Roman" w:eastAsia="Times New Roman" w:hAnsi="Times New Roman" w:cs="Times New Roman"/>
          <w:color w:val="222222"/>
          <w:sz w:val="24"/>
          <w:szCs w:val="24"/>
        </w:rPr>
        <w:t>mprove forest health and resiliency in concurrence with desired conditions and objectives</w:t>
      </w:r>
      <w:r w:rsidR="004133B2" w:rsidRPr="004133B2">
        <w:rPr>
          <w:rFonts w:ascii="Times New Roman" w:eastAsia="Times New Roman" w:hAnsi="Times New Roman" w:cs="Times New Roman"/>
          <w:color w:val="222222"/>
          <w:sz w:val="24"/>
          <w:szCs w:val="24"/>
        </w:rPr>
        <w:t xml:space="preserve"> </w:t>
      </w:r>
      <w:r w:rsidR="00240975" w:rsidRPr="00240975">
        <w:rPr>
          <w:rFonts w:ascii="Times New Roman" w:eastAsia="Times New Roman" w:hAnsi="Times New Roman" w:cs="Times New Roman"/>
          <w:color w:val="222222"/>
          <w:sz w:val="24"/>
          <w:szCs w:val="24"/>
        </w:rPr>
        <w:t>identified in the Forest Pla</w:t>
      </w:r>
      <w:r w:rsidR="004133B2" w:rsidRPr="004133B2">
        <w:rPr>
          <w:rFonts w:ascii="Times New Roman" w:eastAsia="Times New Roman" w:hAnsi="Times New Roman" w:cs="Times New Roman"/>
          <w:color w:val="222222"/>
          <w:sz w:val="24"/>
          <w:szCs w:val="24"/>
        </w:rPr>
        <w:t>n.</w:t>
      </w:r>
      <w:r w:rsidR="004133B2">
        <w:rPr>
          <w:rFonts w:ascii="Times New Roman" w:eastAsia="Times New Roman" w:hAnsi="Times New Roman" w:cs="Times New Roman"/>
          <w:color w:val="222222"/>
          <w:sz w:val="24"/>
          <w:szCs w:val="24"/>
        </w:rPr>
        <w:t>”</w:t>
      </w:r>
      <w:r w:rsidR="004133B2">
        <w:rPr>
          <w:rFonts w:ascii="Times New Roman" w:hAnsi="Times New Roman" w:cs="Times New Roman"/>
          <w:color w:val="000000" w:themeColor="text1"/>
          <w:sz w:val="24"/>
          <w:szCs w:val="24"/>
        </w:rPr>
        <w:t xml:space="preserve">  In the Draft Decision Notice the purpose and need</w:t>
      </w:r>
      <w:r w:rsidR="00724C75" w:rsidRPr="00DF1151">
        <w:rPr>
          <w:rFonts w:ascii="Times New Roman" w:hAnsi="Times New Roman" w:cs="Times New Roman"/>
          <w:color w:val="000000" w:themeColor="text1"/>
          <w:sz w:val="24"/>
          <w:szCs w:val="24"/>
        </w:rPr>
        <w:t xml:space="preserve"> for the project is to </w:t>
      </w:r>
      <w:r w:rsidR="004133B2">
        <w:rPr>
          <w:rFonts w:ascii="Times New Roman" w:hAnsi="Times New Roman" w:cs="Times New Roman"/>
          <w:color w:val="000000" w:themeColor="text1"/>
          <w:sz w:val="24"/>
          <w:szCs w:val="24"/>
        </w:rPr>
        <w:t>“</w:t>
      </w:r>
      <w:r w:rsidR="00724C75" w:rsidRPr="00DF1151">
        <w:rPr>
          <w:rFonts w:ascii="Times New Roman" w:hAnsi="Times New Roman" w:cs="Times New Roman"/>
          <w:color w:val="000000" w:themeColor="text1"/>
          <w:sz w:val="24"/>
          <w:szCs w:val="24"/>
        </w:rPr>
        <w:t>reduce hazardous fuel loadings</w:t>
      </w:r>
      <w:r w:rsidR="002B08F2" w:rsidRPr="00DF1151">
        <w:rPr>
          <w:rFonts w:ascii="Times New Roman" w:hAnsi="Times New Roman" w:cs="Times New Roman"/>
          <w:color w:val="000000" w:themeColor="text1"/>
          <w:sz w:val="24"/>
          <w:szCs w:val="24"/>
        </w:rPr>
        <w:t xml:space="preserve"> adjacent to</w:t>
      </w:r>
      <w:r w:rsidR="00724C75" w:rsidRPr="00DF1151">
        <w:rPr>
          <w:rFonts w:ascii="Times New Roman" w:hAnsi="Times New Roman" w:cs="Times New Roman"/>
          <w:color w:val="000000" w:themeColor="text1"/>
          <w:sz w:val="24"/>
          <w:szCs w:val="24"/>
        </w:rPr>
        <w:t xml:space="preserve"> private inholdings, to harvest </w:t>
      </w:r>
      <w:r w:rsidR="002B08F2" w:rsidRPr="00DF1151">
        <w:rPr>
          <w:rFonts w:ascii="Times New Roman" w:hAnsi="Times New Roman" w:cs="Times New Roman"/>
          <w:color w:val="000000" w:themeColor="text1"/>
          <w:sz w:val="24"/>
          <w:szCs w:val="24"/>
        </w:rPr>
        <w:t>wood products</w:t>
      </w:r>
      <w:r w:rsidR="00724C75" w:rsidRPr="00DF1151">
        <w:rPr>
          <w:rFonts w:ascii="Times New Roman" w:hAnsi="Times New Roman" w:cs="Times New Roman"/>
          <w:color w:val="000000" w:themeColor="text1"/>
          <w:sz w:val="24"/>
          <w:szCs w:val="24"/>
        </w:rPr>
        <w:t xml:space="preserve"> and </w:t>
      </w:r>
      <w:r w:rsidR="002B08F2" w:rsidRPr="00DF1151">
        <w:rPr>
          <w:rFonts w:ascii="Times New Roman" w:hAnsi="Times New Roman" w:cs="Times New Roman"/>
          <w:color w:val="000000" w:themeColor="text1"/>
          <w:sz w:val="24"/>
          <w:szCs w:val="24"/>
        </w:rPr>
        <w:t xml:space="preserve">to </w:t>
      </w:r>
      <w:r w:rsidR="00724C75" w:rsidRPr="00DF1151">
        <w:rPr>
          <w:rFonts w:ascii="Times New Roman" w:hAnsi="Times New Roman" w:cs="Times New Roman"/>
          <w:color w:val="000000" w:themeColor="text1"/>
          <w:sz w:val="24"/>
          <w:szCs w:val="24"/>
        </w:rPr>
        <w:t>improve forest health</w:t>
      </w:r>
      <w:r w:rsidR="003F6792">
        <w:rPr>
          <w:rFonts w:ascii="Times New Roman" w:hAnsi="Times New Roman" w:cs="Times New Roman"/>
          <w:color w:val="000000" w:themeColor="text1"/>
          <w:sz w:val="24"/>
          <w:szCs w:val="24"/>
        </w:rPr>
        <w:t>, to change forest species and construct 12-miles of permanent road</w:t>
      </w:r>
      <w:r w:rsidR="00724C75" w:rsidRPr="00DF1151">
        <w:rPr>
          <w:rFonts w:ascii="Times New Roman" w:hAnsi="Times New Roman" w:cs="Times New Roman"/>
          <w:color w:val="000000" w:themeColor="text1"/>
          <w:sz w:val="24"/>
          <w:szCs w:val="24"/>
        </w:rPr>
        <w:t>.</w:t>
      </w:r>
      <w:r w:rsidR="004133B2">
        <w:rPr>
          <w:rFonts w:ascii="Times New Roman" w:hAnsi="Times New Roman" w:cs="Times New Roman"/>
          <w:color w:val="000000" w:themeColor="text1"/>
          <w:sz w:val="24"/>
          <w:szCs w:val="24"/>
        </w:rPr>
        <w:t>”</w:t>
      </w:r>
    </w:p>
    <w:p w14:paraId="57DA6F74" w14:textId="4939E2E9" w:rsidR="009E14C1" w:rsidRPr="00DF1151" w:rsidRDefault="004133B2" w:rsidP="00C82190">
      <w:p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Environmental Assessment</w:t>
      </w:r>
      <w:r w:rsidR="00724C75" w:rsidRPr="00DF11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suggests </w:t>
      </w:r>
      <w:r w:rsidR="004A0520" w:rsidRPr="00DF1151">
        <w:rPr>
          <w:rFonts w:ascii="Times New Roman" w:hAnsi="Times New Roman" w:cs="Times New Roman"/>
          <w:sz w:val="24"/>
          <w:szCs w:val="24"/>
        </w:rPr>
        <w:t>“large fires that occurred in 1910 and 1919 and the introduction of white pine blister rust have created a homogeneous age class and species composition which has become highly susceptible to insect and disease change agents</w:t>
      </w:r>
      <w:r w:rsidR="00A755AD" w:rsidRPr="00DF1151">
        <w:rPr>
          <w:rFonts w:ascii="Times New Roman" w:hAnsi="Times New Roman" w:cs="Times New Roman"/>
          <w:sz w:val="24"/>
          <w:szCs w:val="24"/>
        </w:rPr>
        <w:t>”</w:t>
      </w:r>
      <w:r w:rsidR="004226D0" w:rsidRPr="00DF1151">
        <w:rPr>
          <w:rFonts w:ascii="Times New Roman" w:hAnsi="Times New Roman" w:cs="Times New Roman"/>
          <w:sz w:val="24"/>
          <w:szCs w:val="24"/>
        </w:rPr>
        <w:t xml:space="preserve"> (EA Page</w:t>
      </w:r>
      <w:r w:rsidR="00A755AD" w:rsidRPr="00DF1151">
        <w:rPr>
          <w:rFonts w:ascii="Times New Roman" w:hAnsi="Times New Roman" w:cs="Times New Roman"/>
          <w:sz w:val="24"/>
          <w:szCs w:val="24"/>
        </w:rPr>
        <w:t xml:space="preserve"> 5). </w:t>
      </w:r>
      <w:r w:rsidR="004A0520" w:rsidRPr="00DF1151">
        <w:rPr>
          <w:rFonts w:ascii="Times New Roman" w:hAnsi="Times New Roman" w:cs="Times New Roman"/>
          <w:sz w:val="24"/>
          <w:szCs w:val="24"/>
        </w:rPr>
        <w:t>T</w:t>
      </w:r>
      <w:r w:rsidR="00A755AD" w:rsidRPr="00DF1151">
        <w:rPr>
          <w:rFonts w:ascii="Times New Roman" w:hAnsi="Times New Roman" w:cs="Times New Roman"/>
          <w:sz w:val="24"/>
          <w:szCs w:val="24"/>
        </w:rPr>
        <w:t>his characterization is highly inaccurate and do</w:t>
      </w:r>
      <w:r w:rsidR="00327477" w:rsidRPr="00DF1151">
        <w:rPr>
          <w:rFonts w:ascii="Times New Roman" w:hAnsi="Times New Roman" w:cs="Times New Roman"/>
          <w:sz w:val="24"/>
          <w:szCs w:val="24"/>
        </w:rPr>
        <w:t>es</w:t>
      </w:r>
      <w:r w:rsidR="00A755AD" w:rsidRPr="00DF1151">
        <w:rPr>
          <w:rFonts w:ascii="Times New Roman" w:hAnsi="Times New Roman" w:cs="Times New Roman"/>
          <w:sz w:val="24"/>
          <w:szCs w:val="24"/>
        </w:rPr>
        <w:t xml:space="preserve"> not reflect the</w:t>
      </w:r>
      <w:r w:rsidR="00584BF5" w:rsidRPr="00DF1151">
        <w:rPr>
          <w:rFonts w:ascii="Times New Roman" w:hAnsi="Times New Roman" w:cs="Times New Roman"/>
          <w:sz w:val="24"/>
          <w:szCs w:val="24"/>
        </w:rPr>
        <w:t xml:space="preserve"> actual </w:t>
      </w:r>
      <w:r w:rsidR="00A755AD" w:rsidRPr="00DF1151">
        <w:rPr>
          <w:rFonts w:ascii="Times New Roman" w:hAnsi="Times New Roman" w:cs="Times New Roman"/>
          <w:sz w:val="24"/>
          <w:szCs w:val="24"/>
        </w:rPr>
        <w:t>histor</w:t>
      </w:r>
      <w:r w:rsidR="00584BF5" w:rsidRPr="00DF1151">
        <w:rPr>
          <w:rFonts w:ascii="Times New Roman" w:hAnsi="Times New Roman" w:cs="Times New Roman"/>
          <w:sz w:val="24"/>
          <w:szCs w:val="24"/>
        </w:rPr>
        <w:t>y of the project area.</w:t>
      </w:r>
    </w:p>
    <w:p w14:paraId="23DEF2FF" w14:textId="1B0E9295" w:rsidR="00217406" w:rsidRPr="00DF1151" w:rsidRDefault="00584BF5" w:rsidP="00C82190">
      <w:pPr>
        <w:spacing w:after="200" w:line="276" w:lineRule="auto"/>
        <w:rPr>
          <w:rFonts w:ascii="Times New Roman" w:hAnsi="Times New Roman" w:cs="Times New Roman"/>
          <w:color w:val="000000" w:themeColor="text1"/>
          <w:sz w:val="24"/>
          <w:szCs w:val="24"/>
        </w:rPr>
      </w:pPr>
      <w:r w:rsidRPr="00DF1151">
        <w:rPr>
          <w:rFonts w:ascii="Times New Roman" w:hAnsi="Times New Roman" w:cs="Times New Roman"/>
          <w:color w:val="000000" w:themeColor="text1"/>
          <w:sz w:val="24"/>
          <w:szCs w:val="24"/>
        </w:rPr>
        <w:t>At</w:t>
      </w:r>
      <w:r w:rsidR="00724C75" w:rsidRPr="00DF1151">
        <w:rPr>
          <w:rFonts w:ascii="Times New Roman" w:hAnsi="Times New Roman" w:cs="Times New Roman"/>
          <w:color w:val="000000" w:themeColor="text1"/>
          <w:sz w:val="24"/>
          <w:szCs w:val="24"/>
        </w:rPr>
        <w:t xml:space="preserve"> least half of the project area was previously owned by </w:t>
      </w:r>
      <w:r w:rsidR="004B7222" w:rsidRPr="00DF1151">
        <w:rPr>
          <w:rFonts w:ascii="Times New Roman" w:hAnsi="Times New Roman" w:cs="Times New Roman"/>
          <w:color w:val="000000" w:themeColor="text1"/>
          <w:sz w:val="24"/>
          <w:szCs w:val="24"/>
        </w:rPr>
        <w:t>a private timber company</w:t>
      </w:r>
      <w:r w:rsidR="00724C75" w:rsidRPr="00DF1151">
        <w:rPr>
          <w:rFonts w:ascii="Times New Roman" w:hAnsi="Times New Roman" w:cs="Times New Roman"/>
          <w:color w:val="000000" w:themeColor="text1"/>
          <w:sz w:val="24"/>
          <w:szCs w:val="24"/>
        </w:rPr>
        <w:t xml:space="preserve"> and </w:t>
      </w:r>
      <w:r w:rsidR="004B7222" w:rsidRPr="00DF1151">
        <w:rPr>
          <w:rFonts w:ascii="Times New Roman" w:hAnsi="Times New Roman" w:cs="Times New Roman"/>
          <w:color w:val="000000" w:themeColor="text1"/>
          <w:sz w:val="24"/>
          <w:szCs w:val="24"/>
        </w:rPr>
        <w:t xml:space="preserve">was exchanged to the Forest Service in the mid-1990s.  </w:t>
      </w:r>
      <w:r w:rsidR="00E941B4" w:rsidRPr="00DF1151">
        <w:rPr>
          <w:rFonts w:ascii="Times New Roman" w:hAnsi="Times New Roman" w:cs="Times New Roman"/>
          <w:color w:val="000000" w:themeColor="text1"/>
          <w:sz w:val="24"/>
          <w:szCs w:val="24"/>
        </w:rPr>
        <w:t>M</w:t>
      </w:r>
      <w:r w:rsidR="00377584" w:rsidRPr="00DF1151">
        <w:rPr>
          <w:rFonts w:ascii="Times New Roman" w:hAnsi="Times New Roman" w:cs="Times New Roman"/>
          <w:color w:val="000000" w:themeColor="text1"/>
          <w:sz w:val="24"/>
          <w:szCs w:val="24"/>
        </w:rPr>
        <w:t xml:space="preserve">ost of the </w:t>
      </w:r>
      <w:r w:rsidR="00A755AD" w:rsidRPr="00DF1151">
        <w:rPr>
          <w:rFonts w:ascii="Times New Roman" w:hAnsi="Times New Roman" w:cs="Times New Roman"/>
          <w:color w:val="000000" w:themeColor="text1"/>
          <w:sz w:val="24"/>
          <w:szCs w:val="24"/>
        </w:rPr>
        <w:t xml:space="preserve">currently roaded </w:t>
      </w:r>
      <w:r w:rsidR="00377584" w:rsidRPr="00DF1151">
        <w:rPr>
          <w:rFonts w:ascii="Times New Roman" w:hAnsi="Times New Roman" w:cs="Times New Roman"/>
          <w:color w:val="000000" w:themeColor="text1"/>
          <w:sz w:val="24"/>
          <w:szCs w:val="24"/>
        </w:rPr>
        <w:t xml:space="preserve">area was </w:t>
      </w:r>
      <w:r w:rsidR="00377584" w:rsidRPr="00DF1151">
        <w:rPr>
          <w:rFonts w:ascii="Times New Roman" w:hAnsi="Times New Roman" w:cs="Times New Roman"/>
          <w:color w:val="000000" w:themeColor="text1"/>
          <w:sz w:val="24"/>
          <w:szCs w:val="24"/>
        </w:rPr>
        <w:lastRenderedPageBreak/>
        <w:t>extensively harvested</w:t>
      </w:r>
      <w:r w:rsidR="00E941B4" w:rsidRPr="00DF1151">
        <w:rPr>
          <w:rFonts w:ascii="Times New Roman" w:hAnsi="Times New Roman" w:cs="Times New Roman"/>
          <w:color w:val="000000" w:themeColor="text1"/>
          <w:sz w:val="24"/>
          <w:szCs w:val="24"/>
        </w:rPr>
        <w:t xml:space="preserve"> </w:t>
      </w:r>
      <w:r w:rsidR="00377584" w:rsidRPr="00DF1151">
        <w:rPr>
          <w:rFonts w:ascii="Times New Roman" w:hAnsi="Times New Roman" w:cs="Times New Roman"/>
          <w:color w:val="000000" w:themeColor="text1"/>
          <w:sz w:val="24"/>
          <w:szCs w:val="24"/>
        </w:rPr>
        <w:t>by both Diamond International and the Forest Service in the 1960’s and 19</w:t>
      </w:r>
      <w:r w:rsidR="00217406" w:rsidRPr="00DF1151">
        <w:rPr>
          <w:rFonts w:ascii="Times New Roman" w:hAnsi="Times New Roman" w:cs="Times New Roman"/>
          <w:color w:val="000000" w:themeColor="text1"/>
          <w:sz w:val="24"/>
          <w:szCs w:val="24"/>
        </w:rPr>
        <w:t>7</w:t>
      </w:r>
      <w:r w:rsidR="00377584" w:rsidRPr="00DF1151">
        <w:rPr>
          <w:rFonts w:ascii="Times New Roman" w:hAnsi="Times New Roman" w:cs="Times New Roman"/>
          <w:color w:val="000000" w:themeColor="text1"/>
          <w:sz w:val="24"/>
          <w:szCs w:val="24"/>
        </w:rPr>
        <w:t>0’s</w:t>
      </w:r>
      <w:r w:rsidR="00E941B4" w:rsidRPr="00DF1151">
        <w:rPr>
          <w:rFonts w:ascii="Times New Roman" w:hAnsi="Times New Roman" w:cs="Times New Roman"/>
          <w:color w:val="000000" w:themeColor="text1"/>
          <w:sz w:val="24"/>
          <w:szCs w:val="24"/>
        </w:rPr>
        <w:t xml:space="preserve"> and </w:t>
      </w:r>
      <w:r w:rsidR="00327477" w:rsidRPr="00DF1151">
        <w:rPr>
          <w:rFonts w:ascii="Times New Roman" w:hAnsi="Times New Roman" w:cs="Times New Roman"/>
          <w:color w:val="000000" w:themeColor="text1"/>
          <w:sz w:val="24"/>
          <w:szCs w:val="24"/>
        </w:rPr>
        <w:t xml:space="preserve">it is </w:t>
      </w:r>
      <w:r w:rsidR="00E941B4" w:rsidRPr="00DF1151">
        <w:rPr>
          <w:rFonts w:ascii="Times New Roman" w:hAnsi="Times New Roman" w:cs="Times New Roman"/>
          <w:color w:val="000000" w:themeColor="text1"/>
          <w:sz w:val="24"/>
          <w:szCs w:val="24"/>
        </w:rPr>
        <w:t>not the homogenous</w:t>
      </w:r>
      <w:r w:rsidR="00523149" w:rsidRPr="00DF1151">
        <w:rPr>
          <w:rFonts w:ascii="Times New Roman" w:hAnsi="Times New Roman" w:cs="Times New Roman"/>
          <w:color w:val="000000" w:themeColor="text1"/>
          <w:sz w:val="24"/>
          <w:szCs w:val="24"/>
        </w:rPr>
        <w:t xml:space="preserve"> </w:t>
      </w:r>
      <w:r w:rsidR="00E941B4" w:rsidRPr="00DF1151">
        <w:rPr>
          <w:rFonts w:ascii="Times New Roman" w:hAnsi="Times New Roman" w:cs="Times New Roman"/>
          <w:color w:val="000000" w:themeColor="text1"/>
          <w:sz w:val="24"/>
          <w:szCs w:val="24"/>
        </w:rPr>
        <w:t>age class describe</w:t>
      </w:r>
      <w:r w:rsidRPr="00DF1151">
        <w:rPr>
          <w:rFonts w:ascii="Times New Roman" w:hAnsi="Times New Roman" w:cs="Times New Roman"/>
          <w:color w:val="000000" w:themeColor="text1"/>
          <w:sz w:val="24"/>
          <w:szCs w:val="24"/>
        </w:rPr>
        <w:t xml:space="preserve">d </w:t>
      </w:r>
      <w:r w:rsidR="00327477" w:rsidRPr="00DF1151">
        <w:rPr>
          <w:rFonts w:ascii="Times New Roman" w:hAnsi="Times New Roman" w:cs="Times New Roman"/>
          <w:color w:val="000000" w:themeColor="text1"/>
          <w:sz w:val="24"/>
          <w:szCs w:val="24"/>
        </w:rPr>
        <w:t xml:space="preserve">in </w:t>
      </w:r>
      <w:r w:rsidR="00E941B4" w:rsidRPr="00DF1151">
        <w:rPr>
          <w:rFonts w:ascii="Times New Roman" w:hAnsi="Times New Roman" w:cs="Times New Roman"/>
          <w:color w:val="000000" w:themeColor="text1"/>
          <w:sz w:val="24"/>
          <w:szCs w:val="24"/>
        </w:rPr>
        <w:t xml:space="preserve">the Environmental Assessment. </w:t>
      </w:r>
    </w:p>
    <w:p w14:paraId="1C27B555" w14:textId="259164C7" w:rsidR="00377584" w:rsidRPr="00DF1151" w:rsidRDefault="00E941B4" w:rsidP="00C82190">
      <w:pPr>
        <w:spacing w:after="200" w:line="276" w:lineRule="auto"/>
        <w:rPr>
          <w:rFonts w:ascii="Times New Roman" w:hAnsi="Times New Roman" w:cs="Times New Roman"/>
          <w:color w:val="000000" w:themeColor="text1"/>
          <w:sz w:val="24"/>
          <w:szCs w:val="24"/>
        </w:rPr>
      </w:pPr>
      <w:r w:rsidRPr="00DF1151">
        <w:rPr>
          <w:rFonts w:ascii="Times New Roman" w:hAnsi="Times New Roman" w:cs="Times New Roman"/>
          <w:color w:val="000000" w:themeColor="text1"/>
          <w:sz w:val="24"/>
          <w:szCs w:val="24"/>
        </w:rPr>
        <w:t xml:space="preserve">The existing road density is very high on most lands previously owned by Diamond International, and most of </w:t>
      </w:r>
      <w:r w:rsidR="00100DDA" w:rsidRPr="00DF1151">
        <w:rPr>
          <w:rFonts w:ascii="Times New Roman" w:hAnsi="Times New Roman" w:cs="Times New Roman"/>
          <w:color w:val="000000" w:themeColor="text1"/>
          <w:sz w:val="24"/>
          <w:szCs w:val="24"/>
        </w:rPr>
        <w:t xml:space="preserve">the </w:t>
      </w:r>
      <w:r w:rsidRPr="00DF1151">
        <w:rPr>
          <w:rFonts w:ascii="Times New Roman" w:hAnsi="Times New Roman" w:cs="Times New Roman"/>
          <w:color w:val="000000" w:themeColor="text1"/>
          <w:sz w:val="24"/>
          <w:szCs w:val="24"/>
        </w:rPr>
        <w:t>proposed treatments are concentrated in areas that experie</w:t>
      </w:r>
      <w:r w:rsidR="00217406" w:rsidRPr="00DF1151">
        <w:rPr>
          <w:rFonts w:ascii="Times New Roman" w:hAnsi="Times New Roman" w:cs="Times New Roman"/>
          <w:color w:val="000000" w:themeColor="text1"/>
          <w:sz w:val="24"/>
          <w:szCs w:val="24"/>
        </w:rPr>
        <w:t>nced past timber harvest and road development.</w:t>
      </w:r>
      <w:r w:rsidRPr="00DF1151">
        <w:rPr>
          <w:rFonts w:ascii="Times New Roman" w:hAnsi="Times New Roman" w:cs="Times New Roman"/>
          <w:color w:val="000000" w:themeColor="text1"/>
          <w:sz w:val="24"/>
          <w:szCs w:val="24"/>
        </w:rPr>
        <w:t xml:space="preserve"> </w:t>
      </w:r>
      <w:r w:rsidR="00523149" w:rsidRPr="00DF1151">
        <w:rPr>
          <w:rFonts w:ascii="Times New Roman" w:hAnsi="Times New Roman" w:cs="Times New Roman"/>
          <w:color w:val="000000" w:themeColor="text1"/>
          <w:sz w:val="24"/>
          <w:szCs w:val="24"/>
        </w:rPr>
        <w:t xml:space="preserve"> </w:t>
      </w:r>
      <w:r w:rsidR="00217406" w:rsidRPr="00DF1151">
        <w:rPr>
          <w:rFonts w:ascii="Times New Roman" w:hAnsi="Times New Roman" w:cs="Times New Roman"/>
          <w:color w:val="000000" w:themeColor="text1"/>
          <w:sz w:val="24"/>
          <w:szCs w:val="24"/>
        </w:rPr>
        <w:t>The effects of</w:t>
      </w:r>
      <w:r w:rsidR="00523149" w:rsidRPr="00DF1151">
        <w:rPr>
          <w:rFonts w:ascii="Times New Roman" w:hAnsi="Times New Roman" w:cs="Times New Roman"/>
          <w:color w:val="000000" w:themeColor="text1"/>
          <w:sz w:val="24"/>
          <w:szCs w:val="24"/>
        </w:rPr>
        <w:t xml:space="preserve"> 1910 and 19</w:t>
      </w:r>
      <w:r w:rsidR="00217406" w:rsidRPr="00DF1151">
        <w:rPr>
          <w:rFonts w:ascii="Times New Roman" w:hAnsi="Times New Roman" w:cs="Times New Roman"/>
          <w:color w:val="000000" w:themeColor="text1"/>
          <w:sz w:val="24"/>
          <w:szCs w:val="24"/>
        </w:rPr>
        <w:t>19</w:t>
      </w:r>
      <w:r w:rsidR="00523149" w:rsidRPr="00DF1151">
        <w:rPr>
          <w:rFonts w:ascii="Times New Roman" w:hAnsi="Times New Roman" w:cs="Times New Roman"/>
          <w:color w:val="000000" w:themeColor="text1"/>
          <w:sz w:val="24"/>
          <w:szCs w:val="24"/>
        </w:rPr>
        <w:t xml:space="preserve"> </w:t>
      </w:r>
      <w:r w:rsidR="00217406" w:rsidRPr="00DF1151">
        <w:rPr>
          <w:rFonts w:ascii="Times New Roman" w:hAnsi="Times New Roman" w:cs="Times New Roman"/>
          <w:color w:val="000000" w:themeColor="text1"/>
          <w:sz w:val="24"/>
          <w:szCs w:val="24"/>
        </w:rPr>
        <w:t xml:space="preserve">wildfires are generally concentrated in </w:t>
      </w:r>
      <w:r w:rsidR="00F303D7" w:rsidRPr="00DF1151">
        <w:rPr>
          <w:rFonts w:ascii="Times New Roman" w:hAnsi="Times New Roman" w:cs="Times New Roman"/>
          <w:color w:val="000000" w:themeColor="text1"/>
          <w:sz w:val="24"/>
          <w:szCs w:val="24"/>
        </w:rPr>
        <w:t>surrounding</w:t>
      </w:r>
      <w:r w:rsidR="00217406" w:rsidRPr="00DF1151">
        <w:rPr>
          <w:rFonts w:ascii="Times New Roman" w:hAnsi="Times New Roman" w:cs="Times New Roman"/>
          <w:color w:val="000000" w:themeColor="text1"/>
          <w:sz w:val="24"/>
          <w:szCs w:val="24"/>
        </w:rPr>
        <w:t xml:space="preserve"> roadless areas, and </w:t>
      </w:r>
      <w:r w:rsidR="00327477" w:rsidRPr="00DF1151">
        <w:rPr>
          <w:rFonts w:ascii="Times New Roman" w:hAnsi="Times New Roman" w:cs="Times New Roman"/>
          <w:color w:val="000000" w:themeColor="text1"/>
          <w:sz w:val="24"/>
          <w:szCs w:val="24"/>
        </w:rPr>
        <w:t xml:space="preserve">the </w:t>
      </w:r>
      <w:r w:rsidR="00217406" w:rsidRPr="00DF1151">
        <w:rPr>
          <w:rFonts w:ascii="Times New Roman" w:hAnsi="Times New Roman" w:cs="Times New Roman"/>
          <w:color w:val="000000" w:themeColor="text1"/>
          <w:sz w:val="24"/>
          <w:szCs w:val="24"/>
        </w:rPr>
        <w:t>description that the area has large build-ups</w:t>
      </w:r>
      <w:r w:rsidR="002C3EFE" w:rsidRPr="00DF1151">
        <w:rPr>
          <w:rFonts w:ascii="Times New Roman" w:hAnsi="Times New Roman" w:cs="Times New Roman"/>
          <w:color w:val="000000" w:themeColor="text1"/>
          <w:sz w:val="24"/>
          <w:szCs w:val="24"/>
        </w:rPr>
        <w:t xml:space="preserve"> of fuel due to the lack of recent wildfire is highly inaccurate.</w:t>
      </w:r>
      <w:r w:rsidR="00FF3FA0" w:rsidRPr="00DF1151">
        <w:rPr>
          <w:rFonts w:ascii="Times New Roman" w:hAnsi="Times New Roman" w:cs="Times New Roman"/>
          <w:color w:val="000000" w:themeColor="text1"/>
          <w:sz w:val="24"/>
          <w:szCs w:val="24"/>
        </w:rPr>
        <w:t xml:space="preserve">  </w:t>
      </w:r>
      <w:r w:rsidR="002C3EFE" w:rsidRPr="00DF1151">
        <w:rPr>
          <w:rFonts w:ascii="Times New Roman" w:hAnsi="Times New Roman" w:cs="Times New Roman"/>
          <w:color w:val="000000" w:themeColor="text1"/>
          <w:sz w:val="24"/>
          <w:szCs w:val="24"/>
        </w:rPr>
        <w:t xml:space="preserve">The cedar habitat types which are found in the project area often go long intervals (150-300 years) without stand replacement </w:t>
      </w:r>
      <w:r w:rsidR="00217406" w:rsidRPr="00DF1151">
        <w:rPr>
          <w:rFonts w:ascii="Times New Roman" w:hAnsi="Times New Roman" w:cs="Times New Roman"/>
          <w:color w:val="000000" w:themeColor="text1"/>
          <w:sz w:val="24"/>
          <w:szCs w:val="24"/>
        </w:rPr>
        <w:t>w</w:t>
      </w:r>
      <w:r w:rsidR="002C3EFE" w:rsidRPr="00DF1151">
        <w:rPr>
          <w:rFonts w:ascii="Times New Roman" w:hAnsi="Times New Roman" w:cs="Times New Roman"/>
          <w:color w:val="000000" w:themeColor="text1"/>
          <w:sz w:val="24"/>
          <w:szCs w:val="24"/>
        </w:rPr>
        <w:t>ildfire</w:t>
      </w:r>
      <w:r w:rsidR="00F303D7" w:rsidRPr="00DF1151">
        <w:rPr>
          <w:rFonts w:ascii="Times New Roman" w:hAnsi="Times New Roman" w:cs="Times New Roman"/>
          <w:color w:val="000000" w:themeColor="text1"/>
          <w:sz w:val="24"/>
          <w:szCs w:val="24"/>
        </w:rPr>
        <w:t>.</w:t>
      </w:r>
      <w:r w:rsidR="002C3EFE" w:rsidRPr="00DF1151">
        <w:rPr>
          <w:rFonts w:ascii="Times New Roman" w:hAnsi="Times New Roman" w:cs="Times New Roman"/>
          <w:color w:val="000000" w:themeColor="text1"/>
          <w:sz w:val="24"/>
          <w:szCs w:val="24"/>
        </w:rPr>
        <w:t xml:space="preserve"> </w:t>
      </w:r>
      <w:r w:rsidR="00F303D7" w:rsidRPr="00DF1151">
        <w:rPr>
          <w:rFonts w:ascii="Times New Roman" w:hAnsi="Times New Roman" w:cs="Times New Roman"/>
          <w:color w:val="000000" w:themeColor="text1"/>
          <w:sz w:val="24"/>
          <w:szCs w:val="24"/>
        </w:rPr>
        <w:t>M</w:t>
      </w:r>
      <w:r w:rsidR="002C3EFE" w:rsidRPr="00DF1151">
        <w:rPr>
          <w:rFonts w:ascii="Times New Roman" w:hAnsi="Times New Roman" w:cs="Times New Roman"/>
          <w:color w:val="000000" w:themeColor="text1"/>
          <w:sz w:val="24"/>
          <w:szCs w:val="24"/>
        </w:rPr>
        <w:t xml:space="preserve">ost of the areas </w:t>
      </w:r>
      <w:r w:rsidR="00B85675" w:rsidRPr="00DF1151">
        <w:rPr>
          <w:rFonts w:ascii="Times New Roman" w:hAnsi="Times New Roman" w:cs="Times New Roman"/>
          <w:color w:val="000000" w:themeColor="text1"/>
          <w:sz w:val="24"/>
          <w:szCs w:val="24"/>
        </w:rPr>
        <w:t xml:space="preserve">that the Nez Perce </w:t>
      </w:r>
      <w:r w:rsidR="00100DDA" w:rsidRPr="00DF1151">
        <w:rPr>
          <w:rFonts w:ascii="Times New Roman" w:hAnsi="Times New Roman" w:cs="Times New Roman"/>
          <w:color w:val="000000" w:themeColor="text1"/>
          <w:sz w:val="24"/>
          <w:szCs w:val="24"/>
        </w:rPr>
        <w:t xml:space="preserve">- </w:t>
      </w:r>
      <w:r w:rsidR="00B85675" w:rsidRPr="00DF1151">
        <w:rPr>
          <w:rFonts w:ascii="Times New Roman" w:hAnsi="Times New Roman" w:cs="Times New Roman"/>
          <w:color w:val="000000" w:themeColor="text1"/>
          <w:sz w:val="24"/>
          <w:szCs w:val="24"/>
        </w:rPr>
        <w:t xml:space="preserve">Clearwater Forest </w:t>
      </w:r>
      <w:r w:rsidR="002C3EFE" w:rsidRPr="00DF1151">
        <w:rPr>
          <w:rFonts w:ascii="Times New Roman" w:hAnsi="Times New Roman" w:cs="Times New Roman"/>
          <w:color w:val="000000" w:themeColor="text1"/>
          <w:sz w:val="24"/>
          <w:szCs w:val="24"/>
        </w:rPr>
        <w:t>plan</w:t>
      </w:r>
      <w:r w:rsidR="00B85675" w:rsidRPr="00DF1151">
        <w:rPr>
          <w:rFonts w:ascii="Times New Roman" w:hAnsi="Times New Roman" w:cs="Times New Roman"/>
          <w:color w:val="000000" w:themeColor="text1"/>
          <w:sz w:val="24"/>
          <w:szCs w:val="24"/>
        </w:rPr>
        <w:t>s</w:t>
      </w:r>
      <w:r w:rsidR="002C3EFE" w:rsidRPr="00DF1151">
        <w:rPr>
          <w:rFonts w:ascii="Times New Roman" w:hAnsi="Times New Roman" w:cs="Times New Roman"/>
          <w:color w:val="000000" w:themeColor="text1"/>
          <w:sz w:val="24"/>
          <w:szCs w:val="24"/>
        </w:rPr>
        <w:t xml:space="preserve"> to regenerate occur in older leave strips that are adjacent</w:t>
      </w:r>
      <w:r w:rsidR="00B85675" w:rsidRPr="00DF1151">
        <w:rPr>
          <w:rFonts w:ascii="Times New Roman" w:hAnsi="Times New Roman" w:cs="Times New Roman"/>
          <w:color w:val="000000" w:themeColor="text1"/>
          <w:sz w:val="24"/>
          <w:szCs w:val="24"/>
        </w:rPr>
        <w:t xml:space="preserve"> to the younger stands created by previous logging.</w:t>
      </w:r>
      <w:r w:rsidR="002C3EFE" w:rsidRPr="00DF1151">
        <w:rPr>
          <w:rFonts w:ascii="Times New Roman" w:hAnsi="Times New Roman" w:cs="Times New Roman"/>
          <w:color w:val="000000" w:themeColor="text1"/>
          <w:sz w:val="24"/>
          <w:szCs w:val="24"/>
        </w:rPr>
        <w:t xml:space="preserve"> </w:t>
      </w:r>
    </w:p>
    <w:p w14:paraId="03D32DA5" w14:textId="3A4449BB" w:rsidR="00B75CBE" w:rsidRPr="00DF1151" w:rsidRDefault="00B85675" w:rsidP="006F68B5">
      <w:pPr>
        <w:spacing w:after="200" w:line="276" w:lineRule="auto"/>
        <w:rPr>
          <w:rFonts w:ascii="Times New Roman" w:hAnsi="Times New Roman" w:cs="Times New Roman"/>
          <w:color w:val="000000" w:themeColor="text1"/>
          <w:sz w:val="24"/>
          <w:szCs w:val="24"/>
        </w:rPr>
      </w:pPr>
      <w:r w:rsidRPr="00DF1151">
        <w:rPr>
          <w:rFonts w:ascii="Times New Roman" w:hAnsi="Times New Roman" w:cs="Times New Roman"/>
          <w:color w:val="000000" w:themeColor="text1"/>
          <w:sz w:val="24"/>
          <w:szCs w:val="24"/>
        </w:rPr>
        <w:t xml:space="preserve">The Nez Perce Clearwater NF </w:t>
      </w:r>
      <w:r w:rsidR="00377584" w:rsidRPr="00DF1151">
        <w:rPr>
          <w:rFonts w:ascii="Times New Roman" w:hAnsi="Times New Roman" w:cs="Times New Roman"/>
          <w:color w:val="000000" w:themeColor="text1"/>
          <w:sz w:val="24"/>
          <w:szCs w:val="24"/>
        </w:rPr>
        <w:t>also overstate</w:t>
      </w:r>
      <w:r w:rsidR="00100DDA" w:rsidRPr="00DF1151">
        <w:rPr>
          <w:rFonts w:ascii="Times New Roman" w:hAnsi="Times New Roman" w:cs="Times New Roman"/>
          <w:color w:val="000000" w:themeColor="text1"/>
          <w:sz w:val="24"/>
          <w:szCs w:val="24"/>
        </w:rPr>
        <w:t>s</w:t>
      </w:r>
      <w:r w:rsidR="00377584" w:rsidRPr="00DF1151">
        <w:rPr>
          <w:rFonts w:ascii="Times New Roman" w:hAnsi="Times New Roman" w:cs="Times New Roman"/>
          <w:color w:val="000000" w:themeColor="text1"/>
          <w:sz w:val="24"/>
          <w:szCs w:val="24"/>
        </w:rPr>
        <w:t xml:space="preserve"> concerns regarding private inholdings which only amount to a few hundred acres of</w:t>
      </w:r>
      <w:r w:rsidR="00523149" w:rsidRPr="00DF1151">
        <w:rPr>
          <w:rFonts w:ascii="Times New Roman" w:hAnsi="Times New Roman" w:cs="Times New Roman"/>
          <w:color w:val="000000" w:themeColor="text1"/>
          <w:sz w:val="24"/>
          <w:szCs w:val="24"/>
        </w:rPr>
        <w:t xml:space="preserve"> old</w:t>
      </w:r>
      <w:r w:rsidR="00377584" w:rsidRPr="00DF1151">
        <w:rPr>
          <w:rFonts w:ascii="Times New Roman" w:hAnsi="Times New Roman" w:cs="Times New Roman"/>
          <w:color w:val="000000" w:themeColor="text1"/>
          <w:sz w:val="24"/>
          <w:szCs w:val="24"/>
        </w:rPr>
        <w:t xml:space="preserve"> </w:t>
      </w:r>
      <w:r w:rsidR="00523149" w:rsidRPr="00DF1151">
        <w:rPr>
          <w:rFonts w:ascii="Times New Roman" w:hAnsi="Times New Roman" w:cs="Times New Roman"/>
          <w:color w:val="000000" w:themeColor="text1"/>
          <w:sz w:val="24"/>
          <w:szCs w:val="24"/>
        </w:rPr>
        <w:t>historical mining claims</w:t>
      </w:r>
      <w:r w:rsidR="00100DDA" w:rsidRPr="00DF1151">
        <w:rPr>
          <w:rFonts w:ascii="Times New Roman" w:hAnsi="Times New Roman" w:cs="Times New Roman"/>
          <w:color w:val="000000" w:themeColor="text1"/>
          <w:sz w:val="24"/>
          <w:szCs w:val="24"/>
        </w:rPr>
        <w:t xml:space="preserve"> and associated mining cabins</w:t>
      </w:r>
      <w:r w:rsidR="00523149" w:rsidRPr="00DF1151">
        <w:rPr>
          <w:rFonts w:ascii="Times New Roman" w:hAnsi="Times New Roman" w:cs="Times New Roman"/>
          <w:color w:val="000000" w:themeColor="text1"/>
          <w:sz w:val="24"/>
          <w:szCs w:val="24"/>
        </w:rPr>
        <w:t xml:space="preserve">.  The cabins are largely used by </w:t>
      </w:r>
      <w:r w:rsidR="007A0A8E" w:rsidRPr="00DF1151">
        <w:rPr>
          <w:rFonts w:ascii="Times New Roman" w:hAnsi="Times New Roman" w:cs="Times New Roman"/>
          <w:color w:val="000000" w:themeColor="text1"/>
          <w:sz w:val="24"/>
          <w:szCs w:val="24"/>
        </w:rPr>
        <w:t xml:space="preserve">miners with mineral claims in the Moose Creek drainage during the summer and in the fall as hunting cabins.  There are no roads maintained during the winter and all winter access is by snowmobile over several miles of difficult terrain.  It is hardly an area where one would set up a permanent residence or a location that should be </w:t>
      </w:r>
      <w:r w:rsidR="001A32EA" w:rsidRPr="00DF1151">
        <w:rPr>
          <w:rFonts w:ascii="Times New Roman" w:hAnsi="Times New Roman" w:cs="Times New Roman"/>
          <w:color w:val="000000" w:themeColor="text1"/>
          <w:sz w:val="24"/>
          <w:szCs w:val="24"/>
        </w:rPr>
        <w:t>considered as a Wildland Urban Interface.  There are much more appropriate and higher risk areas for the expenditure fuel treatment dollars than this location.</w:t>
      </w:r>
    </w:p>
    <w:p w14:paraId="6E2799AB" w14:textId="5A934624" w:rsidR="00B2488B" w:rsidRPr="00DF1151" w:rsidRDefault="001A15FA" w:rsidP="00403918">
      <w:pPr>
        <w:spacing w:after="0"/>
        <w:rPr>
          <w:rFonts w:ascii="Times New Roman" w:hAnsi="Times New Roman" w:cs="Times New Roman"/>
          <w:sz w:val="24"/>
          <w:szCs w:val="24"/>
        </w:rPr>
      </w:pPr>
      <w:r w:rsidRPr="00DF1151">
        <w:rPr>
          <w:rFonts w:ascii="Times New Roman" w:hAnsi="Times New Roman" w:cs="Times New Roman"/>
          <w:sz w:val="24"/>
          <w:szCs w:val="24"/>
        </w:rPr>
        <w:t>The Environmental Assessment</w:t>
      </w:r>
      <w:r w:rsidR="00A4482B" w:rsidRPr="00DF1151">
        <w:rPr>
          <w:rFonts w:ascii="Times New Roman" w:hAnsi="Times New Roman" w:cs="Times New Roman"/>
          <w:sz w:val="24"/>
          <w:szCs w:val="24"/>
        </w:rPr>
        <w:t xml:space="preserve"> </w:t>
      </w:r>
      <w:r w:rsidRPr="00DF1151">
        <w:rPr>
          <w:rFonts w:ascii="Times New Roman" w:hAnsi="Times New Roman" w:cs="Times New Roman"/>
          <w:sz w:val="24"/>
          <w:szCs w:val="24"/>
        </w:rPr>
        <w:t>has</w:t>
      </w:r>
      <w:r w:rsidR="00B75CBE" w:rsidRPr="00DF1151">
        <w:rPr>
          <w:rFonts w:ascii="Times New Roman" w:hAnsi="Times New Roman" w:cs="Times New Roman"/>
          <w:sz w:val="24"/>
          <w:szCs w:val="24"/>
        </w:rPr>
        <w:t xml:space="preserve"> </w:t>
      </w:r>
      <w:r w:rsidR="006F68B5" w:rsidRPr="00DF1151">
        <w:rPr>
          <w:rFonts w:ascii="Times New Roman" w:hAnsi="Times New Roman" w:cs="Times New Roman"/>
          <w:sz w:val="24"/>
          <w:szCs w:val="24"/>
        </w:rPr>
        <w:t xml:space="preserve">also </w:t>
      </w:r>
      <w:r w:rsidR="00B75CBE" w:rsidRPr="00DF1151">
        <w:rPr>
          <w:rFonts w:ascii="Times New Roman" w:hAnsi="Times New Roman" w:cs="Times New Roman"/>
          <w:sz w:val="24"/>
          <w:szCs w:val="24"/>
        </w:rPr>
        <w:t xml:space="preserve">significantly misrepresented the Forest Plan Direction outlined </w:t>
      </w:r>
      <w:r w:rsidR="00A4482B" w:rsidRPr="00DF1151">
        <w:rPr>
          <w:rFonts w:ascii="Times New Roman" w:hAnsi="Times New Roman" w:cs="Times New Roman"/>
          <w:sz w:val="24"/>
          <w:szCs w:val="24"/>
        </w:rPr>
        <w:t xml:space="preserve">in </w:t>
      </w:r>
      <w:r w:rsidR="00B75CBE" w:rsidRPr="00DF1151">
        <w:rPr>
          <w:rFonts w:ascii="Times New Roman" w:hAnsi="Times New Roman" w:cs="Times New Roman"/>
          <w:sz w:val="24"/>
          <w:szCs w:val="24"/>
        </w:rPr>
        <w:t xml:space="preserve">the current </w:t>
      </w:r>
      <w:r w:rsidRPr="00DF1151">
        <w:rPr>
          <w:rFonts w:ascii="Times New Roman" w:hAnsi="Times New Roman" w:cs="Times New Roman"/>
          <w:sz w:val="24"/>
          <w:szCs w:val="24"/>
        </w:rPr>
        <w:t xml:space="preserve">Clearwater </w:t>
      </w:r>
      <w:r w:rsidR="00B75CBE" w:rsidRPr="00DF1151">
        <w:rPr>
          <w:rFonts w:ascii="Times New Roman" w:hAnsi="Times New Roman" w:cs="Times New Roman"/>
          <w:sz w:val="24"/>
          <w:szCs w:val="24"/>
        </w:rPr>
        <w:t>Forest Plan</w:t>
      </w:r>
      <w:r w:rsidR="00A4482B" w:rsidRPr="00DF1151">
        <w:rPr>
          <w:rFonts w:ascii="Times New Roman" w:hAnsi="Times New Roman" w:cs="Times New Roman"/>
          <w:sz w:val="24"/>
          <w:szCs w:val="24"/>
        </w:rPr>
        <w:t xml:space="preserve"> and </w:t>
      </w:r>
      <w:r w:rsidR="006F68B5" w:rsidRPr="00DF1151">
        <w:rPr>
          <w:rFonts w:ascii="Times New Roman" w:hAnsi="Times New Roman" w:cs="Times New Roman"/>
          <w:sz w:val="24"/>
          <w:szCs w:val="24"/>
        </w:rPr>
        <w:t>I believe this is also influencing the large amount of proposed timber harvest</w:t>
      </w:r>
      <w:r w:rsidR="00B75CBE" w:rsidRPr="00DF1151">
        <w:rPr>
          <w:rFonts w:ascii="Times New Roman" w:hAnsi="Times New Roman" w:cs="Times New Roman"/>
          <w:sz w:val="24"/>
          <w:szCs w:val="24"/>
        </w:rPr>
        <w:t>.</w:t>
      </w:r>
      <w:r w:rsidR="00584B9A" w:rsidRPr="00DF1151">
        <w:rPr>
          <w:rFonts w:ascii="Times New Roman" w:hAnsi="Times New Roman" w:cs="Times New Roman"/>
          <w:sz w:val="24"/>
          <w:szCs w:val="24"/>
        </w:rPr>
        <w:t xml:space="preserve">  The 440</w:t>
      </w:r>
      <w:r w:rsidR="00FF3FA0" w:rsidRPr="00DF1151">
        <w:rPr>
          <w:rFonts w:ascii="Times New Roman" w:hAnsi="Times New Roman" w:cs="Times New Roman"/>
          <w:sz w:val="24"/>
          <w:szCs w:val="24"/>
        </w:rPr>
        <w:t>-</w:t>
      </w:r>
      <w:r w:rsidR="00584B9A" w:rsidRPr="00DF1151">
        <w:rPr>
          <w:rFonts w:ascii="Times New Roman" w:hAnsi="Times New Roman" w:cs="Times New Roman"/>
          <w:sz w:val="24"/>
          <w:szCs w:val="24"/>
        </w:rPr>
        <w:t>million board feet figure and other numbers cite</w:t>
      </w:r>
      <w:r w:rsidR="006F68B5" w:rsidRPr="00DF1151">
        <w:rPr>
          <w:rFonts w:ascii="Times New Roman" w:hAnsi="Times New Roman" w:cs="Times New Roman"/>
          <w:sz w:val="24"/>
          <w:szCs w:val="24"/>
        </w:rPr>
        <w:t xml:space="preserve">d in the </w:t>
      </w:r>
      <w:r w:rsidR="003F6792">
        <w:rPr>
          <w:rFonts w:ascii="Times New Roman" w:hAnsi="Times New Roman" w:cs="Times New Roman"/>
          <w:sz w:val="24"/>
          <w:szCs w:val="24"/>
        </w:rPr>
        <w:t xml:space="preserve">Revised </w:t>
      </w:r>
      <w:r w:rsidR="006F68B5" w:rsidRPr="00DF1151">
        <w:rPr>
          <w:rFonts w:ascii="Times New Roman" w:hAnsi="Times New Roman" w:cs="Times New Roman"/>
          <w:sz w:val="24"/>
          <w:szCs w:val="24"/>
        </w:rPr>
        <w:t xml:space="preserve">EA (Page </w:t>
      </w:r>
      <w:r w:rsidR="003F6792">
        <w:rPr>
          <w:rFonts w:ascii="Times New Roman" w:hAnsi="Times New Roman" w:cs="Times New Roman"/>
          <w:sz w:val="24"/>
          <w:szCs w:val="24"/>
        </w:rPr>
        <w:t xml:space="preserve">4 </w:t>
      </w:r>
      <w:r w:rsidR="00584B9A" w:rsidRPr="00DF1151">
        <w:rPr>
          <w:rFonts w:ascii="Times New Roman" w:hAnsi="Times New Roman" w:cs="Times New Roman"/>
          <w:sz w:val="24"/>
          <w:szCs w:val="24"/>
        </w:rPr>
        <w:t xml:space="preserve">are projections of what could possibly happen if current Forest Plan direction were to be continued for fifty years.  A scenario “that is not likely to occur” according to information presented on Page II-18 of the Forest Plan.  </w:t>
      </w:r>
      <w:r w:rsidR="00365CEE" w:rsidRPr="00DF1151">
        <w:rPr>
          <w:rFonts w:ascii="Times New Roman" w:hAnsi="Times New Roman" w:cs="Times New Roman"/>
          <w:sz w:val="24"/>
          <w:szCs w:val="24"/>
        </w:rPr>
        <w:t xml:space="preserve">This number is based a long-term sustained yield that was calculated based on the highly questionable FORPLAN model that did not accurately consider other resource values across the entire Forest. </w:t>
      </w:r>
    </w:p>
    <w:p w14:paraId="12C2905A" w14:textId="77777777" w:rsidR="00B2488B" w:rsidRPr="00DF1151" w:rsidRDefault="00B2488B" w:rsidP="00403918">
      <w:pPr>
        <w:spacing w:after="0"/>
        <w:rPr>
          <w:rFonts w:ascii="Times New Roman" w:hAnsi="Times New Roman" w:cs="Times New Roman"/>
          <w:sz w:val="24"/>
          <w:szCs w:val="24"/>
        </w:rPr>
      </w:pPr>
    </w:p>
    <w:p w14:paraId="150F96A2" w14:textId="1A8269B5" w:rsidR="00B75CBE" w:rsidRDefault="00584B9A" w:rsidP="00403918">
      <w:pPr>
        <w:spacing w:after="0"/>
        <w:rPr>
          <w:rFonts w:ascii="Times New Roman" w:hAnsi="Times New Roman" w:cs="Times New Roman"/>
          <w:sz w:val="24"/>
          <w:szCs w:val="24"/>
        </w:rPr>
      </w:pPr>
      <w:r w:rsidRPr="00DF1151">
        <w:rPr>
          <w:rFonts w:ascii="Times New Roman" w:hAnsi="Times New Roman" w:cs="Times New Roman"/>
          <w:sz w:val="24"/>
          <w:szCs w:val="24"/>
        </w:rPr>
        <w:t>The actual</w:t>
      </w:r>
      <w:r w:rsidR="0089229D" w:rsidRPr="00DF1151">
        <w:rPr>
          <w:rFonts w:ascii="Times New Roman" w:hAnsi="Times New Roman" w:cs="Times New Roman"/>
          <w:sz w:val="24"/>
          <w:szCs w:val="24"/>
        </w:rPr>
        <w:t xml:space="preserve"> annual allowable sale quan</w:t>
      </w:r>
      <w:r w:rsidR="00B2488B" w:rsidRPr="00DF1151">
        <w:rPr>
          <w:rFonts w:ascii="Times New Roman" w:hAnsi="Times New Roman" w:cs="Times New Roman"/>
          <w:sz w:val="24"/>
          <w:szCs w:val="24"/>
        </w:rPr>
        <w:t>t</w:t>
      </w:r>
      <w:r w:rsidR="0089229D" w:rsidRPr="00DF1151">
        <w:rPr>
          <w:rFonts w:ascii="Times New Roman" w:hAnsi="Times New Roman" w:cs="Times New Roman"/>
          <w:sz w:val="24"/>
          <w:szCs w:val="24"/>
        </w:rPr>
        <w:t>ity</w:t>
      </w:r>
      <w:r w:rsidR="00CE4812" w:rsidRPr="00DF1151">
        <w:rPr>
          <w:rFonts w:ascii="Times New Roman" w:hAnsi="Times New Roman" w:cs="Times New Roman"/>
          <w:sz w:val="24"/>
          <w:szCs w:val="24"/>
        </w:rPr>
        <w:t xml:space="preserve"> listed in the </w:t>
      </w:r>
      <w:r w:rsidR="00D65038" w:rsidRPr="00DF1151">
        <w:rPr>
          <w:rFonts w:ascii="Times New Roman" w:hAnsi="Times New Roman" w:cs="Times New Roman"/>
          <w:sz w:val="24"/>
          <w:szCs w:val="24"/>
        </w:rPr>
        <w:t xml:space="preserve">Clearwater </w:t>
      </w:r>
      <w:r w:rsidR="00CE4812" w:rsidRPr="00DF1151">
        <w:rPr>
          <w:rFonts w:ascii="Times New Roman" w:hAnsi="Times New Roman" w:cs="Times New Roman"/>
          <w:sz w:val="24"/>
          <w:szCs w:val="24"/>
        </w:rPr>
        <w:t>Forest Plan</w:t>
      </w:r>
      <w:r w:rsidR="0089229D" w:rsidRPr="00DF1151">
        <w:rPr>
          <w:rFonts w:ascii="Times New Roman" w:hAnsi="Times New Roman" w:cs="Times New Roman"/>
          <w:sz w:val="24"/>
          <w:szCs w:val="24"/>
        </w:rPr>
        <w:t xml:space="preserve"> </w:t>
      </w:r>
      <w:r w:rsidR="001A15FA" w:rsidRPr="00DF1151">
        <w:rPr>
          <w:rFonts w:ascii="Times New Roman" w:hAnsi="Times New Roman" w:cs="Times New Roman"/>
          <w:sz w:val="24"/>
          <w:szCs w:val="24"/>
        </w:rPr>
        <w:t>is</w:t>
      </w:r>
      <w:r w:rsidR="0089229D" w:rsidRPr="00DF1151">
        <w:rPr>
          <w:rFonts w:ascii="Times New Roman" w:hAnsi="Times New Roman" w:cs="Times New Roman"/>
          <w:sz w:val="24"/>
          <w:szCs w:val="24"/>
        </w:rPr>
        <w:t xml:space="preserve"> 173 million board feet, with 100 million </w:t>
      </w:r>
      <w:r w:rsidR="00B2488B" w:rsidRPr="00DF1151">
        <w:rPr>
          <w:rFonts w:ascii="Times New Roman" w:hAnsi="Times New Roman" w:cs="Times New Roman"/>
          <w:sz w:val="24"/>
          <w:szCs w:val="24"/>
        </w:rPr>
        <w:t xml:space="preserve">projected to </w:t>
      </w:r>
      <w:r w:rsidR="0089229D" w:rsidRPr="00DF1151">
        <w:rPr>
          <w:rFonts w:ascii="Times New Roman" w:hAnsi="Times New Roman" w:cs="Times New Roman"/>
          <w:sz w:val="24"/>
          <w:szCs w:val="24"/>
        </w:rPr>
        <w:t>com</w:t>
      </w:r>
      <w:r w:rsidR="00B2488B" w:rsidRPr="00DF1151">
        <w:rPr>
          <w:rFonts w:ascii="Times New Roman" w:hAnsi="Times New Roman" w:cs="Times New Roman"/>
          <w:sz w:val="24"/>
          <w:szCs w:val="24"/>
        </w:rPr>
        <w:t xml:space="preserve">e </w:t>
      </w:r>
      <w:r w:rsidR="0089229D" w:rsidRPr="00DF1151">
        <w:rPr>
          <w:rFonts w:ascii="Times New Roman" w:hAnsi="Times New Roman" w:cs="Times New Roman"/>
          <w:sz w:val="24"/>
          <w:szCs w:val="24"/>
        </w:rPr>
        <w:t>from the existing roaded area</w:t>
      </w:r>
      <w:r w:rsidR="00B2488B" w:rsidRPr="00DF1151">
        <w:rPr>
          <w:rFonts w:ascii="Times New Roman" w:hAnsi="Times New Roman" w:cs="Times New Roman"/>
          <w:sz w:val="24"/>
          <w:szCs w:val="24"/>
        </w:rPr>
        <w:t>s</w:t>
      </w:r>
      <w:r w:rsidR="0089229D" w:rsidRPr="00DF1151">
        <w:rPr>
          <w:rFonts w:ascii="Times New Roman" w:hAnsi="Times New Roman" w:cs="Times New Roman"/>
          <w:sz w:val="24"/>
          <w:szCs w:val="24"/>
        </w:rPr>
        <w:t xml:space="preserve"> and 73</w:t>
      </w:r>
      <w:r w:rsidR="00B2488B" w:rsidRPr="00DF1151">
        <w:rPr>
          <w:rFonts w:ascii="Times New Roman" w:hAnsi="Times New Roman" w:cs="Times New Roman"/>
          <w:sz w:val="24"/>
          <w:szCs w:val="24"/>
        </w:rPr>
        <w:t xml:space="preserve"> million to come from</w:t>
      </w:r>
      <w:r w:rsidR="00B75CBE" w:rsidRPr="00DF1151">
        <w:rPr>
          <w:rFonts w:ascii="Times New Roman" w:hAnsi="Times New Roman" w:cs="Times New Roman"/>
          <w:sz w:val="24"/>
          <w:szCs w:val="24"/>
        </w:rPr>
        <w:t xml:space="preserve"> </w:t>
      </w:r>
      <w:r w:rsidR="00B2488B" w:rsidRPr="00DF1151">
        <w:rPr>
          <w:rFonts w:ascii="Times New Roman" w:hAnsi="Times New Roman" w:cs="Times New Roman"/>
          <w:sz w:val="24"/>
          <w:szCs w:val="24"/>
        </w:rPr>
        <w:t xml:space="preserve">the roadless areas (Forest Plan Page II-6).  These numbers reflect all of the components that were incorporated into the Forest Plan such as wilderness, roadless protection, old growth and aquatic habitat protection.  </w:t>
      </w:r>
      <w:r w:rsidR="00365CEE" w:rsidRPr="00DF1151">
        <w:rPr>
          <w:rFonts w:ascii="Times New Roman" w:hAnsi="Times New Roman" w:cs="Times New Roman"/>
          <w:sz w:val="24"/>
          <w:szCs w:val="24"/>
        </w:rPr>
        <w:t xml:space="preserve">Many critics of the </w:t>
      </w:r>
      <w:r w:rsidR="00CE4812" w:rsidRPr="00DF1151">
        <w:rPr>
          <w:rFonts w:ascii="Times New Roman" w:hAnsi="Times New Roman" w:cs="Times New Roman"/>
          <w:sz w:val="24"/>
          <w:szCs w:val="24"/>
        </w:rPr>
        <w:t>1987</w:t>
      </w:r>
      <w:r w:rsidR="00365CEE" w:rsidRPr="00DF1151">
        <w:rPr>
          <w:rFonts w:ascii="Times New Roman" w:hAnsi="Times New Roman" w:cs="Times New Roman"/>
          <w:sz w:val="24"/>
          <w:szCs w:val="24"/>
        </w:rPr>
        <w:t xml:space="preserve"> Forest Plan felt even these numbers were too high, and filed a lawsuit</w:t>
      </w:r>
      <w:r w:rsidR="00CE4812" w:rsidRPr="00DF1151">
        <w:rPr>
          <w:rFonts w:ascii="Times New Roman" w:hAnsi="Times New Roman" w:cs="Times New Roman"/>
          <w:sz w:val="24"/>
          <w:szCs w:val="24"/>
        </w:rPr>
        <w:t xml:space="preserve"> that resulted in the 1993 S</w:t>
      </w:r>
      <w:r w:rsidR="00C05EBA">
        <w:rPr>
          <w:rFonts w:ascii="Times New Roman" w:hAnsi="Times New Roman" w:cs="Times New Roman"/>
          <w:sz w:val="24"/>
          <w:szCs w:val="24"/>
        </w:rPr>
        <w:t>ettlement</w:t>
      </w:r>
      <w:r w:rsidR="00CE4812" w:rsidRPr="00DF1151">
        <w:rPr>
          <w:rFonts w:ascii="Times New Roman" w:hAnsi="Times New Roman" w:cs="Times New Roman"/>
          <w:sz w:val="24"/>
          <w:szCs w:val="24"/>
        </w:rPr>
        <w:t xml:space="preserve"> Agreement between the Wilderness Society, Nez Perce Tribe and other environment groups. The current</w:t>
      </w:r>
      <w:r w:rsidR="00B2488B" w:rsidRPr="00DF1151">
        <w:rPr>
          <w:rFonts w:ascii="Times New Roman" w:hAnsi="Times New Roman" w:cs="Times New Roman"/>
          <w:sz w:val="24"/>
          <w:szCs w:val="24"/>
        </w:rPr>
        <w:t xml:space="preserve"> </w:t>
      </w:r>
      <w:r w:rsidR="00CE4812" w:rsidRPr="00DF1151">
        <w:rPr>
          <w:rFonts w:ascii="Times New Roman" w:hAnsi="Times New Roman" w:cs="Times New Roman"/>
          <w:sz w:val="24"/>
          <w:szCs w:val="24"/>
        </w:rPr>
        <w:t xml:space="preserve">annual </w:t>
      </w:r>
      <w:r w:rsidR="00B2488B" w:rsidRPr="00DF1151">
        <w:rPr>
          <w:rFonts w:ascii="Times New Roman" w:hAnsi="Times New Roman" w:cs="Times New Roman"/>
          <w:sz w:val="24"/>
          <w:szCs w:val="24"/>
        </w:rPr>
        <w:t xml:space="preserve">allowable sale quantity </w:t>
      </w:r>
      <w:r w:rsidR="00CE4812" w:rsidRPr="00DF1151">
        <w:rPr>
          <w:rFonts w:ascii="Times New Roman" w:hAnsi="Times New Roman" w:cs="Times New Roman"/>
          <w:sz w:val="24"/>
          <w:szCs w:val="24"/>
        </w:rPr>
        <w:t>is</w:t>
      </w:r>
      <w:r w:rsidR="00B2488B" w:rsidRPr="00DF1151">
        <w:rPr>
          <w:rFonts w:ascii="Times New Roman" w:hAnsi="Times New Roman" w:cs="Times New Roman"/>
          <w:sz w:val="24"/>
          <w:szCs w:val="24"/>
        </w:rPr>
        <w:t xml:space="preserve"> 80</w:t>
      </w:r>
      <w:r w:rsidR="001835CA" w:rsidRPr="00DF1151">
        <w:rPr>
          <w:rFonts w:ascii="Times New Roman" w:hAnsi="Times New Roman" w:cs="Times New Roman"/>
          <w:sz w:val="24"/>
          <w:szCs w:val="24"/>
        </w:rPr>
        <w:t>-</w:t>
      </w:r>
      <w:r w:rsidR="00B2488B" w:rsidRPr="00DF1151">
        <w:rPr>
          <w:rFonts w:ascii="Times New Roman" w:hAnsi="Times New Roman" w:cs="Times New Roman"/>
          <w:sz w:val="24"/>
          <w:szCs w:val="24"/>
        </w:rPr>
        <w:t>million board feet based</w:t>
      </w:r>
      <w:r w:rsidR="00CE4812" w:rsidRPr="00DF1151">
        <w:rPr>
          <w:rFonts w:ascii="Times New Roman" w:hAnsi="Times New Roman" w:cs="Times New Roman"/>
          <w:sz w:val="24"/>
          <w:szCs w:val="24"/>
        </w:rPr>
        <w:t xml:space="preserve"> on the results of that lawsuit.</w:t>
      </w:r>
    </w:p>
    <w:p w14:paraId="6CAFB7C4" w14:textId="77777777" w:rsidR="004133B2" w:rsidRDefault="004133B2" w:rsidP="00403918">
      <w:pPr>
        <w:spacing w:after="0"/>
        <w:rPr>
          <w:rFonts w:ascii="Times New Roman" w:hAnsi="Times New Roman" w:cs="Times New Roman"/>
          <w:sz w:val="24"/>
          <w:szCs w:val="24"/>
        </w:rPr>
      </w:pPr>
    </w:p>
    <w:p w14:paraId="3DF750C2" w14:textId="240DD033" w:rsidR="00117422" w:rsidRPr="00DF1151" w:rsidRDefault="00095CAF" w:rsidP="00117422">
      <w:pPr>
        <w:spacing w:after="0"/>
        <w:rPr>
          <w:rFonts w:ascii="Times New Roman" w:hAnsi="Times New Roman" w:cs="Times New Roman"/>
          <w:color w:val="000000"/>
          <w:sz w:val="24"/>
          <w:szCs w:val="24"/>
        </w:rPr>
      </w:pPr>
      <w:r>
        <w:rPr>
          <w:rFonts w:ascii="Times New Roman" w:hAnsi="Times New Roman" w:cs="Times New Roman"/>
          <w:sz w:val="24"/>
          <w:szCs w:val="24"/>
        </w:rPr>
        <w:t>Although species conversion and new road construction are implied in the Environmental Assessment, t</w:t>
      </w:r>
      <w:r w:rsidR="007519E4">
        <w:rPr>
          <w:rFonts w:ascii="Times New Roman" w:hAnsi="Times New Roman" w:cs="Times New Roman"/>
          <w:sz w:val="24"/>
          <w:szCs w:val="24"/>
        </w:rPr>
        <w:t xml:space="preserve">he Decision Notice </w:t>
      </w:r>
      <w:r>
        <w:rPr>
          <w:rFonts w:ascii="Times New Roman" w:hAnsi="Times New Roman" w:cs="Times New Roman"/>
          <w:sz w:val="24"/>
          <w:szCs w:val="24"/>
        </w:rPr>
        <w:t xml:space="preserve">formally </w:t>
      </w:r>
      <w:r w:rsidR="007519E4">
        <w:rPr>
          <w:rFonts w:ascii="Times New Roman" w:hAnsi="Times New Roman" w:cs="Times New Roman"/>
          <w:sz w:val="24"/>
          <w:szCs w:val="24"/>
        </w:rPr>
        <w:t xml:space="preserve">adds the idea of a need </w:t>
      </w:r>
      <w:r>
        <w:rPr>
          <w:rFonts w:ascii="Times New Roman" w:hAnsi="Times New Roman" w:cs="Times New Roman"/>
          <w:sz w:val="24"/>
          <w:szCs w:val="24"/>
        </w:rPr>
        <w:t>for</w:t>
      </w:r>
      <w:r w:rsidR="007519E4">
        <w:rPr>
          <w:rFonts w:ascii="Times New Roman" w:hAnsi="Times New Roman" w:cs="Times New Roman"/>
          <w:sz w:val="24"/>
          <w:szCs w:val="24"/>
        </w:rPr>
        <w:t xml:space="preserve"> tree species conversion to the purpose and need</w:t>
      </w:r>
      <w:r>
        <w:rPr>
          <w:rFonts w:ascii="Times New Roman" w:hAnsi="Times New Roman" w:cs="Times New Roman"/>
          <w:sz w:val="24"/>
          <w:szCs w:val="24"/>
        </w:rPr>
        <w:t xml:space="preserve"> as well as the construction of 12-miles of new specified road.  </w:t>
      </w:r>
      <w:r w:rsidR="00117422">
        <w:rPr>
          <w:rFonts w:ascii="Times New Roman" w:hAnsi="Times New Roman" w:cs="Times New Roman"/>
          <w:color w:val="000000"/>
          <w:sz w:val="24"/>
          <w:szCs w:val="24"/>
        </w:rPr>
        <w:t xml:space="preserve">Construction of a specific number of miles of new road is not an appropriate purpose and need.  Roads can </w:t>
      </w:r>
      <w:r w:rsidR="00117422">
        <w:rPr>
          <w:rFonts w:ascii="Times New Roman" w:hAnsi="Times New Roman" w:cs="Times New Roman"/>
          <w:color w:val="000000"/>
          <w:sz w:val="24"/>
          <w:szCs w:val="24"/>
        </w:rPr>
        <w:lastRenderedPageBreak/>
        <w:t>facilitate achieving the purpose and need, but th</w:t>
      </w:r>
      <w:r w:rsidR="001A3E81">
        <w:rPr>
          <w:rFonts w:ascii="Times New Roman" w:hAnsi="Times New Roman" w:cs="Times New Roman"/>
          <w:color w:val="000000"/>
          <w:sz w:val="24"/>
          <w:szCs w:val="24"/>
        </w:rPr>
        <w:t>eir mere existence serves no real purpose and need.</w:t>
      </w:r>
    </w:p>
    <w:p w14:paraId="619E78BA" w14:textId="53E1E83C" w:rsidR="00095CAF" w:rsidRDefault="00095CAF" w:rsidP="00095CAF">
      <w:pPr>
        <w:spacing w:after="0"/>
        <w:rPr>
          <w:rFonts w:ascii="Times New Roman" w:hAnsi="Times New Roman" w:cs="Times New Roman"/>
          <w:sz w:val="24"/>
          <w:szCs w:val="24"/>
        </w:rPr>
      </w:pPr>
    </w:p>
    <w:p w14:paraId="0AA62165" w14:textId="77777777" w:rsidR="00095CAF" w:rsidRDefault="003C5B4E" w:rsidP="00095CAF">
      <w:pPr>
        <w:spacing w:after="0"/>
        <w:rPr>
          <w:rFonts w:ascii="Times New Roman" w:hAnsi="Times New Roman" w:cs="Times New Roman"/>
          <w:sz w:val="24"/>
          <w:szCs w:val="24"/>
        </w:rPr>
      </w:pPr>
      <w:r w:rsidRPr="00DF1151">
        <w:rPr>
          <w:rFonts w:ascii="Times New Roman" w:hAnsi="Times New Roman" w:cs="Times New Roman"/>
          <w:sz w:val="24"/>
          <w:szCs w:val="24"/>
        </w:rPr>
        <w:t xml:space="preserve">The </w:t>
      </w:r>
      <w:r w:rsidR="0086532E" w:rsidRPr="00DF1151">
        <w:rPr>
          <w:rFonts w:ascii="Times New Roman" w:hAnsi="Times New Roman" w:cs="Times New Roman"/>
          <w:sz w:val="24"/>
          <w:szCs w:val="24"/>
        </w:rPr>
        <w:t>idea that fuels have been building up for decades</w:t>
      </w:r>
      <w:r w:rsidR="00684FAB" w:rsidRPr="00DF1151">
        <w:rPr>
          <w:rFonts w:ascii="Times New Roman" w:hAnsi="Times New Roman" w:cs="Times New Roman"/>
          <w:sz w:val="24"/>
          <w:szCs w:val="24"/>
        </w:rPr>
        <w:t xml:space="preserve"> since the 1910 fires and that the species composition is not appropriate for the existing habitat types is questionable</w:t>
      </w:r>
      <w:r w:rsidR="00414E51" w:rsidRPr="00DF1151">
        <w:rPr>
          <w:rFonts w:ascii="Times New Roman" w:hAnsi="Times New Roman" w:cs="Times New Roman"/>
          <w:sz w:val="24"/>
          <w:szCs w:val="24"/>
        </w:rPr>
        <w:t>.</w:t>
      </w:r>
      <w:r w:rsidR="00684FAB" w:rsidRPr="00DF1151">
        <w:rPr>
          <w:rFonts w:ascii="Times New Roman" w:hAnsi="Times New Roman" w:cs="Times New Roman"/>
          <w:sz w:val="24"/>
          <w:szCs w:val="24"/>
        </w:rPr>
        <w:t xml:space="preserve"> </w:t>
      </w:r>
      <w:r w:rsidR="00414E51" w:rsidRPr="00DF1151">
        <w:rPr>
          <w:rFonts w:ascii="Times New Roman" w:hAnsi="Times New Roman" w:cs="Times New Roman"/>
          <w:sz w:val="24"/>
          <w:szCs w:val="24"/>
        </w:rPr>
        <w:t>While some stands on the edge of the project area are the result of the 1910 and 1934 wildfires, m</w:t>
      </w:r>
      <w:r w:rsidR="00684FAB" w:rsidRPr="00DF1151">
        <w:rPr>
          <w:rFonts w:ascii="Times New Roman" w:hAnsi="Times New Roman" w:cs="Times New Roman"/>
          <w:sz w:val="24"/>
          <w:szCs w:val="24"/>
        </w:rPr>
        <w:t xml:space="preserve">ost of the stands in the roaded portion of the project area are the result of </w:t>
      </w:r>
      <w:r w:rsidR="00414E51" w:rsidRPr="00DF1151">
        <w:rPr>
          <w:rFonts w:ascii="Times New Roman" w:hAnsi="Times New Roman" w:cs="Times New Roman"/>
          <w:sz w:val="24"/>
          <w:szCs w:val="24"/>
        </w:rPr>
        <w:t xml:space="preserve">more recent </w:t>
      </w:r>
      <w:r w:rsidR="00684FAB" w:rsidRPr="00DF1151">
        <w:rPr>
          <w:rFonts w:ascii="Times New Roman" w:hAnsi="Times New Roman" w:cs="Times New Roman"/>
          <w:sz w:val="24"/>
          <w:szCs w:val="24"/>
        </w:rPr>
        <w:t xml:space="preserve">timber </w:t>
      </w:r>
      <w:r w:rsidR="00414E51" w:rsidRPr="00DF1151">
        <w:rPr>
          <w:rFonts w:ascii="Times New Roman" w:hAnsi="Times New Roman" w:cs="Times New Roman"/>
          <w:sz w:val="24"/>
          <w:szCs w:val="24"/>
        </w:rPr>
        <w:t xml:space="preserve">management.  </w:t>
      </w:r>
      <w:r w:rsidR="00403918" w:rsidRPr="00DF1151">
        <w:rPr>
          <w:rFonts w:ascii="Times New Roman" w:hAnsi="Times New Roman" w:cs="Times New Roman"/>
          <w:sz w:val="24"/>
          <w:szCs w:val="24"/>
        </w:rPr>
        <w:t xml:space="preserve">Stands that are dominated by grand fir, </w:t>
      </w:r>
      <w:r w:rsidR="00684FAB" w:rsidRPr="00DF1151">
        <w:rPr>
          <w:rFonts w:ascii="Times New Roman" w:hAnsi="Times New Roman" w:cs="Times New Roman"/>
          <w:sz w:val="24"/>
          <w:szCs w:val="24"/>
        </w:rPr>
        <w:t>Douglas fir</w:t>
      </w:r>
      <w:r w:rsidR="00403918" w:rsidRPr="00DF1151">
        <w:rPr>
          <w:rFonts w:ascii="Times New Roman" w:hAnsi="Times New Roman" w:cs="Times New Roman"/>
          <w:sz w:val="24"/>
          <w:szCs w:val="24"/>
        </w:rPr>
        <w:t xml:space="preserve"> and western red cedar occur largely because of the moist habitat types found in the project area and the impact of white pine blister rust.  Fire suppression over the last 50 years, has only had minor impacts on species composition and most stands are largely the result of competition between the trees that established themselves following the 1910 and 1934 fires</w:t>
      </w:r>
      <w:r w:rsidR="00414E51" w:rsidRPr="00DF1151">
        <w:rPr>
          <w:rFonts w:ascii="Times New Roman" w:hAnsi="Times New Roman" w:cs="Times New Roman"/>
          <w:sz w:val="24"/>
          <w:szCs w:val="24"/>
        </w:rPr>
        <w:t xml:space="preserve"> or </w:t>
      </w:r>
      <w:r w:rsidR="006F58F5" w:rsidRPr="00DF1151">
        <w:rPr>
          <w:rFonts w:ascii="Times New Roman" w:hAnsi="Times New Roman" w:cs="Times New Roman"/>
          <w:sz w:val="24"/>
          <w:szCs w:val="24"/>
        </w:rPr>
        <w:t xml:space="preserve">are </w:t>
      </w:r>
      <w:r w:rsidR="00414E51" w:rsidRPr="00DF1151">
        <w:rPr>
          <w:rFonts w:ascii="Times New Roman" w:hAnsi="Times New Roman" w:cs="Times New Roman"/>
          <w:sz w:val="24"/>
          <w:szCs w:val="24"/>
        </w:rPr>
        <w:t>a result of planting and other activities associated with timber harvest.</w:t>
      </w:r>
    </w:p>
    <w:p w14:paraId="3BCBCEE2" w14:textId="302B5D46" w:rsidR="00403918" w:rsidRPr="00DF1151" w:rsidRDefault="00403918" w:rsidP="00095CAF">
      <w:pPr>
        <w:spacing w:after="0"/>
        <w:rPr>
          <w:rFonts w:ascii="Times New Roman" w:hAnsi="Times New Roman" w:cs="Times New Roman"/>
          <w:sz w:val="24"/>
          <w:szCs w:val="24"/>
        </w:rPr>
      </w:pPr>
      <w:r w:rsidRPr="00DF1151">
        <w:rPr>
          <w:rFonts w:ascii="Times New Roman" w:hAnsi="Times New Roman" w:cs="Times New Roman"/>
          <w:sz w:val="24"/>
          <w:szCs w:val="24"/>
        </w:rPr>
        <w:t xml:space="preserve">  </w:t>
      </w:r>
    </w:p>
    <w:p w14:paraId="05B350A2" w14:textId="0E1651BF" w:rsidR="00403918" w:rsidRPr="00DF1151" w:rsidRDefault="00403918" w:rsidP="00403918">
      <w:pPr>
        <w:rPr>
          <w:rFonts w:ascii="Times New Roman" w:hAnsi="Times New Roman" w:cs="Times New Roman"/>
          <w:sz w:val="24"/>
          <w:szCs w:val="24"/>
        </w:rPr>
      </w:pPr>
      <w:r w:rsidRPr="00DF1151">
        <w:rPr>
          <w:rFonts w:ascii="Times New Roman" w:hAnsi="Times New Roman" w:cs="Times New Roman"/>
          <w:sz w:val="24"/>
          <w:szCs w:val="24"/>
        </w:rPr>
        <w:t xml:space="preserve">Most of the project area </w:t>
      </w:r>
      <w:r w:rsidR="00414E51" w:rsidRPr="00DF1151">
        <w:rPr>
          <w:rFonts w:ascii="Times New Roman" w:hAnsi="Times New Roman" w:cs="Times New Roman"/>
          <w:sz w:val="24"/>
          <w:szCs w:val="24"/>
        </w:rPr>
        <w:t>is</w:t>
      </w:r>
      <w:r w:rsidRPr="00DF1151">
        <w:rPr>
          <w:rFonts w:ascii="Times New Roman" w:hAnsi="Times New Roman" w:cs="Times New Roman"/>
          <w:sz w:val="24"/>
          <w:szCs w:val="24"/>
        </w:rPr>
        <w:t xml:space="preserve"> composed of moist western red cedar habitat types and grand fir habitat types on drier southerly aspects (Cooper et al. 1991).  Western red cedar habitat types are generally the most productive </w:t>
      </w:r>
      <w:r w:rsidR="007B596B">
        <w:rPr>
          <w:rFonts w:ascii="Times New Roman" w:hAnsi="Times New Roman" w:cs="Times New Roman"/>
          <w:sz w:val="24"/>
          <w:szCs w:val="24"/>
        </w:rPr>
        <w:t xml:space="preserve">in Northern Idaho </w:t>
      </w:r>
      <w:r w:rsidRPr="00DF1151">
        <w:rPr>
          <w:rFonts w:ascii="Times New Roman" w:hAnsi="Times New Roman" w:cs="Times New Roman"/>
          <w:sz w:val="24"/>
          <w:szCs w:val="24"/>
        </w:rPr>
        <w:t xml:space="preserve">and support a mosaic of tree species including western white pine.  Drier grand fir habitat types generally have higher proportion of Douglas fir and ponderosa pine.  </w:t>
      </w:r>
    </w:p>
    <w:p w14:paraId="4B290934" w14:textId="4AD2A234" w:rsidR="00403918" w:rsidRPr="00DF1151" w:rsidRDefault="00403918" w:rsidP="00403918">
      <w:pPr>
        <w:rPr>
          <w:rFonts w:ascii="Times New Roman" w:hAnsi="Times New Roman" w:cs="Times New Roman"/>
          <w:sz w:val="24"/>
          <w:szCs w:val="24"/>
        </w:rPr>
      </w:pPr>
      <w:r w:rsidRPr="00DF1151">
        <w:rPr>
          <w:rFonts w:ascii="Times New Roman" w:hAnsi="Times New Roman" w:cs="Times New Roman"/>
          <w:sz w:val="24"/>
          <w:szCs w:val="24"/>
        </w:rPr>
        <w:t>According to Cooper et al. (1991), the major seral species in the cedar/queencup beadlily habitat type are Douglas fir, grand fir and western larch.  They also indicate that white pine and ponderosa pine will do well in this habitat and that western red cedar is the climax species.  In the grand fir/queencup beadlily habitat type Cooper et al. (1991) indicate that grand fir “in addition to being the climax dominant, is a major and most consistent dominate of seral stages, even following clearcutting or severe wildfire.”   While I agree there would have likely been more white pine without blister rust, having stands with a high proportion of grand fir</w:t>
      </w:r>
      <w:r w:rsidR="004D6831" w:rsidRPr="00DF1151">
        <w:rPr>
          <w:rFonts w:ascii="Times New Roman" w:hAnsi="Times New Roman" w:cs="Times New Roman"/>
          <w:sz w:val="24"/>
          <w:szCs w:val="24"/>
        </w:rPr>
        <w:t xml:space="preserve">, Douglas-fir and </w:t>
      </w:r>
      <w:r w:rsidRPr="00DF1151">
        <w:rPr>
          <w:rFonts w:ascii="Times New Roman" w:hAnsi="Times New Roman" w:cs="Times New Roman"/>
          <w:sz w:val="24"/>
          <w:szCs w:val="24"/>
        </w:rPr>
        <w:t xml:space="preserve">western red cedar is the normal condition for project area habitat types.  </w:t>
      </w:r>
    </w:p>
    <w:p w14:paraId="0052EC22" w14:textId="30027D22" w:rsidR="00403918" w:rsidRPr="00DF1151" w:rsidRDefault="00403918" w:rsidP="00403918">
      <w:pPr>
        <w:spacing w:after="0"/>
        <w:rPr>
          <w:rFonts w:ascii="Times New Roman" w:hAnsi="Times New Roman" w:cs="Times New Roman"/>
          <w:sz w:val="24"/>
          <w:szCs w:val="24"/>
        </w:rPr>
      </w:pPr>
      <w:r w:rsidRPr="00DF1151">
        <w:rPr>
          <w:rFonts w:ascii="Times New Roman" w:hAnsi="Times New Roman" w:cs="Times New Roman"/>
          <w:sz w:val="24"/>
          <w:szCs w:val="24"/>
        </w:rPr>
        <w:t>Forests in cedar habitat types are generally competition-based systems that develop after large scale stand replacing fire.  Stand density is usually not the driving factor in the initiation of these large-scale fires that generally occur at intervals of 250-300 years and under drought conditions such as those that occurred in 1910 and 19</w:t>
      </w:r>
      <w:r w:rsidR="002B4A0B" w:rsidRPr="00DF1151">
        <w:rPr>
          <w:rFonts w:ascii="Times New Roman" w:hAnsi="Times New Roman" w:cs="Times New Roman"/>
          <w:sz w:val="24"/>
          <w:szCs w:val="24"/>
        </w:rPr>
        <w:t>19</w:t>
      </w:r>
      <w:r w:rsidRPr="00DF1151">
        <w:rPr>
          <w:rFonts w:ascii="Times New Roman" w:hAnsi="Times New Roman" w:cs="Times New Roman"/>
          <w:sz w:val="24"/>
          <w:szCs w:val="24"/>
        </w:rPr>
        <w:t xml:space="preserve">. Green et al. (1992) report that the oldest trees, in the habitat group most appropriate for the project area (Type 4B), averaged 210 years with a range from 160 to 264 years.  They report that “western red cedar may reach an age of 400-700 years”.   </w:t>
      </w:r>
    </w:p>
    <w:p w14:paraId="08397879" w14:textId="77777777" w:rsidR="00403918" w:rsidRPr="00DF1151" w:rsidRDefault="00403918" w:rsidP="00403918">
      <w:pPr>
        <w:spacing w:after="0"/>
        <w:rPr>
          <w:rFonts w:ascii="Times New Roman" w:hAnsi="Times New Roman" w:cs="Times New Roman"/>
          <w:sz w:val="24"/>
          <w:szCs w:val="24"/>
        </w:rPr>
      </w:pPr>
      <w:r w:rsidRPr="00DF1151">
        <w:rPr>
          <w:rFonts w:ascii="Times New Roman" w:hAnsi="Times New Roman" w:cs="Times New Roman"/>
          <w:sz w:val="24"/>
          <w:szCs w:val="24"/>
        </w:rPr>
        <w:t xml:space="preserve"> </w:t>
      </w:r>
    </w:p>
    <w:p w14:paraId="1FCF5C34" w14:textId="5191A1FB" w:rsidR="00403918" w:rsidRDefault="00D079C4" w:rsidP="00403918">
      <w:pPr>
        <w:spacing w:after="0"/>
        <w:rPr>
          <w:rFonts w:ascii="Times New Roman" w:hAnsi="Times New Roman" w:cs="Times New Roman"/>
          <w:color w:val="000000"/>
          <w:sz w:val="24"/>
          <w:szCs w:val="24"/>
        </w:rPr>
      </w:pPr>
      <w:r w:rsidRPr="00DF1151">
        <w:rPr>
          <w:rFonts w:ascii="Times New Roman" w:hAnsi="Times New Roman" w:cs="Times New Roman"/>
          <w:sz w:val="24"/>
          <w:szCs w:val="24"/>
        </w:rPr>
        <w:t>The</w:t>
      </w:r>
      <w:r w:rsidR="00403918" w:rsidRPr="00DF1151">
        <w:rPr>
          <w:rFonts w:ascii="Times New Roman" w:hAnsi="Times New Roman" w:cs="Times New Roman"/>
          <w:sz w:val="24"/>
          <w:szCs w:val="24"/>
        </w:rPr>
        <w:t xml:space="preserve"> contention that stands in the project area are much denser than what occurred historically is also very questionable. The fact that these systems always had high densities of trees is well documented by Haig (1932) in his description of the white pine type years ago and long before the effects of fire suppression was considered a major issue. He reported that “</w:t>
      </w:r>
      <w:r w:rsidR="00403918" w:rsidRPr="00DF1151">
        <w:rPr>
          <w:rFonts w:ascii="Times New Roman" w:hAnsi="Times New Roman" w:cs="Times New Roman"/>
          <w:color w:val="000000"/>
          <w:sz w:val="24"/>
          <w:szCs w:val="24"/>
        </w:rPr>
        <w:t xml:space="preserve">The extremely rapid decrease in number of trees with increasing age is strikingly apparent. On good sites (site index 60) the total number of trees per acre drops from 4,700 at 20 years to 720 at 80 years, and to 390 at 120 years. The number of trees also decreases rapidly with increase in site index.”  On </w:t>
      </w:r>
      <w:r w:rsidR="00403918" w:rsidRPr="00DF1151">
        <w:rPr>
          <w:rFonts w:ascii="Times New Roman" w:hAnsi="Times New Roman" w:cs="Times New Roman"/>
          <w:color w:val="000000"/>
          <w:sz w:val="24"/>
          <w:szCs w:val="24"/>
        </w:rPr>
        <w:lastRenderedPageBreak/>
        <w:t>excellent sites (Site index 70) Haig found an average of 2,800 trees per acre over a diameter of 0.6 inches in diameter at 20 years of age, on fair sites (site index 50) Haig’s tables show approximately 7,800 trees per acre over a diameter of 0.6 inches DBH at age 20 and on poor sites (Site Index 40) he found an 11,500 trees per acre at age 20.</w:t>
      </w:r>
    </w:p>
    <w:p w14:paraId="7110F91D" w14:textId="77777777" w:rsidR="00403918" w:rsidRPr="00DF1151" w:rsidRDefault="00403918" w:rsidP="00403918">
      <w:pPr>
        <w:spacing w:after="0"/>
        <w:rPr>
          <w:rFonts w:ascii="Times New Roman" w:hAnsi="Times New Roman" w:cs="Times New Roman"/>
          <w:sz w:val="24"/>
          <w:szCs w:val="24"/>
        </w:rPr>
      </w:pPr>
    </w:p>
    <w:p w14:paraId="0369A181" w14:textId="77777777" w:rsidR="00F4439C" w:rsidRDefault="00403918" w:rsidP="009A0848">
      <w:pPr>
        <w:spacing w:after="0"/>
        <w:rPr>
          <w:rFonts w:ascii="Times New Roman" w:hAnsi="Times New Roman" w:cs="Times New Roman"/>
          <w:b/>
          <w:bCs/>
          <w:sz w:val="24"/>
          <w:szCs w:val="24"/>
        </w:rPr>
      </w:pPr>
      <w:r w:rsidRPr="00DF1151">
        <w:rPr>
          <w:rFonts w:ascii="Times New Roman" w:hAnsi="Times New Roman" w:cs="Times New Roman"/>
          <w:color w:val="000000"/>
          <w:sz w:val="24"/>
          <w:szCs w:val="24"/>
        </w:rPr>
        <w:t>In summary, I don’t agree that there is a pressing need for this project based on the existing vegetation condition.  The risk of a catastrophic wildfire</w:t>
      </w:r>
      <w:r w:rsidR="009D0F83" w:rsidRPr="00DF1151">
        <w:rPr>
          <w:rFonts w:ascii="Times New Roman" w:hAnsi="Times New Roman" w:cs="Times New Roman"/>
          <w:color w:val="000000"/>
          <w:sz w:val="24"/>
          <w:szCs w:val="24"/>
        </w:rPr>
        <w:t xml:space="preserve"> and the potential for negative impacts to private land</w:t>
      </w:r>
      <w:r w:rsidRPr="00DF1151">
        <w:rPr>
          <w:rFonts w:ascii="Times New Roman" w:hAnsi="Times New Roman" w:cs="Times New Roman"/>
          <w:color w:val="000000"/>
          <w:sz w:val="24"/>
          <w:szCs w:val="24"/>
        </w:rPr>
        <w:t xml:space="preserve"> h</w:t>
      </w:r>
      <w:r w:rsidR="000052CC" w:rsidRPr="00DF1151">
        <w:rPr>
          <w:rFonts w:ascii="Times New Roman" w:hAnsi="Times New Roman" w:cs="Times New Roman"/>
          <w:color w:val="000000"/>
          <w:sz w:val="24"/>
          <w:szCs w:val="24"/>
        </w:rPr>
        <w:t>ave</w:t>
      </w:r>
      <w:r w:rsidRPr="00DF1151">
        <w:rPr>
          <w:rFonts w:ascii="Times New Roman" w:hAnsi="Times New Roman" w:cs="Times New Roman"/>
          <w:color w:val="000000"/>
          <w:sz w:val="24"/>
          <w:szCs w:val="24"/>
        </w:rPr>
        <w:t xml:space="preserve"> been significantly overstated and will depend more on future weather patterns rather than age class diversity. </w:t>
      </w:r>
      <w:r w:rsidR="00E52616" w:rsidRPr="00DF1151">
        <w:rPr>
          <w:rFonts w:ascii="Times New Roman" w:hAnsi="Times New Roman" w:cs="Times New Roman"/>
          <w:color w:val="000000"/>
          <w:sz w:val="24"/>
          <w:szCs w:val="24"/>
        </w:rPr>
        <w:t xml:space="preserve"> A large percentage of the project area has already been harvested </w:t>
      </w:r>
      <w:r w:rsidR="00764BA9" w:rsidRPr="00DF1151">
        <w:rPr>
          <w:rFonts w:ascii="Times New Roman" w:hAnsi="Times New Roman" w:cs="Times New Roman"/>
          <w:color w:val="000000"/>
          <w:sz w:val="24"/>
          <w:szCs w:val="24"/>
        </w:rPr>
        <w:t>within</w:t>
      </w:r>
      <w:r w:rsidR="00E52616" w:rsidRPr="00DF1151">
        <w:rPr>
          <w:rFonts w:ascii="Times New Roman" w:hAnsi="Times New Roman" w:cs="Times New Roman"/>
          <w:color w:val="000000"/>
          <w:sz w:val="24"/>
          <w:szCs w:val="24"/>
        </w:rPr>
        <w:t xml:space="preserve"> past projects and the need for more harvest </w:t>
      </w:r>
      <w:r w:rsidR="00095CAF">
        <w:rPr>
          <w:rFonts w:ascii="Times New Roman" w:hAnsi="Times New Roman" w:cs="Times New Roman"/>
          <w:color w:val="000000"/>
          <w:sz w:val="24"/>
          <w:szCs w:val="24"/>
        </w:rPr>
        <w:t xml:space="preserve">and new road construction </w:t>
      </w:r>
      <w:r w:rsidR="00E52616" w:rsidRPr="00DF1151">
        <w:rPr>
          <w:rFonts w:ascii="Times New Roman" w:hAnsi="Times New Roman" w:cs="Times New Roman"/>
          <w:color w:val="000000"/>
          <w:sz w:val="24"/>
          <w:szCs w:val="24"/>
        </w:rPr>
        <w:t>is not readily apparent.</w:t>
      </w:r>
      <w:r w:rsidR="009A0848" w:rsidRPr="009A0848">
        <w:rPr>
          <w:rFonts w:ascii="Times New Roman" w:hAnsi="Times New Roman" w:cs="Times New Roman"/>
          <w:b/>
          <w:bCs/>
          <w:sz w:val="24"/>
          <w:szCs w:val="24"/>
        </w:rPr>
        <w:t xml:space="preserve"> </w:t>
      </w:r>
    </w:p>
    <w:p w14:paraId="005193CD" w14:textId="77777777" w:rsidR="00F4439C" w:rsidRDefault="00F4439C" w:rsidP="009A0848">
      <w:pPr>
        <w:spacing w:after="0"/>
        <w:rPr>
          <w:rFonts w:ascii="Times New Roman" w:hAnsi="Times New Roman" w:cs="Times New Roman"/>
          <w:b/>
          <w:bCs/>
          <w:sz w:val="24"/>
          <w:szCs w:val="24"/>
        </w:rPr>
      </w:pPr>
    </w:p>
    <w:p w14:paraId="72C865AE" w14:textId="0FF8A034" w:rsidR="009A0848" w:rsidRPr="00DF1151" w:rsidRDefault="009A0848" w:rsidP="009A0848">
      <w:pPr>
        <w:spacing w:after="0"/>
        <w:rPr>
          <w:rFonts w:ascii="Times New Roman" w:hAnsi="Times New Roman" w:cs="Times New Roman"/>
          <w:b/>
          <w:bCs/>
          <w:sz w:val="24"/>
          <w:szCs w:val="24"/>
        </w:rPr>
      </w:pPr>
      <w:r w:rsidRPr="00DF1151">
        <w:rPr>
          <w:rFonts w:ascii="Times New Roman" w:hAnsi="Times New Roman" w:cs="Times New Roman"/>
          <w:b/>
          <w:bCs/>
          <w:sz w:val="24"/>
          <w:szCs w:val="24"/>
        </w:rPr>
        <w:t xml:space="preserve">Objection </w:t>
      </w:r>
      <w:r w:rsidR="00F4439C">
        <w:rPr>
          <w:rFonts w:ascii="Times New Roman" w:hAnsi="Times New Roman" w:cs="Times New Roman"/>
          <w:b/>
          <w:bCs/>
          <w:sz w:val="24"/>
          <w:szCs w:val="24"/>
        </w:rPr>
        <w:t>2</w:t>
      </w:r>
      <w:r w:rsidRPr="00DF1151">
        <w:rPr>
          <w:rFonts w:ascii="Times New Roman" w:hAnsi="Times New Roman" w:cs="Times New Roman"/>
          <w:b/>
          <w:bCs/>
          <w:sz w:val="24"/>
          <w:szCs w:val="24"/>
        </w:rPr>
        <w:t xml:space="preserve"> - Regeneration Harvest and the Size of Proposed Harvest Units</w:t>
      </w:r>
    </w:p>
    <w:p w14:paraId="0CF1CBD6" w14:textId="77777777" w:rsidR="009A0848" w:rsidRPr="00DF1151" w:rsidRDefault="009A0848" w:rsidP="009A0848">
      <w:pPr>
        <w:spacing w:after="0"/>
        <w:rPr>
          <w:rFonts w:ascii="Times New Roman" w:hAnsi="Times New Roman" w:cs="Times New Roman"/>
          <w:sz w:val="24"/>
          <w:szCs w:val="24"/>
        </w:rPr>
      </w:pPr>
    </w:p>
    <w:p w14:paraId="33257B87" w14:textId="4CAFBD81" w:rsidR="009A0848" w:rsidRPr="00DF1151" w:rsidRDefault="009A0848" w:rsidP="009A0848">
      <w:pPr>
        <w:spacing w:after="0"/>
        <w:rPr>
          <w:rFonts w:ascii="Times New Roman" w:hAnsi="Times New Roman" w:cs="Times New Roman"/>
          <w:sz w:val="24"/>
          <w:szCs w:val="24"/>
        </w:rPr>
      </w:pPr>
      <w:r w:rsidRPr="00DF1151">
        <w:rPr>
          <w:rFonts w:ascii="Times New Roman" w:hAnsi="Times New Roman" w:cs="Times New Roman"/>
          <w:sz w:val="24"/>
          <w:szCs w:val="24"/>
        </w:rPr>
        <w:t xml:space="preserve">The </w:t>
      </w:r>
      <w:r w:rsidR="00F4439C">
        <w:rPr>
          <w:rFonts w:ascii="Times New Roman" w:hAnsi="Times New Roman" w:cs="Times New Roman"/>
          <w:sz w:val="24"/>
          <w:szCs w:val="24"/>
        </w:rPr>
        <w:t xml:space="preserve">Final Environmental Assessment </w:t>
      </w:r>
      <w:r w:rsidRPr="00DF1151">
        <w:rPr>
          <w:rFonts w:ascii="Times New Roman" w:hAnsi="Times New Roman" w:cs="Times New Roman"/>
          <w:sz w:val="24"/>
          <w:szCs w:val="24"/>
        </w:rPr>
        <w:t>suggests that 3,838-acres will be harvested with regeneration harvest prescriptions</w:t>
      </w:r>
      <w:r w:rsidR="00F4439C">
        <w:rPr>
          <w:rFonts w:ascii="Times New Roman" w:hAnsi="Times New Roman" w:cs="Times New Roman"/>
          <w:sz w:val="24"/>
          <w:szCs w:val="24"/>
        </w:rPr>
        <w:t>, but the Draft Decision Notice suggests that the amount of regeneration harvest ha</w:t>
      </w:r>
      <w:r w:rsidR="00454652">
        <w:rPr>
          <w:rFonts w:ascii="Times New Roman" w:hAnsi="Times New Roman" w:cs="Times New Roman"/>
          <w:sz w:val="24"/>
          <w:szCs w:val="24"/>
        </w:rPr>
        <w:t>s</w:t>
      </w:r>
      <w:r w:rsidR="00F4439C">
        <w:rPr>
          <w:rFonts w:ascii="Times New Roman" w:hAnsi="Times New Roman" w:cs="Times New Roman"/>
          <w:sz w:val="24"/>
          <w:szCs w:val="24"/>
        </w:rPr>
        <w:t xml:space="preserve"> been reduced to 2,057 acres. </w:t>
      </w:r>
      <w:r w:rsidR="00454652">
        <w:rPr>
          <w:rFonts w:ascii="Times New Roman" w:hAnsi="Times New Roman" w:cs="Times New Roman"/>
          <w:sz w:val="24"/>
          <w:szCs w:val="24"/>
        </w:rPr>
        <w:t>Originally t</w:t>
      </w:r>
      <w:r w:rsidRPr="00DF1151">
        <w:rPr>
          <w:rFonts w:ascii="Times New Roman" w:hAnsi="Times New Roman" w:cs="Times New Roman"/>
          <w:sz w:val="24"/>
          <w:szCs w:val="24"/>
        </w:rPr>
        <w:t xml:space="preserve">here </w:t>
      </w:r>
      <w:r w:rsidR="00454652">
        <w:rPr>
          <w:rFonts w:ascii="Times New Roman" w:hAnsi="Times New Roman" w:cs="Times New Roman"/>
          <w:sz w:val="24"/>
          <w:szCs w:val="24"/>
        </w:rPr>
        <w:t>were</w:t>
      </w:r>
      <w:r w:rsidRPr="00DF1151">
        <w:rPr>
          <w:rFonts w:ascii="Times New Roman" w:hAnsi="Times New Roman" w:cs="Times New Roman"/>
          <w:sz w:val="24"/>
          <w:szCs w:val="24"/>
        </w:rPr>
        <w:t xml:space="preserve"> 27-openings greater than 40-acres</w:t>
      </w:r>
      <w:r w:rsidR="00454652">
        <w:rPr>
          <w:rFonts w:ascii="Times New Roman" w:hAnsi="Times New Roman" w:cs="Times New Roman"/>
          <w:sz w:val="24"/>
          <w:szCs w:val="24"/>
        </w:rPr>
        <w:t xml:space="preserve">, but now there are 14-openings greater than 40-acres in size. </w:t>
      </w:r>
      <w:r w:rsidRPr="00DF1151">
        <w:rPr>
          <w:rFonts w:ascii="Times New Roman" w:hAnsi="Times New Roman" w:cs="Times New Roman"/>
          <w:sz w:val="24"/>
          <w:szCs w:val="24"/>
        </w:rPr>
        <w:t xml:space="preserve"> </w:t>
      </w:r>
      <w:r w:rsidR="00454652">
        <w:rPr>
          <w:rFonts w:ascii="Times New Roman" w:hAnsi="Times New Roman" w:cs="Times New Roman"/>
          <w:sz w:val="24"/>
          <w:szCs w:val="24"/>
        </w:rPr>
        <w:t>While I appreciate this change, I am still concerned that of several units are still very large</w:t>
      </w:r>
      <w:r w:rsidR="00223942">
        <w:rPr>
          <w:rFonts w:ascii="Times New Roman" w:hAnsi="Times New Roman" w:cs="Times New Roman"/>
          <w:sz w:val="24"/>
          <w:szCs w:val="24"/>
        </w:rPr>
        <w:t xml:space="preserve">. </w:t>
      </w:r>
      <w:r w:rsidR="00454652">
        <w:rPr>
          <w:rFonts w:ascii="Times New Roman" w:hAnsi="Times New Roman" w:cs="Times New Roman"/>
          <w:sz w:val="24"/>
          <w:szCs w:val="24"/>
        </w:rPr>
        <w:t xml:space="preserve"> </w:t>
      </w:r>
      <w:r w:rsidR="00223942">
        <w:rPr>
          <w:rFonts w:ascii="Times New Roman" w:hAnsi="Times New Roman" w:cs="Times New Roman"/>
          <w:sz w:val="24"/>
          <w:szCs w:val="24"/>
        </w:rPr>
        <w:t>Fou</w:t>
      </w:r>
      <w:r w:rsidR="00454652">
        <w:rPr>
          <w:rFonts w:ascii="Times New Roman" w:hAnsi="Times New Roman" w:cs="Times New Roman"/>
          <w:sz w:val="24"/>
          <w:szCs w:val="24"/>
        </w:rPr>
        <w:t>r</w:t>
      </w:r>
      <w:r w:rsidR="00223942">
        <w:rPr>
          <w:rFonts w:ascii="Times New Roman" w:hAnsi="Times New Roman" w:cs="Times New Roman"/>
          <w:sz w:val="24"/>
          <w:szCs w:val="24"/>
        </w:rPr>
        <w:t xml:space="preserve"> </w:t>
      </w:r>
      <w:r w:rsidRPr="00DF1151">
        <w:rPr>
          <w:rFonts w:ascii="Times New Roman" w:hAnsi="Times New Roman" w:cs="Times New Roman"/>
          <w:sz w:val="24"/>
          <w:szCs w:val="24"/>
        </w:rPr>
        <w:t>of th</w:t>
      </w:r>
      <w:r w:rsidR="00223942">
        <w:rPr>
          <w:rFonts w:ascii="Times New Roman" w:hAnsi="Times New Roman" w:cs="Times New Roman"/>
          <w:sz w:val="24"/>
          <w:szCs w:val="24"/>
        </w:rPr>
        <w:t xml:space="preserve">e remaining </w:t>
      </w:r>
      <w:r w:rsidRPr="00DF1151">
        <w:rPr>
          <w:rFonts w:ascii="Times New Roman" w:hAnsi="Times New Roman" w:cs="Times New Roman"/>
          <w:sz w:val="24"/>
          <w:szCs w:val="24"/>
        </w:rPr>
        <w:t>units exceed 100-acres</w:t>
      </w:r>
      <w:r w:rsidR="00223942">
        <w:rPr>
          <w:rFonts w:ascii="Times New Roman" w:hAnsi="Times New Roman" w:cs="Times New Roman"/>
          <w:sz w:val="24"/>
          <w:szCs w:val="24"/>
        </w:rPr>
        <w:t>, and incredibly one of these (</w:t>
      </w:r>
      <w:r w:rsidRPr="00DF1151">
        <w:rPr>
          <w:rFonts w:ascii="Times New Roman" w:hAnsi="Times New Roman" w:cs="Times New Roman"/>
          <w:sz w:val="24"/>
          <w:szCs w:val="24"/>
        </w:rPr>
        <w:t>Unit 30</w:t>
      </w:r>
      <w:r w:rsidR="00223942">
        <w:rPr>
          <w:rFonts w:ascii="Times New Roman" w:hAnsi="Times New Roman" w:cs="Times New Roman"/>
          <w:sz w:val="24"/>
          <w:szCs w:val="24"/>
        </w:rPr>
        <w:t>)</w:t>
      </w:r>
      <w:r w:rsidRPr="00DF1151">
        <w:rPr>
          <w:rFonts w:ascii="Times New Roman" w:hAnsi="Times New Roman" w:cs="Times New Roman"/>
          <w:sz w:val="24"/>
          <w:szCs w:val="24"/>
        </w:rPr>
        <w:t xml:space="preserve"> </w:t>
      </w:r>
      <w:r w:rsidR="003C35D6">
        <w:rPr>
          <w:rFonts w:ascii="Times New Roman" w:hAnsi="Times New Roman" w:cs="Times New Roman"/>
          <w:sz w:val="24"/>
          <w:szCs w:val="24"/>
        </w:rPr>
        <w:t>is listed at 432</w:t>
      </w:r>
      <w:r w:rsidRPr="00DF1151">
        <w:rPr>
          <w:rFonts w:ascii="Times New Roman" w:hAnsi="Times New Roman" w:cs="Times New Roman"/>
          <w:sz w:val="24"/>
          <w:szCs w:val="24"/>
        </w:rPr>
        <w:t>-acres</w:t>
      </w:r>
      <w:r w:rsidR="00223942">
        <w:rPr>
          <w:rFonts w:ascii="Times New Roman" w:hAnsi="Times New Roman" w:cs="Times New Roman"/>
          <w:sz w:val="24"/>
          <w:szCs w:val="24"/>
        </w:rPr>
        <w:t>.</w:t>
      </w:r>
      <w:r w:rsidRPr="00DF1151">
        <w:rPr>
          <w:rFonts w:ascii="Times New Roman" w:hAnsi="Times New Roman" w:cs="Times New Roman"/>
          <w:sz w:val="24"/>
          <w:szCs w:val="24"/>
        </w:rPr>
        <w:t xml:space="preserve"> Similar practices have been documented</w:t>
      </w:r>
      <w:r w:rsidR="00223942">
        <w:rPr>
          <w:rFonts w:ascii="Times New Roman" w:hAnsi="Times New Roman" w:cs="Times New Roman"/>
          <w:sz w:val="24"/>
          <w:szCs w:val="24"/>
        </w:rPr>
        <w:t xml:space="preserve"> on other projects</w:t>
      </w:r>
      <w:r w:rsidRPr="00DF1151">
        <w:rPr>
          <w:rFonts w:ascii="Times New Roman" w:hAnsi="Times New Roman" w:cs="Times New Roman"/>
          <w:sz w:val="24"/>
          <w:szCs w:val="24"/>
        </w:rPr>
        <w:t xml:space="preserve"> by the Friends of the Clearwater across Region 1 (Friends of the Clearwater – 2021)</w:t>
      </w:r>
      <w:r w:rsidR="00223942">
        <w:rPr>
          <w:rFonts w:ascii="Times New Roman" w:hAnsi="Times New Roman" w:cs="Times New Roman"/>
          <w:sz w:val="24"/>
          <w:szCs w:val="24"/>
        </w:rPr>
        <w:t>.</w:t>
      </w:r>
      <w:r w:rsidR="00454652" w:rsidRPr="00454652">
        <w:rPr>
          <w:rFonts w:ascii="Times New Roman" w:hAnsi="Times New Roman" w:cs="Times New Roman"/>
          <w:sz w:val="24"/>
          <w:szCs w:val="24"/>
        </w:rPr>
        <w:t xml:space="preserve"> </w:t>
      </w:r>
    </w:p>
    <w:p w14:paraId="4000B905" w14:textId="77777777" w:rsidR="009A0848" w:rsidRPr="00DF1151" w:rsidRDefault="009A0848" w:rsidP="009A0848">
      <w:pPr>
        <w:spacing w:after="0"/>
        <w:rPr>
          <w:rFonts w:ascii="Times New Roman" w:hAnsi="Times New Roman" w:cs="Times New Roman"/>
          <w:sz w:val="24"/>
          <w:szCs w:val="24"/>
        </w:rPr>
      </w:pPr>
    </w:p>
    <w:p w14:paraId="76C6B986" w14:textId="04896B36" w:rsidR="009A0848" w:rsidRPr="00DF1151" w:rsidRDefault="009A0848" w:rsidP="009A0848">
      <w:pPr>
        <w:spacing w:after="0"/>
        <w:rPr>
          <w:rFonts w:ascii="Times New Roman" w:hAnsi="Times New Roman" w:cs="Times New Roman"/>
          <w:sz w:val="24"/>
          <w:szCs w:val="24"/>
        </w:rPr>
      </w:pPr>
      <w:r w:rsidRPr="00DF1151">
        <w:rPr>
          <w:rFonts w:ascii="Times New Roman" w:hAnsi="Times New Roman" w:cs="Times New Roman"/>
          <w:sz w:val="24"/>
          <w:szCs w:val="24"/>
        </w:rPr>
        <w:t>PACFISH buffers are all that separate</w:t>
      </w:r>
      <w:r w:rsidR="00223942">
        <w:rPr>
          <w:rFonts w:ascii="Times New Roman" w:hAnsi="Times New Roman" w:cs="Times New Roman"/>
          <w:sz w:val="24"/>
          <w:szCs w:val="24"/>
        </w:rPr>
        <w:t xml:space="preserve"> several </w:t>
      </w:r>
      <w:r w:rsidRPr="00DF1151">
        <w:rPr>
          <w:rFonts w:ascii="Times New Roman" w:hAnsi="Times New Roman" w:cs="Times New Roman"/>
          <w:sz w:val="24"/>
          <w:szCs w:val="24"/>
        </w:rPr>
        <w:t>of th</w:t>
      </w:r>
      <w:r w:rsidR="00223942">
        <w:rPr>
          <w:rFonts w:ascii="Times New Roman" w:hAnsi="Times New Roman" w:cs="Times New Roman"/>
          <w:sz w:val="24"/>
          <w:szCs w:val="24"/>
        </w:rPr>
        <w:t>e proposed</w:t>
      </w:r>
      <w:r w:rsidRPr="00DF1151">
        <w:rPr>
          <w:rFonts w:ascii="Times New Roman" w:hAnsi="Times New Roman" w:cs="Times New Roman"/>
          <w:sz w:val="24"/>
          <w:szCs w:val="24"/>
        </w:rPr>
        <w:t xml:space="preserve"> regeneration units.  Numerous wildlife species such as the fisher and pine marten and known to avoid large openings.  Most big game species generally avoid open areas that are greater than 500-feet from forest cover that is at least 800-feet wide (Servheen et al. 1997).  PACFISH buffers generally do not provide sufficient cover for most big game species</w:t>
      </w:r>
    </w:p>
    <w:p w14:paraId="40C8392C" w14:textId="77777777" w:rsidR="009A0848" w:rsidRPr="00DF1151" w:rsidRDefault="009A0848" w:rsidP="009A0848">
      <w:pPr>
        <w:spacing w:after="0"/>
        <w:rPr>
          <w:rFonts w:ascii="Times New Roman" w:hAnsi="Times New Roman" w:cs="Times New Roman"/>
          <w:sz w:val="24"/>
          <w:szCs w:val="24"/>
        </w:rPr>
      </w:pPr>
    </w:p>
    <w:p w14:paraId="5C46319D" w14:textId="77777777" w:rsidR="009A0848" w:rsidRPr="00DF1151" w:rsidRDefault="009A0848" w:rsidP="009A0848">
      <w:pPr>
        <w:spacing w:after="0"/>
        <w:rPr>
          <w:rFonts w:ascii="Times New Roman" w:hAnsi="Times New Roman" w:cs="Times New Roman"/>
          <w:sz w:val="24"/>
          <w:szCs w:val="24"/>
        </w:rPr>
      </w:pPr>
      <w:r w:rsidRPr="00DF1151">
        <w:rPr>
          <w:rFonts w:ascii="Times New Roman" w:hAnsi="Times New Roman" w:cs="Times New Roman"/>
          <w:sz w:val="24"/>
          <w:szCs w:val="24"/>
        </w:rPr>
        <w:t>Please have the Nez Perce – Clearwater NF modify their proposal to assure that all harvest areas are bordered by adequate amounts of forest cover.  Harvest unit sizes, particularly those over 100-acres, need to be reduced and the Region should not be “rubber-stamping” similar requests across the Region.</w:t>
      </w:r>
    </w:p>
    <w:p w14:paraId="0BEA2BB4" w14:textId="77777777" w:rsidR="009A0848" w:rsidRPr="00DF1151" w:rsidRDefault="009A0848" w:rsidP="009A0848">
      <w:pPr>
        <w:spacing w:after="0"/>
        <w:rPr>
          <w:rFonts w:ascii="Times New Roman" w:hAnsi="Times New Roman" w:cs="Times New Roman"/>
          <w:sz w:val="24"/>
          <w:szCs w:val="24"/>
        </w:rPr>
      </w:pPr>
    </w:p>
    <w:p w14:paraId="319B5FCC" w14:textId="5E70C5BD" w:rsidR="009A0848" w:rsidRPr="00DF1151" w:rsidRDefault="009A0848" w:rsidP="009A0848">
      <w:pPr>
        <w:spacing w:after="0"/>
        <w:rPr>
          <w:rFonts w:ascii="Times New Roman" w:hAnsi="Times New Roman" w:cs="Times New Roman"/>
          <w:b/>
          <w:bCs/>
          <w:sz w:val="24"/>
          <w:szCs w:val="24"/>
        </w:rPr>
      </w:pPr>
      <w:r w:rsidRPr="00DF1151">
        <w:rPr>
          <w:rFonts w:ascii="Times New Roman" w:hAnsi="Times New Roman" w:cs="Times New Roman"/>
          <w:b/>
          <w:bCs/>
          <w:sz w:val="24"/>
          <w:szCs w:val="24"/>
        </w:rPr>
        <w:t xml:space="preserve">Objection </w:t>
      </w:r>
      <w:r w:rsidR="00223942">
        <w:rPr>
          <w:rFonts w:ascii="Times New Roman" w:hAnsi="Times New Roman" w:cs="Times New Roman"/>
          <w:b/>
          <w:bCs/>
          <w:sz w:val="24"/>
          <w:szCs w:val="24"/>
        </w:rPr>
        <w:t>3</w:t>
      </w:r>
      <w:r w:rsidRPr="00DF1151">
        <w:rPr>
          <w:rFonts w:ascii="Times New Roman" w:hAnsi="Times New Roman" w:cs="Times New Roman"/>
          <w:b/>
          <w:bCs/>
          <w:sz w:val="24"/>
          <w:szCs w:val="24"/>
        </w:rPr>
        <w:t xml:space="preserve"> – Inordinate Amount of Prescribed Burning </w:t>
      </w:r>
    </w:p>
    <w:p w14:paraId="30B6F2EC" w14:textId="77777777" w:rsidR="009A0848" w:rsidRPr="00DF1151" w:rsidRDefault="009A0848" w:rsidP="009A0848">
      <w:pPr>
        <w:spacing w:after="0"/>
        <w:rPr>
          <w:rFonts w:ascii="Times New Roman" w:hAnsi="Times New Roman" w:cs="Times New Roman"/>
          <w:b/>
          <w:bCs/>
          <w:sz w:val="24"/>
          <w:szCs w:val="24"/>
        </w:rPr>
      </w:pPr>
    </w:p>
    <w:p w14:paraId="75920B18" w14:textId="6959B761" w:rsidR="009A0848" w:rsidRPr="00DF1151" w:rsidRDefault="009A0848" w:rsidP="009A0848">
      <w:pPr>
        <w:spacing w:after="0"/>
        <w:rPr>
          <w:rFonts w:ascii="Times New Roman" w:hAnsi="Times New Roman" w:cs="Times New Roman"/>
          <w:sz w:val="24"/>
          <w:szCs w:val="24"/>
        </w:rPr>
      </w:pPr>
      <w:r w:rsidRPr="00DF1151">
        <w:rPr>
          <w:rFonts w:ascii="Times New Roman" w:hAnsi="Times New Roman" w:cs="Times New Roman"/>
          <w:sz w:val="24"/>
          <w:szCs w:val="24"/>
        </w:rPr>
        <w:t xml:space="preserve">The Nez Perce Clearwater intends to treat 1,350-acres with prescribed burning with this project. Much of the proposed burning appears to be planned in the south-western portion of the project area within the Moose Mountain roadless area.   These units are immediately adjacent to other burn units that </w:t>
      </w:r>
      <w:r w:rsidR="00223942">
        <w:rPr>
          <w:rFonts w:ascii="Times New Roman" w:hAnsi="Times New Roman" w:cs="Times New Roman"/>
          <w:sz w:val="24"/>
          <w:szCs w:val="24"/>
        </w:rPr>
        <w:t xml:space="preserve">were recently conducted under </w:t>
      </w:r>
      <w:r w:rsidRPr="00DF1151">
        <w:rPr>
          <w:rFonts w:ascii="Times New Roman" w:hAnsi="Times New Roman" w:cs="Times New Roman"/>
          <w:sz w:val="24"/>
          <w:szCs w:val="24"/>
        </w:rPr>
        <w:t>are the East Saddle project.  There are also</w:t>
      </w:r>
      <w:r w:rsidR="002903D3">
        <w:rPr>
          <w:rFonts w:ascii="Times New Roman" w:hAnsi="Times New Roman" w:cs="Times New Roman"/>
          <w:sz w:val="24"/>
          <w:szCs w:val="24"/>
        </w:rPr>
        <w:t xml:space="preserve"> adjacent</w:t>
      </w:r>
      <w:r w:rsidRPr="00DF1151">
        <w:rPr>
          <w:rFonts w:ascii="Times New Roman" w:hAnsi="Times New Roman" w:cs="Times New Roman"/>
          <w:sz w:val="24"/>
          <w:szCs w:val="24"/>
        </w:rPr>
        <w:t xml:space="preserve"> </w:t>
      </w:r>
      <w:r w:rsidR="007B4A62">
        <w:rPr>
          <w:rFonts w:ascii="Times New Roman" w:hAnsi="Times New Roman" w:cs="Times New Roman"/>
          <w:sz w:val="24"/>
          <w:szCs w:val="24"/>
        </w:rPr>
        <w:t xml:space="preserve">burn </w:t>
      </w:r>
      <w:r w:rsidRPr="00DF1151">
        <w:rPr>
          <w:rFonts w:ascii="Times New Roman" w:hAnsi="Times New Roman" w:cs="Times New Roman"/>
          <w:sz w:val="24"/>
          <w:szCs w:val="24"/>
        </w:rPr>
        <w:t xml:space="preserve">treatment units in the North Fork Ponderosa Pine Restoration Project </w:t>
      </w:r>
      <w:r w:rsidR="007B4A62" w:rsidRPr="00DF1151">
        <w:rPr>
          <w:rFonts w:ascii="Times New Roman" w:hAnsi="Times New Roman" w:cs="Times New Roman"/>
          <w:sz w:val="24"/>
          <w:szCs w:val="24"/>
        </w:rPr>
        <w:t>on the western edge of the project area</w:t>
      </w:r>
      <w:r w:rsidR="007B4A62">
        <w:rPr>
          <w:rFonts w:ascii="Times New Roman" w:hAnsi="Times New Roman" w:cs="Times New Roman"/>
          <w:sz w:val="24"/>
          <w:szCs w:val="24"/>
        </w:rPr>
        <w:t xml:space="preserve"> and the Long Creek Fuels project just to the north of the project</w:t>
      </w:r>
      <w:r w:rsidRPr="00DF1151">
        <w:rPr>
          <w:rFonts w:ascii="Times New Roman" w:hAnsi="Times New Roman" w:cs="Times New Roman"/>
          <w:sz w:val="24"/>
          <w:szCs w:val="24"/>
        </w:rPr>
        <w:t xml:space="preserve">.   </w:t>
      </w:r>
    </w:p>
    <w:p w14:paraId="7EC07CDE" w14:textId="77777777" w:rsidR="009A0848" w:rsidRPr="00DF1151" w:rsidRDefault="009A0848" w:rsidP="009A0848">
      <w:pPr>
        <w:spacing w:after="0"/>
        <w:rPr>
          <w:rFonts w:ascii="Times New Roman" w:hAnsi="Times New Roman" w:cs="Times New Roman"/>
          <w:sz w:val="24"/>
          <w:szCs w:val="24"/>
        </w:rPr>
      </w:pPr>
    </w:p>
    <w:p w14:paraId="3983593E" w14:textId="5A6F2C49" w:rsidR="009A0848" w:rsidRPr="00DF1151" w:rsidRDefault="009A0848" w:rsidP="009A0848">
      <w:pPr>
        <w:spacing w:after="0"/>
        <w:rPr>
          <w:rFonts w:ascii="Times New Roman" w:hAnsi="Times New Roman" w:cs="Times New Roman"/>
          <w:sz w:val="24"/>
          <w:szCs w:val="24"/>
        </w:rPr>
      </w:pPr>
      <w:r w:rsidRPr="00DF1151">
        <w:rPr>
          <w:rFonts w:ascii="Times New Roman" w:hAnsi="Times New Roman" w:cs="Times New Roman"/>
          <w:sz w:val="24"/>
          <w:szCs w:val="24"/>
        </w:rPr>
        <w:lastRenderedPageBreak/>
        <w:t xml:space="preserve">Is more roadless burning really necessary on the district, given all of the treatments currently </w:t>
      </w:r>
      <w:r w:rsidR="00223942">
        <w:rPr>
          <w:rFonts w:ascii="Times New Roman" w:hAnsi="Times New Roman" w:cs="Times New Roman"/>
          <w:sz w:val="24"/>
          <w:szCs w:val="24"/>
        </w:rPr>
        <w:t>accomplished or planned</w:t>
      </w:r>
      <w:r w:rsidRPr="00DF1151">
        <w:rPr>
          <w:rFonts w:ascii="Times New Roman" w:hAnsi="Times New Roman" w:cs="Times New Roman"/>
          <w:sz w:val="24"/>
          <w:szCs w:val="24"/>
        </w:rPr>
        <w:t xml:space="preserve"> on East Saddle </w:t>
      </w:r>
      <w:r w:rsidR="00CC4917">
        <w:rPr>
          <w:rFonts w:ascii="Times New Roman" w:hAnsi="Times New Roman" w:cs="Times New Roman"/>
          <w:sz w:val="24"/>
          <w:szCs w:val="24"/>
        </w:rPr>
        <w:t>(</w:t>
      </w:r>
      <w:r w:rsidRPr="00DF1151">
        <w:rPr>
          <w:rFonts w:ascii="Times New Roman" w:hAnsi="Times New Roman" w:cs="Times New Roman"/>
          <w:sz w:val="24"/>
          <w:szCs w:val="24"/>
        </w:rPr>
        <w:t xml:space="preserve">4,000-acres), North Fork Ponderosa Pine Restoration (2,185-acres), </w:t>
      </w:r>
      <w:r w:rsidR="002903D3">
        <w:rPr>
          <w:rFonts w:ascii="Times New Roman" w:hAnsi="Times New Roman" w:cs="Times New Roman"/>
          <w:sz w:val="24"/>
          <w:szCs w:val="24"/>
        </w:rPr>
        <w:t xml:space="preserve">Long Creek Fuels (14,564-acres), </w:t>
      </w:r>
      <w:r w:rsidRPr="00DF1151">
        <w:rPr>
          <w:rFonts w:ascii="Times New Roman" w:hAnsi="Times New Roman" w:cs="Times New Roman"/>
          <w:sz w:val="24"/>
          <w:szCs w:val="24"/>
        </w:rPr>
        <w:t>Smith Ridge (498-acres), North Fork Aspen Regeneration (150-acres), North Fork Aspen Two (324-acres), Lost Toboggan (16,500-28,000- acres) and Black Skull (28,000-42,000- acres)?  The Nez Perce Clearwater should be evaluating the cumulative impact of all of this prescribed burning and other activity. They should be paying particular attention to adjacent projects such as East Saddle</w:t>
      </w:r>
      <w:r w:rsidR="002903D3">
        <w:rPr>
          <w:rFonts w:ascii="Times New Roman" w:hAnsi="Times New Roman" w:cs="Times New Roman"/>
          <w:sz w:val="24"/>
          <w:szCs w:val="24"/>
        </w:rPr>
        <w:t xml:space="preserve">, </w:t>
      </w:r>
      <w:r w:rsidRPr="00DF1151">
        <w:rPr>
          <w:rFonts w:ascii="Times New Roman" w:hAnsi="Times New Roman" w:cs="Times New Roman"/>
          <w:sz w:val="24"/>
          <w:szCs w:val="24"/>
        </w:rPr>
        <w:t>North Fork Ponderosa Pine Restoration</w:t>
      </w:r>
      <w:r w:rsidR="002903D3">
        <w:rPr>
          <w:rFonts w:ascii="Times New Roman" w:hAnsi="Times New Roman" w:cs="Times New Roman"/>
          <w:sz w:val="24"/>
          <w:szCs w:val="24"/>
        </w:rPr>
        <w:t xml:space="preserve"> and Long Creek Fuels</w:t>
      </w:r>
      <w:r w:rsidRPr="00DF1151">
        <w:rPr>
          <w:rFonts w:ascii="Times New Roman" w:hAnsi="Times New Roman" w:cs="Times New Roman"/>
          <w:sz w:val="24"/>
          <w:szCs w:val="24"/>
        </w:rPr>
        <w:t xml:space="preserve">. </w:t>
      </w:r>
    </w:p>
    <w:p w14:paraId="7F037E74" w14:textId="77777777" w:rsidR="009A0848" w:rsidRPr="00DF1151" w:rsidRDefault="009A0848" w:rsidP="009A0848">
      <w:pPr>
        <w:spacing w:after="0"/>
        <w:rPr>
          <w:rFonts w:ascii="Times New Roman" w:hAnsi="Times New Roman" w:cs="Times New Roman"/>
          <w:sz w:val="24"/>
          <w:szCs w:val="24"/>
        </w:rPr>
      </w:pPr>
    </w:p>
    <w:p w14:paraId="44172DAA" w14:textId="60224EF7" w:rsidR="009A0848" w:rsidRPr="00DF1151" w:rsidRDefault="009A0848" w:rsidP="009A0848">
      <w:pPr>
        <w:spacing w:after="0"/>
        <w:rPr>
          <w:rFonts w:ascii="Times New Roman" w:hAnsi="Times New Roman" w:cs="Times New Roman"/>
          <w:sz w:val="24"/>
          <w:szCs w:val="24"/>
        </w:rPr>
      </w:pPr>
      <w:r w:rsidRPr="00DF1151">
        <w:rPr>
          <w:rFonts w:ascii="Times New Roman" w:hAnsi="Times New Roman" w:cs="Times New Roman"/>
          <w:sz w:val="24"/>
          <w:szCs w:val="24"/>
        </w:rPr>
        <w:t xml:space="preserve">Management prescriptions need to consider that many of the areas being considered for prescribed burning are very steep and have shallow rocky soils.  Past experience with burning on these areas has not given desirable results for big game browse production and has increased the risk of landslides.  It should also be remembered that the </w:t>
      </w:r>
      <w:r w:rsidR="009348A1">
        <w:rPr>
          <w:rFonts w:ascii="Times New Roman" w:hAnsi="Times New Roman" w:cs="Times New Roman"/>
          <w:sz w:val="24"/>
          <w:szCs w:val="24"/>
        </w:rPr>
        <w:t>recent</w:t>
      </w:r>
      <w:r w:rsidRPr="00DF1151">
        <w:rPr>
          <w:rFonts w:ascii="Times New Roman" w:hAnsi="Times New Roman" w:cs="Times New Roman"/>
          <w:sz w:val="24"/>
          <w:szCs w:val="24"/>
        </w:rPr>
        <w:t xml:space="preserve"> burning on the East Saddle project is just over the hill from the proposed burning on this project.  The south facings slopes above Kelly Creek that are part of the East Saddle Project are already very open and it is highly debatable how successful these burning operations are going to be.  Some of the project area prescribed burn locations have more northerly aspects and support higher densities of forest, but much of the area still has steep topography and thin shallow soiled areas that don’t support much forest growth. Prescribed burning is unlikely to stimulate the expected browse response in these areas.</w:t>
      </w:r>
    </w:p>
    <w:p w14:paraId="483FA09C" w14:textId="77777777" w:rsidR="009A0848" w:rsidRPr="00DF1151" w:rsidRDefault="009A0848" w:rsidP="009A0848">
      <w:pPr>
        <w:spacing w:after="0"/>
        <w:rPr>
          <w:rFonts w:ascii="Times New Roman" w:hAnsi="Times New Roman" w:cs="Times New Roman"/>
          <w:sz w:val="24"/>
          <w:szCs w:val="24"/>
        </w:rPr>
      </w:pPr>
    </w:p>
    <w:p w14:paraId="4C014FF2" w14:textId="46ECEFC0" w:rsidR="009A0848" w:rsidRPr="00DF1151" w:rsidRDefault="009A0848" w:rsidP="009A0848">
      <w:pPr>
        <w:spacing w:after="0"/>
        <w:rPr>
          <w:rFonts w:ascii="Times New Roman" w:hAnsi="Times New Roman" w:cs="Times New Roman"/>
          <w:b/>
          <w:bCs/>
          <w:sz w:val="24"/>
          <w:szCs w:val="24"/>
        </w:rPr>
      </w:pPr>
      <w:r w:rsidRPr="00DF1151">
        <w:rPr>
          <w:rFonts w:ascii="Times New Roman" w:hAnsi="Times New Roman" w:cs="Times New Roman"/>
          <w:b/>
          <w:bCs/>
          <w:sz w:val="24"/>
          <w:szCs w:val="24"/>
        </w:rPr>
        <w:t xml:space="preserve">Objection </w:t>
      </w:r>
      <w:r w:rsidR="00C801B4">
        <w:rPr>
          <w:rFonts w:ascii="Times New Roman" w:hAnsi="Times New Roman" w:cs="Times New Roman"/>
          <w:b/>
          <w:bCs/>
          <w:sz w:val="24"/>
          <w:szCs w:val="24"/>
        </w:rPr>
        <w:t>4</w:t>
      </w:r>
      <w:r w:rsidRPr="00DF1151">
        <w:rPr>
          <w:rFonts w:ascii="Times New Roman" w:hAnsi="Times New Roman" w:cs="Times New Roman"/>
          <w:b/>
          <w:bCs/>
          <w:sz w:val="24"/>
          <w:szCs w:val="24"/>
        </w:rPr>
        <w:t xml:space="preserve"> - Unnecessary Expenditure of Scare Fuel Treatment Funds </w:t>
      </w:r>
      <w:r>
        <w:rPr>
          <w:rFonts w:ascii="Times New Roman" w:hAnsi="Times New Roman" w:cs="Times New Roman"/>
          <w:b/>
          <w:bCs/>
          <w:sz w:val="24"/>
          <w:szCs w:val="24"/>
        </w:rPr>
        <w:t xml:space="preserve">on </w:t>
      </w:r>
      <w:r w:rsidRPr="00DF1151">
        <w:rPr>
          <w:rFonts w:ascii="Times New Roman" w:hAnsi="Times New Roman" w:cs="Times New Roman"/>
          <w:b/>
          <w:bCs/>
          <w:sz w:val="24"/>
          <w:szCs w:val="24"/>
        </w:rPr>
        <w:t>Non-Commercial Mechanical Treatment</w:t>
      </w:r>
    </w:p>
    <w:p w14:paraId="6964D77F" w14:textId="77777777" w:rsidR="009A0848" w:rsidRPr="00DF1151" w:rsidRDefault="009A0848" w:rsidP="009A0848">
      <w:pPr>
        <w:spacing w:after="0"/>
        <w:rPr>
          <w:rFonts w:ascii="Times New Roman" w:hAnsi="Times New Roman" w:cs="Times New Roman"/>
          <w:sz w:val="24"/>
          <w:szCs w:val="24"/>
        </w:rPr>
      </w:pPr>
    </w:p>
    <w:p w14:paraId="21B10E81" w14:textId="79C03DBF" w:rsidR="002903D3" w:rsidRDefault="009348A1" w:rsidP="009A0848">
      <w:pPr>
        <w:spacing w:after="0"/>
        <w:rPr>
          <w:rFonts w:ascii="Times New Roman" w:hAnsi="Times New Roman" w:cs="Times New Roman"/>
          <w:sz w:val="24"/>
          <w:szCs w:val="24"/>
        </w:rPr>
      </w:pPr>
      <w:r>
        <w:rPr>
          <w:rFonts w:ascii="Times New Roman" w:hAnsi="Times New Roman" w:cs="Times New Roman"/>
          <w:sz w:val="24"/>
          <w:szCs w:val="24"/>
        </w:rPr>
        <w:t>The Draft Decision notice has suggested that 700-acres of stands previously designated for regeneration harvest in the Environmental Analysis will now be treated with non-commercial mechanical hand treatment.</w:t>
      </w:r>
      <w:r w:rsidR="002903D3">
        <w:rPr>
          <w:rFonts w:ascii="Times New Roman" w:hAnsi="Times New Roman" w:cs="Times New Roman"/>
          <w:sz w:val="24"/>
          <w:szCs w:val="24"/>
        </w:rPr>
        <w:t xml:space="preserve"> If these units are not going to be harvested as suggested in the Draft Decision Notice, they should just be dropped entirely from the proposal</w:t>
      </w:r>
      <w:r w:rsidR="00330D4C">
        <w:rPr>
          <w:rFonts w:ascii="Times New Roman" w:hAnsi="Times New Roman" w:cs="Times New Roman"/>
          <w:sz w:val="24"/>
          <w:szCs w:val="24"/>
        </w:rPr>
        <w:t>.  The work is both expensive and unnecessary in stands that are likely composed of mature forests.</w:t>
      </w:r>
    </w:p>
    <w:p w14:paraId="57B099F6" w14:textId="77777777" w:rsidR="002903D3" w:rsidRDefault="002903D3" w:rsidP="009A0848">
      <w:pPr>
        <w:spacing w:after="0"/>
        <w:rPr>
          <w:rFonts w:ascii="Times New Roman" w:hAnsi="Times New Roman" w:cs="Times New Roman"/>
          <w:sz w:val="24"/>
          <w:szCs w:val="24"/>
        </w:rPr>
      </w:pPr>
    </w:p>
    <w:p w14:paraId="7E51C4FB" w14:textId="2447DC1E" w:rsidR="002903D3" w:rsidRPr="00DF1151" w:rsidRDefault="009348A1" w:rsidP="009A0848">
      <w:pPr>
        <w:spacing w:after="0"/>
        <w:rPr>
          <w:rFonts w:ascii="Times New Roman" w:hAnsi="Times New Roman" w:cs="Times New Roman"/>
          <w:sz w:val="24"/>
          <w:szCs w:val="24"/>
        </w:rPr>
      </w:pPr>
      <w:r>
        <w:rPr>
          <w:rFonts w:ascii="Times New Roman" w:hAnsi="Times New Roman" w:cs="Times New Roman"/>
          <w:sz w:val="24"/>
          <w:szCs w:val="24"/>
        </w:rPr>
        <w:t xml:space="preserve">In addition, </w:t>
      </w:r>
      <w:r w:rsidR="009A0848" w:rsidRPr="00DF1151">
        <w:rPr>
          <w:rFonts w:ascii="Times New Roman" w:hAnsi="Times New Roman" w:cs="Times New Roman"/>
          <w:sz w:val="24"/>
          <w:szCs w:val="24"/>
        </w:rPr>
        <w:t xml:space="preserve">640-acres of hand and mechanical treatment </w:t>
      </w:r>
      <w:r w:rsidR="00067F5C">
        <w:rPr>
          <w:rFonts w:ascii="Times New Roman" w:hAnsi="Times New Roman" w:cs="Times New Roman"/>
          <w:sz w:val="24"/>
          <w:szCs w:val="24"/>
        </w:rPr>
        <w:t xml:space="preserve">originally proposed </w:t>
      </w:r>
      <w:r w:rsidR="009A0848" w:rsidRPr="00DF1151">
        <w:rPr>
          <w:rFonts w:ascii="Times New Roman" w:hAnsi="Times New Roman" w:cs="Times New Roman"/>
          <w:sz w:val="24"/>
          <w:szCs w:val="24"/>
        </w:rPr>
        <w:t>around private lands in Independence Creek and near Deception Saddle</w:t>
      </w:r>
      <w:r w:rsidR="00067F5C">
        <w:rPr>
          <w:rFonts w:ascii="Times New Roman" w:hAnsi="Times New Roman" w:cs="Times New Roman"/>
          <w:sz w:val="24"/>
          <w:szCs w:val="24"/>
        </w:rPr>
        <w:t xml:space="preserve"> will continue</w:t>
      </w:r>
      <w:r w:rsidR="009A0848" w:rsidRPr="00DF1151">
        <w:rPr>
          <w:rFonts w:ascii="Times New Roman" w:hAnsi="Times New Roman" w:cs="Times New Roman"/>
          <w:sz w:val="24"/>
          <w:szCs w:val="24"/>
        </w:rPr>
        <w:t>.  Presumably, most of this treatment is occurring to decrease fire risk around the private inholdings found in that area.  It is likely that a significant expenditure will be required for this work since most of these treatments are being accomplished non-commercially.  Given the high risks that exist to residential property in other areas like California and Arizona, are these expenditures really the highest priority</w:t>
      </w:r>
      <w:r w:rsidR="00067F5C">
        <w:rPr>
          <w:rFonts w:ascii="Times New Roman" w:hAnsi="Times New Roman" w:cs="Times New Roman"/>
          <w:sz w:val="24"/>
          <w:szCs w:val="24"/>
        </w:rPr>
        <w:t>?</w:t>
      </w:r>
      <w:r w:rsidR="009A0848" w:rsidRPr="00DF1151">
        <w:rPr>
          <w:rFonts w:ascii="Times New Roman" w:hAnsi="Times New Roman" w:cs="Times New Roman"/>
          <w:sz w:val="24"/>
          <w:szCs w:val="24"/>
        </w:rPr>
        <w:t xml:space="preserve">  </w:t>
      </w:r>
    </w:p>
    <w:p w14:paraId="4DDB2B91" w14:textId="77777777" w:rsidR="009A0848" w:rsidRPr="00DF1151" w:rsidRDefault="009A0848" w:rsidP="009A0848">
      <w:pPr>
        <w:spacing w:after="0"/>
        <w:rPr>
          <w:rFonts w:ascii="Times New Roman" w:hAnsi="Times New Roman" w:cs="Times New Roman"/>
          <w:sz w:val="24"/>
          <w:szCs w:val="24"/>
        </w:rPr>
      </w:pPr>
    </w:p>
    <w:p w14:paraId="6C23499E" w14:textId="015CBC2B" w:rsidR="009A0848" w:rsidRPr="00DF1151" w:rsidRDefault="009A0848" w:rsidP="009A0848">
      <w:pPr>
        <w:spacing w:after="0"/>
        <w:rPr>
          <w:rFonts w:ascii="Times New Roman" w:hAnsi="Times New Roman" w:cs="Times New Roman"/>
          <w:sz w:val="24"/>
          <w:szCs w:val="24"/>
        </w:rPr>
      </w:pPr>
      <w:r w:rsidRPr="00DF1151">
        <w:rPr>
          <w:rFonts w:ascii="Times New Roman" w:hAnsi="Times New Roman" w:cs="Times New Roman"/>
          <w:sz w:val="24"/>
          <w:szCs w:val="24"/>
        </w:rPr>
        <w:t xml:space="preserve">The current situation has existed for several decades and most of the area around the existing inholdings has been extensively logged in </w:t>
      </w:r>
      <w:r w:rsidR="00067F5C">
        <w:rPr>
          <w:rFonts w:ascii="Times New Roman" w:hAnsi="Times New Roman" w:cs="Times New Roman"/>
          <w:sz w:val="24"/>
          <w:szCs w:val="24"/>
        </w:rPr>
        <w:t>the past</w:t>
      </w:r>
      <w:r w:rsidRPr="00DF1151">
        <w:rPr>
          <w:rFonts w:ascii="Times New Roman" w:hAnsi="Times New Roman" w:cs="Times New Roman"/>
          <w:sz w:val="24"/>
          <w:szCs w:val="24"/>
        </w:rPr>
        <w:t>.  There no permanent residences and the area is completely inaccessible in the winter except by snowmobile over several miles of primitive road.  Most structures are mining cabins or out buildings that are only used during the summer and fall hunting season.</w:t>
      </w:r>
      <w:r w:rsidR="00330D4C">
        <w:rPr>
          <w:rFonts w:ascii="Times New Roman" w:hAnsi="Times New Roman" w:cs="Times New Roman"/>
          <w:sz w:val="24"/>
          <w:szCs w:val="24"/>
        </w:rPr>
        <w:t xml:space="preserve"> The area is not a wildland/urban interface by any stretch of imagination.</w:t>
      </w:r>
    </w:p>
    <w:p w14:paraId="20CC1A7A" w14:textId="77777777" w:rsidR="009A0848" w:rsidRPr="00DF1151" w:rsidRDefault="009A0848" w:rsidP="009A0848">
      <w:pPr>
        <w:spacing w:after="0"/>
        <w:rPr>
          <w:rFonts w:ascii="Times New Roman" w:hAnsi="Times New Roman" w:cs="Times New Roman"/>
          <w:b/>
          <w:bCs/>
          <w:sz w:val="24"/>
          <w:szCs w:val="24"/>
        </w:rPr>
      </w:pPr>
    </w:p>
    <w:p w14:paraId="1A1C7A0B" w14:textId="51207956" w:rsidR="00FA1AE5" w:rsidRDefault="00FA1AE5" w:rsidP="006D3FA3">
      <w:pPr>
        <w:spacing w:after="0"/>
        <w:rPr>
          <w:rFonts w:ascii="Times New Roman" w:hAnsi="Times New Roman" w:cs="Times New Roman"/>
          <w:color w:val="000000"/>
          <w:sz w:val="24"/>
          <w:szCs w:val="24"/>
        </w:rPr>
      </w:pPr>
    </w:p>
    <w:p w14:paraId="68665CBB" w14:textId="77777777" w:rsidR="006D3FA3" w:rsidRPr="006D3FA3" w:rsidRDefault="006D3FA3" w:rsidP="006D3FA3">
      <w:pPr>
        <w:spacing w:after="0"/>
        <w:rPr>
          <w:rFonts w:ascii="Times New Roman" w:hAnsi="Times New Roman" w:cs="Times New Roman"/>
          <w:color w:val="000000"/>
          <w:sz w:val="24"/>
          <w:szCs w:val="24"/>
        </w:rPr>
      </w:pPr>
    </w:p>
    <w:p w14:paraId="193EEC45" w14:textId="6531A68A" w:rsidR="00866E24" w:rsidRPr="00DF1151" w:rsidRDefault="004F5916" w:rsidP="00866E24">
      <w:pPr>
        <w:spacing w:after="0"/>
        <w:rPr>
          <w:rFonts w:ascii="Times New Roman" w:hAnsi="Times New Roman" w:cs="Times New Roman"/>
          <w:b/>
          <w:bCs/>
          <w:sz w:val="24"/>
          <w:szCs w:val="24"/>
        </w:rPr>
      </w:pPr>
      <w:r w:rsidRPr="00DF1151">
        <w:rPr>
          <w:rFonts w:ascii="Times New Roman" w:hAnsi="Times New Roman" w:cs="Times New Roman"/>
          <w:b/>
          <w:bCs/>
          <w:sz w:val="24"/>
          <w:szCs w:val="24"/>
        </w:rPr>
        <w:t xml:space="preserve">Objection </w:t>
      </w:r>
      <w:r w:rsidR="00050C88">
        <w:rPr>
          <w:rFonts w:ascii="Times New Roman" w:hAnsi="Times New Roman" w:cs="Times New Roman"/>
          <w:b/>
          <w:bCs/>
          <w:sz w:val="24"/>
          <w:szCs w:val="24"/>
        </w:rPr>
        <w:t>5</w:t>
      </w:r>
      <w:r w:rsidR="00D079C4" w:rsidRPr="00DF1151">
        <w:rPr>
          <w:rFonts w:ascii="Times New Roman" w:hAnsi="Times New Roman" w:cs="Times New Roman"/>
          <w:b/>
          <w:bCs/>
          <w:sz w:val="24"/>
          <w:szCs w:val="24"/>
        </w:rPr>
        <w:t xml:space="preserve"> </w:t>
      </w:r>
      <w:r w:rsidRPr="00DF1151">
        <w:rPr>
          <w:rFonts w:ascii="Times New Roman" w:hAnsi="Times New Roman" w:cs="Times New Roman"/>
          <w:b/>
          <w:bCs/>
          <w:sz w:val="24"/>
          <w:szCs w:val="24"/>
        </w:rPr>
        <w:t>-</w:t>
      </w:r>
      <w:r w:rsidR="00866E24" w:rsidRPr="00DF1151">
        <w:rPr>
          <w:rFonts w:ascii="Times New Roman" w:hAnsi="Times New Roman" w:cs="Times New Roman"/>
          <w:b/>
          <w:bCs/>
          <w:sz w:val="24"/>
          <w:szCs w:val="24"/>
        </w:rPr>
        <w:t>Fisheries and Water Quality</w:t>
      </w:r>
    </w:p>
    <w:p w14:paraId="057D0087" w14:textId="77777777" w:rsidR="00B91DB5" w:rsidRPr="00DF1151" w:rsidRDefault="00B91DB5" w:rsidP="00866E24">
      <w:pPr>
        <w:spacing w:after="0"/>
        <w:rPr>
          <w:rFonts w:ascii="Times New Roman" w:hAnsi="Times New Roman" w:cs="Times New Roman"/>
          <w:b/>
          <w:bCs/>
          <w:sz w:val="24"/>
          <w:szCs w:val="24"/>
        </w:rPr>
      </w:pPr>
    </w:p>
    <w:p w14:paraId="761EB9EC" w14:textId="67162ED2" w:rsidR="00BE3FDD" w:rsidRPr="00DF1151" w:rsidRDefault="00690EAE" w:rsidP="00866E24">
      <w:pPr>
        <w:spacing w:after="0"/>
        <w:rPr>
          <w:rFonts w:ascii="Times New Roman" w:hAnsi="Times New Roman" w:cs="Times New Roman"/>
          <w:sz w:val="24"/>
          <w:szCs w:val="24"/>
        </w:rPr>
      </w:pPr>
      <w:r w:rsidRPr="00DF1151">
        <w:rPr>
          <w:rFonts w:ascii="Times New Roman" w:hAnsi="Times New Roman" w:cs="Times New Roman"/>
          <w:sz w:val="24"/>
          <w:szCs w:val="24"/>
        </w:rPr>
        <w:t xml:space="preserve">In my </w:t>
      </w:r>
      <w:r w:rsidR="00945389">
        <w:rPr>
          <w:rFonts w:ascii="Times New Roman" w:hAnsi="Times New Roman" w:cs="Times New Roman"/>
          <w:sz w:val="24"/>
          <w:szCs w:val="24"/>
        </w:rPr>
        <w:t xml:space="preserve">previous </w:t>
      </w:r>
      <w:r w:rsidRPr="00DF1151">
        <w:rPr>
          <w:rFonts w:ascii="Times New Roman" w:hAnsi="Times New Roman" w:cs="Times New Roman"/>
          <w:sz w:val="24"/>
          <w:szCs w:val="24"/>
        </w:rPr>
        <w:t>comments I noted my concern about water quality and fisheries habitat with this large project.  I noted that several streams in the area currently do not meet Forest Plan standards and that I was concerned about water yield</w:t>
      </w:r>
      <w:r w:rsidR="00CB1FAD" w:rsidRPr="00DF1151">
        <w:rPr>
          <w:rFonts w:ascii="Times New Roman" w:hAnsi="Times New Roman" w:cs="Times New Roman"/>
          <w:sz w:val="24"/>
          <w:szCs w:val="24"/>
        </w:rPr>
        <w:t>, high road densities</w:t>
      </w:r>
      <w:r w:rsidR="003F42DD" w:rsidRPr="00DF1151">
        <w:rPr>
          <w:rFonts w:ascii="Times New Roman" w:hAnsi="Times New Roman" w:cs="Times New Roman"/>
          <w:sz w:val="24"/>
          <w:szCs w:val="24"/>
        </w:rPr>
        <w:t>, sedimentation</w:t>
      </w:r>
      <w:r w:rsidRPr="00DF1151">
        <w:rPr>
          <w:rFonts w:ascii="Times New Roman" w:hAnsi="Times New Roman" w:cs="Times New Roman"/>
          <w:sz w:val="24"/>
          <w:szCs w:val="24"/>
        </w:rPr>
        <w:t xml:space="preserve"> and cobble embedde</w:t>
      </w:r>
      <w:r w:rsidR="006B0A8E" w:rsidRPr="00DF1151">
        <w:rPr>
          <w:rFonts w:ascii="Times New Roman" w:hAnsi="Times New Roman" w:cs="Times New Roman"/>
          <w:sz w:val="24"/>
          <w:szCs w:val="24"/>
        </w:rPr>
        <w:t>d</w:t>
      </w:r>
      <w:r w:rsidRPr="00DF1151">
        <w:rPr>
          <w:rFonts w:ascii="Times New Roman" w:hAnsi="Times New Roman" w:cs="Times New Roman"/>
          <w:sz w:val="24"/>
          <w:szCs w:val="24"/>
        </w:rPr>
        <w:t>ness</w:t>
      </w:r>
      <w:r w:rsidR="00CB1FAD" w:rsidRPr="00DF1151">
        <w:rPr>
          <w:rFonts w:ascii="Times New Roman" w:hAnsi="Times New Roman" w:cs="Times New Roman"/>
          <w:sz w:val="24"/>
          <w:szCs w:val="24"/>
        </w:rPr>
        <w:t>.</w:t>
      </w:r>
      <w:r w:rsidRPr="00DF1151">
        <w:rPr>
          <w:rFonts w:ascii="Times New Roman" w:hAnsi="Times New Roman" w:cs="Times New Roman"/>
          <w:sz w:val="24"/>
          <w:szCs w:val="24"/>
        </w:rPr>
        <w:t xml:space="preserve"> </w:t>
      </w:r>
      <w:r w:rsidR="00CB1FAD" w:rsidRPr="00DF1151">
        <w:rPr>
          <w:rFonts w:ascii="Times New Roman" w:hAnsi="Times New Roman" w:cs="Times New Roman"/>
          <w:sz w:val="24"/>
          <w:szCs w:val="24"/>
        </w:rPr>
        <w:t xml:space="preserve"> I noted that most steams</w:t>
      </w:r>
      <w:r w:rsidR="00611474" w:rsidRPr="00DF1151">
        <w:rPr>
          <w:rFonts w:ascii="Times New Roman" w:hAnsi="Times New Roman" w:cs="Times New Roman"/>
          <w:sz w:val="24"/>
          <w:szCs w:val="24"/>
        </w:rPr>
        <w:t xml:space="preserve"> that</w:t>
      </w:r>
      <w:r w:rsidR="00DE3D54" w:rsidRPr="00DF1151">
        <w:rPr>
          <w:rFonts w:ascii="Times New Roman" w:hAnsi="Times New Roman" w:cs="Times New Roman"/>
          <w:sz w:val="24"/>
          <w:szCs w:val="24"/>
        </w:rPr>
        <w:t xml:space="preserve"> are</w:t>
      </w:r>
      <w:r w:rsidR="00EB3B2B" w:rsidRPr="00DF1151">
        <w:rPr>
          <w:rFonts w:ascii="Times New Roman" w:hAnsi="Times New Roman" w:cs="Times New Roman"/>
          <w:sz w:val="24"/>
          <w:szCs w:val="24"/>
        </w:rPr>
        <w:t xml:space="preserve"> currently</w:t>
      </w:r>
      <w:r w:rsidR="00611474" w:rsidRPr="00DF1151">
        <w:rPr>
          <w:rFonts w:ascii="Times New Roman" w:hAnsi="Times New Roman" w:cs="Times New Roman"/>
          <w:sz w:val="24"/>
          <w:szCs w:val="24"/>
        </w:rPr>
        <w:t xml:space="preserve"> not meeting Forest Plan standards</w:t>
      </w:r>
      <w:r w:rsidR="00CB1FAD" w:rsidRPr="00DF1151">
        <w:rPr>
          <w:rFonts w:ascii="Times New Roman" w:hAnsi="Times New Roman" w:cs="Times New Roman"/>
          <w:sz w:val="24"/>
          <w:szCs w:val="24"/>
        </w:rPr>
        <w:t xml:space="preserve"> occur in </w:t>
      </w:r>
      <w:r w:rsidR="00BE3FDD" w:rsidRPr="00DF1151">
        <w:rPr>
          <w:rFonts w:ascii="Times New Roman" w:hAnsi="Times New Roman" w:cs="Times New Roman"/>
          <w:sz w:val="24"/>
          <w:szCs w:val="24"/>
        </w:rPr>
        <w:t xml:space="preserve">and </w:t>
      </w:r>
      <w:r w:rsidR="00CB1FAD" w:rsidRPr="00DF1151">
        <w:rPr>
          <w:rFonts w:ascii="Times New Roman" w:hAnsi="Times New Roman" w:cs="Times New Roman"/>
          <w:sz w:val="24"/>
          <w:szCs w:val="24"/>
        </w:rPr>
        <w:t>around the area acquired by the Forest Service in the 1990 land exchange</w:t>
      </w:r>
      <w:r w:rsidR="00866793" w:rsidRPr="00DF1151">
        <w:rPr>
          <w:rFonts w:ascii="Times New Roman" w:hAnsi="Times New Roman" w:cs="Times New Roman"/>
          <w:sz w:val="24"/>
          <w:szCs w:val="24"/>
        </w:rPr>
        <w:t xml:space="preserve">.  </w:t>
      </w:r>
      <w:r w:rsidR="00DE3D54" w:rsidRPr="00DF1151">
        <w:rPr>
          <w:rFonts w:ascii="Times New Roman" w:hAnsi="Times New Roman" w:cs="Times New Roman"/>
          <w:sz w:val="24"/>
          <w:szCs w:val="24"/>
        </w:rPr>
        <w:t>The</w:t>
      </w:r>
      <w:r w:rsidR="00B91DB5" w:rsidRPr="00DF1151">
        <w:rPr>
          <w:rFonts w:ascii="Times New Roman" w:hAnsi="Times New Roman" w:cs="Times New Roman"/>
          <w:sz w:val="24"/>
          <w:szCs w:val="24"/>
        </w:rPr>
        <w:t xml:space="preserve"> amount of </w:t>
      </w:r>
      <w:r w:rsidR="00866E24" w:rsidRPr="00DF1151">
        <w:rPr>
          <w:rFonts w:ascii="Times New Roman" w:hAnsi="Times New Roman" w:cs="Times New Roman"/>
          <w:sz w:val="24"/>
          <w:szCs w:val="24"/>
        </w:rPr>
        <w:t>past timber harvest</w:t>
      </w:r>
      <w:r w:rsidR="00183932" w:rsidRPr="00DF1151">
        <w:rPr>
          <w:rFonts w:ascii="Times New Roman" w:hAnsi="Times New Roman" w:cs="Times New Roman"/>
          <w:sz w:val="24"/>
          <w:szCs w:val="24"/>
        </w:rPr>
        <w:t xml:space="preserve">, road construction </w:t>
      </w:r>
      <w:r w:rsidR="00866E24" w:rsidRPr="00DF1151">
        <w:rPr>
          <w:rFonts w:ascii="Times New Roman" w:hAnsi="Times New Roman" w:cs="Times New Roman"/>
          <w:sz w:val="24"/>
          <w:szCs w:val="24"/>
        </w:rPr>
        <w:t xml:space="preserve">and mining activity </w:t>
      </w:r>
      <w:r w:rsidR="00B91DB5" w:rsidRPr="00DF1151">
        <w:rPr>
          <w:rFonts w:ascii="Times New Roman" w:hAnsi="Times New Roman" w:cs="Times New Roman"/>
          <w:sz w:val="24"/>
          <w:szCs w:val="24"/>
        </w:rPr>
        <w:t>has been excessive</w:t>
      </w:r>
      <w:r w:rsidR="00DE3D54" w:rsidRPr="00DF1151">
        <w:rPr>
          <w:rFonts w:ascii="Times New Roman" w:hAnsi="Times New Roman" w:cs="Times New Roman"/>
          <w:sz w:val="24"/>
          <w:szCs w:val="24"/>
        </w:rPr>
        <w:t xml:space="preserve"> in that area</w:t>
      </w:r>
      <w:r w:rsidR="00BE3FDD" w:rsidRPr="00DF1151">
        <w:rPr>
          <w:rFonts w:ascii="Times New Roman" w:hAnsi="Times New Roman" w:cs="Times New Roman"/>
          <w:sz w:val="24"/>
          <w:szCs w:val="24"/>
        </w:rPr>
        <w:t>, and includes the Osier, China and Laundry Creek drainages.  This is the exact same area targeted by t</w:t>
      </w:r>
      <w:r w:rsidR="00C318F6" w:rsidRPr="00DF1151">
        <w:rPr>
          <w:rFonts w:ascii="Times New Roman" w:hAnsi="Times New Roman" w:cs="Times New Roman"/>
          <w:sz w:val="24"/>
          <w:szCs w:val="24"/>
        </w:rPr>
        <w:t>he</w:t>
      </w:r>
      <w:r w:rsidR="00406D31" w:rsidRPr="00DF1151">
        <w:rPr>
          <w:rFonts w:ascii="Times New Roman" w:hAnsi="Times New Roman" w:cs="Times New Roman"/>
          <w:sz w:val="24"/>
          <w:szCs w:val="24"/>
        </w:rPr>
        <w:t xml:space="preserve"> project </w:t>
      </w:r>
      <w:r w:rsidR="00C318F6" w:rsidRPr="00DF1151">
        <w:rPr>
          <w:rFonts w:ascii="Times New Roman" w:hAnsi="Times New Roman" w:cs="Times New Roman"/>
          <w:sz w:val="24"/>
          <w:szCs w:val="24"/>
        </w:rPr>
        <w:t>proposal.</w:t>
      </w:r>
      <w:r w:rsidR="00BE3FDD" w:rsidRPr="00DF1151">
        <w:rPr>
          <w:rFonts w:ascii="Times New Roman" w:hAnsi="Times New Roman" w:cs="Times New Roman"/>
          <w:sz w:val="24"/>
          <w:szCs w:val="24"/>
        </w:rPr>
        <w:t xml:space="preserve"> </w:t>
      </w:r>
    </w:p>
    <w:p w14:paraId="1B116C49" w14:textId="77777777" w:rsidR="00BE3FDD" w:rsidRPr="00DF1151" w:rsidRDefault="00BE3FDD" w:rsidP="00866E24">
      <w:pPr>
        <w:spacing w:after="0"/>
        <w:rPr>
          <w:rFonts w:ascii="Times New Roman" w:hAnsi="Times New Roman" w:cs="Times New Roman"/>
          <w:sz w:val="24"/>
          <w:szCs w:val="24"/>
        </w:rPr>
      </w:pPr>
    </w:p>
    <w:p w14:paraId="3D0C2137" w14:textId="55D29B11" w:rsidR="00866E24" w:rsidRPr="00DF1151" w:rsidRDefault="00B91DB5" w:rsidP="00866E24">
      <w:pPr>
        <w:spacing w:after="0"/>
        <w:rPr>
          <w:rFonts w:ascii="Times New Roman" w:hAnsi="Times New Roman" w:cs="Times New Roman"/>
          <w:sz w:val="24"/>
          <w:szCs w:val="24"/>
        </w:rPr>
      </w:pPr>
      <w:r w:rsidRPr="00DF1151">
        <w:rPr>
          <w:rFonts w:ascii="Times New Roman" w:hAnsi="Times New Roman" w:cs="Times New Roman"/>
          <w:sz w:val="24"/>
          <w:szCs w:val="24"/>
        </w:rPr>
        <w:t xml:space="preserve">I noted </w:t>
      </w:r>
      <w:r w:rsidR="00406D31" w:rsidRPr="00DF1151">
        <w:rPr>
          <w:rFonts w:ascii="Times New Roman" w:hAnsi="Times New Roman" w:cs="Times New Roman"/>
          <w:sz w:val="24"/>
          <w:szCs w:val="24"/>
        </w:rPr>
        <w:t xml:space="preserve">in my comments </w:t>
      </w:r>
      <w:r w:rsidRPr="00DF1151">
        <w:rPr>
          <w:rFonts w:ascii="Times New Roman" w:hAnsi="Times New Roman" w:cs="Times New Roman"/>
          <w:sz w:val="24"/>
          <w:szCs w:val="24"/>
        </w:rPr>
        <w:t>that Forest Service should be using Forest Plan drainages for their analysis of watershed conditions.</w:t>
      </w:r>
      <w:r w:rsidR="00866E24" w:rsidRPr="00DF1151">
        <w:rPr>
          <w:rFonts w:ascii="Times New Roman" w:hAnsi="Times New Roman" w:cs="Times New Roman"/>
          <w:sz w:val="24"/>
          <w:szCs w:val="24"/>
        </w:rPr>
        <w:t xml:space="preserve"> Using the larger HUC 12 watersheds </w:t>
      </w:r>
      <w:r w:rsidR="00B8436F">
        <w:rPr>
          <w:rFonts w:ascii="Times New Roman" w:hAnsi="Times New Roman" w:cs="Times New Roman"/>
          <w:sz w:val="24"/>
          <w:szCs w:val="24"/>
        </w:rPr>
        <w:t xml:space="preserve">(Figure 1) </w:t>
      </w:r>
      <w:r w:rsidRPr="00DF1151">
        <w:rPr>
          <w:rFonts w:ascii="Times New Roman" w:hAnsi="Times New Roman" w:cs="Times New Roman"/>
          <w:sz w:val="24"/>
          <w:szCs w:val="24"/>
        </w:rPr>
        <w:t>as the Nez Perce</w:t>
      </w:r>
      <w:r w:rsidR="003D7053" w:rsidRPr="00DF1151">
        <w:rPr>
          <w:rFonts w:ascii="Times New Roman" w:hAnsi="Times New Roman" w:cs="Times New Roman"/>
          <w:sz w:val="24"/>
          <w:szCs w:val="24"/>
        </w:rPr>
        <w:t xml:space="preserve"> -</w:t>
      </w:r>
      <w:r w:rsidRPr="00DF1151">
        <w:rPr>
          <w:rFonts w:ascii="Times New Roman" w:hAnsi="Times New Roman" w:cs="Times New Roman"/>
          <w:sz w:val="24"/>
          <w:szCs w:val="24"/>
        </w:rPr>
        <w:t>Clearw</w:t>
      </w:r>
      <w:r w:rsidR="00D35793" w:rsidRPr="00DF1151">
        <w:rPr>
          <w:rFonts w:ascii="Times New Roman" w:hAnsi="Times New Roman" w:cs="Times New Roman"/>
          <w:sz w:val="24"/>
          <w:szCs w:val="24"/>
        </w:rPr>
        <w:t>a</w:t>
      </w:r>
      <w:r w:rsidRPr="00DF1151">
        <w:rPr>
          <w:rFonts w:ascii="Times New Roman" w:hAnsi="Times New Roman" w:cs="Times New Roman"/>
          <w:sz w:val="24"/>
          <w:szCs w:val="24"/>
        </w:rPr>
        <w:t xml:space="preserve">ter Forest has </w:t>
      </w:r>
      <w:r w:rsidR="00945389">
        <w:rPr>
          <w:rFonts w:ascii="Times New Roman" w:hAnsi="Times New Roman" w:cs="Times New Roman"/>
          <w:sz w:val="24"/>
          <w:szCs w:val="24"/>
        </w:rPr>
        <w:t xml:space="preserve">the Forest Service has continued to do in </w:t>
      </w:r>
      <w:r w:rsidR="00C318F6" w:rsidRPr="00DF1151">
        <w:rPr>
          <w:rFonts w:ascii="Times New Roman" w:hAnsi="Times New Roman" w:cs="Times New Roman"/>
          <w:sz w:val="24"/>
          <w:szCs w:val="24"/>
        </w:rPr>
        <w:t xml:space="preserve">their </w:t>
      </w:r>
      <w:r w:rsidR="00945389">
        <w:rPr>
          <w:rFonts w:ascii="Times New Roman" w:hAnsi="Times New Roman" w:cs="Times New Roman"/>
          <w:sz w:val="24"/>
          <w:szCs w:val="24"/>
        </w:rPr>
        <w:t xml:space="preserve">updated </w:t>
      </w:r>
      <w:r w:rsidR="00C318F6" w:rsidRPr="00DF1151">
        <w:rPr>
          <w:rFonts w:ascii="Times New Roman" w:hAnsi="Times New Roman" w:cs="Times New Roman"/>
          <w:sz w:val="24"/>
          <w:szCs w:val="24"/>
        </w:rPr>
        <w:t xml:space="preserve">analysis will </w:t>
      </w:r>
      <w:r w:rsidR="00866E24" w:rsidRPr="00DF1151">
        <w:rPr>
          <w:rFonts w:ascii="Times New Roman" w:hAnsi="Times New Roman" w:cs="Times New Roman"/>
          <w:sz w:val="24"/>
          <w:szCs w:val="24"/>
        </w:rPr>
        <w:t>tend to dilute the impact of proposed activities on drainages identified in the Forest Plan.</w:t>
      </w:r>
      <w:r w:rsidR="00E52616" w:rsidRPr="00DF1151">
        <w:rPr>
          <w:rFonts w:ascii="Times New Roman" w:hAnsi="Times New Roman" w:cs="Times New Roman"/>
          <w:sz w:val="24"/>
          <w:szCs w:val="24"/>
        </w:rPr>
        <w:t xml:space="preserve"> </w:t>
      </w:r>
      <w:r w:rsidR="00AC2BE3">
        <w:rPr>
          <w:rFonts w:ascii="Times New Roman" w:hAnsi="Times New Roman" w:cs="Times New Roman"/>
          <w:sz w:val="24"/>
          <w:szCs w:val="24"/>
        </w:rPr>
        <w:t xml:space="preserve">There is also a problem that </w:t>
      </w:r>
      <w:r w:rsidR="009570C4">
        <w:rPr>
          <w:rFonts w:ascii="Times New Roman" w:hAnsi="Times New Roman" w:cs="Times New Roman"/>
          <w:sz w:val="24"/>
          <w:szCs w:val="24"/>
        </w:rPr>
        <w:t xml:space="preserve">the Elizabeth Creek – North Fork HUC 12 watershed and the Deadwood Creek Moose Creek HUC 12 watershed are not true watersheds.  Upstream tributaries have not been included </w:t>
      </w:r>
      <w:r w:rsidR="00C93EE6">
        <w:rPr>
          <w:rFonts w:ascii="Times New Roman" w:hAnsi="Times New Roman" w:cs="Times New Roman"/>
          <w:sz w:val="24"/>
          <w:szCs w:val="24"/>
        </w:rPr>
        <w:t xml:space="preserve">in the analysis of impacts.  For example, to predict the impact of the project on Lower Moose Creek, all upstream activities like those in Osier Creek, Laundry, China and Sugar Creek would need to be considered. </w:t>
      </w:r>
    </w:p>
    <w:p w14:paraId="521BF8BC" w14:textId="16221333" w:rsidR="00AE6907" w:rsidRPr="00DF1151" w:rsidRDefault="00AE6907" w:rsidP="00866E24">
      <w:pPr>
        <w:spacing w:after="0"/>
        <w:rPr>
          <w:rFonts w:ascii="Times New Roman" w:hAnsi="Times New Roman" w:cs="Times New Roman"/>
          <w:sz w:val="24"/>
          <w:szCs w:val="24"/>
        </w:rPr>
      </w:pPr>
    </w:p>
    <w:p w14:paraId="489910B2" w14:textId="5D816D0C" w:rsidR="005B0140" w:rsidRPr="00DF1151" w:rsidRDefault="00AE6907" w:rsidP="00866E24">
      <w:pPr>
        <w:spacing w:after="0"/>
        <w:rPr>
          <w:rFonts w:ascii="Times New Roman" w:hAnsi="Times New Roman" w:cs="Times New Roman"/>
          <w:sz w:val="24"/>
          <w:szCs w:val="24"/>
        </w:rPr>
      </w:pPr>
      <w:r w:rsidRPr="00DF1151">
        <w:rPr>
          <w:rFonts w:ascii="Times New Roman" w:hAnsi="Times New Roman" w:cs="Times New Roman"/>
          <w:sz w:val="24"/>
          <w:szCs w:val="24"/>
        </w:rPr>
        <w:t xml:space="preserve">The project area contains </w:t>
      </w:r>
      <w:r w:rsidR="00377EF2" w:rsidRPr="00DF1151">
        <w:rPr>
          <w:rFonts w:ascii="Times New Roman" w:hAnsi="Times New Roman" w:cs="Times New Roman"/>
          <w:sz w:val="24"/>
          <w:szCs w:val="24"/>
        </w:rPr>
        <w:t>1</w:t>
      </w:r>
      <w:r w:rsidR="004B231C" w:rsidRPr="00DF1151">
        <w:rPr>
          <w:rFonts w:ascii="Times New Roman" w:hAnsi="Times New Roman" w:cs="Times New Roman"/>
          <w:sz w:val="24"/>
          <w:szCs w:val="24"/>
        </w:rPr>
        <w:t>5</w:t>
      </w:r>
      <w:r w:rsidR="00377EF2" w:rsidRPr="00DF1151">
        <w:rPr>
          <w:rFonts w:ascii="Times New Roman" w:hAnsi="Times New Roman" w:cs="Times New Roman"/>
          <w:sz w:val="24"/>
          <w:szCs w:val="24"/>
        </w:rPr>
        <w:t xml:space="preserve"> </w:t>
      </w:r>
      <w:r w:rsidRPr="00DF1151">
        <w:rPr>
          <w:rFonts w:ascii="Times New Roman" w:hAnsi="Times New Roman" w:cs="Times New Roman"/>
          <w:sz w:val="24"/>
          <w:szCs w:val="24"/>
        </w:rPr>
        <w:t xml:space="preserve">watersheds </w:t>
      </w:r>
      <w:r w:rsidR="00013694" w:rsidRPr="00DF1151">
        <w:rPr>
          <w:rFonts w:ascii="Times New Roman" w:hAnsi="Times New Roman" w:cs="Times New Roman"/>
          <w:sz w:val="24"/>
          <w:szCs w:val="24"/>
        </w:rPr>
        <w:t xml:space="preserve">(Figure </w:t>
      </w:r>
      <w:r w:rsidR="00B8436F">
        <w:rPr>
          <w:rFonts w:ascii="Times New Roman" w:hAnsi="Times New Roman" w:cs="Times New Roman"/>
          <w:sz w:val="24"/>
          <w:szCs w:val="24"/>
        </w:rPr>
        <w:t>2</w:t>
      </w:r>
      <w:r w:rsidR="00013694" w:rsidRPr="00DF1151">
        <w:rPr>
          <w:rFonts w:ascii="Times New Roman" w:hAnsi="Times New Roman" w:cs="Times New Roman"/>
          <w:sz w:val="24"/>
          <w:szCs w:val="24"/>
        </w:rPr>
        <w:t xml:space="preserve"> and Table 1) </w:t>
      </w:r>
      <w:r w:rsidR="00377EF2" w:rsidRPr="00DF1151">
        <w:rPr>
          <w:rFonts w:ascii="Times New Roman" w:hAnsi="Times New Roman" w:cs="Times New Roman"/>
          <w:sz w:val="24"/>
          <w:szCs w:val="24"/>
        </w:rPr>
        <w:t>identified in the</w:t>
      </w:r>
      <w:r w:rsidRPr="00DF1151">
        <w:rPr>
          <w:rFonts w:ascii="Times New Roman" w:hAnsi="Times New Roman" w:cs="Times New Roman"/>
          <w:sz w:val="24"/>
          <w:szCs w:val="24"/>
        </w:rPr>
        <w:t xml:space="preserve"> Forest Plan</w:t>
      </w:r>
      <w:r w:rsidR="00013694" w:rsidRPr="00DF1151">
        <w:rPr>
          <w:rFonts w:ascii="Times New Roman" w:hAnsi="Times New Roman" w:cs="Times New Roman"/>
          <w:sz w:val="24"/>
          <w:szCs w:val="24"/>
        </w:rPr>
        <w:t>.</w:t>
      </w:r>
      <w:r w:rsidRPr="00DF1151">
        <w:rPr>
          <w:rFonts w:ascii="Times New Roman" w:hAnsi="Times New Roman" w:cs="Times New Roman"/>
          <w:sz w:val="24"/>
          <w:szCs w:val="24"/>
        </w:rPr>
        <w:t xml:space="preserve"> </w:t>
      </w:r>
      <w:r w:rsidR="002E6B0A" w:rsidRPr="00DF1151">
        <w:rPr>
          <w:rFonts w:ascii="Times New Roman" w:hAnsi="Times New Roman" w:cs="Times New Roman"/>
          <w:sz w:val="24"/>
          <w:szCs w:val="24"/>
        </w:rPr>
        <w:t xml:space="preserve">In a 1997 report, </w:t>
      </w:r>
      <w:r w:rsidR="003968CD" w:rsidRPr="00DF1151">
        <w:rPr>
          <w:rFonts w:ascii="Times New Roman" w:hAnsi="Times New Roman" w:cs="Times New Roman"/>
          <w:sz w:val="24"/>
          <w:szCs w:val="24"/>
        </w:rPr>
        <w:t xml:space="preserve">Jones and Murphy suggested that </w:t>
      </w:r>
      <w:r w:rsidR="00013694" w:rsidRPr="00DF1151">
        <w:rPr>
          <w:rFonts w:ascii="Times New Roman" w:hAnsi="Times New Roman" w:cs="Times New Roman"/>
          <w:sz w:val="24"/>
          <w:szCs w:val="24"/>
        </w:rPr>
        <w:t xml:space="preserve">eight </w:t>
      </w:r>
      <w:r w:rsidR="003968CD" w:rsidRPr="00DF1151">
        <w:rPr>
          <w:rFonts w:ascii="Times New Roman" w:hAnsi="Times New Roman" w:cs="Times New Roman"/>
          <w:sz w:val="24"/>
          <w:szCs w:val="24"/>
        </w:rPr>
        <w:t xml:space="preserve">project area </w:t>
      </w:r>
      <w:r w:rsidR="009D6407" w:rsidRPr="00DF1151">
        <w:rPr>
          <w:rFonts w:ascii="Times New Roman" w:hAnsi="Times New Roman" w:cs="Times New Roman"/>
          <w:sz w:val="24"/>
          <w:szCs w:val="24"/>
        </w:rPr>
        <w:t xml:space="preserve">fisheries </w:t>
      </w:r>
      <w:r w:rsidR="003968CD" w:rsidRPr="00DF1151">
        <w:rPr>
          <w:rFonts w:ascii="Times New Roman" w:hAnsi="Times New Roman" w:cs="Times New Roman"/>
          <w:sz w:val="24"/>
          <w:szCs w:val="24"/>
        </w:rPr>
        <w:t xml:space="preserve">streams </w:t>
      </w:r>
      <w:r w:rsidR="00EB3B2B" w:rsidRPr="00DF1151">
        <w:rPr>
          <w:rFonts w:ascii="Times New Roman" w:hAnsi="Times New Roman" w:cs="Times New Roman"/>
          <w:sz w:val="24"/>
          <w:szCs w:val="24"/>
        </w:rPr>
        <w:t xml:space="preserve">were </w:t>
      </w:r>
      <w:r w:rsidR="003968CD" w:rsidRPr="00DF1151">
        <w:rPr>
          <w:rFonts w:ascii="Times New Roman" w:hAnsi="Times New Roman" w:cs="Times New Roman"/>
          <w:sz w:val="24"/>
          <w:szCs w:val="24"/>
        </w:rPr>
        <w:t>not meeting Forest Objectives for cobble embeddedness</w:t>
      </w:r>
      <w:r w:rsidR="00B63E15" w:rsidRPr="00DF1151">
        <w:rPr>
          <w:rFonts w:ascii="Times New Roman" w:hAnsi="Times New Roman" w:cs="Times New Roman"/>
          <w:sz w:val="24"/>
          <w:szCs w:val="24"/>
        </w:rPr>
        <w:t xml:space="preserve"> (Table 1)</w:t>
      </w:r>
      <w:r w:rsidR="003968CD" w:rsidRPr="00DF1151">
        <w:rPr>
          <w:rFonts w:ascii="Times New Roman" w:hAnsi="Times New Roman" w:cs="Times New Roman"/>
          <w:sz w:val="24"/>
          <w:szCs w:val="24"/>
        </w:rPr>
        <w:t>.</w:t>
      </w:r>
      <w:r w:rsidR="00C318F6" w:rsidRPr="00DF1151">
        <w:rPr>
          <w:rFonts w:ascii="Times New Roman" w:hAnsi="Times New Roman" w:cs="Times New Roman"/>
          <w:sz w:val="24"/>
          <w:szCs w:val="24"/>
        </w:rPr>
        <w:t xml:space="preserve">  </w:t>
      </w:r>
      <w:r w:rsidR="00CE2E41" w:rsidRPr="00DF1151">
        <w:rPr>
          <w:rFonts w:ascii="Times New Roman" w:hAnsi="Times New Roman" w:cs="Times New Roman"/>
          <w:sz w:val="24"/>
          <w:szCs w:val="24"/>
        </w:rPr>
        <w:t xml:space="preserve">The Nez Perce – Clearwater NF has not updated that report in the </w:t>
      </w:r>
      <w:r w:rsidR="00766C63" w:rsidRPr="00DF1151">
        <w:rPr>
          <w:rFonts w:ascii="Times New Roman" w:hAnsi="Times New Roman" w:cs="Times New Roman"/>
          <w:sz w:val="24"/>
          <w:szCs w:val="24"/>
        </w:rPr>
        <w:t xml:space="preserve">last </w:t>
      </w:r>
      <w:r w:rsidR="00CE2E41" w:rsidRPr="00DF1151">
        <w:rPr>
          <w:rFonts w:ascii="Times New Roman" w:hAnsi="Times New Roman" w:cs="Times New Roman"/>
          <w:sz w:val="24"/>
          <w:szCs w:val="24"/>
        </w:rPr>
        <w:t>2</w:t>
      </w:r>
      <w:r w:rsidR="0024318C">
        <w:rPr>
          <w:rFonts w:ascii="Times New Roman" w:hAnsi="Times New Roman" w:cs="Times New Roman"/>
          <w:sz w:val="24"/>
          <w:szCs w:val="24"/>
        </w:rPr>
        <w:t>6</w:t>
      </w:r>
      <w:r w:rsidR="00CE2E41" w:rsidRPr="00DF1151">
        <w:rPr>
          <w:rFonts w:ascii="Times New Roman" w:hAnsi="Times New Roman" w:cs="Times New Roman"/>
          <w:sz w:val="24"/>
          <w:szCs w:val="24"/>
        </w:rPr>
        <w:t xml:space="preserve">-years, but </w:t>
      </w:r>
      <w:r w:rsidR="00B575B9" w:rsidRPr="00DF1151">
        <w:rPr>
          <w:rFonts w:ascii="Times New Roman" w:hAnsi="Times New Roman" w:cs="Times New Roman"/>
          <w:sz w:val="24"/>
          <w:szCs w:val="24"/>
        </w:rPr>
        <w:t>did</w:t>
      </w:r>
      <w:r w:rsidR="00CE2E41" w:rsidRPr="00DF1151">
        <w:rPr>
          <w:rFonts w:ascii="Times New Roman" w:hAnsi="Times New Roman" w:cs="Times New Roman"/>
          <w:sz w:val="24"/>
          <w:szCs w:val="24"/>
        </w:rPr>
        <w:t xml:space="preserve"> sample </w:t>
      </w:r>
      <w:r w:rsidR="00766C63" w:rsidRPr="00DF1151">
        <w:rPr>
          <w:rFonts w:ascii="Times New Roman" w:hAnsi="Times New Roman" w:cs="Times New Roman"/>
          <w:sz w:val="24"/>
          <w:szCs w:val="24"/>
        </w:rPr>
        <w:t>f</w:t>
      </w:r>
      <w:r w:rsidR="00F464C9" w:rsidRPr="00DF1151">
        <w:rPr>
          <w:rFonts w:ascii="Times New Roman" w:hAnsi="Times New Roman" w:cs="Times New Roman"/>
          <w:sz w:val="24"/>
          <w:szCs w:val="24"/>
        </w:rPr>
        <w:t>ive</w:t>
      </w:r>
      <w:r w:rsidR="00766C63" w:rsidRPr="00DF1151">
        <w:rPr>
          <w:rFonts w:ascii="Times New Roman" w:hAnsi="Times New Roman" w:cs="Times New Roman"/>
          <w:sz w:val="24"/>
          <w:szCs w:val="24"/>
        </w:rPr>
        <w:t xml:space="preserve"> streams in 2019 as part of this project.  </w:t>
      </w:r>
      <w:r w:rsidR="00C318F6" w:rsidRPr="00DF1151">
        <w:rPr>
          <w:rFonts w:ascii="Times New Roman" w:hAnsi="Times New Roman" w:cs="Times New Roman"/>
          <w:sz w:val="24"/>
          <w:szCs w:val="24"/>
        </w:rPr>
        <w:t xml:space="preserve">Resampling confirmed that conditions in </w:t>
      </w:r>
      <w:r w:rsidR="00F464C9" w:rsidRPr="00DF1151">
        <w:rPr>
          <w:rFonts w:ascii="Times New Roman" w:hAnsi="Times New Roman" w:cs="Times New Roman"/>
          <w:sz w:val="24"/>
          <w:szCs w:val="24"/>
        </w:rPr>
        <w:t>Osier</w:t>
      </w:r>
      <w:r w:rsidR="00424DC2" w:rsidRPr="00DF1151">
        <w:rPr>
          <w:rFonts w:ascii="Times New Roman" w:hAnsi="Times New Roman" w:cs="Times New Roman"/>
          <w:sz w:val="24"/>
          <w:szCs w:val="24"/>
        </w:rPr>
        <w:t>,</w:t>
      </w:r>
      <w:r w:rsidR="00F464C9" w:rsidRPr="00DF1151">
        <w:rPr>
          <w:rFonts w:ascii="Times New Roman" w:hAnsi="Times New Roman" w:cs="Times New Roman"/>
          <w:sz w:val="24"/>
          <w:szCs w:val="24"/>
        </w:rPr>
        <w:t xml:space="preserve"> China Creek</w:t>
      </w:r>
      <w:r w:rsidR="00424DC2" w:rsidRPr="00DF1151">
        <w:rPr>
          <w:rFonts w:ascii="Times New Roman" w:hAnsi="Times New Roman" w:cs="Times New Roman"/>
          <w:sz w:val="24"/>
          <w:szCs w:val="24"/>
        </w:rPr>
        <w:t xml:space="preserve"> and Moose Creek above </w:t>
      </w:r>
      <w:r w:rsidR="00EE34BC" w:rsidRPr="00DF1151">
        <w:rPr>
          <w:rFonts w:ascii="Times New Roman" w:hAnsi="Times New Roman" w:cs="Times New Roman"/>
          <w:sz w:val="24"/>
          <w:szCs w:val="24"/>
        </w:rPr>
        <w:t xml:space="preserve">Deadwood </w:t>
      </w:r>
      <w:r w:rsidR="00424DC2" w:rsidRPr="00DF1151">
        <w:rPr>
          <w:rFonts w:ascii="Times New Roman" w:hAnsi="Times New Roman" w:cs="Times New Roman"/>
          <w:sz w:val="24"/>
          <w:szCs w:val="24"/>
        </w:rPr>
        <w:t>Creek</w:t>
      </w:r>
      <w:r w:rsidR="00F464C9" w:rsidRPr="00DF1151">
        <w:rPr>
          <w:rFonts w:ascii="Times New Roman" w:hAnsi="Times New Roman" w:cs="Times New Roman"/>
          <w:sz w:val="24"/>
          <w:szCs w:val="24"/>
        </w:rPr>
        <w:t xml:space="preserve"> have not changed significantly</w:t>
      </w:r>
      <w:r w:rsidR="00EE34BC" w:rsidRPr="00DF1151">
        <w:rPr>
          <w:rFonts w:ascii="Times New Roman" w:hAnsi="Times New Roman" w:cs="Times New Roman"/>
          <w:sz w:val="24"/>
          <w:szCs w:val="24"/>
        </w:rPr>
        <w:t xml:space="preserve">.  China and Osier </w:t>
      </w:r>
      <w:r w:rsidR="00B575B9" w:rsidRPr="00DF1151">
        <w:rPr>
          <w:rFonts w:ascii="Times New Roman" w:hAnsi="Times New Roman" w:cs="Times New Roman"/>
          <w:sz w:val="24"/>
          <w:szCs w:val="24"/>
        </w:rPr>
        <w:t>still remain well below objectives for cobble embeddedness</w:t>
      </w:r>
      <w:r w:rsidR="008F1070" w:rsidRPr="00DF1151">
        <w:rPr>
          <w:rFonts w:ascii="Times New Roman" w:hAnsi="Times New Roman" w:cs="Times New Roman"/>
          <w:sz w:val="24"/>
          <w:szCs w:val="24"/>
        </w:rPr>
        <w:t>, and</w:t>
      </w:r>
      <w:r w:rsidR="009372F6" w:rsidRPr="00DF1151">
        <w:rPr>
          <w:rFonts w:ascii="Times New Roman" w:hAnsi="Times New Roman" w:cs="Times New Roman"/>
          <w:sz w:val="24"/>
          <w:szCs w:val="24"/>
        </w:rPr>
        <w:t xml:space="preserve"> </w:t>
      </w:r>
      <w:r w:rsidR="00D875C2" w:rsidRPr="00DF1151">
        <w:rPr>
          <w:rFonts w:ascii="Times New Roman" w:hAnsi="Times New Roman" w:cs="Times New Roman"/>
          <w:sz w:val="24"/>
          <w:szCs w:val="24"/>
        </w:rPr>
        <w:t xml:space="preserve">Moose Creek above Deadwood Creek remains </w:t>
      </w:r>
      <w:r w:rsidR="008F1070" w:rsidRPr="00DF1151">
        <w:rPr>
          <w:rFonts w:ascii="Times New Roman" w:hAnsi="Times New Roman" w:cs="Times New Roman"/>
          <w:sz w:val="24"/>
          <w:szCs w:val="24"/>
        </w:rPr>
        <w:t>with relatively low levels of cobble embeddedness (</w:t>
      </w:r>
      <w:r w:rsidR="00B575B9" w:rsidRPr="00DF1151">
        <w:rPr>
          <w:rFonts w:ascii="Times New Roman" w:hAnsi="Times New Roman" w:cs="Times New Roman"/>
          <w:sz w:val="24"/>
          <w:szCs w:val="24"/>
        </w:rPr>
        <w:t>Table 1)</w:t>
      </w:r>
      <w:r w:rsidR="00F464C9" w:rsidRPr="00DF1151">
        <w:rPr>
          <w:rFonts w:ascii="Times New Roman" w:hAnsi="Times New Roman" w:cs="Times New Roman"/>
          <w:sz w:val="24"/>
          <w:szCs w:val="24"/>
        </w:rPr>
        <w:t>.</w:t>
      </w:r>
      <w:r w:rsidR="005B0140" w:rsidRPr="00DF1151">
        <w:rPr>
          <w:rFonts w:ascii="Times New Roman" w:hAnsi="Times New Roman" w:cs="Times New Roman"/>
          <w:sz w:val="24"/>
          <w:szCs w:val="24"/>
        </w:rPr>
        <w:t xml:space="preserve"> Moose Creek above Deadwood Creek is an unroaded drainage, as are most other streams </w:t>
      </w:r>
      <w:r w:rsidR="007B596B">
        <w:rPr>
          <w:rFonts w:ascii="Times New Roman" w:hAnsi="Times New Roman" w:cs="Times New Roman"/>
          <w:sz w:val="24"/>
          <w:szCs w:val="24"/>
        </w:rPr>
        <w:t xml:space="preserve">in the project area </w:t>
      </w:r>
      <w:r w:rsidR="005B0140" w:rsidRPr="00DF1151">
        <w:rPr>
          <w:rFonts w:ascii="Times New Roman" w:hAnsi="Times New Roman" w:cs="Times New Roman"/>
          <w:sz w:val="24"/>
          <w:szCs w:val="24"/>
        </w:rPr>
        <w:t>meeting Forest Plan standards for cobble embeddedness.</w:t>
      </w:r>
    </w:p>
    <w:p w14:paraId="47ED1E12" w14:textId="77777777" w:rsidR="005B0140" w:rsidRPr="00DF1151" w:rsidRDefault="005B0140" w:rsidP="00866E24">
      <w:pPr>
        <w:spacing w:after="0"/>
        <w:rPr>
          <w:rFonts w:ascii="Times New Roman" w:hAnsi="Times New Roman" w:cs="Times New Roman"/>
          <w:sz w:val="24"/>
          <w:szCs w:val="24"/>
        </w:rPr>
      </w:pPr>
    </w:p>
    <w:p w14:paraId="1A938FB7" w14:textId="0E79D76A" w:rsidR="00DE3D54" w:rsidRPr="00DF1151" w:rsidRDefault="00D875C2" w:rsidP="00866E24">
      <w:pPr>
        <w:spacing w:after="0"/>
        <w:rPr>
          <w:rFonts w:ascii="Times New Roman" w:hAnsi="Times New Roman" w:cs="Times New Roman"/>
          <w:sz w:val="24"/>
          <w:szCs w:val="24"/>
        </w:rPr>
      </w:pPr>
      <w:r w:rsidRPr="00DF1151">
        <w:rPr>
          <w:rFonts w:ascii="Times New Roman" w:hAnsi="Times New Roman" w:cs="Times New Roman"/>
          <w:sz w:val="24"/>
          <w:szCs w:val="24"/>
        </w:rPr>
        <w:t>Only Sugar Creek</w:t>
      </w:r>
      <w:r w:rsidR="009921E1" w:rsidRPr="00DF1151">
        <w:rPr>
          <w:rFonts w:ascii="Times New Roman" w:hAnsi="Times New Roman" w:cs="Times New Roman"/>
          <w:sz w:val="24"/>
          <w:szCs w:val="24"/>
        </w:rPr>
        <w:t xml:space="preserve"> has </w:t>
      </w:r>
      <w:r w:rsidR="008F1070" w:rsidRPr="00DF1151">
        <w:rPr>
          <w:rFonts w:ascii="Times New Roman" w:hAnsi="Times New Roman" w:cs="Times New Roman"/>
          <w:sz w:val="24"/>
          <w:szCs w:val="24"/>
        </w:rPr>
        <w:t>improved significantly</w:t>
      </w:r>
      <w:r w:rsidR="009921E1" w:rsidRPr="00DF1151">
        <w:rPr>
          <w:rFonts w:ascii="Times New Roman" w:hAnsi="Times New Roman" w:cs="Times New Roman"/>
          <w:sz w:val="24"/>
          <w:szCs w:val="24"/>
        </w:rPr>
        <w:t>, but that drainage is still slightly above standard.</w:t>
      </w:r>
      <w:r w:rsidR="008F1070" w:rsidRPr="00DF1151">
        <w:rPr>
          <w:rFonts w:ascii="Times New Roman" w:hAnsi="Times New Roman" w:cs="Times New Roman"/>
          <w:sz w:val="24"/>
          <w:szCs w:val="24"/>
        </w:rPr>
        <w:t xml:space="preserve">  </w:t>
      </w:r>
      <w:r w:rsidR="00346D2E" w:rsidRPr="00DF1151">
        <w:rPr>
          <w:rFonts w:ascii="Times New Roman" w:hAnsi="Times New Roman" w:cs="Times New Roman"/>
          <w:sz w:val="24"/>
          <w:szCs w:val="24"/>
        </w:rPr>
        <w:t xml:space="preserve">Jones and Murphy did not report </w:t>
      </w:r>
      <w:r w:rsidR="00881028" w:rsidRPr="00DF1151">
        <w:rPr>
          <w:rFonts w:ascii="Times New Roman" w:hAnsi="Times New Roman" w:cs="Times New Roman"/>
          <w:sz w:val="24"/>
          <w:szCs w:val="24"/>
        </w:rPr>
        <w:t xml:space="preserve">cobble embeddedness </w:t>
      </w:r>
      <w:r w:rsidR="00346D2E" w:rsidRPr="00DF1151">
        <w:rPr>
          <w:rFonts w:ascii="Times New Roman" w:hAnsi="Times New Roman" w:cs="Times New Roman"/>
          <w:sz w:val="24"/>
          <w:szCs w:val="24"/>
        </w:rPr>
        <w:t>values for Deception Gulch</w:t>
      </w:r>
      <w:r w:rsidR="00ED3933" w:rsidRPr="00DF1151">
        <w:rPr>
          <w:rFonts w:ascii="Times New Roman" w:hAnsi="Times New Roman" w:cs="Times New Roman"/>
          <w:sz w:val="24"/>
          <w:szCs w:val="24"/>
        </w:rPr>
        <w:t xml:space="preserve">, but sampling in 2019 suggested levels of cobble embeddedness where within objectives </w:t>
      </w:r>
      <w:r w:rsidR="009D6407" w:rsidRPr="00DF1151">
        <w:rPr>
          <w:rFonts w:ascii="Times New Roman" w:hAnsi="Times New Roman" w:cs="Times New Roman"/>
          <w:sz w:val="24"/>
          <w:szCs w:val="24"/>
        </w:rPr>
        <w:t>(Table 1</w:t>
      </w:r>
      <w:r w:rsidR="00707E77" w:rsidRPr="00DF1151">
        <w:rPr>
          <w:rFonts w:ascii="Times New Roman" w:hAnsi="Times New Roman" w:cs="Times New Roman"/>
          <w:sz w:val="24"/>
          <w:szCs w:val="24"/>
        </w:rPr>
        <w:t>).</w:t>
      </w:r>
      <w:r w:rsidR="00CB64CE" w:rsidRPr="00DF1151">
        <w:rPr>
          <w:rFonts w:ascii="Times New Roman" w:hAnsi="Times New Roman" w:cs="Times New Roman"/>
          <w:sz w:val="24"/>
          <w:szCs w:val="24"/>
        </w:rPr>
        <w:t xml:space="preserve">  </w:t>
      </w:r>
      <w:r w:rsidR="00186C44">
        <w:rPr>
          <w:rFonts w:ascii="Times New Roman" w:hAnsi="Times New Roman" w:cs="Times New Roman"/>
          <w:sz w:val="24"/>
          <w:szCs w:val="24"/>
        </w:rPr>
        <w:t>No additional instream sampling has occurred since 2019, and nothing new has been reported in watershed or fisheries reports in regard to the current instream condition.</w:t>
      </w:r>
    </w:p>
    <w:p w14:paraId="56276CD2" w14:textId="77777777" w:rsidR="00707E77" w:rsidRPr="00DF1151" w:rsidRDefault="00707E77" w:rsidP="00866E24">
      <w:pPr>
        <w:spacing w:after="0"/>
        <w:rPr>
          <w:rFonts w:ascii="Times New Roman" w:hAnsi="Times New Roman" w:cs="Times New Roman"/>
          <w:sz w:val="24"/>
          <w:szCs w:val="24"/>
        </w:rPr>
      </w:pPr>
    </w:p>
    <w:p w14:paraId="10AF3AC3" w14:textId="2DB5C159" w:rsidR="0098301B" w:rsidRPr="00DF1151" w:rsidRDefault="006B0A8E" w:rsidP="00866E24">
      <w:pPr>
        <w:spacing w:after="0"/>
        <w:rPr>
          <w:rFonts w:ascii="Times New Roman" w:hAnsi="Times New Roman" w:cs="Times New Roman"/>
          <w:sz w:val="24"/>
          <w:szCs w:val="24"/>
        </w:rPr>
      </w:pPr>
      <w:r w:rsidRPr="00DF1151">
        <w:rPr>
          <w:rFonts w:ascii="Times New Roman" w:hAnsi="Times New Roman" w:cs="Times New Roman"/>
          <w:sz w:val="24"/>
          <w:szCs w:val="24"/>
        </w:rPr>
        <w:t xml:space="preserve">Proposed projects in streams currently not meeting Forest Plan objectives for sedimentation are required to result in no measurable increase in stream sedimentation according to the </w:t>
      </w:r>
      <w:r w:rsidR="009D6407" w:rsidRPr="00DF1151">
        <w:rPr>
          <w:rFonts w:ascii="Times New Roman" w:hAnsi="Times New Roman" w:cs="Times New Roman"/>
          <w:sz w:val="24"/>
          <w:szCs w:val="24"/>
        </w:rPr>
        <w:t xml:space="preserve">Clearwater </w:t>
      </w:r>
      <w:r w:rsidRPr="00DF1151">
        <w:rPr>
          <w:rFonts w:ascii="Times New Roman" w:hAnsi="Times New Roman" w:cs="Times New Roman"/>
          <w:sz w:val="24"/>
          <w:szCs w:val="24"/>
        </w:rPr>
        <w:t xml:space="preserve">Forest </w:t>
      </w:r>
      <w:r w:rsidR="009D6407" w:rsidRPr="00DF1151">
        <w:rPr>
          <w:rFonts w:ascii="Times New Roman" w:hAnsi="Times New Roman" w:cs="Times New Roman"/>
          <w:sz w:val="24"/>
          <w:szCs w:val="24"/>
        </w:rPr>
        <w:t>Plan Lawsuit Settlement</w:t>
      </w:r>
      <w:r w:rsidRPr="00DF1151">
        <w:rPr>
          <w:rFonts w:ascii="Times New Roman" w:hAnsi="Times New Roman" w:cs="Times New Roman"/>
          <w:sz w:val="24"/>
          <w:szCs w:val="24"/>
        </w:rPr>
        <w:t xml:space="preserve"> Agreement</w:t>
      </w:r>
      <w:r w:rsidR="009D6407" w:rsidRPr="00DF1151">
        <w:rPr>
          <w:rFonts w:ascii="Times New Roman" w:hAnsi="Times New Roman" w:cs="Times New Roman"/>
          <w:sz w:val="24"/>
          <w:szCs w:val="24"/>
        </w:rPr>
        <w:t xml:space="preserve">.  The </w:t>
      </w:r>
      <w:r w:rsidR="001559F2" w:rsidRPr="00DF1151">
        <w:rPr>
          <w:rFonts w:ascii="Times New Roman" w:hAnsi="Times New Roman" w:cs="Times New Roman"/>
          <w:sz w:val="24"/>
          <w:szCs w:val="24"/>
        </w:rPr>
        <w:t>Nez Perce - Clearwater</w:t>
      </w:r>
      <w:r w:rsidR="009D6407" w:rsidRPr="00DF1151">
        <w:rPr>
          <w:rFonts w:ascii="Times New Roman" w:hAnsi="Times New Roman" w:cs="Times New Roman"/>
          <w:sz w:val="24"/>
          <w:szCs w:val="24"/>
        </w:rPr>
        <w:t xml:space="preserve"> </w:t>
      </w:r>
      <w:r w:rsidR="002E6B0A" w:rsidRPr="00DF1151">
        <w:rPr>
          <w:rFonts w:ascii="Times New Roman" w:hAnsi="Times New Roman" w:cs="Times New Roman"/>
          <w:sz w:val="24"/>
          <w:szCs w:val="24"/>
        </w:rPr>
        <w:t xml:space="preserve">claims in both the </w:t>
      </w:r>
      <w:r w:rsidR="002E6B0A" w:rsidRPr="00DF1151">
        <w:rPr>
          <w:rFonts w:ascii="Times New Roman" w:hAnsi="Times New Roman" w:cs="Times New Roman"/>
          <w:sz w:val="24"/>
          <w:szCs w:val="24"/>
        </w:rPr>
        <w:lastRenderedPageBreak/>
        <w:t>watershed and fisheries reports that this will b</w:t>
      </w:r>
      <w:r w:rsidR="007B4850" w:rsidRPr="00DF1151">
        <w:rPr>
          <w:rFonts w:ascii="Times New Roman" w:hAnsi="Times New Roman" w:cs="Times New Roman"/>
          <w:sz w:val="24"/>
          <w:szCs w:val="24"/>
        </w:rPr>
        <w:t>e the case</w:t>
      </w:r>
      <w:r w:rsidR="004A1308" w:rsidRPr="00DF1151">
        <w:rPr>
          <w:rFonts w:ascii="Times New Roman" w:hAnsi="Times New Roman" w:cs="Times New Roman"/>
          <w:sz w:val="24"/>
          <w:szCs w:val="24"/>
        </w:rPr>
        <w:t xml:space="preserve"> due to PACFISH bu</w:t>
      </w:r>
      <w:r w:rsidR="007B4850" w:rsidRPr="00DF1151">
        <w:rPr>
          <w:rFonts w:ascii="Times New Roman" w:hAnsi="Times New Roman" w:cs="Times New Roman"/>
          <w:sz w:val="24"/>
          <w:szCs w:val="24"/>
        </w:rPr>
        <w:t xml:space="preserve">ffers </w:t>
      </w:r>
      <w:r w:rsidR="004A1308" w:rsidRPr="00DF1151">
        <w:rPr>
          <w:rFonts w:ascii="Times New Roman" w:hAnsi="Times New Roman" w:cs="Times New Roman"/>
          <w:sz w:val="24"/>
          <w:szCs w:val="24"/>
        </w:rPr>
        <w:t xml:space="preserve">and newer road construction practices.  Modeling efforts assume that buffers and road management practices will be </w:t>
      </w:r>
      <w:r w:rsidR="001559F2" w:rsidRPr="00DF1151">
        <w:rPr>
          <w:rFonts w:ascii="Times New Roman" w:hAnsi="Times New Roman" w:cs="Times New Roman"/>
          <w:sz w:val="24"/>
          <w:szCs w:val="24"/>
        </w:rPr>
        <w:t xml:space="preserve">infallible in stopping any sedimentation from reaching streams.  </w:t>
      </w:r>
      <w:r w:rsidR="00CB64CE" w:rsidRPr="00DF1151">
        <w:rPr>
          <w:rFonts w:ascii="Times New Roman" w:hAnsi="Times New Roman" w:cs="Times New Roman"/>
          <w:sz w:val="24"/>
          <w:szCs w:val="24"/>
        </w:rPr>
        <w:t>M</w:t>
      </w:r>
      <w:r w:rsidR="001559F2" w:rsidRPr="00DF1151">
        <w:rPr>
          <w:rFonts w:ascii="Times New Roman" w:hAnsi="Times New Roman" w:cs="Times New Roman"/>
          <w:sz w:val="24"/>
          <w:szCs w:val="24"/>
        </w:rPr>
        <w:t>odeling efforts also do not account for mass wasting events that are bound to occur with the amount of road construction and proposed logging.  Any sedimentation that is predicted from modeli</w:t>
      </w:r>
      <w:r w:rsidR="00613F5D" w:rsidRPr="00DF1151">
        <w:rPr>
          <w:rFonts w:ascii="Times New Roman" w:hAnsi="Times New Roman" w:cs="Times New Roman"/>
          <w:sz w:val="24"/>
          <w:szCs w:val="24"/>
        </w:rPr>
        <w:t>ng efforts is then applied to the large HUC</w:t>
      </w:r>
      <w:r w:rsidR="003D7053" w:rsidRPr="00DF1151">
        <w:rPr>
          <w:rFonts w:ascii="Times New Roman" w:hAnsi="Times New Roman" w:cs="Times New Roman"/>
          <w:sz w:val="24"/>
          <w:szCs w:val="24"/>
        </w:rPr>
        <w:t>-</w:t>
      </w:r>
      <w:r w:rsidR="00613F5D" w:rsidRPr="00DF1151">
        <w:rPr>
          <w:rFonts w:ascii="Times New Roman" w:hAnsi="Times New Roman" w:cs="Times New Roman"/>
          <w:sz w:val="24"/>
          <w:szCs w:val="24"/>
        </w:rPr>
        <w:t xml:space="preserve">12 watersheds instead of to the Forest Plan drainages where the logging will actually occur.  The Nez-Perce Clearwater then makes an assumption that sedimentation will not be measurable at the larger HUC-12 scale. </w:t>
      </w:r>
      <w:r w:rsidR="00CB64CE" w:rsidRPr="00DF1151">
        <w:rPr>
          <w:rFonts w:ascii="Times New Roman" w:hAnsi="Times New Roman" w:cs="Times New Roman"/>
          <w:sz w:val="24"/>
          <w:szCs w:val="24"/>
        </w:rPr>
        <w:t xml:space="preserve"> The same thing has been done in the calculation of road density and water yield.</w:t>
      </w:r>
    </w:p>
    <w:p w14:paraId="6368EEA4" w14:textId="77777777" w:rsidR="00A87C10" w:rsidRPr="00DF1151" w:rsidRDefault="00A87C10" w:rsidP="00866E24">
      <w:pPr>
        <w:spacing w:after="0"/>
        <w:rPr>
          <w:rFonts w:ascii="Times New Roman" w:hAnsi="Times New Roman" w:cs="Times New Roman"/>
          <w:sz w:val="24"/>
          <w:szCs w:val="24"/>
        </w:rPr>
      </w:pPr>
    </w:p>
    <w:p w14:paraId="414EA7B9" w14:textId="65F03409" w:rsidR="003A259B" w:rsidRPr="00DF1151" w:rsidRDefault="00613F5D" w:rsidP="004A1308">
      <w:pPr>
        <w:spacing w:after="0"/>
        <w:rPr>
          <w:rFonts w:ascii="Times New Roman" w:hAnsi="Times New Roman" w:cs="Times New Roman"/>
          <w:sz w:val="24"/>
          <w:szCs w:val="24"/>
        </w:rPr>
      </w:pPr>
      <w:r w:rsidRPr="00DF1151">
        <w:rPr>
          <w:rFonts w:ascii="Times New Roman" w:hAnsi="Times New Roman" w:cs="Times New Roman"/>
          <w:sz w:val="24"/>
          <w:szCs w:val="24"/>
        </w:rPr>
        <w:t xml:space="preserve">For example, </w:t>
      </w:r>
      <w:r w:rsidR="00A87C10" w:rsidRPr="00DF1151">
        <w:rPr>
          <w:rFonts w:ascii="Times New Roman" w:hAnsi="Times New Roman" w:cs="Times New Roman"/>
          <w:sz w:val="24"/>
          <w:szCs w:val="24"/>
        </w:rPr>
        <w:t xml:space="preserve">in the </w:t>
      </w:r>
      <w:r w:rsidR="00000AD9" w:rsidRPr="00DF1151">
        <w:rPr>
          <w:rFonts w:ascii="Times New Roman" w:hAnsi="Times New Roman" w:cs="Times New Roman"/>
          <w:sz w:val="24"/>
          <w:szCs w:val="24"/>
        </w:rPr>
        <w:t xml:space="preserve">Elizabeth - North Fork </w:t>
      </w:r>
      <w:r w:rsidR="00A87C10" w:rsidRPr="00DF1151">
        <w:rPr>
          <w:rFonts w:ascii="Times New Roman" w:hAnsi="Times New Roman" w:cs="Times New Roman"/>
          <w:sz w:val="24"/>
          <w:szCs w:val="24"/>
        </w:rPr>
        <w:t xml:space="preserve">Clearwater </w:t>
      </w:r>
      <w:r w:rsidR="00000AD9" w:rsidRPr="00DF1151">
        <w:rPr>
          <w:rFonts w:ascii="Times New Roman" w:hAnsi="Times New Roman" w:cs="Times New Roman"/>
          <w:sz w:val="24"/>
          <w:szCs w:val="24"/>
        </w:rPr>
        <w:t xml:space="preserve">HUC-12 watershed there </w:t>
      </w:r>
      <w:r w:rsidR="00A87C10" w:rsidRPr="00DF1151">
        <w:rPr>
          <w:rFonts w:ascii="Times New Roman" w:hAnsi="Times New Roman" w:cs="Times New Roman"/>
          <w:sz w:val="24"/>
          <w:szCs w:val="24"/>
        </w:rPr>
        <w:t>38,556-acres and most of that acreage is located outside of the project area</w:t>
      </w:r>
      <w:r w:rsidR="00CB64CE" w:rsidRPr="00DF1151">
        <w:rPr>
          <w:rFonts w:ascii="Times New Roman" w:hAnsi="Times New Roman" w:cs="Times New Roman"/>
          <w:sz w:val="24"/>
          <w:szCs w:val="24"/>
        </w:rPr>
        <w:t xml:space="preserve"> and currently road</w:t>
      </w:r>
      <w:r w:rsidR="003D7053" w:rsidRPr="00DF1151">
        <w:rPr>
          <w:rFonts w:ascii="Times New Roman" w:hAnsi="Times New Roman" w:cs="Times New Roman"/>
          <w:sz w:val="24"/>
          <w:szCs w:val="24"/>
        </w:rPr>
        <w:t>l</w:t>
      </w:r>
      <w:r w:rsidR="00CB64CE" w:rsidRPr="00DF1151">
        <w:rPr>
          <w:rFonts w:ascii="Times New Roman" w:hAnsi="Times New Roman" w:cs="Times New Roman"/>
          <w:sz w:val="24"/>
          <w:szCs w:val="24"/>
        </w:rPr>
        <w:t>ess</w:t>
      </w:r>
      <w:r w:rsidR="00001540" w:rsidRPr="00DF1151">
        <w:rPr>
          <w:rFonts w:ascii="Times New Roman" w:hAnsi="Times New Roman" w:cs="Times New Roman"/>
          <w:sz w:val="24"/>
          <w:szCs w:val="24"/>
        </w:rPr>
        <w:t xml:space="preserve"> (Figure 2)</w:t>
      </w:r>
      <w:r w:rsidR="00CB64CE" w:rsidRPr="00DF1151">
        <w:rPr>
          <w:rFonts w:ascii="Times New Roman" w:hAnsi="Times New Roman" w:cs="Times New Roman"/>
          <w:sz w:val="24"/>
          <w:szCs w:val="24"/>
        </w:rPr>
        <w:t>.</w:t>
      </w:r>
      <w:r w:rsidR="00A87C10" w:rsidRPr="00DF1151">
        <w:rPr>
          <w:rFonts w:ascii="Times New Roman" w:hAnsi="Times New Roman" w:cs="Times New Roman"/>
          <w:sz w:val="24"/>
          <w:szCs w:val="24"/>
        </w:rPr>
        <w:t xml:space="preserve"> Within the project area</w:t>
      </w:r>
      <w:r w:rsidR="00385F3A" w:rsidRPr="00DF1151">
        <w:rPr>
          <w:rFonts w:ascii="Times New Roman" w:hAnsi="Times New Roman" w:cs="Times New Roman"/>
          <w:sz w:val="24"/>
          <w:szCs w:val="24"/>
        </w:rPr>
        <w:t xml:space="preserve">, there are only two small drainages with any fisheries standards (Comet Creek and Deception Gulch).  All other drainages </w:t>
      </w:r>
      <w:r w:rsidR="003D7053" w:rsidRPr="00DF1151">
        <w:rPr>
          <w:rFonts w:ascii="Times New Roman" w:hAnsi="Times New Roman" w:cs="Times New Roman"/>
          <w:sz w:val="24"/>
          <w:szCs w:val="24"/>
        </w:rPr>
        <w:t xml:space="preserve">in the project area </w:t>
      </w:r>
      <w:r w:rsidR="00385F3A" w:rsidRPr="00DF1151">
        <w:rPr>
          <w:rFonts w:ascii="Times New Roman" w:hAnsi="Times New Roman" w:cs="Times New Roman"/>
          <w:sz w:val="24"/>
          <w:szCs w:val="24"/>
        </w:rPr>
        <w:t>are steep face drainages that drain directly into the North Fork of the Clearwater River</w:t>
      </w:r>
      <w:r w:rsidR="00B61F8A" w:rsidRPr="00DF1151">
        <w:rPr>
          <w:rFonts w:ascii="Times New Roman" w:hAnsi="Times New Roman" w:cs="Times New Roman"/>
          <w:sz w:val="24"/>
          <w:szCs w:val="24"/>
        </w:rPr>
        <w:t>.  No logging is planned Comet Creek or in the steep face drainages</w:t>
      </w:r>
      <w:r w:rsidR="00B96A90" w:rsidRPr="00DF1151">
        <w:rPr>
          <w:rFonts w:ascii="Times New Roman" w:hAnsi="Times New Roman" w:cs="Times New Roman"/>
          <w:sz w:val="24"/>
          <w:szCs w:val="24"/>
        </w:rPr>
        <w:t xml:space="preserve"> in the southern portion of the project area. Slopes are steep and rocky in these face drainages.  There </w:t>
      </w:r>
      <w:r w:rsidR="00B61F8A" w:rsidRPr="00DF1151">
        <w:rPr>
          <w:rFonts w:ascii="Times New Roman" w:hAnsi="Times New Roman" w:cs="Times New Roman"/>
          <w:sz w:val="24"/>
          <w:szCs w:val="24"/>
        </w:rPr>
        <w:t>are two planned prescribe</w:t>
      </w:r>
      <w:r w:rsidR="007B6101" w:rsidRPr="00DF1151">
        <w:rPr>
          <w:rFonts w:ascii="Times New Roman" w:hAnsi="Times New Roman" w:cs="Times New Roman"/>
          <w:sz w:val="24"/>
          <w:szCs w:val="24"/>
        </w:rPr>
        <w:t>d</w:t>
      </w:r>
      <w:r w:rsidR="00B61F8A" w:rsidRPr="00DF1151">
        <w:rPr>
          <w:rFonts w:ascii="Times New Roman" w:hAnsi="Times New Roman" w:cs="Times New Roman"/>
          <w:sz w:val="24"/>
          <w:szCs w:val="24"/>
        </w:rPr>
        <w:t xml:space="preserve"> burns</w:t>
      </w:r>
      <w:r w:rsidR="007B6101" w:rsidRPr="00DF1151">
        <w:rPr>
          <w:rFonts w:ascii="Times New Roman" w:hAnsi="Times New Roman" w:cs="Times New Roman"/>
          <w:sz w:val="24"/>
          <w:szCs w:val="24"/>
        </w:rPr>
        <w:t xml:space="preserve"> located within the </w:t>
      </w:r>
      <w:r w:rsidR="003A259B" w:rsidRPr="00DF1151">
        <w:rPr>
          <w:rFonts w:ascii="Times New Roman" w:hAnsi="Times New Roman" w:cs="Times New Roman"/>
          <w:sz w:val="24"/>
          <w:szCs w:val="24"/>
        </w:rPr>
        <w:t xml:space="preserve">southern </w:t>
      </w:r>
      <w:r w:rsidR="007B6101" w:rsidRPr="00DF1151">
        <w:rPr>
          <w:rFonts w:ascii="Times New Roman" w:hAnsi="Times New Roman" w:cs="Times New Roman"/>
          <w:sz w:val="24"/>
          <w:szCs w:val="24"/>
        </w:rPr>
        <w:t>face drainages.</w:t>
      </w:r>
      <w:r w:rsidR="00B61F8A" w:rsidRPr="00DF1151">
        <w:rPr>
          <w:rFonts w:ascii="Times New Roman" w:hAnsi="Times New Roman" w:cs="Times New Roman"/>
          <w:sz w:val="24"/>
          <w:szCs w:val="24"/>
        </w:rPr>
        <w:t xml:space="preserve"> </w:t>
      </w:r>
    </w:p>
    <w:p w14:paraId="6EFACBEB" w14:textId="77777777" w:rsidR="003A259B" w:rsidRPr="00DF1151" w:rsidRDefault="003A259B" w:rsidP="004A1308">
      <w:pPr>
        <w:spacing w:after="0"/>
        <w:rPr>
          <w:rFonts w:ascii="Times New Roman" w:hAnsi="Times New Roman" w:cs="Times New Roman"/>
          <w:sz w:val="24"/>
          <w:szCs w:val="24"/>
        </w:rPr>
      </w:pPr>
    </w:p>
    <w:p w14:paraId="40515425" w14:textId="5CB63D22" w:rsidR="00C6283F" w:rsidRPr="00DF1151" w:rsidRDefault="009921E1" w:rsidP="004A1308">
      <w:pPr>
        <w:spacing w:after="0"/>
        <w:rPr>
          <w:rFonts w:ascii="Times New Roman" w:hAnsi="Times New Roman" w:cs="Times New Roman"/>
          <w:sz w:val="24"/>
          <w:szCs w:val="24"/>
        </w:rPr>
      </w:pPr>
      <w:r w:rsidRPr="00DF1151">
        <w:rPr>
          <w:rFonts w:ascii="Times New Roman" w:hAnsi="Times New Roman" w:cs="Times New Roman"/>
          <w:sz w:val="24"/>
          <w:szCs w:val="24"/>
        </w:rPr>
        <w:t>S</w:t>
      </w:r>
      <w:r w:rsidR="00B61F8A" w:rsidRPr="00DF1151">
        <w:rPr>
          <w:rFonts w:ascii="Times New Roman" w:hAnsi="Times New Roman" w:cs="Times New Roman"/>
          <w:sz w:val="24"/>
          <w:szCs w:val="24"/>
        </w:rPr>
        <w:t>everal timber harvest</w:t>
      </w:r>
      <w:r w:rsidR="005F5E3C">
        <w:rPr>
          <w:rFonts w:ascii="Times New Roman" w:hAnsi="Times New Roman" w:cs="Times New Roman"/>
          <w:sz w:val="24"/>
          <w:szCs w:val="24"/>
        </w:rPr>
        <w:t xml:space="preserve"> and fuel treatment</w:t>
      </w:r>
      <w:r w:rsidR="00B61F8A" w:rsidRPr="00DF1151">
        <w:rPr>
          <w:rFonts w:ascii="Times New Roman" w:hAnsi="Times New Roman" w:cs="Times New Roman"/>
          <w:sz w:val="24"/>
          <w:szCs w:val="24"/>
        </w:rPr>
        <w:t xml:space="preserve"> units </w:t>
      </w:r>
      <w:r w:rsidR="007B6101" w:rsidRPr="00DF1151">
        <w:rPr>
          <w:rFonts w:ascii="Times New Roman" w:hAnsi="Times New Roman" w:cs="Times New Roman"/>
          <w:sz w:val="24"/>
          <w:szCs w:val="24"/>
        </w:rPr>
        <w:t xml:space="preserve">are located in the </w:t>
      </w:r>
      <w:r w:rsidR="00000AD9" w:rsidRPr="00DF1151">
        <w:rPr>
          <w:rFonts w:ascii="Times New Roman" w:hAnsi="Times New Roman" w:cs="Times New Roman"/>
          <w:sz w:val="24"/>
          <w:szCs w:val="24"/>
        </w:rPr>
        <w:t>Deception Gulch watershed</w:t>
      </w:r>
      <w:r w:rsidR="003A259B" w:rsidRPr="00DF1151">
        <w:rPr>
          <w:rFonts w:ascii="Times New Roman" w:hAnsi="Times New Roman" w:cs="Times New Roman"/>
          <w:sz w:val="24"/>
          <w:szCs w:val="24"/>
        </w:rPr>
        <w:t xml:space="preserve"> and the face drainages to the north near the Cedars Campground</w:t>
      </w:r>
      <w:r w:rsidR="00861B9D" w:rsidRPr="00DF1151">
        <w:rPr>
          <w:rFonts w:ascii="Times New Roman" w:hAnsi="Times New Roman" w:cs="Times New Roman"/>
          <w:sz w:val="24"/>
          <w:szCs w:val="24"/>
        </w:rPr>
        <w:t xml:space="preserve"> (Figure 3)</w:t>
      </w:r>
      <w:r w:rsidR="007B6101" w:rsidRPr="00DF1151">
        <w:rPr>
          <w:rFonts w:ascii="Times New Roman" w:hAnsi="Times New Roman" w:cs="Times New Roman"/>
          <w:sz w:val="24"/>
          <w:szCs w:val="24"/>
        </w:rPr>
        <w:t xml:space="preserve">.  </w:t>
      </w:r>
      <w:r w:rsidR="00453AF3" w:rsidRPr="00DF1151">
        <w:rPr>
          <w:rFonts w:ascii="Times New Roman" w:hAnsi="Times New Roman" w:cs="Times New Roman"/>
          <w:sz w:val="24"/>
          <w:szCs w:val="24"/>
        </w:rPr>
        <w:t>These</w:t>
      </w:r>
      <w:r w:rsidR="00C93EE6">
        <w:rPr>
          <w:rFonts w:ascii="Times New Roman" w:hAnsi="Times New Roman" w:cs="Times New Roman"/>
          <w:sz w:val="24"/>
          <w:szCs w:val="24"/>
        </w:rPr>
        <w:t xml:space="preserve"> northern</w:t>
      </w:r>
      <w:r w:rsidR="00453AF3" w:rsidRPr="00DF1151">
        <w:rPr>
          <w:rFonts w:ascii="Times New Roman" w:hAnsi="Times New Roman" w:cs="Times New Roman"/>
          <w:sz w:val="24"/>
          <w:szCs w:val="24"/>
        </w:rPr>
        <w:t xml:space="preserve"> face drainages contain deeper soils and are more forested than their counterparts to the south.</w:t>
      </w:r>
      <w:r w:rsidR="003F3BDB" w:rsidRPr="00DF1151">
        <w:rPr>
          <w:rFonts w:ascii="Times New Roman" w:hAnsi="Times New Roman" w:cs="Times New Roman"/>
          <w:sz w:val="24"/>
          <w:szCs w:val="24"/>
        </w:rPr>
        <w:t xml:space="preserve">  Sediment values are not presented for any of the watersheds identified in the Forest Plan</w:t>
      </w:r>
      <w:r w:rsidR="00B42737" w:rsidRPr="00DF1151">
        <w:rPr>
          <w:rFonts w:ascii="Times New Roman" w:hAnsi="Times New Roman" w:cs="Times New Roman"/>
          <w:sz w:val="24"/>
          <w:szCs w:val="24"/>
        </w:rPr>
        <w:t xml:space="preserve"> or the face drainages </w:t>
      </w:r>
      <w:r w:rsidR="00DB2CE1" w:rsidRPr="00DF1151">
        <w:rPr>
          <w:rFonts w:ascii="Times New Roman" w:hAnsi="Times New Roman" w:cs="Times New Roman"/>
          <w:sz w:val="24"/>
          <w:szCs w:val="24"/>
        </w:rPr>
        <w:t>to the north</w:t>
      </w:r>
      <w:r w:rsidR="00B42737" w:rsidRPr="00DF1151">
        <w:rPr>
          <w:rFonts w:ascii="Times New Roman" w:hAnsi="Times New Roman" w:cs="Times New Roman"/>
          <w:sz w:val="24"/>
          <w:szCs w:val="24"/>
        </w:rPr>
        <w:t>.  All values are reported for the much larger</w:t>
      </w:r>
      <w:r w:rsidR="00453AF3" w:rsidRPr="00DF1151">
        <w:rPr>
          <w:rFonts w:ascii="Times New Roman" w:hAnsi="Times New Roman" w:cs="Times New Roman"/>
          <w:sz w:val="24"/>
          <w:szCs w:val="24"/>
        </w:rPr>
        <w:t xml:space="preserve"> </w:t>
      </w:r>
      <w:r w:rsidR="00B42737" w:rsidRPr="00DF1151">
        <w:rPr>
          <w:rFonts w:ascii="Times New Roman" w:hAnsi="Times New Roman" w:cs="Times New Roman"/>
          <w:sz w:val="24"/>
          <w:szCs w:val="24"/>
        </w:rPr>
        <w:t>HUC-12 watershed.  Thus</w:t>
      </w:r>
      <w:r w:rsidR="00DB2CE1" w:rsidRPr="00DF1151">
        <w:rPr>
          <w:rFonts w:ascii="Times New Roman" w:hAnsi="Times New Roman" w:cs="Times New Roman"/>
          <w:sz w:val="24"/>
          <w:szCs w:val="24"/>
        </w:rPr>
        <w:t>,</w:t>
      </w:r>
      <w:r w:rsidR="00B42737" w:rsidRPr="00DF1151">
        <w:rPr>
          <w:rFonts w:ascii="Times New Roman" w:hAnsi="Times New Roman" w:cs="Times New Roman"/>
          <w:sz w:val="24"/>
          <w:szCs w:val="24"/>
        </w:rPr>
        <w:t xml:space="preserve"> most of the sediment is being produced in Deception Gulch or the face drainages to the north, but </w:t>
      </w:r>
      <w:r w:rsidRPr="00DF1151">
        <w:rPr>
          <w:rFonts w:ascii="Times New Roman" w:hAnsi="Times New Roman" w:cs="Times New Roman"/>
          <w:sz w:val="24"/>
          <w:szCs w:val="24"/>
        </w:rPr>
        <w:t xml:space="preserve">sediment production </w:t>
      </w:r>
      <w:r w:rsidR="009A215F" w:rsidRPr="00DF1151">
        <w:rPr>
          <w:rFonts w:ascii="Times New Roman" w:hAnsi="Times New Roman" w:cs="Times New Roman"/>
          <w:sz w:val="24"/>
          <w:szCs w:val="24"/>
        </w:rPr>
        <w:t xml:space="preserve">is </w:t>
      </w:r>
      <w:r w:rsidR="00B42737" w:rsidRPr="00DF1151">
        <w:rPr>
          <w:rFonts w:ascii="Times New Roman" w:hAnsi="Times New Roman" w:cs="Times New Roman"/>
          <w:sz w:val="24"/>
          <w:szCs w:val="24"/>
        </w:rPr>
        <w:t xml:space="preserve">being applied to the larger </w:t>
      </w:r>
      <w:r w:rsidR="00DB2CE1" w:rsidRPr="00DF1151">
        <w:rPr>
          <w:rFonts w:ascii="Times New Roman" w:hAnsi="Times New Roman" w:cs="Times New Roman"/>
          <w:sz w:val="24"/>
          <w:szCs w:val="24"/>
        </w:rPr>
        <w:t>HUC-12 watershed which is mostly roadless and located outside of the project area.  Road density and water yield have been calculated</w:t>
      </w:r>
      <w:r w:rsidR="00DE4805" w:rsidRPr="00DF1151">
        <w:rPr>
          <w:rFonts w:ascii="Times New Roman" w:hAnsi="Times New Roman" w:cs="Times New Roman"/>
          <w:sz w:val="24"/>
          <w:szCs w:val="24"/>
        </w:rPr>
        <w:t xml:space="preserve"> similarly.</w:t>
      </w:r>
    </w:p>
    <w:p w14:paraId="5F5BE697" w14:textId="77777777" w:rsidR="00C6283F" w:rsidRPr="00DF1151" w:rsidRDefault="00C6283F" w:rsidP="004A1308">
      <w:pPr>
        <w:spacing w:after="0"/>
        <w:rPr>
          <w:rFonts w:ascii="Times New Roman" w:hAnsi="Times New Roman" w:cs="Times New Roman"/>
          <w:sz w:val="24"/>
          <w:szCs w:val="24"/>
        </w:rPr>
      </w:pPr>
    </w:p>
    <w:p w14:paraId="45D5EA29" w14:textId="7BF89F71" w:rsidR="004E4D84" w:rsidRPr="00DF1151" w:rsidRDefault="00C6283F" w:rsidP="004A1308">
      <w:pPr>
        <w:spacing w:after="0"/>
        <w:rPr>
          <w:rFonts w:ascii="Times New Roman" w:hAnsi="Times New Roman" w:cs="Times New Roman"/>
          <w:sz w:val="24"/>
          <w:szCs w:val="24"/>
        </w:rPr>
      </w:pPr>
      <w:r w:rsidRPr="00DF1151">
        <w:rPr>
          <w:rFonts w:ascii="Times New Roman" w:hAnsi="Times New Roman" w:cs="Times New Roman"/>
          <w:sz w:val="24"/>
          <w:szCs w:val="24"/>
        </w:rPr>
        <w:t>All four</w:t>
      </w:r>
      <w:r w:rsidR="00832B45" w:rsidRPr="00DF1151">
        <w:rPr>
          <w:rFonts w:ascii="Times New Roman" w:hAnsi="Times New Roman" w:cs="Times New Roman"/>
          <w:sz w:val="24"/>
          <w:szCs w:val="24"/>
        </w:rPr>
        <w:t xml:space="preserve"> of the </w:t>
      </w:r>
      <w:r w:rsidRPr="00DF1151">
        <w:rPr>
          <w:rFonts w:ascii="Times New Roman" w:hAnsi="Times New Roman" w:cs="Times New Roman"/>
          <w:sz w:val="24"/>
          <w:szCs w:val="24"/>
        </w:rPr>
        <w:t>HUC</w:t>
      </w:r>
      <w:r w:rsidR="00DE4805" w:rsidRPr="00DF1151">
        <w:rPr>
          <w:rFonts w:ascii="Times New Roman" w:hAnsi="Times New Roman" w:cs="Times New Roman"/>
          <w:sz w:val="24"/>
          <w:szCs w:val="24"/>
        </w:rPr>
        <w:t>-12</w:t>
      </w:r>
      <w:r w:rsidRPr="00DF1151">
        <w:rPr>
          <w:rFonts w:ascii="Times New Roman" w:hAnsi="Times New Roman" w:cs="Times New Roman"/>
          <w:sz w:val="24"/>
          <w:szCs w:val="24"/>
        </w:rPr>
        <w:t xml:space="preserve"> watersheds</w:t>
      </w:r>
      <w:r w:rsidR="004A1308" w:rsidRPr="00DF1151">
        <w:rPr>
          <w:rFonts w:ascii="Times New Roman" w:hAnsi="Times New Roman" w:cs="Times New Roman"/>
          <w:sz w:val="24"/>
          <w:szCs w:val="24"/>
        </w:rPr>
        <w:t xml:space="preserve"> </w:t>
      </w:r>
      <w:r w:rsidR="00DE4805" w:rsidRPr="00DF1151">
        <w:rPr>
          <w:rFonts w:ascii="Times New Roman" w:hAnsi="Times New Roman" w:cs="Times New Roman"/>
          <w:sz w:val="24"/>
          <w:szCs w:val="24"/>
        </w:rPr>
        <w:t>used in the watershed report have large unroaded areas</w:t>
      </w:r>
      <w:r w:rsidR="00832B45" w:rsidRPr="00DF1151">
        <w:rPr>
          <w:rFonts w:ascii="Times New Roman" w:hAnsi="Times New Roman" w:cs="Times New Roman"/>
          <w:sz w:val="24"/>
          <w:szCs w:val="24"/>
        </w:rPr>
        <w:t>, and three of the HUC-12 watersheds contain large areas</w:t>
      </w:r>
      <w:r w:rsidR="00DE4805" w:rsidRPr="00DF1151">
        <w:rPr>
          <w:rFonts w:ascii="Times New Roman" w:hAnsi="Times New Roman" w:cs="Times New Roman"/>
          <w:sz w:val="24"/>
          <w:szCs w:val="24"/>
        </w:rPr>
        <w:t xml:space="preserve"> </w:t>
      </w:r>
      <w:r w:rsidR="00832B45" w:rsidRPr="00DF1151">
        <w:rPr>
          <w:rFonts w:ascii="Times New Roman" w:hAnsi="Times New Roman" w:cs="Times New Roman"/>
          <w:sz w:val="24"/>
          <w:szCs w:val="24"/>
        </w:rPr>
        <w:t xml:space="preserve">outside of the project area. </w:t>
      </w:r>
      <w:r w:rsidR="009A215F" w:rsidRPr="00DF1151">
        <w:rPr>
          <w:rFonts w:ascii="Times New Roman" w:hAnsi="Times New Roman" w:cs="Times New Roman"/>
          <w:sz w:val="24"/>
          <w:szCs w:val="24"/>
        </w:rPr>
        <w:t>The only HUC-12 watershed that occurs</w:t>
      </w:r>
      <w:r w:rsidR="004E4D84" w:rsidRPr="00DF1151">
        <w:rPr>
          <w:rFonts w:ascii="Times New Roman" w:hAnsi="Times New Roman" w:cs="Times New Roman"/>
          <w:sz w:val="24"/>
          <w:szCs w:val="24"/>
        </w:rPr>
        <w:t xml:space="preserve"> entirely</w:t>
      </w:r>
      <w:r w:rsidR="009A215F" w:rsidRPr="00DF1151">
        <w:rPr>
          <w:rFonts w:ascii="Times New Roman" w:hAnsi="Times New Roman" w:cs="Times New Roman"/>
          <w:sz w:val="24"/>
          <w:szCs w:val="24"/>
        </w:rPr>
        <w:t xml:space="preserve"> in the project area is Deadwood/Moose</w:t>
      </w:r>
      <w:r w:rsidR="004E4D84" w:rsidRPr="00DF1151">
        <w:rPr>
          <w:rFonts w:ascii="Times New Roman" w:hAnsi="Times New Roman" w:cs="Times New Roman"/>
          <w:sz w:val="24"/>
          <w:szCs w:val="24"/>
        </w:rPr>
        <w:t xml:space="preserve"> and </w:t>
      </w:r>
      <w:r w:rsidR="009A215F" w:rsidRPr="00DF1151">
        <w:rPr>
          <w:rFonts w:ascii="Times New Roman" w:hAnsi="Times New Roman" w:cs="Times New Roman"/>
          <w:sz w:val="24"/>
          <w:szCs w:val="24"/>
        </w:rPr>
        <w:t xml:space="preserve">that </w:t>
      </w:r>
      <w:r w:rsidR="004E4D84" w:rsidRPr="00DF1151">
        <w:rPr>
          <w:rFonts w:ascii="Times New Roman" w:hAnsi="Times New Roman" w:cs="Times New Roman"/>
          <w:sz w:val="24"/>
          <w:szCs w:val="24"/>
        </w:rPr>
        <w:t>watershed is mostly roadless</w:t>
      </w:r>
      <w:r w:rsidR="00601C69" w:rsidRPr="00DF1151">
        <w:rPr>
          <w:rFonts w:ascii="Times New Roman" w:hAnsi="Times New Roman" w:cs="Times New Roman"/>
          <w:sz w:val="24"/>
          <w:szCs w:val="24"/>
        </w:rPr>
        <w:t xml:space="preserve"> (Figure </w:t>
      </w:r>
      <w:r w:rsidR="00861B9D" w:rsidRPr="00DF1151">
        <w:rPr>
          <w:rFonts w:ascii="Times New Roman" w:hAnsi="Times New Roman" w:cs="Times New Roman"/>
          <w:sz w:val="24"/>
          <w:szCs w:val="24"/>
        </w:rPr>
        <w:t>2</w:t>
      </w:r>
      <w:r w:rsidR="00601C69" w:rsidRPr="00DF1151">
        <w:rPr>
          <w:rFonts w:ascii="Times New Roman" w:hAnsi="Times New Roman" w:cs="Times New Roman"/>
          <w:sz w:val="24"/>
          <w:szCs w:val="24"/>
        </w:rPr>
        <w:t>)</w:t>
      </w:r>
      <w:r w:rsidR="004E4D84" w:rsidRPr="00DF1151">
        <w:rPr>
          <w:rFonts w:ascii="Times New Roman" w:hAnsi="Times New Roman" w:cs="Times New Roman"/>
          <w:sz w:val="24"/>
          <w:szCs w:val="24"/>
        </w:rPr>
        <w:t xml:space="preserve">.  </w:t>
      </w:r>
      <w:r w:rsidR="00021C97" w:rsidRPr="00DF1151">
        <w:rPr>
          <w:rFonts w:ascii="Times New Roman" w:hAnsi="Times New Roman" w:cs="Times New Roman"/>
          <w:sz w:val="24"/>
          <w:szCs w:val="24"/>
        </w:rPr>
        <w:t xml:space="preserve">Harvest units in this </w:t>
      </w:r>
      <w:r w:rsidR="0038528D" w:rsidRPr="00DF1151">
        <w:rPr>
          <w:rFonts w:ascii="Times New Roman" w:hAnsi="Times New Roman" w:cs="Times New Roman"/>
          <w:sz w:val="24"/>
          <w:szCs w:val="24"/>
        </w:rPr>
        <w:t xml:space="preserve">HUC-12 </w:t>
      </w:r>
      <w:r w:rsidR="00021C97" w:rsidRPr="00DF1151">
        <w:rPr>
          <w:rFonts w:ascii="Times New Roman" w:hAnsi="Times New Roman" w:cs="Times New Roman"/>
          <w:sz w:val="24"/>
          <w:szCs w:val="24"/>
        </w:rPr>
        <w:t>drainage are generally located within or ne</w:t>
      </w:r>
      <w:r w:rsidR="00430073" w:rsidRPr="00DF1151">
        <w:rPr>
          <w:rFonts w:ascii="Times New Roman" w:hAnsi="Times New Roman" w:cs="Times New Roman"/>
          <w:sz w:val="24"/>
          <w:szCs w:val="24"/>
        </w:rPr>
        <w:t>a</w:t>
      </w:r>
      <w:r w:rsidR="00021C97" w:rsidRPr="00DF1151">
        <w:rPr>
          <w:rFonts w:ascii="Times New Roman" w:hAnsi="Times New Roman" w:cs="Times New Roman"/>
          <w:sz w:val="24"/>
          <w:szCs w:val="24"/>
        </w:rPr>
        <w:t xml:space="preserve">r the Independence drainage, which has had a great deal of active mining and past harvest.  </w:t>
      </w:r>
      <w:r w:rsidR="00656B94">
        <w:rPr>
          <w:rFonts w:ascii="Times New Roman" w:hAnsi="Times New Roman" w:cs="Times New Roman"/>
          <w:sz w:val="24"/>
          <w:szCs w:val="24"/>
        </w:rPr>
        <w:t xml:space="preserve">Independence Creek is immediately adjacent to Osier Creek where most other project activities are occurring.  </w:t>
      </w:r>
      <w:r w:rsidR="004E4D84" w:rsidRPr="00DF1151">
        <w:rPr>
          <w:rFonts w:ascii="Times New Roman" w:hAnsi="Times New Roman" w:cs="Times New Roman"/>
          <w:sz w:val="24"/>
          <w:szCs w:val="24"/>
        </w:rPr>
        <w:t>There are several prescribed burning units</w:t>
      </w:r>
      <w:r w:rsidR="00021C97" w:rsidRPr="00DF1151">
        <w:rPr>
          <w:rFonts w:ascii="Times New Roman" w:hAnsi="Times New Roman" w:cs="Times New Roman"/>
          <w:sz w:val="24"/>
          <w:szCs w:val="24"/>
        </w:rPr>
        <w:t xml:space="preserve"> </w:t>
      </w:r>
      <w:r w:rsidR="00430073" w:rsidRPr="00DF1151">
        <w:rPr>
          <w:rFonts w:ascii="Times New Roman" w:hAnsi="Times New Roman" w:cs="Times New Roman"/>
          <w:sz w:val="24"/>
          <w:szCs w:val="24"/>
        </w:rPr>
        <w:t>located in the roadless portion of this HUC-12</w:t>
      </w:r>
      <w:r w:rsidR="004C6998" w:rsidRPr="00DF1151">
        <w:rPr>
          <w:rFonts w:ascii="Times New Roman" w:hAnsi="Times New Roman" w:cs="Times New Roman"/>
          <w:sz w:val="24"/>
          <w:szCs w:val="24"/>
        </w:rPr>
        <w:t xml:space="preserve"> watershed, but no logging or road construction</w:t>
      </w:r>
      <w:r w:rsidR="00656B94">
        <w:rPr>
          <w:rFonts w:ascii="Times New Roman" w:hAnsi="Times New Roman" w:cs="Times New Roman"/>
          <w:sz w:val="24"/>
          <w:szCs w:val="24"/>
        </w:rPr>
        <w:t xml:space="preserve"> in that portion of the </w:t>
      </w:r>
      <w:r w:rsidR="00E26969">
        <w:rPr>
          <w:rFonts w:ascii="Times New Roman" w:hAnsi="Times New Roman" w:cs="Times New Roman"/>
          <w:sz w:val="24"/>
          <w:szCs w:val="24"/>
        </w:rPr>
        <w:t xml:space="preserve">Deadwood/Moose </w:t>
      </w:r>
      <w:r w:rsidR="00656B94">
        <w:rPr>
          <w:rFonts w:ascii="Times New Roman" w:hAnsi="Times New Roman" w:cs="Times New Roman"/>
          <w:sz w:val="24"/>
          <w:szCs w:val="24"/>
        </w:rPr>
        <w:t>HUC-12 watershed</w:t>
      </w:r>
      <w:r w:rsidR="004C6998" w:rsidRPr="00DF1151">
        <w:rPr>
          <w:rFonts w:ascii="Times New Roman" w:hAnsi="Times New Roman" w:cs="Times New Roman"/>
          <w:sz w:val="24"/>
          <w:szCs w:val="24"/>
        </w:rPr>
        <w:t>.</w:t>
      </w:r>
      <w:r w:rsidR="00350A77" w:rsidRPr="00DF1151">
        <w:rPr>
          <w:rFonts w:ascii="Times New Roman" w:hAnsi="Times New Roman" w:cs="Times New Roman"/>
          <w:sz w:val="24"/>
          <w:szCs w:val="24"/>
        </w:rPr>
        <w:t xml:space="preserve"> </w:t>
      </w:r>
    </w:p>
    <w:p w14:paraId="74283CFA" w14:textId="77777777" w:rsidR="00350A77" w:rsidRPr="00DF1151" w:rsidRDefault="00350A77" w:rsidP="004A1308">
      <w:pPr>
        <w:spacing w:after="0"/>
        <w:rPr>
          <w:rFonts w:ascii="Times New Roman" w:hAnsi="Times New Roman" w:cs="Times New Roman"/>
          <w:sz w:val="24"/>
          <w:szCs w:val="24"/>
        </w:rPr>
      </w:pPr>
    </w:p>
    <w:p w14:paraId="67D4FA13" w14:textId="009C0463" w:rsidR="004C6998" w:rsidRPr="00DF1151" w:rsidRDefault="004C6998" w:rsidP="004A1308">
      <w:pPr>
        <w:spacing w:after="0"/>
        <w:rPr>
          <w:rFonts w:ascii="Times New Roman" w:hAnsi="Times New Roman" w:cs="Times New Roman"/>
          <w:sz w:val="24"/>
          <w:szCs w:val="24"/>
        </w:rPr>
      </w:pPr>
      <w:r w:rsidRPr="00DF1151">
        <w:rPr>
          <w:rFonts w:ascii="Times New Roman" w:hAnsi="Times New Roman" w:cs="Times New Roman"/>
          <w:sz w:val="24"/>
          <w:szCs w:val="24"/>
        </w:rPr>
        <w:t>The watershed analysis needs to be redone to display potential impacts to the drainages listed in Appendix K of the Forest Plan.  Realistic expectations need to be made regarding the likelihood of mass wasting events and some level of risk assessment need</w:t>
      </w:r>
      <w:r w:rsidR="00BD3502" w:rsidRPr="00DF1151">
        <w:rPr>
          <w:rFonts w:ascii="Times New Roman" w:hAnsi="Times New Roman" w:cs="Times New Roman"/>
          <w:sz w:val="24"/>
          <w:szCs w:val="24"/>
        </w:rPr>
        <w:t xml:space="preserve">s to be made regarding the implementation of best management practices.  Time and time again the Forest Service has </w:t>
      </w:r>
      <w:r w:rsidR="00BD3502" w:rsidRPr="00DF1151">
        <w:rPr>
          <w:rFonts w:ascii="Times New Roman" w:hAnsi="Times New Roman" w:cs="Times New Roman"/>
          <w:sz w:val="24"/>
          <w:szCs w:val="24"/>
        </w:rPr>
        <w:lastRenderedPageBreak/>
        <w:t>projected that their activities will produce no measurable amounts of sediment</w:t>
      </w:r>
      <w:r w:rsidR="00A7776B" w:rsidRPr="00DF1151">
        <w:rPr>
          <w:rFonts w:ascii="Times New Roman" w:hAnsi="Times New Roman" w:cs="Times New Roman"/>
          <w:sz w:val="24"/>
          <w:szCs w:val="24"/>
        </w:rPr>
        <w:t xml:space="preserve"> and that best management practices will protect water quality only to have </w:t>
      </w:r>
      <w:r w:rsidR="004444C5" w:rsidRPr="00DF1151">
        <w:rPr>
          <w:rFonts w:ascii="Times New Roman" w:hAnsi="Times New Roman" w:cs="Times New Roman"/>
          <w:sz w:val="24"/>
          <w:szCs w:val="24"/>
        </w:rPr>
        <w:t xml:space="preserve">those </w:t>
      </w:r>
      <w:r w:rsidR="00A7776B" w:rsidRPr="00DF1151">
        <w:rPr>
          <w:rFonts w:ascii="Times New Roman" w:hAnsi="Times New Roman" w:cs="Times New Roman"/>
          <w:sz w:val="24"/>
          <w:szCs w:val="24"/>
        </w:rPr>
        <w:t xml:space="preserve">practices not live up to </w:t>
      </w:r>
      <w:r w:rsidR="004444C5" w:rsidRPr="00DF1151">
        <w:rPr>
          <w:rFonts w:ascii="Times New Roman" w:hAnsi="Times New Roman" w:cs="Times New Roman"/>
          <w:sz w:val="24"/>
          <w:szCs w:val="24"/>
        </w:rPr>
        <w:t xml:space="preserve">expectations </w:t>
      </w:r>
      <w:r w:rsidR="00A7776B" w:rsidRPr="00DF1151">
        <w:rPr>
          <w:rFonts w:ascii="Times New Roman" w:hAnsi="Times New Roman" w:cs="Times New Roman"/>
          <w:sz w:val="24"/>
          <w:szCs w:val="24"/>
        </w:rPr>
        <w:t>in actual practice.   Monitoring efforts by Friends of the Clearwater</w:t>
      </w:r>
      <w:r w:rsidR="004444C5" w:rsidRPr="00DF1151">
        <w:rPr>
          <w:rFonts w:ascii="Times New Roman" w:hAnsi="Times New Roman" w:cs="Times New Roman"/>
          <w:sz w:val="24"/>
          <w:szCs w:val="24"/>
        </w:rPr>
        <w:t xml:space="preserve"> </w:t>
      </w:r>
      <w:r w:rsidR="004404D2" w:rsidRPr="00DF1151">
        <w:rPr>
          <w:rFonts w:ascii="Times New Roman" w:hAnsi="Times New Roman" w:cs="Times New Roman"/>
          <w:sz w:val="24"/>
          <w:szCs w:val="24"/>
        </w:rPr>
        <w:t>and others have</w:t>
      </w:r>
      <w:r w:rsidR="004444C5" w:rsidRPr="00DF1151">
        <w:rPr>
          <w:rFonts w:ascii="Times New Roman" w:hAnsi="Times New Roman" w:cs="Times New Roman"/>
          <w:sz w:val="24"/>
          <w:szCs w:val="24"/>
        </w:rPr>
        <w:t xml:space="preserve"> documented many instances where best management practices</w:t>
      </w:r>
      <w:r w:rsidR="00FC75F6" w:rsidRPr="00DF1151">
        <w:rPr>
          <w:rFonts w:ascii="Times New Roman" w:hAnsi="Times New Roman" w:cs="Times New Roman"/>
          <w:sz w:val="24"/>
          <w:szCs w:val="24"/>
        </w:rPr>
        <w:t xml:space="preserve"> have failed to achieve Forest Service claims</w:t>
      </w:r>
      <w:r w:rsidR="003D6AA6" w:rsidRPr="00DF1151">
        <w:rPr>
          <w:rFonts w:ascii="Times New Roman" w:hAnsi="Times New Roman" w:cs="Times New Roman"/>
          <w:sz w:val="24"/>
          <w:szCs w:val="24"/>
        </w:rPr>
        <w:t xml:space="preserve">.  </w:t>
      </w:r>
    </w:p>
    <w:p w14:paraId="708B720B" w14:textId="30A2FBD2" w:rsidR="0098301B" w:rsidRPr="00DF1151" w:rsidRDefault="0098301B" w:rsidP="00866E24">
      <w:pPr>
        <w:spacing w:after="0"/>
        <w:rPr>
          <w:rFonts w:ascii="Times New Roman" w:hAnsi="Times New Roman" w:cs="Times New Roman"/>
          <w:sz w:val="24"/>
          <w:szCs w:val="24"/>
        </w:rPr>
      </w:pPr>
    </w:p>
    <w:p w14:paraId="20BE2A27" w14:textId="77777777" w:rsidR="008C584D" w:rsidRDefault="008C584D" w:rsidP="00866E24">
      <w:pPr>
        <w:spacing w:after="0"/>
        <w:rPr>
          <w:rFonts w:ascii="Times New Roman" w:hAnsi="Times New Roman" w:cs="Times New Roman"/>
          <w:sz w:val="24"/>
          <w:szCs w:val="24"/>
        </w:rPr>
      </w:pPr>
    </w:p>
    <w:p w14:paraId="6789B8F3" w14:textId="3C8F86E4" w:rsidR="00A03711" w:rsidRPr="00DF1151" w:rsidRDefault="00A03711" w:rsidP="00A03711">
      <w:pPr>
        <w:spacing w:after="0"/>
        <w:rPr>
          <w:rFonts w:ascii="Times New Roman" w:hAnsi="Times New Roman" w:cs="Times New Roman"/>
          <w:b/>
          <w:bCs/>
          <w:sz w:val="24"/>
          <w:szCs w:val="24"/>
        </w:rPr>
      </w:pPr>
      <w:r w:rsidRPr="00DF1151">
        <w:rPr>
          <w:rFonts w:ascii="Times New Roman" w:hAnsi="Times New Roman" w:cs="Times New Roman"/>
          <w:b/>
          <w:bCs/>
          <w:sz w:val="24"/>
          <w:szCs w:val="24"/>
        </w:rPr>
        <w:t xml:space="preserve">Figure </w:t>
      </w:r>
      <w:r>
        <w:rPr>
          <w:rFonts w:ascii="Times New Roman" w:hAnsi="Times New Roman" w:cs="Times New Roman"/>
          <w:b/>
          <w:bCs/>
          <w:sz w:val="24"/>
          <w:szCs w:val="24"/>
        </w:rPr>
        <w:t>1</w:t>
      </w:r>
      <w:r w:rsidRPr="00DF1151">
        <w:rPr>
          <w:rFonts w:ascii="Times New Roman" w:hAnsi="Times New Roman" w:cs="Times New Roman"/>
          <w:b/>
          <w:bCs/>
          <w:sz w:val="24"/>
          <w:szCs w:val="24"/>
        </w:rPr>
        <w:t xml:space="preserve"> – HUC-12 drainages used in both the Watershed Analysis</w:t>
      </w:r>
    </w:p>
    <w:p w14:paraId="29891D77" w14:textId="77777777" w:rsidR="00A03711" w:rsidRPr="00DF1151" w:rsidRDefault="00A03711" w:rsidP="00A03711">
      <w:pPr>
        <w:spacing w:after="0"/>
        <w:rPr>
          <w:rFonts w:ascii="Times New Roman" w:hAnsi="Times New Roman" w:cs="Times New Roman"/>
          <w:sz w:val="24"/>
          <w:szCs w:val="24"/>
        </w:rPr>
      </w:pPr>
    </w:p>
    <w:p w14:paraId="0C3C3A3F" w14:textId="77777777" w:rsidR="00A03711" w:rsidRPr="00DF1151" w:rsidRDefault="00A03711" w:rsidP="00A03711">
      <w:pPr>
        <w:spacing w:after="0"/>
        <w:rPr>
          <w:rFonts w:ascii="Times New Roman" w:hAnsi="Times New Roman" w:cs="Times New Roman"/>
          <w:sz w:val="24"/>
          <w:szCs w:val="24"/>
        </w:rPr>
      </w:pPr>
      <w:r w:rsidRPr="00DF1151">
        <w:rPr>
          <w:rFonts w:ascii="Times New Roman" w:hAnsi="Times New Roman" w:cs="Times New Roman"/>
          <w:noProof/>
          <w:sz w:val="24"/>
          <w:szCs w:val="24"/>
        </w:rPr>
        <w:drawing>
          <wp:inline distT="0" distB="0" distL="0" distR="0" wp14:anchorId="0DA379FC" wp14:editId="538B78D6">
            <wp:extent cx="5943600" cy="4288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5943600" cy="4288155"/>
                    </a:xfrm>
                    <a:prstGeom prst="rect">
                      <a:avLst/>
                    </a:prstGeom>
                  </pic:spPr>
                </pic:pic>
              </a:graphicData>
            </a:graphic>
          </wp:inline>
        </w:drawing>
      </w:r>
    </w:p>
    <w:p w14:paraId="7D933875" w14:textId="77777777" w:rsidR="00A03711" w:rsidRPr="00DF1151" w:rsidRDefault="00A03711" w:rsidP="00A03711">
      <w:pPr>
        <w:spacing w:after="0"/>
        <w:rPr>
          <w:rFonts w:ascii="Times New Roman" w:hAnsi="Times New Roman" w:cs="Times New Roman"/>
          <w:sz w:val="24"/>
          <w:szCs w:val="24"/>
        </w:rPr>
      </w:pPr>
    </w:p>
    <w:p w14:paraId="6812AA48" w14:textId="7AE43B26" w:rsidR="00A03711" w:rsidRPr="00DF1151" w:rsidRDefault="00A03711" w:rsidP="00866E24">
      <w:pPr>
        <w:spacing w:after="0"/>
        <w:rPr>
          <w:rFonts w:ascii="Times New Roman" w:hAnsi="Times New Roman" w:cs="Times New Roman"/>
          <w:sz w:val="24"/>
          <w:szCs w:val="24"/>
        </w:rPr>
        <w:sectPr w:rsidR="00A03711" w:rsidRPr="00DF1151" w:rsidSect="008C584D">
          <w:footerReference w:type="default" r:id="rId9"/>
          <w:type w:val="continuous"/>
          <w:pgSz w:w="12240" w:h="15840"/>
          <w:pgMar w:top="1440" w:right="1440" w:bottom="1440" w:left="1440" w:header="720" w:footer="720" w:gutter="0"/>
          <w:cols w:space="720"/>
          <w:titlePg/>
          <w:docGrid w:linePitch="360"/>
        </w:sectPr>
      </w:pPr>
    </w:p>
    <w:p w14:paraId="56D6F231" w14:textId="3E5D3790" w:rsidR="003E1547" w:rsidRPr="00DF1151" w:rsidRDefault="003E1547">
      <w:pPr>
        <w:rPr>
          <w:rFonts w:ascii="Times New Roman" w:hAnsi="Times New Roman" w:cs="Times New Roman"/>
          <w:b/>
          <w:bCs/>
          <w:noProof/>
          <w:sz w:val="24"/>
          <w:szCs w:val="24"/>
        </w:rPr>
      </w:pPr>
      <w:r w:rsidRPr="00DF1151">
        <w:rPr>
          <w:rFonts w:ascii="Times New Roman" w:hAnsi="Times New Roman" w:cs="Times New Roman"/>
          <w:b/>
          <w:bCs/>
          <w:noProof/>
          <w:sz w:val="24"/>
          <w:szCs w:val="24"/>
        </w:rPr>
        <w:lastRenderedPageBreak/>
        <w:t xml:space="preserve">Figure  </w:t>
      </w:r>
      <w:r w:rsidR="00B8436F">
        <w:rPr>
          <w:rFonts w:ascii="Times New Roman" w:hAnsi="Times New Roman" w:cs="Times New Roman"/>
          <w:b/>
          <w:bCs/>
          <w:noProof/>
          <w:sz w:val="24"/>
          <w:szCs w:val="24"/>
        </w:rPr>
        <w:t>2</w:t>
      </w:r>
      <w:r w:rsidRPr="00DF1151">
        <w:rPr>
          <w:rFonts w:ascii="Times New Roman" w:hAnsi="Times New Roman" w:cs="Times New Roman"/>
          <w:b/>
          <w:bCs/>
          <w:noProof/>
          <w:sz w:val="24"/>
          <w:szCs w:val="24"/>
        </w:rPr>
        <w:t>- Forest Plan Appendix K  Waterheds</w:t>
      </w:r>
    </w:p>
    <w:p w14:paraId="125898A8" w14:textId="77777777" w:rsidR="003E1547" w:rsidRPr="00DF1151" w:rsidRDefault="003E1547">
      <w:pPr>
        <w:rPr>
          <w:rFonts w:ascii="Times New Roman" w:hAnsi="Times New Roman" w:cs="Times New Roman"/>
          <w:b/>
          <w:bCs/>
          <w:noProof/>
          <w:sz w:val="24"/>
          <w:szCs w:val="24"/>
        </w:rPr>
      </w:pPr>
    </w:p>
    <w:p w14:paraId="58520CE7" w14:textId="6CF03966" w:rsidR="004C6998" w:rsidRPr="00DF1151" w:rsidRDefault="00E60BDD">
      <w:pPr>
        <w:rPr>
          <w:rFonts w:ascii="Times New Roman" w:hAnsi="Times New Roman" w:cs="Times New Roman"/>
          <w:b/>
          <w:bCs/>
          <w:sz w:val="24"/>
          <w:szCs w:val="24"/>
        </w:rPr>
      </w:pPr>
      <w:r w:rsidRPr="00DF1151">
        <w:rPr>
          <w:rFonts w:ascii="Times New Roman" w:hAnsi="Times New Roman" w:cs="Times New Roman"/>
          <w:b/>
          <w:bCs/>
          <w:noProof/>
          <w:sz w:val="24"/>
          <w:szCs w:val="24"/>
        </w:rPr>
        <w:drawing>
          <wp:inline distT="0" distB="0" distL="0" distR="0" wp14:anchorId="1753C3D3" wp14:editId="7A29850E">
            <wp:extent cx="7181850" cy="518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7233365" cy="5218767"/>
                    </a:xfrm>
                    <a:prstGeom prst="rect">
                      <a:avLst/>
                    </a:prstGeom>
                  </pic:spPr>
                </pic:pic>
              </a:graphicData>
            </a:graphic>
          </wp:inline>
        </w:drawing>
      </w:r>
      <w:r w:rsidR="004C6998" w:rsidRPr="00DF1151">
        <w:rPr>
          <w:rFonts w:ascii="Times New Roman" w:hAnsi="Times New Roman" w:cs="Times New Roman"/>
          <w:b/>
          <w:bCs/>
          <w:sz w:val="24"/>
          <w:szCs w:val="24"/>
        </w:rPr>
        <w:br w:type="page"/>
      </w:r>
    </w:p>
    <w:p w14:paraId="7E19CD66" w14:textId="77777777" w:rsidR="00AE0891" w:rsidRPr="00DF1151" w:rsidRDefault="00AE0891" w:rsidP="00866E24">
      <w:pPr>
        <w:spacing w:after="0"/>
        <w:rPr>
          <w:rFonts w:ascii="Times New Roman" w:hAnsi="Times New Roman" w:cs="Times New Roman"/>
          <w:b/>
          <w:bCs/>
          <w:sz w:val="24"/>
          <w:szCs w:val="24"/>
        </w:rPr>
        <w:sectPr w:rsidR="00AE0891" w:rsidRPr="00DF1151" w:rsidSect="003E1547">
          <w:pgSz w:w="15840" w:h="12240" w:orient="landscape"/>
          <w:pgMar w:top="1440" w:right="1440" w:bottom="1440" w:left="1440" w:header="720" w:footer="720" w:gutter="0"/>
          <w:cols w:space="720"/>
          <w:titlePg/>
          <w:docGrid w:linePitch="360"/>
        </w:sectPr>
      </w:pPr>
    </w:p>
    <w:p w14:paraId="62CBA127" w14:textId="3415955D" w:rsidR="00875988" w:rsidRPr="00DF1151" w:rsidRDefault="00B63E15" w:rsidP="00866E24">
      <w:pPr>
        <w:spacing w:after="0"/>
        <w:rPr>
          <w:rFonts w:ascii="Times New Roman" w:hAnsi="Times New Roman" w:cs="Times New Roman"/>
          <w:sz w:val="24"/>
          <w:szCs w:val="24"/>
        </w:rPr>
      </w:pPr>
      <w:r w:rsidRPr="00DF1151">
        <w:rPr>
          <w:rFonts w:ascii="Times New Roman" w:hAnsi="Times New Roman" w:cs="Times New Roman"/>
          <w:b/>
          <w:bCs/>
          <w:sz w:val="24"/>
          <w:szCs w:val="24"/>
        </w:rPr>
        <w:lastRenderedPageBreak/>
        <w:t xml:space="preserve">Table 1 - </w:t>
      </w:r>
      <w:r w:rsidR="00875988" w:rsidRPr="00DF1151">
        <w:rPr>
          <w:rFonts w:ascii="Times New Roman" w:hAnsi="Times New Roman" w:cs="Times New Roman"/>
          <w:b/>
          <w:bCs/>
          <w:sz w:val="24"/>
          <w:szCs w:val="24"/>
        </w:rPr>
        <w:t>Forest Plan Drainages with Fisheries Standards</w:t>
      </w:r>
    </w:p>
    <w:p w14:paraId="64DCE30C" w14:textId="08FF29CA" w:rsidR="00EB0852" w:rsidRPr="00DF1151" w:rsidRDefault="00EB0852" w:rsidP="00866E2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65"/>
        <w:gridCol w:w="1149"/>
        <w:gridCol w:w="1149"/>
        <w:gridCol w:w="1205"/>
        <w:gridCol w:w="1062"/>
        <w:gridCol w:w="1820"/>
      </w:tblGrid>
      <w:tr w:rsidR="00C6283F" w:rsidRPr="00DF1151" w14:paraId="4247B7EB" w14:textId="77777777" w:rsidTr="00C6283F">
        <w:tc>
          <w:tcPr>
            <w:tcW w:w="2965" w:type="dxa"/>
          </w:tcPr>
          <w:p w14:paraId="6CB90EB1" w14:textId="4F542EC7"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Stream Name</w:t>
            </w:r>
          </w:p>
        </w:tc>
        <w:tc>
          <w:tcPr>
            <w:tcW w:w="1149" w:type="dxa"/>
          </w:tcPr>
          <w:p w14:paraId="5DDA3DCD" w14:textId="0DB16D1E"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Acres</w:t>
            </w:r>
          </w:p>
        </w:tc>
        <w:tc>
          <w:tcPr>
            <w:tcW w:w="1149" w:type="dxa"/>
          </w:tcPr>
          <w:p w14:paraId="30A2A72A" w14:textId="06469BF8"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Forest Plan Objective (CE)</w:t>
            </w:r>
          </w:p>
        </w:tc>
        <w:tc>
          <w:tcPr>
            <w:tcW w:w="1205" w:type="dxa"/>
          </w:tcPr>
          <w:p w14:paraId="1B41881B" w14:textId="7EC98F73"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Jones &amp; Murphy (1997)</w:t>
            </w:r>
          </w:p>
        </w:tc>
        <w:tc>
          <w:tcPr>
            <w:tcW w:w="1062" w:type="dxa"/>
          </w:tcPr>
          <w:p w14:paraId="12758F2B" w14:textId="2193209F"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Reach Survey Year</w:t>
            </w:r>
          </w:p>
        </w:tc>
        <w:tc>
          <w:tcPr>
            <w:tcW w:w="1820" w:type="dxa"/>
          </w:tcPr>
          <w:p w14:paraId="194E1A17" w14:textId="5CEE475C"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Cobble Embeddedness (%)</w:t>
            </w:r>
            <w:r w:rsidR="004C6E1E" w:rsidRPr="00DF1151">
              <w:rPr>
                <w:rFonts w:ascii="Times New Roman" w:hAnsi="Times New Roman" w:cs="Times New Roman"/>
                <w:sz w:val="24"/>
                <w:szCs w:val="24"/>
              </w:rPr>
              <w:t xml:space="preserve"> – Fisheries Report</w:t>
            </w:r>
          </w:p>
        </w:tc>
      </w:tr>
      <w:tr w:rsidR="00C6283F" w:rsidRPr="00DF1151" w14:paraId="0AFE3364" w14:textId="77777777" w:rsidTr="00C6283F">
        <w:tc>
          <w:tcPr>
            <w:tcW w:w="2965" w:type="dxa"/>
          </w:tcPr>
          <w:p w14:paraId="7759C844" w14:textId="7D4E2D80"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 xml:space="preserve">Deception Gulch </w:t>
            </w:r>
          </w:p>
        </w:tc>
        <w:tc>
          <w:tcPr>
            <w:tcW w:w="1149" w:type="dxa"/>
          </w:tcPr>
          <w:p w14:paraId="473A785C" w14:textId="33E0C716" w:rsidR="00C6283F" w:rsidRPr="00DF1151" w:rsidRDefault="00F32D1D" w:rsidP="00866E24">
            <w:pPr>
              <w:rPr>
                <w:rFonts w:ascii="Times New Roman" w:hAnsi="Times New Roman" w:cs="Times New Roman"/>
                <w:sz w:val="24"/>
                <w:szCs w:val="24"/>
              </w:rPr>
            </w:pPr>
            <w:r w:rsidRPr="00DF1151">
              <w:rPr>
                <w:rFonts w:ascii="Times New Roman" w:hAnsi="Times New Roman" w:cs="Times New Roman"/>
                <w:sz w:val="24"/>
                <w:szCs w:val="24"/>
              </w:rPr>
              <w:t>2859</w:t>
            </w:r>
          </w:p>
        </w:tc>
        <w:tc>
          <w:tcPr>
            <w:tcW w:w="1149" w:type="dxa"/>
          </w:tcPr>
          <w:p w14:paraId="257D8C86" w14:textId="1881D0F8"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40-45</w:t>
            </w:r>
          </w:p>
        </w:tc>
        <w:tc>
          <w:tcPr>
            <w:tcW w:w="1205" w:type="dxa"/>
          </w:tcPr>
          <w:p w14:paraId="2C828BC5" w14:textId="4B4F1177"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N/D</w:t>
            </w:r>
          </w:p>
        </w:tc>
        <w:tc>
          <w:tcPr>
            <w:tcW w:w="1062" w:type="dxa"/>
          </w:tcPr>
          <w:p w14:paraId="4A64CF8A" w14:textId="3C0F281C"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2019</w:t>
            </w:r>
          </w:p>
        </w:tc>
        <w:tc>
          <w:tcPr>
            <w:tcW w:w="1820" w:type="dxa"/>
          </w:tcPr>
          <w:p w14:paraId="187ABE45" w14:textId="74099E91"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32.7</w:t>
            </w:r>
          </w:p>
        </w:tc>
      </w:tr>
      <w:tr w:rsidR="00C6283F" w:rsidRPr="00DF1151" w14:paraId="24D643AE" w14:textId="77777777" w:rsidTr="00C6283F">
        <w:tc>
          <w:tcPr>
            <w:tcW w:w="2965" w:type="dxa"/>
          </w:tcPr>
          <w:p w14:paraId="411A18B5" w14:textId="3BA2A17C"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 xml:space="preserve">Comet Cr  </w:t>
            </w:r>
          </w:p>
        </w:tc>
        <w:tc>
          <w:tcPr>
            <w:tcW w:w="1149" w:type="dxa"/>
          </w:tcPr>
          <w:p w14:paraId="0722EEC4" w14:textId="16AE13B4" w:rsidR="00C6283F" w:rsidRPr="00DF1151" w:rsidRDefault="00F32D1D" w:rsidP="00866E24">
            <w:pPr>
              <w:rPr>
                <w:rFonts w:ascii="Times New Roman" w:hAnsi="Times New Roman" w:cs="Times New Roman"/>
                <w:sz w:val="24"/>
                <w:szCs w:val="24"/>
              </w:rPr>
            </w:pPr>
            <w:r w:rsidRPr="00DF1151">
              <w:rPr>
                <w:rFonts w:ascii="Times New Roman" w:hAnsi="Times New Roman" w:cs="Times New Roman"/>
                <w:sz w:val="24"/>
                <w:szCs w:val="24"/>
              </w:rPr>
              <w:t>2202</w:t>
            </w:r>
          </w:p>
        </w:tc>
        <w:tc>
          <w:tcPr>
            <w:tcW w:w="1149" w:type="dxa"/>
          </w:tcPr>
          <w:p w14:paraId="6C013181" w14:textId="29283917"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25-30</w:t>
            </w:r>
          </w:p>
        </w:tc>
        <w:tc>
          <w:tcPr>
            <w:tcW w:w="1205" w:type="dxa"/>
          </w:tcPr>
          <w:p w14:paraId="4A9C7A42" w14:textId="1E9A0307"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highlight w:val="yellow"/>
              </w:rPr>
              <w:t>33</w:t>
            </w:r>
          </w:p>
        </w:tc>
        <w:tc>
          <w:tcPr>
            <w:tcW w:w="1062" w:type="dxa"/>
          </w:tcPr>
          <w:p w14:paraId="2132BDF5" w14:textId="2738D6FD"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1995</w:t>
            </w:r>
          </w:p>
        </w:tc>
        <w:tc>
          <w:tcPr>
            <w:tcW w:w="1820" w:type="dxa"/>
          </w:tcPr>
          <w:p w14:paraId="32AE308E" w14:textId="6919E66A"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highlight w:val="yellow"/>
              </w:rPr>
              <w:t>37.3</w:t>
            </w:r>
          </w:p>
        </w:tc>
      </w:tr>
      <w:tr w:rsidR="00C6283F" w:rsidRPr="00DF1151" w14:paraId="6B8F8935" w14:textId="77777777" w:rsidTr="00C6283F">
        <w:tc>
          <w:tcPr>
            <w:tcW w:w="2965" w:type="dxa"/>
          </w:tcPr>
          <w:p w14:paraId="7E57EC83" w14:textId="7516FCBF"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 xml:space="preserve">Lake Cr </w:t>
            </w:r>
          </w:p>
        </w:tc>
        <w:tc>
          <w:tcPr>
            <w:tcW w:w="1149" w:type="dxa"/>
          </w:tcPr>
          <w:p w14:paraId="2ED6A608" w14:textId="607B01E9" w:rsidR="00C6283F" w:rsidRPr="00DF1151" w:rsidRDefault="007810A7" w:rsidP="00866E24">
            <w:pPr>
              <w:rPr>
                <w:rFonts w:ascii="Times New Roman" w:hAnsi="Times New Roman" w:cs="Times New Roman"/>
                <w:sz w:val="24"/>
                <w:szCs w:val="24"/>
              </w:rPr>
            </w:pPr>
            <w:r w:rsidRPr="00DF1151">
              <w:rPr>
                <w:rFonts w:ascii="Times New Roman" w:hAnsi="Times New Roman" w:cs="Times New Roman"/>
                <w:sz w:val="24"/>
                <w:szCs w:val="24"/>
              </w:rPr>
              <w:t>5411</w:t>
            </w:r>
          </w:p>
        </w:tc>
        <w:tc>
          <w:tcPr>
            <w:tcW w:w="1149" w:type="dxa"/>
          </w:tcPr>
          <w:p w14:paraId="7ED67FF0" w14:textId="622E8CA6"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30-35</w:t>
            </w:r>
          </w:p>
        </w:tc>
        <w:tc>
          <w:tcPr>
            <w:tcW w:w="1205" w:type="dxa"/>
          </w:tcPr>
          <w:p w14:paraId="713FCF8E" w14:textId="6D2C285B"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22</w:t>
            </w:r>
          </w:p>
        </w:tc>
        <w:tc>
          <w:tcPr>
            <w:tcW w:w="1062" w:type="dxa"/>
          </w:tcPr>
          <w:p w14:paraId="0E195AA6" w14:textId="700B015A"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1990</w:t>
            </w:r>
          </w:p>
        </w:tc>
        <w:tc>
          <w:tcPr>
            <w:tcW w:w="1820" w:type="dxa"/>
          </w:tcPr>
          <w:p w14:paraId="7DB74BEC" w14:textId="4CC98F73"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22.9</w:t>
            </w:r>
          </w:p>
        </w:tc>
      </w:tr>
      <w:tr w:rsidR="00C6283F" w:rsidRPr="00DF1151" w14:paraId="11956EEE" w14:textId="77777777" w:rsidTr="00C6283F">
        <w:tc>
          <w:tcPr>
            <w:tcW w:w="2965" w:type="dxa"/>
          </w:tcPr>
          <w:p w14:paraId="67DB5055" w14:textId="25665E9A"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Moose Cr</w:t>
            </w:r>
            <w:r w:rsidR="00F32D1D" w:rsidRPr="00DF1151">
              <w:rPr>
                <w:rFonts w:ascii="Times New Roman" w:hAnsi="Times New Roman" w:cs="Times New Roman"/>
                <w:sz w:val="24"/>
                <w:szCs w:val="24"/>
              </w:rPr>
              <w:t xml:space="preserve"> (Lower)</w:t>
            </w:r>
          </w:p>
        </w:tc>
        <w:tc>
          <w:tcPr>
            <w:tcW w:w="1149" w:type="dxa"/>
          </w:tcPr>
          <w:p w14:paraId="1A1471BF" w14:textId="05B9BF00" w:rsidR="00C6283F" w:rsidRPr="00DF1151" w:rsidRDefault="0044696D" w:rsidP="00866E24">
            <w:pPr>
              <w:rPr>
                <w:rFonts w:ascii="Times New Roman" w:hAnsi="Times New Roman" w:cs="Times New Roman"/>
                <w:sz w:val="24"/>
                <w:szCs w:val="24"/>
              </w:rPr>
            </w:pPr>
            <w:r w:rsidRPr="00DF1151">
              <w:rPr>
                <w:rFonts w:ascii="Times New Roman" w:hAnsi="Times New Roman" w:cs="Times New Roman"/>
                <w:sz w:val="24"/>
                <w:szCs w:val="24"/>
              </w:rPr>
              <w:t>2999</w:t>
            </w:r>
          </w:p>
        </w:tc>
        <w:tc>
          <w:tcPr>
            <w:tcW w:w="1149" w:type="dxa"/>
          </w:tcPr>
          <w:p w14:paraId="7044EA80" w14:textId="7BAC3FB1"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30-35</w:t>
            </w:r>
          </w:p>
        </w:tc>
        <w:tc>
          <w:tcPr>
            <w:tcW w:w="1205" w:type="dxa"/>
          </w:tcPr>
          <w:p w14:paraId="0E72948A" w14:textId="57D20B6D" w:rsidR="00C6283F" w:rsidRPr="00DF1151" w:rsidRDefault="00C6283F" w:rsidP="00866E24">
            <w:pPr>
              <w:rPr>
                <w:rFonts w:ascii="Times New Roman" w:hAnsi="Times New Roman" w:cs="Times New Roman"/>
                <w:sz w:val="24"/>
                <w:szCs w:val="24"/>
              </w:rPr>
            </w:pPr>
            <w:r w:rsidRPr="00DF1151">
              <w:rPr>
                <w:rFonts w:ascii="Times New Roman" w:hAnsi="Times New Roman" w:cs="Times New Roman"/>
                <w:sz w:val="24"/>
                <w:szCs w:val="24"/>
              </w:rPr>
              <w:t>28</w:t>
            </w:r>
          </w:p>
        </w:tc>
        <w:tc>
          <w:tcPr>
            <w:tcW w:w="1062" w:type="dxa"/>
          </w:tcPr>
          <w:p w14:paraId="63A5A824" w14:textId="2171A52B" w:rsidR="00C6283F" w:rsidRPr="00DF1151" w:rsidRDefault="00C6283F" w:rsidP="00866E24">
            <w:pPr>
              <w:rPr>
                <w:rFonts w:ascii="Times New Roman" w:hAnsi="Times New Roman" w:cs="Times New Roman"/>
                <w:sz w:val="24"/>
                <w:szCs w:val="24"/>
              </w:rPr>
            </w:pPr>
          </w:p>
        </w:tc>
        <w:tc>
          <w:tcPr>
            <w:tcW w:w="1820" w:type="dxa"/>
          </w:tcPr>
          <w:p w14:paraId="6530500E" w14:textId="488495BF" w:rsidR="00C6283F" w:rsidRPr="00DF1151" w:rsidRDefault="00C6283F" w:rsidP="00866E24">
            <w:pPr>
              <w:rPr>
                <w:rFonts w:ascii="Times New Roman" w:hAnsi="Times New Roman" w:cs="Times New Roman"/>
                <w:sz w:val="24"/>
                <w:szCs w:val="24"/>
              </w:rPr>
            </w:pPr>
          </w:p>
        </w:tc>
      </w:tr>
      <w:tr w:rsidR="00C6283F" w:rsidRPr="00DF1151" w14:paraId="6C274857" w14:textId="77777777" w:rsidTr="00C6283F">
        <w:tc>
          <w:tcPr>
            <w:tcW w:w="2965" w:type="dxa"/>
          </w:tcPr>
          <w:p w14:paraId="67DA48B0" w14:textId="62F43411"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 xml:space="preserve">  Osier Cr</w:t>
            </w:r>
            <w:r w:rsidR="00F32D1D" w:rsidRPr="00DF1151">
              <w:rPr>
                <w:rFonts w:ascii="Times New Roman" w:hAnsi="Times New Roman" w:cs="Times New Roman"/>
                <w:sz w:val="24"/>
                <w:szCs w:val="24"/>
              </w:rPr>
              <w:t xml:space="preserve"> (Lower)</w:t>
            </w:r>
            <w:r w:rsidRPr="00DF1151">
              <w:rPr>
                <w:rFonts w:ascii="Times New Roman" w:hAnsi="Times New Roman" w:cs="Times New Roman"/>
                <w:sz w:val="24"/>
                <w:szCs w:val="24"/>
              </w:rPr>
              <w:t xml:space="preserve">  </w:t>
            </w:r>
          </w:p>
        </w:tc>
        <w:tc>
          <w:tcPr>
            <w:tcW w:w="1149" w:type="dxa"/>
          </w:tcPr>
          <w:p w14:paraId="00430002" w14:textId="41E10D56" w:rsidR="00C6283F" w:rsidRPr="00DF1151" w:rsidRDefault="0044696D" w:rsidP="007532BC">
            <w:pPr>
              <w:rPr>
                <w:rFonts w:ascii="Times New Roman" w:hAnsi="Times New Roman" w:cs="Times New Roman"/>
                <w:sz w:val="24"/>
                <w:szCs w:val="24"/>
              </w:rPr>
            </w:pPr>
            <w:r w:rsidRPr="00DF1151">
              <w:rPr>
                <w:rFonts w:ascii="Times New Roman" w:hAnsi="Times New Roman" w:cs="Times New Roman"/>
                <w:sz w:val="24"/>
                <w:szCs w:val="24"/>
              </w:rPr>
              <w:t xml:space="preserve"> </w:t>
            </w:r>
            <w:r w:rsidR="00F32D1D" w:rsidRPr="00DF1151">
              <w:rPr>
                <w:rFonts w:ascii="Times New Roman" w:hAnsi="Times New Roman" w:cs="Times New Roman"/>
                <w:sz w:val="24"/>
                <w:szCs w:val="24"/>
              </w:rPr>
              <w:t>690</w:t>
            </w:r>
          </w:p>
        </w:tc>
        <w:tc>
          <w:tcPr>
            <w:tcW w:w="1149" w:type="dxa"/>
          </w:tcPr>
          <w:p w14:paraId="3C237243" w14:textId="1D5C7D63"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30-35</w:t>
            </w:r>
          </w:p>
        </w:tc>
        <w:tc>
          <w:tcPr>
            <w:tcW w:w="1205" w:type="dxa"/>
          </w:tcPr>
          <w:p w14:paraId="36E34484" w14:textId="310138DA"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highlight w:val="yellow"/>
              </w:rPr>
              <w:t>48</w:t>
            </w:r>
          </w:p>
        </w:tc>
        <w:tc>
          <w:tcPr>
            <w:tcW w:w="1062" w:type="dxa"/>
          </w:tcPr>
          <w:p w14:paraId="47C83D11" w14:textId="16EEDA91"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2019</w:t>
            </w:r>
          </w:p>
        </w:tc>
        <w:tc>
          <w:tcPr>
            <w:tcW w:w="1820" w:type="dxa"/>
          </w:tcPr>
          <w:p w14:paraId="67DB8918" w14:textId="64439835"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highlight w:val="yellow"/>
              </w:rPr>
              <w:t>58</w:t>
            </w:r>
          </w:p>
        </w:tc>
      </w:tr>
      <w:tr w:rsidR="00C6283F" w:rsidRPr="00DF1151" w14:paraId="1A39F987" w14:textId="77777777" w:rsidTr="00C6283F">
        <w:tc>
          <w:tcPr>
            <w:tcW w:w="2965" w:type="dxa"/>
          </w:tcPr>
          <w:p w14:paraId="42626047" w14:textId="03188203"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 xml:space="preserve">   Osier Ck (Above China)</w:t>
            </w:r>
          </w:p>
        </w:tc>
        <w:tc>
          <w:tcPr>
            <w:tcW w:w="1149" w:type="dxa"/>
          </w:tcPr>
          <w:p w14:paraId="067A32D0" w14:textId="7D83819A" w:rsidR="00C6283F" w:rsidRPr="00DF1151" w:rsidRDefault="00F32D1D" w:rsidP="007532BC">
            <w:pPr>
              <w:rPr>
                <w:rFonts w:ascii="Times New Roman" w:hAnsi="Times New Roman" w:cs="Times New Roman"/>
                <w:sz w:val="24"/>
                <w:szCs w:val="24"/>
              </w:rPr>
            </w:pPr>
            <w:r w:rsidRPr="00DF1151">
              <w:rPr>
                <w:rFonts w:ascii="Times New Roman" w:hAnsi="Times New Roman" w:cs="Times New Roman"/>
                <w:sz w:val="24"/>
                <w:szCs w:val="24"/>
              </w:rPr>
              <w:t>1511</w:t>
            </w:r>
          </w:p>
        </w:tc>
        <w:tc>
          <w:tcPr>
            <w:tcW w:w="1149" w:type="dxa"/>
          </w:tcPr>
          <w:p w14:paraId="53146A46" w14:textId="2563F351"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25-30</w:t>
            </w:r>
          </w:p>
        </w:tc>
        <w:tc>
          <w:tcPr>
            <w:tcW w:w="1205" w:type="dxa"/>
          </w:tcPr>
          <w:p w14:paraId="513DF3B8" w14:textId="6613345E"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highlight w:val="yellow"/>
              </w:rPr>
              <w:t>56</w:t>
            </w:r>
          </w:p>
        </w:tc>
        <w:tc>
          <w:tcPr>
            <w:tcW w:w="1062" w:type="dxa"/>
          </w:tcPr>
          <w:p w14:paraId="50BBB016" w14:textId="77777777" w:rsidR="00C6283F" w:rsidRPr="00DF1151" w:rsidRDefault="00C6283F" w:rsidP="007532BC">
            <w:pPr>
              <w:rPr>
                <w:rFonts w:ascii="Times New Roman" w:hAnsi="Times New Roman" w:cs="Times New Roman"/>
                <w:sz w:val="24"/>
                <w:szCs w:val="24"/>
              </w:rPr>
            </w:pPr>
          </w:p>
        </w:tc>
        <w:tc>
          <w:tcPr>
            <w:tcW w:w="1820" w:type="dxa"/>
          </w:tcPr>
          <w:p w14:paraId="4B5F1874" w14:textId="77777777" w:rsidR="00C6283F" w:rsidRPr="00DF1151" w:rsidRDefault="00C6283F" w:rsidP="007532BC">
            <w:pPr>
              <w:rPr>
                <w:rFonts w:ascii="Times New Roman" w:hAnsi="Times New Roman" w:cs="Times New Roman"/>
                <w:sz w:val="24"/>
                <w:szCs w:val="24"/>
              </w:rPr>
            </w:pPr>
          </w:p>
        </w:tc>
      </w:tr>
      <w:tr w:rsidR="00C6283F" w:rsidRPr="00DF1151" w14:paraId="034C10D8" w14:textId="77777777" w:rsidTr="00C6283F">
        <w:tc>
          <w:tcPr>
            <w:tcW w:w="2965" w:type="dxa"/>
          </w:tcPr>
          <w:p w14:paraId="54678B89" w14:textId="13FA2036"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 xml:space="preserve">      WF Osier</w:t>
            </w:r>
          </w:p>
        </w:tc>
        <w:tc>
          <w:tcPr>
            <w:tcW w:w="1149" w:type="dxa"/>
          </w:tcPr>
          <w:p w14:paraId="1707E0EA" w14:textId="4DC4D5EF"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1372</w:t>
            </w:r>
          </w:p>
        </w:tc>
        <w:tc>
          <w:tcPr>
            <w:tcW w:w="1149" w:type="dxa"/>
          </w:tcPr>
          <w:p w14:paraId="59481E09" w14:textId="18FC02E6"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30-35</w:t>
            </w:r>
          </w:p>
        </w:tc>
        <w:tc>
          <w:tcPr>
            <w:tcW w:w="1205" w:type="dxa"/>
          </w:tcPr>
          <w:p w14:paraId="495FBB41" w14:textId="135A7229"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highlight w:val="yellow"/>
              </w:rPr>
              <w:t>77</w:t>
            </w:r>
          </w:p>
        </w:tc>
        <w:tc>
          <w:tcPr>
            <w:tcW w:w="1062" w:type="dxa"/>
          </w:tcPr>
          <w:p w14:paraId="2360E674" w14:textId="3BB44447" w:rsidR="00C6283F" w:rsidRPr="00DF1151" w:rsidRDefault="00C6283F" w:rsidP="007532BC">
            <w:pPr>
              <w:rPr>
                <w:rFonts w:ascii="Times New Roman" w:hAnsi="Times New Roman" w:cs="Times New Roman"/>
                <w:sz w:val="24"/>
                <w:szCs w:val="24"/>
              </w:rPr>
            </w:pPr>
          </w:p>
        </w:tc>
        <w:tc>
          <w:tcPr>
            <w:tcW w:w="1820" w:type="dxa"/>
          </w:tcPr>
          <w:p w14:paraId="5775C841" w14:textId="77B37C4B" w:rsidR="00C6283F" w:rsidRPr="00DF1151" w:rsidRDefault="00C6283F" w:rsidP="007532BC">
            <w:pPr>
              <w:rPr>
                <w:rFonts w:ascii="Times New Roman" w:hAnsi="Times New Roman" w:cs="Times New Roman"/>
                <w:sz w:val="24"/>
                <w:szCs w:val="24"/>
              </w:rPr>
            </w:pPr>
          </w:p>
        </w:tc>
      </w:tr>
      <w:tr w:rsidR="00C6283F" w:rsidRPr="00DF1151" w14:paraId="36F6476F" w14:textId="77777777" w:rsidTr="00C6283F">
        <w:tc>
          <w:tcPr>
            <w:tcW w:w="2965" w:type="dxa"/>
          </w:tcPr>
          <w:p w14:paraId="0F4DD335" w14:textId="50A04071"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 xml:space="preserve">        Osier abv WF</w:t>
            </w:r>
          </w:p>
        </w:tc>
        <w:tc>
          <w:tcPr>
            <w:tcW w:w="1149" w:type="dxa"/>
          </w:tcPr>
          <w:p w14:paraId="16F5882C" w14:textId="70BC2306"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1594</w:t>
            </w:r>
          </w:p>
        </w:tc>
        <w:tc>
          <w:tcPr>
            <w:tcW w:w="1149" w:type="dxa"/>
          </w:tcPr>
          <w:p w14:paraId="47349A74" w14:textId="244C1CB1"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35-40</w:t>
            </w:r>
          </w:p>
        </w:tc>
        <w:tc>
          <w:tcPr>
            <w:tcW w:w="1205" w:type="dxa"/>
          </w:tcPr>
          <w:p w14:paraId="1929F682" w14:textId="452DD14B"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highlight w:val="yellow"/>
              </w:rPr>
              <w:t>84</w:t>
            </w:r>
          </w:p>
        </w:tc>
        <w:tc>
          <w:tcPr>
            <w:tcW w:w="1062" w:type="dxa"/>
          </w:tcPr>
          <w:p w14:paraId="37AC5446" w14:textId="789F7A76" w:rsidR="00C6283F" w:rsidRPr="00DF1151" w:rsidRDefault="00C6283F" w:rsidP="007532BC">
            <w:pPr>
              <w:rPr>
                <w:rFonts w:ascii="Times New Roman" w:hAnsi="Times New Roman" w:cs="Times New Roman"/>
                <w:sz w:val="24"/>
                <w:szCs w:val="24"/>
              </w:rPr>
            </w:pPr>
          </w:p>
        </w:tc>
        <w:tc>
          <w:tcPr>
            <w:tcW w:w="1820" w:type="dxa"/>
          </w:tcPr>
          <w:p w14:paraId="6929C7DC" w14:textId="77777777" w:rsidR="00C6283F" w:rsidRPr="00DF1151" w:rsidRDefault="00C6283F" w:rsidP="007532BC">
            <w:pPr>
              <w:rPr>
                <w:rFonts w:ascii="Times New Roman" w:hAnsi="Times New Roman" w:cs="Times New Roman"/>
                <w:sz w:val="24"/>
                <w:szCs w:val="24"/>
              </w:rPr>
            </w:pPr>
          </w:p>
        </w:tc>
      </w:tr>
      <w:tr w:rsidR="00C6283F" w:rsidRPr="00DF1151" w14:paraId="1B5CCB8D" w14:textId="77777777" w:rsidTr="00C6283F">
        <w:tc>
          <w:tcPr>
            <w:tcW w:w="2965" w:type="dxa"/>
          </w:tcPr>
          <w:p w14:paraId="182ED822" w14:textId="3278C485"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 xml:space="preserve">   China Cr </w:t>
            </w:r>
          </w:p>
        </w:tc>
        <w:tc>
          <w:tcPr>
            <w:tcW w:w="1149" w:type="dxa"/>
          </w:tcPr>
          <w:p w14:paraId="135E3CF0" w14:textId="2657AC90" w:rsidR="00C6283F" w:rsidRPr="00DF1151" w:rsidRDefault="007810A7" w:rsidP="007532BC">
            <w:pPr>
              <w:rPr>
                <w:rFonts w:ascii="Times New Roman" w:hAnsi="Times New Roman" w:cs="Times New Roman"/>
                <w:sz w:val="24"/>
                <w:szCs w:val="24"/>
              </w:rPr>
            </w:pPr>
            <w:r w:rsidRPr="00DF1151">
              <w:rPr>
                <w:rFonts w:ascii="Times New Roman" w:hAnsi="Times New Roman" w:cs="Times New Roman"/>
                <w:sz w:val="24"/>
                <w:szCs w:val="24"/>
              </w:rPr>
              <w:t>2764</w:t>
            </w:r>
          </w:p>
        </w:tc>
        <w:tc>
          <w:tcPr>
            <w:tcW w:w="1149" w:type="dxa"/>
          </w:tcPr>
          <w:p w14:paraId="147638CD" w14:textId="6475B99A"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25-30</w:t>
            </w:r>
          </w:p>
        </w:tc>
        <w:tc>
          <w:tcPr>
            <w:tcW w:w="1205" w:type="dxa"/>
          </w:tcPr>
          <w:p w14:paraId="04451B2B" w14:textId="7687E47A"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highlight w:val="yellow"/>
              </w:rPr>
              <w:t>57</w:t>
            </w:r>
          </w:p>
        </w:tc>
        <w:tc>
          <w:tcPr>
            <w:tcW w:w="1062" w:type="dxa"/>
          </w:tcPr>
          <w:p w14:paraId="58264387" w14:textId="3B4D1621"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2019</w:t>
            </w:r>
          </w:p>
        </w:tc>
        <w:tc>
          <w:tcPr>
            <w:tcW w:w="1820" w:type="dxa"/>
          </w:tcPr>
          <w:p w14:paraId="4EF98535" w14:textId="1756C99B"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highlight w:val="yellow"/>
              </w:rPr>
              <w:t>49.8</w:t>
            </w:r>
          </w:p>
        </w:tc>
      </w:tr>
      <w:tr w:rsidR="00C6283F" w:rsidRPr="00DF1151" w14:paraId="0B731A6C" w14:textId="77777777" w:rsidTr="00C6283F">
        <w:tc>
          <w:tcPr>
            <w:tcW w:w="2965" w:type="dxa"/>
          </w:tcPr>
          <w:p w14:paraId="51F9AB13" w14:textId="4A037DAF"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 xml:space="preserve">   Laundry Cr </w:t>
            </w:r>
          </w:p>
        </w:tc>
        <w:tc>
          <w:tcPr>
            <w:tcW w:w="1149" w:type="dxa"/>
          </w:tcPr>
          <w:p w14:paraId="41619D88" w14:textId="6E69AB3E" w:rsidR="00C6283F" w:rsidRPr="00DF1151" w:rsidRDefault="007810A7" w:rsidP="007532BC">
            <w:pPr>
              <w:rPr>
                <w:rFonts w:ascii="Times New Roman" w:hAnsi="Times New Roman" w:cs="Times New Roman"/>
                <w:sz w:val="24"/>
                <w:szCs w:val="24"/>
              </w:rPr>
            </w:pPr>
            <w:r w:rsidRPr="00DF1151">
              <w:rPr>
                <w:rFonts w:ascii="Times New Roman" w:hAnsi="Times New Roman" w:cs="Times New Roman"/>
                <w:sz w:val="24"/>
                <w:szCs w:val="24"/>
              </w:rPr>
              <w:t>1953</w:t>
            </w:r>
          </w:p>
        </w:tc>
        <w:tc>
          <w:tcPr>
            <w:tcW w:w="1149" w:type="dxa"/>
          </w:tcPr>
          <w:p w14:paraId="0C5C2EF2" w14:textId="21547D8F"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25-30</w:t>
            </w:r>
          </w:p>
        </w:tc>
        <w:tc>
          <w:tcPr>
            <w:tcW w:w="1205" w:type="dxa"/>
          </w:tcPr>
          <w:p w14:paraId="4D552D83" w14:textId="16825D0D"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highlight w:val="yellow"/>
              </w:rPr>
              <w:t>56</w:t>
            </w:r>
          </w:p>
        </w:tc>
        <w:tc>
          <w:tcPr>
            <w:tcW w:w="1062" w:type="dxa"/>
          </w:tcPr>
          <w:p w14:paraId="7224E359" w14:textId="2A534AA8" w:rsidR="00C6283F" w:rsidRPr="00DF1151" w:rsidRDefault="00C6283F" w:rsidP="007532BC">
            <w:pPr>
              <w:rPr>
                <w:rFonts w:ascii="Times New Roman" w:hAnsi="Times New Roman" w:cs="Times New Roman"/>
                <w:sz w:val="24"/>
                <w:szCs w:val="24"/>
              </w:rPr>
            </w:pPr>
            <w:r w:rsidRPr="00DF1151">
              <w:rPr>
                <w:rFonts w:ascii="Times New Roman" w:hAnsi="Times New Roman" w:cs="Times New Roman"/>
                <w:sz w:val="24"/>
                <w:szCs w:val="24"/>
              </w:rPr>
              <w:t>1994</w:t>
            </w:r>
          </w:p>
        </w:tc>
        <w:tc>
          <w:tcPr>
            <w:tcW w:w="1820" w:type="dxa"/>
          </w:tcPr>
          <w:p w14:paraId="0C32B94F" w14:textId="5D6793D9" w:rsidR="00C6283F" w:rsidRPr="00DF1151" w:rsidRDefault="0024318C" w:rsidP="007532BC">
            <w:pPr>
              <w:rPr>
                <w:rFonts w:ascii="Times New Roman" w:hAnsi="Times New Roman" w:cs="Times New Roman"/>
                <w:sz w:val="24"/>
                <w:szCs w:val="24"/>
              </w:rPr>
            </w:pPr>
            <w:r w:rsidRPr="0024318C">
              <w:rPr>
                <w:rFonts w:ascii="Times New Roman" w:hAnsi="Times New Roman" w:cs="Times New Roman"/>
                <w:sz w:val="24"/>
                <w:szCs w:val="24"/>
                <w:highlight w:val="yellow"/>
              </w:rPr>
              <w:t>53.2</w:t>
            </w:r>
          </w:p>
        </w:tc>
      </w:tr>
      <w:tr w:rsidR="00C6283F" w:rsidRPr="00DF1151" w14:paraId="493F7D21" w14:textId="77777777" w:rsidTr="00C6283F">
        <w:tc>
          <w:tcPr>
            <w:tcW w:w="2965" w:type="dxa"/>
          </w:tcPr>
          <w:p w14:paraId="286CB3DA" w14:textId="71DE3247" w:rsidR="00C6283F" w:rsidRPr="00DF1151" w:rsidRDefault="00C6283F" w:rsidP="005C142C">
            <w:pPr>
              <w:rPr>
                <w:rFonts w:ascii="Times New Roman" w:hAnsi="Times New Roman" w:cs="Times New Roman"/>
                <w:sz w:val="24"/>
                <w:szCs w:val="24"/>
              </w:rPr>
            </w:pPr>
            <w:r w:rsidRPr="00DF1151">
              <w:rPr>
                <w:rFonts w:ascii="Times New Roman" w:hAnsi="Times New Roman" w:cs="Times New Roman"/>
                <w:sz w:val="24"/>
                <w:szCs w:val="24"/>
              </w:rPr>
              <w:t xml:space="preserve">      Sugar Cr </w:t>
            </w:r>
          </w:p>
        </w:tc>
        <w:tc>
          <w:tcPr>
            <w:tcW w:w="1149" w:type="dxa"/>
          </w:tcPr>
          <w:p w14:paraId="6F132F93" w14:textId="3F440F9D" w:rsidR="00C6283F" w:rsidRPr="00DF1151" w:rsidRDefault="00F32D1D" w:rsidP="005C142C">
            <w:pPr>
              <w:rPr>
                <w:rFonts w:ascii="Times New Roman" w:hAnsi="Times New Roman" w:cs="Times New Roman"/>
                <w:sz w:val="24"/>
                <w:szCs w:val="24"/>
              </w:rPr>
            </w:pPr>
            <w:r w:rsidRPr="00DF1151">
              <w:rPr>
                <w:rFonts w:ascii="Times New Roman" w:hAnsi="Times New Roman" w:cs="Times New Roman"/>
                <w:sz w:val="24"/>
                <w:szCs w:val="24"/>
              </w:rPr>
              <w:t>2360</w:t>
            </w:r>
          </w:p>
        </w:tc>
        <w:tc>
          <w:tcPr>
            <w:tcW w:w="1149" w:type="dxa"/>
          </w:tcPr>
          <w:p w14:paraId="6D3C7B66" w14:textId="58E5484A" w:rsidR="00C6283F" w:rsidRPr="00DF1151" w:rsidRDefault="00C6283F" w:rsidP="005C142C">
            <w:pPr>
              <w:rPr>
                <w:rFonts w:ascii="Times New Roman" w:hAnsi="Times New Roman" w:cs="Times New Roman"/>
                <w:sz w:val="24"/>
                <w:szCs w:val="24"/>
              </w:rPr>
            </w:pPr>
            <w:r w:rsidRPr="00DF1151">
              <w:rPr>
                <w:rFonts w:ascii="Times New Roman" w:hAnsi="Times New Roman" w:cs="Times New Roman"/>
                <w:sz w:val="24"/>
                <w:szCs w:val="24"/>
              </w:rPr>
              <w:t>30-35</w:t>
            </w:r>
          </w:p>
        </w:tc>
        <w:tc>
          <w:tcPr>
            <w:tcW w:w="1205" w:type="dxa"/>
          </w:tcPr>
          <w:p w14:paraId="4456E3A7" w14:textId="27F3554C" w:rsidR="00C6283F" w:rsidRPr="00DF1151" w:rsidRDefault="00C6283F" w:rsidP="005C142C">
            <w:pPr>
              <w:rPr>
                <w:rFonts w:ascii="Times New Roman" w:hAnsi="Times New Roman" w:cs="Times New Roman"/>
                <w:sz w:val="24"/>
                <w:szCs w:val="24"/>
              </w:rPr>
            </w:pPr>
            <w:r w:rsidRPr="00DF1151">
              <w:rPr>
                <w:rFonts w:ascii="Times New Roman" w:hAnsi="Times New Roman" w:cs="Times New Roman"/>
                <w:sz w:val="24"/>
                <w:szCs w:val="24"/>
                <w:highlight w:val="yellow"/>
              </w:rPr>
              <w:t>64</w:t>
            </w:r>
          </w:p>
        </w:tc>
        <w:tc>
          <w:tcPr>
            <w:tcW w:w="1062" w:type="dxa"/>
          </w:tcPr>
          <w:p w14:paraId="54685136" w14:textId="50DDB8F6" w:rsidR="00C6283F" w:rsidRPr="00DF1151" w:rsidRDefault="00C6283F" w:rsidP="005C142C">
            <w:pPr>
              <w:rPr>
                <w:rFonts w:ascii="Times New Roman" w:hAnsi="Times New Roman" w:cs="Times New Roman"/>
                <w:sz w:val="24"/>
                <w:szCs w:val="24"/>
              </w:rPr>
            </w:pPr>
            <w:r w:rsidRPr="00DF1151">
              <w:rPr>
                <w:rFonts w:ascii="Times New Roman" w:hAnsi="Times New Roman" w:cs="Times New Roman"/>
                <w:sz w:val="24"/>
                <w:szCs w:val="24"/>
              </w:rPr>
              <w:t>2019</w:t>
            </w:r>
          </w:p>
        </w:tc>
        <w:tc>
          <w:tcPr>
            <w:tcW w:w="1820" w:type="dxa"/>
          </w:tcPr>
          <w:p w14:paraId="410072C3" w14:textId="650D9DD1" w:rsidR="00C6283F" w:rsidRPr="00DF1151" w:rsidRDefault="00C6283F" w:rsidP="005C142C">
            <w:pPr>
              <w:rPr>
                <w:rFonts w:ascii="Times New Roman" w:hAnsi="Times New Roman" w:cs="Times New Roman"/>
                <w:sz w:val="24"/>
                <w:szCs w:val="24"/>
              </w:rPr>
            </w:pPr>
            <w:r w:rsidRPr="00DF1151">
              <w:rPr>
                <w:rFonts w:ascii="Times New Roman" w:hAnsi="Times New Roman" w:cs="Times New Roman"/>
                <w:sz w:val="24"/>
                <w:szCs w:val="24"/>
                <w:highlight w:val="yellow"/>
              </w:rPr>
              <w:t>35.9</w:t>
            </w:r>
          </w:p>
        </w:tc>
      </w:tr>
      <w:tr w:rsidR="00C6283F" w:rsidRPr="00DF1151" w14:paraId="0FE9C041" w14:textId="77777777" w:rsidTr="00C6283F">
        <w:tc>
          <w:tcPr>
            <w:tcW w:w="2965" w:type="dxa"/>
          </w:tcPr>
          <w:p w14:paraId="7ECBA12A" w14:textId="6F52399A" w:rsidR="00C6283F" w:rsidRPr="00DF1151" w:rsidRDefault="00C6283F" w:rsidP="005C142C">
            <w:pPr>
              <w:rPr>
                <w:rFonts w:ascii="Times New Roman" w:hAnsi="Times New Roman" w:cs="Times New Roman"/>
                <w:sz w:val="24"/>
                <w:szCs w:val="24"/>
              </w:rPr>
            </w:pPr>
            <w:r w:rsidRPr="00DF1151">
              <w:rPr>
                <w:rFonts w:ascii="Times New Roman" w:hAnsi="Times New Roman" w:cs="Times New Roman"/>
                <w:sz w:val="24"/>
                <w:szCs w:val="24"/>
              </w:rPr>
              <w:t xml:space="preserve">  Independence</w:t>
            </w:r>
          </w:p>
        </w:tc>
        <w:tc>
          <w:tcPr>
            <w:tcW w:w="1149" w:type="dxa"/>
          </w:tcPr>
          <w:p w14:paraId="15FEB3DC" w14:textId="6F3DB741" w:rsidR="00C6283F" w:rsidRPr="00DF1151" w:rsidRDefault="00F32D1D" w:rsidP="005C142C">
            <w:pPr>
              <w:rPr>
                <w:rFonts w:ascii="Times New Roman" w:hAnsi="Times New Roman" w:cs="Times New Roman"/>
                <w:sz w:val="24"/>
                <w:szCs w:val="24"/>
              </w:rPr>
            </w:pPr>
            <w:r w:rsidRPr="00DF1151">
              <w:rPr>
                <w:rFonts w:ascii="Times New Roman" w:hAnsi="Times New Roman" w:cs="Times New Roman"/>
                <w:sz w:val="24"/>
                <w:szCs w:val="24"/>
              </w:rPr>
              <w:t>3534</w:t>
            </w:r>
          </w:p>
        </w:tc>
        <w:tc>
          <w:tcPr>
            <w:tcW w:w="1149" w:type="dxa"/>
          </w:tcPr>
          <w:p w14:paraId="64F2B594" w14:textId="09E666EC" w:rsidR="00C6283F" w:rsidRPr="00DF1151" w:rsidRDefault="00C6283F" w:rsidP="005C142C">
            <w:pPr>
              <w:rPr>
                <w:rFonts w:ascii="Times New Roman" w:hAnsi="Times New Roman" w:cs="Times New Roman"/>
                <w:sz w:val="24"/>
                <w:szCs w:val="24"/>
              </w:rPr>
            </w:pPr>
            <w:r w:rsidRPr="00DF1151">
              <w:rPr>
                <w:rFonts w:ascii="Times New Roman" w:hAnsi="Times New Roman" w:cs="Times New Roman"/>
                <w:sz w:val="24"/>
                <w:szCs w:val="24"/>
              </w:rPr>
              <w:t>40</w:t>
            </w:r>
            <w:r w:rsidR="00430073" w:rsidRPr="00DF1151">
              <w:rPr>
                <w:rFonts w:ascii="Times New Roman" w:hAnsi="Times New Roman" w:cs="Times New Roman"/>
                <w:sz w:val="24"/>
                <w:szCs w:val="24"/>
              </w:rPr>
              <w:t>=</w:t>
            </w:r>
            <w:r w:rsidRPr="00DF1151">
              <w:rPr>
                <w:rFonts w:ascii="Times New Roman" w:hAnsi="Times New Roman" w:cs="Times New Roman"/>
                <w:sz w:val="24"/>
                <w:szCs w:val="24"/>
              </w:rPr>
              <w:t>45</w:t>
            </w:r>
          </w:p>
        </w:tc>
        <w:tc>
          <w:tcPr>
            <w:tcW w:w="1205" w:type="dxa"/>
          </w:tcPr>
          <w:p w14:paraId="4E2CC934" w14:textId="06B6C244" w:rsidR="00C6283F" w:rsidRPr="00DF1151" w:rsidRDefault="00C6283F" w:rsidP="005C142C">
            <w:pPr>
              <w:rPr>
                <w:rFonts w:ascii="Times New Roman" w:hAnsi="Times New Roman" w:cs="Times New Roman"/>
                <w:sz w:val="24"/>
                <w:szCs w:val="24"/>
              </w:rPr>
            </w:pPr>
            <w:r w:rsidRPr="00DF1151">
              <w:rPr>
                <w:rFonts w:ascii="Times New Roman" w:hAnsi="Times New Roman" w:cs="Times New Roman"/>
                <w:sz w:val="24"/>
                <w:szCs w:val="24"/>
              </w:rPr>
              <w:t>34</w:t>
            </w:r>
          </w:p>
        </w:tc>
        <w:tc>
          <w:tcPr>
            <w:tcW w:w="1062" w:type="dxa"/>
          </w:tcPr>
          <w:p w14:paraId="272FB2F3" w14:textId="77777777" w:rsidR="00C6283F" w:rsidRPr="00DF1151" w:rsidRDefault="00C6283F" w:rsidP="005C142C">
            <w:pPr>
              <w:rPr>
                <w:rFonts w:ascii="Times New Roman" w:hAnsi="Times New Roman" w:cs="Times New Roman"/>
                <w:sz w:val="24"/>
                <w:szCs w:val="24"/>
              </w:rPr>
            </w:pPr>
          </w:p>
        </w:tc>
        <w:tc>
          <w:tcPr>
            <w:tcW w:w="1820" w:type="dxa"/>
          </w:tcPr>
          <w:p w14:paraId="6BF0CCB2" w14:textId="77777777" w:rsidR="00C6283F" w:rsidRPr="00DF1151" w:rsidRDefault="00C6283F" w:rsidP="005C142C">
            <w:pPr>
              <w:rPr>
                <w:rFonts w:ascii="Times New Roman" w:hAnsi="Times New Roman" w:cs="Times New Roman"/>
                <w:sz w:val="24"/>
                <w:szCs w:val="24"/>
              </w:rPr>
            </w:pPr>
          </w:p>
        </w:tc>
      </w:tr>
      <w:tr w:rsidR="00C6283F" w:rsidRPr="00DF1151" w14:paraId="2C721C31" w14:textId="77777777" w:rsidTr="00C6283F">
        <w:tc>
          <w:tcPr>
            <w:tcW w:w="2965" w:type="dxa"/>
          </w:tcPr>
          <w:p w14:paraId="4F3F10AD" w14:textId="32A698E0" w:rsidR="00C6283F" w:rsidRPr="00DF1151" w:rsidRDefault="00C6283F" w:rsidP="005C142C">
            <w:pPr>
              <w:rPr>
                <w:rFonts w:ascii="Times New Roman" w:hAnsi="Times New Roman" w:cs="Times New Roman"/>
                <w:sz w:val="24"/>
                <w:szCs w:val="24"/>
              </w:rPr>
            </w:pPr>
            <w:r w:rsidRPr="00DF1151">
              <w:rPr>
                <w:rFonts w:ascii="Times New Roman" w:hAnsi="Times New Roman" w:cs="Times New Roman"/>
                <w:sz w:val="24"/>
                <w:szCs w:val="24"/>
              </w:rPr>
              <w:t xml:space="preserve">  Moose (abv Independence)</w:t>
            </w:r>
          </w:p>
        </w:tc>
        <w:tc>
          <w:tcPr>
            <w:tcW w:w="1149" w:type="dxa"/>
          </w:tcPr>
          <w:p w14:paraId="1D64EE2B" w14:textId="09C4998D" w:rsidR="00C6283F" w:rsidRPr="00DF1151" w:rsidRDefault="007810A7" w:rsidP="005C142C">
            <w:pPr>
              <w:rPr>
                <w:rFonts w:ascii="Times New Roman" w:hAnsi="Times New Roman" w:cs="Times New Roman"/>
                <w:sz w:val="24"/>
                <w:szCs w:val="24"/>
              </w:rPr>
            </w:pPr>
            <w:r w:rsidRPr="00DF1151">
              <w:rPr>
                <w:rFonts w:ascii="Times New Roman" w:hAnsi="Times New Roman" w:cs="Times New Roman"/>
                <w:sz w:val="24"/>
                <w:szCs w:val="24"/>
              </w:rPr>
              <w:t>1138</w:t>
            </w:r>
          </w:p>
        </w:tc>
        <w:tc>
          <w:tcPr>
            <w:tcW w:w="1149" w:type="dxa"/>
          </w:tcPr>
          <w:p w14:paraId="0BCF2DF6" w14:textId="6746ACED" w:rsidR="00C6283F" w:rsidRPr="00DF1151" w:rsidRDefault="00C6283F" w:rsidP="005C142C">
            <w:pPr>
              <w:rPr>
                <w:rFonts w:ascii="Times New Roman" w:hAnsi="Times New Roman" w:cs="Times New Roman"/>
                <w:sz w:val="24"/>
                <w:szCs w:val="24"/>
              </w:rPr>
            </w:pPr>
            <w:r w:rsidRPr="00DF1151">
              <w:rPr>
                <w:rFonts w:ascii="Times New Roman" w:hAnsi="Times New Roman" w:cs="Times New Roman"/>
                <w:sz w:val="24"/>
                <w:szCs w:val="24"/>
              </w:rPr>
              <w:t>30-35</w:t>
            </w:r>
          </w:p>
        </w:tc>
        <w:tc>
          <w:tcPr>
            <w:tcW w:w="1205" w:type="dxa"/>
          </w:tcPr>
          <w:p w14:paraId="436A07FD" w14:textId="5EF6EB2D" w:rsidR="00C6283F" w:rsidRPr="00DF1151" w:rsidRDefault="00C6283F" w:rsidP="005C142C">
            <w:pPr>
              <w:rPr>
                <w:rFonts w:ascii="Times New Roman" w:hAnsi="Times New Roman" w:cs="Times New Roman"/>
                <w:sz w:val="24"/>
                <w:szCs w:val="24"/>
              </w:rPr>
            </w:pPr>
            <w:r w:rsidRPr="00DF1151">
              <w:rPr>
                <w:rFonts w:ascii="Times New Roman" w:hAnsi="Times New Roman" w:cs="Times New Roman"/>
                <w:sz w:val="24"/>
                <w:szCs w:val="24"/>
              </w:rPr>
              <w:t>26</w:t>
            </w:r>
          </w:p>
        </w:tc>
        <w:tc>
          <w:tcPr>
            <w:tcW w:w="1062" w:type="dxa"/>
          </w:tcPr>
          <w:p w14:paraId="416F8E25" w14:textId="058CBA89" w:rsidR="00C6283F" w:rsidRPr="00DF1151" w:rsidRDefault="00C6283F" w:rsidP="005C142C">
            <w:pPr>
              <w:rPr>
                <w:rFonts w:ascii="Times New Roman" w:hAnsi="Times New Roman" w:cs="Times New Roman"/>
                <w:sz w:val="24"/>
                <w:szCs w:val="24"/>
              </w:rPr>
            </w:pPr>
          </w:p>
        </w:tc>
        <w:tc>
          <w:tcPr>
            <w:tcW w:w="1820" w:type="dxa"/>
          </w:tcPr>
          <w:p w14:paraId="6FACFE5A" w14:textId="0CD94084" w:rsidR="00C6283F" w:rsidRPr="00DF1151" w:rsidRDefault="00C6283F" w:rsidP="005C142C">
            <w:pPr>
              <w:rPr>
                <w:rFonts w:ascii="Times New Roman" w:hAnsi="Times New Roman" w:cs="Times New Roman"/>
                <w:sz w:val="24"/>
                <w:szCs w:val="24"/>
              </w:rPr>
            </w:pPr>
          </w:p>
        </w:tc>
      </w:tr>
      <w:tr w:rsidR="00C6283F" w:rsidRPr="00DF1151" w14:paraId="2C699D24" w14:textId="77777777" w:rsidTr="00C6283F">
        <w:tc>
          <w:tcPr>
            <w:tcW w:w="2965" w:type="dxa"/>
          </w:tcPr>
          <w:p w14:paraId="30B05480" w14:textId="6E5E863B" w:rsidR="00C6283F" w:rsidRPr="00DF1151" w:rsidRDefault="00C6283F" w:rsidP="008C36EE">
            <w:pPr>
              <w:rPr>
                <w:rFonts w:ascii="Times New Roman" w:hAnsi="Times New Roman" w:cs="Times New Roman"/>
                <w:sz w:val="24"/>
                <w:szCs w:val="24"/>
              </w:rPr>
            </w:pPr>
            <w:r w:rsidRPr="00DF1151">
              <w:rPr>
                <w:rFonts w:ascii="Times New Roman" w:hAnsi="Times New Roman" w:cs="Times New Roman"/>
                <w:sz w:val="24"/>
                <w:szCs w:val="24"/>
              </w:rPr>
              <w:t xml:space="preserve">     Deadwood Cr  </w:t>
            </w:r>
          </w:p>
        </w:tc>
        <w:tc>
          <w:tcPr>
            <w:tcW w:w="1149" w:type="dxa"/>
          </w:tcPr>
          <w:p w14:paraId="773D88CA" w14:textId="11F813A8" w:rsidR="00C6283F" w:rsidRPr="00DF1151" w:rsidRDefault="007810A7" w:rsidP="008C36EE">
            <w:pPr>
              <w:rPr>
                <w:rFonts w:ascii="Times New Roman" w:hAnsi="Times New Roman" w:cs="Times New Roman"/>
                <w:sz w:val="24"/>
                <w:szCs w:val="24"/>
              </w:rPr>
            </w:pPr>
            <w:r w:rsidRPr="00DF1151">
              <w:rPr>
                <w:rFonts w:ascii="Times New Roman" w:hAnsi="Times New Roman" w:cs="Times New Roman"/>
                <w:sz w:val="24"/>
                <w:szCs w:val="24"/>
              </w:rPr>
              <w:t>2033</w:t>
            </w:r>
          </w:p>
        </w:tc>
        <w:tc>
          <w:tcPr>
            <w:tcW w:w="1149" w:type="dxa"/>
          </w:tcPr>
          <w:p w14:paraId="225E0D11" w14:textId="4411BAF1" w:rsidR="00C6283F" w:rsidRPr="00DF1151" w:rsidRDefault="00C6283F" w:rsidP="008C36EE">
            <w:pPr>
              <w:rPr>
                <w:rFonts w:ascii="Times New Roman" w:hAnsi="Times New Roman" w:cs="Times New Roman"/>
                <w:sz w:val="24"/>
                <w:szCs w:val="24"/>
              </w:rPr>
            </w:pPr>
            <w:r w:rsidRPr="00DF1151">
              <w:rPr>
                <w:rFonts w:ascii="Times New Roman" w:hAnsi="Times New Roman" w:cs="Times New Roman"/>
                <w:sz w:val="24"/>
                <w:szCs w:val="24"/>
              </w:rPr>
              <w:t>30-35</w:t>
            </w:r>
          </w:p>
        </w:tc>
        <w:tc>
          <w:tcPr>
            <w:tcW w:w="1205" w:type="dxa"/>
          </w:tcPr>
          <w:p w14:paraId="7192A8F7" w14:textId="0AF4748B" w:rsidR="00C6283F" w:rsidRPr="00DF1151" w:rsidRDefault="00C6283F" w:rsidP="008C36EE">
            <w:pPr>
              <w:rPr>
                <w:rFonts w:ascii="Times New Roman" w:hAnsi="Times New Roman" w:cs="Times New Roman"/>
                <w:sz w:val="24"/>
                <w:szCs w:val="24"/>
              </w:rPr>
            </w:pPr>
            <w:r w:rsidRPr="00DF1151">
              <w:rPr>
                <w:rFonts w:ascii="Times New Roman" w:hAnsi="Times New Roman" w:cs="Times New Roman"/>
                <w:sz w:val="24"/>
                <w:szCs w:val="24"/>
              </w:rPr>
              <w:t>25</w:t>
            </w:r>
          </w:p>
        </w:tc>
        <w:tc>
          <w:tcPr>
            <w:tcW w:w="1062" w:type="dxa"/>
          </w:tcPr>
          <w:p w14:paraId="77A67E06" w14:textId="3BFC602C" w:rsidR="00C6283F" w:rsidRPr="00DF1151" w:rsidRDefault="00C6283F" w:rsidP="008C36EE">
            <w:pPr>
              <w:rPr>
                <w:rFonts w:ascii="Times New Roman" w:hAnsi="Times New Roman" w:cs="Times New Roman"/>
                <w:sz w:val="24"/>
                <w:szCs w:val="24"/>
              </w:rPr>
            </w:pPr>
            <w:r w:rsidRPr="00DF1151">
              <w:rPr>
                <w:rFonts w:ascii="Times New Roman" w:hAnsi="Times New Roman" w:cs="Times New Roman"/>
                <w:sz w:val="24"/>
                <w:szCs w:val="24"/>
              </w:rPr>
              <w:t>2003</w:t>
            </w:r>
          </w:p>
        </w:tc>
        <w:tc>
          <w:tcPr>
            <w:tcW w:w="1820" w:type="dxa"/>
          </w:tcPr>
          <w:p w14:paraId="493DAFFA" w14:textId="5C025784" w:rsidR="00C6283F" w:rsidRPr="00DF1151" w:rsidRDefault="00C6283F" w:rsidP="008C36EE">
            <w:pPr>
              <w:rPr>
                <w:rFonts w:ascii="Times New Roman" w:hAnsi="Times New Roman" w:cs="Times New Roman"/>
                <w:sz w:val="24"/>
                <w:szCs w:val="24"/>
              </w:rPr>
            </w:pPr>
            <w:r w:rsidRPr="00DF1151">
              <w:rPr>
                <w:rFonts w:ascii="Times New Roman" w:hAnsi="Times New Roman" w:cs="Times New Roman"/>
                <w:sz w:val="24"/>
                <w:szCs w:val="24"/>
              </w:rPr>
              <w:t>32.2</w:t>
            </w:r>
          </w:p>
        </w:tc>
      </w:tr>
      <w:tr w:rsidR="00C6283F" w:rsidRPr="00DF1151" w14:paraId="64E1CD03" w14:textId="77777777" w:rsidTr="00C6283F">
        <w:tc>
          <w:tcPr>
            <w:tcW w:w="2965" w:type="dxa"/>
          </w:tcPr>
          <w:p w14:paraId="6ABE2A9E" w14:textId="25C26629" w:rsidR="00C6283F" w:rsidRPr="00DF1151" w:rsidRDefault="00C6283F" w:rsidP="006D10F4">
            <w:pPr>
              <w:rPr>
                <w:rFonts w:ascii="Times New Roman" w:hAnsi="Times New Roman" w:cs="Times New Roman"/>
                <w:sz w:val="24"/>
                <w:szCs w:val="24"/>
              </w:rPr>
            </w:pPr>
            <w:r w:rsidRPr="00DF1151">
              <w:rPr>
                <w:rFonts w:ascii="Times New Roman" w:hAnsi="Times New Roman" w:cs="Times New Roman"/>
                <w:sz w:val="24"/>
                <w:szCs w:val="24"/>
              </w:rPr>
              <w:t xml:space="preserve">    </w:t>
            </w:r>
            <w:r w:rsidR="00DE4805" w:rsidRPr="00DF1151">
              <w:rPr>
                <w:rFonts w:ascii="Times New Roman" w:hAnsi="Times New Roman" w:cs="Times New Roman"/>
                <w:sz w:val="24"/>
                <w:szCs w:val="24"/>
              </w:rPr>
              <w:t xml:space="preserve"> </w:t>
            </w:r>
            <w:r w:rsidRPr="00DF1151">
              <w:rPr>
                <w:rFonts w:ascii="Times New Roman" w:hAnsi="Times New Roman" w:cs="Times New Roman"/>
                <w:sz w:val="24"/>
                <w:szCs w:val="24"/>
              </w:rPr>
              <w:t>Moose (abv Deadwood)</w:t>
            </w:r>
          </w:p>
        </w:tc>
        <w:tc>
          <w:tcPr>
            <w:tcW w:w="1149" w:type="dxa"/>
          </w:tcPr>
          <w:p w14:paraId="66FCF169" w14:textId="4B9910B9" w:rsidR="00C6283F" w:rsidRPr="00DF1151" w:rsidRDefault="007810A7" w:rsidP="006D10F4">
            <w:pPr>
              <w:rPr>
                <w:rFonts w:ascii="Times New Roman" w:hAnsi="Times New Roman" w:cs="Times New Roman"/>
                <w:sz w:val="24"/>
                <w:szCs w:val="24"/>
              </w:rPr>
            </w:pPr>
            <w:r w:rsidRPr="00DF1151">
              <w:rPr>
                <w:rFonts w:ascii="Times New Roman" w:hAnsi="Times New Roman" w:cs="Times New Roman"/>
                <w:sz w:val="24"/>
                <w:szCs w:val="24"/>
              </w:rPr>
              <w:t>4604</w:t>
            </w:r>
          </w:p>
        </w:tc>
        <w:tc>
          <w:tcPr>
            <w:tcW w:w="1149" w:type="dxa"/>
          </w:tcPr>
          <w:p w14:paraId="566E974E" w14:textId="0EB5940A" w:rsidR="00C6283F" w:rsidRPr="00DF1151" w:rsidRDefault="00C6283F" w:rsidP="006D10F4">
            <w:pPr>
              <w:rPr>
                <w:rFonts w:ascii="Times New Roman" w:hAnsi="Times New Roman" w:cs="Times New Roman"/>
                <w:sz w:val="24"/>
                <w:szCs w:val="24"/>
              </w:rPr>
            </w:pPr>
            <w:r w:rsidRPr="00DF1151">
              <w:rPr>
                <w:rFonts w:ascii="Times New Roman" w:hAnsi="Times New Roman" w:cs="Times New Roman"/>
                <w:sz w:val="24"/>
                <w:szCs w:val="24"/>
              </w:rPr>
              <w:t>30-35</w:t>
            </w:r>
          </w:p>
        </w:tc>
        <w:tc>
          <w:tcPr>
            <w:tcW w:w="1205" w:type="dxa"/>
          </w:tcPr>
          <w:p w14:paraId="323B0A29" w14:textId="70724881" w:rsidR="00C6283F" w:rsidRPr="00DF1151" w:rsidRDefault="00C6283F" w:rsidP="006D10F4">
            <w:pPr>
              <w:rPr>
                <w:rFonts w:ascii="Times New Roman" w:hAnsi="Times New Roman" w:cs="Times New Roman"/>
                <w:sz w:val="24"/>
                <w:szCs w:val="24"/>
              </w:rPr>
            </w:pPr>
            <w:r w:rsidRPr="00DF1151">
              <w:rPr>
                <w:rFonts w:ascii="Times New Roman" w:hAnsi="Times New Roman" w:cs="Times New Roman"/>
                <w:sz w:val="24"/>
                <w:szCs w:val="24"/>
              </w:rPr>
              <w:t>14</w:t>
            </w:r>
          </w:p>
        </w:tc>
        <w:tc>
          <w:tcPr>
            <w:tcW w:w="1062" w:type="dxa"/>
          </w:tcPr>
          <w:p w14:paraId="1C75E69D" w14:textId="78F1A767" w:rsidR="00C6283F" w:rsidRPr="00DF1151" w:rsidRDefault="00C6283F" w:rsidP="006D10F4">
            <w:pPr>
              <w:rPr>
                <w:rFonts w:ascii="Times New Roman" w:hAnsi="Times New Roman" w:cs="Times New Roman"/>
                <w:sz w:val="24"/>
                <w:szCs w:val="24"/>
              </w:rPr>
            </w:pPr>
            <w:r w:rsidRPr="00DF1151">
              <w:rPr>
                <w:rFonts w:ascii="Times New Roman" w:hAnsi="Times New Roman" w:cs="Times New Roman"/>
                <w:sz w:val="24"/>
                <w:szCs w:val="24"/>
              </w:rPr>
              <w:t>2019</w:t>
            </w:r>
          </w:p>
        </w:tc>
        <w:tc>
          <w:tcPr>
            <w:tcW w:w="1820" w:type="dxa"/>
          </w:tcPr>
          <w:p w14:paraId="721CC822" w14:textId="69B01F1D" w:rsidR="00C6283F" w:rsidRPr="00DF1151" w:rsidRDefault="00C6283F" w:rsidP="006D10F4">
            <w:pPr>
              <w:rPr>
                <w:rFonts w:ascii="Times New Roman" w:hAnsi="Times New Roman" w:cs="Times New Roman"/>
                <w:sz w:val="24"/>
                <w:szCs w:val="24"/>
              </w:rPr>
            </w:pPr>
            <w:r w:rsidRPr="00DF1151">
              <w:rPr>
                <w:rFonts w:ascii="Times New Roman" w:hAnsi="Times New Roman" w:cs="Times New Roman"/>
                <w:sz w:val="24"/>
                <w:szCs w:val="24"/>
              </w:rPr>
              <w:t>17.5</w:t>
            </w:r>
          </w:p>
        </w:tc>
      </w:tr>
    </w:tbl>
    <w:p w14:paraId="3FF2E979" w14:textId="310258ED" w:rsidR="00EB0852" w:rsidRPr="00DF1151" w:rsidRDefault="00EB0852" w:rsidP="00FD5C9D">
      <w:pPr>
        <w:spacing w:after="0"/>
        <w:rPr>
          <w:rFonts w:ascii="Times New Roman" w:hAnsi="Times New Roman" w:cs="Times New Roman"/>
          <w:sz w:val="24"/>
          <w:szCs w:val="24"/>
        </w:rPr>
      </w:pPr>
    </w:p>
    <w:p w14:paraId="1E6A4ABF" w14:textId="2DD5F582" w:rsidR="00B91DB5" w:rsidRDefault="003C72A7" w:rsidP="003C72A7">
      <w:pPr>
        <w:spacing w:after="0"/>
        <w:rPr>
          <w:rFonts w:ascii="Times New Roman" w:hAnsi="Times New Roman" w:cs="Times New Roman"/>
          <w:b/>
          <w:bCs/>
          <w:sz w:val="24"/>
          <w:szCs w:val="24"/>
        </w:rPr>
      </w:pPr>
      <w:r w:rsidRPr="00DF1151">
        <w:rPr>
          <w:rFonts w:ascii="Times New Roman" w:hAnsi="Times New Roman" w:cs="Times New Roman"/>
          <w:b/>
          <w:bCs/>
          <w:sz w:val="24"/>
          <w:szCs w:val="24"/>
        </w:rPr>
        <w:t xml:space="preserve">Streams highlighted in yellow have cobble embeddedness levels that exceed Forest Plan Objectives  </w:t>
      </w:r>
    </w:p>
    <w:p w14:paraId="171BA99D" w14:textId="77777777" w:rsidR="00246DEC" w:rsidRDefault="00246DEC" w:rsidP="003C72A7">
      <w:pPr>
        <w:spacing w:after="0"/>
        <w:rPr>
          <w:rFonts w:ascii="Times New Roman" w:hAnsi="Times New Roman" w:cs="Times New Roman"/>
          <w:b/>
          <w:bCs/>
          <w:sz w:val="24"/>
          <w:szCs w:val="24"/>
        </w:rPr>
      </w:pPr>
    </w:p>
    <w:p w14:paraId="16B9385A" w14:textId="7ACC46B4" w:rsidR="00246DEC" w:rsidRPr="00DF1151" w:rsidRDefault="00246DEC" w:rsidP="00246DEC">
      <w:pPr>
        <w:spacing w:after="0"/>
        <w:rPr>
          <w:rFonts w:ascii="Times New Roman" w:hAnsi="Times New Roman" w:cs="Times New Roman"/>
          <w:b/>
          <w:bCs/>
          <w:sz w:val="24"/>
          <w:szCs w:val="24"/>
        </w:rPr>
      </w:pPr>
      <w:r w:rsidRPr="00DF1151">
        <w:rPr>
          <w:rFonts w:ascii="Times New Roman" w:hAnsi="Times New Roman" w:cs="Times New Roman"/>
          <w:b/>
          <w:bCs/>
          <w:sz w:val="24"/>
          <w:szCs w:val="24"/>
        </w:rPr>
        <w:t xml:space="preserve">Objection </w:t>
      </w:r>
      <w:r w:rsidR="000F44FA">
        <w:rPr>
          <w:rFonts w:ascii="Times New Roman" w:hAnsi="Times New Roman" w:cs="Times New Roman"/>
          <w:b/>
          <w:bCs/>
          <w:sz w:val="24"/>
          <w:szCs w:val="24"/>
        </w:rPr>
        <w:t>6</w:t>
      </w:r>
      <w:r w:rsidRPr="00DF1151">
        <w:rPr>
          <w:rFonts w:ascii="Times New Roman" w:hAnsi="Times New Roman" w:cs="Times New Roman"/>
          <w:b/>
          <w:bCs/>
          <w:sz w:val="24"/>
          <w:szCs w:val="24"/>
        </w:rPr>
        <w:t xml:space="preserve"> – Misguided Enthusiasm for </w:t>
      </w:r>
      <w:r>
        <w:rPr>
          <w:rFonts w:ascii="Times New Roman" w:hAnsi="Times New Roman" w:cs="Times New Roman"/>
          <w:b/>
          <w:bCs/>
          <w:sz w:val="24"/>
          <w:szCs w:val="24"/>
        </w:rPr>
        <w:t>“</w:t>
      </w:r>
      <w:r w:rsidRPr="00DF1151">
        <w:rPr>
          <w:rFonts w:ascii="Times New Roman" w:hAnsi="Times New Roman" w:cs="Times New Roman"/>
          <w:b/>
          <w:bCs/>
          <w:sz w:val="24"/>
          <w:szCs w:val="24"/>
        </w:rPr>
        <w:t>Improving</w:t>
      </w:r>
      <w:r>
        <w:rPr>
          <w:rFonts w:ascii="Times New Roman" w:hAnsi="Times New Roman" w:cs="Times New Roman"/>
          <w:b/>
          <w:bCs/>
          <w:sz w:val="24"/>
          <w:szCs w:val="24"/>
        </w:rPr>
        <w:t xml:space="preserve">” </w:t>
      </w:r>
      <w:r w:rsidRPr="00DF1151">
        <w:rPr>
          <w:rFonts w:ascii="Times New Roman" w:hAnsi="Times New Roman" w:cs="Times New Roman"/>
          <w:b/>
          <w:bCs/>
          <w:sz w:val="24"/>
          <w:szCs w:val="24"/>
        </w:rPr>
        <w:t>Old-Growth</w:t>
      </w:r>
    </w:p>
    <w:p w14:paraId="5AB39B5B" w14:textId="77777777" w:rsidR="00246DEC" w:rsidRPr="00DF1151" w:rsidRDefault="00246DEC" w:rsidP="00246DEC">
      <w:pPr>
        <w:spacing w:after="0"/>
        <w:rPr>
          <w:rFonts w:ascii="Times New Roman" w:hAnsi="Times New Roman" w:cs="Times New Roman"/>
          <w:sz w:val="24"/>
          <w:szCs w:val="24"/>
        </w:rPr>
      </w:pPr>
    </w:p>
    <w:p w14:paraId="375BC78D" w14:textId="77777777" w:rsidR="00246DEC" w:rsidRPr="00DF1151" w:rsidRDefault="00246DEC" w:rsidP="00246DEC">
      <w:pPr>
        <w:spacing w:after="0"/>
        <w:rPr>
          <w:rFonts w:ascii="Times New Roman" w:hAnsi="Times New Roman" w:cs="Times New Roman"/>
          <w:sz w:val="24"/>
          <w:szCs w:val="24"/>
        </w:rPr>
      </w:pPr>
      <w:r w:rsidRPr="00DF1151">
        <w:rPr>
          <w:rFonts w:ascii="Times New Roman" w:hAnsi="Times New Roman" w:cs="Times New Roman"/>
          <w:sz w:val="24"/>
          <w:szCs w:val="24"/>
        </w:rPr>
        <w:t xml:space="preserve">The Nez Perce - Clearwater NF </w:t>
      </w:r>
      <w:r>
        <w:rPr>
          <w:rFonts w:ascii="Times New Roman" w:hAnsi="Times New Roman" w:cs="Times New Roman"/>
          <w:sz w:val="24"/>
          <w:szCs w:val="24"/>
        </w:rPr>
        <w:t xml:space="preserve">has dropped commercial logging in old growth, but still </w:t>
      </w:r>
      <w:r w:rsidRPr="00DF1151">
        <w:rPr>
          <w:rFonts w:ascii="Times New Roman" w:hAnsi="Times New Roman" w:cs="Times New Roman"/>
          <w:sz w:val="24"/>
          <w:szCs w:val="24"/>
        </w:rPr>
        <w:t xml:space="preserve">proposes to </w:t>
      </w:r>
      <w:r>
        <w:rPr>
          <w:rFonts w:ascii="Times New Roman" w:hAnsi="Times New Roman" w:cs="Times New Roman"/>
          <w:sz w:val="24"/>
          <w:szCs w:val="24"/>
        </w:rPr>
        <w:t xml:space="preserve">treat 56-acres of old growth forest with hand/mechanical non-commercial methods. While it is certainly an improvement that commercial logging has been dropped from the project, I still do not believe it is desirable to remove understory grand fir and Douglas fir from </w:t>
      </w:r>
      <w:r w:rsidRPr="00DF1151">
        <w:rPr>
          <w:rFonts w:ascii="Times New Roman" w:hAnsi="Times New Roman" w:cs="Times New Roman"/>
          <w:sz w:val="24"/>
          <w:szCs w:val="24"/>
        </w:rPr>
        <w:t>old-growth cedar groves with large diameter trees over 36 + inches</w:t>
      </w:r>
      <w:r>
        <w:rPr>
          <w:rFonts w:ascii="Times New Roman" w:hAnsi="Times New Roman" w:cs="Times New Roman"/>
          <w:sz w:val="24"/>
          <w:szCs w:val="24"/>
        </w:rPr>
        <w:t xml:space="preserve">.  Such </w:t>
      </w:r>
      <w:r w:rsidRPr="00DF1151">
        <w:rPr>
          <w:rFonts w:ascii="Times New Roman" w:hAnsi="Times New Roman" w:cs="Times New Roman"/>
          <w:sz w:val="24"/>
          <w:szCs w:val="24"/>
        </w:rPr>
        <w:t>treatments are unnecessary and propose great risk to this important resource.  The last thing that is needed in these stands is activity that</w:t>
      </w:r>
      <w:r>
        <w:rPr>
          <w:rFonts w:ascii="Times New Roman" w:hAnsi="Times New Roman" w:cs="Times New Roman"/>
          <w:sz w:val="24"/>
          <w:szCs w:val="24"/>
        </w:rPr>
        <w:t xml:space="preserve"> will </w:t>
      </w:r>
      <w:r w:rsidRPr="00DF1151">
        <w:rPr>
          <w:rFonts w:ascii="Times New Roman" w:hAnsi="Times New Roman" w:cs="Times New Roman"/>
          <w:sz w:val="24"/>
          <w:szCs w:val="24"/>
        </w:rPr>
        <w:t>remove snags and downed logs, harvest small diameter trees, and destroy understory vegetation that likely includes sensitive plant populations.  Understory trees are a normal component of late successional old-growth stands (Green et al. 1992, Cooper et al. 1991 and the Clearwater Forest Plan) and don’t need to be removed to reduce the exaggerated fire risk that Nez Perce – Clearwater NF claims in its environmental assessment.  Please review the document</w:t>
      </w:r>
    </w:p>
    <w:p w14:paraId="57034FBA" w14:textId="77777777" w:rsidR="00246DEC" w:rsidRPr="00DF1151" w:rsidRDefault="00246DEC" w:rsidP="00246DEC">
      <w:pPr>
        <w:spacing w:after="0"/>
        <w:rPr>
          <w:rFonts w:ascii="Times New Roman" w:hAnsi="Times New Roman" w:cs="Times New Roman"/>
          <w:sz w:val="24"/>
          <w:szCs w:val="24"/>
        </w:rPr>
      </w:pPr>
      <w:bookmarkStart w:id="0" w:name="_Hlk94419993"/>
      <w:r w:rsidRPr="00DF1151">
        <w:rPr>
          <w:rFonts w:ascii="Times New Roman" w:hAnsi="Times New Roman" w:cs="Times New Roman"/>
          <w:sz w:val="24"/>
          <w:szCs w:val="24"/>
        </w:rPr>
        <w:t xml:space="preserve">Management of Old Growth in the U.S. Northern Rocky Mountains </w:t>
      </w:r>
      <w:bookmarkEnd w:id="0"/>
      <w:r w:rsidRPr="00DF1151">
        <w:rPr>
          <w:rFonts w:ascii="Times New Roman" w:hAnsi="Times New Roman" w:cs="Times New Roman"/>
          <w:sz w:val="24"/>
          <w:szCs w:val="24"/>
        </w:rPr>
        <w:t xml:space="preserve">(Juel 2021) for an extensive review of old growth management in the Northern Region and reasons why </w:t>
      </w:r>
      <w:r>
        <w:rPr>
          <w:rFonts w:ascii="Times New Roman" w:hAnsi="Times New Roman" w:cs="Times New Roman"/>
          <w:sz w:val="24"/>
          <w:szCs w:val="24"/>
        </w:rPr>
        <w:t xml:space="preserve">understory removal </w:t>
      </w:r>
      <w:r w:rsidRPr="00DF1151">
        <w:rPr>
          <w:rFonts w:ascii="Times New Roman" w:hAnsi="Times New Roman" w:cs="Times New Roman"/>
          <w:sz w:val="24"/>
          <w:szCs w:val="24"/>
        </w:rPr>
        <w:t xml:space="preserve">to improve old growth is such a terrible idea. </w:t>
      </w:r>
    </w:p>
    <w:p w14:paraId="351674CD" w14:textId="77777777" w:rsidR="00246DEC" w:rsidRPr="00DF1151" w:rsidRDefault="00246DEC" w:rsidP="00246DEC">
      <w:pPr>
        <w:spacing w:after="0"/>
        <w:rPr>
          <w:rFonts w:ascii="Times New Roman" w:hAnsi="Times New Roman" w:cs="Times New Roman"/>
          <w:sz w:val="24"/>
          <w:szCs w:val="24"/>
        </w:rPr>
      </w:pPr>
    </w:p>
    <w:p w14:paraId="21BA6D0C" w14:textId="77777777" w:rsidR="000F44FA" w:rsidRDefault="000F44FA">
      <w:pPr>
        <w:rPr>
          <w:rFonts w:ascii="Times New Roman" w:hAnsi="Times New Roman" w:cs="Times New Roman"/>
          <w:b/>
          <w:bCs/>
          <w:sz w:val="24"/>
          <w:szCs w:val="24"/>
        </w:rPr>
      </w:pPr>
      <w:r>
        <w:rPr>
          <w:rFonts w:ascii="Times New Roman" w:hAnsi="Times New Roman" w:cs="Times New Roman"/>
          <w:b/>
          <w:bCs/>
          <w:sz w:val="24"/>
          <w:szCs w:val="24"/>
        </w:rPr>
        <w:br w:type="page"/>
      </w:r>
    </w:p>
    <w:p w14:paraId="5B939CAB" w14:textId="71C55E83" w:rsidR="00DD63C1" w:rsidRDefault="00DD63C1" w:rsidP="00246DEC">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Objection 7 – Old Growth Inventory</w:t>
      </w:r>
    </w:p>
    <w:p w14:paraId="74A5EF5A" w14:textId="77777777" w:rsidR="00DD63C1" w:rsidRDefault="00DD63C1" w:rsidP="00246DEC">
      <w:pPr>
        <w:spacing w:after="0"/>
        <w:rPr>
          <w:rFonts w:ascii="Times New Roman" w:hAnsi="Times New Roman" w:cs="Times New Roman"/>
          <w:b/>
          <w:bCs/>
          <w:sz w:val="24"/>
          <w:szCs w:val="24"/>
        </w:rPr>
      </w:pPr>
    </w:p>
    <w:p w14:paraId="091DED61" w14:textId="228AAF7C" w:rsidR="001560CA" w:rsidRPr="00254D03" w:rsidRDefault="00DD63C1" w:rsidP="00AD683B">
      <w:pPr>
        <w:rPr>
          <w:rFonts w:ascii="Times New Roman" w:eastAsia="Times New Roman" w:hAnsi="Times New Roman" w:cs="Times New Roman"/>
          <w:color w:val="000000"/>
          <w:sz w:val="24"/>
          <w:szCs w:val="24"/>
        </w:rPr>
      </w:pPr>
      <w:r w:rsidRPr="00254D03">
        <w:rPr>
          <w:rFonts w:ascii="Times New Roman" w:hAnsi="Times New Roman" w:cs="Times New Roman"/>
          <w:sz w:val="24"/>
          <w:szCs w:val="24"/>
        </w:rPr>
        <w:t xml:space="preserve">The Vegetation Report claims that six old growth units will be impacted by the project.  It also claims that these units will all retain 5% old growth or stepdown old growth (stands that will be old growth in 20-years).  The concept of stepdown old growth was first </w:t>
      </w:r>
      <w:r w:rsidR="001560CA" w:rsidRPr="00254D03">
        <w:rPr>
          <w:rFonts w:ascii="Times New Roman" w:hAnsi="Times New Roman" w:cs="Times New Roman"/>
          <w:sz w:val="24"/>
          <w:szCs w:val="24"/>
        </w:rPr>
        <w:t>identified in 2006 when an inventory of old growth using FIA</w:t>
      </w:r>
      <w:r w:rsidR="007178B1">
        <w:rPr>
          <w:rFonts w:ascii="Times New Roman" w:hAnsi="Times New Roman" w:cs="Times New Roman"/>
          <w:sz w:val="24"/>
          <w:szCs w:val="24"/>
        </w:rPr>
        <w:t xml:space="preserve"> (Forest Inventory and Analysis)</w:t>
      </w:r>
      <w:r w:rsidR="00ED3293" w:rsidRPr="00254D03">
        <w:rPr>
          <w:rFonts w:ascii="Times New Roman" w:hAnsi="Times New Roman" w:cs="Times New Roman"/>
          <w:sz w:val="24"/>
          <w:szCs w:val="24"/>
        </w:rPr>
        <w:t xml:space="preserve"> data</w:t>
      </w:r>
      <w:r w:rsidR="001560CA" w:rsidRPr="00254D03">
        <w:rPr>
          <w:rFonts w:ascii="Times New Roman" w:hAnsi="Times New Roman" w:cs="Times New Roman"/>
          <w:sz w:val="24"/>
          <w:szCs w:val="24"/>
        </w:rPr>
        <w:t xml:space="preserve"> </w:t>
      </w:r>
      <w:r w:rsidR="001560CA" w:rsidRPr="00254D03">
        <w:rPr>
          <w:rFonts w:ascii="Times New Roman" w:eastAsia="Times New Roman" w:hAnsi="Times New Roman" w:cs="Times New Roman"/>
          <w:color w:val="000000"/>
          <w:sz w:val="24"/>
          <w:szCs w:val="24"/>
        </w:rPr>
        <w:t xml:space="preserve">(Bush 2006) suggested </w:t>
      </w:r>
      <w:r w:rsidR="00AD683B" w:rsidRPr="00254D03">
        <w:rPr>
          <w:rFonts w:ascii="Times New Roman" w:eastAsia="Times New Roman" w:hAnsi="Times New Roman" w:cs="Times New Roman"/>
          <w:color w:val="000000"/>
          <w:sz w:val="24"/>
          <w:szCs w:val="24"/>
        </w:rPr>
        <w:t xml:space="preserve">that </w:t>
      </w:r>
      <w:r w:rsidR="001560CA" w:rsidRPr="00254D03">
        <w:rPr>
          <w:rFonts w:ascii="Times New Roman" w:eastAsia="Times New Roman" w:hAnsi="Times New Roman" w:cs="Times New Roman"/>
          <w:color w:val="000000"/>
          <w:sz w:val="24"/>
          <w:szCs w:val="24"/>
        </w:rPr>
        <w:t xml:space="preserve">the Clearwater NF had </w:t>
      </w:r>
      <w:r w:rsidR="00ED3293" w:rsidRPr="00254D03">
        <w:rPr>
          <w:rFonts w:ascii="Times New Roman" w:eastAsia="Times New Roman" w:hAnsi="Times New Roman" w:cs="Times New Roman"/>
          <w:color w:val="000000"/>
          <w:sz w:val="24"/>
          <w:szCs w:val="24"/>
        </w:rPr>
        <w:t xml:space="preserve">only </w:t>
      </w:r>
      <w:r w:rsidR="001560CA" w:rsidRPr="00254D03">
        <w:rPr>
          <w:rFonts w:ascii="Times New Roman" w:eastAsia="Times New Roman" w:hAnsi="Times New Roman" w:cs="Times New Roman"/>
          <w:color w:val="000000"/>
          <w:sz w:val="24"/>
          <w:szCs w:val="24"/>
        </w:rPr>
        <w:t>9.4% old growth</w:t>
      </w:r>
      <w:r w:rsidR="00ED3293" w:rsidRPr="00254D03">
        <w:rPr>
          <w:rFonts w:ascii="Times New Roman" w:eastAsia="Times New Roman" w:hAnsi="Times New Roman" w:cs="Times New Roman"/>
          <w:color w:val="000000"/>
          <w:sz w:val="24"/>
          <w:szCs w:val="24"/>
        </w:rPr>
        <w:t>.</w:t>
      </w:r>
      <w:r w:rsidR="00AD683B" w:rsidRPr="00254D03">
        <w:rPr>
          <w:rFonts w:ascii="Times New Roman" w:eastAsia="Times New Roman" w:hAnsi="Times New Roman" w:cs="Times New Roman"/>
          <w:color w:val="000000"/>
          <w:sz w:val="24"/>
          <w:szCs w:val="24"/>
        </w:rPr>
        <w:t xml:space="preserve">  In response the Forest Supervisor placed a moratorium (USDA 2006) on cutting of both old growth</w:t>
      </w:r>
      <w:r w:rsidR="00773148">
        <w:rPr>
          <w:rFonts w:ascii="Times New Roman" w:eastAsia="Times New Roman" w:hAnsi="Times New Roman" w:cs="Times New Roman"/>
          <w:color w:val="000000"/>
          <w:sz w:val="24"/>
          <w:szCs w:val="24"/>
        </w:rPr>
        <w:t xml:space="preserve"> (stands over 150-years)</w:t>
      </w:r>
      <w:r w:rsidR="00AD683B" w:rsidRPr="00254D03">
        <w:rPr>
          <w:rFonts w:ascii="Times New Roman" w:eastAsia="Times New Roman" w:hAnsi="Times New Roman" w:cs="Times New Roman"/>
          <w:color w:val="000000"/>
          <w:sz w:val="24"/>
          <w:szCs w:val="24"/>
        </w:rPr>
        <w:t xml:space="preserve"> and stepdown old</w:t>
      </w:r>
      <w:r w:rsidR="007178B1">
        <w:rPr>
          <w:rFonts w:ascii="Times New Roman" w:eastAsia="Times New Roman" w:hAnsi="Times New Roman" w:cs="Times New Roman"/>
          <w:color w:val="000000"/>
          <w:sz w:val="24"/>
          <w:szCs w:val="24"/>
        </w:rPr>
        <w:t xml:space="preserve"> growth</w:t>
      </w:r>
      <w:r w:rsidR="00AD683B" w:rsidRPr="00254D03">
        <w:rPr>
          <w:rFonts w:ascii="Times New Roman" w:eastAsia="Times New Roman" w:hAnsi="Times New Roman" w:cs="Times New Roman"/>
          <w:color w:val="000000"/>
          <w:sz w:val="24"/>
          <w:szCs w:val="24"/>
        </w:rPr>
        <w:t xml:space="preserve"> (generally stands between 130-150 years of age).</w:t>
      </w:r>
    </w:p>
    <w:p w14:paraId="5872C2C3" w14:textId="77DC9BA3" w:rsidR="00AD683B" w:rsidRDefault="00AD683B" w:rsidP="00AD683B">
      <w:pPr>
        <w:rPr>
          <w:rFonts w:ascii="Times New Roman" w:hAnsi="Times New Roman" w:cs="Times New Roman"/>
          <w:sz w:val="24"/>
          <w:szCs w:val="24"/>
          <w:shd w:val="clear" w:color="auto" w:fill="FFFFFF"/>
        </w:rPr>
      </w:pPr>
      <w:r w:rsidRPr="00254D03">
        <w:rPr>
          <w:rFonts w:ascii="Times New Roman" w:eastAsia="Times New Roman" w:hAnsi="Times New Roman" w:cs="Times New Roman"/>
          <w:color w:val="000000"/>
          <w:sz w:val="24"/>
          <w:szCs w:val="24"/>
        </w:rPr>
        <w:t>There are no maps</w:t>
      </w:r>
      <w:r w:rsidR="00254D03" w:rsidRPr="00254D03">
        <w:rPr>
          <w:rFonts w:ascii="Times New Roman" w:eastAsia="Times New Roman" w:hAnsi="Times New Roman" w:cs="Times New Roman"/>
          <w:color w:val="000000"/>
          <w:sz w:val="24"/>
          <w:szCs w:val="24"/>
        </w:rPr>
        <w:t xml:space="preserve"> of these old growth units nor are there any maps of either old growth or stepdown old growth stands.  There is also no information on how old growth and stepdown old growth stands were identified and field verified.  The only reference is that old growth stands were “</w:t>
      </w:r>
      <w:r w:rsidR="00254D03" w:rsidRPr="00254D03">
        <w:rPr>
          <w:rFonts w:ascii="Times New Roman" w:hAnsi="Times New Roman" w:cs="Times New Roman"/>
          <w:sz w:val="24"/>
          <w:szCs w:val="24"/>
          <w:shd w:val="clear" w:color="auto" w:fill="FFFFFF"/>
        </w:rPr>
        <w:t>Derived from Old Growth GIS data managed by the Regional Office”.</w:t>
      </w:r>
      <w:r w:rsidR="00254D03">
        <w:rPr>
          <w:rFonts w:ascii="Times New Roman" w:hAnsi="Times New Roman" w:cs="Times New Roman"/>
          <w:sz w:val="24"/>
          <w:szCs w:val="24"/>
          <w:shd w:val="clear" w:color="auto" w:fill="FFFFFF"/>
        </w:rPr>
        <w:t xml:space="preserve"> </w:t>
      </w:r>
    </w:p>
    <w:p w14:paraId="2648BE08" w14:textId="703A12B4" w:rsidR="00254D03" w:rsidRDefault="00254D03" w:rsidP="00AD683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According to the Vegetation Report, </w:t>
      </w:r>
      <w:r w:rsidR="00865ABA">
        <w:rPr>
          <w:rFonts w:ascii="Times New Roman" w:hAnsi="Times New Roman" w:cs="Times New Roman"/>
          <w:sz w:val="24"/>
          <w:szCs w:val="24"/>
          <w:shd w:val="clear" w:color="auto" w:fill="FFFFFF"/>
        </w:rPr>
        <w:t>stands over 20+ inches DBH will be reduced fr</w:t>
      </w:r>
      <w:r w:rsidR="008A6740">
        <w:rPr>
          <w:rFonts w:ascii="Times New Roman" w:hAnsi="Times New Roman" w:cs="Times New Roman"/>
          <w:sz w:val="24"/>
          <w:szCs w:val="24"/>
          <w:shd w:val="clear" w:color="auto" w:fill="FFFFFF"/>
        </w:rPr>
        <w:t>om 7% to 6% percent in the Warm Moist habitat group (278 acres), from 11% to 10% in the Warm Dry habitat group</w:t>
      </w:r>
      <w:r w:rsidR="00F156A3">
        <w:rPr>
          <w:rFonts w:ascii="Times New Roman" w:hAnsi="Times New Roman" w:cs="Times New Roman"/>
          <w:sz w:val="24"/>
          <w:szCs w:val="24"/>
          <w:shd w:val="clear" w:color="auto" w:fill="FFFFFF"/>
        </w:rPr>
        <w:t xml:space="preserve"> (22-acres),</w:t>
      </w:r>
      <w:r w:rsidR="008A6740">
        <w:rPr>
          <w:rFonts w:ascii="Times New Roman" w:hAnsi="Times New Roman" w:cs="Times New Roman"/>
          <w:sz w:val="24"/>
          <w:szCs w:val="24"/>
          <w:shd w:val="clear" w:color="auto" w:fill="FFFFFF"/>
        </w:rPr>
        <w:t xml:space="preserve"> and from 2% to 1.9% in the Cool Moist habitat group</w:t>
      </w:r>
      <w:r w:rsidR="00F156A3">
        <w:rPr>
          <w:rFonts w:ascii="Times New Roman" w:hAnsi="Times New Roman" w:cs="Times New Roman"/>
          <w:sz w:val="24"/>
          <w:szCs w:val="24"/>
          <w:shd w:val="clear" w:color="auto" w:fill="FFFFFF"/>
        </w:rPr>
        <w:t xml:space="preserve"> (10-acres).  Why aren’t any of these stands considered old growth or stepdown old growth? </w:t>
      </w:r>
    </w:p>
    <w:p w14:paraId="40801A59" w14:textId="58E7EDE3" w:rsidR="007178B1" w:rsidRPr="007178B1" w:rsidRDefault="00F156A3" w:rsidP="00AD683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 were stands in the regional data base identified and what field verification has been accomplished in the project area to assure that no old growth or stepdown old growth is being harvested</w:t>
      </w:r>
      <w:r w:rsidR="0076257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Recent analysis </w:t>
      </w:r>
      <w:r w:rsidR="007178B1">
        <w:rPr>
          <w:rFonts w:ascii="Times New Roman" w:hAnsi="Times New Roman" w:cs="Times New Roman"/>
          <w:sz w:val="24"/>
          <w:szCs w:val="24"/>
          <w:shd w:val="clear" w:color="auto" w:fill="FFFFFF"/>
        </w:rPr>
        <w:t xml:space="preserve">of old growth inventory </w:t>
      </w:r>
      <w:r>
        <w:rPr>
          <w:rFonts w:ascii="Times New Roman" w:hAnsi="Times New Roman" w:cs="Times New Roman"/>
          <w:sz w:val="24"/>
          <w:szCs w:val="24"/>
          <w:shd w:val="clear" w:color="auto" w:fill="FFFFFF"/>
        </w:rPr>
        <w:t>on the Hungry Ridge project</w:t>
      </w:r>
      <w:r w:rsidR="007178B1">
        <w:rPr>
          <w:rFonts w:ascii="Times New Roman" w:hAnsi="Times New Roman" w:cs="Times New Roman"/>
          <w:sz w:val="24"/>
          <w:szCs w:val="24"/>
          <w:shd w:val="clear" w:color="auto" w:fill="FFFFFF"/>
        </w:rPr>
        <w:t xml:space="preserve"> does little to booster confidence in current old growth inventory practices on the Nez Perce – Clearwater NF. On that project, the Forest Service was able to find 2,635-acres of additional old growth meeting the Forest Plan definition of old growth</w:t>
      </w:r>
      <w:r w:rsidR="0076257C">
        <w:rPr>
          <w:rFonts w:ascii="Times New Roman" w:hAnsi="Times New Roman" w:cs="Times New Roman"/>
          <w:sz w:val="24"/>
          <w:szCs w:val="24"/>
          <w:shd w:val="clear" w:color="auto" w:fill="FFFFFF"/>
        </w:rPr>
        <w:t xml:space="preserve"> after they were directed by the court to redo their old growth analysis</w:t>
      </w:r>
      <w:r w:rsidR="007178B1">
        <w:rPr>
          <w:rFonts w:ascii="Times New Roman" w:hAnsi="Times New Roman" w:cs="Times New Roman"/>
          <w:sz w:val="24"/>
          <w:szCs w:val="24"/>
          <w:shd w:val="clear" w:color="auto" w:fill="FFFFFF"/>
        </w:rPr>
        <w:t xml:space="preserve">.  </w:t>
      </w:r>
      <w:r w:rsidR="0076257C">
        <w:rPr>
          <w:rFonts w:ascii="Times New Roman" w:hAnsi="Times New Roman" w:cs="Times New Roman"/>
          <w:sz w:val="24"/>
          <w:szCs w:val="24"/>
          <w:shd w:val="clear" w:color="auto" w:fill="FFFFFF"/>
        </w:rPr>
        <w:t>On that project, s</w:t>
      </w:r>
      <w:r w:rsidR="007178B1">
        <w:rPr>
          <w:rFonts w:ascii="Times New Roman" w:hAnsi="Times New Roman" w:cs="Times New Roman"/>
          <w:sz w:val="24"/>
          <w:szCs w:val="24"/>
          <w:shd w:val="clear" w:color="auto" w:fill="FFFFFF"/>
        </w:rPr>
        <w:t>everal of these stand</w:t>
      </w:r>
      <w:r w:rsidR="0076257C">
        <w:rPr>
          <w:rFonts w:ascii="Times New Roman" w:hAnsi="Times New Roman" w:cs="Times New Roman"/>
          <w:sz w:val="24"/>
          <w:szCs w:val="24"/>
          <w:shd w:val="clear" w:color="auto" w:fill="FFFFFF"/>
        </w:rPr>
        <w:t>s still remain in proposed harvest units.</w:t>
      </w:r>
    </w:p>
    <w:p w14:paraId="0E91CBDE" w14:textId="77777777" w:rsidR="00DD63C1" w:rsidRDefault="00DD63C1" w:rsidP="00246DEC">
      <w:pPr>
        <w:spacing w:after="0"/>
        <w:rPr>
          <w:rFonts w:ascii="Times New Roman" w:hAnsi="Times New Roman" w:cs="Times New Roman"/>
          <w:b/>
          <w:bCs/>
          <w:sz w:val="24"/>
          <w:szCs w:val="24"/>
        </w:rPr>
      </w:pPr>
    </w:p>
    <w:p w14:paraId="398BBB55" w14:textId="4FB44880" w:rsidR="00246DEC" w:rsidRPr="00DF1151" w:rsidRDefault="00246DEC" w:rsidP="00246DEC">
      <w:pPr>
        <w:spacing w:after="0"/>
        <w:rPr>
          <w:rFonts w:ascii="Times New Roman" w:hAnsi="Times New Roman" w:cs="Times New Roman"/>
          <w:b/>
          <w:bCs/>
          <w:sz w:val="24"/>
          <w:szCs w:val="24"/>
        </w:rPr>
      </w:pPr>
      <w:r w:rsidRPr="00DF1151">
        <w:rPr>
          <w:rFonts w:ascii="Times New Roman" w:hAnsi="Times New Roman" w:cs="Times New Roman"/>
          <w:b/>
          <w:bCs/>
          <w:sz w:val="24"/>
          <w:szCs w:val="24"/>
        </w:rPr>
        <w:t xml:space="preserve">Objection </w:t>
      </w:r>
      <w:r w:rsidR="0076257C">
        <w:rPr>
          <w:rFonts w:ascii="Times New Roman" w:hAnsi="Times New Roman" w:cs="Times New Roman"/>
          <w:b/>
          <w:bCs/>
          <w:sz w:val="24"/>
          <w:szCs w:val="24"/>
        </w:rPr>
        <w:t>8</w:t>
      </w:r>
      <w:r w:rsidRPr="00DF1151">
        <w:rPr>
          <w:rFonts w:ascii="Times New Roman" w:hAnsi="Times New Roman" w:cs="Times New Roman"/>
          <w:b/>
          <w:bCs/>
          <w:sz w:val="24"/>
          <w:szCs w:val="24"/>
        </w:rPr>
        <w:t xml:space="preserve"> - Road construction and reopening of previously decommission roads</w:t>
      </w:r>
    </w:p>
    <w:p w14:paraId="409E8412" w14:textId="77777777" w:rsidR="00246DEC" w:rsidRPr="00DF1151" w:rsidRDefault="00246DEC" w:rsidP="00246DEC">
      <w:pPr>
        <w:spacing w:after="0"/>
        <w:rPr>
          <w:rFonts w:ascii="Times New Roman" w:hAnsi="Times New Roman" w:cs="Times New Roman"/>
          <w:b/>
          <w:bCs/>
          <w:sz w:val="24"/>
          <w:szCs w:val="24"/>
        </w:rPr>
      </w:pPr>
    </w:p>
    <w:p w14:paraId="1C3D785D" w14:textId="77777777" w:rsidR="00246DEC" w:rsidRPr="00DF1151" w:rsidRDefault="00246DEC" w:rsidP="00246DEC">
      <w:pPr>
        <w:spacing w:after="0"/>
        <w:rPr>
          <w:rFonts w:ascii="Times New Roman" w:hAnsi="Times New Roman" w:cs="Times New Roman"/>
          <w:sz w:val="24"/>
          <w:szCs w:val="24"/>
        </w:rPr>
      </w:pPr>
      <w:r w:rsidRPr="00DF1151">
        <w:rPr>
          <w:rFonts w:ascii="Times New Roman" w:hAnsi="Times New Roman" w:cs="Times New Roman"/>
          <w:sz w:val="24"/>
          <w:szCs w:val="24"/>
        </w:rPr>
        <w:t>The Nez Perce Clearwater NF is proposing to build a considerable amount of temporary (</w:t>
      </w:r>
      <w:r>
        <w:rPr>
          <w:rFonts w:ascii="Times New Roman" w:hAnsi="Times New Roman" w:cs="Times New Roman"/>
          <w:sz w:val="24"/>
          <w:szCs w:val="24"/>
        </w:rPr>
        <w:t>30</w:t>
      </w:r>
      <w:r w:rsidRPr="00DF1151">
        <w:rPr>
          <w:rFonts w:ascii="Times New Roman" w:hAnsi="Times New Roman" w:cs="Times New Roman"/>
          <w:sz w:val="24"/>
          <w:szCs w:val="24"/>
        </w:rPr>
        <w:t>-miles) and system road (1</w:t>
      </w:r>
      <w:r>
        <w:rPr>
          <w:rFonts w:ascii="Times New Roman" w:hAnsi="Times New Roman" w:cs="Times New Roman"/>
          <w:sz w:val="24"/>
          <w:szCs w:val="24"/>
        </w:rPr>
        <w:t>2</w:t>
      </w:r>
      <w:r w:rsidRPr="00DF1151">
        <w:rPr>
          <w:rFonts w:ascii="Times New Roman" w:hAnsi="Times New Roman" w:cs="Times New Roman"/>
          <w:sz w:val="24"/>
          <w:szCs w:val="24"/>
        </w:rPr>
        <w:t xml:space="preserve">-miles) with this proposal.  </w:t>
      </w:r>
      <w:r>
        <w:rPr>
          <w:rFonts w:ascii="Times New Roman" w:hAnsi="Times New Roman" w:cs="Times New Roman"/>
          <w:sz w:val="24"/>
          <w:szCs w:val="24"/>
        </w:rPr>
        <w:t>According to the Transportation Report, t</w:t>
      </w:r>
      <w:r w:rsidRPr="00DF1151">
        <w:rPr>
          <w:rFonts w:ascii="Times New Roman" w:hAnsi="Times New Roman" w:cs="Times New Roman"/>
          <w:sz w:val="24"/>
          <w:szCs w:val="24"/>
        </w:rPr>
        <w:t xml:space="preserve">hey also plan to </w:t>
      </w:r>
      <w:bookmarkStart w:id="1" w:name="_Hlk135212379"/>
      <w:r w:rsidRPr="00DF1151">
        <w:rPr>
          <w:rFonts w:ascii="Times New Roman" w:hAnsi="Times New Roman" w:cs="Times New Roman"/>
          <w:sz w:val="24"/>
          <w:szCs w:val="24"/>
        </w:rPr>
        <w:t>reconstruct 99-miles of existing road and maintain another 51-miles</w:t>
      </w:r>
      <w:bookmarkEnd w:id="1"/>
      <w:r w:rsidRPr="00DF1151">
        <w:rPr>
          <w:rFonts w:ascii="Times New Roman" w:hAnsi="Times New Roman" w:cs="Times New Roman"/>
          <w:sz w:val="24"/>
          <w:szCs w:val="24"/>
        </w:rPr>
        <w:t xml:space="preserve">.  The Forest Service claims all of this work can be accomplished without any measurable increase in stream sediment as required in the Forest Plan lawsuit settlement in streams currently not meeting Forest Plan standards. Despite Nez Perce -Clearwater modeling efforts, this claim seems very unlikely given the past history of landslides within the project area.  Modeling efforts generally do not include the impact landslides.  For example, both the Deception Creek Road (255) and the Black Canyon Road (250) were only recently reopened after landslides occurred on both of these roads (USDA Forest Service 2021).  These are the main access roads to the project area. </w:t>
      </w:r>
    </w:p>
    <w:p w14:paraId="7D3F48BF" w14:textId="77777777" w:rsidR="00246DEC" w:rsidRPr="00DF1151" w:rsidRDefault="00246DEC" w:rsidP="00246DEC">
      <w:pPr>
        <w:spacing w:after="0"/>
        <w:rPr>
          <w:rFonts w:ascii="Times New Roman" w:hAnsi="Times New Roman" w:cs="Times New Roman"/>
          <w:sz w:val="24"/>
          <w:szCs w:val="24"/>
        </w:rPr>
      </w:pPr>
    </w:p>
    <w:p w14:paraId="7FD6B3BB" w14:textId="5D365670" w:rsidR="00246DEC" w:rsidRPr="00DF1151" w:rsidRDefault="00246DEC" w:rsidP="00246DEC">
      <w:pPr>
        <w:spacing w:after="0"/>
        <w:rPr>
          <w:rFonts w:ascii="Times New Roman" w:hAnsi="Times New Roman" w:cs="Times New Roman"/>
          <w:sz w:val="24"/>
          <w:szCs w:val="24"/>
        </w:rPr>
      </w:pPr>
      <w:r w:rsidRPr="00DF1151">
        <w:rPr>
          <w:rFonts w:ascii="Times New Roman" w:hAnsi="Times New Roman" w:cs="Times New Roman"/>
          <w:sz w:val="24"/>
          <w:szCs w:val="24"/>
        </w:rPr>
        <w:t>Beyond Roads 250 and 255, many of the other proposed roads and harvest units appear to occur on steep slopes and high</w:t>
      </w:r>
      <w:r>
        <w:rPr>
          <w:rFonts w:ascii="Times New Roman" w:hAnsi="Times New Roman" w:cs="Times New Roman"/>
          <w:sz w:val="24"/>
          <w:szCs w:val="24"/>
        </w:rPr>
        <w:t>-</w:t>
      </w:r>
      <w:r w:rsidRPr="00DF1151">
        <w:rPr>
          <w:rFonts w:ascii="Times New Roman" w:hAnsi="Times New Roman" w:cs="Times New Roman"/>
          <w:sz w:val="24"/>
          <w:szCs w:val="24"/>
        </w:rPr>
        <w:t xml:space="preserve">risk landtypes.  The Forest should consider not building roads and </w:t>
      </w:r>
      <w:r w:rsidRPr="00DF1151">
        <w:rPr>
          <w:rFonts w:ascii="Times New Roman" w:hAnsi="Times New Roman" w:cs="Times New Roman"/>
          <w:sz w:val="24"/>
          <w:szCs w:val="24"/>
        </w:rPr>
        <w:lastRenderedPageBreak/>
        <w:t>harvesting timber in these high</w:t>
      </w:r>
      <w:r>
        <w:rPr>
          <w:rFonts w:ascii="Times New Roman" w:hAnsi="Times New Roman" w:cs="Times New Roman"/>
          <w:sz w:val="24"/>
          <w:szCs w:val="24"/>
        </w:rPr>
        <w:t>-</w:t>
      </w:r>
      <w:r w:rsidRPr="00DF1151">
        <w:rPr>
          <w:rFonts w:ascii="Times New Roman" w:hAnsi="Times New Roman" w:cs="Times New Roman"/>
          <w:sz w:val="24"/>
          <w:szCs w:val="24"/>
        </w:rPr>
        <w:t>risk areas.  The new system and temporary road in into unit 30 appears very risky as does the proposed harvest treatment of 4</w:t>
      </w:r>
      <w:r>
        <w:rPr>
          <w:rFonts w:ascii="Times New Roman" w:hAnsi="Times New Roman" w:cs="Times New Roman"/>
          <w:sz w:val="24"/>
          <w:szCs w:val="24"/>
        </w:rPr>
        <w:t>32</w:t>
      </w:r>
      <w:r w:rsidRPr="00DF1151">
        <w:rPr>
          <w:rFonts w:ascii="Times New Roman" w:hAnsi="Times New Roman" w:cs="Times New Roman"/>
          <w:sz w:val="24"/>
          <w:szCs w:val="24"/>
        </w:rPr>
        <w:t xml:space="preserve">-acres in </w:t>
      </w:r>
      <w:r w:rsidR="00EB0293">
        <w:rPr>
          <w:rFonts w:ascii="Times New Roman" w:hAnsi="Times New Roman" w:cs="Times New Roman"/>
          <w:sz w:val="24"/>
          <w:szCs w:val="24"/>
        </w:rPr>
        <w:t xml:space="preserve">the </w:t>
      </w:r>
      <w:r w:rsidR="002D6C5D">
        <w:rPr>
          <w:rFonts w:ascii="Times New Roman" w:hAnsi="Times New Roman" w:cs="Times New Roman"/>
          <w:sz w:val="24"/>
          <w:szCs w:val="24"/>
        </w:rPr>
        <w:t>unit itself</w:t>
      </w:r>
      <w:r w:rsidRPr="00DF1151">
        <w:rPr>
          <w:rFonts w:ascii="Times New Roman" w:hAnsi="Times New Roman" w:cs="Times New Roman"/>
          <w:sz w:val="24"/>
          <w:szCs w:val="24"/>
        </w:rPr>
        <w:t xml:space="preserve">.  There are also several new temporary roads that appear to be very closely spaced to existing road templates.  </w:t>
      </w:r>
      <w:r>
        <w:rPr>
          <w:rFonts w:ascii="Times New Roman" w:hAnsi="Times New Roman" w:cs="Times New Roman"/>
          <w:sz w:val="24"/>
          <w:szCs w:val="24"/>
        </w:rPr>
        <w:t>Forty</w:t>
      </w:r>
      <w:r w:rsidRPr="00DF1151">
        <w:rPr>
          <w:rFonts w:ascii="Times New Roman" w:hAnsi="Times New Roman" w:cs="Times New Roman"/>
          <w:sz w:val="24"/>
          <w:szCs w:val="24"/>
        </w:rPr>
        <w:t>-</w:t>
      </w:r>
      <w:r>
        <w:rPr>
          <w:rFonts w:ascii="Times New Roman" w:hAnsi="Times New Roman" w:cs="Times New Roman"/>
          <w:sz w:val="24"/>
          <w:szCs w:val="24"/>
        </w:rPr>
        <w:t xml:space="preserve">two </w:t>
      </w:r>
      <w:r w:rsidRPr="00DF1151">
        <w:rPr>
          <w:rFonts w:ascii="Times New Roman" w:hAnsi="Times New Roman" w:cs="Times New Roman"/>
          <w:sz w:val="24"/>
          <w:szCs w:val="24"/>
        </w:rPr>
        <w:t>m</w:t>
      </w:r>
      <w:r>
        <w:rPr>
          <w:rFonts w:ascii="Times New Roman" w:hAnsi="Times New Roman" w:cs="Times New Roman"/>
          <w:sz w:val="24"/>
          <w:szCs w:val="24"/>
        </w:rPr>
        <w:t>iles</w:t>
      </w:r>
      <w:r w:rsidRPr="00DF1151">
        <w:rPr>
          <w:rFonts w:ascii="Times New Roman" w:hAnsi="Times New Roman" w:cs="Times New Roman"/>
          <w:sz w:val="24"/>
          <w:szCs w:val="24"/>
        </w:rPr>
        <w:t xml:space="preserve"> of </w:t>
      </w:r>
      <w:r w:rsidR="00EB0293">
        <w:rPr>
          <w:rFonts w:ascii="Times New Roman" w:hAnsi="Times New Roman" w:cs="Times New Roman"/>
          <w:sz w:val="24"/>
          <w:szCs w:val="24"/>
        </w:rPr>
        <w:t>system</w:t>
      </w:r>
      <w:r w:rsidRPr="00DF1151">
        <w:rPr>
          <w:rFonts w:ascii="Times New Roman" w:hAnsi="Times New Roman" w:cs="Times New Roman"/>
          <w:sz w:val="24"/>
          <w:szCs w:val="24"/>
        </w:rPr>
        <w:t xml:space="preserve"> and temporary road construction seems pretty excessive given all the existing roads in the project area and the amount of timber to be removed.</w:t>
      </w:r>
    </w:p>
    <w:p w14:paraId="6AB9FFF2" w14:textId="77777777" w:rsidR="00246DEC" w:rsidRPr="00DF1151" w:rsidRDefault="00246DEC" w:rsidP="00246DEC">
      <w:pPr>
        <w:spacing w:after="0"/>
        <w:rPr>
          <w:rFonts w:ascii="Times New Roman" w:hAnsi="Times New Roman" w:cs="Times New Roman"/>
          <w:sz w:val="24"/>
          <w:szCs w:val="24"/>
        </w:rPr>
      </w:pPr>
    </w:p>
    <w:p w14:paraId="7C9CE038" w14:textId="77777777" w:rsidR="00246DEC" w:rsidRPr="00DF1151" w:rsidRDefault="00246DEC" w:rsidP="00246DEC">
      <w:pPr>
        <w:spacing w:after="0"/>
        <w:rPr>
          <w:rFonts w:ascii="Times New Roman" w:hAnsi="Times New Roman" w:cs="Times New Roman"/>
          <w:sz w:val="24"/>
          <w:szCs w:val="24"/>
        </w:rPr>
      </w:pPr>
      <w:r w:rsidRPr="00DF1151">
        <w:rPr>
          <w:rFonts w:ascii="Times New Roman" w:hAnsi="Times New Roman" w:cs="Times New Roman"/>
          <w:sz w:val="24"/>
          <w:szCs w:val="24"/>
        </w:rPr>
        <w:t xml:space="preserve">The Nez Perce Clearwater also appears to be planning to open roads that were previously decommissioned and allowing them to be converted to system roads?   Shouldn’t the decision if these roads were needed as part of the transportation system have been made prior to their decommissioning? </w:t>
      </w:r>
    </w:p>
    <w:p w14:paraId="2952C778" w14:textId="77777777" w:rsidR="00246DEC" w:rsidRPr="00DF1151" w:rsidRDefault="00246DEC" w:rsidP="00246DEC">
      <w:pPr>
        <w:spacing w:after="0"/>
        <w:rPr>
          <w:rFonts w:ascii="Times New Roman" w:hAnsi="Times New Roman" w:cs="Times New Roman"/>
          <w:sz w:val="24"/>
          <w:szCs w:val="24"/>
        </w:rPr>
      </w:pPr>
    </w:p>
    <w:p w14:paraId="67BB1BA3" w14:textId="0BA7AAAD" w:rsidR="00246DEC" w:rsidRPr="00DF1151" w:rsidRDefault="00246DEC" w:rsidP="00246DEC">
      <w:pPr>
        <w:spacing w:after="0"/>
        <w:rPr>
          <w:rFonts w:ascii="Times New Roman" w:hAnsi="Times New Roman" w:cs="Times New Roman"/>
          <w:sz w:val="24"/>
          <w:szCs w:val="24"/>
        </w:rPr>
      </w:pPr>
      <w:r w:rsidRPr="00DF1151">
        <w:rPr>
          <w:rFonts w:ascii="Times New Roman" w:hAnsi="Times New Roman" w:cs="Times New Roman"/>
          <w:sz w:val="24"/>
          <w:szCs w:val="24"/>
        </w:rPr>
        <w:t xml:space="preserve">I know many of the existing roads are grown over and </w:t>
      </w:r>
      <w:r w:rsidR="00773148" w:rsidRPr="00DF1151">
        <w:rPr>
          <w:rFonts w:ascii="Times New Roman" w:hAnsi="Times New Roman" w:cs="Times New Roman"/>
          <w:sz w:val="24"/>
          <w:szCs w:val="24"/>
        </w:rPr>
        <w:t>untravellable</w:t>
      </w:r>
      <w:r w:rsidRPr="00DF1151">
        <w:rPr>
          <w:rFonts w:ascii="Times New Roman" w:hAnsi="Times New Roman" w:cs="Times New Roman"/>
          <w:sz w:val="24"/>
          <w:szCs w:val="24"/>
        </w:rPr>
        <w:t xml:space="preserve">. </w:t>
      </w:r>
      <w:r>
        <w:rPr>
          <w:rFonts w:ascii="Times New Roman" w:hAnsi="Times New Roman" w:cs="Times New Roman"/>
          <w:sz w:val="24"/>
          <w:szCs w:val="24"/>
        </w:rPr>
        <w:t>It is still unclear h</w:t>
      </w:r>
      <w:r w:rsidRPr="00DF1151">
        <w:rPr>
          <w:rFonts w:ascii="Times New Roman" w:hAnsi="Times New Roman" w:cs="Times New Roman"/>
          <w:sz w:val="24"/>
          <w:szCs w:val="24"/>
        </w:rPr>
        <w:t>ow many of the roads that the Forest Service plans to reconstruct or reopen as a temporary or system road are currently grown over or decommissioned?</w:t>
      </w:r>
      <w:r w:rsidR="00F55803">
        <w:rPr>
          <w:rFonts w:ascii="Times New Roman" w:hAnsi="Times New Roman" w:cs="Times New Roman"/>
          <w:sz w:val="24"/>
          <w:szCs w:val="24"/>
        </w:rPr>
        <w:t xml:space="preserve">  It is also unclear if newly opened roads will remain open to all forms of motorized traffic or if they will be closed with gates, earthern barriers of some other closure device </w:t>
      </w:r>
      <w:r w:rsidR="00193F29">
        <w:rPr>
          <w:rFonts w:ascii="Times New Roman" w:hAnsi="Times New Roman" w:cs="Times New Roman"/>
          <w:sz w:val="24"/>
          <w:szCs w:val="24"/>
        </w:rPr>
        <w:t xml:space="preserve">during and </w:t>
      </w:r>
      <w:r w:rsidR="00F55803">
        <w:rPr>
          <w:rFonts w:ascii="Times New Roman" w:hAnsi="Times New Roman" w:cs="Times New Roman"/>
          <w:sz w:val="24"/>
          <w:szCs w:val="24"/>
        </w:rPr>
        <w:t xml:space="preserve">following logging.  </w:t>
      </w:r>
      <w:r w:rsidR="00193F29">
        <w:rPr>
          <w:rFonts w:ascii="Times New Roman" w:hAnsi="Times New Roman" w:cs="Times New Roman"/>
          <w:sz w:val="24"/>
          <w:szCs w:val="24"/>
        </w:rPr>
        <w:t>Newly opened roads need to closed to motorized use during both project implementation and once the project is completed.  Requirements to close gates during non-haul times should be included in the timber sale contract and more substantial closure devices should be planned once the project is completed.</w:t>
      </w:r>
    </w:p>
    <w:p w14:paraId="10201C47" w14:textId="77777777" w:rsidR="00246DEC" w:rsidRPr="00DF1151" w:rsidRDefault="00246DEC" w:rsidP="00246DEC">
      <w:pPr>
        <w:spacing w:after="0"/>
        <w:rPr>
          <w:rFonts w:ascii="Times New Roman" w:hAnsi="Times New Roman" w:cs="Times New Roman"/>
          <w:b/>
          <w:bCs/>
          <w:sz w:val="24"/>
          <w:szCs w:val="24"/>
        </w:rPr>
      </w:pPr>
    </w:p>
    <w:p w14:paraId="3AE97E06" w14:textId="1EC93273" w:rsidR="00246DEC" w:rsidRPr="00DF1151" w:rsidRDefault="00246DEC" w:rsidP="00246DEC">
      <w:pPr>
        <w:spacing w:after="0"/>
        <w:rPr>
          <w:rFonts w:ascii="Times New Roman" w:hAnsi="Times New Roman" w:cs="Times New Roman"/>
          <w:b/>
          <w:bCs/>
          <w:sz w:val="24"/>
          <w:szCs w:val="24"/>
        </w:rPr>
      </w:pPr>
      <w:r w:rsidRPr="00DF1151">
        <w:rPr>
          <w:rFonts w:ascii="Times New Roman" w:hAnsi="Times New Roman" w:cs="Times New Roman"/>
          <w:b/>
          <w:bCs/>
          <w:sz w:val="24"/>
          <w:szCs w:val="24"/>
        </w:rPr>
        <w:t xml:space="preserve">Objection </w:t>
      </w:r>
      <w:r w:rsidR="0076257C">
        <w:rPr>
          <w:rFonts w:ascii="Times New Roman" w:hAnsi="Times New Roman" w:cs="Times New Roman"/>
          <w:b/>
          <w:bCs/>
          <w:sz w:val="24"/>
          <w:szCs w:val="24"/>
        </w:rPr>
        <w:t>9</w:t>
      </w:r>
      <w:r w:rsidRPr="00DF1151">
        <w:rPr>
          <w:rFonts w:ascii="Times New Roman" w:hAnsi="Times New Roman" w:cs="Times New Roman"/>
          <w:b/>
          <w:bCs/>
          <w:sz w:val="24"/>
          <w:szCs w:val="24"/>
        </w:rPr>
        <w:t xml:space="preserve"> - Timber Harvest Adjacent to the Existing Hoodoo Roadless Area</w:t>
      </w:r>
    </w:p>
    <w:p w14:paraId="2A9488CB" w14:textId="77777777" w:rsidR="00246DEC" w:rsidRPr="00DF1151" w:rsidRDefault="00246DEC" w:rsidP="00246DEC">
      <w:pPr>
        <w:spacing w:after="0"/>
        <w:rPr>
          <w:rFonts w:ascii="Times New Roman" w:hAnsi="Times New Roman" w:cs="Times New Roman"/>
          <w:b/>
          <w:bCs/>
          <w:sz w:val="24"/>
          <w:szCs w:val="24"/>
        </w:rPr>
      </w:pPr>
    </w:p>
    <w:p w14:paraId="1F509AB5" w14:textId="77777777" w:rsidR="00246DEC" w:rsidRDefault="00246DEC" w:rsidP="00246DEC">
      <w:pPr>
        <w:spacing w:after="0"/>
        <w:rPr>
          <w:rFonts w:ascii="Times New Roman" w:hAnsi="Times New Roman" w:cs="Times New Roman"/>
          <w:sz w:val="24"/>
          <w:szCs w:val="24"/>
        </w:rPr>
      </w:pPr>
      <w:r w:rsidRPr="00DF1151">
        <w:rPr>
          <w:rFonts w:ascii="Times New Roman" w:hAnsi="Times New Roman" w:cs="Times New Roman"/>
          <w:sz w:val="24"/>
          <w:szCs w:val="24"/>
        </w:rPr>
        <w:t>The Hoodoo Roadless area is one of three areas recommended for wilderness protection in the current Clearwater Forest Plan, and its integrity needs to be maintained until Congress moves forward with any wilderness proposal.  The</w:t>
      </w:r>
      <w:r>
        <w:rPr>
          <w:rFonts w:ascii="Times New Roman" w:hAnsi="Times New Roman" w:cs="Times New Roman"/>
          <w:sz w:val="24"/>
          <w:szCs w:val="24"/>
        </w:rPr>
        <w:t xml:space="preserve"> final</w:t>
      </w:r>
      <w:r w:rsidRPr="00DF1151">
        <w:rPr>
          <w:rFonts w:ascii="Times New Roman" w:hAnsi="Times New Roman" w:cs="Times New Roman"/>
          <w:sz w:val="24"/>
          <w:szCs w:val="24"/>
        </w:rPr>
        <w:t xml:space="preserve"> environmental assessment estimates that 59-acres of unroaded land adjacent to the existing Hoodoo Roadless area will be logged as a result of the project? </w:t>
      </w:r>
      <w:r>
        <w:rPr>
          <w:rFonts w:ascii="Times New Roman" w:hAnsi="Times New Roman" w:cs="Times New Roman"/>
          <w:sz w:val="24"/>
          <w:szCs w:val="24"/>
        </w:rPr>
        <w:t>Some of these units were dropped because they were considered old growth in the Draft Decision Notice, but several other units still remain in the project proposal.</w:t>
      </w:r>
    </w:p>
    <w:p w14:paraId="724BC5C0" w14:textId="77777777" w:rsidR="00246DEC" w:rsidRDefault="00246DEC" w:rsidP="00246DEC">
      <w:pPr>
        <w:spacing w:after="0"/>
        <w:rPr>
          <w:rFonts w:ascii="Times New Roman" w:hAnsi="Times New Roman" w:cs="Times New Roman"/>
          <w:sz w:val="24"/>
          <w:szCs w:val="24"/>
        </w:rPr>
      </w:pPr>
    </w:p>
    <w:p w14:paraId="5FEE5933" w14:textId="77777777" w:rsidR="00246DEC" w:rsidRPr="00DF1151" w:rsidRDefault="00246DEC" w:rsidP="00246DEC">
      <w:pPr>
        <w:spacing w:after="0"/>
        <w:rPr>
          <w:rFonts w:ascii="Times New Roman" w:hAnsi="Times New Roman" w:cs="Times New Roman"/>
          <w:sz w:val="24"/>
          <w:szCs w:val="24"/>
        </w:rPr>
      </w:pPr>
      <w:r w:rsidRPr="00DF1151">
        <w:rPr>
          <w:rFonts w:ascii="Times New Roman" w:hAnsi="Times New Roman" w:cs="Times New Roman"/>
          <w:sz w:val="24"/>
          <w:szCs w:val="24"/>
        </w:rPr>
        <w:t>These unroaded areas were likely not included in the Hoodoo Roadless area due to the fact that these acres were in private ownership when roadless inventory was completed.  Once the land exchange was finalized, boundary adjustments should have been completed to appropriately identify the boundary of the Hoodoo roadless area.</w:t>
      </w:r>
    </w:p>
    <w:p w14:paraId="55E0DC82" w14:textId="77777777" w:rsidR="00246DEC" w:rsidRPr="00DF1151" w:rsidRDefault="00246DEC" w:rsidP="00246DEC">
      <w:pPr>
        <w:spacing w:after="0"/>
        <w:rPr>
          <w:rFonts w:ascii="Times New Roman" w:hAnsi="Times New Roman" w:cs="Times New Roman"/>
          <w:sz w:val="24"/>
          <w:szCs w:val="24"/>
        </w:rPr>
      </w:pPr>
    </w:p>
    <w:p w14:paraId="2E783F0B" w14:textId="77777777" w:rsidR="00246DEC" w:rsidRPr="00DF1151" w:rsidRDefault="00246DEC" w:rsidP="00246DEC">
      <w:pPr>
        <w:spacing w:after="0"/>
        <w:rPr>
          <w:rFonts w:ascii="Times New Roman" w:hAnsi="Times New Roman" w:cs="Times New Roman"/>
          <w:sz w:val="24"/>
          <w:szCs w:val="24"/>
        </w:rPr>
      </w:pPr>
      <w:r w:rsidRPr="00DF1151">
        <w:rPr>
          <w:rFonts w:ascii="Times New Roman" w:hAnsi="Times New Roman" w:cs="Times New Roman"/>
          <w:sz w:val="24"/>
          <w:szCs w:val="24"/>
        </w:rPr>
        <w:t xml:space="preserve">While I had great difficulty in reading the provided project area maps and may have incorrectly identified some unit numbers, I believe </w:t>
      </w:r>
      <w:r>
        <w:rPr>
          <w:rFonts w:ascii="Times New Roman" w:hAnsi="Times New Roman" w:cs="Times New Roman"/>
          <w:sz w:val="24"/>
          <w:szCs w:val="24"/>
        </w:rPr>
        <w:t xml:space="preserve">units </w:t>
      </w:r>
      <w:r w:rsidRPr="00DF1151">
        <w:rPr>
          <w:rFonts w:ascii="Times New Roman" w:hAnsi="Times New Roman" w:cs="Times New Roman"/>
          <w:sz w:val="24"/>
          <w:szCs w:val="24"/>
        </w:rPr>
        <w:t xml:space="preserve">such as 33C, 33E, </w:t>
      </w:r>
      <w:r>
        <w:rPr>
          <w:rFonts w:ascii="Times New Roman" w:hAnsi="Times New Roman" w:cs="Times New Roman"/>
          <w:sz w:val="24"/>
          <w:szCs w:val="24"/>
        </w:rPr>
        <w:t xml:space="preserve">34A, </w:t>
      </w:r>
      <w:r w:rsidRPr="00DF1151">
        <w:rPr>
          <w:rFonts w:ascii="Times New Roman" w:hAnsi="Times New Roman" w:cs="Times New Roman"/>
          <w:sz w:val="24"/>
          <w:szCs w:val="24"/>
        </w:rPr>
        <w:t xml:space="preserve">34B, </w:t>
      </w:r>
      <w:r>
        <w:rPr>
          <w:rFonts w:ascii="Times New Roman" w:hAnsi="Times New Roman" w:cs="Times New Roman"/>
          <w:sz w:val="24"/>
          <w:szCs w:val="24"/>
        </w:rPr>
        <w:t xml:space="preserve">35, </w:t>
      </w:r>
      <w:r w:rsidRPr="00DF1151">
        <w:rPr>
          <w:rFonts w:ascii="Times New Roman" w:hAnsi="Times New Roman" w:cs="Times New Roman"/>
          <w:sz w:val="24"/>
          <w:szCs w:val="24"/>
        </w:rPr>
        <w:t xml:space="preserve">43, 44. 45, 58, 63 and 81 </w:t>
      </w:r>
      <w:r>
        <w:rPr>
          <w:rFonts w:ascii="Times New Roman" w:hAnsi="Times New Roman" w:cs="Times New Roman"/>
          <w:sz w:val="24"/>
          <w:szCs w:val="24"/>
        </w:rPr>
        <w:t xml:space="preserve">are all adjacent or near the Hoodoo Roadless area.   Several of the units </w:t>
      </w:r>
      <w:r w:rsidRPr="00DF1151">
        <w:rPr>
          <w:rFonts w:ascii="Times New Roman" w:hAnsi="Times New Roman" w:cs="Times New Roman"/>
          <w:sz w:val="24"/>
          <w:szCs w:val="24"/>
        </w:rPr>
        <w:t xml:space="preserve">will require a considerable amount of road reconstruction and new temporary road.  Please instruct the Nez Perce Clearwater Forest to drop all areas that would currently qualify as existing roadless if the Hoodoo Roadless were to be appropriately remapped.  Further compromising the Hoodoo Roadless area with new roads and </w:t>
      </w:r>
      <w:r>
        <w:rPr>
          <w:rFonts w:ascii="Times New Roman" w:hAnsi="Times New Roman" w:cs="Times New Roman"/>
          <w:sz w:val="24"/>
          <w:szCs w:val="24"/>
        </w:rPr>
        <w:t xml:space="preserve">regeneration </w:t>
      </w:r>
      <w:r w:rsidRPr="00DF1151">
        <w:rPr>
          <w:rFonts w:ascii="Times New Roman" w:hAnsi="Times New Roman" w:cs="Times New Roman"/>
          <w:sz w:val="24"/>
          <w:szCs w:val="24"/>
        </w:rPr>
        <w:t>timber harvest is not appropriate.</w:t>
      </w:r>
    </w:p>
    <w:p w14:paraId="56175E57" w14:textId="77777777" w:rsidR="00246DEC" w:rsidRPr="00DF1151" w:rsidRDefault="00246DEC" w:rsidP="00246DEC">
      <w:pPr>
        <w:spacing w:after="0"/>
        <w:rPr>
          <w:rFonts w:ascii="Times New Roman" w:hAnsi="Times New Roman" w:cs="Times New Roman"/>
          <w:sz w:val="24"/>
          <w:szCs w:val="24"/>
        </w:rPr>
      </w:pPr>
    </w:p>
    <w:p w14:paraId="33E3A90D" w14:textId="77777777" w:rsidR="0076257C" w:rsidRDefault="0076257C" w:rsidP="00246DEC">
      <w:pPr>
        <w:spacing w:after="0"/>
        <w:rPr>
          <w:rFonts w:ascii="Times New Roman" w:hAnsi="Times New Roman" w:cs="Times New Roman"/>
          <w:b/>
          <w:bCs/>
          <w:sz w:val="24"/>
          <w:szCs w:val="24"/>
        </w:rPr>
      </w:pPr>
    </w:p>
    <w:p w14:paraId="598B052C" w14:textId="51689331" w:rsidR="00246DEC" w:rsidRPr="00DF1151" w:rsidRDefault="00246DEC" w:rsidP="00246DEC">
      <w:pPr>
        <w:spacing w:after="0"/>
        <w:rPr>
          <w:rFonts w:ascii="Times New Roman" w:hAnsi="Times New Roman" w:cs="Times New Roman"/>
          <w:b/>
          <w:bCs/>
          <w:sz w:val="24"/>
          <w:szCs w:val="24"/>
        </w:rPr>
      </w:pPr>
      <w:r w:rsidRPr="00DF1151">
        <w:rPr>
          <w:rFonts w:ascii="Times New Roman" w:hAnsi="Times New Roman" w:cs="Times New Roman"/>
          <w:b/>
          <w:bCs/>
          <w:sz w:val="24"/>
          <w:szCs w:val="24"/>
        </w:rPr>
        <w:lastRenderedPageBreak/>
        <w:t xml:space="preserve">Objection </w:t>
      </w:r>
      <w:r w:rsidR="0076257C">
        <w:rPr>
          <w:rFonts w:ascii="Times New Roman" w:hAnsi="Times New Roman" w:cs="Times New Roman"/>
          <w:b/>
          <w:bCs/>
          <w:sz w:val="24"/>
          <w:szCs w:val="24"/>
        </w:rPr>
        <w:t>10</w:t>
      </w:r>
      <w:r w:rsidRPr="00DF1151">
        <w:rPr>
          <w:rFonts w:ascii="Times New Roman" w:hAnsi="Times New Roman" w:cs="Times New Roman"/>
          <w:b/>
          <w:bCs/>
          <w:sz w:val="24"/>
          <w:szCs w:val="24"/>
        </w:rPr>
        <w:t xml:space="preserve"> – Burning in Riparian Areas or Landslide Prone </w:t>
      </w:r>
    </w:p>
    <w:p w14:paraId="45525375" w14:textId="77777777" w:rsidR="00246DEC" w:rsidRPr="00DF1151" w:rsidRDefault="00246DEC" w:rsidP="00246DEC">
      <w:pPr>
        <w:spacing w:after="0"/>
        <w:rPr>
          <w:rFonts w:ascii="Times New Roman" w:hAnsi="Times New Roman" w:cs="Times New Roman"/>
          <w:b/>
          <w:bCs/>
          <w:sz w:val="24"/>
          <w:szCs w:val="24"/>
        </w:rPr>
      </w:pPr>
    </w:p>
    <w:p w14:paraId="02588D9E" w14:textId="77777777" w:rsidR="00246DEC" w:rsidRPr="00DF1151" w:rsidRDefault="00246DEC" w:rsidP="00246DEC">
      <w:pPr>
        <w:spacing w:after="0"/>
        <w:rPr>
          <w:rFonts w:ascii="Times New Roman" w:hAnsi="Times New Roman" w:cs="Times New Roman"/>
          <w:sz w:val="24"/>
          <w:szCs w:val="24"/>
        </w:rPr>
      </w:pPr>
      <w:r w:rsidRPr="00DF1151">
        <w:rPr>
          <w:rFonts w:ascii="Times New Roman" w:hAnsi="Times New Roman" w:cs="Times New Roman"/>
          <w:sz w:val="24"/>
          <w:szCs w:val="24"/>
        </w:rPr>
        <w:t>Burning should not be permitted in riparian areas or landslide prone locations, and all ignitions should occur outside of these areas.  Burning prescriptions should be designed to have minimal impact and no areas within the riparian zone or landslide prone areas should be allowed to burn at high intensities.  The focus of the prescriptions should be maintaining all riparian vegetation and not just mature trees.</w:t>
      </w:r>
    </w:p>
    <w:p w14:paraId="1A3D9F46" w14:textId="77777777" w:rsidR="00246DEC" w:rsidRDefault="00246DEC" w:rsidP="00246DEC">
      <w:pPr>
        <w:spacing w:after="0"/>
        <w:rPr>
          <w:rFonts w:ascii="Times New Roman" w:hAnsi="Times New Roman" w:cs="Times New Roman"/>
          <w:b/>
          <w:bCs/>
          <w:sz w:val="24"/>
          <w:szCs w:val="24"/>
        </w:rPr>
      </w:pPr>
    </w:p>
    <w:p w14:paraId="4913EEBD" w14:textId="7F7C9F30" w:rsidR="00246DEC" w:rsidRPr="00DF1151" w:rsidRDefault="0076257C" w:rsidP="00246DEC">
      <w:pPr>
        <w:spacing w:after="0"/>
        <w:rPr>
          <w:rFonts w:ascii="Times New Roman" w:hAnsi="Times New Roman" w:cs="Times New Roman"/>
          <w:b/>
          <w:bCs/>
          <w:sz w:val="24"/>
          <w:szCs w:val="24"/>
        </w:rPr>
      </w:pPr>
      <w:r>
        <w:rPr>
          <w:rFonts w:ascii="Times New Roman" w:hAnsi="Times New Roman" w:cs="Times New Roman"/>
          <w:b/>
          <w:bCs/>
          <w:sz w:val="24"/>
          <w:szCs w:val="24"/>
        </w:rPr>
        <w:t xml:space="preserve">Objection </w:t>
      </w:r>
      <w:r w:rsidR="00246DEC" w:rsidRPr="00DF1151">
        <w:rPr>
          <w:rFonts w:ascii="Times New Roman" w:hAnsi="Times New Roman" w:cs="Times New Roman"/>
          <w:b/>
          <w:bCs/>
          <w:sz w:val="24"/>
          <w:szCs w:val="24"/>
        </w:rPr>
        <w:t>1</w:t>
      </w:r>
      <w:r>
        <w:rPr>
          <w:rFonts w:ascii="Times New Roman" w:hAnsi="Times New Roman" w:cs="Times New Roman"/>
          <w:b/>
          <w:bCs/>
          <w:sz w:val="24"/>
          <w:szCs w:val="24"/>
        </w:rPr>
        <w:t>1</w:t>
      </w:r>
      <w:r w:rsidR="00246DEC" w:rsidRPr="00DF1151">
        <w:rPr>
          <w:rFonts w:ascii="Times New Roman" w:hAnsi="Times New Roman" w:cs="Times New Roman"/>
          <w:b/>
          <w:bCs/>
          <w:sz w:val="24"/>
          <w:szCs w:val="24"/>
        </w:rPr>
        <w:t xml:space="preserve"> – Detrimental Soil Disturbance Exceeding Regional Standards</w:t>
      </w:r>
    </w:p>
    <w:p w14:paraId="1CBA9CE2" w14:textId="77777777" w:rsidR="00246DEC" w:rsidRPr="00DF1151" w:rsidRDefault="00246DEC" w:rsidP="00246DEC">
      <w:pPr>
        <w:spacing w:after="0"/>
        <w:rPr>
          <w:rFonts w:ascii="Times New Roman" w:hAnsi="Times New Roman" w:cs="Times New Roman"/>
          <w:sz w:val="24"/>
          <w:szCs w:val="24"/>
        </w:rPr>
      </w:pPr>
    </w:p>
    <w:p w14:paraId="3E2143DF" w14:textId="77777777" w:rsidR="00246DEC" w:rsidRPr="00DF1151" w:rsidRDefault="00246DEC" w:rsidP="00246DEC">
      <w:pPr>
        <w:spacing w:after="0"/>
        <w:rPr>
          <w:rFonts w:ascii="Times New Roman" w:hAnsi="Times New Roman" w:cs="Times New Roman"/>
          <w:sz w:val="24"/>
          <w:szCs w:val="24"/>
        </w:rPr>
      </w:pPr>
      <w:r w:rsidRPr="00DF1151">
        <w:rPr>
          <w:rFonts w:ascii="Times New Roman" w:hAnsi="Times New Roman" w:cs="Times New Roman"/>
          <w:sz w:val="24"/>
          <w:szCs w:val="24"/>
        </w:rPr>
        <w:t>The soils report suggests that there are currently no harvest units with Detrimental Soil Disturbance (DSD) over the regional standard of 15%, but that several harvest units will be allowed to exceed the regional standard during project implementation.   According to the soils report, there are at least seven harvest units that will exceed the 15% Detrimental Soil Disturbance during project implementation and three other units that would move to 15%.</w:t>
      </w:r>
    </w:p>
    <w:p w14:paraId="1D359D94" w14:textId="77777777" w:rsidR="00246DEC" w:rsidRPr="00DF1151" w:rsidRDefault="00246DEC" w:rsidP="00246DEC">
      <w:pPr>
        <w:spacing w:after="0"/>
        <w:rPr>
          <w:rFonts w:ascii="Times New Roman" w:hAnsi="Times New Roman" w:cs="Times New Roman"/>
          <w:sz w:val="24"/>
          <w:szCs w:val="24"/>
        </w:rPr>
      </w:pPr>
    </w:p>
    <w:p w14:paraId="2CEAE8E5" w14:textId="77777777" w:rsidR="00246DEC" w:rsidRPr="00DF1151" w:rsidRDefault="00246DEC" w:rsidP="00246DEC">
      <w:pPr>
        <w:spacing w:after="0"/>
        <w:rPr>
          <w:rFonts w:ascii="Times New Roman" w:hAnsi="Times New Roman" w:cs="Times New Roman"/>
          <w:sz w:val="24"/>
          <w:szCs w:val="24"/>
        </w:rPr>
      </w:pPr>
      <w:r w:rsidRPr="00DF1151">
        <w:rPr>
          <w:rFonts w:ascii="Times New Roman" w:hAnsi="Times New Roman" w:cs="Times New Roman"/>
          <w:sz w:val="24"/>
          <w:szCs w:val="24"/>
        </w:rPr>
        <w:t xml:space="preserve">It is very unclear why the Nez Perce – Clearwater is permitting this level of Detrimental Soil Disturbance in these 10-harvest units.  The Regional standard is designed to prevent such disturbance before it occurs and/or to correct situations that have occurred prior to the adoption of the regional standard.  Please advise the Nez Perce – Clearwater to drop or redesign all harvest units exceeding the regional standard. </w:t>
      </w:r>
    </w:p>
    <w:p w14:paraId="4AF56086" w14:textId="77777777" w:rsidR="00246DEC" w:rsidRPr="00DF1151" w:rsidRDefault="00246DEC" w:rsidP="00246DEC">
      <w:pPr>
        <w:spacing w:after="0"/>
        <w:rPr>
          <w:rFonts w:ascii="Times New Roman" w:hAnsi="Times New Roman" w:cs="Times New Roman"/>
          <w:sz w:val="24"/>
          <w:szCs w:val="24"/>
        </w:rPr>
      </w:pPr>
    </w:p>
    <w:p w14:paraId="3EBFE2D6" w14:textId="2CC36054" w:rsidR="008C0BA3" w:rsidRPr="00725AEE" w:rsidRDefault="008C0BA3" w:rsidP="008C0BA3">
      <w:pPr>
        <w:rPr>
          <w:rFonts w:ascii="Times New Roman" w:hAnsi="Times New Roman"/>
          <w:b/>
          <w:sz w:val="24"/>
          <w:szCs w:val="24"/>
        </w:rPr>
      </w:pPr>
      <w:r w:rsidRPr="00725AEE">
        <w:rPr>
          <w:rFonts w:ascii="Times New Roman" w:hAnsi="Times New Roman"/>
          <w:b/>
          <w:sz w:val="24"/>
          <w:szCs w:val="24"/>
        </w:rPr>
        <w:t xml:space="preserve">Objection </w:t>
      </w:r>
      <w:r w:rsidR="000F44FA">
        <w:rPr>
          <w:rFonts w:ascii="Times New Roman" w:hAnsi="Times New Roman"/>
          <w:b/>
          <w:sz w:val="24"/>
          <w:szCs w:val="24"/>
        </w:rPr>
        <w:t>1</w:t>
      </w:r>
      <w:r w:rsidR="0076257C">
        <w:rPr>
          <w:rFonts w:ascii="Times New Roman" w:hAnsi="Times New Roman"/>
          <w:b/>
          <w:sz w:val="24"/>
          <w:szCs w:val="24"/>
        </w:rPr>
        <w:t>2</w:t>
      </w:r>
      <w:r w:rsidRPr="00725AEE">
        <w:rPr>
          <w:rFonts w:ascii="Times New Roman" w:hAnsi="Times New Roman"/>
          <w:b/>
          <w:sz w:val="24"/>
          <w:szCs w:val="24"/>
        </w:rPr>
        <w:t xml:space="preserve"> – General concern with the wildlife analysis and failure to set meaningful thresholds of habitat loss (Schultz 2010) for most wildlife species using the project area.</w:t>
      </w:r>
    </w:p>
    <w:p w14:paraId="7982F7F8" w14:textId="22D8B18E" w:rsidR="00540B00" w:rsidRDefault="008C0BA3" w:rsidP="008C0BA3">
      <w:pPr>
        <w:rPr>
          <w:rFonts w:ascii="Times New Roman" w:hAnsi="Times New Roman"/>
          <w:sz w:val="24"/>
          <w:szCs w:val="24"/>
        </w:rPr>
      </w:pPr>
      <w:r w:rsidRPr="00FE78EE">
        <w:rPr>
          <w:rFonts w:ascii="Times New Roman" w:hAnsi="Times New Roman"/>
          <w:sz w:val="24"/>
          <w:szCs w:val="24"/>
        </w:rPr>
        <w:t xml:space="preserve">My overall impression is that the </w:t>
      </w:r>
      <w:r w:rsidR="00AB451B">
        <w:rPr>
          <w:rFonts w:ascii="Times New Roman" w:hAnsi="Times New Roman"/>
          <w:sz w:val="24"/>
          <w:szCs w:val="24"/>
        </w:rPr>
        <w:t>Dead Laundry</w:t>
      </w:r>
      <w:r w:rsidRPr="00FE78EE">
        <w:rPr>
          <w:rFonts w:ascii="Times New Roman" w:hAnsi="Times New Roman"/>
          <w:sz w:val="24"/>
          <w:szCs w:val="24"/>
        </w:rPr>
        <w:t xml:space="preserve"> project will have negative consequences to most wildlife species using the area.</w:t>
      </w:r>
      <w:r w:rsidR="001733A0">
        <w:rPr>
          <w:rFonts w:ascii="Times New Roman" w:hAnsi="Times New Roman"/>
          <w:sz w:val="24"/>
          <w:szCs w:val="24"/>
        </w:rPr>
        <w:t xml:space="preserve"> Species that utilize older forests such as the fisher, goshawk, pileated woodpecker and the pine marten </w:t>
      </w:r>
      <w:r w:rsidR="00540B00">
        <w:rPr>
          <w:rFonts w:ascii="Times New Roman" w:hAnsi="Times New Roman"/>
          <w:sz w:val="24"/>
          <w:szCs w:val="24"/>
        </w:rPr>
        <w:t>are likely to be</w:t>
      </w:r>
      <w:r w:rsidR="001733A0">
        <w:rPr>
          <w:rFonts w:ascii="Times New Roman" w:hAnsi="Times New Roman"/>
          <w:sz w:val="24"/>
          <w:szCs w:val="24"/>
        </w:rPr>
        <w:t xml:space="preserve"> most at risk.</w:t>
      </w:r>
      <w:r w:rsidR="00540B00">
        <w:rPr>
          <w:rFonts w:ascii="Times New Roman" w:hAnsi="Times New Roman"/>
          <w:sz w:val="24"/>
          <w:szCs w:val="24"/>
        </w:rPr>
        <w:t xml:space="preserve">  The multitude of new roads will also likely cause negative consequences for species like elk, gray wolves and others that are sensitive to high open road densities.</w:t>
      </w:r>
    </w:p>
    <w:p w14:paraId="626E0F05" w14:textId="2201E79B" w:rsidR="008C0BA3" w:rsidRPr="00FE78EE" w:rsidRDefault="00AB451B" w:rsidP="008C0BA3">
      <w:pPr>
        <w:rPr>
          <w:rFonts w:ascii="Times New Roman" w:hAnsi="Times New Roman"/>
          <w:sz w:val="24"/>
          <w:szCs w:val="24"/>
        </w:rPr>
      </w:pPr>
      <w:r>
        <w:rPr>
          <w:rFonts w:ascii="Times New Roman" w:hAnsi="Times New Roman"/>
          <w:sz w:val="24"/>
          <w:szCs w:val="24"/>
        </w:rPr>
        <w:t xml:space="preserve">According to the Draft Decision </w:t>
      </w:r>
      <w:r w:rsidR="000F5E64">
        <w:rPr>
          <w:rFonts w:ascii="Times New Roman" w:hAnsi="Times New Roman"/>
          <w:sz w:val="24"/>
          <w:szCs w:val="24"/>
        </w:rPr>
        <w:t>N</w:t>
      </w:r>
      <w:r>
        <w:rPr>
          <w:rFonts w:ascii="Times New Roman" w:hAnsi="Times New Roman"/>
          <w:sz w:val="24"/>
          <w:szCs w:val="24"/>
        </w:rPr>
        <w:t>otice t</w:t>
      </w:r>
      <w:r w:rsidR="008C0BA3">
        <w:rPr>
          <w:rFonts w:ascii="Times New Roman" w:hAnsi="Times New Roman"/>
          <w:sz w:val="24"/>
          <w:szCs w:val="24"/>
        </w:rPr>
        <w:t xml:space="preserve">he preferred alternative will </w:t>
      </w:r>
      <w:r>
        <w:rPr>
          <w:rFonts w:ascii="Times New Roman" w:hAnsi="Times New Roman"/>
          <w:sz w:val="24"/>
          <w:szCs w:val="24"/>
        </w:rPr>
        <w:t xml:space="preserve">harvest 2,057-acres with regeneration harvest prescriptions. </w:t>
      </w:r>
      <w:r w:rsidR="00ED61F3">
        <w:rPr>
          <w:rFonts w:ascii="Times New Roman" w:hAnsi="Times New Roman"/>
          <w:sz w:val="24"/>
          <w:szCs w:val="24"/>
        </w:rPr>
        <w:t>In addition, t</w:t>
      </w:r>
      <w:r>
        <w:rPr>
          <w:rFonts w:ascii="Times New Roman" w:hAnsi="Times New Roman"/>
          <w:sz w:val="24"/>
          <w:szCs w:val="24"/>
        </w:rPr>
        <w:t>here are 1,350-acres of prescribed burning and 1</w:t>
      </w:r>
      <w:r w:rsidR="001733A0">
        <w:rPr>
          <w:rFonts w:ascii="Times New Roman" w:hAnsi="Times New Roman"/>
          <w:sz w:val="24"/>
          <w:szCs w:val="24"/>
        </w:rPr>
        <w:t>,</w:t>
      </w:r>
      <w:r>
        <w:rPr>
          <w:rFonts w:ascii="Times New Roman" w:hAnsi="Times New Roman"/>
          <w:sz w:val="24"/>
          <w:szCs w:val="24"/>
        </w:rPr>
        <w:t xml:space="preserve">340-acres </w:t>
      </w:r>
      <w:r w:rsidR="001733A0">
        <w:rPr>
          <w:rFonts w:ascii="Times New Roman" w:hAnsi="Times New Roman"/>
          <w:sz w:val="24"/>
          <w:szCs w:val="24"/>
        </w:rPr>
        <w:t xml:space="preserve">of non-commercial </w:t>
      </w:r>
      <w:r>
        <w:rPr>
          <w:rFonts w:ascii="Times New Roman" w:hAnsi="Times New Roman"/>
          <w:sz w:val="24"/>
          <w:szCs w:val="24"/>
        </w:rPr>
        <w:t>mechanical/hand treatment</w:t>
      </w:r>
      <w:r w:rsidR="00D771AC">
        <w:rPr>
          <w:rFonts w:ascii="Times New Roman" w:hAnsi="Times New Roman"/>
          <w:sz w:val="24"/>
          <w:szCs w:val="24"/>
        </w:rPr>
        <w:t xml:space="preserve"> of understory fuels.  Old growth enhancement is planned </w:t>
      </w:r>
      <w:r w:rsidR="001733A0">
        <w:rPr>
          <w:rFonts w:ascii="Times New Roman" w:hAnsi="Times New Roman"/>
          <w:sz w:val="24"/>
          <w:szCs w:val="24"/>
        </w:rPr>
        <w:t xml:space="preserve">on </w:t>
      </w:r>
      <w:r w:rsidR="00D771AC">
        <w:rPr>
          <w:rFonts w:ascii="Times New Roman" w:hAnsi="Times New Roman"/>
          <w:sz w:val="24"/>
          <w:szCs w:val="24"/>
        </w:rPr>
        <w:t>56-acres</w:t>
      </w:r>
      <w:r w:rsidR="001733A0">
        <w:rPr>
          <w:rFonts w:ascii="Times New Roman" w:hAnsi="Times New Roman"/>
          <w:sz w:val="24"/>
          <w:szCs w:val="24"/>
        </w:rPr>
        <w:t xml:space="preserve"> and will also utilize non-comm</w:t>
      </w:r>
      <w:r w:rsidR="00ED61F3">
        <w:rPr>
          <w:rFonts w:ascii="Times New Roman" w:hAnsi="Times New Roman"/>
          <w:sz w:val="24"/>
          <w:szCs w:val="24"/>
        </w:rPr>
        <w:t xml:space="preserve">ercial </w:t>
      </w:r>
      <w:r w:rsidR="001733A0">
        <w:rPr>
          <w:rFonts w:ascii="Times New Roman" w:hAnsi="Times New Roman"/>
          <w:sz w:val="24"/>
          <w:szCs w:val="24"/>
        </w:rPr>
        <w:t>mechanical/han</w:t>
      </w:r>
      <w:r w:rsidR="00ED61F3">
        <w:rPr>
          <w:rFonts w:ascii="Times New Roman" w:hAnsi="Times New Roman"/>
          <w:sz w:val="24"/>
          <w:szCs w:val="24"/>
        </w:rPr>
        <w:t xml:space="preserve">d treatment methods.  There are 14 </w:t>
      </w:r>
      <w:r w:rsidR="00DE731C">
        <w:rPr>
          <w:rFonts w:ascii="Times New Roman" w:hAnsi="Times New Roman"/>
          <w:sz w:val="24"/>
          <w:szCs w:val="24"/>
        </w:rPr>
        <w:t xml:space="preserve">openings </w:t>
      </w:r>
      <w:r w:rsidR="00ED61F3">
        <w:rPr>
          <w:rFonts w:ascii="Times New Roman" w:hAnsi="Times New Roman"/>
          <w:sz w:val="24"/>
          <w:szCs w:val="24"/>
        </w:rPr>
        <w:t>over 40</w:t>
      </w:r>
      <w:r w:rsidR="00DE731C">
        <w:rPr>
          <w:rFonts w:ascii="Times New Roman" w:hAnsi="Times New Roman"/>
          <w:sz w:val="24"/>
          <w:szCs w:val="24"/>
        </w:rPr>
        <w:t xml:space="preserve">-acres and four of these exceed 100-acres in size.  Incredibly, one regeneration harvest unit is 432-acres. </w:t>
      </w:r>
      <w:r w:rsidR="008C0BA3" w:rsidRPr="00FE78EE">
        <w:rPr>
          <w:rFonts w:ascii="Times New Roman" w:hAnsi="Times New Roman"/>
          <w:sz w:val="24"/>
          <w:szCs w:val="24"/>
        </w:rPr>
        <w:t xml:space="preserve"> Harvest treatments</w:t>
      </w:r>
      <w:r>
        <w:rPr>
          <w:rFonts w:ascii="Times New Roman" w:hAnsi="Times New Roman"/>
          <w:sz w:val="24"/>
          <w:szCs w:val="24"/>
        </w:rPr>
        <w:t xml:space="preserve"> and fuel treatments</w:t>
      </w:r>
      <w:r w:rsidR="008C0BA3" w:rsidRPr="00FE78EE">
        <w:rPr>
          <w:rFonts w:ascii="Times New Roman" w:hAnsi="Times New Roman"/>
          <w:sz w:val="24"/>
          <w:szCs w:val="24"/>
        </w:rPr>
        <w:t xml:space="preserve"> will remove snags, downed wood, shrubs, understory plants and important hiding cover.  </w:t>
      </w:r>
    </w:p>
    <w:p w14:paraId="33432682" w14:textId="09AAEEE6" w:rsidR="008C0BA3" w:rsidRDefault="00DE731C" w:rsidP="008C0BA3">
      <w:pPr>
        <w:rPr>
          <w:rFonts w:ascii="Times New Roman" w:hAnsi="Times New Roman"/>
          <w:sz w:val="24"/>
          <w:szCs w:val="24"/>
        </w:rPr>
      </w:pPr>
      <w:r>
        <w:rPr>
          <w:rFonts w:ascii="Times New Roman" w:hAnsi="Times New Roman"/>
          <w:sz w:val="24"/>
          <w:szCs w:val="24"/>
        </w:rPr>
        <w:t>The proposal will</w:t>
      </w:r>
      <w:r w:rsidR="008C0BA3" w:rsidRPr="00FE78EE">
        <w:rPr>
          <w:rFonts w:ascii="Times New Roman" w:hAnsi="Times New Roman"/>
          <w:sz w:val="24"/>
          <w:szCs w:val="24"/>
        </w:rPr>
        <w:t xml:space="preserve"> construct </w:t>
      </w:r>
      <w:r w:rsidR="00540B00">
        <w:rPr>
          <w:rFonts w:ascii="Times New Roman" w:hAnsi="Times New Roman"/>
          <w:sz w:val="24"/>
          <w:szCs w:val="24"/>
        </w:rPr>
        <w:t>12-</w:t>
      </w:r>
      <w:r w:rsidR="000F5E64">
        <w:rPr>
          <w:rFonts w:ascii="Times New Roman" w:hAnsi="Times New Roman"/>
          <w:sz w:val="24"/>
          <w:szCs w:val="24"/>
        </w:rPr>
        <w:t>m</w:t>
      </w:r>
      <w:r w:rsidR="008C0BA3" w:rsidRPr="00FE78EE">
        <w:rPr>
          <w:rFonts w:ascii="Times New Roman" w:hAnsi="Times New Roman"/>
          <w:sz w:val="24"/>
          <w:szCs w:val="24"/>
        </w:rPr>
        <w:t xml:space="preserve">iles of system road and </w:t>
      </w:r>
      <w:r w:rsidR="00D771AC">
        <w:rPr>
          <w:rFonts w:ascii="Times New Roman" w:hAnsi="Times New Roman"/>
          <w:sz w:val="24"/>
          <w:szCs w:val="24"/>
        </w:rPr>
        <w:t>30-</w:t>
      </w:r>
      <w:r w:rsidR="008C0BA3" w:rsidRPr="00FE78EE">
        <w:rPr>
          <w:rFonts w:ascii="Times New Roman" w:hAnsi="Times New Roman"/>
          <w:sz w:val="24"/>
          <w:szCs w:val="24"/>
        </w:rPr>
        <w:t>miles of temporary road</w:t>
      </w:r>
      <w:r w:rsidR="000F5E64">
        <w:rPr>
          <w:rFonts w:ascii="Times New Roman" w:hAnsi="Times New Roman"/>
          <w:sz w:val="24"/>
          <w:szCs w:val="24"/>
        </w:rPr>
        <w:t xml:space="preserve">.  There could also be as high as 99-miles of road reconstruction and 51-miles of road maintenance.  Road reconstruction and road maintenance mileage </w:t>
      </w:r>
      <w:r w:rsidR="00540B00">
        <w:rPr>
          <w:rFonts w:ascii="Times New Roman" w:hAnsi="Times New Roman"/>
          <w:sz w:val="24"/>
          <w:szCs w:val="24"/>
        </w:rPr>
        <w:t>are</w:t>
      </w:r>
      <w:r w:rsidR="000F5E64">
        <w:rPr>
          <w:rFonts w:ascii="Times New Roman" w:hAnsi="Times New Roman"/>
          <w:sz w:val="24"/>
          <w:szCs w:val="24"/>
        </w:rPr>
        <w:t xml:space="preserve"> not discussed in the Draft Decision Notice. </w:t>
      </w:r>
      <w:r w:rsidR="00540B00">
        <w:rPr>
          <w:rFonts w:ascii="Times New Roman" w:hAnsi="Times New Roman"/>
          <w:sz w:val="24"/>
          <w:szCs w:val="24"/>
        </w:rPr>
        <w:t>It is known that m</w:t>
      </w:r>
      <w:r w:rsidR="000F5E64">
        <w:rPr>
          <w:rFonts w:ascii="Times New Roman" w:hAnsi="Times New Roman"/>
          <w:sz w:val="24"/>
          <w:szCs w:val="24"/>
        </w:rPr>
        <w:t xml:space="preserve">any roads scheduled for reconstruction are </w:t>
      </w:r>
      <w:r w:rsidR="00CC33D6">
        <w:rPr>
          <w:rFonts w:ascii="Times New Roman" w:hAnsi="Times New Roman"/>
          <w:sz w:val="24"/>
          <w:szCs w:val="24"/>
        </w:rPr>
        <w:t>currently</w:t>
      </w:r>
      <w:r w:rsidR="000F5E64">
        <w:rPr>
          <w:rFonts w:ascii="Times New Roman" w:hAnsi="Times New Roman"/>
          <w:sz w:val="24"/>
          <w:szCs w:val="24"/>
        </w:rPr>
        <w:t xml:space="preserve"> grown over</w:t>
      </w:r>
      <w:r w:rsidR="00540B00">
        <w:rPr>
          <w:rFonts w:ascii="Times New Roman" w:hAnsi="Times New Roman"/>
          <w:sz w:val="24"/>
          <w:szCs w:val="24"/>
        </w:rPr>
        <w:t xml:space="preserve"> an</w:t>
      </w:r>
      <w:r w:rsidR="00EE647B">
        <w:rPr>
          <w:rFonts w:ascii="Times New Roman" w:hAnsi="Times New Roman"/>
          <w:sz w:val="24"/>
          <w:szCs w:val="24"/>
        </w:rPr>
        <w:t xml:space="preserve">d </w:t>
      </w:r>
      <w:r w:rsidR="00EE647B">
        <w:rPr>
          <w:rFonts w:ascii="Times New Roman" w:hAnsi="Times New Roman"/>
          <w:sz w:val="24"/>
          <w:szCs w:val="24"/>
        </w:rPr>
        <w:lastRenderedPageBreak/>
        <w:t>naturally closed due to landslides and slumps.</w:t>
      </w:r>
      <w:r w:rsidR="000F5E64">
        <w:rPr>
          <w:rFonts w:ascii="Times New Roman" w:hAnsi="Times New Roman"/>
          <w:sz w:val="24"/>
          <w:szCs w:val="24"/>
        </w:rPr>
        <w:t xml:space="preserve"> </w:t>
      </w:r>
      <w:r w:rsidR="00EE647B">
        <w:rPr>
          <w:rFonts w:ascii="Times New Roman" w:hAnsi="Times New Roman"/>
          <w:sz w:val="24"/>
          <w:szCs w:val="24"/>
        </w:rPr>
        <w:t xml:space="preserve">Road </w:t>
      </w:r>
      <w:r w:rsidR="00CC33D6">
        <w:rPr>
          <w:rFonts w:ascii="Times New Roman" w:hAnsi="Times New Roman"/>
          <w:sz w:val="24"/>
          <w:szCs w:val="24"/>
        </w:rPr>
        <w:t>reconstruction</w:t>
      </w:r>
      <w:r w:rsidR="00540B00">
        <w:rPr>
          <w:rFonts w:ascii="Times New Roman" w:hAnsi="Times New Roman"/>
          <w:sz w:val="24"/>
          <w:szCs w:val="24"/>
        </w:rPr>
        <w:t xml:space="preserve"> will essentially create a new road on these old templates.</w:t>
      </w:r>
    </w:p>
    <w:p w14:paraId="32290E16" w14:textId="33515EDA" w:rsidR="008C0BA3" w:rsidRPr="00FE78EE" w:rsidRDefault="008C0BA3" w:rsidP="008C0BA3">
      <w:pPr>
        <w:rPr>
          <w:rFonts w:ascii="Times New Roman" w:hAnsi="Times New Roman"/>
          <w:b/>
          <w:sz w:val="24"/>
          <w:szCs w:val="24"/>
        </w:rPr>
      </w:pPr>
      <w:r w:rsidRPr="00FE78EE">
        <w:rPr>
          <w:rFonts w:ascii="Times New Roman" w:hAnsi="Times New Roman"/>
          <w:sz w:val="24"/>
          <w:szCs w:val="24"/>
        </w:rPr>
        <w:t>Even with decommissioning after use, temporary roads will provide travel corridors that may be accessed as user-created routes.  This has been observed on many past projects, and it may be difficult to maintain effective closures on these roads due to the lack of funding and inadequate law enforcement.  Many “temporary” roads have been observed to be still open in other areas of the Forest long after the timber sale that was supposed to close them was completed.</w:t>
      </w:r>
      <w:r w:rsidR="00540B00">
        <w:rPr>
          <w:rFonts w:ascii="Times New Roman" w:hAnsi="Times New Roman"/>
          <w:sz w:val="24"/>
          <w:szCs w:val="24"/>
        </w:rPr>
        <w:t xml:space="preserve">  Recreationists often </w:t>
      </w:r>
      <w:r w:rsidR="00EE647B">
        <w:rPr>
          <w:rFonts w:ascii="Times New Roman" w:hAnsi="Times New Roman"/>
          <w:sz w:val="24"/>
          <w:szCs w:val="24"/>
        </w:rPr>
        <w:t>find these new templates very attractive and open them on their own a</w:t>
      </w:r>
      <w:r w:rsidR="00EB0293">
        <w:rPr>
          <w:rFonts w:ascii="Times New Roman" w:hAnsi="Times New Roman"/>
          <w:sz w:val="24"/>
          <w:szCs w:val="24"/>
        </w:rPr>
        <w:t xml:space="preserve">s an </w:t>
      </w:r>
      <w:r w:rsidR="00EE647B">
        <w:rPr>
          <w:rFonts w:ascii="Times New Roman" w:hAnsi="Times New Roman"/>
          <w:sz w:val="24"/>
          <w:szCs w:val="24"/>
        </w:rPr>
        <w:t>unauthorized</w:t>
      </w:r>
      <w:r w:rsidRPr="00FE78EE">
        <w:rPr>
          <w:rFonts w:ascii="Times New Roman" w:hAnsi="Times New Roman"/>
          <w:sz w:val="24"/>
          <w:szCs w:val="24"/>
        </w:rPr>
        <w:t xml:space="preserve"> user-created trails.</w:t>
      </w:r>
    </w:p>
    <w:p w14:paraId="6C0E390E" w14:textId="00484B80" w:rsidR="008C0BA3" w:rsidRPr="00FE78EE" w:rsidRDefault="008C0BA3" w:rsidP="008C0BA3">
      <w:pPr>
        <w:contextualSpacing/>
        <w:rPr>
          <w:rFonts w:ascii="Times New Roman" w:hAnsi="Times New Roman"/>
          <w:sz w:val="24"/>
          <w:szCs w:val="24"/>
        </w:rPr>
      </w:pPr>
      <w:r w:rsidRPr="00FE78EE">
        <w:rPr>
          <w:rFonts w:ascii="Times New Roman" w:hAnsi="Times New Roman"/>
          <w:sz w:val="24"/>
          <w:szCs w:val="24"/>
        </w:rPr>
        <w:t xml:space="preserve">The wildlife analysis makes several erroneous conclusions that are not supported by the best available science and fails to answer the “so what” question of what habitat losses associated with the project mean.  In many instances the analysis underestimates potential habitat and in turn potential impacts to those species.  Much of the analysis is based on </w:t>
      </w:r>
      <w:r w:rsidR="00EE647B">
        <w:rPr>
          <w:rFonts w:ascii="Times New Roman" w:hAnsi="Times New Roman"/>
          <w:sz w:val="24"/>
          <w:szCs w:val="24"/>
        </w:rPr>
        <w:t>Vmap</w:t>
      </w:r>
      <w:r w:rsidRPr="00FE78EE">
        <w:rPr>
          <w:rFonts w:ascii="Times New Roman" w:hAnsi="Times New Roman"/>
          <w:sz w:val="24"/>
          <w:szCs w:val="24"/>
        </w:rPr>
        <w:t xml:space="preserve"> database queries and there is a general lack of monitoring data to confirm any of the conclusions of the analysis.   Spatial requirements of territorial species have not been considered and no thresholds of management activity have been set for most species.  With the exception of summer habitat use by elk, the impact of high levels of motorized use has not been considered for any species.  </w:t>
      </w:r>
    </w:p>
    <w:p w14:paraId="78AFD0D5" w14:textId="77777777" w:rsidR="008C0BA3" w:rsidRPr="00FE78EE" w:rsidRDefault="008C0BA3" w:rsidP="008C0BA3">
      <w:pPr>
        <w:contextualSpacing/>
        <w:rPr>
          <w:rFonts w:ascii="Times New Roman" w:hAnsi="Times New Roman"/>
          <w:sz w:val="24"/>
          <w:szCs w:val="24"/>
        </w:rPr>
      </w:pPr>
    </w:p>
    <w:p w14:paraId="0BEB7A3C" w14:textId="30126CE2" w:rsidR="008C0BA3" w:rsidRPr="00FE78EE" w:rsidRDefault="008C0BA3" w:rsidP="008C0BA3">
      <w:pPr>
        <w:contextualSpacing/>
        <w:rPr>
          <w:rFonts w:ascii="Times New Roman" w:hAnsi="Times New Roman"/>
          <w:sz w:val="24"/>
          <w:szCs w:val="24"/>
        </w:rPr>
      </w:pPr>
      <w:r w:rsidRPr="00FE78EE">
        <w:rPr>
          <w:rFonts w:ascii="Times New Roman" w:hAnsi="Times New Roman"/>
          <w:sz w:val="24"/>
          <w:szCs w:val="24"/>
        </w:rPr>
        <w:t xml:space="preserve">Schultz (2010) outlined most of these problems in a critique of Forest Service wildlife analysis.  Schultz found that the Forest Service often relies on </w:t>
      </w:r>
      <w:r w:rsidR="00EE647B">
        <w:rPr>
          <w:rFonts w:ascii="Times New Roman" w:hAnsi="Times New Roman"/>
          <w:sz w:val="24"/>
          <w:szCs w:val="24"/>
        </w:rPr>
        <w:t>database</w:t>
      </w:r>
      <w:r w:rsidRPr="00FE78EE">
        <w:rPr>
          <w:rFonts w:ascii="Times New Roman" w:hAnsi="Times New Roman"/>
          <w:sz w:val="24"/>
          <w:szCs w:val="24"/>
        </w:rPr>
        <w:t xml:space="preserve"> queries to determine acres of suitable habitat, but then makes no interpretation as to what that loss of habitat means to the species.  Similar to what has been done on the </w:t>
      </w:r>
      <w:r w:rsidR="00EE647B">
        <w:rPr>
          <w:rFonts w:ascii="Times New Roman" w:hAnsi="Times New Roman"/>
          <w:sz w:val="24"/>
          <w:szCs w:val="24"/>
        </w:rPr>
        <w:t>Dead Laundry</w:t>
      </w:r>
      <w:r w:rsidRPr="00FE78EE">
        <w:rPr>
          <w:rFonts w:ascii="Times New Roman" w:hAnsi="Times New Roman"/>
          <w:sz w:val="24"/>
          <w:szCs w:val="24"/>
        </w:rPr>
        <w:t xml:space="preserve"> project; they fail to set meaningful thresholds and assume that habitat losses are insignificant.   Schultz (2010) concludes that “the lack of management thresholds allows small portions of habitat to be eliminated incrementally without any signal when the loss of habitat might constitute a significant cumulative impact.”</w:t>
      </w:r>
    </w:p>
    <w:p w14:paraId="63BD1734" w14:textId="77777777" w:rsidR="008C0BA3" w:rsidRPr="00FE78EE" w:rsidRDefault="008C0BA3" w:rsidP="008C0BA3">
      <w:pPr>
        <w:contextualSpacing/>
        <w:rPr>
          <w:rFonts w:ascii="Times New Roman" w:hAnsi="Times New Roman"/>
          <w:sz w:val="24"/>
          <w:szCs w:val="24"/>
        </w:rPr>
      </w:pPr>
    </w:p>
    <w:p w14:paraId="683003B3" w14:textId="13483EE5" w:rsidR="008C0BA3" w:rsidRPr="00FE78EE" w:rsidRDefault="008C0BA3" w:rsidP="008C0BA3">
      <w:pPr>
        <w:contextualSpacing/>
        <w:rPr>
          <w:rFonts w:ascii="Times New Roman" w:hAnsi="Times New Roman"/>
          <w:sz w:val="24"/>
          <w:szCs w:val="24"/>
        </w:rPr>
      </w:pPr>
      <w:r w:rsidRPr="00FE78EE">
        <w:rPr>
          <w:rFonts w:ascii="Times New Roman" w:hAnsi="Times New Roman"/>
          <w:sz w:val="24"/>
          <w:szCs w:val="24"/>
        </w:rPr>
        <w:t>Schultz (2010) also examined the Samson assessment (Samson 2006a and 2006b) which</w:t>
      </w:r>
      <w:r w:rsidR="008764E3">
        <w:rPr>
          <w:rFonts w:ascii="Times New Roman" w:hAnsi="Times New Roman"/>
          <w:sz w:val="24"/>
          <w:szCs w:val="24"/>
        </w:rPr>
        <w:t xml:space="preserve"> </w:t>
      </w:r>
      <w:r w:rsidRPr="00FE78EE">
        <w:rPr>
          <w:rFonts w:ascii="Times New Roman" w:hAnsi="Times New Roman"/>
          <w:sz w:val="24"/>
          <w:szCs w:val="24"/>
        </w:rPr>
        <w:t>is</w:t>
      </w:r>
      <w:r w:rsidR="008764E3">
        <w:rPr>
          <w:rFonts w:ascii="Times New Roman" w:hAnsi="Times New Roman"/>
          <w:sz w:val="24"/>
          <w:szCs w:val="24"/>
        </w:rPr>
        <w:t xml:space="preserve"> </w:t>
      </w:r>
      <w:r w:rsidRPr="00FE78EE">
        <w:rPr>
          <w:rFonts w:ascii="Times New Roman" w:hAnsi="Times New Roman"/>
          <w:sz w:val="24"/>
          <w:szCs w:val="24"/>
        </w:rPr>
        <w:t>mentioned in the discussion of several project area wildlife species. She states that the Samson assessment “suffers from several problems, the most prominent being that the analysis is based on habitat availability, which alone is insufficient for understanding the status of populations (Noon et al. 2003, Mills 2007)”.  Her recommendations generally call for more peer review of large</w:t>
      </w:r>
      <w:r>
        <w:rPr>
          <w:rFonts w:ascii="Times New Roman" w:hAnsi="Times New Roman"/>
          <w:sz w:val="24"/>
          <w:szCs w:val="24"/>
        </w:rPr>
        <w:t>-</w:t>
      </w:r>
      <w:r w:rsidRPr="00FE78EE">
        <w:rPr>
          <w:rFonts w:ascii="Times New Roman" w:hAnsi="Times New Roman"/>
          <w:sz w:val="24"/>
          <w:szCs w:val="24"/>
        </w:rPr>
        <w:t xml:space="preserve">scale assessments and project level management guidelines.  She suggests that we must adopt more robust scientifically sound monitoring and measurable objectives and thresholds if we are to be successful in meeting obligation of maintaining viable populations of all native and desirable non-native wildlife species.  This has not been done on the </w:t>
      </w:r>
      <w:r w:rsidR="00EE647B">
        <w:rPr>
          <w:rFonts w:ascii="Times New Roman" w:hAnsi="Times New Roman"/>
          <w:sz w:val="24"/>
          <w:szCs w:val="24"/>
        </w:rPr>
        <w:t xml:space="preserve">Dead </w:t>
      </w:r>
      <w:r w:rsidR="002D6C5D">
        <w:rPr>
          <w:rFonts w:ascii="Times New Roman" w:hAnsi="Times New Roman"/>
          <w:sz w:val="24"/>
          <w:szCs w:val="24"/>
        </w:rPr>
        <w:t>Laundry</w:t>
      </w:r>
      <w:r>
        <w:rPr>
          <w:rFonts w:ascii="Times New Roman" w:hAnsi="Times New Roman"/>
          <w:sz w:val="24"/>
          <w:szCs w:val="24"/>
        </w:rPr>
        <w:t xml:space="preserve"> </w:t>
      </w:r>
      <w:r w:rsidRPr="00FE78EE">
        <w:rPr>
          <w:rFonts w:ascii="Times New Roman" w:hAnsi="Times New Roman"/>
          <w:sz w:val="24"/>
          <w:szCs w:val="24"/>
        </w:rPr>
        <w:t>project.</w:t>
      </w:r>
    </w:p>
    <w:p w14:paraId="150AD3C1" w14:textId="77777777" w:rsidR="008C0BA3" w:rsidRPr="00FE78EE" w:rsidRDefault="008C0BA3" w:rsidP="008C0BA3">
      <w:pPr>
        <w:contextualSpacing/>
        <w:rPr>
          <w:rFonts w:ascii="Times New Roman" w:hAnsi="Times New Roman"/>
          <w:sz w:val="24"/>
          <w:szCs w:val="24"/>
        </w:rPr>
      </w:pPr>
    </w:p>
    <w:p w14:paraId="5B6A51E7" w14:textId="4BC74E81" w:rsidR="008C0BA3" w:rsidRPr="00FE78EE" w:rsidRDefault="008C0BA3" w:rsidP="008C0BA3">
      <w:pPr>
        <w:contextualSpacing/>
        <w:rPr>
          <w:rFonts w:ascii="Times New Roman" w:hAnsi="Times New Roman"/>
          <w:sz w:val="24"/>
          <w:szCs w:val="24"/>
        </w:rPr>
      </w:pPr>
      <w:r w:rsidRPr="00FE78EE">
        <w:rPr>
          <w:rFonts w:ascii="Times New Roman" w:hAnsi="Times New Roman"/>
          <w:sz w:val="24"/>
          <w:szCs w:val="24"/>
        </w:rPr>
        <w:t>An interesting observation of the Samson assessment is that it focuses on short term viability and long-term viability using what is called the 50/500 rule (Bessinger 2002).   In fact, all six species considered in Samson’s analysis are all evaluated for short</w:t>
      </w:r>
      <w:r>
        <w:rPr>
          <w:rFonts w:ascii="Times New Roman" w:hAnsi="Times New Roman"/>
          <w:sz w:val="24"/>
          <w:szCs w:val="24"/>
        </w:rPr>
        <w:t>-</w:t>
      </w:r>
      <w:r w:rsidRPr="00FE78EE">
        <w:rPr>
          <w:rFonts w:ascii="Times New Roman" w:hAnsi="Times New Roman"/>
          <w:sz w:val="24"/>
          <w:szCs w:val="24"/>
        </w:rPr>
        <w:t xml:space="preserve">term viability using this “rule of thumb”.  Samson did not evaluate long-term viability for the fisher and marten, but he did do if for the goshawk, pileated woodpecker, flammulated owl and black-backed woodpecker.   Samson concluded that “In regard to long-term viability, this conservation assessment has found </w:t>
      </w:r>
      <w:r w:rsidRPr="00FE78EE">
        <w:rPr>
          <w:rFonts w:ascii="Times New Roman" w:hAnsi="Times New Roman"/>
          <w:sz w:val="24"/>
          <w:szCs w:val="24"/>
        </w:rPr>
        <w:lastRenderedPageBreak/>
        <w:t xml:space="preserve">that long-term habitat conditions in terms of Representativeness, Redundancy, and Resiliency are “low” for all species.”  </w:t>
      </w:r>
    </w:p>
    <w:p w14:paraId="18D4ED00" w14:textId="77777777" w:rsidR="008C0BA3" w:rsidRPr="00FE78EE" w:rsidRDefault="008C0BA3" w:rsidP="008C0BA3">
      <w:pPr>
        <w:contextualSpacing/>
        <w:rPr>
          <w:rFonts w:ascii="Times New Roman" w:hAnsi="Times New Roman"/>
          <w:sz w:val="24"/>
          <w:szCs w:val="24"/>
        </w:rPr>
      </w:pPr>
    </w:p>
    <w:p w14:paraId="3B94E9EC" w14:textId="160EB8EA" w:rsidR="008C0BA3" w:rsidRPr="00FE78EE" w:rsidRDefault="008C0BA3" w:rsidP="008C0BA3">
      <w:pPr>
        <w:contextualSpacing/>
        <w:rPr>
          <w:rFonts w:ascii="Times New Roman" w:hAnsi="Times New Roman"/>
          <w:sz w:val="24"/>
          <w:szCs w:val="24"/>
        </w:rPr>
      </w:pPr>
      <w:r w:rsidRPr="00FE78EE">
        <w:rPr>
          <w:rFonts w:ascii="Times New Roman" w:hAnsi="Times New Roman"/>
          <w:sz w:val="24"/>
          <w:szCs w:val="24"/>
        </w:rPr>
        <w:t xml:space="preserve">The </w:t>
      </w:r>
      <w:r w:rsidR="00EE647B">
        <w:rPr>
          <w:rFonts w:ascii="Times New Roman" w:hAnsi="Times New Roman"/>
          <w:sz w:val="24"/>
          <w:szCs w:val="24"/>
        </w:rPr>
        <w:t xml:space="preserve">Dead Laundry </w:t>
      </w:r>
      <w:r w:rsidRPr="00FE78EE">
        <w:rPr>
          <w:rFonts w:ascii="Times New Roman" w:hAnsi="Times New Roman"/>
          <w:sz w:val="24"/>
          <w:szCs w:val="24"/>
        </w:rPr>
        <w:t>wildlife analysis does not mention Samson’s long-term viability conclusions, and only focuses in on his short-term projections which are based on maintaining 50 individuals (25 male and 25 female).  In his analysis, Samson merely uses home range size for each species and makes assumptions of overlap in ranges of males and females.  Home range size is then multiplied by the effective population size (n</w:t>
      </w:r>
      <w:r w:rsidRPr="00FE78EE">
        <w:rPr>
          <w:rFonts w:ascii="Times New Roman" w:hAnsi="Times New Roman"/>
          <w:sz w:val="24"/>
          <w:szCs w:val="24"/>
          <w:vertAlign w:val="subscript"/>
        </w:rPr>
        <w:t xml:space="preserve">e - </w:t>
      </w:r>
      <w:r w:rsidRPr="00FE78EE">
        <w:rPr>
          <w:rFonts w:ascii="Times New Roman" w:hAnsi="Times New Roman"/>
          <w:sz w:val="24"/>
          <w:szCs w:val="24"/>
        </w:rPr>
        <w:t xml:space="preserve">a number that includes young and non-breeding individuals - Allendorf and Ryman 2002) and this is projected as the amount of habitat required to maintain a minimal viable population in the short-term. This simplistic approach ignores a multitude of factors and makes no assumptions about habitat loss or change over time.  For the fisher and marten, Samson uses a “critical habitat threshold” as calculated in another publication (Smallwood 2002).  Some of these numbers have been reported in the </w:t>
      </w:r>
      <w:r w:rsidR="00EE647B">
        <w:rPr>
          <w:rFonts w:ascii="Times New Roman" w:hAnsi="Times New Roman"/>
          <w:sz w:val="24"/>
          <w:szCs w:val="24"/>
        </w:rPr>
        <w:t>wildlife report</w:t>
      </w:r>
      <w:r w:rsidRPr="00FE78EE">
        <w:rPr>
          <w:rFonts w:ascii="Times New Roman" w:hAnsi="Times New Roman"/>
          <w:sz w:val="24"/>
          <w:szCs w:val="24"/>
        </w:rPr>
        <w:t xml:space="preserve"> for the various species of concern.</w:t>
      </w:r>
    </w:p>
    <w:p w14:paraId="5ADEE32A" w14:textId="77777777" w:rsidR="008C0BA3" w:rsidRPr="00FE78EE" w:rsidRDefault="008C0BA3" w:rsidP="008C0BA3">
      <w:pPr>
        <w:contextualSpacing/>
        <w:rPr>
          <w:rFonts w:ascii="Times New Roman" w:hAnsi="Times New Roman"/>
          <w:sz w:val="24"/>
          <w:szCs w:val="24"/>
        </w:rPr>
      </w:pPr>
    </w:p>
    <w:p w14:paraId="33BDB9B2" w14:textId="29C2B5AC" w:rsidR="008C0BA3" w:rsidRPr="00FE78EE" w:rsidRDefault="008C0BA3" w:rsidP="008C0BA3">
      <w:pPr>
        <w:contextualSpacing/>
        <w:rPr>
          <w:rFonts w:ascii="Times New Roman" w:hAnsi="Times New Roman"/>
          <w:sz w:val="24"/>
          <w:szCs w:val="24"/>
        </w:rPr>
      </w:pPr>
      <w:r w:rsidRPr="00FE78EE">
        <w:rPr>
          <w:rFonts w:ascii="Times New Roman" w:hAnsi="Times New Roman"/>
          <w:sz w:val="24"/>
          <w:szCs w:val="24"/>
        </w:rPr>
        <w:t>There are several problems with such an approach and the risk to the species would be extremely high if any of the species ever reached these levels in the Northern Region.  Surely, all six species would be listed as endangered if this was to occur and the probabilities for their continued existence would be very low. There is also no way that National Forest Management Act (NFMA) and Endangered Species Act (ESA) requirements could be met of maintaining species across their range and within individual National Forests with such an approach.  Mills (2007) captured the futility of such approach in his book on Conservation of Wildlife Populations: “MVP is problematic for both philosophical and scientific reasons.  Philosophically, it seems questionable to presume to manage for the minimum number of individuals that could persist on this planet. Scientifically, the problem is that we simply cannot correctly determine a single minimum number of individuals that will be viable for the long term, because of inherent uncertainty in nature and management</w:t>
      </w:r>
      <w:r w:rsidR="0055740F" w:rsidRPr="00FE78EE">
        <w:rPr>
          <w:rFonts w:ascii="Times New Roman" w:hAnsi="Times New Roman"/>
          <w:sz w:val="24"/>
          <w:szCs w:val="24"/>
        </w:rPr>
        <w:t>….</w:t>
      </w:r>
      <w:r w:rsidRPr="00FE78EE">
        <w:rPr>
          <w:rFonts w:ascii="Times New Roman" w:hAnsi="Times New Roman"/>
          <w:sz w:val="24"/>
          <w:szCs w:val="24"/>
        </w:rPr>
        <w:t>”</w:t>
      </w:r>
    </w:p>
    <w:p w14:paraId="1089A9AC" w14:textId="77777777" w:rsidR="008C0BA3" w:rsidRPr="00FE78EE" w:rsidRDefault="008C0BA3" w:rsidP="008C0BA3">
      <w:pPr>
        <w:contextualSpacing/>
        <w:rPr>
          <w:rFonts w:ascii="Times New Roman" w:hAnsi="Times New Roman"/>
          <w:sz w:val="24"/>
          <w:szCs w:val="24"/>
        </w:rPr>
      </w:pPr>
    </w:p>
    <w:p w14:paraId="0C3EF451" w14:textId="5FB38D93" w:rsidR="008C0BA3" w:rsidRPr="00FE78EE" w:rsidRDefault="008C0BA3" w:rsidP="008C0BA3">
      <w:pPr>
        <w:autoSpaceDE w:val="0"/>
        <w:autoSpaceDN w:val="0"/>
        <w:adjustRightInd w:val="0"/>
        <w:spacing w:after="0"/>
        <w:rPr>
          <w:rFonts w:ascii="Times New Roman" w:eastAsia="TTE1DB0090t00" w:hAnsi="Times New Roman"/>
          <w:sz w:val="24"/>
          <w:szCs w:val="24"/>
        </w:rPr>
      </w:pPr>
      <w:r w:rsidRPr="00FE78EE">
        <w:rPr>
          <w:rFonts w:ascii="Times New Roman" w:hAnsi="Times New Roman"/>
          <w:sz w:val="24"/>
          <w:szCs w:val="24"/>
        </w:rPr>
        <w:t>Samson also admits that “</w:t>
      </w:r>
      <w:r w:rsidRPr="00FE78EE">
        <w:rPr>
          <w:rFonts w:ascii="Times New Roman" w:eastAsia="TTE1DB0090t00" w:hAnsi="Times New Roman"/>
          <w:sz w:val="24"/>
          <w:szCs w:val="24"/>
        </w:rPr>
        <w:t>Methods to estimate canopy closure, forest structure, and dominant forest type may differ among the studies referred to in this assessment and from those used by the Forest Service to estimate these habitat characteristics” and that “FIA sample points affected within the prior 10 years by either timber harvest or fire are excluded in the estimates of habitat for the four species” and finally that “FIA does not adequately sample rare habitats”.   This especially concerning given the reliance on the FIA queries to identify suitable habitat and the fact that the data used in the analysis is now over 2</w:t>
      </w:r>
      <w:r w:rsidR="00F63063">
        <w:rPr>
          <w:rFonts w:ascii="Times New Roman" w:eastAsia="TTE1DB0090t00" w:hAnsi="Times New Roman"/>
          <w:sz w:val="24"/>
          <w:szCs w:val="24"/>
        </w:rPr>
        <w:t>5</w:t>
      </w:r>
      <w:r>
        <w:rPr>
          <w:rFonts w:ascii="Times New Roman" w:eastAsia="TTE1DB0090t00" w:hAnsi="Times New Roman"/>
          <w:sz w:val="24"/>
          <w:szCs w:val="24"/>
        </w:rPr>
        <w:t>-</w:t>
      </w:r>
      <w:r w:rsidRPr="00FE78EE">
        <w:rPr>
          <w:rFonts w:ascii="Times New Roman" w:eastAsia="TTE1DB0090t00" w:hAnsi="Times New Roman"/>
          <w:sz w:val="24"/>
          <w:szCs w:val="24"/>
        </w:rPr>
        <w:t>years old. Since the Samson short-term viability analysis was completed, we have seen more wildfires and timber harvest has increased substantially.</w:t>
      </w:r>
    </w:p>
    <w:p w14:paraId="662F902E" w14:textId="77777777" w:rsidR="008C0BA3" w:rsidRPr="00FE78EE" w:rsidRDefault="008C0BA3" w:rsidP="008C0BA3">
      <w:pPr>
        <w:contextualSpacing/>
        <w:rPr>
          <w:rFonts w:ascii="Times New Roman" w:hAnsi="Times New Roman"/>
          <w:sz w:val="24"/>
          <w:szCs w:val="24"/>
        </w:rPr>
      </w:pPr>
    </w:p>
    <w:p w14:paraId="49BB1CDC" w14:textId="458F0546" w:rsidR="008C0BA3" w:rsidRPr="00FE78EE" w:rsidRDefault="008C0BA3" w:rsidP="008C0BA3">
      <w:pPr>
        <w:contextualSpacing/>
        <w:rPr>
          <w:rFonts w:ascii="Times New Roman" w:hAnsi="Times New Roman"/>
          <w:sz w:val="24"/>
          <w:szCs w:val="24"/>
        </w:rPr>
      </w:pPr>
      <w:r w:rsidRPr="00FE78EE">
        <w:rPr>
          <w:rFonts w:ascii="Times New Roman" w:hAnsi="Times New Roman"/>
          <w:sz w:val="24"/>
          <w:szCs w:val="24"/>
        </w:rPr>
        <w:t>I therefore object to the use of the Samson short-term viability analysis in the</w:t>
      </w:r>
      <w:r w:rsidR="00F63063">
        <w:rPr>
          <w:rFonts w:ascii="Times New Roman" w:hAnsi="Times New Roman"/>
          <w:sz w:val="24"/>
          <w:szCs w:val="24"/>
        </w:rPr>
        <w:t xml:space="preserve"> Wildlife Report</w:t>
      </w:r>
      <w:r w:rsidRPr="00FE78EE">
        <w:rPr>
          <w:rFonts w:ascii="Times New Roman" w:hAnsi="Times New Roman"/>
          <w:sz w:val="24"/>
          <w:szCs w:val="24"/>
        </w:rPr>
        <w:t>.  The short-term viability analysis is scientifically unsound and it is very doubtful it could sustain scientific peer review.  The analysis is clearly out of date and does</w:t>
      </w:r>
      <w:r>
        <w:rPr>
          <w:rFonts w:ascii="Times New Roman" w:hAnsi="Times New Roman"/>
          <w:sz w:val="24"/>
          <w:szCs w:val="24"/>
        </w:rPr>
        <w:t xml:space="preserve"> not</w:t>
      </w:r>
      <w:r w:rsidRPr="00FE78EE">
        <w:rPr>
          <w:rFonts w:ascii="Times New Roman" w:hAnsi="Times New Roman"/>
          <w:sz w:val="24"/>
          <w:szCs w:val="24"/>
        </w:rPr>
        <w:t xml:space="preserve"> reflect recent increases in both logging and wildfire.  Schultz (2010) captured this sentiment in her critique: “some interviewees also thought the work should be peer reviewed, especially if it was conducted by </w:t>
      </w:r>
      <w:r w:rsidRPr="00FE78EE">
        <w:rPr>
          <w:rFonts w:ascii="Times New Roman" w:hAnsi="Times New Roman"/>
          <w:sz w:val="24"/>
          <w:szCs w:val="24"/>
        </w:rPr>
        <w:lastRenderedPageBreak/>
        <w:t>USFS management, and several were skeptical that it would survive such review.”  I agree with the reviewers.</w:t>
      </w:r>
    </w:p>
    <w:p w14:paraId="2A4F1032" w14:textId="77777777" w:rsidR="008C0BA3" w:rsidRPr="00FE78EE" w:rsidRDefault="008C0BA3" w:rsidP="008C0BA3">
      <w:pPr>
        <w:contextualSpacing/>
        <w:rPr>
          <w:rFonts w:ascii="Times New Roman" w:hAnsi="Times New Roman"/>
          <w:sz w:val="24"/>
          <w:szCs w:val="24"/>
        </w:rPr>
      </w:pPr>
    </w:p>
    <w:p w14:paraId="362D13B3" w14:textId="77777777" w:rsidR="008C0BA3" w:rsidRPr="00FE78EE" w:rsidRDefault="008C0BA3" w:rsidP="008C0BA3">
      <w:pPr>
        <w:contextualSpacing/>
        <w:rPr>
          <w:rFonts w:ascii="Times New Roman" w:hAnsi="Times New Roman"/>
          <w:sz w:val="24"/>
          <w:szCs w:val="24"/>
        </w:rPr>
      </w:pPr>
      <w:r w:rsidRPr="00FE78EE">
        <w:rPr>
          <w:rFonts w:ascii="Times New Roman" w:hAnsi="Times New Roman"/>
          <w:sz w:val="24"/>
          <w:szCs w:val="24"/>
        </w:rPr>
        <w:t>The analysis assumes the project will not contribute to cumulative habitat losses at the Forest level, when the Nez Perce/Clearwater has no idea what the cumulative impact of numerous past and proposed projects are having on the species of concern. It is over 30 years since the current Forest Plan was signed, yet there is currently no statistically reliable monitoring information on the impacts of Forest Service activities on any wildlife species of concern.  With the possible exception of elk (populations monitored by the Idaho Fish and Game) and the North Idaho Elk Guidelines, there is no habitat proxy that is being used on the Forest that has any field verification.   For example, it has not been confirmed that old growth standards are truly protecting old</w:t>
      </w:r>
      <w:r>
        <w:rPr>
          <w:rFonts w:ascii="Times New Roman" w:hAnsi="Times New Roman"/>
          <w:sz w:val="24"/>
          <w:szCs w:val="24"/>
        </w:rPr>
        <w:t>-</w:t>
      </w:r>
      <w:r w:rsidRPr="00FE78EE">
        <w:rPr>
          <w:rFonts w:ascii="Times New Roman" w:hAnsi="Times New Roman"/>
          <w:sz w:val="24"/>
          <w:szCs w:val="24"/>
        </w:rPr>
        <w:t>growth related species like the fisher, goshawk, pine marten and pileated woodpecker.</w:t>
      </w:r>
    </w:p>
    <w:p w14:paraId="7A598314" w14:textId="77777777" w:rsidR="008C0BA3" w:rsidRPr="00FE78EE" w:rsidRDefault="008C0BA3" w:rsidP="008C0BA3">
      <w:pPr>
        <w:contextualSpacing/>
        <w:rPr>
          <w:rFonts w:ascii="Times New Roman" w:hAnsi="Times New Roman"/>
          <w:sz w:val="24"/>
          <w:szCs w:val="24"/>
        </w:rPr>
      </w:pPr>
    </w:p>
    <w:p w14:paraId="45418686" w14:textId="55A19EAC" w:rsidR="001B3DF7" w:rsidRDefault="008C0BA3" w:rsidP="008764E3">
      <w:pPr>
        <w:rPr>
          <w:rFonts w:ascii="Times New Roman" w:hAnsi="Times New Roman" w:cs="Times New Roman"/>
          <w:b/>
          <w:bCs/>
          <w:sz w:val="24"/>
          <w:szCs w:val="24"/>
        </w:rPr>
      </w:pPr>
      <w:r w:rsidRPr="00FE78EE">
        <w:rPr>
          <w:rFonts w:ascii="Times New Roman" w:hAnsi="Times New Roman"/>
          <w:sz w:val="24"/>
          <w:szCs w:val="24"/>
        </w:rPr>
        <w:t xml:space="preserve">The Forest Service is fond of the argument that viability cannot be discussed at the project level, but they then use habitat numbers outside of the project area to defend excessive development within the individual project area.  Like has been done in the </w:t>
      </w:r>
      <w:r w:rsidR="00EE647B">
        <w:rPr>
          <w:rFonts w:ascii="Times New Roman" w:hAnsi="Times New Roman"/>
          <w:sz w:val="24"/>
          <w:szCs w:val="24"/>
        </w:rPr>
        <w:t xml:space="preserve">Dead Laundry </w:t>
      </w:r>
      <w:r w:rsidRPr="00FE78EE">
        <w:rPr>
          <w:rFonts w:ascii="Times New Roman" w:hAnsi="Times New Roman"/>
          <w:sz w:val="24"/>
          <w:szCs w:val="24"/>
        </w:rPr>
        <w:t xml:space="preserve">project for the fisher, pine marten, goshawk, pileated woodpecker and other species, they rationalize that sufficient habitat is available in other areas to make up for losses within the project area.  Under this scenario, no project ever creates a significant impact and species are lost by “10,000 cuts” as project after project is allowed to proceed.  The Forest Service cannot have it both ways; either they need to have project designs that create minimal impacts to species of concern, or they need to have monitoring information that confirms their habitat proxies are “providing for a diversity of plant and animal communities based on the suitability and capability of the specific land area” as required by the National Forest Management Act. </w:t>
      </w:r>
    </w:p>
    <w:p w14:paraId="256EDE53" w14:textId="3AD1A0AA" w:rsidR="00022350" w:rsidRPr="00DF1151" w:rsidRDefault="004F5916" w:rsidP="00866E24">
      <w:pPr>
        <w:spacing w:after="0"/>
        <w:rPr>
          <w:rFonts w:ascii="Times New Roman" w:hAnsi="Times New Roman" w:cs="Times New Roman"/>
          <w:b/>
          <w:bCs/>
          <w:sz w:val="24"/>
          <w:szCs w:val="24"/>
        </w:rPr>
      </w:pPr>
      <w:r w:rsidRPr="00DF1151">
        <w:rPr>
          <w:rFonts w:ascii="Times New Roman" w:hAnsi="Times New Roman" w:cs="Times New Roman"/>
          <w:b/>
          <w:bCs/>
          <w:sz w:val="24"/>
          <w:szCs w:val="24"/>
        </w:rPr>
        <w:t>Objection</w:t>
      </w:r>
      <w:r w:rsidR="00932659" w:rsidRPr="00DF1151">
        <w:rPr>
          <w:rFonts w:ascii="Times New Roman" w:hAnsi="Times New Roman" w:cs="Times New Roman"/>
          <w:b/>
          <w:bCs/>
          <w:sz w:val="24"/>
          <w:szCs w:val="24"/>
        </w:rPr>
        <w:t xml:space="preserve"> </w:t>
      </w:r>
      <w:r w:rsidR="000F44FA">
        <w:rPr>
          <w:rFonts w:ascii="Times New Roman" w:hAnsi="Times New Roman" w:cs="Times New Roman"/>
          <w:b/>
          <w:bCs/>
          <w:sz w:val="24"/>
          <w:szCs w:val="24"/>
        </w:rPr>
        <w:t>1</w:t>
      </w:r>
      <w:r w:rsidR="0076257C">
        <w:rPr>
          <w:rFonts w:ascii="Times New Roman" w:hAnsi="Times New Roman" w:cs="Times New Roman"/>
          <w:b/>
          <w:bCs/>
          <w:sz w:val="24"/>
          <w:szCs w:val="24"/>
        </w:rPr>
        <w:t>3</w:t>
      </w:r>
      <w:r w:rsidR="00932659" w:rsidRPr="00DF1151">
        <w:rPr>
          <w:rFonts w:ascii="Times New Roman" w:hAnsi="Times New Roman" w:cs="Times New Roman"/>
          <w:b/>
          <w:bCs/>
          <w:sz w:val="24"/>
          <w:szCs w:val="24"/>
        </w:rPr>
        <w:t xml:space="preserve"> - Misapplication of the Sauder and Rachlow (2014) publication for the evaluation of f</w:t>
      </w:r>
      <w:r w:rsidR="00022350" w:rsidRPr="00DF1151">
        <w:rPr>
          <w:rFonts w:ascii="Times New Roman" w:hAnsi="Times New Roman" w:cs="Times New Roman"/>
          <w:b/>
          <w:bCs/>
          <w:sz w:val="24"/>
          <w:szCs w:val="24"/>
        </w:rPr>
        <w:t>isher</w:t>
      </w:r>
      <w:r w:rsidR="00932659" w:rsidRPr="00DF1151">
        <w:rPr>
          <w:rFonts w:ascii="Times New Roman" w:hAnsi="Times New Roman" w:cs="Times New Roman"/>
          <w:b/>
          <w:bCs/>
          <w:sz w:val="24"/>
          <w:szCs w:val="24"/>
        </w:rPr>
        <w:t xml:space="preserve"> habitat</w:t>
      </w:r>
    </w:p>
    <w:p w14:paraId="47C06103" w14:textId="3A567E9E" w:rsidR="008D6222" w:rsidRPr="00DF1151" w:rsidRDefault="008D6222" w:rsidP="00866E24">
      <w:pPr>
        <w:spacing w:after="0"/>
        <w:rPr>
          <w:rFonts w:ascii="Times New Roman" w:hAnsi="Times New Roman" w:cs="Times New Roman"/>
          <w:b/>
          <w:bCs/>
          <w:sz w:val="24"/>
          <w:szCs w:val="24"/>
        </w:rPr>
      </w:pPr>
    </w:p>
    <w:p w14:paraId="6B3BB273" w14:textId="69493578" w:rsidR="00A03711" w:rsidRPr="00DF1151" w:rsidRDefault="00E3356C" w:rsidP="00362611">
      <w:pPr>
        <w:rPr>
          <w:rFonts w:ascii="Times New Roman" w:eastAsia="Calibri" w:hAnsi="Times New Roman" w:cs="Times New Roman"/>
          <w:sz w:val="24"/>
          <w:szCs w:val="24"/>
        </w:rPr>
      </w:pPr>
      <w:r>
        <w:rPr>
          <w:rFonts w:ascii="Times New Roman" w:hAnsi="Times New Roman" w:cs="Times New Roman"/>
          <w:sz w:val="24"/>
          <w:szCs w:val="24"/>
        </w:rPr>
        <w:t>The fisher analysis has been updated</w:t>
      </w:r>
      <w:r w:rsidR="00E900DB">
        <w:rPr>
          <w:rFonts w:ascii="Times New Roman" w:hAnsi="Times New Roman" w:cs="Times New Roman"/>
          <w:sz w:val="24"/>
          <w:szCs w:val="24"/>
        </w:rPr>
        <w:t xml:space="preserve"> to include five home ranges</w:t>
      </w:r>
      <w:r w:rsidR="00A03711">
        <w:rPr>
          <w:rFonts w:ascii="Times New Roman" w:hAnsi="Times New Roman" w:cs="Times New Roman"/>
          <w:sz w:val="24"/>
          <w:szCs w:val="24"/>
        </w:rPr>
        <w:t xml:space="preserve"> that approximate the home range size of a female fisher which is </w:t>
      </w:r>
      <w:r w:rsidR="00A03711" w:rsidRPr="00DF1151">
        <w:rPr>
          <w:rFonts w:ascii="Times New Roman" w:eastAsia="Calibri" w:hAnsi="Times New Roman" w:cs="Times New Roman"/>
          <w:sz w:val="24"/>
          <w:szCs w:val="24"/>
        </w:rPr>
        <w:t xml:space="preserve">12,200-acres </w:t>
      </w:r>
      <w:r w:rsidR="00A03711">
        <w:rPr>
          <w:rFonts w:ascii="Times New Roman" w:hAnsi="Times New Roman" w:cs="Times New Roman"/>
          <w:sz w:val="24"/>
          <w:szCs w:val="24"/>
        </w:rPr>
        <w:t>according to Sauder and Rac</w:t>
      </w:r>
      <w:r w:rsidR="00A27F76">
        <w:rPr>
          <w:rFonts w:ascii="Times New Roman" w:hAnsi="Times New Roman" w:cs="Times New Roman"/>
          <w:sz w:val="24"/>
          <w:szCs w:val="24"/>
        </w:rPr>
        <w:t>h</w:t>
      </w:r>
      <w:r w:rsidR="00A03711">
        <w:rPr>
          <w:rFonts w:ascii="Times New Roman" w:hAnsi="Times New Roman" w:cs="Times New Roman"/>
          <w:sz w:val="24"/>
          <w:szCs w:val="24"/>
        </w:rPr>
        <w:t>low (2014).</w:t>
      </w:r>
      <w:r w:rsidR="00ED6888">
        <w:rPr>
          <w:rFonts w:ascii="Times New Roman" w:hAnsi="Times New Roman" w:cs="Times New Roman"/>
          <w:sz w:val="24"/>
          <w:szCs w:val="24"/>
        </w:rPr>
        <w:t xml:space="preserve">  </w:t>
      </w:r>
      <w:r w:rsidR="008D6222" w:rsidRPr="00DF1151">
        <w:rPr>
          <w:rFonts w:ascii="Times New Roman" w:hAnsi="Times New Roman" w:cs="Times New Roman"/>
          <w:sz w:val="24"/>
          <w:szCs w:val="24"/>
        </w:rPr>
        <w:t>I</w:t>
      </w:r>
      <w:r w:rsidR="00B8436F">
        <w:rPr>
          <w:rFonts w:ascii="Times New Roman" w:hAnsi="Times New Roman" w:cs="Times New Roman"/>
          <w:sz w:val="24"/>
          <w:szCs w:val="24"/>
        </w:rPr>
        <w:t xml:space="preserve"> appreciate this change, but am still concerned about the amount of habitat that will be lost as a result of the project.</w:t>
      </w:r>
      <w:r w:rsidR="008D6222" w:rsidRPr="00DF1151">
        <w:rPr>
          <w:rFonts w:ascii="Times New Roman" w:hAnsi="Times New Roman" w:cs="Times New Roman"/>
          <w:sz w:val="24"/>
          <w:szCs w:val="24"/>
        </w:rPr>
        <w:t xml:space="preserve"> </w:t>
      </w:r>
      <w:r w:rsidR="00D857BA">
        <w:rPr>
          <w:rFonts w:ascii="Times New Roman" w:hAnsi="Times New Roman" w:cs="Times New Roman"/>
          <w:sz w:val="24"/>
          <w:szCs w:val="24"/>
        </w:rPr>
        <w:t xml:space="preserve">According to the wildlife report as </w:t>
      </w:r>
      <w:r w:rsidR="00D857BA">
        <w:rPr>
          <w:rFonts w:ascii="Times New Roman" w:eastAsia="Calibri" w:hAnsi="Times New Roman" w:cs="Times New Roman"/>
          <w:sz w:val="24"/>
          <w:szCs w:val="24"/>
        </w:rPr>
        <w:t xml:space="preserve">much as 1,259-acres of mature forest </w:t>
      </w:r>
      <w:r w:rsidR="00D82F33">
        <w:rPr>
          <w:rFonts w:ascii="Times New Roman" w:eastAsia="Calibri" w:hAnsi="Times New Roman" w:cs="Times New Roman"/>
          <w:sz w:val="24"/>
          <w:szCs w:val="24"/>
        </w:rPr>
        <w:t xml:space="preserve">in suitable fisher habitat </w:t>
      </w:r>
      <w:r w:rsidR="00362611">
        <w:rPr>
          <w:rFonts w:ascii="Times New Roman" w:eastAsia="Calibri" w:hAnsi="Times New Roman" w:cs="Times New Roman"/>
          <w:sz w:val="24"/>
          <w:szCs w:val="24"/>
        </w:rPr>
        <w:t xml:space="preserve">could be removed </w:t>
      </w:r>
      <w:r w:rsidR="003750BD">
        <w:rPr>
          <w:rFonts w:ascii="Times New Roman" w:eastAsia="Calibri" w:hAnsi="Times New Roman" w:cs="Times New Roman"/>
          <w:sz w:val="24"/>
          <w:szCs w:val="24"/>
        </w:rPr>
        <w:t>by</w:t>
      </w:r>
      <w:r w:rsidR="00D857BA">
        <w:rPr>
          <w:rFonts w:ascii="Times New Roman" w:eastAsia="Calibri" w:hAnsi="Times New Roman" w:cs="Times New Roman"/>
          <w:sz w:val="24"/>
          <w:szCs w:val="24"/>
        </w:rPr>
        <w:t xml:space="preserve"> regeneration harvest.  However, this is still unclear, since the wildlife analysis does not agree with the Draft Decision Notice.  The Draft Decision Notice suggests there will be a total of 2,057</w:t>
      </w:r>
      <w:r w:rsidR="00D857BA" w:rsidRPr="00DF1151">
        <w:rPr>
          <w:rFonts w:ascii="Times New Roman" w:eastAsia="Calibri" w:hAnsi="Times New Roman" w:cs="Times New Roman"/>
          <w:sz w:val="24"/>
          <w:szCs w:val="24"/>
        </w:rPr>
        <w:t xml:space="preserve">-acres </w:t>
      </w:r>
      <w:r w:rsidR="00D857BA">
        <w:rPr>
          <w:rFonts w:ascii="Times New Roman" w:eastAsia="Calibri" w:hAnsi="Times New Roman" w:cs="Times New Roman"/>
          <w:sz w:val="24"/>
          <w:szCs w:val="24"/>
        </w:rPr>
        <w:t>of regeneration harvest, instead of 3</w:t>
      </w:r>
      <w:r w:rsidR="00362611">
        <w:rPr>
          <w:rFonts w:ascii="Times New Roman" w:eastAsia="Calibri" w:hAnsi="Times New Roman" w:cs="Times New Roman"/>
          <w:sz w:val="24"/>
          <w:szCs w:val="24"/>
        </w:rPr>
        <w:t>,</w:t>
      </w:r>
      <w:r w:rsidR="00D857BA">
        <w:rPr>
          <w:rFonts w:ascii="Times New Roman" w:eastAsia="Calibri" w:hAnsi="Times New Roman" w:cs="Times New Roman"/>
          <w:sz w:val="24"/>
          <w:szCs w:val="24"/>
        </w:rPr>
        <w:t>639-acres of regeneration harvest analyzed in the wildlife report.  How much of this reduced harvest level occurs in mature and suitable fisher habitat is not reported.</w:t>
      </w:r>
    </w:p>
    <w:p w14:paraId="7C934D6C" w14:textId="47B8E674" w:rsidR="00022350" w:rsidRPr="00DF1151" w:rsidRDefault="00233FDD" w:rsidP="00B3454D">
      <w:pPr>
        <w:rPr>
          <w:rFonts w:ascii="Times New Roman" w:hAnsi="Times New Roman" w:cs="Times New Roman"/>
          <w:sz w:val="24"/>
          <w:szCs w:val="24"/>
        </w:rPr>
      </w:pPr>
      <w:r w:rsidRPr="00DF1151">
        <w:rPr>
          <w:rFonts w:ascii="Times New Roman" w:eastAsia="Calibri" w:hAnsi="Times New Roman" w:cs="Times New Roman"/>
          <w:sz w:val="24"/>
          <w:szCs w:val="24"/>
        </w:rPr>
        <w:t>Sauder and Rachlow</w:t>
      </w:r>
      <w:r w:rsidR="00237CBD" w:rsidRPr="00DF1151">
        <w:rPr>
          <w:rFonts w:ascii="Times New Roman" w:eastAsia="Calibri" w:hAnsi="Times New Roman" w:cs="Times New Roman"/>
          <w:sz w:val="24"/>
          <w:szCs w:val="24"/>
        </w:rPr>
        <w:t xml:space="preserve"> (2014) foun</w:t>
      </w:r>
      <w:r w:rsidR="00B57AD1" w:rsidRPr="00DF1151">
        <w:rPr>
          <w:rFonts w:ascii="Times New Roman" w:eastAsia="Calibri" w:hAnsi="Times New Roman" w:cs="Times New Roman"/>
          <w:sz w:val="24"/>
          <w:szCs w:val="24"/>
        </w:rPr>
        <w:t>d</w:t>
      </w:r>
      <w:r w:rsidR="00237CBD" w:rsidRPr="00DF1151">
        <w:rPr>
          <w:rFonts w:ascii="Times New Roman" w:eastAsia="Calibri" w:hAnsi="Times New Roman" w:cs="Times New Roman"/>
          <w:sz w:val="24"/>
          <w:szCs w:val="24"/>
        </w:rPr>
        <w:t xml:space="preserve"> that </w:t>
      </w:r>
      <w:r w:rsidR="00B57AD1" w:rsidRPr="00DF1151">
        <w:rPr>
          <w:rFonts w:ascii="Times New Roman" w:eastAsia="Calibri" w:hAnsi="Times New Roman" w:cs="Times New Roman"/>
          <w:sz w:val="24"/>
          <w:szCs w:val="24"/>
        </w:rPr>
        <w:t>“</w:t>
      </w:r>
      <w:r w:rsidR="00237CBD" w:rsidRPr="00DF1151">
        <w:rPr>
          <w:rFonts w:ascii="Times New Roman" w:eastAsia="Calibri" w:hAnsi="Times New Roman" w:cs="Times New Roman"/>
          <w:sz w:val="24"/>
          <w:szCs w:val="24"/>
        </w:rPr>
        <w:t>fishers selected landscapes for home ranges with larger, more contiguous patches of mature forest and reduced amounts of open areas.</w:t>
      </w:r>
      <w:r w:rsidR="00B57AD1" w:rsidRPr="00DF1151">
        <w:rPr>
          <w:rFonts w:ascii="Times New Roman" w:eastAsia="Calibri" w:hAnsi="Times New Roman" w:cs="Times New Roman"/>
          <w:sz w:val="24"/>
          <w:szCs w:val="24"/>
        </w:rPr>
        <w:t xml:space="preserve">  Landscapes that had &gt;50% mature forest arranged in connected, complex shapes with few isolated patches and open areas comprising &lt;5% of the landscape characterized a forest pattern selected by fishers in our study.”</w:t>
      </w:r>
      <w:r w:rsidR="00460961" w:rsidRPr="00DF1151">
        <w:rPr>
          <w:rFonts w:ascii="Times New Roman" w:eastAsia="Calibri" w:hAnsi="Times New Roman" w:cs="Times New Roman"/>
          <w:sz w:val="24"/>
          <w:szCs w:val="24"/>
        </w:rPr>
        <w:t xml:space="preserve">.  </w:t>
      </w:r>
      <w:r w:rsidR="00F157FA" w:rsidRPr="00DF1151">
        <w:rPr>
          <w:rFonts w:ascii="Times New Roman" w:eastAsia="Calibri" w:hAnsi="Times New Roman" w:cs="Times New Roman"/>
          <w:sz w:val="24"/>
          <w:szCs w:val="24"/>
        </w:rPr>
        <w:t>They</w:t>
      </w:r>
      <w:r w:rsidR="00F157FA" w:rsidRPr="00DF1151">
        <w:rPr>
          <w:rFonts w:ascii="Times New Roman" w:hAnsi="Times New Roman" w:cs="Times New Roman"/>
          <w:sz w:val="24"/>
          <w:szCs w:val="24"/>
        </w:rPr>
        <w:t xml:space="preserve"> suggest that an “increase of open area from 5% to 10% reduces the probability </w:t>
      </w:r>
      <w:r w:rsidR="00F157FA" w:rsidRPr="00DF1151">
        <w:rPr>
          <w:rFonts w:ascii="Times New Roman" w:hAnsi="Times New Roman" w:cs="Times New Roman"/>
          <w:sz w:val="24"/>
          <w:szCs w:val="24"/>
        </w:rPr>
        <w:lastRenderedPageBreak/>
        <w:t>of occupation by fishers by 39%</w:t>
      </w:r>
      <w:r w:rsidR="00B57AD1" w:rsidRPr="00DF1151">
        <w:rPr>
          <w:rFonts w:ascii="Times New Roman" w:hAnsi="Times New Roman" w:cs="Times New Roman"/>
          <w:sz w:val="24"/>
          <w:szCs w:val="24"/>
        </w:rPr>
        <w:t>”</w:t>
      </w:r>
      <w:r w:rsidR="00F157FA" w:rsidRPr="00DF1151">
        <w:rPr>
          <w:rFonts w:ascii="Times New Roman" w:hAnsi="Times New Roman" w:cs="Times New Roman"/>
          <w:sz w:val="24"/>
          <w:szCs w:val="24"/>
        </w:rPr>
        <w:t xml:space="preserve"> and that home ranges with more than 25% open habitat will likely not be utilized.  Sauder and Rachlow</w:t>
      </w:r>
      <w:r w:rsidR="0055740F">
        <w:rPr>
          <w:rFonts w:ascii="Times New Roman" w:hAnsi="Times New Roman" w:cs="Times New Roman"/>
          <w:sz w:val="24"/>
          <w:szCs w:val="24"/>
        </w:rPr>
        <w:t xml:space="preserve"> </w:t>
      </w:r>
      <w:r w:rsidR="00F157FA" w:rsidRPr="00DF1151">
        <w:rPr>
          <w:rFonts w:ascii="Times New Roman" w:hAnsi="Times New Roman" w:cs="Times New Roman"/>
          <w:sz w:val="24"/>
          <w:szCs w:val="24"/>
        </w:rPr>
        <w:t xml:space="preserve">(2014) reported that the median amount of open area within radio-monitored fisher home ranges was 5.4%.  </w:t>
      </w:r>
    </w:p>
    <w:p w14:paraId="162A9F50" w14:textId="6C9A7BBB" w:rsidR="007D1AA6" w:rsidRDefault="00785DE2" w:rsidP="00B3454D">
      <w:pPr>
        <w:rPr>
          <w:rStyle w:val="markedcontent"/>
          <w:rFonts w:ascii="Times New Roman" w:hAnsi="Times New Roman" w:cs="Times New Roman"/>
          <w:sz w:val="24"/>
          <w:szCs w:val="24"/>
          <w:shd w:val="clear" w:color="auto" w:fill="FFFFFF"/>
        </w:rPr>
      </w:pPr>
      <w:r w:rsidRPr="00DF1151">
        <w:rPr>
          <w:rFonts w:ascii="Times New Roman" w:hAnsi="Times New Roman" w:cs="Times New Roman"/>
          <w:sz w:val="24"/>
          <w:szCs w:val="24"/>
        </w:rPr>
        <w:t xml:space="preserve">The </w:t>
      </w:r>
      <w:r w:rsidR="009B00EA">
        <w:rPr>
          <w:rFonts w:ascii="Times New Roman" w:hAnsi="Times New Roman" w:cs="Times New Roman"/>
          <w:sz w:val="24"/>
          <w:szCs w:val="24"/>
        </w:rPr>
        <w:t>r</w:t>
      </w:r>
      <w:r w:rsidR="00B8436F">
        <w:rPr>
          <w:rFonts w:ascii="Times New Roman" w:hAnsi="Times New Roman" w:cs="Times New Roman"/>
          <w:sz w:val="24"/>
          <w:szCs w:val="24"/>
        </w:rPr>
        <w:t xml:space="preserve">evised </w:t>
      </w:r>
      <w:r w:rsidR="009B00EA">
        <w:rPr>
          <w:rFonts w:ascii="Times New Roman" w:hAnsi="Times New Roman" w:cs="Times New Roman"/>
          <w:sz w:val="24"/>
          <w:szCs w:val="24"/>
        </w:rPr>
        <w:t>Wildlife Report</w:t>
      </w:r>
      <w:r w:rsidRPr="00DF1151">
        <w:rPr>
          <w:rFonts w:ascii="Times New Roman" w:hAnsi="Times New Roman" w:cs="Times New Roman"/>
          <w:sz w:val="24"/>
          <w:szCs w:val="24"/>
        </w:rPr>
        <w:t xml:space="preserve"> </w:t>
      </w:r>
      <w:r w:rsidR="00B8436F">
        <w:rPr>
          <w:rFonts w:ascii="Times New Roman" w:hAnsi="Times New Roman" w:cs="Times New Roman"/>
          <w:sz w:val="24"/>
          <w:szCs w:val="24"/>
        </w:rPr>
        <w:t xml:space="preserve">suggests that the </w:t>
      </w:r>
      <w:r w:rsidR="001704BC">
        <w:rPr>
          <w:rFonts w:ascii="Times New Roman" w:hAnsi="Times New Roman" w:cs="Times New Roman"/>
          <w:sz w:val="24"/>
          <w:szCs w:val="24"/>
        </w:rPr>
        <w:t>five potential home ranges are centered on HUC</w:t>
      </w:r>
      <w:r w:rsidR="00A61BFB">
        <w:rPr>
          <w:rFonts w:ascii="Times New Roman" w:hAnsi="Times New Roman" w:cs="Times New Roman"/>
          <w:sz w:val="24"/>
          <w:szCs w:val="24"/>
        </w:rPr>
        <w:t>-</w:t>
      </w:r>
      <w:r w:rsidR="001704BC">
        <w:rPr>
          <w:rFonts w:ascii="Times New Roman" w:hAnsi="Times New Roman" w:cs="Times New Roman"/>
          <w:sz w:val="24"/>
          <w:szCs w:val="24"/>
        </w:rPr>
        <w:t xml:space="preserve">14 drainages and include: </w:t>
      </w:r>
      <w:r w:rsidR="001704BC" w:rsidRPr="00822E31">
        <w:rPr>
          <w:rFonts w:ascii="Times New Roman" w:hAnsi="Times New Roman" w:cs="Times New Roman"/>
          <w:sz w:val="24"/>
          <w:szCs w:val="24"/>
        </w:rPr>
        <w:t>Deadwood</w:t>
      </w:r>
      <w:r w:rsidR="00822E31" w:rsidRPr="00822E31">
        <w:rPr>
          <w:rFonts w:ascii="Times New Roman" w:hAnsi="Times New Roman" w:cs="Times New Roman"/>
          <w:sz w:val="24"/>
          <w:szCs w:val="24"/>
        </w:rPr>
        <w:t xml:space="preserve"> </w:t>
      </w:r>
      <w:r w:rsidR="00217CDB">
        <w:rPr>
          <w:rFonts w:ascii="Times New Roman" w:hAnsi="Times New Roman" w:cs="Times New Roman"/>
          <w:sz w:val="24"/>
          <w:szCs w:val="24"/>
        </w:rPr>
        <w:t>(</w:t>
      </w:r>
      <w:r w:rsidR="00822E31" w:rsidRPr="00822E31">
        <w:rPr>
          <w:rStyle w:val="markedcontent"/>
          <w:rFonts w:ascii="Times New Roman" w:hAnsi="Times New Roman" w:cs="Times New Roman"/>
          <w:sz w:val="24"/>
          <w:szCs w:val="24"/>
          <w:shd w:val="clear" w:color="auto" w:fill="FFFFFF"/>
        </w:rPr>
        <w:t>14,312</w:t>
      </w:r>
      <w:r w:rsidR="00822E31">
        <w:rPr>
          <w:rStyle w:val="markedcontent"/>
          <w:rFonts w:ascii="Times New Roman" w:hAnsi="Times New Roman" w:cs="Times New Roman"/>
          <w:sz w:val="24"/>
          <w:szCs w:val="24"/>
          <w:shd w:val="clear" w:color="auto" w:fill="FFFFFF"/>
        </w:rPr>
        <w:t>-acres</w:t>
      </w:r>
      <w:r w:rsidR="00217CDB">
        <w:rPr>
          <w:rStyle w:val="markedcontent"/>
          <w:rFonts w:ascii="Times New Roman" w:hAnsi="Times New Roman" w:cs="Times New Roman"/>
          <w:sz w:val="24"/>
          <w:szCs w:val="24"/>
          <w:shd w:val="clear" w:color="auto" w:fill="FFFFFF"/>
        </w:rPr>
        <w:t xml:space="preserve"> - </w:t>
      </w:r>
      <w:r w:rsidR="001704BC" w:rsidRPr="00822E31">
        <w:rPr>
          <w:rFonts w:ascii="Times New Roman" w:hAnsi="Times New Roman" w:cs="Times New Roman"/>
          <w:sz w:val="24"/>
          <w:szCs w:val="24"/>
          <w:shd w:val="clear" w:color="auto" w:fill="FFFFFF"/>
        </w:rPr>
        <w:t>Deadwood</w:t>
      </w:r>
      <w:r w:rsidR="001704BC" w:rsidRPr="001704BC">
        <w:rPr>
          <w:rFonts w:ascii="Times New Roman" w:hAnsi="Times New Roman" w:cs="Times New Roman"/>
          <w:sz w:val="24"/>
          <w:szCs w:val="24"/>
          <w:shd w:val="clear" w:color="auto" w:fill="FFFFFF"/>
        </w:rPr>
        <w:t xml:space="preserve"> Creek, Independence Creek,</w:t>
      </w:r>
      <w:r w:rsidR="00822E31">
        <w:rPr>
          <w:rFonts w:ascii="Times New Roman" w:hAnsi="Times New Roman" w:cs="Times New Roman"/>
          <w:sz w:val="24"/>
          <w:szCs w:val="24"/>
        </w:rPr>
        <w:t xml:space="preserve"> </w:t>
      </w:r>
      <w:r w:rsidR="001704BC" w:rsidRPr="001704BC">
        <w:rPr>
          <w:rFonts w:ascii="Times New Roman" w:hAnsi="Times New Roman" w:cs="Times New Roman"/>
          <w:sz w:val="24"/>
          <w:szCs w:val="24"/>
          <w:shd w:val="clear" w:color="auto" w:fill="FFFFFF"/>
        </w:rPr>
        <w:t>Lower Moose Creek, Ruby Creek, Upper</w:t>
      </w:r>
      <w:r w:rsidR="001704BC">
        <w:rPr>
          <w:rFonts w:ascii="Times New Roman" w:hAnsi="Times New Roman" w:cs="Times New Roman"/>
          <w:sz w:val="24"/>
          <w:szCs w:val="24"/>
        </w:rPr>
        <w:t xml:space="preserve"> </w:t>
      </w:r>
      <w:r w:rsidR="001704BC" w:rsidRPr="001704BC">
        <w:rPr>
          <w:rFonts w:ascii="Times New Roman" w:hAnsi="Times New Roman" w:cs="Times New Roman"/>
          <w:sz w:val="24"/>
          <w:szCs w:val="24"/>
          <w:shd w:val="clear" w:color="auto" w:fill="FFFFFF"/>
        </w:rPr>
        <w:t>Moose</w:t>
      </w:r>
      <w:r w:rsidR="001704BC">
        <w:rPr>
          <w:rFonts w:ascii="Times New Roman" w:hAnsi="Times New Roman" w:cs="Times New Roman"/>
          <w:sz w:val="24"/>
          <w:szCs w:val="24"/>
          <w:shd w:val="clear" w:color="auto" w:fill="FFFFFF"/>
        </w:rPr>
        <w:t xml:space="preserve"> Creek</w:t>
      </w:r>
      <w:r w:rsidR="001704BC" w:rsidRPr="00822E31">
        <w:rPr>
          <w:rFonts w:ascii="Times New Roman" w:hAnsi="Times New Roman" w:cs="Times New Roman"/>
          <w:sz w:val="24"/>
          <w:szCs w:val="24"/>
          <w:shd w:val="clear" w:color="auto" w:fill="FFFFFF"/>
        </w:rPr>
        <w:t>)</w:t>
      </w:r>
      <w:r w:rsidR="00822E31" w:rsidRPr="00822E31">
        <w:rPr>
          <w:rFonts w:ascii="Times New Roman" w:hAnsi="Times New Roman" w:cs="Times New Roman"/>
          <w:sz w:val="24"/>
          <w:szCs w:val="24"/>
          <w:shd w:val="clear" w:color="auto" w:fill="FFFFFF"/>
        </w:rPr>
        <w:t xml:space="preserve">,  </w:t>
      </w:r>
      <w:r w:rsidR="00822E31" w:rsidRPr="00822E31">
        <w:rPr>
          <w:rStyle w:val="markedcontent"/>
          <w:rFonts w:ascii="Times New Roman" w:hAnsi="Times New Roman" w:cs="Times New Roman"/>
          <w:sz w:val="24"/>
          <w:szCs w:val="24"/>
          <w:shd w:val="clear" w:color="auto" w:fill="FFFFFF"/>
        </w:rPr>
        <w:t xml:space="preserve">Elizabeth </w:t>
      </w:r>
      <w:r w:rsidR="007D06CE">
        <w:rPr>
          <w:rStyle w:val="markedcontent"/>
          <w:rFonts w:ascii="Times New Roman" w:hAnsi="Times New Roman" w:cs="Times New Roman"/>
          <w:sz w:val="24"/>
          <w:szCs w:val="24"/>
          <w:shd w:val="clear" w:color="auto" w:fill="FFFFFF"/>
        </w:rPr>
        <w:t>-</w:t>
      </w:r>
      <w:r w:rsidR="00217CDB">
        <w:rPr>
          <w:rStyle w:val="markedcontent"/>
          <w:rFonts w:ascii="Times New Roman" w:hAnsi="Times New Roman" w:cs="Times New Roman"/>
          <w:sz w:val="24"/>
          <w:szCs w:val="24"/>
          <w:shd w:val="clear" w:color="auto" w:fill="FFFFFF"/>
        </w:rPr>
        <w:t>(</w:t>
      </w:r>
      <w:r w:rsidR="00822E31" w:rsidRPr="00822E31">
        <w:rPr>
          <w:rStyle w:val="markedcontent"/>
          <w:rFonts w:ascii="Times New Roman" w:hAnsi="Times New Roman" w:cs="Times New Roman"/>
          <w:sz w:val="24"/>
          <w:szCs w:val="24"/>
          <w:shd w:val="clear" w:color="auto" w:fill="FFFFFF"/>
        </w:rPr>
        <w:t>11,354</w:t>
      </w:r>
      <w:r w:rsidR="00822E31">
        <w:rPr>
          <w:rStyle w:val="markedcontent"/>
          <w:rFonts w:ascii="Times New Roman" w:hAnsi="Times New Roman" w:cs="Times New Roman"/>
          <w:sz w:val="24"/>
          <w:szCs w:val="24"/>
          <w:shd w:val="clear" w:color="auto" w:fill="FFFFFF"/>
        </w:rPr>
        <w:t>-acres</w:t>
      </w:r>
      <w:r w:rsidR="00822E31" w:rsidRPr="00822E31">
        <w:rPr>
          <w:rStyle w:val="markedcontent"/>
          <w:rFonts w:ascii="Times New Roman" w:hAnsi="Times New Roman" w:cs="Times New Roman"/>
          <w:sz w:val="24"/>
          <w:szCs w:val="24"/>
          <w:shd w:val="clear" w:color="auto" w:fill="FFFFFF"/>
        </w:rPr>
        <w:t xml:space="preserve"> </w:t>
      </w:r>
      <w:r w:rsidR="00217CDB">
        <w:rPr>
          <w:rStyle w:val="markedcontent"/>
          <w:rFonts w:ascii="Times New Roman" w:hAnsi="Times New Roman" w:cs="Times New Roman"/>
          <w:sz w:val="24"/>
          <w:szCs w:val="24"/>
          <w:shd w:val="clear" w:color="auto" w:fill="FFFFFF"/>
        </w:rPr>
        <w:t xml:space="preserve">- </w:t>
      </w:r>
      <w:r w:rsidR="00822E31" w:rsidRPr="00822E31">
        <w:rPr>
          <w:rStyle w:val="markedcontent"/>
          <w:rFonts w:ascii="Times New Roman" w:hAnsi="Times New Roman" w:cs="Times New Roman"/>
          <w:sz w:val="24"/>
          <w:szCs w:val="24"/>
          <w:shd w:val="clear" w:color="auto" w:fill="FFFFFF"/>
        </w:rPr>
        <w:t>Coyote Creek, N</w:t>
      </w:r>
      <w:r w:rsidR="00822E31">
        <w:rPr>
          <w:rStyle w:val="markedcontent"/>
          <w:rFonts w:ascii="Times New Roman" w:hAnsi="Times New Roman" w:cs="Times New Roman"/>
          <w:sz w:val="24"/>
          <w:szCs w:val="24"/>
          <w:shd w:val="clear" w:color="auto" w:fill="FFFFFF"/>
        </w:rPr>
        <w:t>orth Fork Clearwater</w:t>
      </w:r>
      <w:r w:rsidR="00217CDB">
        <w:rPr>
          <w:rStyle w:val="markedcontent"/>
          <w:rFonts w:ascii="Times New Roman" w:hAnsi="Times New Roman" w:cs="Times New Roman"/>
          <w:sz w:val="24"/>
          <w:szCs w:val="24"/>
          <w:shd w:val="clear" w:color="auto" w:fill="FFFFFF"/>
        </w:rPr>
        <w:t xml:space="preserve"> River</w:t>
      </w:r>
      <w:r w:rsidR="00822E31">
        <w:rPr>
          <w:rStyle w:val="markedcontent"/>
          <w:rFonts w:ascii="Times New Roman" w:hAnsi="Times New Roman" w:cs="Times New Roman"/>
          <w:sz w:val="24"/>
          <w:szCs w:val="24"/>
          <w:shd w:val="clear" w:color="auto" w:fill="FFFFFF"/>
        </w:rPr>
        <w:t xml:space="preserve"> </w:t>
      </w:r>
      <w:r w:rsidR="00822E31" w:rsidRPr="00822E31">
        <w:rPr>
          <w:rStyle w:val="markedcontent"/>
          <w:rFonts w:ascii="Times New Roman" w:hAnsi="Times New Roman" w:cs="Times New Roman"/>
          <w:sz w:val="24"/>
          <w:szCs w:val="24"/>
          <w:shd w:val="clear" w:color="auto" w:fill="FFFFFF"/>
        </w:rPr>
        <w:t>-Hidden Creek</w:t>
      </w:r>
      <w:r w:rsidR="00822E31">
        <w:rPr>
          <w:rStyle w:val="markedcontent"/>
          <w:rFonts w:ascii="Times New Roman" w:hAnsi="Times New Roman" w:cs="Times New Roman"/>
          <w:sz w:val="24"/>
          <w:szCs w:val="24"/>
          <w:shd w:val="clear" w:color="auto" w:fill="FFFFFF"/>
        </w:rPr>
        <w:t xml:space="preserve">), Lake </w:t>
      </w:r>
      <w:r w:rsidR="00217CDB">
        <w:rPr>
          <w:rStyle w:val="markedcontent"/>
          <w:rFonts w:ascii="Times New Roman" w:hAnsi="Times New Roman" w:cs="Times New Roman"/>
          <w:sz w:val="24"/>
          <w:szCs w:val="24"/>
          <w:shd w:val="clear" w:color="auto" w:fill="FFFFFF"/>
        </w:rPr>
        <w:t>(</w:t>
      </w:r>
      <w:r w:rsidR="00822E31" w:rsidRPr="00822E31">
        <w:rPr>
          <w:rStyle w:val="markedcontent"/>
          <w:rFonts w:ascii="Times New Roman" w:hAnsi="Times New Roman" w:cs="Times New Roman"/>
          <w:sz w:val="24"/>
          <w:szCs w:val="24"/>
          <w:shd w:val="clear" w:color="auto" w:fill="FFFFFF"/>
        </w:rPr>
        <w:t>13,366</w:t>
      </w:r>
      <w:r w:rsidR="00217CDB">
        <w:rPr>
          <w:rStyle w:val="markedcontent"/>
          <w:rFonts w:ascii="Times New Roman" w:hAnsi="Times New Roman" w:cs="Times New Roman"/>
          <w:sz w:val="24"/>
          <w:szCs w:val="24"/>
          <w:shd w:val="clear" w:color="auto" w:fill="FFFFFF"/>
        </w:rPr>
        <w:t>-acres -</w:t>
      </w:r>
      <w:r w:rsidR="00822E31" w:rsidRPr="00822E31">
        <w:rPr>
          <w:rStyle w:val="markedcontent"/>
          <w:rFonts w:ascii="Times New Roman" w:hAnsi="Times New Roman" w:cs="Times New Roman"/>
          <w:sz w:val="24"/>
          <w:szCs w:val="24"/>
          <w:shd w:val="clear" w:color="auto" w:fill="FFFFFF"/>
        </w:rPr>
        <w:t xml:space="preserve"> Lower Lake Creek, Goose Creek</w:t>
      </w:r>
      <w:r w:rsidR="00822E31">
        <w:rPr>
          <w:rStyle w:val="markedcontent"/>
          <w:rFonts w:ascii="Times New Roman" w:hAnsi="Times New Roman" w:cs="Times New Roman"/>
          <w:sz w:val="24"/>
          <w:szCs w:val="24"/>
          <w:shd w:val="clear" w:color="auto" w:fill="FFFFFF"/>
        </w:rPr>
        <w:t>)</w:t>
      </w:r>
      <w:r w:rsidR="00217CDB">
        <w:rPr>
          <w:rStyle w:val="markedcontent"/>
          <w:rFonts w:ascii="Times New Roman" w:hAnsi="Times New Roman" w:cs="Times New Roman"/>
          <w:sz w:val="24"/>
          <w:szCs w:val="24"/>
          <w:shd w:val="clear" w:color="auto" w:fill="FFFFFF"/>
        </w:rPr>
        <w:t>, North Fork</w:t>
      </w:r>
      <w:r w:rsidR="00217CDB">
        <w:rPr>
          <w:rFonts w:ascii="Times New Roman" w:hAnsi="Times New Roman" w:cs="Times New Roman"/>
          <w:sz w:val="24"/>
          <w:szCs w:val="24"/>
          <w:shd w:val="clear" w:color="auto" w:fill="FFFFFF"/>
        </w:rPr>
        <w:t xml:space="preserve"> </w:t>
      </w:r>
      <w:r w:rsidR="00217CDB">
        <w:rPr>
          <w:rStyle w:val="markedcontent"/>
          <w:rFonts w:ascii="Times New Roman" w:hAnsi="Times New Roman" w:cs="Times New Roman"/>
          <w:sz w:val="24"/>
          <w:szCs w:val="24"/>
          <w:shd w:val="clear" w:color="auto" w:fill="FFFFFF"/>
        </w:rPr>
        <w:t>(</w:t>
      </w:r>
      <w:r w:rsidR="00217CDB" w:rsidRPr="00822E31">
        <w:rPr>
          <w:rStyle w:val="markedcontent"/>
          <w:rFonts w:ascii="Times New Roman" w:hAnsi="Times New Roman" w:cs="Times New Roman"/>
          <w:sz w:val="24"/>
          <w:szCs w:val="24"/>
          <w:shd w:val="clear" w:color="auto" w:fill="FFFFFF"/>
        </w:rPr>
        <w:t>11,816</w:t>
      </w:r>
      <w:r w:rsidR="00217CDB">
        <w:rPr>
          <w:rStyle w:val="markedcontent"/>
          <w:rFonts w:ascii="Times New Roman" w:hAnsi="Times New Roman" w:cs="Times New Roman"/>
          <w:sz w:val="24"/>
          <w:szCs w:val="24"/>
          <w:shd w:val="clear" w:color="auto" w:fill="FFFFFF"/>
        </w:rPr>
        <w:t>-acres</w:t>
      </w:r>
      <w:r w:rsidR="00217CDB" w:rsidRPr="00822E31">
        <w:rPr>
          <w:rStyle w:val="markedcontent"/>
          <w:rFonts w:ascii="Times New Roman" w:hAnsi="Times New Roman" w:cs="Times New Roman"/>
          <w:sz w:val="24"/>
          <w:szCs w:val="24"/>
          <w:shd w:val="clear" w:color="auto" w:fill="FFFFFF"/>
        </w:rPr>
        <w:t xml:space="preserve"> </w:t>
      </w:r>
      <w:r w:rsidR="00217CDB">
        <w:rPr>
          <w:rStyle w:val="markedcontent"/>
          <w:rFonts w:ascii="Times New Roman" w:hAnsi="Times New Roman" w:cs="Times New Roman"/>
          <w:sz w:val="24"/>
          <w:szCs w:val="24"/>
          <w:shd w:val="clear" w:color="auto" w:fill="FFFFFF"/>
        </w:rPr>
        <w:t xml:space="preserve">- </w:t>
      </w:r>
      <w:r w:rsidR="00822E31" w:rsidRPr="00822E31">
        <w:rPr>
          <w:rStyle w:val="markedcontent"/>
          <w:rFonts w:ascii="Times New Roman" w:hAnsi="Times New Roman" w:cs="Times New Roman"/>
          <w:sz w:val="24"/>
          <w:szCs w:val="24"/>
          <w:shd w:val="clear" w:color="auto" w:fill="FFFFFF"/>
        </w:rPr>
        <w:t xml:space="preserve">Comet Creek, Deception </w:t>
      </w:r>
      <w:r w:rsidR="007D06CE">
        <w:rPr>
          <w:rStyle w:val="markedcontent"/>
          <w:rFonts w:ascii="Times New Roman" w:hAnsi="Times New Roman" w:cs="Times New Roman"/>
          <w:sz w:val="24"/>
          <w:szCs w:val="24"/>
          <w:shd w:val="clear" w:color="auto" w:fill="FFFFFF"/>
        </w:rPr>
        <w:t xml:space="preserve">Gulch </w:t>
      </w:r>
      <w:r w:rsidR="00822E31" w:rsidRPr="00822E31">
        <w:rPr>
          <w:rStyle w:val="markedcontent"/>
          <w:rFonts w:ascii="Times New Roman" w:hAnsi="Times New Roman" w:cs="Times New Roman"/>
          <w:sz w:val="24"/>
          <w:szCs w:val="24"/>
          <w:shd w:val="clear" w:color="auto" w:fill="FFFFFF"/>
        </w:rPr>
        <w:t>Creek, Pete</w:t>
      </w:r>
      <w:r w:rsidR="00217CDB">
        <w:rPr>
          <w:rFonts w:ascii="Times New Roman" w:hAnsi="Times New Roman" w:cs="Times New Roman"/>
          <w:sz w:val="24"/>
          <w:szCs w:val="24"/>
          <w:shd w:val="clear" w:color="auto" w:fill="FFFFFF"/>
        </w:rPr>
        <w:t xml:space="preserve"> </w:t>
      </w:r>
      <w:r w:rsidR="00822E31" w:rsidRPr="00822E31">
        <w:rPr>
          <w:rStyle w:val="markedcontent"/>
          <w:rFonts w:ascii="Times New Roman" w:hAnsi="Times New Roman" w:cs="Times New Roman"/>
          <w:sz w:val="24"/>
          <w:szCs w:val="24"/>
          <w:shd w:val="clear" w:color="auto" w:fill="FFFFFF"/>
        </w:rPr>
        <w:t>Ott Creek</w:t>
      </w:r>
      <w:r w:rsidR="00217CDB">
        <w:rPr>
          <w:rStyle w:val="markedcontent"/>
          <w:rFonts w:ascii="Times New Roman" w:hAnsi="Times New Roman" w:cs="Times New Roman"/>
          <w:sz w:val="24"/>
          <w:szCs w:val="24"/>
          <w:shd w:val="clear" w:color="auto" w:fill="FFFFFF"/>
        </w:rPr>
        <w:t>), and Osier (</w:t>
      </w:r>
      <w:r w:rsidR="00217CDB" w:rsidRPr="00822E31">
        <w:rPr>
          <w:rStyle w:val="markedcontent"/>
          <w:rFonts w:ascii="Times New Roman" w:hAnsi="Times New Roman" w:cs="Times New Roman"/>
          <w:sz w:val="24"/>
          <w:szCs w:val="24"/>
          <w:shd w:val="clear" w:color="auto" w:fill="FFFFFF"/>
        </w:rPr>
        <w:t>12,196</w:t>
      </w:r>
      <w:r w:rsidR="00217CDB">
        <w:rPr>
          <w:rFonts w:ascii="Times New Roman" w:hAnsi="Times New Roman" w:cs="Times New Roman"/>
          <w:sz w:val="24"/>
          <w:szCs w:val="24"/>
          <w:shd w:val="clear" w:color="auto" w:fill="FFFFFF"/>
        </w:rPr>
        <w:t xml:space="preserve"> - </w:t>
      </w:r>
      <w:r w:rsidR="00822E31" w:rsidRPr="00822E31">
        <w:rPr>
          <w:rStyle w:val="markedcontent"/>
          <w:rFonts w:ascii="Times New Roman" w:hAnsi="Times New Roman" w:cs="Times New Roman"/>
          <w:sz w:val="24"/>
          <w:szCs w:val="24"/>
          <w:shd w:val="clear" w:color="auto" w:fill="FFFFFF"/>
        </w:rPr>
        <w:t>China Creek, Laundry Creek, Osier Creek,</w:t>
      </w:r>
      <w:r w:rsidR="00217CDB">
        <w:rPr>
          <w:rFonts w:ascii="Times New Roman" w:hAnsi="Times New Roman" w:cs="Times New Roman"/>
          <w:sz w:val="24"/>
          <w:szCs w:val="24"/>
          <w:shd w:val="clear" w:color="auto" w:fill="FFFFFF"/>
        </w:rPr>
        <w:t xml:space="preserve"> </w:t>
      </w:r>
      <w:r w:rsidR="00822E31" w:rsidRPr="00822E31">
        <w:rPr>
          <w:rStyle w:val="markedcontent"/>
          <w:rFonts w:ascii="Times New Roman" w:hAnsi="Times New Roman" w:cs="Times New Roman"/>
          <w:sz w:val="24"/>
          <w:szCs w:val="24"/>
          <w:shd w:val="clear" w:color="auto" w:fill="FFFFFF"/>
        </w:rPr>
        <w:t>Sugar Creek</w:t>
      </w:r>
      <w:r w:rsidR="00217CDB">
        <w:rPr>
          <w:rStyle w:val="markedcontent"/>
          <w:rFonts w:ascii="Times New Roman" w:hAnsi="Times New Roman" w:cs="Times New Roman"/>
          <w:sz w:val="24"/>
          <w:szCs w:val="24"/>
          <w:shd w:val="clear" w:color="auto" w:fill="FFFFFF"/>
        </w:rPr>
        <w:t>)</w:t>
      </w:r>
      <w:r w:rsidR="007D06CE">
        <w:rPr>
          <w:rStyle w:val="markedcontent"/>
          <w:rFonts w:ascii="Times New Roman" w:hAnsi="Times New Roman" w:cs="Times New Roman"/>
          <w:sz w:val="24"/>
          <w:szCs w:val="24"/>
          <w:shd w:val="clear" w:color="auto" w:fill="FFFFFF"/>
        </w:rPr>
        <w:t xml:space="preserve">, </w:t>
      </w:r>
    </w:p>
    <w:p w14:paraId="307E975C" w14:textId="54FDC715" w:rsidR="001704BC" w:rsidRPr="0085385A" w:rsidRDefault="007D06CE" w:rsidP="00B3454D">
      <w:pPr>
        <w:rPr>
          <w:rStyle w:val="markedcontent"/>
          <w:rFonts w:ascii="Times New Roman" w:hAnsi="Times New Roman" w:cs="Times New Roman"/>
          <w:sz w:val="24"/>
          <w:szCs w:val="24"/>
          <w:shd w:val="clear" w:color="auto" w:fill="FFFFFF"/>
        </w:rPr>
      </w:pPr>
      <w:r>
        <w:rPr>
          <w:rStyle w:val="markedcontent"/>
          <w:rFonts w:ascii="Times New Roman" w:hAnsi="Times New Roman" w:cs="Times New Roman"/>
          <w:sz w:val="24"/>
          <w:szCs w:val="24"/>
          <w:shd w:val="clear" w:color="auto" w:fill="FFFFFF"/>
        </w:rPr>
        <w:t>I could not find any maps displaying the actual boundaries of these analysis areas on the Forest Service website</w:t>
      </w:r>
      <w:r w:rsidR="00D82F33">
        <w:rPr>
          <w:rStyle w:val="markedcontent"/>
          <w:rFonts w:ascii="Times New Roman" w:hAnsi="Times New Roman" w:cs="Times New Roman"/>
          <w:sz w:val="24"/>
          <w:szCs w:val="24"/>
          <w:shd w:val="clear" w:color="auto" w:fill="FFFFFF"/>
        </w:rPr>
        <w:t>. In order to increase my understanding of the analysis</w:t>
      </w:r>
      <w:r w:rsidR="00ED6888">
        <w:rPr>
          <w:rStyle w:val="markedcontent"/>
          <w:rFonts w:ascii="Times New Roman" w:hAnsi="Times New Roman" w:cs="Times New Roman"/>
          <w:sz w:val="24"/>
          <w:szCs w:val="24"/>
          <w:shd w:val="clear" w:color="auto" w:fill="FFFFFF"/>
        </w:rPr>
        <w:t>, I mad</w:t>
      </w:r>
      <w:r w:rsidR="007D1AA6">
        <w:rPr>
          <w:rStyle w:val="markedcontent"/>
          <w:rFonts w:ascii="Times New Roman" w:hAnsi="Times New Roman" w:cs="Times New Roman"/>
          <w:sz w:val="24"/>
          <w:szCs w:val="24"/>
          <w:shd w:val="clear" w:color="auto" w:fill="FFFFFF"/>
        </w:rPr>
        <w:t xml:space="preserve">e a </w:t>
      </w:r>
      <w:r w:rsidR="00ED6888">
        <w:rPr>
          <w:rStyle w:val="markedcontent"/>
          <w:rFonts w:ascii="Times New Roman" w:hAnsi="Times New Roman" w:cs="Times New Roman"/>
          <w:sz w:val="24"/>
          <w:szCs w:val="24"/>
          <w:shd w:val="clear" w:color="auto" w:fill="FFFFFF"/>
        </w:rPr>
        <w:t xml:space="preserve">map based on the narrative descriptions in the </w:t>
      </w:r>
      <w:r w:rsidR="00D82F33">
        <w:rPr>
          <w:rStyle w:val="markedcontent"/>
          <w:rFonts w:ascii="Times New Roman" w:hAnsi="Times New Roman" w:cs="Times New Roman"/>
          <w:sz w:val="24"/>
          <w:szCs w:val="24"/>
          <w:shd w:val="clear" w:color="auto" w:fill="FFFFFF"/>
        </w:rPr>
        <w:t>W</w:t>
      </w:r>
      <w:r w:rsidR="00ED6888">
        <w:rPr>
          <w:rStyle w:val="markedcontent"/>
          <w:rFonts w:ascii="Times New Roman" w:hAnsi="Times New Roman" w:cs="Times New Roman"/>
          <w:sz w:val="24"/>
          <w:szCs w:val="24"/>
          <w:shd w:val="clear" w:color="auto" w:fill="FFFFFF"/>
        </w:rPr>
        <w:t xml:space="preserve">ildlife </w:t>
      </w:r>
      <w:r w:rsidR="00D82F33">
        <w:rPr>
          <w:rStyle w:val="markedcontent"/>
          <w:rFonts w:ascii="Times New Roman" w:hAnsi="Times New Roman" w:cs="Times New Roman"/>
          <w:sz w:val="24"/>
          <w:szCs w:val="24"/>
          <w:shd w:val="clear" w:color="auto" w:fill="FFFFFF"/>
        </w:rPr>
        <w:t>R</w:t>
      </w:r>
      <w:r w:rsidR="00ED6888">
        <w:rPr>
          <w:rStyle w:val="markedcontent"/>
          <w:rFonts w:ascii="Times New Roman" w:hAnsi="Times New Roman" w:cs="Times New Roman"/>
          <w:sz w:val="24"/>
          <w:szCs w:val="24"/>
          <w:shd w:val="clear" w:color="auto" w:fill="FFFFFF"/>
        </w:rPr>
        <w:t>eport (Figure</w:t>
      </w:r>
      <w:r w:rsidR="00805DC4">
        <w:rPr>
          <w:rStyle w:val="markedcontent"/>
          <w:rFonts w:ascii="Times New Roman" w:hAnsi="Times New Roman" w:cs="Times New Roman"/>
          <w:sz w:val="24"/>
          <w:szCs w:val="24"/>
          <w:shd w:val="clear" w:color="auto" w:fill="FFFFFF"/>
        </w:rPr>
        <w:t xml:space="preserve"> </w:t>
      </w:r>
      <w:r w:rsidR="008E0B18">
        <w:rPr>
          <w:rStyle w:val="markedcontent"/>
          <w:rFonts w:ascii="Times New Roman" w:hAnsi="Times New Roman" w:cs="Times New Roman"/>
          <w:sz w:val="24"/>
          <w:szCs w:val="24"/>
          <w:shd w:val="clear" w:color="auto" w:fill="FFFFFF"/>
        </w:rPr>
        <w:t>3</w:t>
      </w:r>
      <w:r w:rsidR="00805DC4">
        <w:rPr>
          <w:rStyle w:val="markedcontent"/>
          <w:rFonts w:ascii="Times New Roman" w:hAnsi="Times New Roman" w:cs="Times New Roman"/>
          <w:sz w:val="24"/>
          <w:szCs w:val="24"/>
          <w:shd w:val="clear" w:color="auto" w:fill="FFFFFF"/>
        </w:rPr>
        <w:t xml:space="preserve">).  </w:t>
      </w:r>
      <w:r w:rsidR="00E70BA3">
        <w:rPr>
          <w:rStyle w:val="markedcontent"/>
          <w:rFonts w:ascii="Times New Roman" w:hAnsi="Times New Roman" w:cs="Times New Roman"/>
          <w:sz w:val="24"/>
          <w:szCs w:val="24"/>
          <w:shd w:val="clear" w:color="auto" w:fill="FFFFFF"/>
        </w:rPr>
        <w:t xml:space="preserve">Boundaries were most difficult to determine in the North Fork and Elizabeth potential </w:t>
      </w:r>
      <w:r w:rsidR="00A61BFB">
        <w:rPr>
          <w:rStyle w:val="markedcontent"/>
          <w:rFonts w:ascii="Times New Roman" w:hAnsi="Times New Roman" w:cs="Times New Roman"/>
          <w:sz w:val="24"/>
          <w:szCs w:val="24"/>
          <w:shd w:val="clear" w:color="auto" w:fill="FFFFFF"/>
        </w:rPr>
        <w:t>analysis area</w:t>
      </w:r>
      <w:r w:rsidR="00E70BA3">
        <w:rPr>
          <w:rStyle w:val="markedcontent"/>
          <w:rFonts w:ascii="Times New Roman" w:hAnsi="Times New Roman" w:cs="Times New Roman"/>
          <w:sz w:val="24"/>
          <w:szCs w:val="24"/>
          <w:shd w:val="clear" w:color="auto" w:fill="FFFFFF"/>
        </w:rPr>
        <w:t xml:space="preserve">, and the North Fork analysis area displayed on my map was considerably </w:t>
      </w:r>
      <w:r w:rsidR="00E70BA3" w:rsidRPr="0085385A">
        <w:rPr>
          <w:rStyle w:val="markedcontent"/>
          <w:rFonts w:ascii="Times New Roman" w:hAnsi="Times New Roman" w:cs="Times New Roman"/>
          <w:sz w:val="24"/>
          <w:szCs w:val="24"/>
          <w:shd w:val="clear" w:color="auto" w:fill="FFFFFF"/>
        </w:rPr>
        <w:t>larger than the numbers reported by the Forest Service.</w:t>
      </w:r>
    </w:p>
    <w:p w14:paraId="4D987C9C" w14:textId="77777777" w:rsidR="00DE5482" w:rsidRDefault="00A27F76" w:rsidP="0085385A">
      <w:pPr>
        <w:rPr>
          <w:rFonts w:ascii="Times New Roman" w:hAnsi="Times New Roman" w:cs="Times New Roman"/>
          <w:sz w:val="24"/>
          <w:szCs w:val="24"/>
        </w:rPr>
      </w:pPr>
      <w:r w:rsidRPr="0085385A">
        <w:rPr>
          <w:rStyle w:val="markedcontent"/>
          <w:rFonts w:ascii="Times New Roman" w:hAnsi="Times New Roman" w:cs="Times New Roman"/>
          <w:sz w:val="24"/>
          <w:szCs w:val="24"/>
          <w:shd w:val="clear" w:color="auto" w:fill="FFFFFF"/>
        </w:rPr>
        <w:t>The Forest Service has suggested that there is a large amount of unsuitable habitat in at least three of these home ranges</w:t>
      </w:r>
      <w:r w:rsidR="007717C0" w:rsidRPr="0085385A">
        <w:rPr>
          <w:rStyle w:val="markedcontent"/>
          <w:rFonts w:ascii="Times New Roman" w:hAnsi="Times New Roman" w:cs="Times New Roman"/>
          <w:sz w:val="24"/>
          <w:szCs w:val="24"/>
          <w:shd w:val="clear" w:color="auto" w:fill="FFFFFF"/>
        </w:rPr>
        <w:t xml:space="preserve"> (Table 2)</w:t>
      </w:r>
      <w:r w:rsidRPr="0085385A">
        <w:rPr>
          <w:rStyle w:val="markedcontent"/>
          <w:rFonts w:ascii="Times New Roman" w:hAnsi="Times New Roman" w:cs="Times New Roman"/>
          <w:sz w:val="24"/>
          <w:szCs w:val="24"/>
          <w:shd w:val="clear" w:color="auto" w:fill="FFFFFF"/>
        </w:rPr>
        <w:t>, but has not provide</w:t>
      </w:r>
      <w:r w:rsidR="007717C0" w:rsidRPr="0085385A">
        <w:rPr>
          <w:rStyle w:val="markedcontent"/>
          <w:rFonts w:ascii="Times New Roman" w:hAnsi="Times New Roman" w:cs="Times New Roman"/>
          <w:sz w:val="24"/>
          <w:szCs w:val="24"/>
          <w:shd w:val="clear" w:color="auto" w:fill="FFFFFF"/>
        </w:rPr>
        <w:t>d any maps o</w:t>
      </w:r>
      <w:r w:rsidR="003750BD" w:rsidRPr="0085385A">
        <w:rPr>
          <w:rStyle w:val="markedcontent"/>
          <w:rFonts w:ascii="Times New Roman" w:hAnsi="Times New Roman" w:cs="Times New Roman"/>
          <w:sz w:val="24"/>
          <w:szCs w:val="24"/>
          <w:shd w:val="clear" w:color="auto" w:fill="FFFFFF"/>
        </w:rPr>
        <w:t xml:space="preserve">f probable habitat. </w:t>
      </w:r>
      <w:r w:rsidR="0085385A">
        <w:rPr>
          <w:rStyle w:val="markedcontent"/>
          <w:rFonts w:ascii="Times New Roman" w:hAnsi="Times New Roman" w:cs="Times New Roman"/>
          <w:sz w:val="24"/>
          <w:szCs w:val="24"/>
          <w:shd w:val="clear" w:color="auto" w:fill="FFFFFF"/>
        </w:rPr>
        <w:t xml:space="preserve"> It appears that</w:t>
      </w:r>
      <w:r w:rsidR="0085385A" w:rsidRPr="0085385A">
        <w:rPr>
          <w:rFonts w:ascii="Times New Roman" w:hAnsi="Times New Roman" w:cs="Times New Roman"/>
          <w:sz w:val="24"/>
          <w:szCs w:val="24"/>
        </w:rPr>
        <w:t xml:space="preserve"> a Region wide analysis</w:t>
      </w:r>
      <w:r w:rsidR="004962F7">
        <w:rPr>
          <w:rFonts w:ascii="Times New Roman" w:hAnsi="Times New Roman" w:cs="Times New Roman"/>
          <w:sz w:val="24"/>
          <w:szCs w:val="24"/>
        </w:rPr>
        <w:t xml:space="preserve"> </w:t>
      </w:r>
      <w:r w:rsidR="004962F7" w:rsidRPr="0085385A">
        <w:rPr>
          <w:rFonts w:ascii="Times New Roman" w:hAnsi="Times New Roman" w:cs="Times New Roman"/>
          <w:sz w:val="24"/>
          <w:szCs w:val="24"/>
        </w:rPr>
        <w:t>(Sauder 2014)</w:t>
      </w:r>
      <w:r w:rsidR="004962F7">
        <w:rPr>
          <w:rFonts w:ascii="Times New Roman" w:hAnsi="Times New Roman" w:cs="Times New Roman"/>
          <w:sz w:val="24"/>
          <w:szCs w:val="24"/>
        </w:rPr>
        <w:t xml:space="preserve"> </w:t>
      </w:r>
      <w:r w:rsidR="0085385A" w:rsidRPr="0085385A">
        <w:rPr>
          <w:rFonts w:ascii="Times New Roman" w:hAnsi="Times New Roman" w:cs="Times New Roman"/>
          <w:sz w:val="24"/>
          <w:szCs w:val="24"/>
        </w:rPr>
        <w:t xml:space="preserve">has been used to </w:t>
      </w:r>
      <w:r w:rsidR="00C90618">
        <w:rPr>
          <w:rFonts w:ascii="Times New Roman" w:hAnsi="Times New Roman" w:cs="Times New Roman"/>
          <w:sz w:val="24"/>
          <w:szCs w:val="24"/>
        </w:rPr>
        <w:t>identify</w:t>
      </w:r>
      <w:r w:rsidR="0085385A" w:rsidRPr="0085385A">
        <w:rPr>
          <w:rFonts w:ascii="Times New Roman" w:hAnsi="Times New Roman" w:cs="Times New Roman"/>
          <w:sz w:val="24"/>
          <w:szCs w:val="24"/>
        </w:rPr>
        <w:t xml:space="preserve"> probable fisher habitat</w:t>
      </w:r>
      <w:r w:rsidR="004962F7">
        <w:rPr>
          <w:rFonts w:ascii="Times New Roman" w:hAnsi="Times New Roman" w:cs="Times New Roman"/>
          <w:sz w:val="24"/>
          <w:szCs w:val="24"/>
        </w:rPr>
        <w:t>.</w:t>
      </w:r>
      <w:r w:rsidR="00471BE6">
        <w:rPr>
          <w:rFonts w:ascii="Times New Roman" w:hAnsi="Times New Roman" w:cs="Times New Roman"/>
          <w:sz w:val="24"/>
          <w:szCs w:val="24"/>
        </w:rPr>
        <w:t xml:space="preserve">  </w:t>
      </w:r>
      <w:r w:rsidR="0085385A" w:rsidRPr="0085385A">
        <w:rPr>
          <w:rFonts w:ascii="Times New Roman" w:hAnsi="Times New Roman" w:cs="Times New Roman"/>
          <w:sz w:val="24"/>
          <w:szCs w:val="24"/>
        </w:rPr>
        <w:t xml:space="preserve">The (Sauder 2014) analysis is a broad-brush approach using remotely sensed data that is trying to identify probable habitat availability at a scale of several million acres. The Sauder (2014) analysis does not consider the impact of habitat fragmentation which is a critical component of habitat use at the home range scale. </w:t>
      </w:r>
    </w:p>
    <w:p w14:paraId="3DC94463" w14:textId="77777777" w:rsidR="00DE5482" w:rsidRDefault="00DE5482" w:rsidP="0085385A">
      <w:pPr>
        <w:rPr>
          <w:rFonts w:ascii="Times New Roman" w:hAnsi="Times New Roman" w:cs="Times New Roman"/>
          <w:sz w:val="24"/>
          <w:szCs w:val="24"/>
        </w:rPr>
      </w:pPr>
    </w:p>
    <w:p w14:paraId="6F984E35" w14:textId="77777777" w:rsidR="009F76C4" w:rsidRDefault="009F76C4">
      <w:pPr>
        <w:rPr>
          <w:rFonts w:ascii="Times New Roman" w:hAnsi="Times New Roman" w:cs="Times New Roman"/>
          <w:b/>
          <w:bCs/>
          <w:sz w:val="24"/>
          <w:szCs w:val="24"/>
        </w:rPr>
      </w:pPr>
      <w:r>
        <w:rPr>
          <w:rFonts w:ascii="Times New Roman" w:hAnsi="Times New Roman" w:cs="Times New Roman"/>
          <w:b/>
          <w:bCs/>
          <w:sz w:val="24"/>
          <w:szCs w:val="24"/>
        </w:rPr>
        <w:br w:type="page"/>
      </w:r>
    </w:p>
    <w:p w14:paraId="62E8101D" w14:textId="186180D6" w:rsidR="00DE5482" w:rsidRPr="00DE5482" w:rsidRDefault="00DE5482" w:rsidP="0085385A">
      <w:pPr>
        <w:rPr>
          <w:rFonts w:ascii="Times New Roman" w:hAnsi="Times New Roman" w:cs="Times New Roman"/>
          <w:b/>
          <w:bCs/>
          <w:sz w:val="24"/>
          <w:szCs w:val="24"/>
        </w:rPr>
      </w:pPr>
      <w:r w:rsidRPr="00DE5482">
        <w:rPr>
          <w:rFonts w:ascii="Times New Roman" w:hAnsi="Times New Roman" w:cs="Times New Roman"/>
          <w:b/>
          <w:bCs/>
          <w:sz w:val="24"/>
          <w:szCs w:val="24"/>
        </w:rPr>
        <w:lastRenderedPageBreak/>
        <w:t xml:space="preserve">Figure 3 – </w:t>
      </w:r>
      <w:r w:rsidR="009B00EA">
        <w:rPr>
          <w:rFonts w:ascii="Times New Roman" w:hAnsi="Times New Roman" w:cs="Times New Roman"/>
          <w:b/>
          <w:bCs/>
          <w:sz w:val="24"/>
          <w:szCs w:val="24"/>
        </w:rPr>
        <w:t xml:space="preserve">Project Boundary (Yellow) and </w:t>
      </w:r>
      <w:r w:rsidRPr="00DE5482">
        <w:rPr>
          <w:rFonts w:ascii="Times New Roman" w:hAnsi="Times New Roman" w:cs="Times New Roman"/>
          <w:b/>
          <w:bCs/>
          <w:sz w:val="24"/>
          <w:szCs w:val="24"/>
        </w:rPr>
        <w:t xml:space="preserve">Approximate Boundaries of the Fisher Analysis Areas </w:t>
      </w:r>
      <w:r w:rsidR="009B00EA">
        <w:rPr>
          <w:rFonts w:ascii="Times New Roman" w:hAnsi="Times New Roman" w:cs="Times New Roman"/>
          <w:b/>
          <w:bCs/>
          <w:sz w:val="24"/>
          <w:szCs w:val="24"/>
        </w:rPr>
        <w:t xml:space="preserve">(Blue) </w:t>
      </w:r>
      <w:r w:rsidRPr="00DE5482">
        <w:rPr>
          <w:rFonts w:ascii="Times New Roman" w:hAnsi="Times New Roman" w:cs="Times New Roman"/>
          <w:b/>
          <w:bCs/>
          <w:sz w:val="24"/>
          <w:szCs w:val="24"/>
        </w:rPr>
        <w:t>Utilized by the Forest Service (Boundaries are based on Narrative Descriptions in the Wildlife Report</w:t>
      </w:r>
      <w:r w:rsidR="00A61BFB">
        <w:rPr>
          <w:rFonts w:ascii="Times New Roman" w:hAnsi="Times New Roman" w:cs="Times New Roman"/>
          <w:b/>
          <w:bCs/>
          <w:sz w:val="24"/>
          <w:szCs w:val="24"/>
        </w:rPr>
        <w:t>)</w:t>
      </w:r>
    </w:p>
    <w:p w14:paraId="00D44A32" w14:textId="5CDD193E" w:rsidR="00C90618" w:rsidRDefault="00DE5482" w:rsidP="0085385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1E45F4" wp14:editId="297614D6">
            <wp:extent cx="5943600" cy="4561973"/>
            <wp:effectExtent l="0" t="0" r="0" b="0"/>
            <wp:docPr id="10281533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153378"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4561973"/>
                    </a:xfrm>
                    <a:prstGeom prst="rect">
                      <a:avLst/>
                    </a:prstGeom>
                  </pic:spPr>
                </pic:pic>
              </a:graphicData>
            </a:graphic>
          </wp:inline>
        </w:drawing>
      </w:r>
      <w:r w:rsidR="0085385A" w:rsidRPr="0085385A">
        <w:rPr>
          <w:rFonts w:ascii="Times New Roman" w:hAnsi="Times New Roman" w:cs="Times New Roman"/>
          <w:sz w:val="24"/>
          <w:szCs w:val="24"/>
        </w:rPr>
        <w:t xml:space="preserve"> </w:t>
      </w:r>
    </w:p>
    <w:p w14:paraId="484AA512" w14:textId="68A95CF7" w:rsidR="0085385A" w:rsidRPr="0085385A" w:rsidRDefault="0085385A" w:rsidP="0085385A">
      <w:pPr>
        <w:rPr>
          <w:rFonts w:ascii="Times New Roman" w:hAnsi="Times New Roman" w:cs="Times New Roman"/>
          <w:sz w:val="24"/>
          <w:szCs w:val="24"/>
          <w:shd w:val="clear" w:color="auto" w:fill="FFFFFF"/>
        </w:rPr>
      </w:pPr>
      <w:r w:rsidRPr="0085385A">
        <w:rPr>
          <w:rFonts w:ascii="Times New Roman" w:hAnsi="Times New Roman" w:cs="Times New Roman"/>
          <w:sz w:val="24"/>
          <w:szCs w:val="24"/>
        </w:rPr>
        <w:t xml:space="preserve">Both the fisher and pine marten are known to avoid highly fragmented landscapes despite the fact that some older forests may still be present.  Any natural open area or recent timber harvest area that is included in the regional coverages will not be displayed as probable habitat in the computer-based queries that generate these maps. </w:t>
      </w:r>
      <w:r w:rsidR="00D82F33">
        <w:rPr>
          <w:rFonts w:ascii="Times New Roman" w:hAnsi="Times New Roman" w:cs="Times New Roman"/>
          <w:sz w:val="24"/>
          <w:szCs w:val="24"/>
        </w:rPr>
        <w:t xml:space="preserve">Younger stands that have the potential to develop into suitable habitat, may also be considered </w:t>
      </w:r>
      <w:r w:rsidR="006226F0">
        <w:rPr>
          <w:rFonts w:ascii="Times New Roman" w:hAnsi="Times New Roman" w:cs="Times New Roman"/>
          <w:sz w:val="24"/>
          <w:szCs w:val="24"/>
        </w:rPr>
        <w:t>un</w:t>
      </w:r>
      <w:r w:rsidR="00D82F33">
        <w:rPr>
          <w:rFonts w:ascii="Times New Roman" w:hAnsi="Times New Roman" w:cs="Times New Roman"/>
          <w:sz w:val="24"/>
          <w:szCs w:val="24"/>
        </w:rPr>
        <w:t>suitable based on the Sauder 201</w:t>
      </w:r>
      <w:r w:rsidR="00A80206">
        <w:rPr>
          <w:rFonts w:ascii="Times New Roman" w:hAnsi="Times New Roman" w:cs="Times New Roman"/>
          <w:sz w:val="24"/>
          <w:szCs w:val="24"/>
        </w:rPr>
        <w:t xml:space="preserve">4 analysis.  </w:t>
      </w:r>
      <w:r w:rsidRPr="0085385A">
        <w:rPr>
          <w:rFonts w:ascii="Times New Roman" w:hAnsi="Times New Roman" w:cs="Times New Roman"/>
          <w:sz w:val="24"/>
          <w:szCs w:val="24"/>
        </w:rPr>
        <w:t>Such maps do not ac</w:t>
      </w:r>
      <w:r w:rsidR="00471BE6">
        <w:rPr>
          <w:rFonts w:ascii="Times New Roman" w:hAnsi="Times New Roman" w:cs="Times New Roman"/>
          <w:sz w:val="24"/>
          <w:szCs w:val="24"/>
        </w:rPr>
        <w:t>curately</w:t>
      </w:r>
      <w:r w:rsidRPr="0085385A">
        <w:rPr>
          <w:rFonts w:ascii="Times New Roman" w:hAnsi="Times New Roman" w:cs="Times New Roman"/>
          <w:sz w:val="24"/>
          <w:szCs w:val="24"/>
        </w:rPr>
        <w:t xml:space="preserve"> reflect the on the ground dilemmas that fishers face when using the</w:t>
      </w:r>
      <w:r w:rsidR="00C90618">
        <w:rPr>
          <w:rFonts w:ascii="Times New Roman" w:hAnsi="Times New Roman" w:cs="Times New Roman"/>
          <w:sz w:val="24"/>
          <w:szCs w:val="24"/>
        </w:rPr>
        <w:t>ir selected home range</w:t>
      </w:r>
      <w:r w:rsidRPr="0085385A">
        <w:rPr>
          <w:rFonts w:ascii="Times New Roman" w:hAnsi="Times New Roman" w:cs="Times New Roman"/>
          <w:sz w:val="24"/>
          <w:szCs w:val="24"/>
        </w:rPr>
        <w:t>.</w:t>
      </w:r>
      <w:r w:rsidR="004962F7">
        <w:rPr>
          <w:rFonts w:ascii="Times New Roman" w:hAnsi="Times New Roman" w:cs="Times New Roman"/>
          <w:sz w:val="24"/>
          <w:szCs w:val="24"/>
        </w:rPr>
        <w:t xml:space="preserve">  </w:t>
      </w:r>
      <w:r w:rsidRPr="0085385A">
        <w:rPr>
          <w:rFonts w:ascii="Times New Roman" w:hAnsi="Times New Roman" w:cs="Times New Roman"/>
          <w:sz w:val="24"/>
          <w:szCs w:val="24"/>
        </w:rPr>
        <w:t xml:space="preserve">While they can avoid large open areas like the open slopes along the </w:t>
      </w:r>
      <w:r w:rsidR="004962F7">
        <w:rPr>
          <w:rFonts w:ascii="Times New Roman" w:hAnsi="Times New Roman" w:cs="Times New Roman"/>
          <w:sz w:val="24"/>
          <w:szCs w:val="24"/>
        </w:rPr>
        <w:t xml:space="preserve">North Fork of the </w:t>
      </w:r>
      <w:r w:rsidRPr="0085385A">
        <w:rPr>
          <w:rFonts w:ascii="Times New Roman" w:hAnsi="Times New Roman" w:cs="Times New Roman"/>
          <w:sz w:val="24"/>
          <w:szCs w:val="24"/>
        </w:rPr>
        <w:t>Clearwater River</w:t>
      </w:r>
      <w:r w:rsidR="00C90618">
        <w:rPr>
          <w:rFonts w:ascii="Times New Roman" w:hAnsi="Times New Roman" w:cs="Times New Roman"/>
          <w:sz w:val="24"/>
          <w:szCs w:val="24"/>
        </w:rPr>
        <w:t xml:space="preserve"> or the upper elevations of Lake Creek</w:t>
      </w:r>
      <w:r w:rsidR="00A61BFB">
        <w:rPr>
          <w:rFonts w:ascii="Times New Roman" w:hAnsi="Times New Roman" w:cs="Times New Roman"/>
          <w:sz w:val="24"/>
          <w:szCs w:val="24"/>
        </w:rPr>
        <w:t xml:space="preserve"> (Displayed as Unsuitable in Figure 3)</w:t>
      </w:r>
      <w:r w:rsidRPr="0085385A">
        <w:rPr>
          <w:rFonts w:ascii="Times New Roman" w:hAnsi="Times New Roman" w:cs="Times New Roman"/>
          <w:sz w:val="24"/>
          <w:szCs w:val="24"/>
        </w:rPr>
        <w:t xml:space="preserve">, they cannot fly from one habitat patch to another in their selected home range.  </w:t>
      </w:r>
    </w:p>
    <w:p w14:paraId="39ECCD47" w14:textId="1C5A3BF9" w:rsidR="0085385A" w:rsidRPr="0085385A" w:rsidRDefault="00C90618" w:rsidP="0085385A">
      <w:pPr>
        <w:pBdr>
          <w:top w:val="nil"/>
          <w:left w:val="nil"/>
          <w:bottom w:val="nil"/>
          <w:right w:val="nil"/>
          <w:between w:val="nil"/>
        </w:pBdr>
        <w:spacing w:line="240" w:lineRule="auto"/>
        <w:rPr>
          <w:rFonts w:ascii="Times New Roman" w:hAnsi="Times New Roman" w:cs="Times New Roman"/>
          <w:sz w:val="24"/>
          <w:szCs w:val="24"/>
        </w:rPr>
      </w:pPr>
      <w:r>
        <w:rPr>
          <w:rFonts w:ascii="Times New Roman" w:hAnsi="Times New Roman" w:cs="Times New Roman"/>
          <w:sz w:val="24"/>
          <w:szCs w:val="24"/>
        </w:rPr>
        <w:t xml:space="preserve">The project biologist appears to have </w:t>
      </w:r>
      <w:r w:rsidR="0085385A" w:rsidRPr="0085385A">
        <w:rPr>
          <w:rFonts w:ascii="Times New Roman" w:hAnsi="Times New Roman" w:cs="Times New Roman"/>
          <w:sz w:val="24"/>
          <w:szCs w:val="24"/>
        </w:rPr>
        <w:t>excluded interspersed open areas</w:t>
      </w:r>
      <w:r w:rsidR="00A80206">
        <w:rPr>
          <w:rFonts w:ascii="Times New Roman" w:hAnsi="Times New Roman" w:cs="Times New Roman"/>
          <w:sz w:val="24"/>
          <w:szCs w:val="24"/>
        </w:rPr>
        <w:t xml:space="preserve"> and immature stands</w:t>
      </w:r>
      <w:r w:rsidR="0085385A" w:rsidRPr="0085385A">
        <w:rPr>
          <w:rFonts w:ascii="Times New Roman" w:hAnsi="Times New Roman" w:cs="Times New Roman"/>
          <w:sz w:val="24"/>
          <w:szCs w:val="24"/>
        </w:rPr>
        <w:t xml:space="preserve"> from the landscape prior to </w:t>
      </w:r>
      <w:r>
        <w:rPr>
          <w:rFonts w:ascii="Times New Roman" w:hAnsi="Times New Roman" w:cs="Times New Roman"/>
          <w:sz w:val="24"/>
          <w:szCs w:val="24"/>
        </w:rPr>
        <w:t>her</w:t>
      </w:r>
      <w:r w:rsidR="0085385A" w:rsidRPr="0085385A">
        <w:rPr>
          <w:rFonts w:ascii="Times New Roman" w:hAnsi="Times New Roman" w:cs="Times New Roman"/>
          <w:sz w:val="24"/>
          <w:szCs w:val="24"/>
        </w:rPr>
        <w:t xml:space="preserve"> analysis and then made all calculations of habitat </w:t>
      </w:r>
      <w:r w:rsidR="004962F7">
        <w:rPr>
          <w:rFonts w:ascii="Times New Roman" w:hAnsi="Times New Roman" w:cs="Times New Roman"/>
          <w:sz w:val="24"/>
          <w:szCs w:val="24"/>
        </w:rPr>
        <w:t xml:space="preserve">conditions such as the amount of mature forest and open area </w:t>
      </w:r>
      <w:r w:rsidR="0085385A" w:rsidRPr="0085385A">
        <w:rPr>
          <w:rFonts w:ascii="Times New Roman" w:hAnsi="Times New Roman" w:cs="Times New Roman"/>
          <w:sz w:val="24"/>
          <w:szCs w:val="24"/>
        </w:rPr>
        <w:t xml:space="preserve">based on the reduced acreage </w:t>
      </w:r>
      <w:r w:rsidR="00471BE6">
        <w:rPr>
          <w:rFonts w:ascii="Times New Roman" w:hAnsi="Times New Roman" w:cs="Times New Roman"/>
          <w:sz w:val="24"/>
          <w:szCs w:val="24"/>
        </w:rPr>
        <w:t>of probable habitat.</w:t>
      </w:r>
      <w:r w:rsidR="002F49DD">
        <w:rPr>
          <w:rFonts w:ascii="Times New Roman" w:hAnsi="Times New Roman" w:cs="Times New Roman"/>
          <w:sz w:val="24"/>
          <w:szCs w:val="24"/>
        </w:rPr>
        <w:t xml:space="preserve">  </w:t>
      </w:r>
      <w:r w:rsidR="0085385A" w:rsidRPr="0085385A">
        <w:rPr>
          <w:rFonts w:ascii="Times New Roman" w:hAnsi="Times New Roman" w:cs="Times New Roman"/>
          <w:sz w:val="24"/>
          <w:szCs w:val="24"/>
        </w:rPr>
        <w:t>Probable habitat should have included the entire landscape where fishers were likely to be found</w:t>
      </w:r>
      <w:r w:rsidR="00A80206">
        <w:rPr>
          <w:rFonts w:ascii="Times New Roman" w:hAnsi="Times New Roman" w:cs="Times New Roman"/>
          <w:sz w:val="24"/>
          <w:szCs w:val="24"/>
        </w:rPr>
        <w:t>. D</w:t>
      </w:r>
      <w:r w:rsidR="0085385A" w:rsidRPr="0085385A">
        <w:rPr>
          <w:rFonts w:ascii="Times New Roman" w:hAnsi="Times New Roman" w:cs="Times New Roman"/>
          <w:sz w:val="24"/>
          <w:szCs w:val="24"/>
        </w:rPr>
        <w:t>isplaying probable habitat as a series of disconnected patches and eliminating interspersed open</w:t>
      </w:r>
      <w:r w:rsidR="00A80206">
        <w:rPr>
          <w:rFonts w:ascii="Times New Roman" w:hAnsi="Times New Roman" w:cs="Times New Roman"/>
          <w:sz w:val="24"/>
          <w:szCs w:val="24"/>
        </w:rPr>
        <w:t xml:space="preserve"> </w:t>
      </w:r>
      <w:r w:rsidR="00A80206">
        <w:rPr>
          <w:rFonts w:ascii="Times New Roman" w:hAnsi="Times New Roman" w:cs="Times New Roman"/>
          <w:sz w:val="24"/>
          <w:szCs w:val="24"/>
        </w:rPr>
        <w:lastRenderedPageBreak/>
        <w:t>stands or younger forests</w:t>
      </w:r>
      <w:r w:rsidR="0085385A" w:rsidRPr="0085385A">
        <w:rPr>
          <w:rFonts w:ascii="Times New Roman" w:hAnsi="Times New Roman" w:cs="Times New Roman"/>
          <w:sz w:val="24"/>
          <w:szCs w:val="24"/>
        </w:rPr>
        <w:t xml:space="preserve"> from the analysis upfront</w:t>
      </w:r>
      <w:r w:rsidR="00F26CDB">
        <w:rPr>
          <w:rFonts w:ascii="Times New Roman" w:hAnsi="Times New Roman" w:cs="Times New Roman"/>
          <w:sz w:val="24"/>
          <w:szCs w:val="24"/>
        </w:rPr>
        <w:t>,</w:t>
      </w:r>
      <w:r w:rsidR="0085385A" w:rsidRPr="0085385A">
        <w:rPr>
          <w:rFonts w:ascii="Times New Roman" w:hAnsi="Times New Roman" w:cs="Times New Roman"/>
          <w:sz w:val="24"/>
          <w:szCs w:val="24"/>
        </w:rPr>
        <w:t xml:space="preserve"> </w:t>
      </w:r>
      <w:r w:rsidR="00A80206">
        <w:rPr>
          <w:rFonts w:ascii="Times New Roman" w:hAnsi="Times New Roman" w:cs="Times New Roman"/>
          <w:sz w:val="24"/>
          <w:szCs w:val="24"/>
        </w:rPr>
        <w:t xml:space="preserve">as was apparently done by </w:t>
      </w:r>
      <w:r w:rsidR="0085385A" w:rsidRPr="0085385A">
        <w:rPr>
          <w:rFonts w:ascii="Times New Roman" w:hAnsi="Times New Roman" w:cs="Times New Roman"/>
          <w:sz w:val="24"/>
          <w:szCs w:val="24"/>
        </w:rPr>
        <w:t xml:space="preserve">the Forest Service biologist </w:t>
      </w:r>
      <w:r w:rsidR="004962F7">
        <w:rPr>
          <w:rFonts w:ascii="Times New Roman" w:hAnsi="Times New Roman" w:cs="Times New Roman"/>
          <w:sz w:val="24"/>
          <w:szCs w:val="24"/>
        </w:rPr>
        <w:t xml:space="preserve">is </w:t>
      </w:r>
      <w:r w:rsidR="0085385A" w:rsidRPr="0085385A">
        <w:rPr>
          <w:rFonts w:ascii="Times New Roman" w:hAnsi="Times New Roman" w:cs="Times New Roman"/>
          <w:sz w:val="24"/>
          <w:szCs w:val="24"/>
        </w:rPr>
        <w:t xml:space="preserve">not using the appropriate recommendations from the (Sauder and Rachlow 2014) publication.  The analysis does not reflect how fishers must actually utilize the landscape.  </w:t>
      </w:r>
      <w:r w:rsidR="00A80206">
        <w:rPr>
          <w:rFonts w:ascii="Times New Roman" w:hAnsi="Times New Roman" w:cs="Times New Roman"/>
          <w:sz w:val="24"/>
          <w:szCs w:val="24"/>
        </w:rPr>
        <w:t>I</w:t>
      </w:r>
      <w:r w:rsidR="0085385A" w:rsidRPr="0085385A">
        <w:rPr>
          <w:rFonts w:ascii="Times New Roman" w:hAnsi="Times New Roman" w:cs="Times New Roman"/>
          <w:sz w:val="24"/>
          <w:szCs w:val="24"/>
        </w:rPr>
        <w:t>nterspersed openings are the openings that Sauder and Rachlow (2014) discuss in their publication and I have no idea why the Forest Service biologist ha</w:t>
      </w:r>
      <w:r w:rsidR="00471BE6">
        <w:rPr>
          <w:rFonts w:ascii="Times New Roman" w:hAnsi="Times New Roman" w:cs="Times New Roman"/>
          <w:sz w:val="24"/>
          <w:szCs w:val="24"/>
        </w:rPr>
        <w:t>s</w:t>
      </w:r>
      <w:r w:rsidR="0085385A" w:rsidRPr="0085385A">
        <w:rPr>
          <w:rFonts w:ascii="Times New Roman" w:hAnsi="Times New Roman" w:cs="Times New Roman"/>
          <w:sz w:val="24"/>
          <w:szCs w:val="24"/>
        </w:rPr>
        <w:t xml:space="preserve"> eliminated these areas from </w:t>
      </w:r>
      <w:r w:rsidR="004962F7">
        <w:rPr>
          <w:rFonts w:ascii="Times New Roman" w:hAnsi="Times New Roman" w:cs="Times New Roman"/>
          <w:sz w:val="24"/>
          <w:szCs w:val="24"/>
        </w:rPr>
        <w:t>her</w:t>
      </w:r>
      <w:r w:rsidR="0085385A" w:rsidRPr="0085385A">
        <w:rPr>
          <w:rFonts w:ascii="Times New Roman" w:hAnsi="Times New Roman" w:cs="Times New Roman"/>
          <w:sz w:val="24"/>
          <w:szCs w:val="24"/>
        </w:rPr>
        <w:t xml:space="preserve"> analysis.</w:t>
      </w:r>
    </w:p>
    <w:p w14:paraId="7F2409A0" w14:textId="1D9B66E8" w:rsidR="00A27F76" w:rsidRDefault="00A80206" w:rsidP="00B3454D">
      <w:pPr>
        <w:rPr>
          <w:rStyle w:val="markedcontent"/>
          <w:rFonts w:ascii="Times New Roman" w:hAnsi="Times New Roman" w:cs="Times New Roman"/>
          <w:sz w:val="24"/>
          <w:szCs w:val="24"/>
          <w:shd w:val="clear" w:color="auto" w:fill="FFFFFF"/>
        </w:rPr>
      </w:pPr>
      <w:r>
        <w:rPr>
          <w:rStyle w:val="markedcontent"/>
          <w:rFonts w:ascii="Times New Roman" w:hAnsi="Times New Roman" w:cs="Times New Roman"/>
          <w:sz w:val="24"/>
          <w:szCs w:val="24"/>
          <w:shd w:val="clear" w:color="auto" w:fill="FFFFFF"/>
        </w:rPr>
        <w:t>Based on the Forest Service analysis</w:t>
      </w:r>
      <w:r w:rsidR="007717C0" w:rsidRPr="0085385A">
        <w:rPr>
          <w:rStyle w:val="markedcontent"/>
          <w:rFonts w:ascii="Times New Roman" w:hAnsi="Times New Roman" w:cs="Times New Roman"/>
          <w:sz w:val="24"/>
          <w:szCs w:val="24"/>
          <w:shd w:val="clear" w:color="auto" w:fill="FFFFFF"/>
        </w:rPr>
        <w:t>, at least</w:t>
      </w:r>
      <w:r w:rsidR="001E237B" w:rsidRPr="0085385A">
        <w:rPr>
          <w:rStyle w:val="markedcontent"/>
          <w:rFonts w:ascii="Times New Roman" w:hAnsi="Times New Roman" w:cs="Times New Roman"/>
          <w:sz w:val="24"/>
          <w:szCs w:val="24"/>
          <w:shd w:val="clear" w:color="auto" w:fill="FFFFFF"/>
        </w:rPr>
        <w:t xml:space="preserve"> three of the</w:t>
      </w:r>
      <w:r w:rsidR="007717C0" w:rsidRPr="0085385A">
        <w:rPr>
          <w:rStyle w:val="markedcontent"/>
          <w:rFonts w:ascii="Times New Roman" w:hAnsi="Times New Roman" w:cs="Times New Roman"/>
          <w:sz w:val="24"/>
          <w:szCs w:val="24"/>
          <w:shd w:val="clear" w:color="auto" w:fill="FFFFFF"/>
        </w:rPr>
        <w:t xml:space="preserve"> five of the analyzed home ranges would be incapable of supporting a female fisher.  </w:t>
      </w:r>
      <w:r w:rsidR="00F06D94" w:rsidRPr="0085385A">
        <w:rPr>
          <w:rStyle w:val="markedcontent"/>
          <w:rFonts w:ascii="Times New Roman" w:hAnsi="Times New Roman" w:cs="Times New Roman"/>
          <w:sz w:val="24"/>
          <w:szCs w:val="24"/>
          <w:shd w:val="clear" w:color="auto" w:fill="FFFFFF"/>
        </w:rPr>
        <w:t>According to the Forest Service analysis</w:t>
      </w:r>
      <w:r w:rsidR="00AF7650">
        <w:rPr>
          <w:rStyle w:val="markedcontent"/>
          <w:rFonts w:ascii="Times New Roman" w:hAnsi="Times New Roman" w:cs="Times New Roman"/>
          <w:sz w:val="24"/>
          <w:szCs w:val="24"/>
          <w:shd w:val="clear" w:color="auto" w:fill="FFFFFF"/>
        </w:rPr>
        <w:t xml:space="preserve"> (Table 2)</w:t>
      </w:r>
      <w:r w:rsidR="00F06D94" w:rsidRPr="0085385A">
        <w:rPr>
          <w:rStyle w:val="markedcontent"/>
          <w:rFonts w:ascii="Times New Roman" w:hAnsi="Times New Roman" w:cs="Times New Roman"/>
          <w:sz w:val="24"/>
          <w:szCs w:val="24"/>
          <w:shd w:val="clear" w:color="auto" w:fill="FFFFFF"/>
        </w:rPr>
        <w:t>, the Deadwood Analysis area would have 8,731-acres of suitable habitat, the Lake analysis are would have 7,074-acres of suitable habitat and the North Fork would have 5,094 acres of suitable habitat.</w:t>
      </w:r>
      <w:r w:rsidR="004962F7">
        <w:rPr>
          <w:rStyle w:val="markedcontent"/>
          <w:rFonts w:ascii="Times New Roman" w:hAnsi="Times New Roman" w:cs="Times New Roman"/>
          <w:sz w:val="24"/>
          <w:szCs w:val="24"/>
          <w:shd w:val="clear" w:color="auto" w:fill="FFFFFF"/>
        </w:rPr>
        <w:t xml:space="preserve">  Th</w:t>
      </w:r>
      <w:r w:rsidR="00471BE6">
        <w:rPr>
          <w:rStyle w:val="markedcontent"/>
          <w:rFonts w:ascii="Times New Roman" w:hAnsi="Times New Roman" w:cs="Times New Roman"/>
          <w:sz w:val="24"/>
          <w:szCs w:val="24"/>
          <w:shd w:val="clear" w:color="auto" w:fill="FFFFFF"/>
        </w:rPr>
        <w:t xml:space="preserve">ese acreages are </w:t>
      </w:r>
      <w:r w:rsidR="004962F7">
        <w:rPr>
          <w:rStyle w:val="markedcontent"/>
          <w:rFonts w:ascii="Times New Roman" w:hAnsi="Times New Roman" w:cs="Times New Roman"/>
          <w:sz w:val="24"/>
          <w:szCs w:val="24"/>
          <w:shd w:val="clear" w:color="auto" w:fill="FFFFFF"/>
        </w:rPr>
        <w:t>well belo</w:t>
      </w:r>
      <w:r w:rsidR="00471BE6">
        <w:rPr>
          <w:rStyle w:val="markedcontent"/>
          <w:rFonts w:ascii="Times New Roman" w:hAnsi="Times New Roman" w:cs="Times New Roman"/>
          <w:sz w:val="24"/>
          <w:szCs w:val="24"/>
          <w:shd w:val="clear" w:color="auto" w:fill="FFFFFF"/>
        </w:rPr>
        <w:t>w the habitat requirements of a female fisher.</w:t>
      </w:r>
    </w:p>
    <w:p w14:paraId="4403E52E" w14:textId="77777777" w:rsidR="00AF7650" w:rsidRPr="00DF1151" w:rsidRDefault="00AF7650" w:rsidP="00AF7650">
      <w:pPr>
        <w:rPr>
          <w:rFonts w:ascii="Times New Roman" w:eastAsia="Calibri" w:hAnsi="Times New Roman" w:cs="Times New Roman"/>
          <w:b/>
          <w:bCs/>
          <w:sz w:val="24"/>
          <w:szCs w:val="24"/>
        </w:rPr>
      </w:pPr>
      <w:r w:rsidRPr="00DF1151">
        <w:rPr>
          <w:rFonts w:ascii="Times New Roman" w:eastAsia="Calibri" w:hAnsi="Times New Roman" w:cs="Times New Roman"/>
          <w:b/>
          <w:bCs/>
          <w:sz w:val="24"/>
          <w:szCs w:val="24"/>
        </w:rPr>
        <w:t>Table 2 - Forest Service Fisher Analysis</w:t>
      </w:r>
      <w:r>
        <w:rPr>
          <w:rFonts w:ascii="Times New Roman" w:eastAsia="Calibri" w:hAnsi="Times New Roman" w:cs="Times New Roman"/>
          <w:b/>
          <w:bCs/>
          <w:sz w:val="24"/>
          <w:szCs w:val="24"/>
        </w:rPr>
        <w:t xml:space="preserve"> (Existing Condition)</w:t>
      </w:r>
    </w:p>
    <w:tbl>
      <w:tblPr>
        <w:tblStyle w:val="TableGrid"/>
        <w:tblW w:w="0" w:type="auto"/>
        <w:tblLook w:val="04A0" w:firstRow="1" w:lastRow="0" w:firstColumn="1" w:lastColumn="0" w:noHBand="0" w:noVBand="1"/>
      </w:tblPr>
      <w:tblGrid>
        <w:gridCol w:w="1448"/>
        <w:gridCol w:w="1129"/>
        <w:gridCol w:w="1150"/>
        <w:gridCol w:w="1139"/>
        <w:gridCol w:w="1209"/>
        <w:gridCol w:w="953"/>
        <w:gridCol w:w="954"/>
        <w:gridCol w:w="1368"/>
      </w:tblGrid>
      <w:tr w:rsidR="00AF7650" w:rsidRPr="00131756" w14:paraId="6D74217F" w14:textId="77777777" w:rsidTr="006F76C9">
        <w:trPr>
          <w:trHeight w:val="872"/>
        </w:trPr>
        <w:tc>
          <w:tcPr>
            <w:tcW w:w="1448" w:type="dxa"/>
          </w:tcPr>
          <w:p w14:paraId="647BF0AC" w14:textId="77777777" w:rsidR="00AF7650" w:rsidRPr="00131756" w:rsidRDefault="00AF7650" w:rsidP="006F76C9">
            <w:pPr>
              <w:rPr>
                <w:rFonts w:ascii="Times New Roman" w:eastAsia="Calibri" w:hAnsi="Times New Roman" w:cs="Times New Roman"/>
                <w:sz w:val="24"/>
                <w:szCs w:val="24"/>
              </w:rPr>
            </w:pPr>
            <w:bookmarkStart w:id="2" w:name="_Hlk95401284"/>
            <w:r w:rsidRPr="00131756">
              <w:rPr>
                <w:rFonts w:ascii="Times New Roman" w:eastAsia="Calibri" w:hAnsi="Times New Roman" w:cs="Times New Roman"/>
                <w:sz w:val="24"/>
                <w:szCs w:val="24"/>
              </w:rPr>
              <w:t>Fisher Potential Home Range</w:t>
            </w:r>
          </w:p>
        </w:tc>
        <w:tc>
          <w:tcPr>
            <w:tcW w:w="1129" w:type="dxa"/>
          </w:tcPr>
          <w:p w14:paraId="01CCE3F5"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 xml:space="preserve"> Acres</w:t>
            </w:r>
          </w:p>
        </w:tc>
        <w:tc>
          <w:tcPr>
            <w:tcW w:w="1150" w:type="dxa"/>
          </w:tcPr>
          <w:p w14:paraId="2C51EFF1"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Mature Forest (Ac)</w:t>
            </w:r>
          </w:p>
        </w:tc>
        <w:tc>
          <w:tcPr>
            <w:tcW w:w="1139" w:type="dxa"/>
          </w:tcPr>
          <w:p w14:paraId="5E6EC465"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Mature (%)</w:t>
            </w:r>
          </w:p>
        </w:tc>
        <w:tc>
          <w:tcPr>
            <w:tcW w:w="1209" w:type="dxa"/>
          </w:tcPr>
          <w:p w14:paraId="5A715159"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Suitable</w:t>
            </w:r>
          </w:p>
        </w:tc>
        <w:tc>
          <w:tcPr>
            <w:tcW w:w="953" w:type="dxa"/>
          </w:tcPr>
          <w:p w14:paraId="484AAA6F" w14:textId="77777777" w:rsidR="00AF7650" w:rsidRPr="00131756" w:rsidRDefault="00AF7650" w:rsidP="006F76C9">
            <w:pPr>
              <w:rPr>
                <w:rFonts w:ascii="Times New Roman" w:eastAsia="Calibri" w:hAnsi="Times New Roman" w:cs="Times New Roman"/>
                <w:sz w:val="24"/>
                <w:szCs w:val="24"/>
              </w:rPr>
            </w:pPr>
            <w:r w:rsidRPr="00131756">
              <w:rPr>
                <w:rFonts w:ascii="Times New Roman" w:hAnsi="Times New Roman" w:cs="Times New Roman"/>
                <w:sz w:val="24"/>
                <w:szCs w:val="24"/>
              </w:rPr>
              <w:t>Open (Ac)</w:t>
            </w:r>
          </w:p>
        </w:tc>
        <w:tc>
          <w:tcPr>
            <w:tcW w:w="954" w:type="dxa"/>
          </w:tcPr>
          <w:p w14:paraId="73793BC3"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Open (%)</w:t>
            </w:r>
          </w:p>
        </w:tc>
        <w:tc>
          <w:tcPr>
            <w:tcW w:w="1368" w:type="dxa"/>
          </w:tcPr>
          <w:p w14:paraId="0CF6A712"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Unsuitable</w:t>
            </w:r>
          </w:p>
        </w:tc>
      </w:tr>
      <w:tr w:rsidR="00AF7650" w:rsidRPr="00131756" w14:paraId="0ADF111C" w14:textId="77777777" w:rsidTr="006F76C9">
        <w:tc>
          <w:tcPr>
            <w:tcW w:w="1448" w:type="dxa"/>
          </w:tcPr>
          <w:p w14:paraId="1B35FBAD" w14:textId="77777777" w:rsidR="00AF7650" w:rsidRPr="00131756" w:rsidRDefault="00AF7650" w:rsidP="006F76C9">
            <w:pPr>
              <w:rPr>
                <w:rFonts w:ascii="Times New Roman" w:hAnsi="Times New Roman" w:cs="Times New Roman"/>
                <w:sz w:val="24"/>
                <w:szCs w:val="24"/>
              </w:rPr>
            </w:pPr>
            <w:r w:rsidRPr="00131756">
              <w:rPr>
                <w:rFonts w:ascii="Times New Roman" w:hAnsi="Times New Roman" w:cs="Times New Roman"/>
                <w:sz w:val="24"/>
                <w:szCs w:val="24"/>
              </w:rPr>
              <w:t>Deadwood</w:t>
            </w:r>
          </w:p>
        </w:tc>
        <w:tc>
          <w:tcPr>
            <w:tcW w:w="1129" w:type="dxa"/>
          </w:tcPr>
          <w:p w14:paraId="0104DD1D" w14:textId="77777777" w:rsidR="00AF7650" w:rsidRPr="00131756" w:rsidRDefault="00AF7650"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14,312</w:t>
            </w:r>
          </w:p>
        </w:tc>
        <w:tc>
          <w:tcPr>
            <w:tcW w:w="1150" w:type="dxa"/>
          </w:tcPr>
          <w:p w14:paraId="32A35D08" w14:textId="77777777" w:rsidR="00AF7650" w:rsidRPr="00131756" w:rsidRDefault="00AF7650"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 xml:space="preserve">3,149 </w:t>
            </w:r>
          </w:p>
        </w:tc>
        <w:tc>
          <w:tcPr>
            <w:tcW w:w="1139" w:type="dxa"/>
          </w:tcPr>
          <w:p w14:paraId="4034B7ED" w14:textId="77777777" w:rsidR="00AF7650" w:rsidRPr="00131756" w:rsidRDefault="00AF7650"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22.0%</w:t>
            </w:r>
          </w:p>
        </w:tc>
        <w:tc>
          <w:tcPr>
            <w:tcW w:w="1209" w:type="dxa"/>
          </w:tcPr>
          <w:p w14:paraId="4180D108" w14:textId="77777777" w:rsidR="00AF7650" w:rsidRPr="00131756" w:rsidRDefault="00AF7650"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5,567</w:t>
            </w:r>
          </w:p>
        </w:tc>
        <w:tc>
          <w:tcPr>
            <w:tcW w:w="953" w:type="dxa"/>
          </w:tcPr>
          <w:p w14:paraId="05DFFE78" w14:textId="77777777" w:rsidR="00AF7650" w:rsidRPr="00131756" w:rsidRDefault="00AF7650"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159</w:t>
            </w:r>
          </w:p>
        </w:tc>
        <w:tc>
          <w:tcPr>
            <w:tcW w:w="954" w:type="dxa"/>
          </w:tcPr>
          <w:p w14:paraId="7D31FDE8"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1.1%</w:t>
            </w:r>
          </w:p>
        </w:tc>
        <w:tc>
          <w:tcPr>
            <w:tcW w:w="1368" w:type="dxa"/>
          </w:tcPr>
          <w:p w14:paraId="01E6B5F4"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5581</w:t>
            </w:r>
          </w:p>
        </w:tc>
      </w:tr>
      <w:tr w:rsidR="00AF7650" w:rsidRPr="00131756" w14:paraId="43D150BC" w14:textId="77777777" w:rsidTr="006F76C9">
        <w:tc>
          <w:tcPr>
            <w:tcW w:w="1448" w:type="dxa"/>
          </w:tcPr>
          <w:p w14:paraId="2AA00CE2" w14:textId="77777777" w:rsidR="00AF7650" w:rsidRPr="00131756" w:rsidRDefault="00AF7650" w:rsidP="006F76C9">
            <w:pPr>
              <w:rPr>
                <w:rFonts w:ascii="Times New Roman" w:hAnsi="Times New Roman" w:cs="Times New Roman"/>
                <w:sz w:val="24"/>
                <w:szCs w:val="24"/>
              </w:rPr>
            </w:pPr>
            <w:r w:rsidRPr="00131756">
              <w:rPr>
                <w:rFonts w:ascii="Times New Roman" w:hAnsi="Times New Roman" w:cs="Times New Roman"/>
                <w:sz w:val="24"/>
                <w:szCs w:val="24"/>
              </w:rPr>
              <w:t>Elizabeth</w:t>
            </w:r>
          </w:p>
        </w:tc>
        <w:tc>
          <w:tcPr>
            <w:tcW w:w="1129" w:type="dxa"/>
          </w:tcPr>
          <w:p w14:paraId="591AFCED" w14:textId="77777777" w:rsidR="00AF7650" w:rsidRPr="00131756" w:rsidRDefault="00AF7650"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11,354</w:t>
            </w:r>
          </w:p>
        </w:tc>
        <w:tc>
          <w:tcPr>
            <w:tcW w:w="1150" w:type="dxa"/>
          </w:tcPr>
          <w:p w14:paraId="7B6601F3" w14:textId="77777777" w:rsidR="00AF7650" w:rsidRPr="00131756" w:rsidRDefault="00AF7650"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 xml:space="preserve">2,493 </w:t>
            </w:r>
          </w:p>
        </w:tc>
        <w:tc>
          <w:tcPr>
            <w:tcW w:w="1139" w:type="dxa"/>
          </w:tcPr>
          <w:p w14:paraId="1365B460" w14:textId="77777777" w:rsidR="00AF7650" w:rsidRPr="00131756" w:rsidRDefault="00AF7650"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22.0%</w:t>
            </w:r>
          </w:p>
        </w:tc>
        <w:tc>
          <w:tcPr>
            <w:tcW w:w="1209" w:type="dxa"/>
          </w:tcPr>
          <w:p w14:paraId="3FC58C55" w14:textId="77777777" w:rsidR="00AF7650" w:rsidRPr="00131756" w:rsidRDefault="00AF7650"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7,402</w:t>
            </w:r>
          </w:p>
        </w:tc>
        <w:tc>
          <w:tcPr>
            <w:tcW w:w="953" w:type="dxa"/>
          </w:tcPr>
          <w:p w14:paraId="18A58155" w14:textId="77777777" w:rsidR="00AF7650" w:rsidRPr="00131756" w:rsidRDefault="00AF7650"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581</w:t>
            </w:r>
          </w:p>
        </w:tc>
        <w:tc>
          <w:tcPr>
            <w:tcW w:w="954" w:type="dxa"/>
          </w:tcPr>
          <w:p w14:paraId="205F554D"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5.1%</w:t>
            </w:r>
          </w:p>
        </w:tc>
        <w:tc>
          <w:tcPr>
            <w:tcW w:w="1368" w:type="dxa"/>
          </w:tcPr>
          <w:p w14:paraId="04582007"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878</w:t>
            </w:r>
          </w:p>
        </w:tc>
      </w:tr>
      <w:tr w:rsidR="00AF7650" w:rsidRPr="00131756" w14:paraId="541A65C7" w14:textId="77777777" w:rsidTr="006F76C9">
        <w:tc>
          <w:tcPr>
            <w:tcW w:w="1448" w:type="dxa"/>
          </w:tcPr>
          <w:p w14:paraId="50130BDF"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Lake</w:t>
            </w:r>
          </w:p>
        </w:tc>
        <w:tc>
          <w:tcPr>
            <w:tcW w:w="1129" w:type="dxa"/>
          </w:tcPr>
          <w:p w14:paraId="05BB401C" w14:textId="77777777" w:rsidR="00AF7650" w:rsidRPr="00131756" w:rsidRDefault="00AF7650"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13,366</w:t>
            </w:r>
          </w:p>
        </w:tc>
        <w:tc>
          <w:tcPr>
            <w:tcW w:w="1150" w:type="dxa"/>
          </w:tcPr>
          <w:p w14:paraId="7B971A55" w14:textId="77777777" w:rsidR="00AF7650" w:rsidRPr="00131756" w:rsidRDefault="00AF7650"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 xml:space="preserve">1,550 </w:t>
            </w:r>
          </w:p>
        </w:tc>
        <w:tc>
          <w:tcPr>
            <w:tcW w:w="1139" w:type="dxa"/>
          </w:tcPr>
          <w:p w14:paraId="6EDA1681"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11.6%</w:t>
            </w:r>
          </w:p>
        </w:tc>
        <w:tc>
          <w:tcPr>
            <w:tcW w:w="1209" w:type="dxa"/>
          </w:tcPr>
          <w:p w14:paraId="3F9E34CB" w14:textId="77777777" w:rsidR="00AF7650" w:rsidRPr="00131756" w:rsidRDefault="00AF7650"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5,473</w:t>
            </w:r>
          </w:p>
        </w:tc>
        <w:tc>
          <w:tcPr>
            <w:tcW w:w="953" w:type="dxa"/>
          </w:tcPr>
          <w:p w14:paraId="335C392C" w14:textId="77777777" w:rsidR="00AF7650" w:rsidRPr="00131756" w:rsidRDefault="00AF7650"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51</w:t>
            </w:r>
          </w:p>
        </w:tc>
        <w:tc>
          <w:tcPr>
            <w:tcW w:w="954" w:type="dxa"/>
          </w:tcPr>
          <w:p w14:paraId="740A1643"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0.4%</w:t>
            </w:r>
          </w:p>
        </w:tc>
        <w:tc>
          <w:tcPr>
            <w:tcW w:w="1368" w:type="dxa"/>
          </w:tcPr>
          <w:p w14:paraId="4204FAE8"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6,292</w:t>
            </w:r>
          </w:p>
        </w:tc>
      </w:tr>
      <w:tr w:rsidR="00AF7650" w:rsidRPr="00131756" w14:paraId="6CB80205" w14:textId="77777777" w:rsidTr="006F76C9">
        <w:tc>
          <w:tcPr>
            <w:tcW w:w="1448" w:type="dxa"/>
          </w:tcPr>
          <w:p w14:paraId="13BF78C9" w14:textId="77777777" w:rsidR="00AF7650" w:rsidRPr="00131756" w:rsidRDefault="00AF7650" w:rsidP="006F76C9">
            <w:pPr>
              <w:rPr>
                <w:rFonts w:ascii="Times New Roman" w:hAnsi="Times New Roman" w:cs="Times New Roman"/>
                <w:sz w:val="24"/>
                <w:szCs w:val="24"/>
              </w:rPr>
            </w:pPr>
            <w:r w:rsidRPr="00131756">
              <w:rPr>
                <w:rFonts w:ascii="Times New Roman" w:hAnsi="Times New Roman" w:cs="Times New Roman"/>
                <w:sz w:val="24"/>
                <w:szCs w:val="24"/>
              </w:rPr>
              <w:t>North Fork</w:t>
            </w:r>
          </w:p>
        </w:tc>
        <w:tc>
          <w:tcPr>
            <w:tcW w:w="1129" w:type="dxa"/>
          </w:tcPr>
          <w:p w14:paraId="3389634E" w14:textId="77777777" w:rsidR="00AF7650" w:rsidRPr="00131756" w:rsidRDefault="00AF7650" w:rsidP="006F76C9">
            <w:pPr>
              <w:rPr>
                <w:rFonts w:ascii="Times New Roman" w:hAnsi="Times New Roman" w:cs="Times New Roman"/>
                <w:sz w:val="24"/>
                <w:szCs w:val="24"/>
              </w:rPr>
            </w:pPr>
            <w:r w:rsidRPr="00131756">
              <w:rPr>
                <w:rFonts w:ascii="Times New Roman" w:hAnsi="Times New Roman" w:cs="Times New Roman"/>
                <w:sz w:val="24"/>
                <w:szCs w:val="24"/>
              </w:rPr>
              <w:t>11,816</w:t>
            </w:r>
          </w:p>
        </w:tc>
        <w:tc>
          <w:tcPr>
            <w:tcW w:w="1150" w:type="dxa"/>
          </w:tcPr>
          <w:p w14:paraId="38B3683A" w14:textId="77777777" w:rsidR="00AF7650" w:rsidRPr="00131756" w:rsidRDefault="00AF7650"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 xml:space="preserve">1,123 </w:t>
            </w:r>
          </w:p>
        </w:tc>
        <w:tc>
          <w:tcPr>
            <w:tcW w:w="1139" w:type="dxa"/>
          </w:tcPr>
          <w:p w14:paraId="55B23816" w14:textId="77777777" w:rsidR="00AF7650" w:rsidRPr="00131756" w:rsidRDefault="00AF7650" w:rsidP="006F76C9">
            <w:pPr>
              <w:rPr>
                <w:rFonts w:ascii="Times New Roman" w:hAnsi="Times New Roman" w:cs="Times New Roman"/>
                <w:sz w:val="24"/>
                <w:szCs w:val="24"/>
              </w:rPr>
            </w:pPr>
            <w:r w:rsidRPr="00131756">
              <w:rPr>
                <w:rFonts w:ascii="Times New Roman" w:hAnsi="Times New Roman" w:cs="Times New Roman"/>
                <w:sz w:val="24"/>
                <w:szCs w:val="24"/>
              </w:rPr>
              <w:t>9.5%</w:t>
            </w:r>
          </w:p>
        </w:tc>
        <w:tc>
          <w:tcPr>
            <w:tcW w:w="1209" w:type="dxa"/>
          </w:tcPr>
          <w:p w14:paraId="311E749E" w14:textId="77777777" w:rsidR="00AF7650" w:rsidRPr="00131756" w:rsidRDefault="00AF7650"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3,550</w:t>
            </w:r>
          </w:p>
        </w:tc>
        <w:tc>
          <w:tcPr>
            <w:tcW w:w="953" w:type="dxa"/>
          </w:tcPr>
          <w:p w14:paraId="786C95F4" w14:textId="77777777" w:rsidR="00AF7650" w:rsidRPr="00131756" w:rsidRDefault="00AF7650"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431</w:t>
            </w:r>
          </w:p>
        </w:tc>
        <w:tc>
          <w:tcPr>
            <w:tcW w:w="954" w:type="dxa"/>
          </w:tcPr>
          <w:p w14:paraId="78C1B98F"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3.7%</w:t>
            </w:r>
          </w:p>
        </w:tc>
        <w:tc>
          <w:tcPr>
            <w:tcW w:w="1368" w:type="dxa"/>
          </w:tcPr>
          <w:p w14:paraId="3AF88FF8"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6,722</w:t>
            </w:r>
          </w:p>
        </w:tc>
      </w:tr>
      <w:tr w:rsidR="00AF7650" w:rsidRPr="00131756" w14:paraId="56465F95" w14:textId="77777777" w:rsidTr="006F76C9">
        <w:tc>
          <w:tcPr>
            <w:tcW w:w="1448" w:type="dxa"/>
          </w:tcPr>
          <w:p w14:paraId="6A326D5B" w14:textId="77777777" w:rsidR="00AF7650" w:rsidRPr="00131756" w:rsidRDefault="00AF7650" w:rsidP="006F76C9">
            <w:pPr>
              <w:rPr>
                <w:rFonts w:ascii="Times New Roman" w:hAnsi="Times New Roman" w:cs="Times New Roman"/>
                <w:sz w:val="24"/>
                <w:szCs w:val="24"/>
              </w:rPr>
            </w:pPr>
            <w:r w:rsidRPr="00131756">
              <w:rPr>
                <w:rFonts w:ascii="Times New Roman" w:hAnsi="Times New Roman" w:cs="Times New Roman"/>
                <w:sz w:val="24"/>
                <w:szCs w:val="24"/>
              </w:rPr>
              <w:t>Osier</w:t>
            </w:r>
          </w:p>
        </w:tc>
        <w:tc>
          <w:tcPr>
            <w:tcW w:w="1129" w:type="dxa"/>
          </w:tcPr>
          <w:p w14:paraId="2B9A197F" w14:textId="77777777" w:rsidR="00AF7650" w:rsidRPr="00131756" w:rsidRDefault="00AF7650" w:rsidP="006F76C9">
            <w:pPr>
              <w:rPr>
                <w:rFonts w:ascii="Times New Roman" w:hAnsi="Times New Roman" w:cs="Times New Roman"/>
                <w:sz w:val="24"/>
                <w:szCs w:val="24"/>
              </w:rPr>
            </w:pPr>
            <w:r w:rsidRPr="00131756">
              <w:rPr>
                <w:rFonts w:ascii="Times New Roman" w:hAnsi="Times New Roman" w:cs="Times New Roman"/>
                <w:sz w:val="24"/>
                <w:szCs w:val="24"/>
              </w:rPr>
              <w:t>12,196</w:t>
            </w:r>
          </w:p>
        </w:tc>
        <w:tc>
          <w:tcPr>
            <w:tcW w:w="1150" w:type="dxa"/>
          </w:tcPr>
          <w:p w14:paraId="51D0E405" w14:textId="77777777" w:rsidR="00AF7650" w:rsidRPr="00131756" w:rsidRDefault="00AF7650"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 xml:space="preserve">3,389 </w:t>
            </w:r>
          </w:p>
        </w:tc>
        <w:tc>
          <w:tcPr>
            <w:tcW w:w="1139" w:type="dxa"/>
          </w:tcPr>
          <w:p w14:paraId="55C86736" w14:textId="77777777" w:rsidR="00AF7650" w:rsidRPr="00131756" w:rsidRDefault="00AF7650" w:rsidP="006F76C9">
            <w:pPr>
              <w:rPr>
                <w:rFonts w:ascii="Times New Roman" w:hAnsi="Times New Roman" w:cs="Times New Roman"/>
                <w:sz w:val="24"/>
                <w:szCs w:val="24"/>
              </w:rPr>
            </w:pPr>
            <w:r w:rsidRPr="00131756">
              <w:rPr>
                <w:rFonts w:ascii="Times New Roman" w:hAnsi="Times New Roman" w:cs="Times New Roman"/>
                <w:sz w:val="24"/>
                <w:szCs w:val="24"/>
              </w:rPr>
              <w:t>27.8%</w:t>
            </w:r>
          </w:p>
        </w:tc>
        <w:tc>
          <w:tcPr>
            <w:tcW w:w="1209" w:type="dxa"/>
          </w:tcPr>
          <w:p w14:paraId="042C62D4" w14:textId="77777777" w:rsidR="00AF7650" w:rsidRPr="00131756" w:rsidRDefault="00AF7650"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8,515</w:t>
            </w:r>
          </w:p>
        </w:tc>
        <w:tc>
          <w:tcPr>
            <w:tcW w:w="953" w:type="dxa"/>
          </w:tcPr>
          <w:p w14:paraId="35D81B2F" w14:textId="77777777" w:rsidR="00AF7650" w:rsidRPr="00131756" w:rsidRDefault="00AF7650"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224</w:t>
            </w:r>
          </w:p>
        </w:tc>
        <w:tc>
          <w:tcPr>
            <w:tcW w:w="954" w:type="dxa"/>
          </w:tcPr>
          <w:p w14:paraId="3E97AE72"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1.8%</w:t>
            </w:r>
          </w:p>
        </w:tc>
        <w:tc>
          <w:tcPr>
            <w:tcW w:w="1368" w:type="dxa"/>
          </w:tcPr>
          <w:p w14:paraId="5C0C131E" w14:textId="77777777" w:rsidR="00AF7650" w:rsidRPr="00131756" w:rsidRDefault="00AF7650"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68</w:t>
            </w:r>
          </w:p>
        </w:tc>
      </w:tr>
      <w:tr w:rsidR="00AF7650" w:rsidRPr="00131756" w14:paraId="2C092203" w14:textId="77777777" w:rsidTr="006F76C9">
        <w:tc>
          <w:tcPr>
            <w:tcW w:w="1448" w:type="dxa"/>
          </w:tcPr>
          <w:p w14:paraId="64CDB05E" w14:textId="77777777" w:rsidR="00AF7650" w:rsidRPr="00131756" w:rsidRDefault="00AF7650" w:rsidP="006F76C9">
            <w:pPr>
              <w:rPr>
                <w:rFonts w:ascii="Times New Roman" w:hAnsi="Times New Roman" w:cs="Times New Roman"/>
                <w:sz w:val="24"/>
                <w:szCs w:val="24"/>
              </w:rPr>
            </w:pPr>
          </w:p>
        </w:tc>
        <w:tc>
          <w:tcPr>
            <w:tcW w:w="1129" w:type="dxa"/>
          </w:tcPr>
          <w:p w14:paraId="41F3ECCD" w14:textId="77777777" w:rsidR="00AF7650" w:rsidRPr="00131756" w:rsidRDefault="00AF7650" w:rsidP="006F76C9">
            <w:pPr>
              <w:rPr>
                <w:rFonts w:ascii="Times New Roman" w:hAnsi="Times New Roman" w:cs="Times New Roman"/>
                <w:sz w:val="24"/>
                <w:szCs w:val="24"/>
              </w:rPr>
            </w:pPr>
          </w:p>
        </w:tc>
        <w:tc>
          <w:tcPr>
            <w:tcW w:w="1150" w:type="dxa"/>
          </w:tcPr>
          <w:p w14:paraId="45D04878" w14:textId="77777777" w:rsidR="00AF7650" w:rsidRPr="00131756" w:rsidRDefault="00AF7650" w:rsidP="006F76C9">
            <w:pPr>
              <w:rPr>
                <w:rFonts w:ascii="Times New Roman" w:hAnsi="Times New Roman" w:cs="Times New Roman"/>
                <w:sz w:val="24"/>
                <w:szCs w:val="24"/>
              </w:rPr>
            </w:pPr>
          </w:p>
        </w:tc>
        <w:tc>
          <w:tcPr>
            <w:tcW w:w="1139" w:type="dxa"/>
          </w:tcPr>
          <w:p w14:paraId="6278EED2" w14:textId="77777777" w:rsidR="00AF7650" w:rsidRPr="00131756" w:rsidRDefault="00AF7650" w:rsidP="006F76C9">
            <w:pPr>
              <w:rPr>
                <w:rFonts w:ascii="Times New Roman" w:hAnsi="Times New Roman" w:cs="Times New Roman"/>
                <w:sz w:val="24"/>
                <w:szCs w:val="24"/>
              </w:rPr>
            </w:pPr>
          </w:p>
        </w:tc>
        <w:tc>
          <w:tcPr>
            <w:tcW w:w="1209" w:type="dxa"/>
          </w:tcPr>
          <w:p w14:paraId="546ED637" w14:textId="77777777" w:rsidR="00AF7650" w:rsidRPr="00131756" w:rsidRDefault="00AF7650" w:rsidP="006F76C9">
            <w:pPr>
              <w:rPr>
                <w:rFonts w:ascii="Times New Roman" w:hAnsi="Times New Roman" w:cs="Times New Roman"/>
                <w:sz w:val="24"/>
                <w:szCs w:val="24"/>
              </w:rPr>
            </w:pPr>
          </w:p>
        </w:tc>
        <w:tc>
          <w:tcPr>
            <w:tcW w:w="953" w:type="dxa"/>
          </w:tcPr>
          <w:p w14:paraId="3B1CD359" w14:textId="77777777" w:rsidR="00AF7650" w:rsidRPr="00131756" w:rsidRDefault="00AF7650" w:rsidP="006F76C9">
            <w:pPr>
              <w:rPr>
                <w:rFonts w:ascii="Times New Roman" w:hAnsi="Times New Roman" w:cs="Times New Roman"/>
                <w:sz w:val="24"/>
                <w:szCs w:val="24"/>
              </w:rPr>
            </w:pPr>
          </w:p>
        </w:tc>
        <w:tc>
          <w:tcPr>
            <w:tcW w:w="954" w:type="dxa"/>
          </w:tcPr>
          <w:p w14:paraId="5BE4CF3A" w14:textId="77777777" w:rsidR="00AF7650" w:rsidRPr="00131756" w:rsidRDefault="00AF7650" w:rsidP="006F76C9">
            <w:pPr>
              <w:rPr>
                <w:rFonts w:ascii="Times New Roman" w:eastAsia="Calibri" w:hAnsi="Times New Roman" w:cs="Times New Roman"/>
                <w:sz w:val="24"/>
                <w:szCs w:val="24"/>
              </w:rPr>
            </w:pPr>
          </w:p>
        </w:tc>
        <w:tc>
          <w:tcPr>
            <w:tcW w:w="1368" w:type="dxa"/>
          </w:tcPr>
          <w:p w14:paraId="73EED25D" w14:textId="77777777" w:rsidR="00AF7650" w:rsidRPr="00131756" w:rsidRDefault="00AF7650" w:rsidP="006F76C9">
            <w:pPr>
              <w:rPr>
                <w:rFonts w:ascii="Times New Roman" w:eastAsia="Calibri" w:hAnsi="Times New Roman" w:cs="Times New Roman"/>
                <w:sz w:val="24"/>
                <w:szCs w:val="24"/>
              </w:rPr>
            </w:pPr>
          </w:p>
        </w:tc>
      </w:tr>
      <w:tr w:rsidR="00AF7650" w:rsidRPr="00131756" w14:paraId="27066548" w14:textId="77777777" w:rsidTr="006F76C9">
        <w:tc>
          <w:tcPr>
            <w:tcW w:w="1448" w:type="dxa"/>
          </w:tcPr>
          <w:p w14:paraId="756A9A0A" w14:textId="77777777" w:rsidR="00AF7650" w:rsidRPr="00131756" w:rsidRDefault="00AF7650" w:rsidP="006F76C9">
            <w:pPr>
              <w:rPr>
                <w:rFonts w:ascii="Times New Roman" w:eastAsia="Calibri" w:hAnsi="Times New Roman" w:cs="Times New Roman"/>
                <w:sz w:val="24"/>
                <w:szCs w:val="24"/>
                <w:u w:val="single"/>
              </w:rPr>
            </w:pPr>
            <w:r w:rsidRPr="00131756">
              <w:rPr>
                <w:rFonts w:ascii="Times New Roman" w:eastAsia="Calibri" w:hAnsi="Times New Roman" w:cs="Times New Roman"/>
                <w:sz w:val="24"/>
                <w:szCs w:val="24"/>
                <w:u w:val="single"/>
              </w:rPr>
              <w:t xml:space="preserve">Total </w:t>
            </w:r>
          </w:p>
        </w:tc>
        <w:tc>
          <w:tcPr>
            <w:tcW w:w="1129" w:type="dxa"/>
          </w:tcPr>
          <w:p w14:paraId="15A46061" w14:textId="77777777" w:rsidR="00AF7650" w:rsidRPr="00131756" w:rsidRDefault="00AF7650" w:rsidP="006F76C9">
            <w:pPr>
              <w:rPr>
                <w:rFonts w:ascii="Times New Roman" w:hAnsi="Times New Roman" w:cs="Times New Roman"/>
                <w:sz w:val="24"/>
                <w:szCs w:val="24"/>
                <w:u w:val="single"/>
              </w:rPr>
            </w:pPr>
            <w:r w:rsidRPr="00131756">
              <w:rPr>
                <w:rFonts w:ascii="Times New Roman" w:hAnsi="Times New Roman" w:cs="Times New Roman"/>
                <w:sz w:val="24"/>
                <w:szCs w:val="24"/>
                <w:u w:val="single"/>
              </w:rPr>
              <w:t>63,044</w:t>
            </w:r>
          </w:p>
        </w:tc>
        <w:tc>
          <w:tcPr>
            <w:tcW w:w="1150" w:type="dxa"/>
          </w:tcPr>
          <w:p w14:paraId="5E122EB2" w14:textId="77777777" w:rsidR="00AF7650" w:rsidRPr="00131756" w:rsidRDefault="00AF7650" w:rsidP="006F76C9">
            <w:pPr>
              <w:rPr>
                <w:rFonts w:ascii="Times New Roman" w:hAnsi="Times New Roman" w:cs="Times New Roman"/>
                <w:sz w:val="24"/>
                <w:szCs w:val="24"/>
                <w:u w:val="single"/>
              </w:rPr>
            </w:pPr>
            <w:r w:rsidRPr="00131756">
              <w:rPr>
                <w:rFonts w:ascii="Times New Roman" w:hAnsi="Times New Roman" w:cs="Times New Roman"/>
                <w:sz w:val="24"/>
                <w:szCs w:val="24"/>
                <w:u w:val="single"/>
              </w:rPr>
              <w:t>11,704</w:t>
            </w:r>
          </w:p>
        </w:tc>
        <w:tc>
          <w:tcPr>
            <w:tcW w:w="1139" w:type="dxa"/>
          </w:tcPr>
          <w:p w14:paraId="7A964B1C" w14:textId="77777777" w:rsidR="00AF7650" w:rsidRPr="00131756" w:rsidRDefault="00AF7650" w:rsidP="006F76C9">
            <w:pPr>
              <w:rPr>
                <w:rFonts w:ascii="Times New Roman" w:hAnsi="Times New Roman" w:cs="Times New Roman"/>
                <w:sz w:val="24"/>
                <w:szCs w:val="24"/>
                <w:u w:val="single"/>
              </w:rPr>
            </w:pPr>
            <w:r w:rsidRPr="00131756">
              <w:rPr>
                <w:rFonts w:ascii="Times New Roman" w:hAnsi="Times New Roman" w:cs="Times New Roman"/>
                <w:sz w:val="24"/>
                <w:szCs w:val="24"/>
                <w:u w:val="single"/>
              </w:rPr>
              <w:t>18.6%</w:t>
            </w:r>
          </w:p>
        </w:tc>
        <w:tc>
          <w:tcPr>
            <w:tcW w:w="1209" w:type="dxa"/>
          </w:tcPr>
          <w:p w14:paraId="72CC7950" w14:textId="77777777" w:rsidR="00AF7650" w:rsidRPr="00131756" w:rsidRDefault="00AF7650" w:rsidP="006F76C9">
            <w:pPr>
              <w:rPr>
                <w:rFonts w:ascii="Times New Roman" w:hAnsi="Times New Roman" w:cs="Times New Roman"/>
                <w:sz w:val="24"/>
                <w:szCs w:val="24"/>
                <w:u w:val="single"/>
              </w:rPr>
            </w:pPr>
            <w:r w:rsidRPr="00131756">
              <w:rPr>
                <w:rFonts w:ascii="Times New Roman" w:hAnsi="Times New Roman" w:cs="Times New Roman"/>
                <w:sz w:val="24"/>
                <w:szCs w:val="24"/>
                <w:u w:val="single"/>
              </w:rPr>
              <w:t>30,507</w:t>
            </w:r>
          </w:p>
        </w:tc>
        <w:tc>
          <w:tcPr>
            <w:tcW w:w="953" w:type="dxa"/>
          </w:tcPr>
          <w:p w14:paraId="2956F3EA" w14:textId="77777777" w:rsidR="00AF7650" w:rsidRPr="00131756" w:rsidRDefault="00AF7650" w:rsidP="006F76C9">
            <w:pPr>
              <w:rPr>
                <w:rFonts w:ascii="Times New Roman" w:hAnsi="Times New Roman" w:cs="Times New Roman"/>
                <w:sz w:val="24"/>
                <w:szCs w:val="24"/>
                <w:u w:val="single"/>
              </w:rPr>
            </w:pPr>
            <w:r w:rsidRPr="00131756">
              <w:rPr>
                <w:rFonts w:ascii="Times New Roman" w:hAnsi="Times New Roman" w:cs="Times New Roman"/>
                <w:sz w:val="24"/>
                <w:szCs w:val="24"/>
                <w:u w:val="single"/>
              </w:rPr>
              <w:t>1,446</w:t>
            </w:r>
          </w:p>
        </w:tc>
        <w:tc>
          <w:tcPr>
            <w:tcW w:w="954" w:type="dxa"/>
          </w:tcPr>
          <w:p w14:paraId="07D8299C" w14:textId="77777777" w:rsidR="00AF7650" w:rsidRPr="00131756" w:rsidRDefault="00AF7650" w:rsidP="006F76C9">
            <w:pPr>
              <w:rPr>
                <w:rFonts w:ascii="Times New Roman" w:eastAsia="Calibri" w:hAnsi="Times New Roman" w:cs="Times New Roman"/>
                <w:sz w:val="24"/>
                <w:szCs w:val="24"/>
                <w:u w:val="single"/>
              </w:rPr>
            </w:pPr>
            <w:r w:rsidRPr="00131756">
              <w:rPr>
                <w:rFonts w:ascii="Times New Roman" w:eastAsia="Calibri" w:hAnsi="Times New Roman" w:cs="Times New Roman"/>
                <w:sz w:val="24"/>
                <w:szCs w:val="24"/>
                <w:u w:val="single"/>
              </w:rPr>
              <w:t>2.3%</w:t>
            </w:r>
          </w:p>
        </w:tc>
        <w:tc>
          <w:tcPr>
            <w:tcW w:w="1368" w:type="dxa"/>
          </w:tcPr>
          <w:p w14:paraId="0AC0F1BC" w14:textId="77777777" w:rsidR="00AF7650" w:rsidRPr="00131756" w:rsidRDefault="00AF7650" w:rsidP="006F76C9">
            <w:pPr>
              <w:rPr>
                <w:rFonts w:ascii="Times New Roman" w:eastAsia="Calibri" w:hAnsi="Times New Roman" w:cs="Times New Roman"/>
                <w:sz w:val="24"/>
                <w:szCs w:val="24"/>
                <w:u w:val="single"/>
              </w:rPr>
            </w:pPr>
            <w:r w:rsidRPr="00131756">
              <w:rPr>
                <w:rFonts w:ascii="Times New Roman" w:eastAsia="Calibri" w:hAnsi="Times New Roman" w:cs="Times New Roman"/>
                <w:sz w:val="24"/>
                <w:szCs w:val="24"/>
                <w:u w:val="single"/>
              </w:rPr>
              <w:t>19,541</w:t>
            </w:r>
          </w:p>
        </w:tc>
      </w:tr>
      <w:bookmarkEnd w:id="2"/>
    </w:tbl>
    <w:p w14:paraId="69232F0B" w14:textId="77777777" w:rsidR="00AF7650" w:rsidRPr="0085385A" w:rsidRDefault="00AF7650" w:rsidP="00B3454D">
      <w:pPr>
        <w:rPr>
          <w:rStyle w:val="markedcontent"/>
          <w:rFonts w:ascii="Times New Roman" w:hAnsi="Times New Roman" w:cs="Times New Roman"/>
          <w:sz w:val="24"/>
          <w:szCs w:val="24"/>
          <w:shd w:val="clear" w:color="auto" w:fill="FFFFFF"/>
        </w:rPr>
      </w:pPr>
    </w:p>
    <w:p w14:paraId="0BFE1442" w14:textId="10CDCD6B" w:rsidR="00F811B1" w:rsidRDefault="00471BE6" w:rsidP="00B3454D">
      <w:pPr>
        <w:rPr>
          <w:rStyle w:val="markedcontent"/>
          <w:rFonts w:ascii="Times New Roman" w:hAnsi="Times New Roman" w:cs="Times New Roman"/>
          <w:sz w:val="24"/>
          <w:szCs w:val="24"/>
          <w:shd w:val="clear" w:color="auto" w:fill="FFFFFF"/>
        </w:rPr>
      </w:pPr>
      <w:r>
        <w:rPr>
          <w:rStyle w:val="markedcontent"/>
          <w:rFonts w:ascii="Times New Roman" w:hAnsi="Times New Roman" w:cs="Times New Roman"/>
          <w:sz w:val="24"/>
          <w:szCs w:val="24"/>
          <w:shd w:val="clear" w:color="auto" w:fill="FFFFFF"/>
        </w:rPr>
        <w:t>I have found that t</w:t>
      </w:r>
      <w:r w:rsidR="00F811B1">
        <w:rPr>
          <w:rStyle w:val="markedcontent"/>
          <w:rFonts w:ascii="Times New Roman" w:hAnsi="Times New Roman" w:cs="Times New Roman"/>
          <w:sz w:val="24"/>
          <w:szCs w:val="24"/>
          <w:shd w:val="clear" w:color="auto" w:fill="FFFFFF"/>
        </w:rPr>
        <w:t>he project area is generally a productive landscape that is surrounded by existing roadless areas and steep canyon breaklands along the North Fork of the Clearwater River.  Most of the project area supports abundant tree growth and moist habitats which are preferred habitat by the fisher. The area targeted by the Forest Service for timber harvest generally consists of stands located on gentler slopes and at lower elevations</w:t>
      </w:r>
      <w:r w:rsidR="00AF7650">
        <w:rPr>
          <w:rStyle w:val="markedcontent"/>
          <w:rFonts w:ascii="Times New Roman" w:hAnsi="Times New Roman" w:cs="Times New Roman"/>
          <w:sz w:val="24"/>
          <w:szCs w:val="24"/>
          <w:shd w:val="clear" w:color="auto" w:fill="FFFFFF"/>
        </w:rPr>
        <w:t xml:space="preserve"> (Figure 4)</w:t>
      </w:r>
      <w:r w:rsidR="00F811B1">
        <w:rPr>
          <w:rStyle w:val="markedcontent"/>
          <w:rFonts w:ascii="Times New Roman" w:hAnsi="Times New Roman" w:cs="Times New Roman"/>
          <w:sz w:val="24"/>
          <w:szCs w:val="24"/>
          <w:shd w:val="clear" w:color="auto" w:fill="FFFFFF"/>
        </w:rPr>
        <w:t>.  A considerable amount of area targeted for timber harvest has been previously harvested and the area is currently part of what has been called the “roaded front”.   The “roaded front” includes some of the most productive lands on the Nez Perce-Clearwater NF and these areas generally coincide the habitats preferred by the fisher.</w:t>
      </w:r>
    </w:p>
    <w:p w14:paraId="09A2C141" w14:textId="5B4349BC" w:rsidR="003C53A0" w:rsidRDefault="001E237B" w:rsidP="001E237B">
      <w:pPr>
        <w:rPr>
          <w:rFonts w:ascii="Times New Roman" w:eastAsia="Calibri" w:hAnsi="Times New Roman" w:cs="Times New Roman"/>
          <w:sz w:val="24"/>
          <w:szCs w:val="24"/>
        </w:rPr>
      </w:pPr>
      <w:r>
        <w:rPr>
          <w:rFonts w:ascii="Times New Roman" w:eastAsia="Calibri" w:hAnsi="Times New Roman" w:cs="Times New Roman"/>
          <w:sz w:val="24"/>
          <w:szCs w:val="24"/>
        </w:rPr>
        <w:t>It is likely that much of the area considered unsuitable by the Forest Service occurs in open areas along the Clearwater River or other open areas that occur in higher elevations</w:t>
      </w:r>
      <w:r w:rsidR="00F811B1">
        <w:rPr>
          <w:rFonts w:ascii="Times New Roman" w:eastAsia="Calibri" w:hAnsi="Times New Roman" w:cs="Times New Roman"/>
          <w:sz w:val="24"/>
          <w:szCs w:val="24"/>
        </w:rPr>
        <w:t xml:space="preserve"> outside of the project area</w:t>
      </w:r>
      <w:r w:rsidR="001D5ECC">
        <w:rPr>
          <w:rFonts w:ascii="Times New Roman" w:eastAsia="Calibri" w:hAnsi="Times New Roman" w:cs="Times New Roman"/>
          <w:sz w:val="24"/>
          <w:szCs w:val="24"/>
        </w:rPr>
        <w:t>.</w:t>
      </w:r>
      <w:r w:rsidR="00471BE6" w:rsidRPr="00471BE6">
        <w:rPr>
          <w:rFonts w:ascii="Times New Roman" w:eastAsia="Calibri" w:hAnsi="Times New Roman" w:cs="Times New Roman"/>
          <w:sz w:val="24"/>
          <w:szCs w:val="24"/>
        </w:rPr>
        <w:t xml:space="preserve"> </w:t>
      </w:r>
      <w:r w:rsidR="00471BE6" w:rsidRPr="00DF1151">
        <w:rPr>
          <w:rFonts w:ascii="Times New Roman" w:eastAsia="Calibri" w:hAnsi="Times New Roman" w:cs="Times New Roman"/>
          <w:sz w:val="24"/>
          <w:szCs w:val="24"/>
        </w:rPr>
        <w:t>I agree that it is unlikely that fishers will utilize</w:t>
      </w:r>
      <w:r w:rsidR="003C53A0">
        <w:rPr>
          <w:rFonts w:ascii="Times New Roman" w:eastAsia="Calibri" w:hAnsi="Times New Roman" w:cs="Times New Roman"/>
          <w:sz w:val="24"/>
          <w:szCs w:val="24"/>
        </w:rPr>
        <w:t xml:space="preserve"> these</w:t>
      </w:r>
      <w:r w:rsidR="00471BE6" w:rsidRPr="00DF1151">
        <w:rPr>
          <w:rFonts w:ascii="Times New Roman" w:eastAsia="Calibri" w:hAnsi="Times New Roman" w:cs="Times New Roman"/>
          <w:sz w:val="24"/>
          <w:szCs w:val="24"/>
        </w:rPr>
        <w:t xml:space="preserve"> large expanses of open habitat </w:t>
      </w:r>
      <w:r w:rsidR="00471BE6">
        <w:rPr>
          <w:rFonts w:ascii="Times New Roman" w:eastAsia="Calibri" w:hAnsi="Times New Roman" w:cs="Times New Roman"/>
          <w:sz w:val="24"/>
          <w:szCs w:val="24"/>
        </w:rPr>
        <w:t>(Figure 3)</w:t>
      </w:r>
      <w:r w:rsidR="003C53A0">
        <w:rPr>
          <w:rFonts w:ascii="Times New Roman" w:eastAsia="Calibri" w:hAnsi="Times New Roman" w:cs="Times New Roman"/>
          <w:sz w:val="24"/>
          <w:szCs w:val="24"/>
        </w:rPr>
        <w:t xml:space="preserve">.  However, I found these areas to be smaller in size than the acreage of unsuitable habitat reported by the Forest Service.  In the Deadwood analysis </w:t>
      </w:r>
      <w:r w:rsidR="00ED26C1">
        <w:rPr>
          <w:rFonts w:ascii="Times New Roman" w:eastAsia="Calibri" w:hAnsi="Times New Roman" w:cs="Times New Roman"/>
          <w:sz w:val="24"/>
          <w:szCs w:val="24"/>
        </w:rPr>
        <w:t>area,</w:t>
      </w:r>
      <w:r w:rsidR="003C53A0">
        <w:rPr>
          <w:rFonts w:ascii="Times New Roman" w:eastAsia="Calibri" w:hAnsi="Times New Roman" w:cs="Times New Roman"/>
          <w:sz w:val="24"/>
          <w:szCs w:val="24"/>
        </w:rPr>
        <w:t xml:space="preserve"> I found there were approximately</w:t>
      </w:r>
      <w:r w:rsidR="003C53A0" w:rsidRPr="003C53A0">
        <w:rPr>
          <w:rFonts w:ascii="Times New Roman" w:eastAsia="Calibri" w:hAnsi="Times New Roman" w:cs="Times New Roman"/>
          <w:sz w:val="24"/>
          <w:szCs w:val="24"/>
        </w:rPr>
        <w:t xml:space="preserve"> </w:t>
      </w:r>
      <w:r w:rsidR="003C53A0">
        <w:rPr>
          <w:rFonts w:ascii="Times New Roman" w:eastAsia="Calibri" w:hAnsi="Times New Roman" w:cs="Times New Roman"/>
          <w:sz w:val="24"/>
          <w:szCs w:val="24"/>
        </w:rPr>
        <w:t xml:space="preserve">2,930-acres associated with the Clearwater River breaklands and in the Lake Creek analysis area I found there were approximately 4,650-acres </w:t>
      </w:r>
      <w:r w:rsidR="00B16043">
        <w:rPr>
          <w:rFonts w:ascii="Times New Roman" w:eastAsia="Calibri" w:hAnsi="Times New Roman" w:cs="Times New Roman"/>
          <w:sz w:val="24"/>
          <w:szCs w:val="24"/>
        </w:rPr>
        <w:t>associate</w:t>
      </w:r>
      <w:r w:rsidR="00F10A58">
        <w:rPr>
          <w:rFonts w:ascii="Times New Roman" w:eastAsia="Calibri" w:hAnsi="Times New Roman" w:cs="Times New Roman"/>
          <w:sz w:val="24"/>
          <w:szCs w:val="24"/>
        </w:rPr>
        <w:t>d</w:t>
      </w:r>
      <w:r w:rsidR="00B16043">
        <w:rPr>
          <w:rFonts w:ascii="Times New Roman" w:eastAsia="Calibri" w:hAnsi="Times New Roman" w:cs="Times New Roman"/>
          <w:sz w:val="24"/>
          <w:szCs w:val="24"/>
        </w:rPr>
        <w:t xml:space="preserve"> with openings in higher elevation areas.  </w:t>
      </w:r>
      <w:r w:rsidR="00ED26C1">
        <w:rPr>
          <w:rFonts w:ascii="Times New Roman" w:eastAsia="Calibri" w:hAnsi="Times New Roman" w:cs="Times New Roman"/>
          <w:sz w:val="24"/>
          <w:szCs w:val="24"/>
        </w:rPr>
        <w:t xml:space="preserve">The Forest Service reported 5,581-acres of unsuitable habitat in the </w:t>
      </w:r>
      <w:r w:rsidR="00ED26C1">
        <w:rPr>
          <w:rFonts w:ascii="Times New Roman" w:eastAsia="Calibri" w:hAnsi="Times New Roman" w:cs="Times New Roman"/>
          <w:sz w:val="24"/>
          <w:szCs w:val="24"/>
        </w:rPr>
        <w:lastRenderedPageBreak/>
        <w:t>Deadwood Analysis area and 6,2</w:t>
      </w:r>
      <w:r w:rsidR="004215ED">
        <w:rPr>
          <w:rFonts w:ascii="Times New Roman" w:eastAsia="Calibri" w:hAnsi="Times New Roman" w:cs="Times New Roman"/>
          <w:sz w:val="24"/>
          <w:szCs w:val="24"/>
        </w:rPr>
        <w:t>92</w:t>
      </w:r>
      <w:r w:rsidR="00ED26C1">
        <w:rPr>
          <w:rFonts w:ascii="Times New Roman" w:eastAsia="Calibri" w:hAnsi="Times New Roman" w:cs="Times New Roman"/>
          <w:sz w:val="24"/>
          <w:szCs w:val="24"/>
        </w:rPr>
        <w:t xml:space="preserve">-acres in the Lake Analysis area. </w:t>
      </w:r>
      <w:r w:rsidR="00471BE6">
        <w:rPr>
          <w:rFonts w:ascii="Times New Roman" w:eastAsia="Calibri" w:hAnsi="Times New Roman" w:cs="Times New Roman"/>
          <w:sz w:val="24"/>
          <w:szCs w:val="24"/>
        </w:rPr>
        <w:t xml:space="preserve">What </w:t>
      </w:r>
      <w:r w:rsidR="00471BE6" w:rsidRPr="00DF1151">
        <w:rPr>
          <w:rFonts w:ascii="Times New Roman" w:eastAsia="Calibri" w:hAnsi="Times New Roman" w:cs="Times New Roman"/>
          <w:sz w:val="24"/>
          <w:szCs w:val="24"/>
        </w:rPr>
        <w:t xml:space="preserve">I don’t </w:t>
      </w:r>
      <w:r w:rsidR="00471BE6">
        <w:rPr>
          <w:rFonts w:ascii="Times New Roman" w:eastAsia="Calibri" w:hAnsi="Times New Roman" w:cs="Times New Roman"/>
          <w:sz w:val="24"/>
          <w:szCs w:val="24"/>
        </w:rPr>
        <w:t xml:space="preserve">understand is how the Forest Service treated </w:t>
      </w:r>
      <w:r w:rsidR="00471BE6" w:rsidRPr="00DF1151">
        <w:rPr>
          <w:rFonts w:ascii="Times New Roman" w:eastAsia="Calibri" w:hAnsi="Times New Roman" w:cs="Times New Roman"/>
          <w:sz w:val="24"/>
          <w:szCs w:val="24"/>
        </w:rPr>
        <w:t>interspersed openings</w:t>
      </w:r>
      <w:r w:rsidR="00A80206">
        <w:rPr>
          <w:rFonts w:ascii="Times New Roman" w:eastAsia="Calibri" w:hAnsi="Times New Roman" w:cs="Times New Roman"/>
          <w:sz w:val="24"/>
          <w:szCs w:val="24"/>
        </w:rPr>
        <w:t xml:space="preserve"> and young forest</w:t>
      </w:r>
      <w:r w:rsidR="00471BE6">
        <w:rPr>
          <w:rFonts w:ascii="Times New Roman" w:eastAsia="Calibri" w:hAnsi="Times New Roman" w:cs="Times New Roman"/>
          <w:sz w:val="24"/>
          <w:szCs w:val="24"/>
        </w:rPr>
        <w:t xml:space="preserve"> in their analysis.  Interspersed small openings should be considered as part of the calculations of habitat condition as outlined by Sauder and Rachlow (2014).</w:t>
      </w:r>
      <w:r>
        <w:rPr>
          <w:rFonts w:ascii="Times New Roman" w:eastAsia="Calibri" w:hAnsi="Times New Roman" w:cs="Times New Roman"/>
          <w:sz w:val="24"/>
          <w:szCs w:val="24"/>
        </w:rPr>
        <w:t xml:space="preserve"> </w:t>
      </w:r>
    </w:p>
    <w:p w14:paraId="7467BB7E" w14:textId="4406DC7C" w:rsidR="002C269A" w:rsidRDefault="004F47A2" w:rsidP="002C269A">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wildlife report accurately suggests risks to the fisher </w:t>
      </w:r>
      <w:r w:rsidR="000E4A9B">
        <w:rPr>
          <w:rFonts w:ascii="Times New Roman" w:eastAsia="Calibri" w:hAnsi="Times New Roman" w:cs="Times New Roman"/>
          <w:sz w:val="24"/>
          <w:szCs w:val="24"/>
        </w:rPr>
        <w:t xml:space="preserve">are </w:t>
      </w:r>
      <w:r>
        <w:rPr>
          <w:rFonts w:ascii="Times New Roman" w:eastAsia="Calibri" w:hAnsi="Times New Roman" w:cs="Times New Roman"/>
          <w:sz w:val="24"/>
          <w:szCs w:val="24"/>
        </w:rPr>
        <w:t xml:space="preserve">likely most pronounced in the Osier and Deadwood fisher analysis areas and the small portion of the project area concurrent to Deadwood and Osier Creek.  Proposed timber harvest is concentrated in this area </w:t>
      </w:r>
      <w:r w:rsidR="00852B5F">
        <w:rPr>
          <w:rFonts w:ascii="Times New Roman" w:eastAsia="Calibri" w:hAnsi="Times New Roman" w:cs="Times New Roman"/>
          <w:sz w:val="24"/>
          <w:szCs w:val="24"/>
        </w:rPr>
        <w:t xml:space="preserve">(Figure </w:t>
      </w:r>
      <w:r w:rsidR="00F10A58">
        <w:rPr>
          <w:rFonts w:ascii="Times New Roman" w:eastAsia="Calibri" w:hAnsi="Times New Roman" w:cs="Times New Roman"/>
          <w:sz w:val="24"/>
          <w:szCs w:val="24"/>
        </w:rPr>
        <w:t>4</w:t>
      </w:r>
      <w:r w:rsidR="00852B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fishers are likely to avoid the area once timber is harvested.  None of the existing analysis areas (Table 2) have the suggested amount of mature forest (50%) and the proposed action would reduce the overall amount of mature forest substantially. </w:t>
      </w:r>
    </w:p>
    <w:p w14:paraId="3A8966DD" w14:textId="15B5497F" w:rsidR="00D16A96" w:rsidRPr="00D16A96" w:rsidRDefault="004F47A2" w:rsidP="00D16A96">
      <w:pPr>
        <w:rPr>
          <w:rFonts w:ascii="Times New Roman" w:eastAsia="Calibri" w:hAnsi="Times New Roman" w:cs="Times New Roman"/>
          <w:sz w:val="24"/>
          <w:szCs w:val="24"/>
        </w:rPr>
      </w:pPr>
      <w:r>
        <w:rPr>
          <w:rFonts w:ascii="Times New Roman" w:eastAsia="Calibri" w:hAnsi="Times New Roman" w:cs="Times New Roman"/>
          <w:sz w:val="24"/>
          <w:szCs w:val="24"/>
        </w:rPr>
        <w:t>Likewise, the amount of opening would increase significantly with Osier Creek going from 1.8% to 14.6% opening</w:t>
      </w:r>
      <w:r w:rsidR="00D16A96">
        <w:rPr>
          <w:rFonts w:ascii="Times New Roman" w:eastAsia="Calibri" w:hAnsi="Times New Roman" w:cs="Times New Roman"/>
          <w:sz w:val="24"/>
          <w:szCs w:val="24"/>
        </w:rPr>
        <w:t xml:space="preserve"> (Table 3)</w:t>
      </w:r>
      <w:r>
        <w:rPr>
          <w:rFonts w:ascii="Times New Roman" w:eastAsia="Calibri" w:hAnsi="Times New Roman" w:cs="Times New Roman"/>
          <w:sz w:val="24"/>
          <w:szCs w:val="24"/>
        </w:rPr>
        <w:t xml:space="preserve">.  This would reduce potential occupancy to approximately 28% of potential according to Sauder and Rachlow (2014). </w:t>
      </w:r>
      <w:r w:rsidR="00877CE3">
        <w:rPr>
          <w:rFonts w:ascii="Times New Roman" w:eastAsia="Calibri" w:hAnsi="Times New Roman" w:cs="Times New Roman"/>
          <w:sz w:val="24"/>
          <w:szCs w:val="24"/>
        </w:rPr>
        <w:t xml:space="preserve"> Depending on how the Forest Service treated small interspersed open areas in their calculations, potential occupancy could be even lower. </w:t>
      </w:r>
    </w:p>
    <w:p w14:paraId="45BF10C4" w14:textId="72A18C1F" w:rsidR="00D16A96" w:rsidRPr="00131756" w:rsidRDefault="00D16A96" w:rsidP="00D16A96">
      <w:pPr>
        <w:rPr>
          <w:rFonts w:ascii="Times New Roman" w:eastAsia="Calibri" w:hAnsi="Times New Roman" w:cs="Times New Roman"/>
          <w:b/>
          <w:bCs/>
          <w:sz w:val="24"/>
          <w:szCs w:val="24"/>
        </w:rPr>
      </w:pPr>
      <w:r w:rsidRPr="00131756">
        <w:rPr>
          <w:rFonts w:ascii="Times New Roman" w:eastAsia="Calibri" w:hAnsi="Times New Roman" w:cs="Times New Roman"/>
          <w:b/>
          <w:bCs/>
          <w:sz w:val="24"/>
          <w:szCs w:val="24"/>
        </w:rPr>
        <w:t>Table 3 - Forest Service Fisher Analysis (After Implementation of Alternative 2)</w:t>
      </w:r>
    </w:p>
    <w:tbl>
      <w:tblPr>
        <w:tblStyle w:val="TableGrid"/>
        <w:tblW w:w="0" w:type="auto"/>
        <w:tblLook w:val="04A0" w:firstRow="1" w:lastRow="0" w:firstColumn="1" w:lastColumn="0" w:noHBand="0" w:noVBand="1"/>
      </w:tblPr>
      <w:tblGrid>
        <w:gridCol w:w="1435"/>
        <w:gridCol w:w="1110"/>
        <w:gridCol w:w="1132"/>
        <w:gridCol w:w="1122"/>
        <w:gridCol w:w="1194"/>
        <w:gridCol w:w="1052"/>
        <w:gridCol w:w="945"/>
        <w:gridCol w:w="1360"/>
      </w:tblGrid>
      <w:tr w:rsidR="00D16A96" w:rsidRPr="00131756" w14:paraId="74F4F694" w14:textId="77777777" w:rsidTr="006F76C9">
        <w:trPr>
          <w:trHeight w:val="872"/>
        </w:trPr>
        <w:tc>
          <w:tcPr>
            <w:tcW w:w="1448" w:type="dxa"/>
          </w:tcPr>
          <w:p w14:paraId="4DF2FB2E"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Fisher Potential Home Range</w:t>
            </w:r>
          </w:p>
        </w:tc>
        <w:tc>
          <w:tcPr>
            <w:tcW w:w="1129" w:type="dxa"/>
          </w:tcPr>
          <w:p w14:paraId="7D9AF497"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 xml:space="preserve"> Acres</w:t>
            </w:r>
          </w:p>
        </w:tc>
        <w:tc>
          <w:tcPr>
            <w:tcW w:w="1150" w:type="dxa"/>
          </w:tcPr>
          <w:p w14:paraId="3CA63FBD"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Mature Forest (Ac)</w:t>
            </w:r>
          </w:p>
        </w:tc>
        <w:tc>
          <w:tcPr>
            <w:tcW w:w="1139" w:type="dxa"/>
          </w:tcPr>
          <w:p w14:paraId="50E80B4D"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Mature (%)</w:t>
            </w:r>
          </w:p>
        </w:tc>
        <w:tc>
          <w:tcPr>
            <w:tcW w:w="1209" w:type="dxa"/>
          </w:tcPr>
          <w:p w14:paraId="71067A69"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Suitable</w:t>
            </w:r>
          </w:p>
          <w:p w14:paraId="20930E80"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(Ac)</w:t>
            </w:r>
          </w:p>
        </w:tc>
        <w:tc>
          <w:tcPr>
            <w:tcW w:w="953" w:type="dxa"/>
          </w:tcPr>
          <w:p w14:paraId="449FFDD2" w14:textId="77777777" w:rsidR="00D16A96" w:rsidRPr="00131756" w:rsidRDefault="00D16A96" w:rsidP="006F76C9">
            <w:pPr>
              <w:rPr>
                <w:rFonts w:ascii="Times New Roman" w:eastAsia="Calibri" w:hAnsi="Times New Roman" w:cs="Times New Roman"/>
                <w:sz w:val="24"/>
                <w:szCs w:val="24"/>
              </w:rPr>
            </w:pPr>
            <w:r w:rsidRPr="00131756">
              <w:rPr>
                <w:rFonts w:ascii="Times New Roman" w:hAnsi="Times New Roman" w:cs="Times New Roman"/>
                <w:sz w:val="24"/>
                <w:szCs w:val="24"/>
              </w:rPr>
              <w:t>Open (Ac)</w:t>
            </w:r>
          </w:p>
        </w:tc>
        <w:tc>
          <w:tcPr>
            <w:tcW w:w="954" w:type="dxa"/>
          </w:tcPr>
          <w:p w14:paraId="48D93968"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Open (%)</w:t>
            </w:r>
          </w:p>
        </w:tc>
        <w:tc>
          <w:tcPr>
            <w:tcW w:w="1368" w:type="dxa"/>
          </w:tcPr>
          <w:p w14:paraId="507C15A2"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Unsuitable</w:t>
            </w:r>
          </w:p>
          <w:p w14:paraId="4356D34D"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(Ac)</w:t>
            </w:r>
          </w:p>
        </w:tc>
      </w:tr>
      <w:tr w:rsidR="00D16A96" w:rsidRPr="00131756" w14:paraId="04E62644" w14:textId="77777777" w:rsidTr="006F76C9">
        <w:tc>
          <w:tcPr>
            <w:tcW w:w="1448" w:type="dxa"/>
          </w:tcPr>
          <w:p w14:paraId="74A48226"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Deadwood</w:t>
            </w:r>
          </w:p>
        </w:tc>
        <w:tc>
          <w:tcPr>
            <w:tcW w:w="1129" w:type="dxa"/>
          </w:tcPr>
          <w:p w14:paraId="6621EBB5" w14:textId="77777777" w:rsidR="00D16A96" w:rsidRPr="00131756" w:rsidRDefault="00D16A96"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14,312</w:t>
            </w:r>
          </w:p>
        </w:tc>
        <w:tc>
          <w:tcPr>
            <w:tcW w:w="1150" w:type="dxa"/>
          </w:tcPr>
          <w:p w14:paraId="3E5C5AFE"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2,778</w:t>
            </w:r>
          </w:p>
          <w:p w14:paraId="781B8CC0" w14:textId="77777777" w:rsidR="00D16A96" w:rsidRPr="00131756" w:rsidRDefault="00D16A96"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 xml:space="preserve"> (-371) </w:t>
            </w:r>
          </w:p>
        </w:tc>
        <w:tc>
          <w:tcPr>
            <w:tcW w:w="1139" w:type="dxa"/>
          </w:tcPr>
          <w:p w14:paraId="53F390B8"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19.4%</w:t>
            </w:r>
          </w:p>
        </w:tc>
        <w:tc>
          <w:tcPr>
            <w:tcW w:w="1209" w:type="dxa"/>
          </w:tcPr>
          <w:p w14:paraId="4203BD22"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5,016</w:t>
            </w:r>
          </w:p>
          <w:p w14:paraId="247B9679" w14:textId="77777777" w:rsidR="00D16A96" w:rsidRPr="00131756" w:rsidRDefault="00D16A96"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 xml:space="preserve"> (-551)</w:t>
            </w:r>
          </w:p>
        </w:tc>
        <w:tc>
          <w:tcPr>
            <w:tcW w:w="953" w:type="dxa"/>
          </w:tcPr>
          <w:p w14:paraId="3448609F"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1,081</w:t>
            </w:r>
          </w:p>
          <w:p w14:paraId="57AF843C" w14:textId="77777777" w:rsidR="00D16A96" w:rsidRPr="00131756" w:rsidRDefault="00D16A96"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(+922)</w:t>
            </w:r>
          </w:p>
        </w:tc>
        <w:tc>
          <w:tcPr>
            <w:tcW w:w="954" w:type="dxa"/>
          </w:tcPr>
          <w:p w14:paraId="0370CEC9"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7.6%</w:t>
            </w:r>
          </w:p>
        </w:tc>
        <w:tc>
          <w:tcPr>
            <w:tcW w:w="1368" w:type="dxa"/>
          </w:tcPr>
          <w:p w14:paraId="19B9B875"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5,581</w:t>
            </w:r>
          </w:p>
        </w:tc>
      </w:tr>
      <w:tr w:rsidR="00D16A96" w:rsidRPr="00131756" w14:paraId="7AFBA6B9" w14:textId="77777777" w:rsidTr="006F76C9">
        <w:tc>
          <w:tcPr>
            <w:tcW w:w="1448" w:type="dxa"/>
          </w:tcPr>
          <w:p w14:paraId="0C56B64E"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Elizabeth</w:t>
            </w:r>
          </w:p>
        </w:tc>
        <w:tc>
          <w:tcPr>
            <w:tcW w:w="1129" w:type="dxa"/>
          </w:tcPr>
          <w:p w14:paraId="759C7944" w14:textId="77777777" w:rsidR="00D16A96" w:rsidRPr="00131756" w:rsidRDefault="00D16A96"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11,354</w:t>
            </w:r>
          </w:p>
        </w:tc>
        <w:tc>
          <w:tcPr>
            <w:tcW w:w="1150" w:type="dxa"/>
          </w:tcPr>
          <w:p w14:paraId="0EE528FB"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 xml:space="preserve">2,298 </w:t>
            </w:r>
          </w:p>
          <w:p w14:paraId="0861E1A8" w14:textId="77777777" w:rsidR="00D16A96" w:rsidRPr="00131756" w:rsidRDefault="00D16A96"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 xml:space="preserve">(-195) </w:t>
            </w:r>
          </w:p>
        </w:tc>
        <w:tc>
          <w:tcPr>
            <w:tcW w:w="1139" w:type="dxa"/>
          </w:tcPr>
          <w:p w14:paraId="2E1A8D8C"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20.2%</w:t>
            </w:r>
          </w:p>
        </w:tc>
        <w:tc>
          <w:tcPr>
            <w:tcW w:w="1209" w:type="dxa"/>
          </w:tcPr>
          <w:p w14:paraId="4BB51172"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7,182</w:t>
            </w:r>
          </w:p>
          <w:p w14:paraId="7C6B173B" w14:textId="77777777" w:rsidR="00D16A96" w:rsidRPr="00131756" w:rsidRDefault="00D16A96"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(-220)</w:t>
            </w:r>
          </w:p>
        </w:tc>
        <w:tc>
          <w:tcPr>
            <w:tcW w:w="953" w:type="dxa"/>
          </w:tcPr>
          <w:p w14:paraId="336723F3"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996</w:t>
            </w:r>
          </w:p>
          <w:p w14:paraId="16DB0250"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(+415)</w:t>
            </w:r>
          </w:p>
        </w:tc>
        <w:tc>
          <w:tcPr>
            <w:tcW w:w="954" w:type="dxa"/>
          </w:tcPr>
          <w:p w14:paraId="6AF47327"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8.8%</w:t>
            </w:r>
          </w:p>
        </w:tc>
        <w:tc>
          <w:tcPr>
            <w:tcW w:w="1368" w:type="dxa"/>
          </w:tcPr>
          <w:p w14:paraId="3EF292EF"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878</w:t>
            </w:r>
          </w:p>
        </w:tc>
      </w:tr>
      <w:tr w:rsidR="00D16A96" w:rsidRPr="00131756" w14:paraId="60EFF4C0" w14:textId="77777777" w:rsidTr="006F76C9">
        <w:tc>
          <w:tcPr>
            <w:tcW w:w="1448" w:type="dxa"/>
          </w:tcPr>
          <w:p w14:paraId="2338077D"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Lake</w:t>
            </w:r>
          </w:p>
        </w:tc>
        <w:tc>
          <w:tcPr>
            <w:tcW w:w="1129" w:type="dxa"/>
          </w:tcPr>
          <w:p w14:paraId="3783F8B0" w14:textId="77777777" w:rsidR="00D16A96" w:rsidRPr="00131756" w:rsidRDefault="00D16A96"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13,366</w:t>
            </w:r>
          </w:p>
        </w:tc>
        <w:tc>
          <w:tcPr>
            <w:tcW w:w="1150" w:type="dxa"/>
          </w:tcPr>
          <w:p w14:paraId="5CE84D34"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 xml:space="preserve">1,472 </w:t>
            </w:r>
          </w:p>
          <w:p w14:paraId="56E6B8DA" w14:textId="77777777" w:rsidR="00D16A96" w:rsidRPr="00131756" w:rsidRDefault="00D16A96"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(-78 )</w:t>
            </w:r>
          </w:p>
        </w:tc>
        <w:tc>
          <w:tcPr>
            <w:tcW w:w="1139" w:type="dxa"/>
          </w:tcPr>
          <w:p w14:paraId="6C4E71C9"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11.0%</w:t>
            </w:r>
          </w:p>
        </w:tc>
        <w:tc>
          <w:tcPr>
            <w:tcW w:w="1209" w:type="dxa"/>
          </w:tcPr>
          <w:p w14:paraId="1870301F"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5,373</w:t>
            </w:r>
          </w:p>
          <w:p w14:paraId="22F2D1BB" w14:textId="77777777" w:rsidR="00D16A96" w:rsidRPr="00131756" w:rsidRDefault="00D16A96"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(-100)</w:t>
            </w:r>
          </w:p>
        </w:tc>
        <w:tc>
          <w:tcPr>
            <w:tcW w:w="953" w:type="dxa"/>
          </w:tcPr>
          <w:p w14:paraId="5864BCD0"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229</w:t>
            </w:r>
          </w:p>
          <w:p w14:paraId="2BAC5526" w14:textId="77777777" w:rsidR="00D16A96" w:rsidRPr="00131756" w:rsidRDefault="00D16A96" w:rsidP="006F76C9">
            <w:pPr>
              <w:rPr>
                <w:rFonts w:ascii="Times New Roman" w:eastAsia="Calibri" w:hAnsi="Times New Roman" w:cs="Times New Roman"/>
                <w:sz w:val="24"/>
                <w:szCs w:val="24"/>
              </w:rPr>
            </w:pPr>
            <w:r w:rsidRPr="00131756">
              <w:rPr>
                <w:rStyle w:val="markedcontent"/>
                <w:rFonts w:ascii="Times New Roman" w:hAnsi="Times New Roman" w:cs="Times New Roman"/>
                <w:sz w:val="24"/>
                <w:szCs w:val="24"/>
                <w:shd w:val="clear" w:color="auto" w:fill="FFFFFF"/>
              </w:rPr>
              <w:t>(+178)</w:t>
            </w:r>
          </w:p>
        </w:tc>
        <w:tc>
          <w:tcPr>
            <w:tcW w:w="954" w:type="dxa"/>
          </w:tcPr>
          <w:p w14:paraId="0D4B67A0"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1.7%</w:t>
            </w:r>
          </w:p>
        </w:tc>
        <w:tc>
          <w:tcPr>
            <w:tcW w:w="1368" w:type="dxa"/>
          </w:tcPr>
          <w:p w14:paraId="20D33048"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6,292</w:t>
            </w:r>
          </w:p>
        </w:tc>
      </w:tr>
      <w:tr w:rsidR="00D16A96" w:rsidRPr="00131756" w14:paraId="0FD1FA5C" w14:textId="77777777" w:rsidTr="006F76C9">
        <w:tc>
          <w:tcPr>
            <w:tcW w:w="1448" w:type="dxa"/>
          </w:tcPr>
          <w:p w14:paraId="708D453C"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North Fork</w:t>
            </w:r>
          </w:p>
        </w:tc>
        <w:tc>
          <w:tcPr>
            <w:tcW w:w="1129" w:type="dxa"/>
          </w:tcPr>
          <w:p w14:paraId="76A606AE"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11,816</w:t>
            </w:r>
          </w:p>
        </w:tc>
        <w:tc>
          <w:tcPr>
            <w:tcW w:w="1150" w:type="dxa"/>
          </w:tcPr>
          <w:p w14:paraId="5A5B3307"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974</w:t>
            </w:r>
          </w:p>
          <w:p w14:paraId="77C16A15" w14:textId="77777777" w:rsidR="00D16A96" w:rsidRPr="00131756" w:rsidRDefault="00D16A96"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 xml:space="preserve"> (-149) </w:t>
            </w:r>
          </w:p>
        </w:tc>
        <w:tc>
          <w:tcPr>
            <w:tcW w:w="1139" w:type="dxa"/>
          </w:tcPr>
          <w:p w14:paraId="520F9FF7"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8.2%</w:t>
            </w:r>
          </w:p>
        </w:tc>
        <w:tc>
          <w:tcPr>
            <w:tcW w:w="1209" w:type="dxa"/>
          </w:tcPr>
          <w:p w14:paraId="3C7895C8"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3,145</w:t>
            </w:r>
          </w:p>
          <w:p w14:paraId="7916E555" w14:textId="77777777" w:rsidR="00D16A96" w:rsidRPr="00131756" w:rsidRDefault="00D16A96"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 xml:space="preserve"> (-405)</w:t>
            </w:r>
          </w:p>
        </w:tc>
        <w:tc>
          <w:tcPr>
            <w:tcW w:w="953" w:type="dxa"/>
          </w:tcPr>
          <w:p w14:paraId="7E68D93F"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985</w:t>
            </w:r>
          </w:p>
          <w:p w14:paraId="17635155" w14:textId="77777777" w:rsidR="00D16A96" w:rsidRPr="00131756" w:rsidRDefault="00D16A96"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(+554)</w:t>
            </w:r>
          </w:p>
        </w:tc>
        <w:tc>
          <w:tcPr>
            <w:tcW w:w="954" w:type="dxa"/>
          </w:tcPr>
          <w:p w14:paraId="5833DEB4"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8.3%</w:t>
            </w:r>
          </w:p>
        </w:tc>
        <w:tc>
          <w:tcPr>
            <w:tcW w:w="1368" w:type="dxa"/>
          </w:tcPr>
          <w:p w14:paraId="58F37B67"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6,722</w:t>
            </w:r>
          </w:p>
        </w:tc>
      </w:tr>
      <w:tr w:rsidR="00D16A96" w:rsidRPr="00131756" w14:paraId="34C57F45" w14:textId="77777777" w:rsidTr="006F76C9">
        <w:tc>
          <w:tcPr>
            <w:tcW w:w="1448" w:type="dxa"/>
          </w:tcPr>
          <w:p w14:paraId="057E4A08"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Osier</w:t>
            </w:r>
          </w:p>
        </w:tc>
        <w:tc>
          <w:tcPr>
            <w:tcW w:w="1129" w:type="dxa"/>
          </w:tcPr>
          <w:p w14:paraId="58EAC7A2"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12,196</w:t>
            </w:r>
          </w:p>
        </w:tc>
        <w:tc>
          <w:tcPr>
            <w:tcW w:w="1150" w:type="dxa"/>
          </w:tcPr>
          <w:p w14:paraId="41F96A91"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2,923</w:t>
            </w:r>
          </w:p>
          <w:p w14:paraId="187A18EA" w14:textId="77777777" w:rsidR="00D16A96" w:rsidRPr="00131756" w:rsidRDefault="00D16A96"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 xml:space="preserve"> (-466)  </w:t>
            </w:r>
          </w:p>
        </w:tc>
        <w:tc>
          <w:tcPr>
            <w:tcW w:w="1139" w:type="dxa"/>
          </w:tcPr>
          <w:p w14:paraId="1F1A937D"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24.0%</w:t>
            </w:r>
          </w:p>
        </w:tc>
        <w:tc>
          <w:tcPr>
            <w:tcW w:w="1209" w:type="dxa"/>
          </w:tcPr>
          <w:p w14:paraId="5998EB04"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 xml:space="preserve">7,421 </w:t>
            </w:r>
          </w:p>
          <w:p w14:paraId="5A7CD2AA" w14:textId="77777777" w:rsidR="00D16A96" w:rsidRPr="00131756" w:rsidRDefault="00D16A96"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(-1094)</w:t>
            </w:r>
          </w:p>
        </w:tc>
        <w:tc>
          <w:tcPr>
            <w:tcW w:w="953" w:type="dxa"/>
          </w:tcPr>
          <w:p w14:paraId="01AAB847" w14:textId="77777777" w:rsidR="00D16A96" w:rsidRPr="00131756" w:rsidRDefault="00D16A96" w:rsidP="006F76C9">
            <w:pPr>
              <w:rPr>
                <w:rStyle w:val="markedcontent"/>
                <w:rFonts w:ascii="Times New Roman" w:hAnsi="Times New Roman" w:cs="Times New Roman"/>
                <w:sz w:val="24"/>
                <w:szCs w:val="24"/>
                <w:shd w:val="clear" w:color="auto" w:fill="FFFFFF"/>
              </w:rPr>
            </w:pPr>
            <w:r w:rsidRPr="00131756">
              <w:rPr>
                <w:rStyle w:val="markedcontent"/>
                <w:rFonts w:ascii="Times New Roman" w:hAnsi="Times New Roman" w:cs="Times New Roman"/>
                <w:sz w:val="24"/>
                <w:szCs w:val="24"/>
                <w:shd w:val="clear" w:color="auto" w:fill="FFFFFF"/>
              </w:rPr>
              <w:t>1,784</w:t>
            </w:r>
          </w:p>
          <w:p w14:paraId="0D6C1A38" w14:textId="77777777" w:rsidR="00D16A96" w:rsidRPr="00131756" w:rsidRDefault="00D16A96" w:rsidP="006F76C9">
            <w:pPr>
              <w:rPr>
                <w:rFonts w:ascii="Times New Roman" w:hAnsi="Times New Roman" w:cs="Times New Roman"/>
                <w:sz w:val="24"/>
                <w:szCs w:val="24"/>
              </w:rPr>
            </w:pPr>
            <w:r w:rsidRPr="00131756">
              <w:rPr>
                <w:rStyle w:val="markedcontent"/>
                <w:rFonts w:ascii="Times New Roman" w:hAnsi="Times New Roman" w:cs="Times New Roman"/>
                <w:sz w:val="24"/>
                <w:szCs w:val="24"/>
                <w:shd w:val="clear" w:color="auto" w:fill="FFFFFF"/>
              </w:rPr>
              <w:t>(+1560)</w:t>
            </w:r>
          </w:p>
        </w:tc>
        <w:tc>
          <w:tcPr>
            <w:tcW w:w="954" w:type="dxa"/>
          </w:tcPr>
          <w:p w14:paraId="07368016"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14.6%</w:t>
            </w:r>
          </w:p>
        </w:tc>
        <w:tc>
          <w:tcPr>
            <w:tcW w:w="1368" w:type="dxa"/>
          </w:tcPr>
          <w:p w14:paraId="50DC76C7"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68</w:t>
            </w:r>
          </w:p>
        </w:tc>
      </w:tr>
      <w:tr w:rsidR="00D16A96" w:rsidRPr="00131756" w14:paraId="0B5A768D" w14:textId="77777777" w:rsidTr="006F76C9">
        <w:tc>
          <w:tcPr>
            <w:tcW w:w="1448" w:type="dxa"/>
          </w:tcPr>
          <w:p w14:paraId="17B03EC7" w14:textId="77777777" w:rsidR="00D16A96" w:rsidRPr="00131756" w:rsidRDefault="00D16A96" w:rsidP="006F76C9">
            <w:pPr>
              <w:rPr>
                <w:rFonts w:ascii="Times New Roman" w:hAnsi="Times New Roman" w:cs="Times New Roman"/>
                <w:sz w:val="24"/>
                <w:szCs w:val="24"/>
              </w:rPr>
            </w:pPr>
          </w:p>
        </w:tc>
        <w:tc>
          <w:tcPr>
            <w:tcW w:w="1129" w:type="dxa"/>
          </w:tcPr>
          <w:p w14:paraId="5F65216C" w14:textId="77777777" w:rsidR="00D16A96" w:rsidRPr="00131756" w:rsidRDefault="00D16A96" w:rsidP="006F76C9">
            <w:pPr>
              <w:rPr>
                <w:rFonts w:ascii="Times New Roman" w:hAnsi="Times New Roman" w:cs="Times New Roman"/>
                <w:sz w:val="24"/>
                <w:szCs w:val="24"/>
              </w:rPr>
            </w:pPr>
          </w:p>
        </w:tc>
        <w:tc>
          <w:tcPr>
            <w:tcW w:w="1150" w:type="dxa"/>
          </w:tcPr>
          <w:p w14:paraId="45C010DD" w14:textId="77777777" w:rsidR="00D16A96" w:rsidRPr="00131756" w:rsidRDefault="00D16A96" w:rsidP="006F76C9">
            <w:pPr>
              <w:rPr>
                <w:rFonts w:ascii="Times New Roman" w:hAnsi="Times New Roman" w:cs="Times New Roman"/>
                <w:sz w:val="24"/>
                <w:szCs w:val="24"/>
              </w:rPr>
            </w:pPr>
          </w:p>
        </w:tc>
        <w:tc>
          <w:tcPr>
            <w:tcW w:w="1139" w:type="dxa"/>
          </w:tcPr>
          <w:p w14:paraId="7453C5F3" w14:textId="77777777" w:rsidR="00D16A96" w:rsidRPr="00131756" w:rsidRDefault="00D16A96" w:rsidP="006F76C9">
            <w:pPr>
              <w:rPr>
                <w:rFonts w:ascii="Times New Roman" w:hAnsi="Times New Roman" w:cs="Times New Roman"/>
                <w:sz w:val="24"/>
                <w:szCs w:val="24"/>
              </w:rPr>
            </w:pPr>
          </w:p>
        </w:tc>
        <w:tc>
          <w:tcPr>
            <w:tcW w:w="1209" w:type="dxa"/>
          </w:tcPr>
          <w:p w14:paraId="4CDDE90C" w14:textId="77777777" w:rsidR="00D16A96" w:rsidRPr="00131756" w:rsidRDefault="00D16A96" w:rsidP="006F76C9">
            <w:pPr>
              <w:rPr>
                <w:rFonts w:ascii="Times New Roman" w:hAnsi="Times New Roman" w:cs="Times New Roman"/>
                <w:sz w:val="24"/>
                <w:szCs w:val="24"/>
              </w:rPr>
            </w:pPr>
          </w:p>
        </w:tc>
        <w:tc>
          <w:tcPr>
            <w:tcW w:w="953" w:type="dxa"/>
          </w:tcPr>
          <w:p w14:paraId="78424F3E" w14:textId="77777777" w:rsidR="00D16A96" w:rsidRPr="00131756" w:rsidRDefault="00D16A96" w:rsidP="006F76C9">
            <w:pPr>
              <w:rPr>
                <w:rFonts w:ascii="Times New Roman" w:hAnsi="Times New Roman" w:cs="Times New Roman"/>
                <w:sz w:val="24"/>
                <w:szCs w:val="24"/>
              </w:rPr>
            </w:pPr>
          </w:p>
        </w:tc>
        <w:tc>
          <w:tcPr>
            <w:tcW w:w="954" w:type="dxa"/>
          </w:tcPr>
          <w:p w14:paraId="22E6EE38" w14:textId="77777777" w:rsidR="00D16A96" w:rsidRPr="00131756" w:rsidRDefault="00D16A96" w:rsidP="006F76C9">
            <w:pPr>
              <w:rPr>
                <w:rFonts w:ascii="Times New Roman" w:eastAsia="Calibri" w:hAnsi="Times New Roman" w:cs="Times New Roman"/>
                <w:sz w:val="24"/>
                <w:szCs w:val="24"/>
              </w:rPr>
            </w:pPr>
          </w:p>
        </w:tc>
        <w:tc>
          <w:tcPr>
            <w:tcW w:w="1368" w:type="dxa"/>
          </w:tcPr>
          <w:p w14:paraId="104D9504" w14:textId="77777777" w:rsidR="00D16A96" w:rsidRPr="00131756" w:rsidRDefault="00D16A96" w:rsidP="006F76C9">
            <w:pPr>
              <w:rPr>
                <w:rFonts w:ascii="Times New Roman" w:eastAsia="Calibri" w:hAnsi="Times New Roman" w:cs="Times New Roman"/>
                <w:sz w:val="24"/>
                <w:szCs w:val="24"/>
              </w:rPr>
            </w:pPr>
          </w:p>
        </w:tc>
      </w:tr>
      <w:tr w:rsidR="00D16A96" w:rsidRPr="00131756" w14:paraId="642C654A" w14:textId="77777777" w:rsidTr="006F76C9">
        <w:tc>
          <w:tcPr>
            <w:tcW w:w="1448" w:type="dxa"/>
          </w:tcPr>
          <w:p w14:paraId="2882A643"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 xml:space="preserve">Total </w:t>
            </w:r>
          </w:p>
        </w:tc>
        <w:tc>
          <w:tcPr>
            <w:tcW w:w="1129" w:type="dxa"/>
          </w:tcPr>
          <w:p w14:paraId="3731242B"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63,044</w:t>
            </w:r>
          </w:p>
        </w:tc>
        <w:tc>
          <w:tcPr>
            <w:tcW w:w="1150" w:type="dxa"/>
          </w:tcPr>
          <w:p w14:paraId="73455890"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10,445</w:t>
            </w:r>
          </w:p>
          <w:p w14:paraId="46638F70"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(-1259)</w:t>
            </w:r>
          </w:p>
        </w:tc>
        <w:tc>
          <w:tcPr>
            <w:tcW w:w="1139" w:type="dxa"/>
          </w:tcPr>
          <w:p w14:paraId="748290BA"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18.6%</w:t>
            </w:r>
          </w:p>
        </w:tc>
        <w:tc>
          <w:tcPr>
            <w:tcW w:w="1209" w:type="dxa"/>
          </w:tcPr>
          <w:p w14:paraId="4FF735FE"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28,137</w:t>
            </w:r>
          </w:p>
          <w:p w14:paraId="59DF2604"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(-2,370)</w:t>
            </w:r>
          </w:p>
        </w:tc>
        <w:tc>
          <w:tcPr>
            <w:tcW w:w="953" w:type="dxa"/>
          </w:tcPr>
          <w:p w14:paraId="60C25200"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5,075</w:t>
            </w:r>
          </w:p>
          <w:p w14:paraId="19D0AF15" w14:textId="77777777" w:rsidR="00D16A96" w:rsidRPr="00131756" w:rsidRDefault="00D16A96" w:rsidP="006F76C9">
            <w:pPr>
              <w:rPr>
                <w:rFonts w:ascii="Times New Roman" w:hAnsi="Times New Roman" w:cs="Times New Roman"/>
                <w:sz w:val="24"/>
                <w:szCs w:val="24"/>
              </w:rPr>
            </w:pPr>
            <w:r w:rsidRPr="00131756">
              <w:rPr>
                <w:rFonts w:ascii="Times New Roman" w:hAnsi="Times New Roman" w:cs="Times New Roman"/>
                <w:sz w:val="24"/>
                <w:szCs w:val="24"/>
              </w:rPr>
              <w:t>(+3,629)</w:t>
            </w:r>
          </w:p>
        </w:tc>
        <w:tc>
          <w:tcPr>
            <w:tcW w:w="954" w:type="dxa"/>
          </w:tcPr>
          <w:p w14:paraId="75D96D60"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8.1%</w:t>
            </w:r>
          </w:p>
        </w:tc>
        <w:tc>
          <w:tcPr>
            <w:tcW w:w="1368" w:type="dxa"/>
          </w:tcPr>
          <w:p w14:paraId="3145F748" w14:textId="77777777" w:rsidR="00D16A96" w:rsidRPr="00131756" w:rsidRDefault="00D16A96" w:rsidP="006F76C9">
            <w:pPr>
              <w:rPr>
                <w:rFonts w:ascii="Times New Roman" w:eastAsia="Calibri" w:hAnsi="Times New Roman" w:cs="Times New Roman"/>
                <w:sz w:val="24"/>
                <w:szCs w:val="24"/>
              </w:rPr>
            </w:pPr>
            <w:r w:rsidRPr="00131756">
              <w:rPr>
                <w:rFonts w:ascii="Times New Roman" w:eastAsia="Calibri" w:hAnsi="Times New Roman" w:cs="Times New Roman"/>
                <w:sz w:val="24"/>
                <w:szCs w:val="24"/>
              </w:rPr>
              <w:t>19,541</w:t>
            </w:r>
          </w:p>
        </w:tc>
      </w:tr>
    </w:tbl>
    <w:p w14:paraId="1636A373" w14:textId="77777777" w:rsidR="00D16A96" w:rsidRPr="00131756" w:rsidRDefault="00D16A96" w:rsidP="00D16A96">
      <w:pPr>
        <w:spacing w:after="0"/>
        <w:rPr>
          <w:rFonts w:ascii="Times New Roman" w:eastAsia="Calibri" w:hAnsi="Times New Roman" w:cs="Times New Roman"/>
          <w:sz w:val="24"/>
          <w:szCs w:val="24"/>
        </w:rPr>
      </w:pPr>
    </w:p>
    <w:p w14:paraId="492924E7" w14:textId="77777777" w:rsidR="00D16A96" w:rsidRPr="00131756" w:rsidRDefault="00D16A96" w:rsidP="00D16A96">
      <w:pPr>
        <w:spacing w:after="0"/>
        <w:rPr>
          <w:rFonts w:ascii="Times New Roman" w:eastAsia="Calibri" w:hAnsi="Times New Roman" w:cs="Times New Roman"/>
          <w:sz w:val="24"/>
          <w:szCs w:val="24"/>
        </w:rPr>
      </w:pPr>
    </w:p>
    <w:p w14:paraId="56F6C257" w14:textId="4A799F9D" w:rsidR="002C269A" w:rsidRDefault="002C269A" w:rsidP="004F47A2">
      <w:pPr>
        <w:rPr>
          <w:rFonts w:ascii="Times New Roman" w:eastAsia="Calibri" w:hAnsi="Times New Roman" w:cs="Times New Roman"/>
          <w:sz w:val="24"/>
          <w:szCs w:val="24"/>
        </w:rPr>
      </w:pPr>
    </w:p>
    <w:p w14:paraId="01CD2786" w14:textId="77777777" w:rsidR="00AF7650" w:rsidRDefault="00AF765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30858CB" w14:textId="77777777" w:rsidR="00AF7650" w:rsidRPr="00DF1151" w:rsidRDefault="00AF7650" w:rsidP="00AF7650">
      <w:pPr>
        <w:spacing w:after="0"/>
        <w:rPr>
          <w:rFonts w:ascii="Times New Roman" w:eastAsia="Calibri" w:hAnsi="Times New Roman" w:cs="Times New Roman"/>
          <w:b/>
          <w:bCs/>
          <w:sz w:val="24"/>
          <w:szCs w:val="24"/>
        </w:rPr>
      </w:pPr>
      <w:r w:rsidRPr="00DF1151">
        <w:rPr>
          <w:rFonts w:ascii="Times New Roman" w:eastAsia="Calibri" w:hAnsi="Times New Roman" w:cs="Times New Roman"/>
          <w:b/>
          <w:bCs/>
          <w:sz w:val="24"/>
          <w:szCs w:val="24"/>
        </w:rPr>
        <w:lastRenderedPageBreak/>
        <w:t xml:space="preserve">Figure </w:t>
      </w:r>
      <w:r>
        <w:rPr>
          <w:rFonts w:ascii="Times New Roman" w:eastAsia="Calibri" w:hAnsi="Times New Roman" w:cs="Times New Roman"/>
          <w:b/>
          <w:bCs/>
          <w:sz w:val="24"/>
          <w:szCs w:val="24"/>
        </w:rPr>
        <w:t>4</w:t>
      </w:r>
      <w:r w:rsidRPr="00DF1151">
        <w:rPr>
          <w:rFonts w:ascii="Times New Roman" w:eastAsia="Calibri" w:hAnsi="Times New Roman" w:cs="Times New Roman"/>
          <w:b/>
          <w:bCs/>
          <w:sz w:val="24"/>
          <w:szCs w:val="24"/>
        </w:rPr>
        <w:t xml:space="preserve"> – Approximate Location of the proposed Dead Laundry Harvest and Fuel Treatments (Forest Service GIS coverages were unavailable to me)</w:t>
      </w:r>
    </w:p>
    <w:p w14:paraId="22435F74" w14:textId="77777777" w:rsidR="00AF7650" w:rsidRPr="00DF1151" w:rsidRDefault="00AF7650" w:rsidP="00AF7650">
      <w:pPr>
        <w:spacing w:after="0"/>
        <w:rPr>
          <w:rFonts w:ascii="Times New Roman" w:eastAsia="Calibri" w:hAnsi="Times New Roman" w:cs="Times New Roman"/>
          <w:sz w:val="24"/>
          <w:szCs w:val="24"/>
        </w:rPr>
      </w:pPr>
    </w:p>
    <w:p w14:paraId="0DB1BAC9" w14:textId="77777777" w:rsidR="00AF7650" w:rsidRPr="00DF1151" w:rsidRDefault="00AF7650" w:rsidP="00AF7650">
      <w:pPr>
        <w:spacing w:after="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3FBF9D3" wp14:editId="34ABDE82">
            <wp:extent cx="5874026" cy="5664239"/>
            <wp:effectExtent l="0" t="0" r="0" b="0"/>
            <wp:docPr id="11790650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065004" name="Picture 1179065004"/>
                    <pic:cNvPicPr/>
                  </pic:nvPicPr>
                  <pic:blipFill>
                    <a:blip r:embed="rId12">
                      <a:extLst>
                        <a:ext uri="{28A0092B-C50C-407E-A947-70E740481C1C}">
                          <a14:useLocalDpi xmlns:a14="http://schemas.microsoft.com/office/drawing/2010/main" val="0"/>
                        </a:ext>
                      </a:extLst>
                    </a:blip>
                    <a:stretch>
                      <a:fillRect/>
                    </a:stretch>
                  </pic:blipFill>
                  <pic:spPr>
                    <a:xfrm>
                      <a:off x="0" y="0"/>
                      <a:ext cx="5893691" cy="5683202"/>
                    </a:xfrm>
                    <a:prstGeom prst="rect">
                      <a:avLst/>
                    </a:prstGeom>
                  </pic:spPr>
                </pic:pic>
              </a:graphicData>
            </a:graphic>
          </wp:inline>
        </w:drawing>
      </w:r>
    </w:p>
    <w:p w14:paraId="76577C18" w14:textId="77777777" w:rsidR="00AF7650" w:rsidRDefault="00AF7650" w:rsidP="00AF7650">
      <w:pPr>
        <w:spacing w:after="0"/>
        <w:rPr>
          <w:rFonts w:ascii="Times New Roman" w:hAnsi="Times New Roman" w:cs="Times New Roman"/>
          <w:b/>
          <w:bCs/>
          <w:sz w:val="24"/>
          <w:szCs w:val="24"/>
        </w:rPr>
      </w:pPr>
    </w:p>
    <w:p w14:paraId="1540A513" w14:textId="77777777" w:rsidR="00AF7650" w:rsidRDefault="00AF7650" w:rsidP="00AF7650">
      <w:pPr>
        <w:spacing w:after="0"/>
        <w:rPr>
          <w:rFonts w:ascii="Times New Roman" w:hAnsi="Times New Roman" w:cs="Times New Roman"/>
          <w:b/>
          <w:bCs/>
          <w:sz w:val="24"/>
          <w:szCs w:val="24"/>
        </w:rPr>
      </w:pPr>
    </w:p>
    <w:p w14:paraId="6C098338" w14:textId="77777777" w:rsidR="00AF7650" w:rsidRPr="00DF1151" w:rsidRDefault="00AF7650" w:rsidP="00AF7650">
      <w:pPr>
        <w:spacing w:after="0"/>
        <w:rPr>
          <w:rFonts w:ascii="Times New Roman" w:hAnsi="Times New Roman" w:cs="Times New Roman"/>
          <w:b/>
          <w:bCs/>
          <w:sz w:val="24"/>
          <w:szCs w:val="24"/>
        </w:rPr>
      </w:pPr>
      <w:r w:rsidRPr="00DF1151">
        <w:rPr>
          <w:rFonts w:ascii="Times New Roman" w:hAnsi="Times New Roman" w:cs="Times New Roman"/>
          <w:b/>
          <w:bCs/>
          <w:sz w:val="24"/>
          <w:szCs w:val="24"/>
        </w:rPr>
        <w:t>Yellow – Project Area Boundary, Blue=Timber Harvest Units, Green=Old Growth Treatments, Red=</w:t>
      </w:r>
      <w:r>
        <w:rPr>
          <w:rFonts w:ascii="Times New Roman" w:hAnsi="Times New Roman" w:cs="Times New Roman"/>
          <w:b/>
          <w:bCs/>
          <w:sz w:val="24"/>
          <w:szCs w:val="24"/>
        </w:rPr>
        <w:t>Burn/</w:t>
      </w:r>
      <w:r w:rsidRPr="00DF1151">
        <w:rPr>
          <w:rFonts w:ascii="Times New Roman" w:hAnsi="Times New Roman" w:cs="Times New Roman"/>
          <w:b/>
          <w:bCs/>
          <w:sz w:val="24"/>
          <w:szCs w:val="24"/>
        </w:rPr>
        <w:t>Fuel Treatments</w:t>
      </w:r>
    </w:p>
    <w:p w14:paraId="508C0489" w14:textId="2696C9EC" w:rsidR="00AF7650" w:rsidRDefault="00AF765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B921F6E" w14:textId="424E4A7A" w:rsidR="004F47A2" w:rsidRDefault="004F47A2" w:rsidP="004F47A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summary, the proposed Laundry Ridge project is concentrated in </w:t>
      </w:r>
      <w:r w:rsidR="00C76DD3">
        <w:rPr>
          <w:rFonts w:ascii="Times New Roman" w:eastAsia="Calibri" w:hAnsi="Times New Roman" w:cs="Times New Roman"/>
          <w:sz w:val="24"/>
          <w:szCs w:val="24"/>
        </w:rPr>
        <w:t xml:space="preserve">the best fisher habitat in the </w:t>
      </w:r>
      <w:r w:rsidR="00BB2E25">
        <w:rPr>
          <w:rFonts w:ascii="Times New Roman" w:eastAsia="Calibri" w:hAnsi="Times New Roman" w:cs="Times New Roman"/>
          <w:sz w:val="24"/>
          <w:szCs w:val="24"/>
        </w:rPr>
        <w:t xml:space="preserve">Dead Laundry </w:t>
      </w:r>
      <w:r>
        <w:rPr>
          <w:rFonts w:ascii="Times New Roman" w:eastAsia="Calibri" w:hAnsi="Times New Roman" w:cs="Times New Roman"/>
          <w:sz w:val="24"/>
          <w:szCs w:val="24"/>
        </w:rPr>
        <w:t>landscape</w:t>
      </w:r>
      <w:r w:rsidR="00C76DD3">
        <w:rPr>
          <w:rFonts w:ascii="Times New Roman" w:eastAsia="Calibri" w:hAnsi="Times New Roman" w:cs="Times New Roman"/>
          <w:sz w:val="24"/>
          <w:szCs w:val="24"/>
        </w:rPr>
        <w:t xml:space="preserve">. This area has a </w:t>
      </w:r>
      <w:r>
        <w:rPr>
          <w:rFonts w:ascii="Times New Roman" w:eastAsia="Calibri" w:hAnsi="Times New Roman" w:cs="Times New Roman"/>
          <w:sz w:val="24"/>
          <w:szCs w:val="24"/>
        </w:rPr>
        <w:t>lot of previous timber harvest</w:t>
      </w:r>
      <w:r w:rsidR="00C76DD3">
        <w:rPr>
          <w:rFonts w:ascii="Times New Roman" w:eastAsia="Calibri" w:hAnsi="Times New Roman" w:cs="Times New Roman"/>
          <w:sz w:val="24"/>
          <w:szCs w:val="24"/>
        </w:rPr>
        <w:t xml:space="preserve"> and while</w:t>
      </w:r>
      <w:r w:rsidR="00E317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many past regeneration harvest units have now grow up to sapling and pole size classes there is a general lack </w:t>
      </w:r>
      <w:r w:rsidRPr="00DF1151">
        <w:rPr>
          <w:rFonts w:ascii="Times New Roman" w:eastAsia="Calibri" w:hAnsi="Times New Roman" w:cs="Times New Roman"/>
          <w:sz w:val="24"/>
          <w:szCs w:val="24"/>
        </w:rPr>
        <w:t xml:space="preserve">of mature forest </w:t>
      </w:r>
      <w:r>
        <w:rPr>
          <w:rFonts w:ascii="Times New Roman" w:eastAsia="Calibri" w:hAnsi="Times New Roman" w:cs="Times New Roman"/>
          <w:sz w:val="24"/>
          <w:szCs w:val="24"/>
        </w:rPr>
        <w:t>which is an important component of fisher habitat.  The proposed action will remove a significant amount of the existing mature forest and create several new openings in a concentrated area around Osier Creek</w:t>
      </w:r>
      <w:r w:rsidR="00112936">
        <w:rPr>
          <w:rFonts w:ascii="Times New Roman" w:eastAsia="Calibri" w:hAnsi="Times New Roman" w:cs="Times New Roman"/>
          <w:sz w:val="24"/>
          <w:szCs w:val="24"/>
        </w:rPr>
        <w:t>,</w:t>
      </w:r>
      <w:r>
        <w:rPr>
          <w:rFonts w:ascii="Times New Roman" w:eastAsia="Calibri" w:hAnsi="Times New Roman" w:cs="Times New Roman"/>
          <w:sz w:val="24"/>
          <w:szCs w:val="24"/>
        </w:rPr>
        <w:t xml:space="preserve"> Lower Deadwood Creek</w:t>
      </w:r>
      <w:r w:rsidR="00112936">
        <w:rPr>
          <w:rFonts w:ascii="Times New Roman" w:eastAsia="Calibri" w:hAnsi="Times New Roman" w:cs="Times New Roman"/>
          <w:sz w:val="24"/>
          <w:szCs w:val="24"/>
        </w:rPr>
        <w:t xml:space="preserve"> and Deception Gulch</w:t>
      </w:r>
      <w:r>
        <w:rPr>
          <w:rFonts w:ascii="Times New Roman" w:eastAsia="Calibri" w:hAnsi="Times New Roman" w:cs="Times New Roman"/>
          <w:sz w:val="24"/>
          <w:szCs w:val="24"/>
        </w:rPr>
        <w:t xml:space="preserve">.  This will likely displace fishers from this area and remove the potential for fisher occupancy in one or two home ranges.  </w:t>
      </w:r>
    </w:p>
    <w:p w14:paraId="6A8E1D7F" w14:textId="2F5A7C3A" w:rsidR="00E3177F" w:rsidRDefault="00112936" w:rsidP="004F47A2">
      <w:pPr>
        <w:rPr>
          <w:rFonts w:ascii="Times New Roman" w:eastAsia="Calibri" w:hAnsi="Times New Roman" w:cs="Times New Roman"/>
          <w:sz w:val="24"/>
          <w:szCs w:val="24"/>
        </w:rPr>
      </w:pPr>
      <w:r>
        <w:rPr>
          <w:rFonts w:ascii="Times New Roman" w:eastAsia="Calibri" w:hAnsi="Times New Roman" w:cs="Times New Roman"/>
          <w:sz w:val="24"/>
          <w:szCs w:val="24"/>
        </w:rPr>
        <w:t xml:space="preserve">Areas outside of the project area are largely roadless and have significantly more open habitat than what is found within the project area. </w:t>
      </w:r>
      <w:r w:rsidR="00E3177F" w:rsidRPr="00D87A11">
        <w:rPr>
          <w:rFonts w:ascii="Times New Roman" w:hAnsi="Times New Roman" w:cs="Times New Roman"/>
          <w:sz w:val="24"/>
          <w:szCs w:val="24"/>
        </w:rPr>
        <w:t>Sauder and Rachlow (2014) report that “in our study area, composition and configuration of roadless areas differed significantly from occupied fisher home ranges, suggesting that roadless areas might not be preferred fisher habitat in this region.  The abundance of open areas was significantly higher and the proximity of mature forest patches was significantly reduced in roadless landscapes relative to occupied fisher home ranges.</w:t>
      </w:r>
      <w:r w:rsidR="00E3177F">
        <w:rPr>
          <w:rFonts w:ascii="Times New Roman" w:hAnsi="Times New Roman" w:cs="Times New Roman"/>
          <w:sz w:val="24"/>
          <w:szCs w:val="24"/>
        </w:rPr>
        <w:t>”</w:t>
      </w:r>
      <w:r w:rsidR="00E3177F" w:rsidRPr="00D87A11">
        <w:rPr>
          <w:rFonts w:ascii="Times New Roman" w:hAnsi="Times New Roman" w:cs="Times New Roman"/>
          <w:sz w:val="24"/>
          <w:szCs w:val="24"/>
        </w:rPr>
        <w:t xml:space="preserve">  </w:t>
      </w:r>
      <w:r>
        <w:rPr>
          <w:rFonts w:ascii="Times New Roman" w:eastAsia="Calibri" w:hAnsi="Times New Roman" w:cs="Times New Roman"/>
          <w:sz w:val="24"/>
          <w:szCs w:val="24"/>
        </w:rPr>
        <w:t>Counting on these areas for fisher</w:t>
      </w:r>
      <w:r w:rsidR="00C76DD3">
        <w:rPr>
          <w:rFonts w:ascii="Times New Roman" w:eastAsia="Calibri" w:hAnsi="Times New Roman" w:cs="Times New Roman"/>
          <w:sz w:val="24"/>
          <w:szCs w:val="24"/>
        </w:rPr>
        <w:t xml:space="preserve"> habitat is likely to put the species at risk especially since the Nez Perce – Clearwater NF is targeting the “roaded front” with numerous other timber sales.</w:t>
      </w:r>
    </w:p>
    <w:p w14:paraId="4A073C62" w14:textId="66F7F3EE" w:rsidR="00BE501C" w:rsidRPr="00D87A11" w:rsidRDefault="00E3177F" w:rsidP="00BE501C">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Other projects that are being implemented or planned in the roaded front on the Nez Perce Clearwater NF include: </w:t>
      </w:r>
      <w:bookmarkStart w:id="3" w:name="_Hlk135127315"/>
      <w:r>
        <w:rPr>
          <w:rFonts w:ascii="Times New Roman" w:hAnsi="Times New Roman" w:cs="Times New Roman"/>
          <w:sz w:val="24"/>
          <w:szCs w:val="24"/>
          <w:shd w:val="clear" w:color="auto" w:fill="FFFFFF"/>
        </w:rPr>
        <w:t>Hungry Ridge, Twenty-mile,</w:t>
      </w:r>
      <w:r w:rsidR="00BE501C">
        <w:rPr>
          <w:rFonts w:ascii="Times New Roman" w:hAnsi="Times New Roman" w:cs="Times New Roman"/>
          <w:sz w:val="24"/>
          <w:szCs w:val="24"/>
          <w:shd w:val="clear" w:color="auto" w:fill="FFFFFF"/>
        </w:rPr>
        <w:t xml:space="preserve"> End of the World, Green Horse, Limber Elk</w:t>
      </w:r>
      <w:r>
        <w:rPr>
          <w:rFonts w:ascii="Times New Roman" w:hAnsi="Times New Roman" w:cs="Times New Roman"/>
          <w:sz w:val="24"/>
          <w:szCs w:val="24"/>
          <w:shd w:val="clear" w:color="auto" w:fill="FFFFFF"/>
        </w:rPr>
        <w:t xml:space="preserve">, </w:t>
      </w:r>
      <w:r w:rsidR="00BE501C">
        <w:rPr>
          <w:rFonts w:ascii="Times New Roman" w:hAnsi="Times New Roman" w:cs="Times New Roman"/>
          <w:sz w:val="24"/>
          <w:szCs w:val="24"/>
          <w:shd w:val="clear" w:color="auto" w:fill="FFFFFF"/>
        </w:rPr>
        <w:t>Red Siegel</w:t>
      </w:r>
      <w:r>
        <w:rPr>
          <w:rFonts w:ascii="Times New Roman" w:hAnsi="Times New Roman" w:cs="Times New Roman"/>
          <w:sz w:val="24"/>
          <w:szCs w:val="24"/>
          <w:shd w:val="clear" w:color="auto" w:fill="FFFFFF"/>
        </w:rPr>
        <w:t>,</w:t>
      </w:r>
      <w:r w:rsidR="00BE501C" w:rsidRPr="00D87A11">
        <w:rPr>
          <w:rFonts w:ascii="Times New Roman" w:hAnsi="Times New Roman" w:cs="Times New Roman"/>
          <w:sz w:val="24"/>
          <w:szCs w:val="24"/>
        </w:rPr>
        <w:t xml:space="preserve"> Center Johnson, </w:t>
      </w:r>
      <w:r w:rsidR="00BE501C" w:rsidRPr="00D87A11">
        <w:rPr>
          <w:rFonts w:ascii="Times New Roman" w:eastAsia="Calibri" w:hAnsi="Times New Roman" w:cs="Times New Roman"/>
          <w:sz w:val="24"/>
          <w:szCs w:val="24"/>
        </w:rPr>
        <w:t>Clear Creek</w:t>
      </w:r>
      <w:r w:rsidR="00BE501C" w:rsidRPr="00D87A11">
        <w:rPr>
          <w:rFonts w:ascii="Times New Roman" w:hAnsi="Times New Roman" w:cs="Times New Roman"/>
          <w:sz w:val="24"/>
          <w:szCs w:val="24"/>
        </w:rPr>
        <w:t xml:space="preserve">, </w:t>
      </w:r>
      <w:r w:rsidR="00BE501C" w:rsidRPr="00D87A11">
        <w:rPr>
          <w:rFonts w:ascii="Times New Roman" w:eastAsia="Calibri" w:hAnsi="Times New Roman" w:cs="Times New Roman"/>
          <w:sz w:val="24"/>
          <w:szCs w:val="24"/>
        </w:rPr>
        <w:t>Crane Point,</w:t>
      </w:r>
      <w:r w:rsidR="00BE501C" w:rsidRPr="00D87A11">
        <w:rPr>
          <w:rFonts w:ascii="Times New Roman" w:hAnsi="Times New Roman" w:cs="Times New Roman"/>
          <w:sz w:val="24"/>
          <w:szCs w:val="24"/>
        </w:rPr>
        <w:t xml:space="preserve"> </w:t>
      </w:r>
      <w:r w:rsidR="00BE501C" w:rsidRPr="00D87A11">
        <w:rPr>
          <w:rFonts w:ascii="Times New Roman" w:eastAsia="Calibri" w:hAnsi="Times New Roman" w:cs="Times New Roman"/>
          <w:sz w:val="24"/>
          <w:szCs w:val="24"/>
        </w:rPr>
        <w:t>Dead Laundry, Dixie-Comstock Community, East Saddle</w:t>
      </w:r>
      <w:r w:rsidR="00BE501C" w:rsidRPr="00D87A11">
        <w:rPr>
          <w:rFonts w:ascii="Times New Roman" w:hAnsi="Times New Roman" w:cs="Times New Roman"/>
          <w:sz w:val="24"/>
          <w:szCs w:val="24"/>
        </w:rPr>
        <w:t xml:space="preserve">, </w:t>
      </w:r>
      <w:r w:rsidR="00BE501C" w:rsidRPr="00D87A11">
        <w:rPr>
          <w:rFonts w:ascii="Times New Roman" w:eastAsia="Calibri" w:hAnsi="Times New Roman" w:cs="Times New Roman"/>
          <w:sz w:val="24"/>
          <w:szCs w:val="24"/>
        </w:rPr>
        <w:t>French Larch, Gold Hill,</w:t>
      </w:r>
      <w:r w:rsidR="00BE501C">
        <w:rPr>
          <w:rFonts w:ascii="Times New Roman" w:eastAsia="Calibri" w:hAnsi="Times New Roman" w:cs="Times New Roman"/>
          <w:sz w:val="24"/>
          <w:szCs w:val="24"/>
        </w:rPr>
        <w:t xml:space="preserve"> </w:t>
      </w:r>
      <w:r w:rsidR="00BE501C" w:rsidRPr="00D87A11">
        <w:rPr>
          <w:rFonts w:ascii="Times New Roman" w:eastAsia="Calibri" w:hAnsi="Times New Roman" w:cs="Times New Roman"/>
          <w:sz w:val="24"/>
          <w:szCs w:val="24"/>
        </w:rPr>
        <w:t>Histloc Fuels,</w:t>
      </w:r>
      <w:r w:rsidR="00BE501C" w:rsidRPr="00D87A11">
        <w:rPr>
          <w:rFonts w:ascii="Times New Roman" w:hAnsi="Times New Roman" w:cs="Times New Roman"/>
          <w:sz w:val="24"/>
          <w:szCs w:val="24"/>
        </w:rPr>
        <w:t xml:space="preserve"> </w:t>
      </w:r>
      <w:r w:rsidR="00BE501C" w:rsidRPr="00D87A11">
        <w:rPr>
          <w:rFonts w:ascii="Times New Roman" w:eastAsia="Calibri" w:hAnsi="Times New Roman" w:cs="Times New Roman"/>
          <w:sz w:val="24"/>
          <w:szCs w:val="24"/>
        </w:rPr>
        <w:t xml:space="preserve">Johnson Bar, </w:t>
      </w:r>
      <w:r w:rsidR="00BE501C" w:rsidRPr="00D87A11">
        <w:rPr>
          <w:rFonts w:ascii="Times New Roman" w:hAnsi="Times New Roman" w:cs="Times New Roman"/>
          <w:sz w:val="24"/>
          <w:szCs w:val="24"/>
        </w:rPr>
        <w:t>Little Boulder</w:t>
      </w:r>
      <w:r w:rsidR="00BE501C" w:rsidRPr="00D87A11">
        <w:rPr>
          <w:rFonts w:ascii="Times New Roman" w:eastAsia="Calibri" w:hAnsi="Times New Roman" w:cs="Times New Roman"/>
          <w:sz w:val="24"/>
          <w:szCs w:val="24"/>
        </w:rPr>
        <w:t xml:space="preserve">, </w:t>
      </w:r>
      <w:r w:rsidR="00BE501C" w:rsidRPr="00D87A11">
        <w:rPr>
          <w:rFonts w:ascii="Times New Roman" w:hAnsi="Times New Roman" w:cs="Times New Roman"/>
          <w:sz w:val="24"/>
          <w:szCs w:val="24"/>
        </w:rPr>
        <w:t>Lolo Creek,</w:t>
      </w:r>
      <w:r w:rsidR="00BE501C" w:rsidRPr="00D87A11">
        <w:rPr>
          <w:rFonts w:ascii="Times New Roman" w:eastAsia="Calibri" w:hAnsi="Times New Roman" w:cs="Times New Roman"/>
          <w:sz w:val="24"/>
          <w:szCs w:val="24"/>
        </w:rPr>
        <w:t xml:space="preserve"> Lowell WUI, Lower Orogrande, Newsome Fuels, Northside Powell,, Parachute Fuel, Pete King, </w:t>
      </w:r>
      <w:r w:rsidR="00BE501C" w:rsidRPr="00D87A11">
        <w:rPr>
          <w:rFonts w:ascii="Times New Roman" w:hAnsi="Times New Roman" w:cs="Times New Roman"/>
          <w:sz w:val="24"/>
          <w:szCs w:val="24"/>
        </w:rPr>
        <w:t>Red Moose Divide</w:t>
      </w:r>
      <w:r w:rsidR="00BE501C" w:rsidRPr="00D87A11">
        <w:rPr>
          <w:rFonts w:ascii="Times New Roman" w:eastAsia="Calibri" w:hAnsi="Times New Roman" w:cs="Times New Roman"/>
          <w:sz w:val="24"/>
          <w:szCs w:val="24"/>
        </w:rPr>
        <w:t xml:space="preserve">, </w:t>
      </w:r>
      <w:r w:rsidR="00BE501C" w:rsidRPr="00D87A11">
        <w:rPr>
          <w:rFonts w:ascii="Times New Roman" w:hAnsi="Times New Roman" w:cs="Times New Roman"/>
          <w:sz w:val="24"/>
          <w:szCs w:val="24"/>
        </w:rPr>
        <w:t>Section 16,</w:t>
      </w:r>
      <w:r w:rsidR="00BE501C" w:rsidRPr="00D87A11">
        <w:rPr>
          <w:rFonts w:ascii="Times New Roman" w:eastAsia="Calibri" w:hAnsi="Times New Roman" w:cs="Times New Roman"/>
          <w:sz w:val="24"/>
          <w:szCs w:val="24"/>
        </w:rPr>
        <w:t xml:space="preserve"> Smith Ridge, </w:t>
      </w:r>
      <w:r w:rsidR="00BE501C" w:rsidRPr="00D87A11">
        <w:rPr>
          <w:rFonts w:ascii="Times New Roman" w:hAnsi="Times New Roman" w:cs="Times New Roman"/>
          <w:sz w:val="24"/>
          <w:szCs w:val="24"/>
        </w:rPr>
        <w:t>Stray Creek</w:t>
      </w:r>
      <w:r w:rsidR="00BE501C" w:rsidRPr="00D87A11">
        <w:rPr>
          <w:rFonts w:ascii="Times New Roman" w:eastAsia="Calibri" w:hAnsi="Times New Roman" w:cs="Times New Roman"/>
          <w:sz w:val="24"/>
          <w:szCs w:val="24"/>
        </w:rPr>
        <w:t xml:space="preserve">, </w:t>
      </w:r>
      <w:r w:rsidR="00BE501C" w:rsidRPr="00D87A11">
        <w:rPr>
          <w:rFonts w:ascii="Times New Roman" w:hAnsi="Times New Roman" w:cs="Times New Roman"/>
          <w:sz w:val="24"/>
          <w:szCs w:val="24"/>
        </w:rPr>
        <w:t>Tinker Bugs, White Pine, Windy Shingle and Longleaf</w:t>
      </w:r>
      <w:bookmarkEnd w:id="3"/>
      <w:r w:rsidR="00BE501C" w:rsidRPr="00D87A11">
        <w:rPr>
          <w:rFonts w:ascii="Times New Roman" w:hAnsi="Times New Roman" w:cs="Times New Roman"/>
          <w:sz w:val="24"/>
          <w:szCs w:val="24"/>
        </w:rPr>
        <w:t xml:space="preserve">. </w:t>
      </w:r>
    </w:p>
    <w:p w14:paraId="07A90A34" w14:textId="31E3D96B" w:rsidR="00616F0B" w:rsidRPr="00DF1151" w:rsidRDefault="00BE501C" w:rsidP="00D16A96">
      <w:pPr>
        <w:spacing w:line="240" w:lineRule="auto"/>
        <w:rPr>
          <w:rFonts w:ascii="Times New Roman" w:hAnsi="Times New Roman" w:cs="Times New Roman"/>
          <w:sz w:val="24"/>
          <w:szCs w:val="24"/>
        </w:rPr>
      </w:pPr>
      <w:r w:rsidRPr="00D87A11">
        <w:rPr>
          <w:rFonts w:ascii="Times New Roman" w:hAnsi="Times New Roman" w:cs="Times New Roman"/>
          <w:sz w:val="24"/>
          <w:szCs w:val="24"/>
        </w:rPr>
        <w:t xml:space="preserve">Most of these proposed projects occur in low elevation areas preferred by the fisher and they will harvest and fragment thousands of acres of mature forest in an area that has been termed the roaded front.  </w:t>
      </w:r>
      <w:r w:rsidR="00BB2E25">
        <w:rPr>
          <w:rFonts w:ascii="Times New Roman" w:hAnsi="Times New Roman" w:cs="Times New Roman"/>
          <w:sz w:val="24"/>
          <w:szCs w:val="24"/>
        </w:rPr>
        <w:t xml:space="preserve">Examination of several of these projects suggests that many potential home ranges will be reduced well below the recommendations of Sauder and Rachlow (2014).   </w:t>
      </w:r>
      <w:r w:rsidRPr="00D87A11">
        <w:rPr>
          <w:rFonts w:ascii="Times New Roman" w:hAnsi="Times New Roman" w:cs="Times New Roman"/>
          <w:sz w:val="24"/>
          <w:szCs w:val="24"/>
        </w:rPr>
        <w:t xml:space="preserve">These are the most productive areas on the Nez Perce-Clearwater National Forest and the best habitat for the fisher because of the productive forest types that are found there.  </w:t>
      </w:r>
      <w:bookmarkStart w:id="4" w:name="_Hlk134264369"/>
      <w:r w:rsidR="00BB2E25">
        <w:rPr>
          <w:rFonts w:ascii="Times New Roman" w:hAnsi="Times New Roman" w:cs="Times New Roman"/>
          <w:sz w:val="24"/>
          <w:szCs w:val="24"/>
        </w:rPr>
        <w:t xml:space="preserve">A more comprehensive analysis of the impact of all of this activity </w:t>
      </w:r>
      <w:r w:rsidR="00852B5F">
        <w:rPr>
          <w:rFonts w:ascii="Times New Roman" w:hAnsi="Times New Roman" w:cs="Times New Roman"/>
          <w:sz w:val="24"/>
          <w:szCs w:val="24"/>
        </w:rPr>
        <w:t xml:space="preserve">on fishers </w:t>
      </w:r>
      <w:r w:rsidR="00BB2E25">
        <w:rPr>
          <w:rFonts w:ascii="Times New Roman" w:hAnsi="Times New Roman" w:cs="Times New Roman"/>
          <w:sz w:val="24"/>
          <w:szCs w:val="24"/>
        </w:rPr>
        <w:t>needs to be conducted.</w:t>
      </w:r>
      <w:bookmarkEnd w:id="4"/>
      <w:r w:rsidR="00A90F0F" w:rsidRPr="00DF1151">
        <w:rPr>
          <w:rFonts w:ascii="Times New Roman" w:eastAsia="Calibri" w:hAnsi="Times New Roman" w:cs="Times New Roman"/>
          <w:sz w:val="24"/>
          <w:szCs w:val="24"/>
        </w:rPr>
        <w:br w:type="page"/>
      </w:r>
    </w:p>
    <w:p w14:paraId="63E3390B" w14:textId="7D078FA3" w:rsidR="007B45C4" w:rsidRDefault="007B45C4" w:rsidP="007B45C4">
      <w:pPr>
        <w:spacing w:before="240" w:line="240" w:lineRule="auto"/>
        <w:contextualSpacing/>
        <w:rPr>
          <w:rFonts w:ascii="Times New Roman" w:hAnsi="Times New Roman"/>
          <w:b/>
          <w:sz w:val="24"/>
          <w:szCs w:val="24"/>
        </w:rPr>
      </w:pPr>
      <w:r>
        <w:rPr>
          <w:rFonts w:ascii="Times New Roman" w:hAnsi="Times New Roman"/>
          <w:b/>
          <w:sz w:val="24"/>
          <w:szCs w:val="24"/>
        </w:rPr>
        <w:lastRenderedPageBreak/>
        <w:t xml:space="preserve">Objection </w:t>
      </w:r>
      <w:r w:rsidR="000F44FA">
        <w:rPr>
          <w:rFonts w:ascii="Times New Roman" w:hAnsi="Times New Roman"/>
          <w:b/>
          <w:sz w:val="24"/>
          <w:szCs w:val="24"/>
        </w:rPr>
        <w:t>1</w:t>
      </w:r>
      <w:r w:rsidR="0076257C">
        <w:rPr>
          <w:rFonts w:ascii="Times New Roman" w:hAnsi="Times New Roman"/>
          <w:b/>
          <w:sz w:val="24"/>
          <w:szCs w:val="24"/>
        </w:rPr>
        <w:t>4</w:t>
      </w:r>
      <w:r>
        <w:rPr>
          <w:rFonts w:ascii="Times New Roman" w:hAnsi="Times New Roman"/>
          <w:b/>
          <w:sz w:val="24"/>
          <w:szCs w:val="24"/>
        </w:rPr>
        <w:t xml:space="preserve"> - The goshawk analysis</w:t>
      </w:r>
      <w:r w:rsidRPr="00FE78EE">
        <w:rPr>
          <w:rFonts w:ascii="Times New Roman" w:hAnsi="Times New Roman"/>
          <w:b/>
          <w:sz w:val="24"/>
          <w:szCs w:val="24"/>
        </w:rPr>
        <w:t xml:space="preserve"> </w:t>
      </w:r>
      <w:r>
        <w:rPr>
          <w:rFonts w:ascii="Times New Roman" w:hAnsi="Times New Roman"/>
          <w:b/>
          <w:sz w:val="24"/>
          <w:szCs w:val="24"/>
        </w:rPr>
        <w:t xml:space="preserve">generally dismisses impacts to the species by suggesting sufficient habitat is available </w:t>
      </w:r>
      <w:r w:rsidR="0094495F">
        <w:rPr>
          <w:rFonts w:ascii="Times New Roman" w:hAnsi="Times New Roman"/>
          <w:b/>
          <w:sz w:val="24"/>
          <w:szCs w:val="24"/>
        </w:rPr>
        <w:t>across the Forest</w:t>
      </w:r>
      <w:r>
        <w:rPr>
          <w:rFonts w:ascii="Times New Roman" w:hAnsi="Times New Roman"/>
          <w:b/>
          <w:sz w:val="24"/>
          <w:szCs w:val="24"/>
        </w:rPr>
        <w:t>. No thresholds of concern have been identified and the impact of cumulative effects has largely been ignored.</w:t>
      </w:r>
    </w:p>
    <w:p w14:paraId="1F104792" w14:textId="77777777" w:rsidR="007B45C4" w:rsidRPr="00FE78EE" w:rsidRDefault="007B45C4" w:rsidP="007B45C4">
      <w:pPr>
        <w:spacing w:before="240" w:line="240" w:lineRule="auto"/>
        <w:contextualSpacing/>
        <w:rPr>
          <w:rFonts w:ascii="Times New Roman" w:hAnsi="Times New Roman"/>
          <w:b/>
          <w:sz w:val="24"/>
          <w:szCs w:val="24"/>
        </w:rPr>
      </w:pPr>
      <w:r w:rsidRPr="00FE78EE">
        <w:rPr>
          <w:rFonts w:ascii="Times New Roman" w:hAnsi="Times New Roman"/>
          <w:b/>
          <w:sz w:val="24"/>
          <w:szCs w:val="24"/>
        </w:rPr>
        <w:t xml:space="preserve"> </w:t>
      </w:r>
    </w:p>
    <w:p w14:paraId="4B564546" w14:textId="04668FCB" w:rsidR="00D25F52" w:rsidRDefault="007B45C4" w:rsidP="007B45C4">
      <w:pPr>
        <w:spacing w:before="240"/>
        <w:contextualSpacing/>
        <w:rPr>
          <w:rFonts w:ascii="Times New Roman" w:hAnsi="Times New Roman"/>
          <w:sz w:val="24"/>
          <w:szCs w:val="24"/>
        </w:rPr>
      </w:pPr>
      <w:r w:rsidRPr="004D7829">
        <w:rPr>
          <w:rFonts w:ascii="Times New Roman" w:hAnsi="Times New Roman"/>
          <w:sz w:val="24"/>
          <w:szCs w:val="24"/>
        </w:rPr>
        <w:t>The goshawk analysis relies strictly on data base queries and makes no assessment of meaningful thresholds of habitat loss that would affect the goshawk. The analysis does a very poor job of first identifying suitable</w:t>
      </w:r>
      <w:r w:rsidR="00D25F52">
        <w:rPr>
          <w:rFonts w:ascii="Times New Roman" w:hAnsi="Times New Roman"/>
          <w:sz w:val="24"/>
          <w:szCs w:val="24"/>
        </w:rPr>
        <w:t xml:space="preserve"> </w:t>
      </w:r>
      <w:r w:rsidRPr="004D7829">
        <w:rPr>
          <w:rFonts w:ascii="Times New Roman" w:hAnsi="Times New Roman"/>
          <w:sz w:val="24"/>
          <w:szCs w:val="24"/>
        </w:rPr>
        <w:t>habitat and then of addressing the impacts of the project on the species.</w:t>
      </w:r>
      <w:r w:rsidR="00D25F52">
        <w:rPr>
          <w:rFonts w:ascii="Times New Roman" w:hAnsi="Times New Roman"/>
          <w:sz w:val="24"/>
          <w:szCs w:val="24"/>
        </w:rPr>
        <w:t xml:space="preserve"> </w:t>
      </w:r>
      <w:r w:rsidR="002553CA">
        <w:rPr>
          <w:rFonts w:ascii="Times New Roman" w:hAnsi="Times New Roman"/>
          <w:sz w:val="24"/>
          <w:szCs w:val="24"/>
        </w:rPr>
        <w:t xml:space="preserve">According to the Wildlife Report, </w:t>
      </w:r>
      <w:r w:rsidR="00D25F52">
        <w:rPr>
          <w:rFonts w:ascii="Times New Roman" w:hAnsi="Times New Roman"/>
          <w:sz w:val="24"/>
          <w:szCs w:val="24"/>
        </w:rPr>
        <w:t>there are 3,255 acres of nesting habitat</w:t>
      </w:r>
      <w:r w:rsidR="003A431D">
        <w:rPr>
          <w:rFonts w:ascii="Times New Roman" w:hAnsi="Times New Roman"/>
          <w:sz w:val="24"/>
          <w:szCs w:val="24"/>
        </w:rPr>
        <w:t xml:space="preserve"> (Average DBH 15+ inches)</w:t>
      </w:r>
      <w:r w:rsidR="00D25F52">
        <w:rPr>
          <w:rFonts w:ascii="Times New Roman" w:hAnsi="Times New Roman"/>
          <w:sz w:val="24"/>
          <w:szCs w:val="24"/>
        </w:rPr>
        <w:t xml:space="preserve"> and </w:t>
      </w:r>
      <w:r w:rsidR="003A431D">
        <w:rPr>
          <w:rFonts w:ascii="Times New Roman" w:hAnsi="Times New Roman"/>
          <w:sz w:val="24"/>
          <w:szCs w:val="24"/>
        </w:rPr>
        <w:t xml:space="preserve">22,969-acres of foraging habitat (Average DBH 10+ inches). </w:t>
      </w:r>
      <w:r w:rsidR="00014F5B">
        <w:rPr>
          <w:rFonts w:ascii="Times New Roman" w:hAnsi="Times New Roman"/>
          <w:sz w:val="24"/>
          <w:szCs w:val="24"/>
        </w:rPr>
        <w:t xml:space="preserve"> Nesting habitat is also considered foraging habitat.</w:t>
      </w:r>
    </w:p>
    <w:p w14:paraId="3B263C61" w14:textId="77777777" w:rsidR="00D25F52" w:rsidRDefault="00D25F52" w:rsidP="007B45C4">
      <w:pPr>
        <w:spacing w:before="240"/>
        <w:contextualSpacing/>
        <w:rPr>
          <w:rFonts w:ascii="Times New Roman" w:hAnsi="Times New Roman"/>
          <w:sz w:val="24"/>
          <w:szCs w:val="24"/>
        </w:rPr>
      </w:pPr>
    </w:p>
    <w:p w14:paraId="38963EDF" w14:textId="0523CA8C" w:rsidR="00C95640" w:rsidRDefault="003A431D" w:rsidP="007B45C4">
      <w:pPr>
        <w:spacing w:before="240"/>
        <w:contextualSpacing/>
        <w:rPr>
          <w:rFonts w:ascii="Times New Roman" w:hAnsi="Times New Roman"/>
          <w:sz w:val="24"/>
          <w:szCs w:val="24"/>
        </w:rPr>
      </w:pPr>
      <w:r>
        <w:rPr>
          <w:rFonts w:ascii="Times New Roman" w:hAnsi="Times New Roman"/>
          <w:sz w:val="24"/>
          <w:szCs w:val="24"/>
        </w:rPr>
        <w:t>According to the</w:t>
      </w:r>
      <w:r w:rsidR="002553CA">
        <w:rPr>
          <w:rFonts w:ascii="Times New Roman" w:hAnsi="Times New Roman"/>
          <w:sz w:val="24"/>
          <w:szCs w:val="24"/>
        </w:rPr>
        <w:t xml:space="preserve"> </w:t>
      </w:r>
      <w:r w:rsidR="007D6036">
        <w:rPr>
          <w:rFonts w:ascii="Times New Roman" w:hAnsi="Times New Roman"/>
          <w:sz w:val="24"/>
          <w:szCs w:val="24"/>
        </w:rPr>
        <w:t xml:space="preserve">Vegetation Analysis </w:t>
      </w:r>
      <w:r>
        <w:rPr>
          <w:rFonts w:ascii="Times New Roman" w:hAnsi="Times New Roman"/>
          <w:sz w:val="24"/>
          <w:szCs w:val="24"/>
        </w:rPr>
        <w:t xml:space="preserve">(Summarized in </w:t>
      </w:r>
      <w:r w:rsidR="007D6036">
        <w:rPr>
          <w:rFonts w:ascii="Times New Roman" w:hAnsi="Times New Roman"/>
          <w:sz w:val="24"/>
          <w:szCs w:val="24"/>
        </w:rPr>
        <w:t>Table</w:t>
      </w:r>
      <w:r>
        <w:rPr>
          <w:rFonts w:ascii="Times New Roman" w:hAnsi="Times New Roman"/>
          <w:sz w:val="24"/>
          <w:szCs w:val="24"/>
        </w:rPr>
        <w:t xml:space="preserve"> 4</w:t>
      </w:r>
      <w:r w:rsidR="007B45C4" w:rsidRPr="004D7829">
        <w:rPr>
          <w:rFonts w:ascii="Times New Roman" w:hAnsi="Times New Roman"/>
          <w:sz w:val="24"/>
          <w:szCs w:val="24"/>
        </w:rPr>
        <w:t xml:space="preserve">) </w:t>
      </w:r>
      <w:r>
        <w:rPr>
          <w:rFonts w:ascii="Times New Roman" w:hAnsi="Times New Roman"/>
          <w:sz w:val="24"/>
          <w:szCs w:val="24"/>
        </w:rPr>
        <w:t xml:space="preserve">there are at least </w:t>
      </w:r>
      <w:r w:rsidR="007D6036">
        <w:rPr>
          <w:rFonts w:ascii="Times New Roman" w:hAnsi="Times New Roman"/>
          <w:sz w:val="24"/>
          <w:szCs w:val="24"/>
        </w:rPr>
        <w:t>2,375-acres</w:t>
      </w:r>
      <w:r w:rsidR="007B45C4" w:rsidRPr="004D7829">
        <w:rPr>
          <w:rFonts w:ascii="Times New Roman" w:hAnsi="Times New Roman"/>
          <w:sz w:val="24"/>
          <w:szCs w:val="24"/>
        </w:rPr>
        <w:t xml:space="preserve"> of the project area consist</w:t>
      </w:r>
      <w:r>
        <w:rPr>
          <w:rFonts w:ascii="Times New Roman" w:hAnsi="Times New Roman"/>
          <w:sz w:val="24"/>
          <w:szCs w:val="24"/>
        </w:rPr>
        <w:t>ing of</w:t>
      </w:r>
      <w:r w:rsidR="007B45C4" w:rsidRPr="004D7829">
        <w:rPr>
          <w:rFonts w:ascii="Times New Roman" w:hAnsi="Times New Roman"/>
          <w:sz w:val="24"/>
          <w:szCs w:val="24"/>
        </w:rPr>
        <w:t xml:space="preserve"> stands with average DBH &gt; 20 inches and </w:t>
      </w:r>
      <w:r w:rsidR="007D6036">
        <w:rPr>
          <w:rFonts w:ascii="Times New Roman" w:hAnsi="Times New Roman"/>
          <w:sz w:val="24"/>
          <w:szCs w:val="24"/>
        </w:rPr>
        <w:t xml:space="preserve">12,037-acres </w:t>
      </w:r>
      <w:r w:rsidR="007B45C4" w:rsidRPr="004D7829">
        <w:rPr>
          <w:rFonts w:ascii="Times New Roman" w:hAnsi="Times New Roman"/>
          <w:sz w:val="24"/>
          <w:szCs w:val="24"/>
        </w:rPr>
        <w:t xml:space="preserve">of the project area </w:t>
      </w:r>
      <w:r w:rsidR="002553CA">
        <w:rPr>
          <w:rFonts w:ascii="Times New Roman" w:hAnsi="Times New Roman"/>
          <w:sz w:val="24"/>
          <w:szCs w:val="24"/>
        </w:rPr>
        <w:t>consisting of</w:t>
      </w:r>
      <w:r w:rsidR="007B45C4" w:rsidRPr="004D7829">
        <w:rPr>
          <w:rFonts w:ascii="Times New Roman" w:hAnsi="Times New Roman"/>
          <w:sz w:val="24"/>
          <w:szCs w:val="24"/>
        </w:rPr>
        <w:t xml:space="preserve"> stands with an average DBH = 15.0-19.9 inches.   It is</w:t>
      </w:r>
      <w:r>
        <w:rPr>
          <w:rFonts w:ascii="Times New Roman" w:hAnsi="Times New Roman"/>
          <w:sz w:val="24"/>
          <w:szCs w:val="24"/>
        </w:rPr>
        <w:t xml:space="preserve"> unclear why</w:t>
      </w:r>
      <w:r w:rsidR="002553CA">
        <w:rPr>
          <w:rFonts w:ascii="Times New Roman" w:hAnsi="Times New Roman"/>
          <w:sz w:val="24"/>
          <w:szCs w:val="24"/>
        </w:rPr>
        <w:t xml:space="preserve"> there is such a large difference between the Vegetation Report and the Wildlife </w:t>
      </w:r>
      <w:r w:rsidR="0005651B">
        <w:rPr>
          <w:rFonts w:ascii="Times New Roman" w:hAnsi="Times New Roman"/>
          <w:sz w:val="24"/>
          <w:szCs w:val="24"/>
        </w:rPr>
        <w:t>R</w:t>
      </w:r>
      <w:r w:rsidR="002553CA">
        <w:rPr>
          <w:rFonts w:ascii="Times New Roman" w:hAnsi="Times New Roman"/>
          <w:sz w:val="24"/>
          <w:szCs w:val="24"/>
        </w:rPr>
        <w:t>eport given that stands exceeding 15+ inches DBH are considered nesting habitat in the</w:t>
      </w:r>
      <w:r w:rsidR="007B769D">
        <w:rPr>
          <w:rFonts w:ascii="Times New Roman" w:hAnsi="Times New Roman"/>
          <w:sz w:val="24"/>
          <w:szCs w:val="24"/>
        </w:rPr>
        <w:t xml:space="preserve"> wildlife </w:t>
      </w:r>
      <w:r w:rsidR="002553CA">
        <w:rPr>
          <w:rFonts w:ascii="Times New Roman" w:hAnsi="Times New Roman"/>
          <w:sz w:val="24"/>
          <w:szCs w:val="24"/>
        </w:rPr>
        <w:t xml:space="preserve">analysis. </w:t>
      </w:r>
    </w:p>
    <w:p w14:paraId="30DADBC1" w14:textId="77777777" w:rsidR="002553CA" w:rsidRDefault="002553CA" w:rsidP="007B45C4">
      <w:pPr>
        <w:spacing w:before="240"/>
        <w:contextualSpacing/>
        <w:rPr>
          <w:rFonts w:ascii="Times New Roman" w:hAnsi="Times New Roman"/>
          <w:sz w:val="24"/>
          <w:szCs w:val="24"/>
        </w:rPr>
      </w:pPr>
    </w:p>
    <w:p w14:paraId="75945612" w14:textId="03D5A0F2" w:rsidR="00C95640" w:rsidRDefault="00FA155A" w:rsidP="007B45C4">
      <w:pPr>
        <w:spacing w:before="240"/>
        <w:contextualSpacing/>
        <w:rPr>
          <w:rFonts w:ascii="Times New Roman" w:hAnsi="Times New Roman"/>
          <w:sz w:val="24"/>
          <w:szCs w:val="24"/>
        </w:rPr>
      </w:pPr>
      <w:r>
        <w:rPr>
          <w:rFonts w:ascii="Times New Roman" w:hAnsi="Times New Roman"/>
          <w:sz w:val="24"/>
          <w:szCs w:val="24"/>
        </w:rPr>
        <w:t xml:space="preserve">Table 4 – </w:t>
      </w:r>
      <w:r w:rsidR="00EE7CE7">
        <w:rPr>
          <w:rFonts w:ascii="Times New Roman" w:hAnsi="Times New Roman"/>
          <w:sz w:val="24"/>
          <w:szCs w:val="24"/>
        </w:rPr>
        <w:t xml:space="preserve">Summary of Vegetation Condition from the </w:t>
      </w:r>
      <w:r>
        <w:rPr>
          <w:rFonts w:ascii="Times New Roman" w:hAnsi="Times New Roman"/>
          <w:sz w:val="24"/>
          <w:szCs w:val="24"/>
        </w:rPr>
        <w:t>Vegetation Analysis</w:t>
      </w:r>
    </w:p>
    <w:tbl>
      <w:tblPr>
        <w:tblStyle w:val="TableGrid"/>
        <w:tblW w:w="0" w:type="auto"/>
        <w:tblLook w:val="04A0" w:firstRow="1" w:lastRow="0" w:firstColumn="1" w:lastColumn="0" w:noHBand="0" w:noVBand="1"/>
      </w:tblPr>
      <w:tblGrid>
        <w:gridCol w:w="1692"/>
        <w:gridCol w:w="1231"/>
        <w:gridCol w:w="1434"/>
        <w:gridCol w:w="1231"/>
        <w:gridCol w:w="1317"/>
        <w:gridCol w:w="1176"/>
        <w:gridCol w:w="1269"/>
      </w:tblGrid>
      <w:tr w:rsidR="00EE7CE7" w14:paraId="474DFDE5" w14:textId="79655128" w:rsidTr="00EE7CE7">
        <w:tc>
          <w:tcPr>
            <w:tcW w:w="1692" w:type="dxa"/>
          </w:tcPr>
          <w:p w14:paraId="5DDEA0F9" w14:textId="5B09E64C" w:rsidR="00EE7CE7" w:rsidRPr="0049073D" w:rsidRDefault="00EE7CE7" w:rsidP="007B45C4">
            <w:pPr>
              <w:spacing w:before="240"/>
              <w:contextualSpacing/>
              <w:rPr>
                <w:rFonts w:ascii="Times New Roman" w:hAnsi="Times New Roman" w:cs="Times New Roman"/>
                <w:sz w:val="24"/>
                <w:szCs w:val="24"/>
              </w:rPr>
            </w:pPr>
            <w:r w:rsidRPr="0049073D">
              <w:rPr>
                <w:rFonts w:ascii="Times New Roman" w:hAnsi="Times New Roman" w:cs="Times New Roman"/>
                <w:sz w:val="24"/>
                <w:szCs w:val="24"/>
              </w:rPr>
              <w:t>Forest Type</w:t>
            </w:r>
          </w:p>
        </w:tc>
        <w:tc>
          <w:tcPr>
            <w:tcW w:w="1231" w:type="dxa"/>
          </w:tcPr>
          <w:p w14:paraId="40D26485" w14:textId="5966B5BF" w:rsidR="00EE7CE7" w:rsidRPr="0049073D" w:rsidRDefault="00EE7CE7" w:rsidP="007B45C4">
            <w:pPr>
              <w:spacing w:before="240"/>
              <w:contextualSpacing/>
              <w:rPr>
                <w:rFonts w:ascii="Times New Roman" w:hAnsi="Times New Roman" w:cs="Times New Roman"/>
                <w:sz w:val="24"/>
                <w:szCs w:val="24"/>
              </w:rPr>
            </w:pPr>
            <w:r w:rsidRPr="0049073D">
              <w:rPr>
                <w:rFonts w:ascii="Times New Roman" w:hAnsi="Times New Roman" w:cs="Times New Roman"/>
                <w:sz w:val="24"/>
                <w:szCs w:val="24"/>
              </w:rPr>
              <w:t>Percen</w:t>
            </w:r>
            <w:r>
              <w:rPr>
                <w:rFonts w:ascii="Times New Roman" w:hAnsi="Times New Roman" w:cs="Times New Roman"/>
                <w:sz w:val="24"/>
                <w:szCs w:val="24"/>
              </w:rPr>
              <w:t>t</w:t>
            </w:r>
          </w:p>
        </w:tc>
        <w:tc>
          <w:tcPr>
            <w:tcW w:w="1434" w:type="dxa"/>
          </w:tcPr>
          <w:p w14:paraId="62672A04" w14:textId="48EDCC18" w:rsidR="00EE7CE7" w:rsidRPr="0049073D" w:rsidRDefault="00EE7CE7" w:rsidP="007B45C4">
            <w:pPr>
              <w:spacing w:before="240"/>
              <w:contextualSpacing/>
              <w:rPr>
                <w:rFonts w:ascii="Times New Roman" w:hAnsi="Times New Roman" w:cs="Times New Roman"/>
                <w:sz w:val="24"/>
                <w:szCs w:val="24"/>
              </w:rPr>
            </w:pPr>
            <w:r w:rsidRPr="0049073D">
              <w:rPr>
                <w:rFonts w:ascii="Times New Roman" w:hAnsi="Times New Roman" w:cs="Times New Roman"/>
                <w:sz w:val="24"/>
                <w:szCs w:val="24"/>
              </w:rPr>
              <w:t>Acres</w:t>
            </w:r>
          </w:p>
        </w:tc>
        <w:tc>
          <w:tcPr>
            <w:tcW w:w="1231" w:type="dxa"/>
          </w:tcPr>
          <w:p w14:paraId="2AC3C448" w14:textId="7D4F020D" w:rsidR="00EE7CE7" w:rsidRPr="0049073D" w:rsidRDefault="00EE7CE7" w:rsidP="007B45C4">
            <w:pPr>
              <w:spacing w:before="240"/>
              <w:contextualSpacing/>
              <w:rPr>
                <w:rFonts w:ascii="Times New Roman" w:hAnsi="Times New Roman" w:cs="Times New Roman"/>
                <w:sz w:val="24"/>
                <w:szCs w:val="24"/>
              </w:rPr>
            </w:pPr>
            <w:r>
              <w:rPr>
                <w:rFonts w:ascii="Times New Roman" w:hAnsi="Times New Roman" w:cs="Times New Roman"/>
                <w:sz w:val="24"/>
                <w:szCs w:val="24"/>
              </w:rPr>
              <w:t>DBH 15-19.9” (Percent)</w:t>
            </w:r>
          </w:p>
        </w:tc>
        <w:tc>
          <w:tcPr>
            <w:tcW w:w="1317" w:type="dxa"/>
          </w:tcPr>
          <w:p w14:paraId="334DB60E" w14:textId="59C5779B" w:rsidR="00EE7CE7" w:rsidRDefault="00EE7CE7" w:rsidP="007B45C4">
            <w:pPr>
              <w:spacing w:before="240"/>
              <w:contextualSpacing/>
              <w:rPr>
                <w:rFonts w:ascii="Times New Roman" w:hAnsi="Times New Roman"/>
                <w:sz w:val="24"/>
                <w:szCs w:val="24"/>
              </w:rPr>
            </w:pPr>
            <w:r>
              <w:rPr>
                <w:rFonts w:ascii="Times New Roman" w:hAnsi="Times New Roman" w:cs="Times New Roman"/>
                <w:sz w:val="24"/>
                <w:szCs w:val="24"/>
              </w:rPr>
              <w:t>DBH 15-19.9” (</w:t>
            </w:r>
            <w:r>
              <w:rPr>
                <w:rFonts w:ascii="Times New Roman" w:hAnsi="Times New Roman"/>
                <w:sz w:val="24"/>
                <w:szCs w:val="24"/>
              </w:rPr>
              <w:t>Acres)</w:t>
            </w:r>
          </w:p>
        </w:tc>
        <w:tc>
          <w:tcPr>
            <w:tcW w:w="1176" w:type="dxa"/>
          </w:tcPr>
          <w:p w14:paraId="4983A25E" w14:textId="77777777" w:rsidR="00EE7CE7" w:rsidRDefault="00EE7CE7" w:rsidP="007B45C4">
            <w:pPr>
              <w:spacing w:before="240"/>
              <w:contextualSpacing/>
              <w:rPr>
                <w:rFonts w:ascii="Times New Roman" w:hAnsi="Times New Roman"/>
                <w:sz w:val="24"/>
                <w:szCs w:val="24"/>
              </w:rPr>
            </w:pPr>
            <w:r>
              <w:rPr>
                <w:rFonts w:ascii="Times New Roman" w:hAnsi="Times New Roman"/>
                <w:sz w:val="24"/>
                <w:szCs w:val="24"/>
              </w:rPr>
              <w:t>DBH 20+</w:t>
            </w:r>
          </w:p>
          <w:p w14:paraId="023F0734" w14:textId="69E9E4C0" w:rsidR="00EE7CE7" w:rsidRDefault="00EE7CE7" w:rsidP="007B45C4">
            <w:pPr>
              <w:spacing w:before="240"/>
              <w:contextualSpacing/>
              <w:rPr>
                <w:rFonts w:ascii="Times New Roman" w:hAnsi="Times New Roman"/>
                <w:sz w:val="24"/>
                <w:szCs w:val="24"/>
              </w:rPr>
            </w:pPr>
            <w:r>
              <w:rPr>
                <w:rFonts w:ascii="Times New Roman" w:hAnsi="Times New Roman"/>
                <w:sz w:val="24"/>
                <w:szCs w:val="24"/>
              </w:rPr>
              <w:t>(Percent)</w:t>
            </w:r>
          </w:p>
        </w:tc>
        <w:tc>
          <w:tcPr>
            <w:tcW w:w="1269" w:type="dxa"/>
          </w:tcPr>
          <w:p w14:paraId="3EE764FE" w14:textId="70DD33DD" w:rsidR="00EE7CE7" w:rsidRDefault="00EE7CE7" w:rsidP="007B45C4">
            <w:pPr>
              <w:spacing w:before="240"/>
              <w:contextualSpacing/>
              <w:rPr>
                <w:rFonts w:ascii="Times New Roman" w:hAnsi="Times New Roman"/>
                <w:sz w:val="24"/>
                <w:szCs w:val="24"/>
              </w:rPr>
            </w:pPr>
            <w:r>
              <w:rPr>
                <w:rFonts w:ascii="Times New Roman" w:hAnsi="Times New Roman"/>
                <w:sz w:val="24"/>
                <w:szCs w:val="24"/>
              </w:rPr>
              <w:t>DBH 20+ (Acres)</w:t>
            </w:r>
          </w:p>
        </w:tc>
      </w:tr>
      <w:tr w:rsidR="00EE7CE7" w14:paraId="5C4823A5" w14:textId="152E13D8" w:rsidTr="00EE7CE7">
        <w:tc>
          <w:tcPr>
            <w:tcW w:w="1692" w:type="dxa"/>
          </w:tcPr>
          <w:p w14:paraId="7DC924BC" w14:textId="1429378C" w:rsidR="00EE7CE7" w:rsidRPr="0049073D" w:rsidRDefault="00EE7CE7" w:rsidP="007B45C4">
            <w:pPr>
              <w:spacing w:before="240"/>
              <w:contextualSpacing/>
              <w:rPr>
                <w:rFonts w:ascii="Times New Roman" w:hAnsi="Times New Roman" w:cs="Times New Roman"/>
                <w:sz w:val="24"/>
                <w:szCs w:val="24"/>
              </w:rPr>
            </w:pPr>
            <w:r w:rsidRPr="002B0BBC">
              <w:rPr>
                <w:rFonts w:ascii="Times New Roman" w:eastAsia="Times New Roman" w:hAnsi="Times New Roman" w:cs="Times New Roman"/>
                <w:color w:val="000000"/>
                <w:sz w:val="24"/>
                <w:szCs w:val="24"/>
              </w:rPr>
              <w:t>Warm_Dry</w:t>
            </w:r>
          </w:p>
        </w:tc>
        <w:tc>
          <w:tcPr>
            <w:tcW w:w="1231" w:type="dxa"/>
          </w:tcPr>
          <w:p w14:paraId="28933C3B" w14:textId="0000E0FC" w:rsidR="00EE7CE7" w:rsidRPr="0049073D" w:rsidRDefault="00EE7CE7" w:rsidP="00131488">
            <w:pPr>
              <w:spacing w:before="240"/>
              <w:contextualSpacing/>
              <w:jc w:val="right"/>
              <w:rPr>
                <w:rFonts w:ascii="Times New Roman" w:eastAsia="Times New Roman" w:hAnsi="Times New Roman" w:cs="Times New Roman"/>
                <w:color w:val="000000"/>
                <w:sz w:val="24"/>
                <w:szCs w:val="24"/>
              </w:rPr>
            </w:pPr>
            <w:r w:rsidRPr="00FA155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49073D">
              <w:rPr>
                <w:rFonts w:ascii="Times New Roman" w:eastAsia="Times New Roman" w:hAnsi="Times New Roman" w:cs="Times New Roman"/>
                <w:color w:val="000000"/>
                <w:sz w:val="24"/>
                <w:szCs w:val="24"/>
              </w:rPr>
              <w:t>4</w:t>
            </w:r>
          </w:p>
        </w:tc>
        <w:tc>
          <w:tcPr>
            <w:tcW w:w="1434" w:type="dxa"/>
          </w:tcPr>
          <w:p w14:paraId="337A67B2" w14:textId="4D187F01" w:rsidR="00EE7CE7" w:rsidRPr="0049073D" w:rsidRDefault="00EE7CE7" w:rsidP="00523D71">
            <w:pPr>
              <w:spacing w:before="240"/>
              <w:contextualSpacing/>
              <w:jc w:val="right"/>
              <w:rPr>
                <w:rFonts w:ascii="Times New Roman" w:hAnsi="Times New Roman" w:cs="Times New Roman"/>
                <w:sz w:val="24"/>
                <w:szCs w:val="24"/>
              </w:rPr>
            </w:pPr>
            <w:r w:rsidRPr="0049073D">
              <w:rPr>
                <w:rFonts w:ascii="Times New Roman" w:hAnsi="Times New Roman" w:cs="Times New Roman"/>
                <w:sz w:val="24"/>
                <w:szCs w:val="24"/>
              </w:rPr>
              <w:t>2</w:t>
            </w:r>
            <w:r w:rsidR="00865ABA">
              <w:rPr>
                <w:rFonts w:ascii="Times New Roman" w:hAnsi="Times New Roman" w:cs="Times New Roman"/>
                <w:sz w:val="24"/>
                <w:szCs w:val="24"/>
              </w:rPr>
              <w:t>,</w:t>
            </w:r>
            <w:r w:rsidRPr="0049073D">
              <w:rPr>
                <w:rFonts w:ascii="Times New Roman" w:hAnsi="Times New Roman" w:cs="Times New Roman"/>
                <w:sz w:val="24"/>
                <w:szCs w:val="24"/>
              </w:rPr>
              <w:t>191</w:t>
            </w:r>
          </w:p>
        </w:tc>
        <w:tc>
          <w:tcPr>
            <w:tcW w:w="1231" w:type="dxa"/>
          </w:tcPr>
          <w:p w14:paraId="79E8DD58" w14:textId="1E9B0813" w:rsidR="00EE7CE7" w:rsidRPr="0049073D" w:rsidRDefault="00EE7CE7" w:rsidP="007B45C4">
            <w:pPr>
              <w:spacing w:before="240"/>
              <w:contextualSpacing/>
              <w:rPr>
                <w:rFonts w:ascii="Times New Roman" w:hAnsi="Times New Roman" w:cs="Times New Roman"/>
                <w:sz w:val="24"/>
                <w:szCs w:val="24"/>
              </w:rPr>
            </w:pPr>
            <w:r>
              <w:rPr>
                <w:rFonts w:ascii="Times New Roman" w:hAnsi="Times New Roman" w:cs="Times New Roman"/>
                <w:sz w:val="24"/>
                <w:szCs w:val="24"/>
              </w:rPr>
              <w:t>20</w:t>
            </w:r>
          </w:p>
        </w:tc>
        <w:tc>
          <w:tcPr>
            <w:tcW w:w="1317" w:type="dxa"/>
          </w:tcPr>
          <w:p w14:paraId="75807652" w14:textId="33A170A1" w:rsidR="00EE7CE7" w:rsidRDefault="00EE7CE7" w:rsidP="00EE7CE7">
            <w:pPr>
              <w:spacing w:before="240"/>
              <w:contextualSpacing/>
              <w:jc w:val="right"/>
              <w:rPr>
                <w:rFonts w:ascii="Times New Roman" w:hAnsi="Times New Roman"/>
                <w:sz w:val="24"/>
                <w:szCs w:val="24"/>
              </w:rPr>
            </w:pPr>
            <w:r>
              <w:rPr>
                <w:rFonts w:ascii="Times New Roman" w:hAnsi="Times New Roman"/>
                <w:sz w:val="24"/>
                <w:szCs w:val="24"/>
              </w:rPr>
              <w:t>438</w:t>
            </w:r>
          </w:p>
        </w:tc>
        <w:tc>
          <w:tcPr>
            <w:tcW w:w="1176" w:type="dxa"/>
          </w:tcPr>
          <w:p w14:paraId="74AB0EF8" w14:textId="065DDD1B" w:rsidR="00EE7CE7" w:rsidRDefault="00EE7CE7" w:rsidP="00EE7CE7">
            <w:pPr>
              <w:spacing w:before="240"/>
              <w:contextualSpacing/>
              <w:jc w:val="right"/>
              <w:rPr>
                <w:rFonts w:ascii="Times New Roman" w:hAnsi="Times New Roman"/>
                <w:sz w:val="24"/>
                <w:szCs w:val="24"/>
              </w:rPr>
            </w:pPr>
            <w:r>
              <w:rPr>
                <w:rFonts w:ascii="Times New Roman" w:hAnsi="Times New Roman"/>
                <w:sz w:val="24"/>
                <w:szCs w:val="24"/>
              </w:rPr>
              <w:t>11</w:t>
            </w:r>
          </w:p>
        </w:tc>
        <w:tc>
          <w:tcPr>
            <w:tcW w:w="1269" w:type="dxa"/>
          </w:tcPr>
          <w:p w14:paraId="23BC029D" w14:textId="68A603AE" w:rsidR="00EE7CE7" w:rsidRDefault="00EE7CE7" w:rsidP="00EE7CE7">
            <w:pPr>
              <w:spacing w:before="240"/>
              <w:contextualSpacing/>
              <w:jc w:val="right"/>
              <w:rPr>
                <w:rFonts w:ascii="Times New Roman" w:hAnsi="Times New Roman"/>
                <w:sz w:val="24"/>
                <w:szCs w:val="24"/>
              </w:rPr>
            </w:pPr>
            <w:r>
              <w:rPr>
                <w:rFonts w:ascii="Times New Roman" w:hAnsi="Times New Roman"/>
                <w:sz w:val="24"/>
                <w:szCs w:val="24"/>
              </w:rPr>
              <w:t>241</w:t>
            </w:r>
          </w:p>
        </w:tc>
      </w:tr>
      <w:tr w:rsidR="00EE7CE7" w14:paraId="1F75AC60" w14:textId="7EBCFCE6" w:rsidTr="00EE7CE7">
        <w:tc>
          <w:tcPr>
            <w:tcW w:w="1692" w:type="dxa"/>
          </w:tcPr>
          <w:p w14:paraId="3E3DCD77" w14:textId="7C8FEBC8" w:rsidR="00EE7CE7" w:rsidRPr="0049073D" w:rsidRDefault="00EE7CE7" w:rsidP="007B45C4">
            <w:pPr>
              <w:spacing w:before="240"/>
              <w:contextualSpacing/>
              <w:rPr>
                <w:rFonts w:ascii="Times New Roman" w:hAnsi="Times New Roman" w:cs="Times New Roman"/>
                <w:sz w:val="24"/>
                <w:szCs w:val="24"/>
              </w:rPr>
            </w:pPr>
            <w:r w:rsidRPr="002B0BBC">
              <w:rPr>
                <w:rFonts w:ascii="Times New Roman" w:eastAsia="Times New Roman" w:hAnsi="Times New Roman" w:cs="Times New Roman"/>
                <w:color w:val="000000"/>
                <w:sz w:val="24"/>
                <w:szCs w:val="24"/>
              </w:rPr>
              <w:t>Warm_Moist</w:t>
            </w:r>
          </w:p>
        </w:tc>
        <w:tc>
          <w:tcPr>
            <w:tcW w:w="1231" w:type="dxa"/>
          </w:tcPr>
          <w:p w14:paraId="640013FD" w14:textId="0514739A" w:rsidR="00EE7CE7" w:rsidRPr="0049073D" w:rsidRDefault="00EE7CE7" w:rsidP="00131488">
            <w:pPr>
              <w:spacing w:before="240"/>
              <w:contextualSpacing/>
              <w:jc w:val="right"/>
              <w:rPr>
                <w:rFonts w:ascii="Times New Roman" w:hAnsi="Times New Roman" w:cs="Times New Roman"/>
                <w:sz w:val="24"/>
                <w:szCs w:val="24"/>
              </w:rPr>
            </w:pPr>
            <w:r w:rsidRPr="00FA155A">
              <w:rPr>
                <w:rFonts w:ascii="Times New Roman" w:eastAsia="Times New Roman" w:hAnsi="Times New Roman" w:cs="Times New Roman"/>
                <w:color w:val="000000"/>
                <w:sz w:val="24"/>
                <w:szCs w:val="24"/>
              </w:rPr>
              <w:t>6</w:t>
            </w:r>
            <w:r w:rsidRPr="0049073D">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49073D">
              <w:rPr>
                <w:rFonts w:ascii="Times New Roman" w:eastAsia="Times New Roman" w:hAnsi="Times New Roman" w:cs="Times New Roman"/>
                <w:color w:val="000000"/>
                <w:sz w:val="24"/>
                <w:szCs w:val="24"/>
              </w:rPr>
              <w:t>6</w:t>
            </w:r>
          </w:p>
        </w:tc>
        <w:tc>
          <w:tcPr>
            <w:tcW w:w="1434" w:type="dxa"/>
          </w:tcPr>
          <w:p w14:paraId="720BAEDE" w14:textId="2861DAED" w:rsidR="00EE7CE7" w:rsidRPr="0049073D" w:rsidRDefault="00EE7CE7" w:rsidP="00523D71">
            <w:pPr>
              <w:spacing w:before="240"/>
              <w:contextualSpacing/>
              <w:jc w:val="right"/>
              <w:rPr>
                <w:rFonts w:ascii="Times New Roman" w:hAnsi="Times New Roman" w:cs="Times New Roman"/>
                <w:sz w:val="24"/>
                <w:szCs w:val="24"/>
              </w:rPr>
            </w:pPr>
            <w:r w:rsidRPr="0049073D">
              <w:rPr>
                <w:rFonts w:ascii="Times New Roman" w:hAnsi="Times New Roman" w:cs="Times New Roman"/>
                <w:sz w:val="24"/>
                <w:szCs w:val="24"/>
              </w:rPr>
              <w:t>27</w:t>
            </w:r>
            <w:r w:rsidR="00865ABA">
              <w:rPr>
                <w:rFonts w:ascii="Times New Roman" w:hAnsi="Times New Roman" w:cs="Times New Roman"/>
                <w:sz w:val="24"/>
                <w:szCs w:val="24"/>
              </w:rPr>
              <w:t>,</w:t>
            </w:r>
            <w:r w:rsidRPr="0049073D">
              <w:rPr>
                <w:rFonts w:ascii="Times New Roman" w:hAnsi="Times New Roman" w:cs="Times New Roman"/>
                <w:sz w:val="24"/>
                <w:szCs w:val="24"/>
              </w:rPr>
              <w:t>828</w:t>
            </w:r>
          </w:p>
        </w:tc>
        <w:tc>
          <w:tcPr>
            <w:tcW w:w="1231" w:type="dxa"/>
          </w:tcPr>
          <w:p w14:paraId="4540724F" w14:textId="020BED4B" w:rsidR="00EE7CE7" w:rsidRPr="0049073D" w:rsidRDefault="00EE7CE7" w:rsidP="007B45C4">
            <w:pPr>
              <w:spacing w:before="240"/>
              <w:contextualSpacing/>
              <w:rPr>
                <w:rFonts w:ascii="Times New Roman" w:hAnsi="Times New Roman" w:cs="Times New Roman"/>
                <w:sz w:val="24"/>
                <w:szCs w:val="24"/>
              </w:rPr>
            </w:pPr>
            <w:r>
              <w:rPr>
                <w:rFonts w:ascii="Times New Roman" w:hAnsi="Times New Roman" w:cs="Times New Roman"/>
                <w:sz w:val="24"/>
                <w:szCs w:val="24"/>
              </w:rPr>
              <w:t>32</w:t>
            </w:r>
          </w:p>
        </w:tc>
        <w:tc>
          <w:tcPr>
            <w:tcW w:w="1317" w:type="dxa"/>
          </w:tcPr>
          <w:p w14:paraId="546E1DAF" w14:textId="5AE01422" w:rsidR="00EE7CE7" w:rsidRDefault="00EE7CE7" w:rsidP="00EE7CE7">
            <w:pPr>
              <w:spacing w:before="240"/>
              <w:contextualSpacing/>
              <w:jc w:val="right"/>
              <w:rPr>
                <w:rFonts w:ascii="Times New Roman" w:hAnsi="Times New Roman"/>
                <w:sz w:val="24"/>
                <w:szCs w:val="24"/>
              </w:rPr>
            </w:pPr>
            <w:r>
              <w:rPr>
                <w:rFonts w:ascii="Times New Roman" w:hAnsi="Times New Roman"/>
                <w:sz w:val="24"/>
                <w:szCs w:val="24"/>
              </w:rPr>
              <w:t>8905</w:t>
            </w:r>
          </w:p>
        </w:tc>
        <w:tc>
          <w:tcPr>
            <w:tcW w:w="1176" w:type="dxa"/>
          </w:tcPr>
          <w:p w14:paraId="4103F9E1" w14:textId="59F81851" w:rsidR="00EE7CE7" w:rsidRDefault="00EE7CE7" w:rsidP="00EE7CE7">
            <w:pPr>
              <w:spacing w:before="240"/>
              <w:contextualSpacing/>
              <w:jc w:val="right"/>
              <w:rPr>
                <w:rFonts w:ascii="Times New Roman" w:hAnsi="Times New Roman"/>
                <w:sz w:val="24"/>
                <w:szCs w:val="24"/>
              </w:rPr>
            </w:pPr>
            <w:r>
              <w:rPr>
                <w:rFonts w:ascii="Times New Roman" w:hAnsi="Times New Roman"/>
                <w:sz w:val="24"/>
                <w:szCs w:val="24"/>
              </w:rPr>
              <w:t>7</w:t>
            </w:r>
          </w:p>
        </w:tc>
        <w:tc>
          <w:tcPr>
            <w:tcW w:w="1269" w:type="dxa"/>
          </w:tcPr>
          <w:p w14:paraId="333F08C7" w14:textId="7F9AF0A5" w:rsidR="00EE7CE7" w:rsidRDefault="00EE7CE7" w:rsidP="00EE7CE7">
            <w:pPr>
              <w:spacing w:before="240"/>
              <w:contextualSpacing/>
              <w:jc w:val="right"/>
              <w:rPr>
                <w:rFonts w:ascii="Times New Roman" w:hAnsi="Times New Roman"/>
                <w:sz w:val="24"/>
                <w:szCs w:val="24"/>
              </w:rPr>
            </w:pPr>
            <w:r>
              <w:rPr>
                <w:rFonts w:ascii="Times New Roman" w:hAnsi="Times New Roman"/>
                <w:sz w:val="24"/>
                <w:szCs w:val="24"/>
              </w:rPr>
              <w:t>1948</w:t>
            </w:r>
          </w:p>
        </w:tc>
      </w:tr>
      <w:tr w:rsidR="00EE7CE7" w14:paraId="258ABA81" w14:textId="144092A3" w:rsidTr="00EE7CE7">
        <w:tc>
          <w:tcPr>
            <w:tcW w:w="1692" w:type="dxa"/>
          </w:tcPr>
          <w:p w14:paraId="0062A4A3" w14:textId="705924C3" w:rsidR="00EE7CE7" w:rsidRPr="0049073D" w:rsidRDefault="00EE7CE7" w:rsidP="007B45C4">
            <w:pPr>
              <w:spacing w:before="240"/>
              <w:contextualSpacing/>
              <w:rPr>
                <w:rFonts w:ascii="Times New Roman" w:hAnsi="Times New Roman" w:cs="Times New Roman"/>
                <w:sz w:val="24"/>
                <w:szCs w:val="24"/>
              </w:rPr>
            </w:pPr>
            <w:r w:rsidRPr="002B0BBC">
              <w:rPr>
                <w:rFonts w:ascii="Times New Roman" w:eastAsia="Times New Roman" w:hAnsi="Times New Roman" w:cs="Times New Roman"/>
                <w:color w:val="000000"/>
                <w:sz w:val="24"/>
                <w:szCs w:val="24"/>
              </w:rPr>
              <w:t>Cool_Moist</w:t>
            </w:r>
          </w:p>
        </w:tc>
        <w:tc>
          <w:tcPr>
            <w:tcW w:w="1231" w:type="dxa"/>
          </w:tcPr>
          <w:p w14:paraId="6352B8CF" w14:textId="3765BB2B" w:rsidR="00EE7CE7" w:rsidRPr="0049073D" w:rsidRDefault="00EE7CE7" w:rsidP="00131488">
            <w:pPr>
              <w:spacing w:before="240"/>
              <w:contextualSpacing/>
              <w:jc w:val="right"/>
              <w:rPr>
                <w:rFonts w:ascii="Times New Roman" w:hAnsi="Times New Roman" w:cs="Times New Roman"/>
                <w:sz w:val="24"/>
                <w:szCs w:val="24"/>
              </w:rPr>
            </w:pPr>
            <w:r w:rsidRPr="00FA155A">
              <w:rPr>
                <w:rFonts w:ascii="Times New Roman" w:eastAsia="Times New Roman" w:hAnsi="Times New Roman" w:cs="Times New Roman"/>
                <w:color w:val="000000"/>
                <w:sz w:val="24"/>
                <w:szCs w:val="24"/>
              </w:rPr>
              <w:t>2</w:t>
            </w:r>
            <w:r w:rsidRPr="0049073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49073D">
              <w:rPr>
                <w:rFonts w:ascii="Times New Roman" w:eastAsia="Times New Roman" w:hAnsi="Times New Roman" w:cs="Times New Roman"/>
                <w:color w:val="000000"/>
                <w:sz w:val="24"/>
                <w:szCs w:val="24"/>
              </w:rPr>
              <w:t>9</w:t>
            </w:r>
          </w:p>
        </w:tc>
        <w:tc>
          <w:tcPr>
            <w:tcW w:w="1434" w:type="dxa"/>
          </w:tcPr>
          <w:p w14:paraId="7788D4DC" w14:textId="3FCD1916" w:rsidR="00EE7CE7" w:rsidRPr="0049073D" w:rsidRDefault="00EE7CE7" w:rsidP="00523D71">
            <w:pPr>
              <w:spacing w:before="240"/>
              <w:contextualSpacing/>
              <w:jc w:val="right"/>
              <w:rPr>
                <w:rFonts w:ascii="Times New Roman" w:hAnsi="Times New Roman" w:cs="Times New Roman"/>
                <w:sz w:val="24"/>
                <w:szCs w:val="24"/>
              </w:rPr>
            </w:pPr>
            <w:r w:rsidRPr="00523D71">
              <w:rPr>
                <w:rFonts w:ascii="Times New Roman" w:eastAsia="Times New Roman" w:hAnsi="Times New Roman" w:cs="Times New Roman"/>
                <w:color w:val="000000"/>
                <w:sz w:val="24"/>
                <w:szCs w:val="24"/>
              </w:rPr>
              <w:t>9</w:t>
            </w:r>
            <w:r w:rsidR="00865ABA">
              <w:rPr>
                <w:rFonts w:ascii="Times New Roman" w:eastAsia="Times New Roman" w:hAnsi="Times New Roman" w:cs="Times New Roman"/>
                <w:color w:val="000000"/>
                <w:sz w:val="24"/>
                <w:szCs w:val="24"/>
              </w:rPr>
              <w:t>,</w:t>
            </w:r>
            <w:r w:rsidRPr="00523D71">
              <w:rPr>
                <w:rFonts w:ascii="Times New Roman" w:eastAsia="Times New Roman" w:hAnsi="Times New Roman" w:cs="Times New Roman"/>
                <w:color w:val="000000"/>
                <w:sz w:val="24"/>
                <w:szCs w:val="24"/>
              </w:rPr>
              <w:t>289</w:t>
            </w:r>
          </w:p>
        </w:tc>
        <w:tc>
          <w:tcPr>
            <w:tcW w:w="1231" w:type="dxa"/>
          </w:tcPr>
          <w:p w14:paraId="575AE738" w14:textId="160F280D" w:rsidR="00EE7CE7" w:rsidRPr="0049073D" w:rsidRDefault="00EE7CE7" w:rsidP="007B45C4">
            <w:pPr>
              <w:spacing w:before="240"/>
              <w:contextualSpacing/>
              <w:rPr>
                <w:rFonts w:ascii="Times New Roman" w:hAnsi="Times New Roman" w:cs="Times New Roman"/>
                <w:sz w:val="24"/>
                <w:szCs w:val="24"/>
              </w:rPr>
            </w:pPr>
            <w:r>
              <w:rPr>
                <w:rFonts w:ascii="Times New Roman" w:hAnsi="Times New Roman" w:cs="Times New Roman"/>
                <w:sz w:val="24"/>
                <w:szCs w:val="24"/>
              </w:rPr>
              <w:t>29</w:t>
            </w:r>
          </w:p>
        </w:tc>
        <w:tc>
          <w:tcPr>
            <w:tcW w:w="1317" w:type="dxa"/>
          </w:tcPr>
          <w:p w14:paraId="55652D61" w14:textId="2731C9B6" w:rsidR="00EE7CE7" w:rsidRDefault="00EE7CE7" w:rsidP="00EE7CE7">
            <w:pPr>
              <w:spacing w:before="240"/>
              <w:contextualSpacing/>
              <w:jc w:val="right"/>
              <w:rPr>
                <w:rFonts w:ascii="Times New Roman" w:hAnsi="Times New Roman"/>
                <w:sz w:val="24"/>
                <w:szCs w:val="24"/>
              </w:rPr>
            </w:pPr>
            <w:r>
              <w:rPr>
                <w:rFonts w:ascii="Times New Roman" w:hAnsi="Times New Roman"/>
                <w:sz w:val="24"/>
                <w:szCs w:val="24"/>
              </w:rPr>
              <w:t>2694</w:t>
            </w:r>
          </w:p>
        </w:tc>
        <w:tc>
          <w:tcPr>
            <w:tcW w:w="1176" w:type="dxa"/>
          </w:tcPr>
          <w:p w14:paraId="28C333B4" w14:textId="1DC9CE85" w:rsidR="00EE7CE7" w:rsidRDefault="00EE7CE7" w:rsidP="00EE7CE7">
            <w:pPr>
              <w:spacing w:before="240"/>
              <w:contextualSpacing/>
              <w:jc w:val="right"/>
              <w:rPr>
                <w:rFonts w:ascii="Times New Roman" w:hAnsi="Times New Roman"/>
                <w:sz w:val="24"/>
                <w:szCs w:val="24"/>
              </w:rPr>
            </w:pPr>
            <w:r>
              <w:rPr>
                <w:rFonts w:ascii="Times New Roman" w:hAnsi="Times New Roman"/>
                <w:sz w:val="24"/>
                <w:szCs w:val="24"/>
              </w:rPr>
              <w:t>2</w:t>
            </w:r>
          </w:p>
        </w:tc>
        <w:tc>
          <w:tcPr>
            <w:tcW w:w="1269" w:type="dxa"/>
          </w:tcPr>
          <w:p w14:paraId="0C46309D" w14:textId="61A634C8" w:rsidR="00EE7CE7" w:rsidRDefault="00EE7CE7" w:rsidP="00EE7CE7">
            <w:pPr>
              <w:spacing w:before="240"/>
              <w:contextualSpacing/>
              <w:jc w:val="right"/>
              <w:rPr>
                <w:rFonts w:ascii="Times New Roman" w:hAnsi="Times New Roman"/>
                <w:sz w:val="24"/>
                <w:szCs w:val="24"/>
              </w:rPr>
            </w:pPr>
            <w:r>
              <w:rPr>
                <w:rFonts w:ascii="Times New Roman" w:hAnsi="Times New Roman"/>
                <w:sz w:val="24"/>
                <w:szCs w:val="24"/>
              </w:rPr>
              <w:t>186</w:t>
            </w:r>
          </w:p>
        </w:tc>
      </w:tr>
      <w:tr w:rsidR="00EE7CE7" w14:paraId="1CDFE308" w14:textId="7BC3AFC1" w:rsidTr="00EE7CE7">
        <w:tc>
          <w:tcPr>
            <w:tcW w:w="1692" w:type="dxa"/>
          </w:tcPr>
          <w:p w14:paraId="5621BFA7" w14:textId="62386D61" w:rsidR="00EE7CE7" w:rsidRPr="0049073D" w:rsidRDefault="00EE7CE7" w:rsidP="007B45C4">
            <w:pPr>
              <w:spacing w:before="240"/>
              <w:contextualSpacing/>
              <w:rPr>
                <w:rFonts w:ascii="Times New Roman" w:hAnsi="Times New Roman" w:cs="Times New Roman"/>
                <w:sz w:val="24"/>
                <w:szCs w:val="24"/>
              </w:rPr>
            </w:pPr>
            <w:r w:rsidRPr="002B0BBC">
              <w:rPr>
                <w:rFonts w:ascii="Times New Roman" w:eastAsia="Times New Roman" w:hAnsi="Times New Roman" w:cs="Times New Roman"/>
                <w:color w:val="000000"/>
                <w:sz w:val="24"/>
                <w:szCs w:val="24"/>
              </w:rPr>
              <w:t>Cold</w:t>
            </w:r>
          </w:p>
        </w:tc>
        <w:tc>
          <w:tcPr>
            <w:tcW w:w="1231" w:type="dxa"/>
          </w:tcPr>
          <w:p w14:paraId="67C24CDF" w14:textId="1032C64E" w:rsidR="00EE7CE7" w:rsidRPr="0049073D" w:rsidRDefault="00EE7CE7" w:rsidP="00131488">
            <w:pPr>
              <w:spacing w:before="240"/>
              <w:contextualSpacing/>
              <w:jc w:val="right"/>
              <w:rPr>
                <w:rFonts w:ascii="Times New Roman" w:hAnsi="Times New Roman" w:cs="Times New Roman"/>
                <w:sz w:val="24"/>
                <w:szCs w:val="24"/>
              </w:rPr>
            </w:pPr>
            <w:r w:rsidRPr="0049073D">
              <w:rPr>
                <w:rFonts w:ascii="Times New Roman" w:hAnsi="Times New Roman" w:cs="Times New Roman"/>
                <w:sz w:val="24"/>
                <w:szCs w:val="24"/>
              </w:rPr>
              <w:t>1</w:t>
            </w:r>
            <w:r>
              <w:rPr>
                <w:rFonts w:ascii="Times New Roman" w:hAnsi="Times New Roman" w:cs="Times New Roman"/>
                <w:sz w:val="24"/>
                <w:szCs w:val="24"/>
              </w:rPr>
              <w:t>.</w:t>
            </w:r>
            <w:r w:rsidRPr="0049073D">
              <w:rPr>
                <w:rFonts w:ascii="Times New Roman" w:hAnsi="Times New Roman" w:cs="Times New Roman"/>
                <w:sz w:val="24"/>
                <w:szCs w:val="24"/>
              </w:rPr>
              <w:t>1</w:t>
            </w:r>
          </w:p>
        </w:tc>
        <w:tc>
          <w:tcPr>
            <w:tcW w:w="1434" w:type="dxa"/>
          </w:tcPr>
          <w:p w14:paraId="240BF3BC" w14:textId="48A98240" w:rsidR="00EE7CE7" w:rsidRPr="0049073D" w:rsidRDefault="00EE7CE7" w:rsidP="00523D71">
            <w:pPr>
              <w:spacing w:before="240"/>
              <w:contextualSpacing/>
              <w:jc w:val="right"/>
              <w:rPr>
                <w:rFonts w:ascii="Times New Roman" w:hAnsi="Times New Roman" w:cs="Times New Roman"/>
                <w:sz w:val="24"/>
                <w:szCs w:val="24"/>
              </w:rPr>
            </w:pPr>
            <w:r w:rsidRPr="0049073D">
              <w:rPr>
                <w:rFonts w:ascii="Times New Roman" w:hAnsi="Times New Roman" w:cs="Times New Roman"/>
                <w:sz w:val="24"/>
                <w:szCs w:val="24"/>
              </w:rPr>
              <w:t>4</w:t>
            </w:r>
            <w:r>
              <w:rPr>
                <w:rFonts w:ascii="Times New Roman" w:hAnsi="Times New Roman" w:cs="Times New Roman"/>
                <w:sz w:val="24"/>
                <w:szCs w:val="24"/>
              </w:rPr>
              <w:t>46</w:t>
            </w:r>
          </w:p>
        </w:tc>
        <w:tc>
          <w:tcPr>
            <w:tcW w:w="1231" w:type="dxa"/>
          </w:tcPr>
          <w:p w14:paraId="79923C46" w14:textId="77777777" w:rsidR="00EE7CE7" w:rsidRPr="0049073D" w:rsidRDefault="00EE7CE7" w:rsidP="007B45C4">
            <w:pPr>
              <w:spacing w:before="240"/>
              <w:contextualSpacing/>
              <w:rPr>
                <w:rFonts w:ascii="Times New Roman" w:hAnsi="Times New Roman" w:cs="Times New Roman"/>
                <w:sz w:val="24"/>
                <w:szCs w:val="24"/>
              </w:rPr>
            </w:pPr>
          </w:p>
        </w:tc>
        <w:tc>
          <w:tcPr>
            <w:tcW w:w="1317" w:type="dxa"/>
          </w:tcPr>
          <w:p w14:paraId="7A1F467B" w14:textId="77777777" w:rsidR="00EE7CE7" w:rsidRDefault="00EE7CE7" w:rsidP="007B45C4">
            <w:pPr>
              <w:spacing w:before="240"/>
              <w:contextualSpacing/>
              <w:rPr>
                <w:rFonts w:ascii="Times New Roman" w:hAnsi="Times New Roman"/>
                <w:sz w:val="24"/>
                <w:szCs w:val="24"/>
              </w:rPr>
            </w:pPr>
          </w:p>
        </w:tc>
        <w:tc>
          <w:tcPr>
            <w:tcW w:w="1176" w:type="dxa"/>
          </w:tcPr>
          <w:p w14:paraId="0A8D54D8" w14:textId="77777777" w:rsidR="00EE7CE7" w:rsidRDefault="00EE7CE7" w:rsidP="007B45C4">
            <w:pPr>
              <w:spacing w:before="240"/>
              <w:contextualSpacing/>
              <w:rPr>
                <w:rFonts w:ascii="Times New Roman" w:hAnsi="Times New Roman"/>
                <w:sz w:val="24"/>
                <w:szCs w:val="24"/>
              </w:rPr>
            </w:pPr>
          </w:p>
        </w:tc>
        <w:tc>
          <w:tcPr>
            <w:tcW w:w="1269" w:type="dxa"/>
          </w:tcPr>
          <w:p w14:paraId="1D3A6C36" w14:textId="63A34B51" w:rsidR="00EE7CE7" w:rsidRDefault="00EE7CE7" w:rsidP="007B45C4">
            <w:pPr>
              <w:spacing w:before="240"/>
              <w:contextualSpacing/>
              <w:rPr>
                <w:rFonts w:ascii="Times New Roman" w:hAnsi="Times New Roman"/>
                <w:sz w:val="24"/>
                <w:szCs w:val="24"/>
              </w:rPr>
            </w:pPr>
          </w:p>
        </w:tc>
      </w:tr>
      <w:tr w:rsidR="00EE7CE7" w14:paraId="1B082CD5" w14:textId="65561913" w:rsidTr="00EE7CE7">
        <w:tc>
          <w:tcPr>
            <w:tcW w:w="1692" w:type="dxa"/>
          </w:tcPr>
          <w:p w14:paraId="613144BF" w14:textId="37918C9B" w:rsidR="00EE7CE7" w:rsidRPr="0049073D" w:rsidRDefault="00EE7CE7" w:rsidP="007B45C4">
            <w:pPr>
              <w:spacing w:before="240"/>
              <w:contextualSpacing/>
              <w:rPr>
                <w:rFonts w:ascii="Times New Roman" w:eastAsia="Times New Roman" w:hAnsi="Times New Roman" w:cs="Times New Roman"/>
                <w:color w:val="000000"/>
                <w:sz w:val="24"/>
                <w:szCs w:val="24"/>
              </w:rPr>
            </w:pPr>
            <w:r w:rsidRPr="0049073D">
              <w:rPr>
                <w:rFonts w:ascii="Times New Roman" w:eastAsia="Times New Roman" w:hAnsi="Times New Roman" w:cs="Times New Roman"/>
                <w:color w:val="000000"/>
                <w:sz w:val="24"/>
                <w:szCs w:val="24"/>
              </w:rPr>
              <w:t>Other</w:t>
            </w:r>
          </w:p>
        </w:tc>
        <w:tc>
          <w:tcPr>
            <w:tcW w:w="1231" w:type="dxa"/>
          </w:tcPr>
          <w:p w14:paraId="3A274760" w14:textId="3ADC6568" w:rsidR="00EE7CE7" w:rsidRPr="0049073D" w:rsidRDefault="00EE7CE7" w:rsidP="00131488">
            <w:pPr>
              <w:spacing w:before="24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34" w:type="dxa"/>
          </w:tcPr>
          <w:p w14:paraId="0FEA0E9C" w14:textId="36C4F6DF" w:rsidR="00EE7CE7" w:rsidRPr="0049073D" w:rsidRDefault="00EE7CE7" w:rsidP="00523D71">
            <w:pPr>
              <w:spacing w:before="240"/>
              <w:contextualSpacing/>
              <w:jc w:val="right"/>
              <w:rPr>
                <w:rFonts w:ascii="Times New Roman" w:hAnsi="Times New Roman" w:cs="Times New Roman"/>
                <w:sz w:val="24"/>
                <w:szCs w:val="24"/>
              </w:rPr>
            </w:pPr>
            <w:r>
              <w:rPr>
                <w:rFonts w:ascii="Times New Roman" w:hAnsi="Times New Roman" w:cs="Times New Roman"/>
                <w:sz w:val="24"/>
                <w:szCs w:val="24"/>
              </w:rPr>
              <w:t>811</w:t>
            </w:r>
          </w:p>
        </w:tc>
        <w:tc>
          <w:tcPr>
            <w:tcW w:w="1231" w:type="dxa"/>
          </w:tcPr>
          <w:p w14:paraId="213F3D42" w14:textId="77777777" w:rsidR="00EE7CE7" w:rsidRPr="0049073D" w:rsidRDefault="00EE7CE7" w:rsidP="007B45C4">
            <w:pPr>
              <w:spacing w:before="240"/>
              <w:contextualSpacing/>
              <w:rPr>
                <w:rFonts w:ascii="Times New Roman" w:hAnsi="Times New Roman" w:cs="Times New Roman"/>
                <w:sz w:val="24"/>
                <w:szCs w:val="24"/>
              </w:rPr>
            </w:pPr>
          </w:p>
        </w:tc>
        <w:tc>
          <w:tcPr>
            <w:tcW w:w="1317" w:type="dxa"/>
          </w:tcPr>
          <w:p w14:paraId="121DC480" w14:textId="77777777" w:rsidR="00EE7CE7" w:rsidRDefault="00EE7CE7" w:rsidP="007B45C4">
            <w:pPr>
              <w:spacing w:before="240"/>
              <w:contextualSpacing/>
              <w:rPr>
                <w:rFonts w:ascii="Times New Roman" w:hAnsi="Times New Roman"/>
                <w:sz w:val="24"/>
                <w:szCs w:val="24"/>
              </w:rPr>
            </w:pPr>
          </w:p>
        </w:tc>
        <w:tc>
          <w:tcPr>
            <w:tcW w:w="1176" w:type="dxa"/>
          </w:tcPr>
          <w:p w14:paraId="792ABE66" w14:textId="77777777" w:rsidR="00EE7CE7" w:rsidRDefault="00EE7CE7" w:rsidP="007B45C4">
            <w:pPr>
              <w:spacing w:before="240"/>
              <w:contextualSpacing/>
              <w:rPr>
                <w:rFonts w:ascii="Times New Roman" w:hAnsi="Times New Roman"/>
                <w:sz w:val="24"/>
                <w:szCs w:val="24"/>
              </w:rPr>
            </w:pPr>
          </w:p>
        </w:tc>
        <w:tc>
          <w:tcPr>
            <w:tcW w:w="1269" w:type="dxa"/>
          </w:tcPr>
          <w:p w14:paraId="330CD65A" w14:textId="6AFCA3F4" w:rsidR="00EE7CE7" w:rsidRDefault="00EE7CE7" w:rsidP="007B45C4">
            <w:pPr>
              <w:spacing w:before="240"/>
              <w:contextualSpacing/>
              <w:rPr>
                <w:rFonts w:ascii="Times New Roman" w:hAnsi="Times New Roman"/>
                <w:sz w:val="24"/>
                <w:szCs w:val="24"/>
              </w:rPr>
            </w:pPr>
          </w:p>
        </w:tc>
      </w:tr>
      <w:tr w:rsidR="00EE7CE7" w14:paraId="47C9ED29" w14:textId="0E881C7B" w:rsidTr="00EE7CE7">
        <w:tc>
          <w:tcPr>
            <w:tcW w:w="1692" w:type="dxa"/>
          </w:tcPr>
          <w:p w14:paraId="04BA0B3C" w14:textId="77777777" w:rsidR="00EE7CE7" w:rsidRPr="0049073D" w:rsidRDefault="00EE7CE7" w:rsidP="007B45C4">
            <w:pPr>
              <w:spacing w:before="240"/>
              <w:contextualSpacing/>
              <w:rPr>
                <w:rFonts w:ascii="Times New Roman" w:eastAsia="Times New Roman" w:hAnsi="Times New Roman" w:cs="Times New Roman"/>
                <w:color w:val="000000"/>
                <w:sz w:val="24"/>
                <w:szCs w:val="24"/>
              </w:rPr>
            </w:pPr>
          </w:p>
        </w:tc>
        <w:tc>
          <w:tcPr>
            <w:tcW w:w="1231" w:type="dxa"/>
          </w:tcPr>
          <w:p w14:paraId="704DBA89" w14:textId="77777777" w:rsidR="00EE7CE7" w:rsidRPr="0049073D" w:rsidRDefault="00EE7CE7" w:rsidP="00131488">
            <w:pPr>
              <w:spacing w:before="240"/>
              <w:contextualSpacing/>
              <w:jc w:val="right"/>
              <w:rPr>
                <w:rFonts w:ascii="Times New Roman" w:eastAsia="Times New Roman" w:hAnsi="Times New Roman" w:cs="Times New Roman"/>
                <w:color w:val="000000"/>
                <w:sz w:val="24"/>
                <w:szCs w:val="24"/>
              </w:rPr>
            </w:pPr>
          </w:p>
        </w:tc>
        <w:tc>
          <w:tcPr>
            <w:tcW w:w="1434" w:type="dxa"/>
          </w:tcPr>
          <w:p w14:paraId="70FA0D62" w14:textId="77777777" w:rsidR="00EE7CE7" w:rsidRPr="0049073D" w:rsidRDefault="00EE7CE7" w:rsidP="00523D71">
            <w:pPr>
              <w:spacing w:before="240"/>
              <w:contextualSpacing/>
              <w:jc w:val="right"/>
              <w:rPr>
                <w:rFonts w:ascii="Times New Roman" w:hAnsi="Times New Roman" w:cs="Times New Roman"/>
                <w:sz w:val="24"/>
                <w:szCs w:val="24"/>
              </w:rPr>
            </w:pPr>
          </w:p>
        </w:tc>
        <w:tc>
          <w:tcPr>
            <w:tcW w:w="1231" w:type="dxa"/>
          </w:tcPr>
          <w:p w14:paraId="43E04CEE" w14:textId="77777777" w:rsidR="00EE7CE7" w:rsidRPr="0049073D" w:rsidRDefault="00EE7CE7" w:rsidP="007B45C4">
            <w:pPr>
              <w:spacing w:before="240"/>
              <w:contextualSpacing/>
              <w:rPr>
                <w:rFonts w:ascii="Times New Roman" w:hAnsi="Times New Roman" w:cs="Times New Roman"/>
                <w:sz w:val="24"/>
                <w:szCs w:val="24"/>
              </w:rPr>
            </w:pPr>
          </w:p>
        </w:tc>
        <w:tc>
          <w:tcPr>
            <w:tcW w:w="1317" w:type="dxa"/>
          </w:tcPr>
          <w:p w14:paraId="0EF428B2" w14:textId="77777777" w:rsidR="00EE7CE7" w:rsidRDefault="00EE7CE7" w:rsidP="007B45C4">
            <w:pPr>
              <w:spacing w:before="240"/>
              <w:contextualSpacing/>
              <w:rPr>
                <w:rFonts w:ascii="Times New Roman" w:hAnsi="Times New Roman"/>
                <w:sz w:val="24"/>
                <w:szCs w:val="24"/>
              </w:rPr>
            </w:pPr>
          </w:p>
        </w:tc>
        <w:tc>
          <w:tcPr>
            <w:tcW w:w="1176" w:type="dxa"/>
          </w:tcPr>
          <w:p w14:paraId="1978AF31" w14:textId="77777777" w:rsidR="00EE7CE7" w:rsidRDefault="00EE7CE7" w:rsidP="007B45C4">
            <w:pPr>
              <w:spacing w:before="240"/>
              <w:contextualSpacing/>
              <w:rPr>
                <w:rFonts w:ascii="Times New Roman" w:hAnsi="Times New Roman"/>
                <w:sz w:val="24"/>
                <w:szCs w:val="24"/>
              </w:rPr>
            </w:pPr>
          </w:p>
        </w:tc>
        <w:tc>
          <w:tcPr>
            <w:tcW w:w="1269" w:type="dxa"/>
          </w:tcPr>
          <w:p w14:paraId="16B94FBC" w14:textId="77D74B82" w:rsidR="00EE7CE7" w:rsidRDefault="00EE7CE7" w:rsidP="007B45C4">
            <w:pPr>
              <w:spacing w:before="240"/>
              <w:contextualSpacing/>
              <w:rPr>
                <w:rFonts w:ascii="Times New Roman" w:hAnsi="Times New Roman"/>
                <w:sz w:val="24"/>
                <w:szCs w:val="24"/>
              </w:rPr>
            </w:pPr>
          </w:p>
        </w:tc>
      </w:tr>
      <w:tr w:rsidR="00EE7CE7" w14:paraId="14F7BEFE" w14:textId="5E34A9D9" w:rsidTr="00EE7CE7">
        <w:tc>
          <w:tcPr>
            <w:tcW w:w="1692" w:type="dxa"/>
          </w:tcPr>
          <w:p w14:paraId="28133CC5" w14:textId="3660F29D" w:rsidR="00EE7CE7" w:rsidRPr="0049073D" w:rsidRDefault="00EE7CE7" w:rsidP="007B45C4">
            <w:pPr>
              <w:spacing w:before="240"/>
              <w:contextualSpacing/>
              <w:rPr>
                <w:rFonts w:ascii="Times New Roman" w:eastAsia="Times New Roman" w:hAnsi="Times New Roman" w:cs="Times New Roman"/>
                <w:color w:val="000000"/>
                <w:sz w:val="24"/>
                <w:szCs w:val="24"/>
              </w:rPr>
            </w:pPr>
            <w:r w:rsidRPr="0049073D">
              <w:rPr>
                <w:rFonts w:ascii="Times New Roman" w:eastAsia="Times New Roman" w:hAnsi="Times New Roman" w:cs="Times New Roman"/>
                <w:color w:val="000000"/>
                <w:sz w:val="24"/>
                <w:szCs w:val="24"/>
              </w:rPr>
              <w:t>Total</w:t>
            </w:r>
          </w:p>
        </w:tc>
        <w:tc>
          <w:tcPr>
            <w:tcW w:w="1231" w:type="dxa"/>
          </w:tcPr>
          <w:p w14:paraId="050F269D" w14:textId="13279B3C" w:rsidR="00EE7CE7" w:rsidRPr="0049073D" w:rsidRDefault="00EE7CE7" w:rsidP="00131488">
            <w:pPr>
              <w:spacing w:before="240"/>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1434" w:type="dxa"/>
          </w:tcPr>
          <w:p w14:paraId="31490EBB" w14:textId="38792357" w:rsidR="00EE7CE7" w:rsidRPr="0049073D" w:rsidRDefault="00EE7CE7" w:rsidP="00523D71">
            <w:pPr>
              <w:spacing w:before="240"/>
              <w:contextualSpacing/>
              <w:jc w:val="right"/>
              <w:rPr>
                <w:rFonts w:ascii="Times New Roman" w:hAnsi="Times New Roman" w:cs="Times New Roman"/>
                <w:sz w:val="24"/>
                <w:szCs w:val="24"/>
              </w:rPr>
            </w:pPr>
            <w:r>
              <w:rPr>
                <w:rFonts w:ascii="Times New Roman" w:hAnsi="Times New Roman" w:cs="Times New Roman"/>
                <w:sz w:val="24"/>
                <w:szCs w:val="24"/>
              </w:rPr>
              <w:t>40,565</w:t>
            </w:r>
          </w:p>
        </w:tc>
        <w:tc>
          <w:tcPr>
            <w:tcW w:w="1231" w:type="dxa"/>
          </w:tcPr>
          <w:p w14:paraId="5AC6F087" w14:textId="77777777" w:rsidR="00EE7CE7" w:rsidRPr="0049073D" w:rsidRDefault="00EE7CE7" w:rsidP="007B45C4">
            <w:pPr>
              <w:spacing w:before="240"/>
              <w:contextualSpacing/>
              <w:rPr>
                <w:rFonts w:ascii="Times New Roman" w:hAnsi="Times New Roman" w:cs="Times New Roman"/>
                <w:sz w:val="24"/>
                <w:szCs w:val="24"/>
              </w:rPr>
            </w:pPr>
          </w:p>
        </w:tc>
        <w:tc>
          <w:tcPr>
            <w:tcW w:w="1317" w:type="dxa"/>
          </w:tcPr>
          <w:p w14:paraId="1D0647A8" w14:textId="75F723FC" w:rsidR="00EE7CE7" w:rsidRDefault="00EE7CE7" w:rsidP="00EE7CE7">
            <w:pPr>
              <w:spacing w:before="240"/>
              <w:contextualSpacing/>
              <w:jc w:val="right"/>
              <w:rPr>
                <w:rFonts w:ascii="Times New Roman" w:hAnsi="Times New Roman"/>
                <w:sz w:val="24"/>
                <w:szCs w:val="24"/>
              </w:rPr>
            </w:pPr>
            <w:r>
              <w:rPr>
                <w:rFonts w:ascii="Times New Roman" w:hAnsi="Times New Roman"/>
                <w:sz w:val="24"/>
                <w:szCs w:val="24"/>
              </w:rPr>
              <w:t>12,037</w:t>
            </w:r>
          </w:p>
        </w:tc>
        <w:tc>
          <w:tcPr>
            <w:tcW w:w="1176" w:type="dxa"/>
          </w:tcPr>
          <w:p w14:paraId="1814F784" w14:textId="77777777" w:rsidR="00EE7CE7" w:rsidRDefault="00EE7CE7" w:rsidP="00EE7CE7">
            <w:pPr>
              <w:spacing w:before="240"/>
              <w:contextualSpacing/>
              <w:jc w:val="right"/>
              <w:rPr>
                <w:rFonts w:ascii="Times New Roman" w:hAnsi="Times New Roman"/>
                <w:sz w:val="24"/>
                <w:szCs w:val="24"/>
              </w:rPr>
            </w:pPr>
          </w:p>
        </w:tc>
        <w:tc>
          <w:tcPr>
            <w:tcW w:w="1269" w:type="dxa"/>
          </w:tcPr>
          <w:p w14:paraId="2564DFC5" w14:textId="6C722ECC" w:rsidR="00EE7CE7" w:rsidRDefault="00EE7CE7" w:rsidP="00EE7CE7">
            <w:pPr>
              <w:spacing w:before="240"/>
              <w:contextualSpacing/>
              <w:jc w:val="right"/>
              <w:rPr>
                <w:rFonts w:ascii="Times New Roman" w:hAnsi="Times New Roman"/>
                <w:sz w:val="24"/>
                <w:szCs w:val="24"/>
              </w:rPr>
            </w:pPr>
            <w:r>
              <w:rPr>
                <w:rFonts w:ascii="Times New Roman" w:hAnsi="Times New Roman"/>
                <w:sz w:val="24"/>
                <w:szCs w:val="24"/>
              </w:rPr>
              <w:t>2,375</w:t>
            </w:r>
          </w:p>
        </w:tc>
      </w:tr>
    </w:tbl>
    <w:p w14:paraId="41728F76" w14:textId="77777777" w:rsidR="00C95640" w:rsidRPr="004D7829" w:rsidRDefault="00C95640" w:rsidP="007B45C4">
      <w:pPr>
        <w:spacing w:before="240"/>
        <w:contextualSpacing/>
        <w:rPr>
          <w:rFonts w:ascii="Times New Roman" w:hAnsi="Times New Roman"/>
          <w:sz w:val="24"/>
          <w:szCs w:val="24"/>
        </w:rPr>
      </w:pPr>
    </w:p>
    <w:p w14:paraId="7AFD6F8F" w14:textId="77777777" w:rsidR="007B45C4" w:rsidRPr="004D7829" w:rsidRDefault="007B45C4" w:rsidP="007B45C4">
      <w:pPr>
        <w:spacing w:before="240"/>
        <w:contextualSpacing/>
        <w:rPr>
          <w:rFonts w:ascii="Times New Roman" w:hAnsi="Times New Roman"/>
          <w:sz w:val="24"/>
          <w:szCs w:val="24"/>
        </w:rPr>
      </w:pPr>
      <w:r w:rsidRPr="004D7829">
        <w:rPr>
          <w:rFonts w:ascii="Times New Roman" w:hAnsi="Times New Roman"/>
          <w:sz w:val="24"/>
          <w:szCs w:val="24"/>
        </w:rPr>
        <w:t xml:space="preserve"> </w:t>
      </w:r>
    </w:p>
    <w:p w14:paraId="10A3DDD0" w14:textId="2BBD9D51" w:rsidR="007B45C4" w:rsidRDefault="007B45C4" w:rsidP="007B45C4">
      <w:pPr>
        <w:spacing w:before="240"/>
        <w:contextualSpacing/>
        <w:rPr>
          <w:rFonts w:ascii="Times New Roman" w:hAnsi="Times New Roman" w:cs="Times New Roman"/>
          <w:sz w:val="24"/>
          <w:szCs w:val="24"/>
          <w:shd w:val="clear" w:color="auto" w:fill="FFFFFF"/>
        </w:rPr>
      </w:pPr>
      <w:r w:rsidRPr="00D25F52">
        <w:rPr>
          <w:rFonts w:ascii="Times New Roman" w:hAnsi="Times New Roman" w:cs="Times New Roman"/>
          <w:sz w:val="24"/>
          <w:szCs w:val="24"/>
        </w:rPr>
        <w:t xml:space="preserve">There is </w:t>
      </w:r>
      <w:r w:rsidR="00A85D51" w:rsidRPr="00D25F52">
        <w:rPr>
          <w:rFonts w:ascii="Times New Roman" w:hAnsi="Times New Roman" w:cs="Times New Roman"/>
          <w:sz w:val="24"/>
          <w:szCs w:val="24"/>
        </w:rPr>
        <w:t>limited</w:t>
      </w:r>
      <w:r w:rsidRPr="00D25F52">
        <w:rPr>
          <w:rFonts w:ascii="Times New Roman" w:hAnsi="Times New Roman" w:cs="Times New Roman"/>
          <w:sz w:val="24"/>
          <w:szCs w:val="24"/>
        </w:rPr>
        <w:t xml:space="preserve"> recognition in the wildlife analysis that the goshawk is a territorial species and there is no attempt to address how the proposal might impact </w:t>
      </w:r>
      <w:r w:rsidR="00A85D51" w:rsidRPr="00D25F52">
        <w:rPr>
          <w:rFonts w:ascii="Times New Roman" w:hAnsi="Times New Roman" w:cs="Times New Roman"/>
          <w:sz w:val="24"/>
          <w:szCs w:val="24"/>
        </w:rPr>
        <w:t>potential post-fledgling areas (PFAs</w:t>
      </w:r>
      <w:r w:rsidR="007D6036" w:rsidRPr="00D25F52">
        <w:rPr>
          <w:rFonts w:ascii="Times New Roman" w:hAnsi="Times New Roman" w:cs="Times New Roman"/>
          <w:sz w:val="24"/>
          <w:szCs w:val="24"/>
        </w:rPr>
        <w:t>)</w:t>
      </w:r>
      <w:r w:rsidRPr="00D25F52">
        <w:rPr>
          <w:rFonts w:ascii="Times New Roman" w:hAnsi="Times New Roman" w:cs="Times New Roman"/>
          <w:sz w:val="24"/>
          <w:szCs w:val="24"/>
        </w:rPr>
        <w:t xml:space="preserve"> or theoretical territories.  For example, it is stated in the wildlife report that </w:t>
      </w:r>
      <w:r w:rsidR="00D25F52" w:rsidRPr="00D25F52">
        <w:rPr>
          <w:rFonts w:ascii="Times New Roman" w:hAnsi="Times New Roman" w:cs="Times New Roman"/>
          <w:sz w:val="24"/>
          <w:szCs w:val="24"/>
        </w:rPr>
        <w:t>“</w:t>
      </w:r>
      <w:r w:rsidR="00D25F52" w:rsidRPr="00D25F52">
        <w:rPr>
          <w:rFonts w:ascii="Times New Roman" w:hAnsi="Times New Roman" w:cs="Times New Roman"/>
          <w:sz w:val="24"/>
          <w:szCs w:val="24"/>
          <w:shd w:val="clear" w:color="auto" w:fill="FFFFFF"/>
        </w:rPr>
        <w:t xml:space="preserve">Since goshawk nest sites are not known, specific PFA areas are not identified within the project area.” </w:t>
      </w:r>
      <w:r w:rsidR="00014F5B">
        <w:rPr>
          <w:rFonts w:ascii="Times New Roman" w:hAnsi="Times New Roman" w:cs="Times New Roman"/>
          <w:sz w:val="24"/>
          <w:szCs w:val="24"/>
          <w:shd w:val="clear" w:color="auto" w:fill="FFFFFF"/>
        </w:rPr>
        <w:t>and “</w:t>
      </w:r>
      <w:r w:rsidR="000C1118" w:rsidRPr="00D25F52">
        <w:rPr>
          <w:rFonts w:ascii="Times New Roman" w:hAnsi="Times New Roman" w:cs="Times New Roman"/>
          <w:sz w:val="24"/>
          <w:szCs w:val="24"/>
          <w:shd w:val="clear" w:color="auto" w:fill="FFFFFF"/>
        </w:rPr>
        <w:t>While the project is theoretically large enough to include 7 home ranges, nesting habitat is patchy and</w:t>
      </w:r>
      <w:r w:rsidR="009E2234" w:rsidRPr="00D25F52">
        <w:rPr>
          <w:rFonts w:ascii="Times New Roman" w:hAnsi="Times New Roman" w:cs="Times New Roman"/>
          <w:sz w:val="24"/>
          <w:szCs w:val="24"/>
        </w:rPr>
        <w:t xml:space="preserve"> </w:t>
      </w:r>
      <w:r w:rsidR="000C1118" w:rsidRPr="00D25F52">
        <w:rPr>
          <w:rFonts w:ascii="Times New Roman" w:hAnsi="Times New Roman" w:cs="Times New Roman"/>
          <w:sz w:val="24"/>
          <w:szCs w:val="24"/>
          <w:shd w:val="clear" w:color="auto" w:fill="FFFFFF"/>
        </w:rPr>
        <w:t>distributed such that no more than 4 territories would be reasonable</w:t>
      </w:r>
      <w:r w:rsidR="00014F5B">
        <w:rPr>
          <w:rFonts w:ascii="Times New Roman" w:hAnsi="Times New Roman" w:cs="Times New Roman"/>
          <w:sz w:val="24"/>
          <w:szCs w:val="24"/>
          <w:shd w:val="clear" w:color="auto" w:fill="FFFFFF"/>
        </w:rPr>
        <w:t>.</w:t>
      </w:r>
      <w:r w:rsidR="00DD2D3E">
        <w:rPr>
          <w:rFonts w:ascii="Times New Roman" w:hAnsi="Times New Roman" w:cs="Times New Roman"/>
          <w:sz w:val="24"/>
          <w:szCs w:val="24"/>
          <w:shd w:val="clear" w:color="auto" w:fill="FFFFFF"/>
        </w:rPr>
        <w:t>”</w:t>
      </w:r>
      <w:r w:rsidR="0005651B">
        <w:rPr>
          <w:rFonts w:ascii="Times New Roman" w:hAnsi="Times New Roman" w:cs="Times New Roman"/>
          <w:sz w:val="24"/>
          <w:szCs w:val="24"/>
          <w:shd w:val="clear" w:color="auto" w:fill="FFFFFF"/>
        </w:rPr>
        <w:t xml:space="preserve">  </w:t>
      </w:r>
      <w:r w:rsidR="002A3181">
        <w:rPr>
          <w:rFonts w:ascii="Times New Roman" w:hAnsi="Times New Roman" w:cs="Times New Roman"/>
          <w:sz w:val="24"/>
          <w:szCs w:val="24"/>
          <w:shd w:val="clear" w:color="auto" w:fill="FFFFFF"/>
        </w:rPr>
        <w:t xml:space="preserve">The </w:t>
      </w:r>
      <w:r w:rsidR="00322781">
        <w:rPr>
          <w:rFonts w:ascii="Times New Roman" w:hAnsi="Times New Roman" w:cs="Times New Roman"/>
          <w:sz w:val="24"/>
          <w:szCs w:val="24"/>
          <w:shd w:val="clear" w:color="auto" w:fill="FFFFFF"/>
        </w:rPr>
        <w:t xml:space="preserve">uncertainty of </w:t>
      </w:r>
      <w:r w:rsidR="002A3181">
        <w:rPr>
          <w:rFonts w:ascii="Times New Roman" w:hAnsi="Times New Roman" w:cs="Times New Roman"/>
          <w:sz w:val="24"/>
          <w:szCs w:val="24"/>
          <w:shd w:val="clear" w:color="auto" w:fill="FFFFFF"/>
        </w:rPr>
        <w:t>known nesting sites is not a good reason for the lack of analysis of potential home ranges, potential nesting habitat and</w:t>
      </w:r>
      <w:r w:rsidR="00D57FE8">
        <w:rPr>
          <w:rFonts w:ascii="Times New Roman" w:hAnsi="Times New Roman" w:cs="Times New Roman"/>
          <w:sz w:val="24"/>
          <w:szCs w:val="24"/>
          <w:shd w:val="clear" w:color="auto" w:fill="FFFFFF"/>
        </w:rPr>
        <w:t>/or</w:t>
      </w:r>
      <w:r w:rsidR="002A3181">
        <w:rPr>
          <w:rFonts w:ascii="Times New Roman" w:hAnsi="Times New Roman" w:cs="Times New Roman"/>
          <w:sz w:val="24"/>
          <w:szCs w:val="24"/>
          <w:shd w:val="clear" w:color="auto" w:fill="FFFFFF"/>
        </w:rPr>
        <w:t xml:space="preserve"> potential post-fledgling areas.  Potential home ranges, potential nesting habitat and potential PFAs </w:t>
      </w:r>
      <w:r w:rsidR="00D57FE8">
        <w:rPr>
          <w:rFonts w:ascii="Times New Roman" w:hAnsi="Times New Roman" w:cs="Times New Roman"/>
          <w:sz w:val="24"/>
          <w:szCs w:val="24"/>
          <w:shd w:val="clear" w:color="auto" w:fill="FFFFFF"/>
        </w:rPr>
        <w:t xml:space="preserve">could all have been identified based on current habitat conditions. </w:t>
      </w:r>
    </w:p>
    <w:p w14:paraId="754036D5" w14:textId="77777777" w:rsidR="00014F5B" w:rsidRPr="00D25F52" w:rsidRDefault="00014F5B" w:rsidP="007B45C4">
      <w:pPr>
        <w:spacing w:before="240"/>
        <w:contextualSpacing/>
        <w:rPr>
          <w:rFonts w:ascii="Times New Roman" w:hAnsi="Times New Roman" w:cs="Times New Roman"/>
          <w:sz w:val="24"/>
          <w:szCs w:val="24"/>
        </w:rPr>
      </w:pPr>
    </w:p>
    <w:p w14:paraId="79811D78" w14:textId="670EABD5" w:rsidR="007B45C4" w:rsidRPr="00014F5B" w:rsidRDefault="007B45C4" w:rsidP="007B45C4">
      <w:pPr>
        <w:spacing w:before="240"/>
        <w:contextualSpacing/>
        <w:rPr>
          <w:rFonts w:ascii="Times New Roman" w:hAnsi="Times New Roman" w:cs="Times New Roman"/>
          <w:sz w:val="24"/>
          <w:szCs w:val="24"/>
        </w:rPr>
      </w:pPr>
      <w:r w:rsidRPr="00014F5B">
        <w:rPr>
          <w:rFonts w:ascii="Times New Roman" w:hAnsi="Times New Roman" w:cs="Times New Roman"/>
          <w:sz w:val="24"/>
          <w:szCs w:val="24"/>
        </w:rPr>
        <w:t xml:space="preserve">Previous work (Reynolds et al. 1992) </w:t>
      </w:r>
      <w:r w:rsidR="00D57FE8">
        <w:rPr>
          <w:rFonts w:ascii="Times New Roman" w:hAnsi="Times New Roman" w:cs="Times New Roman"/>
          <w:sz w:val="24"/>
          <w:szCs w:val="24"/>
        </w:rPr>
        <w:t>should</w:t>
      </w:r>
      <w:r w:rsidRPr="00014F5B">
        <w:rPr>
          <w:rFonts w:ascii="Times New Roman" w:hAnsi="Times New Roman" w:cs="Times New Roman"/>
          <w:sz w:val="24"/>
          <w:szCs w:val="24"/>
        </w:rPr>
        <w:t xml:space="preserve"> have been utilized for the goshawk analysis, and</w:t>
      </w:r>
      <w:r w:rsidR="00D57FE8">
        <w:rPr>
          <w:rFonts w:ascii="Times New Roman" w:hAnsi="Times New Roman" w:cs="Times New Roman"/>
          <w:sz w:val="24"/>
          <w:szCs w:val="24"/>
        </w:rPr>
        <w:t xml:space="preserve"> </w:t>
      </w:r>
      <w:r w:rsidRPr="00014F5B">
        <w:rPr>
          <w:rFonts w:ascii="Times New Roman" w:hAnsi="Times New Roman" w:cs="Times New Roman"/>
          <w:sz w:val="24"/>
          <w:szCs w:val="24"/>
        </w:rPr>
        <w:t>th</w:t>
      </w:r>
      <w:r w:rsidR="00BC684B">
        <w:rPr>
          <w:rFonts w:ascii="Times New Roman" w:hAnsi="Times New Roman" w:cs="Times New Roman"/>
          <w:sz w:val="24"/>
          <w:szCs w:val="24"/>
        </w:rPr>
        <w:t>is</w:t>
      </w:r>
      <w:r w:rsidRPr="00014F5B">
        <w:rPr>
          <w:rFonts w:ascii="Times New Roman" w:hAnsi="Times New Roman" w:cs="Times New Roman"/>
          <w:sz w:val="24"/>
          <w:szCs w:val="24"/>
        </w:rPr>
        <w:t xml:space="preserve"> approach would have identified more meaningful results than just running a set of stand exam queries, reporting the results and making the conclusion that “</w:t>
      </w:r>
      <w:r w:rsidR="00014F5B" w:rsidRPr="00014F5B">
        <w:rPr>
          <w:rFonts w:ascii="Times New Roman" w:hAnsi="Times New Roman" w:cs="Times New Roman"/>
          <w:sz w:val="24"/>
          <w:szCs w:val="24"/>
          <w:shd w:val="clear" w:color="auto" w:fill="FFFFFF"/>
        </w:rPr>
        <w:t xml:space="preserve">while the project </w:t>
      </w:r>
      <w:r w:rsidR="000D6A95">
        <w:rPr>
          <w:rFonts w:ascii="Times New Roman" w:hAnsi="Times New Roman" w:cs="Times New Roman"/>
          <w:sz w:val="24"/>
          <w:szCs w:val="24"/>
          <w:shd w:val="clear" w:color="auto" w:fill="FFFFFF"/>
        </w:rPr>
        <w:t>m</w:t>
      </w:r>
      <w:r w:rsidR="00014F5B" w:rsidRPr="00014F5B">
        <w:rPr>
          <w:rFonts w:ascii="Times New Roman" w:hAnsi="Times New Roman" w:cs="Times New Roman"/>
          <w:sz w:val="24"/>
          <w:szCs w:val="24"/>
          <w:shd w:val="clear" w:color="auto" w:fill="FFFFFF"/>
        </w:rPr>
        <w:t xml:space="preserve">ay </w:t>
      </w:r>
      <w:r w:rsidR="000D6A95">
        <w:rPr>
          <w:rFonts w:ascii="Times New Roman" w:hAnsi="Times New Roman" w:cs="Times New Roman"/>
          <w:sz w:val="24"/>
          <w:szCs w:val="24"/>
          <w:shd w:val="clear" w:color="auto" w:fill="FFFFFF"/>
        </w:rPr>
        <w:t>i</w:t>
      </w:r>
      <w:r w:rsidR="00014F5B" w:rsidRPr="00014F5B">
        <w:rPr>
          <w:rFonts w:ascii="Times New Roman" w:hAnsi="Times New Roman" w:cs="Times New Roman"/>
          <w:sz w:val="24"/>
          <w:szCs w:val="24"/>
          <w:shd w:val="clear" w:color="auto" w:fill="FFFFFF"/>
        </w:rPr>
        <w:t xml:space="preserve">mpact </w:t>
      </w:r>
      <w:r w:rsidR="000D6A95">
        <w:rPr>
          <w:rFonts w:ascii="Times New Roman" w:hAnsi="Times New Roman" w:cs="Times New Roman"/>
          <w:sz w:val="24"/>
          <w:szCs w:val="24"/>
          <w:shd w:val="clear" w:color="auto" w:fill="FFFFFF"/>
        </w:rPr>
        <w:lastRenderedPageBreak/>
        <w:t>i</w:t>
      </w:r>
      <w:r w:rsidR="00014F5B" w:rsidRPr="00014F5B">
        <w:rPr>
          <w:rFonts w:ascii="Times New Roman" w:hAnsi="Times New Roman" w:cs="Times New Roman"/>
          <w:sz w:val="24"/>
          <w:szCs w:val="24"/>
          <w:shd w:val="clear" w:color="auto" w:fill="FFFFFF"/>
        </w:rPr>
        <w:t xml:space="preserve">ndividuals or </w:t>
      </w:r>
      <w:r w:rsidR="000D6A95">
        <w:rPr>
          <w:rFonts w:ascii="Times New Roman" w:hAnsi="Times New Roman" w:cs="Times New Roman"/>
          <w:sz w:val="24"/>
          <w:szCs w:val="24"/>
          <w:shd w:val="clear" w:color="auto" w:fill="FFFFFF"/>
        </w:rPr>
        <w:t>h</w:t>
      </w:r>
      <w:r w:rsidR="00014F5B" w:rsidRPr="00014F5B">
        <w:rPr>
          <w:rFonts w:ascii="Times New Roman" w:hAnsi="Times New Roman" w:cs="Times New Roman"/>
          <w:sz w:val="24"/>
          <w:szCs w:val="24"/>
          <w:shd w:val="clear" w:color="auto" w:fill="FFFFFF"/>
        </w:rPr>
        <w:t>abitat, it is not likely to result in a loss of</w:t>
      </w:r>
      <w:r w:rsidR="00014F5B">
        <w:rPr>
          <w:rFonts w:ascii="Times New Roman" w:hAnsi="Times New Roman" w:cs="Times New Roman"/>
          <w:sz w:val="24"/>
          <w:szCs w:val="24"/>
          <w:shd w:val="clear" w:color="auto" w:fill="FFFFFF"/>
        </w:rPr>
        <w:t xml:space="preserve"> </w:t>
      </w:r>
      <w:r w:rsidR="00014F5B" w:rsidRPr="00014F5B">
        <w:rPr>
          <w:rFonts w:ascii="Times New Roman" w:hAnsi="Times New Roman" w:cs="Times New Roman"/>
          <w:sz w:val="24"/>
          <w:szCs w:val="24"/>
          <w:shd w:val="clear" w:color="auto" w:fill="FFFFFF"/>
        </w:rPr>
        <w:t>viability in the planning area, nor cause a trend toward federal listing or loss of Northern goshawk</w:t>
      </w:r>
      <w:r w:rsidR="00014F5B">
        <w:rPr>
          <w:rFonts w:ascii="Times New Roman" w:hAnsi="Times New Roman" w:cs="Times New Roman"/>
          <w:sz w:val="24"/>
          <w:szCs w:val="24"/>
        </w:rPr>
        <w:t xml:space="preserve"> </w:t>
      </w:r>
      <w:r w:rsidR="00014F5B" w:rsidRPr="00014F5B">
        <w:rPr>
          <w:rFonts w:ascii="Times New Roman" w:hAnsi="Times New Roman" w:cs="Times New Roman"/>
          <w:sz w:val="24"/>
          <w:szCs w:val="24"/>
          <w:shd w:val="clear" w:color="auto" w:fill="FFFFFF"/>
        </w:rPr>
        <w:t>viability range wide.”</w:t>
      </w:r>
      <w:r w:rsidRPr="00014F5B">
        <w:rPr>
          <w:rFonts w:ascii="Times New Roman" w:hAnsi="Times New Roman" w:cs="Times New Roman"/>
          <w:sz w:val="24"/>
          <w:szCs w:val="24"/>
        </w:rPr>
        <w:t xml:space="preserve"> Without meaningful thresholds of habitat loss, projects will continue to degrade goshawk habitat across the Nez Perce/Clearwater over time (Schultz 2010, Schultz 2012).  </w:t>
      </w:r>
    </w:p>
    <w:p w14:paraId="69548B8A" w14:textId="77777777" w:rsidR="007B45C4" w:rsidRPr="00FE78EE" w:rsidRDefault="007B45C4" w:rsidP="007B45C4">
      <w:pPr>
        <w:spacing w:before="240"/>
        <w:contextualSpacing/>
        <w:rPr>
          <w:rFonts w:ascii="Times New Roman" w:hAnsi="Times New Roman"/>
          <w:sz w:val="24"/>
          <w:szCs w:val="24"/>
        </w:rPr>
      </w:pPr>
    </w:p>
    <w:p w14:paraId="3CA790FA" w14:textId="65F58504" w:rsidR="007B45C4" w:rsidRDefault="00BC684B" w:rsidP="007B45C4">
      <w:pPr>
        <w:contextualSpacing/>
        <w:rPr>
          <w:rFonts w:ascii="Times New Roman" w:hAnsi="Times New Roman"/>
          <w:sz w:val="24"/>
          <w:szCs w:val="24"/>
        </w:rPr>
      </w:pPr>
      <w:r>
        <w:rPr>
          <w:rFonts w:ascii="Times New Roman" w:hAnsi="Times New Roman"/>
          <w:sz w:val="24"/>
          <w:szCs w:val="24"/>
        </w:rPr>
        <w:t xml:space="preserve">I agree that the project area could support seven potential territories, but do not agree that the existing condition or the potential home ranges needs to be dismissed upfront with no analysis. </w:t>
      </w:r>
      <w:r w:rsidR="00584139">
        <w:rPr>
          <w:rFonts w:ascii="Times New Roman" w:hAnsi="Times New Roman"/>
          <w:sz w:val="24"/>
          <w:szCs w:val="24"/>
        </w:rPr>
        <w:t xml:space="preserve">If three of the possible seven territories in the project area are already unsuitable as the Wildlife Report suggests, then it is critical to understand how the remaining four territories will be impacted and what is the </w:t>
      </w:r>
      <w:r w:rsidR="00596CD9">
        <w:rPr>
          <w:rFonts w:ascii="Times New Roman" w:hAnsi="Times New Roman"/>
          <w:sz w:val="24"/>
          <w:szCs w:val="24"/>
        </w:rPr>
        <w:t xml:space="preserve">existing </w:t>
      </w:r>
      <w:r w:rsidR="00584139">
        <w:rPr>
          <w:rFonts w:ascii="Times New Roman" w:hAnsi="Times New Roman"/>
          <w:sz w:val="24"/>
          <w:szCs w:val="24"/>
        </w:rPr>
        <w:t>condition of the three unsuitable territories.</w:t>
      </w:r>
    </w:p>
    <w:p w14:paraId="729477DE" w14:textId="77777777" w:rsidR="00584139" w:rsidRPr="00FE78EE" w:rsidRDefault="00584139" w:rsidP="007B45C4">
      <w:pPr>
        <w:contextualSpacing/>
        <w:rPr>
          <w:rFonts w:ascii="Times New Roman" w:hAnsi="Times New Roman"/>
          <w:sz w:val="24"/>
          <w:szCs w:val="24"/>
        </w:rPr>
      </w:pPr>
    </w:p>
    <w:p w14:paraId="03719161" w14:textId="1B75A36C" w:rsidR="007B45C4"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 xml:space="preserve">Reynolds et al. </w:t>
      </w:r>
      <w:r>
        <w:rPr>
          <w:rFonts w:ascii="Times New Roman" w:hAnsi="Times New Roman"/>
          <w:sz w:val="24"/>
          <w:szCs w:val="24"/>
        </w:rPr>
        <w:t>(</w:t>
      </w:r>
      <w:r w:rsidRPr="00FE78EE">
        <w:rPr>
          <w:rFonts w:ascii="Times New Roman" w:hAnsi="Times New Roman"/>
          <w:sz w:val="24"/>
          <w:szCs w:val="24"/>
        </w:rPr>
        <w:t xml:space="preserve">1992) suggest that at least 180 acres of suitable nesting habitat be maintained in each goshawk home range.  This nesting habitat be maintained in uncut blocks of at least 30 acres in size and that at least three suitable nesting areas be maintained in each home range. </w:t>
      </w:r>
      <w:r>
        <w:rPr>
          <w:rFonts w:ascii="Times New Roman" w:hAnsi="Times New Roman"/>
          <w:sz w:val="24"/>
          <w:szCs w:val="24"/>
        </w:rPr>
        <w:t xml:space="preserve"> </w:t>
      </w:r>
      <w:r w:rsidRPr="00FE78EE">
        <w:rPr>
          <w:rFonts w:ascii="Times New Roman" w:hAnsi="Times New Roman"/>
          <w:sz w:val="24"/>
          <w:szCs w:val="24"/>
        </w:rPr>
        <w:t xml:space="preserve">Regional direction based on </w:t>
      </w:r>
      <w:bookmarkStart w:id="5" w:name="_Hlk27025826"/>
      <w:r w:rsidRPr="00FE78EE">
        <w:rPr>
          <w:rFonts w:ascii="Times New Roman" w:hAnsi="Times New Roman"/>
          <w:sz w:val="24"/>
          <w:szCs w:val="24"/>
        </w:rPr>
        <w:t xml:space="preserve">Clough </w:t>
      </w:r>
      <w:r>
        <w:rPr>
          <w:rFonts w:ascii="Times New Roman" w:hAnsi="Times New Roman"/>
          <w:sz w:val="24"/>
          <w:szCs w:val="24"/>
        </w:rPr>
        <w:t>(</w:t>
      </w:r>
      <w:r w:rsidRPr="00FE78EE">
        <w:rPr>
          <w:rFonts w:ascii="Times New Roman" w:hAnsi="Times New Roman"/>
          <w:sz w:val="24"/>
          <w:szCs w:val="24"/>
        </w:rPr>
        <w:t>2000</w:t>
      </w:r>
      <w:r>
        <w:rPr>
          <w:rFonts w:ascii="Times New Roman" w:hAnsi="Times New Roman"/>
          <w:sz w:val="24"/>
          <w:szCs w:val="24"/>
        </w:rPr>
        <w:t>)</w:t>
      </w:r>
      <w:r w:rsidRPr="00FE78EE">
        <w:rPr>
          <w:rFonts w:ascii="Times New Roman" w:hAnsi="Times New Roman"/>
          <w:sz w:val="24"/>
          <w:szCs w:val="24"/>
        </w:rPr>
        <w:t xml:space="preserve"> </w:t>
      </w:r>
      <w:bookmarkEnd w:id="5"/>
      <w:r w:rsidRPr="00FE78EE">
        <w:rPr>
          <w:rFonts w:ascii="Times New Roman" w:hAnsi="Times New Roman"/>
          <w:sz w:val="24"/>
          <w:szCs w:val="24"/>
        </w:rPr>
        <w:t xml:space="preserve">suggests </w:t>
      </w:r>
      <w:r>
        <w:rPr>
          <w:rFonts w:ascii="Times New Roman" w:hAnsi="Times New Roman"/>
          <w:sz w:val="24"/>
          <w:szCs w:val="24"/>
        </w:rPr>
        <w:t xml:space="preserve">the amount of nesting habitat should be increased to </w:t>
      </w:r>
      <w:r w:rsidRPr="00FE78EE">
        <w:rPr>
          <w:rFonts w:ascii="Times New Roman" w:hAnsi="Times New Roman"/>
          <w:sz w:val="24"/>
          <w:szCs w:val="24"/>
        </w:rPr>
        <w:t>at least 240</w:t>
      </w:r>
      <w:r>
        <w:rPr>
          <w:rFonts w:ascii="Times New Roman" w:hAnsi="Times New Roman"/>
          <w:sz w:val="24"/>
          <w:szCs w:val="24"/>
        </w:rPr>
        <w:t>-acres</w:t>
      </w:r>
      <w:r w:rsidRPr="00FE78EE">
        <w:rPr>
          <w:rFonts w:ascii="Times New Roman" w:hAnsi="Times New Roman"/>
          <w:sz w:val="24"/>
          <w:szCs w:val="24"/>
        </w:rPr>
        <w:t xml:space="preserve"> </w:t>
      </w:r>
      <w:r>
        <w:rPr>
          <w:rFonts w:ascii="Times New Roman" w:hAnsi="Times New Roman"/>
          <w:sz w:val="24"/>
          <w:szCs w:val="24"/>
        </w:rPr>
        <w:t>and uncut nesting areas be increased to 40-acres</w:t>
      </w:r>
      <w:r w:rsidRPr="00FE78EE">
        <w:rPr>
          <w:rFonts w:ascii="Times New Roman" w:hAnsi="Times New Roman"/>
          <w:sz w:val="24"/>
          <w:szCs w:val="24"/>
        </w:rPr>
        <w:t xml:space="preserve">.  </w:t>
      </w:r>
    </w:p>
    <w:p w14:paraId="36E2DF73" w14:textId="77777777" w:rsidR="007B45C4" w:rsidRDefault="007B45C4" w:rsidP="007B45C4">
      <w:pPr>
        <w:spacing w:before="240"/>
        <w:contextualSpacing/>
        <w:rPr>
          <w:rFonts w:ascii="Times New Roman" w:hAnsi="Times New Roman"/>
          <w:sz w:val="24"/>
          <w:szCs w:val="24"/>
        </w:rPr>
      </w:pPr>
    </w:p>
    <w:p w14:paraId="38A314DF" w14:textId="77777777" w:rsidR="007B45C4"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 xml:space="preserve">When possible, </w:t>
      </w:r>
      <w:r>
        <w:rPr>
          <w:rFonts w:ascii="Times New Roman" w:hAnsi="Times New Roman"/>
          <w:sz w:val="24"/>
          <w:szCs w:val="24"/>
        </w:rPr>
        <w:t>Reynolds et al. (1992)</w:t>
      </w:r>
      <w:r w:rsidRPr="00FE78EE">
        <w:rPr>
          <w:rFonts w:ascii="Times New Roman" w:hAnsi="Times New Roman"/>
          <w:sz w:val="24"/>
          <w:szCs w:val="24"/>
        </w:rPr>
        <w:t xml:space="preserve"> recommend three additional replacement nesting areas.  This recommendation fits well with the findings of Moser and Garton (2009) who found that alternate nest sites will be used within the home range if the previous year’s nest site is lost for some reason.  </w:t>
      </w:r>
    </w:p>
    <w:p w14:paraId="63647D89" w14:textId="77777777" w:rsidR="007B45C4" w:rsidRDefault="007B45C4" w:rsidP="007B45C4">
      <w:pPr>
        <w:spacing w:before="240"/>
        <w:contextualSpacing/>
        <w:rPr>
          <w:rFonts w:ascii="Times New Roman" w:hAnsi="Times New Roman"/>
          <w:sz w:val="24"/>
          <w:szCs w:val="24"/>
        </w:rPr>
      </w:pPr>
    </w:p>
    <w:p w14:paraId="2130D866" w14:textId="77777777" w:rsidR="007B45C4" w:rsidRPr="008B375A" w:rsidRDefault="007B45C4" w:rsidP="007B45C4">
      <w:pPr>
        <w:spacing w:before="240"/>
        <w:contextualSpacing/>
        <w:rPr>
          <w:rFonts w:ascii="Times New Roman" w:hAnsi="Times New Roman"/>
          <w:sz w:val="24"/>
          <w:szCs w:val="24"/>
        </w:rPr>
      </w:pPr>
      <w:r w:rsidRPr="008B375A">
        <w:rPr>
          <w:rFonts w:ascii="Times New Roman" w:hAnsi="Times New Roman"/>
          <w:sz w:val="24"/>
          <w:szCs w:val="24"/>
        </w:rPr>
        <w:t>Reynolds</w:t>
      </w:r>
      <w:r>
        <w:rPr>
          <w:rFonts w:ascii="Times New Roman" w:hAnsi="Times New Roman"/>
          <w:sz w:val="24"/>
          <w:szCs w:val="24"/>
        </w:rPr>
        <w:t xml:space="preserve"> et al. (1992)</w:t>
      </w:r>
      <w:r w:rsidRPr="00FE78EE">
        <w:rPr>
          <w:rFonts w:ascii="Times New Roman" w:hAnsi="Times New Roman"/>
          <w:sz w:val="24"/>
          <w:szCs w:val="24"/>
        </w:rPr>
        <w:t xml:space="preserve"> recommended maintaining post-fledging areas of at least 60% older forests around the uncut nest stands</w:t>
      </w:r>
      <w:r>
        <w:rPr>
          <w:rFonts w:ascii="Times New Roman" w:hAnsi="Times New Roman"/>
          <w:sz w:val="24"/>
          <w:szCs w:val="24"/>
        </w:rPr>
        <w:t xml:space="preserve">.  </w:t>
      </w:r>
      <w:r w:rsidRPr="00FE78EE">
        <w:rPr>
          <w:rFonts w:ascii="Times New Roman" w:hAnsi="Times New Roman"/>
          <w:sz w:val="24"/>
          <w:szCs w:val="24"/>
        </w:rPr>
        <w:t>Moser and Garton (2009)</w:t>
      </w:r>
      <w:r>
        <w:rPr>
          <w:rFonts w:ascii="Times New Roman" w:hAnsi="Times New Roman"/>
          <w:sz w:val="24"/>
          <w:szCs w:val="24"/>
        </w:rPr>
        <w:t xml:space="preserve"> tested this recommendation by</w:t>
      </w:r>
      <w:r w:rsidRPr="00FE78EE">
        <w:rPr>
          <w:rFonts w:ascii="Times New Roman" w:hAnsi="Times New Roman"/>
          <w:sz w:val="24"/>
          <w:szCs w:val="24"/>
        </w:rPr>
        <w:t xml:space="preserve"> experimentally clearcut</w:t>
      </w:r>
      <w:r>
        <w:rPr>
          <w:rFonts w:ascii="Times New Roman" w:hAnsi="Times New Roman"/>
          <w:sz w:val="24"/>
          <w:szCs w:val="24"/>
        </w:rPr>
        <w:t xml:space="preserve">ting mature stands in the post-fledgling area </w:t>
      </w:r>
      <w:r w:rsidRPr="00FE78EE">
        <w:rPr>
          <w:rFonts w:ascii="Times New Roman" w:hAnsi="Times New Roman"/>
          <w:sz w:val="24"/>
          <w:szCs w:val="24"/>
        </w:rPr>
        <w:t>after the nesting season (average harvest unit size 104 acres)</w:t>
      </w:r>
      <w:r>
        <w:rPr>
          <w:rFonts w:ascii="Times New Roman" w:hAnsi="Times New Roman"/>
          <w:sz w:val="24"/>
          <w:szCs w:val="24"/>
        </w:rPr>
        <w:t>. When Moser and Garton (2009) experimentally clearcut in the post fledgling area t</w:t>
      </w:r>
      <w:r w:rsidRPr="00FE78EE">
        <w:rPr>
          <w:rFonts w:ascii="Times New Roman" w:hAnsi="Times New Roman"/>
          <w:sz w:val="24"/>
          <w:szCs w:val="24"/>
        </w:rPr>
        <w:t>hey found goshawks, re-nested when approximately 39% of the post-fledging area (164 acres) remained as</w:t>
      </w:r>
      <w:r>
        <w:rPr>
          <w:rFonts w:ascii="Times New Roman" w:hAnsi="Times New Roman"/>
          <w:sz w:val="24"/>
          <w:szCs w:val="24"/>
        </w:rPr>
        <w:t xml:space="preserve"> mature forest (</w:t>
      </w:r>
      <w:r w:rsidRPr="00FE78EE">
        <w:rPr>
          <w:rFonts w:ascii="Times New Roman" w:hAnsi="Times New Roman"/>
          <w:sz w:val="24"/>
          <w:szCs w:val="24"/>
        </w:rPr>
        <w:t>potential nesting habitat</w:t>
      </w:r>
      <w:r>
        <w:rPr>
          <w:rFonts w:ascii="Times New Roman" w:hAnsi="Times New Roman"/>
          <w:sz w:val="24"/>
          <w:szCs w:val="24"/>
        </w:rPr>
        <w:t xml:space="preserve">).  From their work, </w:t>
      </w:r>
      <w:r w:rsidRPr="00FE78EE">
        <w:rPr>
          <w:rFonts w:ascii="Times New Roman" w:hAnsi="Times New Roman"/>
          <w:sz w:val="24"/>
          <w:szCs w:val="24"/>
        </w:rPr>
        <w:t xml:space="preserve">Moser and Garton (2009) suggested that </w:t>
      </w:r>
      <w:r>
        <w:rPr>
          <w:rFonts w:ascii="Times New Roman" w:hAnsi="Times New Roman"/>
          <w:sz w:val="24"/>
          <w:szCs w:val="24"/>
        </w:rPr>
        <w:t xml:space="preserve">the amount of mature forest in the post-fledgling area </w:t>
      </w:r>
      <w:r w:rsidRPr="00FE78EE">
        <w:rPr>
          <w:rFonts w:ascii="Times New Roman" w:hAnsi="Times New Roman"/>
          <w:sz w:val="24"/>
          <w:szCs w:val="24"/>
        </w:rPr>
        <w:t>could potentially</w:t>
      </w:r>
      <w:r>
        <w:rPr>
          <w:rFonts w:ascii="Times New Roman" w:hAnsi="Times New Roman"/>
          <w:sz w:val="24"/>
          <w:szCs w:val="24"/>
        </w:rPr>
        <w:t xml:space="preserve"> be</w:t>
      </w:r>
      <w:r w:rsidRPr="00FE78EE">
        <w:rPr>
          <w:rFonts w:ascii="Times New Roman" w:hAnsi="Times New Roman"/>
          <w:sz w:val="24"/>
          <w:szCs w:val="24"/>
        </w:rPr>
        <w:t xml:space="preserve"> reduced to 39%, but this will likely place greater risk on the species </w:t>
      </w:r>
      <w:r>
        <w:rPr>
          <w:rFonts w:ascii="Times New Roman" w:hAnsi="Times New Roman"/>
          <w:sz w:val="24"/>
          <w:szCs w:val="24"/>
        </w:rPr>
        <w:t>(</w:t>
      </w:r>
      <w:r w:rsidRPr="00FE78EE">
        <w:rPr>
          <w:rFonts w:ascii="Times New Roman" w:hAnsi="Times New Roman"/>
          <w:sz w:val="24"/>
          <w:szCs w:val="24"/>
        </w:rPr>
        <w:t>Clough 2000</w:t>
      </w:r>
      <w:r>
        <w:rPr>
          <w:rFonts w:ascii="Times New Roman" w:hAnsi="Times New Roman"/>
          <w:sz w:val="24"/>
          <w:szCs w:val="24"/>
        </w:rPr>
        <w:t>)</w:t>
      </w:r>
      <w:r w:rsidRPr="00FE78EE">
        <w:rPr>
          <w:rFonts w:ascii="Times New Roman" w:hAnsi="Times New Roman"/>
          <w:sz w:val="24"/>
          <w:szCs w:val="24"/>
        </w:rPr>
        <w:t xml:space="preserve"> and I think the more conservative approach suggested by Reynolds is more appropriate for National Forest management.  </w:t>
      </w:r>
    </w:p>
    <w:p w14:paraId="47D8B5F5" w14:textId="77777777" w:rsidR="007B45C4" w:rsidRPr="008B375A" w:rsidRDefault="007B45C4" w:rsidP="007B45C4">
      <w:pPr>
        <w:spacing w:before="240"/>
        <w:contextualSpacing/>
        <w:rPr>
          <w:rFonts w:ascii="Times New Roman" w:hAnsi="Times New Roman"/>
          <w:sz w:val="24"/>
          <w:szCs w:val="24"/>
        </w:rPr>
      </w:pPr>
    </w:p>
    <w:p w14:paraId="5FC947F3" w14:textId="44995713" w:rsidR="007B45C4"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I suggest</w:t>
      </w:r>
      <w:r>
        <w:rPr>
          <w:rFonts w:ascii="Times New Roman" w:hAnsi="Times New Roman"/>
          <w:sz w:val="24"/>
          <w:szCs w:val="24"/>
        </w:rPr>
        <w:t xml:space="preserve"> dividing the project area into </w:t>
      </w:r>
      <w:r w:rsidR="00BC684B">
        <w:rPr>
          <w:rFonts w:ascii="Times New Roman" w:hAnsi="Times New Roman"/>
          <w:sz w:val="24"/>
          <w:szCs w:val="24"/>
        </w:rPr>
        <w:t xml:space="preserve">seven </w:t>
      </w:r>
      <w:r>
        <w:rPr>
          <w:rFonts w:ascii="Times New Roman" w:hAnsi="Times New Roman"/>
          <w:sz w:val="24"/>
          <w:szCs w:val="24"/>
        </w:rPr>
        <w:t>non-overlapping theoretical home ranges based on topographical features.  This approach would be similar to procedures used to identify the elk analysis areas and it is important that the theoretical home ranges not be overlapping to avoid double counting of potential habitat.</w:t>
      </w:r>
      <w:r w:rsidRPr="00FE78EE">
        <w:rPr>
          <w:rFonts w:ascii="Times New Roman" w:hAnsi="Times New Roman"/>
          <w:sz w:val="24"/>
          <w:szCs w:val="24"/>
        </w:rPr>
        <w:t xml:space="preserve">  </w:t>
      </w:r>
      <w:r>
        <w:rPr>
          <w:rFonts w:ascii="Times New Roman" w:hAnsi="Times New Roman"/>
          <w:sz w:val="24"/>
          <w:szCs w:val="24"/>
        </w:rPr>
        <w:t>Each</w:t>
      </w:r>
      <w:r w:rsidRPr="00FE78EE">
        <w:rPr>
          <w:rFonts w:ascii="Times New Roman" w:hAnsi="Times New Roman"/>
          <w:sz w:val="24"/>
          <w:szCs w:val="24"/>
        </w:rPr>
        <w:t xml:space="preserve"> existing home range should then be classified into potential goshawk nesting habitat based on the guidance of the Hayward and Escano (1998).   An analysis should be completed to assure that sufficient old forest is maintained within each of the three potential nest stands to meet the Reynolds et al. (1992)</w:t>
      </w:r>
      <w:r>
        <w:rPr>
          <w:rFonts w:ascii="Times New Roman" w:hAnsi="Times New Roman"/>
          <w:sz w:val="24"/>
          <w:szCs w:val="24"/>
        </w:rPr>
        <w:t xml:space="preserve"> nesting and </w:t>
      </w:r>
      <w:r w:rsidRPr="00FE78EE">
        <w:rPr>
          <w:rFonts w:ascii="Times New Roman" w:hAnsi="Times New Roman"/>
          <w:sz w:val="24"/>
          <w:szCs w:val="24"/>
        </w:rPr>
        <w:t>post-fledging requirements.  Thus</w:t>
      </w:r>
      <w:r>
        <w:rPr>
          <w:rFonts w:ascii="Times New Roman" w:hAnsi="Times New Roman"/>
          <w:sz w:val="24"/>
          <w:szCs w:val="24"/>
        </w:rPr>
        <w:t>,</w:t>
      </w:r>
      <w:r w:rsidRPr="00FE78EE">
        <w:rPr>
          <w:rFonts w:ascii="Times New Roman" w:hAnsi="Times New Roman"/>
          <w:sz w:val="24"/>
          <w:szCs w:val="24"/>
        </w:rPr>
        <w:t xml:space="preserve"> each home range should have at least three suitable post-fledging areas at least 420 acres in size with at least 60% old forest surrounding the potential nest stands.  Foraging habitat should maintain the diversity of conditions that Reynolds et al. (1992) discuss </w:t>
      </w:r>
      <w:r w:rsidRPr="00FE78EE">
        <w:rPr>
          <w:rFonts w:ascii="Times New Roman" w:hAnsi="Times New Roman"/>
          <w:sz w:val="24"/>
          <w:szCs w:val="24"/>
        </w:rPr>
        <w:lastRenderedPageBreak/>
        <w:t xml:space="preserve">in </w:t>
      </w:r>
      <w:r w:rsidR="007B769D">
        <w:rPr>
          <w:rFonts w:ascii="Times New Roman" w:hAnsi="Times New Roman"/>
          <w:sz w:val="24"/>
          <w:szCs w:val="24"/>
        </w:rPr>
        <w:t xml:space="preserve">their </w:t>
      </w:r>
      <w:r w:rsidRPr="00FE78EE">
        <w:rPr>
          <w:rFonts w:ascii="Times New Roman" w:hAnsi="Times New Roman"/>
          <w:sz w:val="24"/>
          <w:szCs w:val="24"/>
        </w:rPr>
        <w:t>management guidelines.  Th</w:t>
      </w:r>
      <w:r w:rsidR="00A804BD">
        <w:rPr>
          <w:rFonts w:ascii="Times New Roman" w:hAnsi="Times New Roman"/>
          <w:sz w:val="24"/>
          <w:szCs w:val="24"/>
        </w:rPr>
        <w:t>is</w:t>
      </w:r>
      <w:r w:rsidRPr="00FE78EE">
        <w:rPr>
          <w:rFonts w:ascii="Times New Roman" w:hAnsi="Times New Roman"/>
          <w:sz w:val="24"/>
          <w:szCs w:val="24"/>
        </w:rPr>
        <w:t xml:space="preserve"> will likely mean a sufficient component of older forest stands along with some stands in younger age classes</w:t>
      </w:r>
      <w:r>
        <w:rPr>
          <w:rFonts w:ascii="Times New Roman" w:hAnsi="Times New Roman"/>
          <w:sz w:val="24"/>
          <w:szCs w:val="24"/>
        </w:rPr>
        <w:t>.</w:t>
      </w:r>
    </w:p>
    <w:p w14:paraId="47DA2E36" w14:textId="77777777" w:rsidR="007B45C4" w:rsidRPr="00FE78EE" w:rsidRDefault="007B45C4" w:rsidP="007B45C4">
      <w:pPr>
        <w:spacing w:before="240"/>
        <w:contextualSpacing/>
        <w:rPr>
          <w:rFonts w:ascii="Times New Roman" w:hAnsi="Times New Roman"/>
          <w:sz w:val="24"/>
          <w:szCs w:val="24"/>
        </w:rPr>
      </w:pPr>
    </w:p>
    <w:p w14:paraId="182BADE7" w14:textId="757A57C0" w:rsidR="007B45C4" w:rsidRDefault="007B45C4" w:rsidP="007B45C4">
      <w:pPr>
        <w:rPr>
          <w:rFonts w:ascii="Times New Roman" w:hAnsi="Times New Roman"/>
          <w:sz w:val="24"/>
          <w:szCs w:val="24"/>
        </w:rPr>
      </w:pPr>
      <w:r w:rsidRPr="00FE78EE">
        <w:rPr>
          <w:rFonts w:ascii="Times New Roman" w:hAnsi="Times New Roman"/>
          <w:sz w:val="24"/>
          <w:szCs w:val="24"/>
        </w:rPr>
        <w:t xml:space="preserve">Thus, the Reynolds et al. (1992) guidelines actually require maintaining more than </w:t>
      </w:r>
      <w:r>
        <w:rPr>
          <w:rFonts w:ascii="Times New Roman" w:hAnsi="Times New Roman"/>
          <w:sz w:val="24"/>
          <w:szCs w:val="24"/>
        </w:rPr>
        <w:t>180 or 240</w:t>
      </w:r>
      <w:r w:rsidRPr="00FE78EE">
        <w:rPr>
          <w:rFonts w:ascii="Times New Roman" w:hAnsi="Times New Roman"/>
          <w:sz w:val="24"/>
          <w:szCs w:val="24"/>
        </w:rPr>
        <w:t xml:space="preserve"> acres of mature forest in each goshawk home range. The exact amount of mature forest to be maintained is dependent on the configuration of the existing nesting habitat and the composition of the surrounding post-fledgling areas. This needs to be determined prior to timber harvest based on the location of identified nesting habitat. Doing otherwise, an</w:t>
      </w:r>
      <w:r>
        <w:rPr>
          <w:rFonts w:ascii="Times New Roman" w:hAnsi="Times New Roman"/>
          <w:sz w:val="24"/>
          <w:szCs w:val="24"/>
        </w:rPr>
        <w:t>d</w:t>
      </w:r>
      <w:r w:rsidRPr="00FE78EE">
        <w:rPr>
          <w:rFonts w:ascii="Times New Roman" w:hAnsi="Times New Roman"/>
          <w:sz w:val="24"/>
          <w:szCs w:val="24"/>
        </w:rPr>
        <w:t xml:space="preserve"> making no provisions for the protection of post-fledgling habitat (as is being done on </w:t>
      </w:r>
      <w:r>
        <w:rPr>
          <w:rFonts w:ascii="Times New Roman" w:hAnsi="Times New Roman"/>
          <w:sz w:val="24"/>
          <w:szCs w:val="24"/>
        </w:rPr>
        <w:t>the</w:t>
      </w:r>
      <w:r w:rsidR="00596CD9">
        <w:rPr>
          <w:rFonts w:ascii="Times New Roman" w:hAnsi="Times New Roman"/>
          <w:sz w:val="24"/>
          <w:szCs w:val="24"/>
        </w:rPr>
        <w:t xml:space="preserve"> Laundry Ridge </w:t>
      </w:r>
      <w:r w:rsidRPr="00FE78EE">
        <w:rPr>
          <w:rFonts w:ascii="Times New Roman" w:hAnsi="Times New Roman"/>
          <w:sz w:val="24"/>
          <w:szCs w:val="24"/>
        </w:rPr>
        <w:t>project and several other projects across the Forest) and allowing post-fledging areas to be extensively harvested after the active nesting season (Aug 15</w:t>
      </w:r>
      <w:r w:rsidRPr="00FE78EE">
        <w:rPr>
          <w:rFonts w:ascii="Times New Roman" w:hAnsi="Times New Roman"/>
          <w:sz w:val="24"/>
          <w:szCs w:val="24"/>
          <w:vertAlign w:val="superscript"/>
        </w:rPr>
        <w:t>th</w:t>
      </w:r>
      <w:r w:rsidRPr="00FE78EE">
        <w:rPr>
          <w:rFonts w:ascii="Times New Roman" w:hAnsi="Times New Roman"/>
          <w:sz w:val="24"/>
          <w:szCs w:val="24"/>
        </w:rPr>
        <w:t>) will likely assure that the nesting area will be abandoned in the following year.  This approach provides little assurance of long-term protection of goshawk habitat on the Nez Perce/Clearwater National Forest.</w:t>
      </w:r>
      <w:r w:rsidR="007B769D">
        <w:rPr>
          <w:rFonts w:ascii="Times New Roman" w:hAnsi="Times New Roman"/>
          <w:sz w:val="24"/>
          <w:szCs w:val="24"/>
        </w:rPr>
        <w:t xml:space="preserve">   Nesting habitat should not be harvested in theoretical home ranges that do not have sufficient mature forest to meet the Reynolds et al. (1992) guidelines.</w:t>
      </w:r>
    </w:p>
    <w:p w14:paraId="5EBB3A0D" w14:textId="1837EB54" w:rsidR="007B45C4" w:rsidRDefault="007B45C4" w:rsidP="007B45C4">
      <w:pPr>
        <w:rPr>
          <w:rFonts w:ascii="Times New Roman" w:hAnsi="Times New Roman"/>
          <w:sz w:val="24"/>
          <w:szCs w:val="24"/>
        </w:rPr>
      </w:pPr>
      <w:r w:rsidRPr="00FE78EE">
        <w:rPr>
          <w:rFonts w:ascii="Times New Roman" w:hAnsi="Times New Roman"/>
          <w:sz w:val="24"/>
          <w:szCs w:val="24"/>
        </w:rPr>
        <w:t>The goshawk analysis needs to be updated to assure both nesting habitat and the surrounding post-fledgling habitat is being maintained.</w:t>
      </w:r>
      <w:r>
        <w:rPr>
          <w:rFonts w:ascii="Times New Roman" w:hAnsi="Times New Roman"/>
          <w:sz w:val="24"/>
          <w:szCs w:val="24"/>
        </w:rPr>
        <w:t xml:space="preserve"> According to the</w:t>
      </w:r>
      <w:r w:rsidR="00F37282">
        <w:rPr>
          <w:rFonts w:ascii="Times New Roman" w:hAnsi="Times New Roman"/>
          <w:sz w:val="24"/>
          <w:szCs w:val="24"/>
        </w:rPr>
        <w:t xml:space="preserve"> </w:t>
      </w:r>
      <w:r>
        <w:rPr>
          <w:rFonts w:ascii="Times New Roman" w:hAnsi="Times New Roman"/>
          <w:sz w:val="24"/>
          <w:szCs w:val="24"/>
        </w:rPr>
        <w:t>silviculture report, timber harvest since 19</w:t>
      </w:r>
      <w:r w:rsidR="008F6281">
        <w:rPr>
          <w:rFonts w:ascii="Times New Roman" w:hAnsi="Times New Roman"/>
          <w:sz w:val="24"/>
          <w:szCs w:val="24"/>
        </w:rPr>
        <w:t>5</w:t>
      </w:r>
      <w:r>
        <w:rPr>
          <w:rFonts w:ascii="Times New Roman" w:hAnsi="Times New Roman"/>
          <w:sz w:val="24"/>
          <w:szCs w:val="24"/>
        </w:rPr>
        <w:t xml:space="preserve">0 has treated </w:t>
      </w:r>
      <w:r w:rsidR="008F6281">
        <w:rPr>
          <w:rFonts w:ascii="Times New Roman" w:hAnsi="Times New Roman"/>
          <w:sz w:val="24"/>
          <w:szCs w:val="24"/>
        </w:rPr>
        <w:t>14,895-</w:t>
      </w:r>
      <w:r>
        <w:rPr>
          <w:rFonts w:ascii="Times New Roman" w:hAnsi="Times New Roman"/>
          <w:sz w:val="24"/>
          <w:szCs w:val="24"/>
        </w:rPr>
        <w:t xml:space="preserve">acres or </w:t>
      </w:r>
      <w:r w:rsidR="008F6281">
        <w:rPr>
          <w:rFonts w:ascii="Times New Roman" w:hAnsi="Times New Roman"/>
          <w:sz w:val="24"/>
          <w:szCs w:val="24"/>
        </w:rPr>
        <w:t>36</w:t>
      </w:r>
      <w:r>
        <w:rPr>
          <w:rFonts w:ascii="Times New Roman" w:hAnsi="Times New Roman"/>
          <w:sz w:val="24"/>
          <w:szCs w:val="24"/>
        </w:rPr>
        <w:t>.</w:t>
      </w:r>
      <w:r w:rsidR="008F6281">
        <w:rPr>
          <w:rFonts w:ascii="Times New Roman" w:hAnsi="Times New Roman"/>
          <w:sz w:val="24"/>
          <w:szCs w:val="24"/>
        </w:rPr>
        <w:t>7</w:t>
      </w:r>
      <w:r>
        <w:rPr>
          <w:rFonts w:ascii="Times New Roman" w:hAnsi="Times New Roman"/>
          <w:sz w:val="24"/>
          <w:szCs w:val="24"/>
        </w:rPr>
        <w:t xml:space="preserve">% of the project area.  Most of these stands are not suitable for gohawk nesting due to their relatively young age.  New harvest on this project includes </w:t>
      </w:r>
      <w:r w:rsidR="00F37282">
        <w:rPr>
          <w:rFonts w:ascii="Times New Roman" w:hAnsi="Times New Roman"/>
          <w:sz w:val="24"/>
          <w:szCs w:val="24"/>
        </w:rPr>
        <w:t>2,057</w:t>
      </w:r>
      <w:r>
        <w:rPr>
          <w:rFonts w:ascii="Times New Roman" w:hAnsi="Times New Roman"/>
          <w:sz w:val="24"/>
          <w:szCs w:val="24"/>
        </w:rPr>
        <w:t>-acres of regenerat</w:t>
      </w:r>
      <w:r w:rsidR="008F6281">
        <w:rPr>
          <w:rFonts w:ascii="Times New Roman" w:hAnsi="Times New Roman"/>
          <w:sz w:val="24"/>
          <w:szCs w:val="24"/>
        </w:rPr>
        <w:t>ion harvest</w:t>
      </w:r>
      <w:r>
        <w:rPr>
          <w:rFonts w:ascii="Times New Roman" w:hAnsi="Times New Roman"/>
          <w:sz w:val="24"/>
          <w:szCs w:val="24"/>
        </w:rPr>
        <w:t>.  Coupled with past harvest, this would bring the harvested acreage up to 1</w:t>
      </w:r>
      <w:r w:rsidR="008F6281">
        <w:rPr>
          <w:rFonts w:ascii="Times New Roman" w:hAnsi="Times New Roman"/>
          <w:sz w:val="24"/>
          <w:szCs w:val="24"/>
        </w:rPr>
        <w:t>6</w:t>
      </w:r>
      <w:r>
        <w:rPr>
          <w:rFonts w:ascii="Times New Roman" w:hAnsi="Times New Roman"/>
          <w:sz w:val="24"/>
          <w:szCs w:val="24"/>
        </w:rPr>
        <w:t>,</w:t>
      </w:r>
      <w:r w:rsidR="008F6281">
        <w:rPr>
          <w:rFonts w:ascii="Times New Roman" w:hAnsi="Times New Roman"/>
          <w:sz w:val="24"/>
          <w:szCs w:val="24"/>
        </w:rPr>
        <w:t>952</w:t>
      </w:r>
      <w:r>
        <w:rPr>
          <w:rFonts w:ascii="Times New Roman" w:hAnsi="Times New Roman"/>
          <w:sz w:val="24"/>
          <w:szCs w:val="24"/>
        </w:rPr>
        <w:t xml:space="preserve">-acres or approximately </w:t>
      </w:r>
      <w:r w:rsidR="008F6281">
        <w:rPr>
          <w:rFonts w:ascii="Times New Roman" w:hAnsi="Times New Roman"/>
          <w:sz w:val="24"/>
          <w:szCs w:val="24"/>
        </w:rPr>
        <w:t>41.8</w:t>
      </w:r>
      <w:r>
        <w:rPr>
          <w:rFonts w:ascii="Times New Roman" w:hAnsi="Times New Roman"/>
          <w:sz w:val="24"/>
          <w:szCs w:val="24"/>
        </w:rPr>
        <w:t xml:space="preserve">.% of the project area.  </w:t>
      </w:r>
    </w:p>
    <w:p w14:paraId="0329A531" w14:textId="64D2606E" w:rsidR="008F6281" w:rsidRDefault="008F6281" w:rsidP="007B45C4">
      <w:pPr>
        <w:rPr>
          <w:rFonts w:ascii="Times New Roman" w:hAnsi="Times New Roman"/>
          <w:sz w:val="24"/>
          <w:szCs w:val="24"/>
        </w:rPr>
      </w:pPr>
      <w:r>
        <w:rPr>
          <w:rFonts w:ascii="Times New Roman" w:hAnsi="Times New Roman"/>
          <w:sz w:val="24"/>
          <w:szCs w:val="24"/>
        </w:rPr>
        <w:t>There ha</w:t>
      </w:r>
      <w:r w:rsidR="00C40742">
        <w:rPr>
          <w:rFonts w:ascii="Times New Roman" w:hAnsi="Times New Roman"/>
          <w:sz w:val="24"/>
          <w:szCs w:val="24"/>
        </w:rPr>
        <w:t>ve also been 1,955-acres of burning in this same timeframe and the project proposal includes 1,350-acres of landscape burning and 1</w:t>
      </w:r>
      <w:r w:rsidR="00322781">
        <w:rPr>
          <w:rFonts w:ascii="Times New Roman" w:hAnsi="Times New Roman"/>
          <w:sz w:val="24"/>
          <w:szCs w:val="24"/>
        </w:rPr>
        <w:t>,</w:t>
      </w:r>
      <w:r w:rsidR="00C40742">
        <w:rPr>
          <w:rFonts w:ascii="Times New Roman" w:hAnsi="Times New Roman"/>
          <w:sz w:val="24"/>
          <w:szCs w:val="24"/>
        </w:rPr>
        <w:t>340-acres of non-commercial understory mechanical and hand fuel treatment.  Fifty-six acres of existing old growth would also be</w:t>
      </w:r>
      <w:r w:rsidR="00B03B89">
        <w:rPr>
          <w:rFonts w:ascii="Times New Roman" w:hAnsi="Times New Roman"/>
          <w:sz w:val="24"/>
          <w:szCs w:val="24"/>
        </w:rPr>
        <w:t xml:space="preserve"> treated </w:t>
      </w:r>
      <w:r w:rsidR="00C40742">
        <w:rPr>
          <w:rFonts w:ascii="Times New Roman" w:hAnsi="Times New Roman"/>
          <w:sz w:val="24"/>
          <w:szCs w:val="24"/>
        </w:rPr>
        <w:t xml:space="preserve">with non-commercial understory mechanical and hand fuel treatment  </w:t>
      </w:r>
    </w:p>
    <w:p w14:paraId="29931837" w14:textId="66E365D7" w:rsidR="0005651B" w:rsidRDefault="007B45C4" w:rsidP="007B45C4">
      <w:pPr>
        <w:rPr>
          <w:rFonts w:ascii="Times New Roman" w:hAnsi="Times New Roman"/>
          <w:sz w:val="24"/>
          <w:szCs w:val="24"/>
        </w:rPr>
      </w:pPr>
      <w:r>
        <w:rPr>
          <w:rFonts w:ascii="Times New Roman" w:hAnsi="Times New Roman"/>
          <w:sz w:val="24"/>
          <w:szCs w:val="24"/>
        </w:rPr>
        <w:t>This level of timber harvest</w:t>
      </w:r>
      <w:r w:rsidR="00C40742">
        <w:rPr>
          <w:rFonts w:ascii="Times New Roman" w:hAnsi="Times New Roman"/>
          <w:sz w:val="24"/>
          <w:szCs w:val="24"/>
        </w:rPr>
        <w:t>, burning and understory fuel treatment</w:t>
      </w:r>
      <w:r>
        <w:rPr>
          <w:rFonts w:ascii="Times New Roman" w:hAnsi="Times New Roman"/>
          <w:sz w:val="24"/>
          <w:szCs w:val="24"/>
        </w:rPr>
        <w:t xml:space="preserve"> is bound to have a significant impact on goshawks. Most of t</w:t>
      </w:r>
      <w:r w:rsidR="00C40742">
        <w:rPr>
          <w:rFonts w:ascii="Times New Roman" w:hAnsi="Times New Roman"/>
          <w:sz w:val="24"/>
          <w:szCs w:val="24"/>
        </w:rPr>
        <w:t xml:space="preserve">he regeneration </w:t>
      </w:r>
      <w:r>
        <w:rPr>
          <w:rFonts w:ascii="Times New Roman" w:hAnsi="Times New Roman"/>
          <w:sz w:val="24"/>
          <w:szCs w:val="24"/>
        </w:rPr>
        <w:t xml:space="preserve">harvest is being proposed in mature forest stands that are likely important to the goshawk for nesting and use during the post-fledgling period.  </w:t>
      </w:r>
      <w:r w:rsidR="00C40742">
        <w:rPr>
          <w:rFonts w:ascii="Times New Roman" w:hAnsi="Times New Roman"/>
          <w:sz w:val="24"/>
          <w:szCs w:val="24"/>
        </w:rPr>
        <w:t>Understory fuel treatments also target mature stands</w:t>
      </w:r>
      <w:r w:rsidR="00D456C0">
        <w:rPr>
          <w:rFonts w:ascii="Times New Roman" w:hAnsi="Times New Roman"/>
          <w:sz w:val="24"/>
          <w:szCs w:val="24"/>
        </w:rPr>
        <w:t xml:space="preserve"> and with remove understory plants, downed logs and snags which are important habitat for goshawk prey species</w:t>
      </w:r>
      <w:r w:rsidR="0005651B">
        <w:rPr>
          <w:rFonts w:ascii="Times New Roman" w:hAnsi="Times New Roman"/>
          <w:sz w:val="24"/>
          <w:szCs w:val="24"/>
        </w:rPr>
        <w:t>.</w:t>
      </w:r>
    </w:p>
    <w:p w14:paraId="27463768" w14:textId="773B1C2A" w:rsidR="00BA12A4" w:rsidRDefault="007B45C4" w:rsidP="007B45C4">
      <w:pPr>
        <w:rPr>
          <w:rFonts w:ascii="Times New Roman" w:hAnsi="Times New Roman"/>
          <w:sz w:val="24"/>
          <w:szCs w:val="24"/>
        </w:rPr>
      </w:pPr>
      <w:r>
        <w:rPr>
          <w:rFonts w:ascii="Times New Roman" w:hAnsi="Times New Roman"/>
          <w:sz w:val="24"/>
          <w:szCs w:val="24"/>
        </w:rPr>
        <w:t xml:space="preserve">The analysis </w:t>
      </w:r>
      <w:r w:rsidR="00F37282">
        <w:rPr>
          <w:rFonts w:ascii="Times New Roman" w:hAnsi="Times New Roman"/>
          <w:sz w:val="24"/>
          <w:szCs w:val="24"/>
        </w:rPr>
        <w:t xml:space="preserve">uses the outdated </w:t>
      </w:r>
      <w:r w:rsidR="003E73A9">
        <w:rPr>
          <w:rFonts w:ascii="Times New Roman" w:hAnsi="Times New Roman"/>
          <w:sz w:val="24"/>
          <w:szCs w:val="24"/>
        </w:rPr>
        <w:t xml:space="preserve">and questionable </w:t>
      </w:r>
      <w:r w:rsidR="00F37282">
        <w:rPr>
          <w:rFonts w:ascii="Times New Roman" w:hAnsi="Times New Roman"/>
          <w:sz w:val="24"/>
          <w:szCs w:val="24"/>
        </w:rPr>
        <w:t>Samson</w:t>
      </w:r>
      <w:r w:rsidR="00BA4CE1" w:rsidRPr="00BA4CE1">
        <w:rPr>
          <w:rFonts w:ascii="Times New Roman" w:hAnsi="Times New Roman"/>
          <w:sz w:val="24"/>
          <w:szCs w:val="24"/>
        </w:rPr>
        <w:t xml:space="preserve"> </w:t>
      </w:r>
      <w:r w:rsidR="00BA4CE1" w:rsidRPr="00FE78EE">
        <w:rPr>
          <w:rFonts w:ascii="Times New Roman" w:hAnsi="Times New Roman"/>
          <w:sz w:val="24"/>
          <w:szCs w:val="24"/>
        </w:rPr>
        <w:t>(2006b) short-term viability analysis and the Bush and Lundberg 2008 habitat estimates</w:t>
      </w:r>
      <w:r w:rsidR="00BA4CE1">
        <w:rPr>
          <w:rFonts w:ascii="Times New Roman" w:hAnsi="Times New Roman"/>
          <w:sz w:val="24"/>
          <w:szCs w:val="24"/>
        </w:rPr>
        <w:t xml:space="preserve"> to justify</w:t>
      </w:r>
      <w:r w:rsidR="00F37282">
        <w:rPr>
          <w:rFonts w:ascii="Times New Roman" w:hAnsi="Times New Roman"/>
          <w:sz w:val="24"/>
          <w:szCs w:val="24"/>
        </w:rPr>
        <w:t xml:space="preserve"> </w:t>
      </w:r>
      <w:r w:rsidR="00B03B89">
        <w:rPr>
          <w:rFonts w:ascii="Times New Roman" w:hAnsi="Times New Roman"/>
          <w:sz w:val="24"/>
          <w:szCs w:val="24"/>
        </w:rPr>
        <w:t>cumulative impacts at the Forest level.</w:t>
      </w:r>
      <w:r w:rsidR="003E73A9">
        <w:rPr>
          <w:rFonts w:ascii="Times New Roman" w:hAnsi="Times New Roman"/>
          <w:sz w:val="24"/>
          <w:szCs w:val="24"/>
        </w:rPr>
        <w:t xml:space="preserve"> This </w:t>
      </w:r>
      <w:r w:rsidR="00AF23F5">
        <w:rPr>
          <w:rFonts w:ascii="Times New Roman" w:hAnsi="Times New Roman"/>
          <w:sz w:val="24"/>
          <w:szCs w:val="24"/>
        </w:rPr>
        <w:t xml:space="preserve">Samson (2008) </w:t>
      </w:r>
      <w:r w:rsidR="003E73A9">
        <w:rPr>
          <w:rFonts w:ascii="Times New Roman" w:hAnsi="Times New Roman"/>
          <w:sz w:val="24"/>
          <w:szCs w:val="24"/>
        </w:rPr>
        <w:t xml:space="preserve">analysis suggests that a viable population of goshawks would need only 30,147-acres of </w:t>
      </w:r>
      <w:r w:rsidR="00BA12A4">
        <w:rPr>
          <w:rFonts w:ascii="Times New Roman" w:hAnsi="Times New Roman"/>
          <w:sz w:val="24"/>
          <w:szCs w:val="24"/>
        </w:rPr>
        <w:t>habitat to remain viable across the region.  At most, 30,147-acres would support six pairs of goshawks and six pairs of goshawks would hardly be a viable population. Even if the 30,147 acres were all nesting habitat and this were to be scattered across the Region, it is doubtful that this small amount of habitat would support a viable population for the</w:t>
      </w:r>
      <w:r w:rsidR="008C4DEA">
        <w:rPr>
          <w:rFonts w:ascii="Times New Roman" w:hAnsi="Times New Roman"/>
          <w:sz w:val="24"/>
          <w:szCs w:val="24"/>
        </w:rPr>
        <w:t xml:space="preserve"> long-term.</w:t>
      </w:r>
    </w:p>
    <w:p w14:paraId="30D7785B" w14:textId="6AE35CF0" w:rsidR="00A83B3A" w:rsidRPr="004D709F" w:rsidRDefault="00BA12A4" w:rsidP="007B45C4">
      <w:pPr>
        <w:rPr>
          <w:rFonts w:ascii="Times New Roman" w:hAnsi="Times New Roman" w:cs="Times New Roman"/>
          <w:sz w:val="24"/>
          <w:szCs w:val="24"/>
        </w:rPr>
      </w:pPr>
      <w:r w:rsidRPr="008C4DEA">
        <w:rPr>
          <w:rFonts w:ascii="Times New Roman" w:hAnsi="Times New Roman" w:cs="Times New Roman"/>
          <w:sz w:val="24"/>
          <w:szCs w:val="24"/>
        </w:rPr>
        <w:t xml:space="preserve">The </w:t>
      </w:r>
      <w:r w:rsidR="008C4DEA" w:rsidRPr="008C4DEA">
        <w:rPr>
          <w:rFonts w:ascii="Times New Roman" w:hAnsi="Times New Roman" w:cs="Times New Roman"/>
          <w:sz w:val="24"/>
          <w:szCs w:val="24"/>
        </w:rPr>
        <w:t xml:space="preserve">wildlife </w:t>
      </w:r>
      <w:r w:rsidRPr="008C4DEA">
        <w:rPr>
          <w:rFonts w:ascii="Times New Roman" w:hAnsi="Times New Roman" w:cs="Times New Roman"/>
          <w:sz w:val="24"/>
          <w:szCs w:val="24"/>
        </w:rPr>
        <w:t>analysis</w:t>
      </w:r>
      <w:r w:rsidR="004D709F">
        <w:rPr>
          <w:rFonts w:ascii="Times New Roman" w:hAnsi="Times New Roman" w:cs="Times New Roman"/>
          <w:sz w:val="24"/>
          <w:szCs w:val="24"/>
        </w:rPr>
        <w:t xml:space="preserve"> </w:t>
      </w:r>
      <w:r w:rsidR="008C4DEA" w:rsidRPr="008C4DEA">
        <w:rPr>
          <w:rFonts w:ascii="Times New Roman" w:hAnsi="Times New Roman" w:cs="Times New Roman"/>
          <w:sz w:val="24"/>
          <w:szCs w:val="24"/>
        </w:rPr>
        <w:t>suggests that Bush and Lundberg (2008) found an abundance of goshawk habitat on the Clearwater NF.</w:t>
      </w:r>
      <w:r w:rsidR="008C4DEA" w:rsidRPr="008C4DEA">
        <w:rPr>
          <w:rFonts w:ascii="Times New Roman" w:hAnsi="Times New Roman" w:cs="Times New Roman"/>
          <w:sz w:val="24"/>
          <w:szCs w:val="24"/>
          <w:shd w:val="clear" w:color="auto" w:fill="FFFFFF"/>
        </w:rPr>
        <w:t xml:space="preserve">  The Bush and Lundberg (2008) analysis suggests</w:t>
      </w:r>
      <w:r w:rsidR="008C4DEA" w:rsidRPr="008C4DEA">
        <w:rPr>
          <w:rFonts w:ascii="Times New Roman" w:hAnsi="Times New Roman" w:cs="Times New Roman"/>
          <w:sz w:val="24"/>
          <w:szCs w:val="24"/>
        </w:rPr>
        <w:br/>
      </w:r>
      <w:r w:rsidR="008C4DEA" w:rsidRPr="008C4DEA">
        <w:rPr>
          <w:rFonts w:ascii="Times New Roman" w:hAnsi="Times New Roman" w:cs="Times New Roman"/>
          <w:sz w:val="24"/>
          <w:szCs w:val="24"/>
          <w:shd w:val="clear" w:color="auto" w:fill="FFFFFF"/>
        </w:rPr>
        <w:lastRenderedPageBreak/>
        <w:t xml:space="preserve">Forest currently has 366,744 acres of modeled </w:t>
      </w:r>
      <w:r w:rsidR="00A83B3A">
        <w:rPr>
          <w:rFonts w:ascii="Times New Roman" w:hAnsi="Times New Roman" w:cs="Times New Roman"/>
          <w:sz w:val="24"/>
          <w:szCs w:val="24"/>
          <w:shd w:val="clear" w:color="auto" w:fill="FFFFFF"/>
        </w:rPr>
        <w:t xml:space="preserve">goshawk </w:t>
      </w:r>
      <w:r w:rsidR="008C4DEA" w:rsidRPr="008C4DEA">
        <w:rPr>
          <w:rFonts w:ascii="Times New Roman" w:hAnsi="Times New Roman" w:cs="Times New Roman"/>
          <w:sz w:val="24"/>
          <w:szCs w:val="24"/>
          <w:shd w:val="clear" w:color="auto" w:fill="FFFFFF"/>
        </w:rPr>
        <w:t>nesting habitat and 653,186 acres of modeled foraging</w:t>
      </w:r>
      <w:r w:rsidR="008C4DEA">
        <w:rPr>
          <w:rFonts w:ascii="Times New Roman" w:hAnsi="Times New Roman" w:cs="Times New Roman"/>
          <w:sz w:val="24"/>
          <w:szCs w:val="24"/>
        </w:rPr>
        <w:t xml:space="preserve"> </w:t>
      </w:r>
      <w:r w:rsidR="008C4DEA" w:rsidRPr="008C4DEA">
        <w:rPr>
          <w:rFonts w:ascii="Times New Roman" w:hAnsi="Times New Roman" w:cs="Times New Roman"/>
          <w:sz w:val="24"/>
          <w:szCs w:val="24"/>
          <w:shd w:val="clear" w:color="auto" w:fill="FFFFFF"/>
        </w:rPr>
        <w:t>habitat.</w:t>
      </w:r>
      <w:r w:rsidR="008C4DEA">
        <w:rPr>
          <w:rFonts w:ascii="Times New Roman" w:hAnsi="Times New Roman" w:cs="Times New Roman"/>
          <w:sz w:val="24"/>
          <w:szCs w:val="24"/>
          <w:shd w:val="clear" w:color="auto" w:fill="FFFFFF"/>
        </w:rPr>
        <w:t xml:space="preserve">  </w:t>
      </w:r>
      <w:r w:rsidR="00B03B89" w:rsidRPr="008C4DEA">
        <w:rPr>
          <w:rFonts w:ascii="Times New Roman" w:hAnsi="Times New Roman" w:cs="Times New Roman"/>
          <w:sz w:val="24"/>
          <w:szCs w:val="24"/>
        </w:rPr>
        <w:t>This</w:t>
      </w:r>
      <w:r w:rsidR="00B03B89">
        <w:rPr>
          <w:rFonts w:ascii="Times New Roman" w:hAnsi="Times New Roman"/>
          <w:sz w:val="24"/>
          <w:szCs w:val="24"/>
        </w:rPr>
        <w:t xml:space="preserve"> analysis is now over twenty-five years o</w:t>
      </w:r>
      <w:r w:rsidR="00A83B3A">
        <w:rPr>
          <w:rFonts w:ascii="Times New Roman" w:hAnsi="Times New Roman"/>
          <w:sz w:val="24"/>
          <w:szCs w:val="24"/>
        </w:rPr>
        <w:t xml:space="preserve">ld </w:t>
      </w:r>
      <w:r w:rsidR="00B03B89">
        <w:rPr>
          <w:rFonts w:ascii="Times New Roman" w:hAnsi="Times New Roman"/>
          <w:sz w:val="24"/>
          <w:szCs w:val="24"/>
        </w:rPr>
        <w:t xml:space="preserve">considering the 10-year-old data originally utilized in the FIA habitat queries. </w:t>
      </w:r>
    </w:p>
    <w:p w14:paraId="2C2EABA3" w14:textId="3908DC12" w:rsidR="008C6D18" w:rsidRDefault="00B03B89" w:rsidP="007B45C4">
      <w:pPr>
        <w:rPr>
          <w:rFonts w:ascii="Times New Roman" w:hAnsi="Times New Roman"/>
          <w:sz w:val="24"/>
          <w:szCs w:val="24"/>
        </w:rPr>
      </w:pPr>
      <w:r>
        <w:rPr>
          <w:rFonts w:ascii="Times New Roman" w:hAnsi="Times New Roman"/>
          <w:sz w:val="24"/>
          <w:szCs w:val="24"/>
        </w:rPr>
        <w:t>Since th</w:t>
      </w:r>
      <w:r w:rsidR="00A83B3A">
        <w:rPr>
          <w:rFonts w:ascii="Times New Roman" w:hAnsi="Times New Roman"/>
          <w:sz w:val="24"/>
          <w:szCs w:val="24"/>
        </w:rPr>
        <w:t xml:space="preserve">e </w:t>
      </w:r>
      <w:r>
        <w:rPr>
          <w:rFonts w:ascii="Times New Roman" w:hAnsi="Times New Roman"/>
          <w:sz w:val="24"/>
          <w:szCs w:val="24"/>
        </w:rPr>
        <w:t xml:space="preserve">time </w:t>
      </w:r>
      <w:r w:rsidR="00B978AB">
        <w:rPr>
          <w:rFonts w:ascii="Times New Roman" w:hAnsi="Times New Roman"/>
          <w:sz w:val="24"/>
          <w:szCs w:val="24"/>
        </w:rPr>
        <w:t xml:space="preserve">the analysis was completed </w:t>
      </w:r>
      <w:r>
        <w:rPr>
          <w:rFonts w:ascii="Times New Roman" w:hAnsi="Times New Roman"/>
          <w:sz w:val="24"/>
          <w:szCs w:val="24"/>
        </w:rPr>
        <w:t xml:space="preserve">there have been a multitude of </w:t>
      </w:r>
      <w:r w:rsidR="008C6D18">
        <w:rPr>
          <w:rFonts w:ascii="Times New Roman" w:hAnsi="Times New Roman"/>
          <w:sz w:val="24"/>
          <w:szCs w:val="24"/>
        </w:rPr>
        <w:t>new projects and wildfires</w:t>
      </w:r>
      <w:r w:rsidR="00A83B3A">
        <w:rPr>
          <w:rFonts w:ascii="Times New Roman" w:hAnsi="Times New Roman"/>
          <w:sz w:val="24"/>
          <w:szCs w:val="24"/>
        </w:rPr>
        <w:t xml:space="preserve"> on the Nez Perce – Clearwater NF</w:t>
      </w:r>
      <w:r w:rsidR="008C6D18">
        <w:rPr>
          <w:rFonts w:ascii="Times New Roman" w:hAnsi="Times New Roman"/>
          <w:sz w:val="24"/>
          <w:szCs w:val="24"/>
        </w:rPr>
        <w:t>, but no adjustments have been made to the data</w:t>
      </w:r>
      <w:r w:rsidR="008C4DEA">
        <w:rPr>
          <w:rFonts w:ascii="Times New Roman" w:hAnsi="Times New Roman"/>
          <w:sz w:val="24"/>
          <w:szCs w:val="24"/>
        </w:rPr>
        <w:t xml:space="preserve">.  Sales like </w:t>
      </w:r>
      <w:r w:rsidR="008C6D18" w:rsidRPr="008C6D18">
        <w:rPr>
          <w:rFonts w:ascii="Times New Roman" w:hAnsi="Times New Roman"/>
          <w:sz w:val="24"/>
          <w:szCs w:val="24"/>
        </w:rPr>
        <w:t>Hungry Ridge, Twenty-mile, End of the World, Green Horse, Limber Elk, Red Siegel, Center Johnson, Clear Creek, Crane Point, Dead Laundry, Dixie-Comstock Community, East Saddle, French Larch, Gold Hill, Histloc Fuels, Johnson Bar, Little Boulder, Lolo Creek, Lowell WUI, Lower Orogrande, Newsome Fuels, Northside Powell,, Parachute Fuel, Pete King, Red Moose Divide, Section 16, Smith Ridge, Stray Creek, Tinker Bugs, White Pine, Windy Shingle and Longleaf</w:t>
      </w:r>
      <w:r w:rsidR="00B978AB">
        <w:rPr>
          <w:rFonts w:ascii="Times New Roman" w:hAnsi="Times New Roman"/>
          <w:sz w:val="24"/>
          <w:szCs w:val="24"/>
        </w:rPr>
        <w:t xml:space="preserve"> </w:t>
      </w:r>
      <w:r w:rsidR="00A83B3A">
        <w:rPr>
          <w:rFonts w:ascii="Times New Roman" w:hAnsi="Times New Roman"/>
          <w:sz w:val="24"/>
          <w:szCs w:val="24"/>
        </w:rPr>
        <w:t xml:space="preserve"> all </w:t>
      </w:r>
      <w:r w:rsidR="00B978AB">
        <w:rPr>
          <w:rFonts w:ascii="Times New Roman" w:hAnsi="Times New Roman"/>
          <w:sz w:val="24"/>
          <w:szCs w:val="24"/>
        </w:rPr>
        <w:t xml:space="preserve">continue to chip away at the amount of mature forest </w:t>
      </w:r>
      <w:r w:rsidR="00AF23F5">
        <w:rPr>
          <w:rFonts w:ascii="Times New Roman" w:hAnsi="Times New Roman"/>
          <w:sz w:val="24"/>
          <w:szCs w:val="24"/>
        </w:rPr>
        <w:t xml:space="preserve">on the Nez Perce – Clearwater NF </w:t>
      </w:r>
      <w:r w:rsidR="00A83B3A">
        <w:rPr>
          <w:rFonts w:ascii="Times New Roman" w:hAnsi="Times New Roman"/>
          <w:sz w:val="24"/>
          <w:szCs w:val="24"/>
        </w:rPr>
        <w:t>but the acreage of existing habitat</w:t>
      </w:r>
      <w:r w:rsidR="004D709F">
        <w:rPr>
          <w:rFonts w:ascii="Times New Roman" w:hAnsi="Times New Roman"/>
          <w:sz w:val="24"/>
          <w:szCs w:val="24"/>
        </w:rPr>
        <w:t xml:space="preserve"> </w:t>
      </w:r>
      <w:r w:rsidR="00AF23F5">
        <w:rPr>
          <w:rFonts w:ascii="Times New Roman" w:hAnsi="Times New Roman"/>
          <w:sz w:val="24"/>
          <w:szCs w:val="24"/>
        </w:rPr>
        <w:t xml:space="preserve">always </w:t>
      </w:r>
      <w:r w:rsidR="004D709F">
        <w:rPr>
          <w:rFonts w:ascii="Times New Roman" w:hAnsi="Times New Roman"/>
          <w:sz w:val="24"/>
          <w:szCs w:val="24"/>
        </w:rPr>
        <w:t>remains the same on project after project where the Bush and Lundberg (2008) analysis is cited</w:t>
      </w:r>
      <w:r w:rsidR="00A83B3A">
        <w:rPr>
          <w:rFonts w:ascii="Times New Roman" w:hAnsi="Times New Roman"/>
          <w:sz w:val="24"/>
          <w:szCs w:val="24"/>
        </w:rPr>
        <w:t>.</w:t>
      </w:r>
    </w:p>
    <w:p w14:paraId="06ECDA54" w14:textId="75CA9887" w:rsidR="007B45C4" w:rsidRPr="00FE78EE" w:rsidRDefault="007B45C4" w:rsidP="007B45C4">
      <w:pPr>
        <w:spacing w:before="240" w:line="240" w:lineRule="auto"/>
        <w:contextualSpacing/>
        <w:rPr>
          <w:rFonts w:ascii="Times New Roman" w:hAnsi="Times New Roman"/>
          <w:b/>
          <w:sz w:val="24"/>
          <w:szCs w:val="24"/>
        </w:rPr>
      </w:pPr>
      <w:r>
        <w:rPr>
          <w:rFonts w:ascii="Times New Roman" w:hAnsi="Times New Roman"/>
          <w:b/>
          <w:sz w:val="24"/>
          <w:szCs w:val="24"/>
        </w:rPr>
        <w:t xml:space="preserve">Objection </w:t>
      </w:r>
      <w:r w:rsidR="000F44FA">
        <w:rPr>
          <w:rFonts w:ascii="Times New Roman" w:hAnsi="Times New Roman"/>
          <w:b/>
          <w:sz w:val="24"/>
          <w:szCs w:val="24"/>
        </w:rPr>
        <w:t>1</w:t>
      </w:r>
      <w:r w:rsidR="0076257C">
        <w:rPr>
          <w:rFonts w:ascii="Times New Roman" w:hAnsi="Times New Roman"/>
          <w:b/>
          <w:sz w:val="24"/>
          <w:szCs w:val="24"/>
        </w:rPr>
        <w:t>5</w:t>
      </w:r>
      <w:r>
        <w:rPr>
          <w:rFonts w:ascii="Times New Roman" w:hAnsi="Times New Roman"/>
          <w:b/>
          <w:sz w:val="24"/>
          <w:szCs w:val="24"/>
        </w:rPr>
        <w:t xml:space="preserve"> - The p</w:t>
      </w:r>
      <w:r w:rsidRPr="00FE78EE">
        <w:rPr>
          <w:rFonts w:ascii="Times New Roman" w:hAnsi="Times New Roman"/>
          <w:b/>
          <w:sz w:val="24"/>
          <w:szCs w:val="24"/>
        </w:rPr>
        <w:t xml:space="preserve">ileated </w:t>
      </w:r>
      <w:r>
        <w:rPr>
          <w:rFonts w:ascii="Times New Roman" w:hAnsi="Times New Roman"/>
          <w:b/>
          <w:sz w:val="24"/>
          <w:szCs w:val="24"/>
        </w:rPr>
        <w:t>w</w:t>
      </w:r>
      <w:r w:rsidRPr="00FE78EE">
        <w:rPr>
          <w:rFonts w:ascii="Times New Roman" w:hAnsi="Times New Roman"/>
          <w:b/>
          <w:sz w:val="24"/>
          <w:szCs w:val="24"/>
        </w:rPr>
        <w:t>oodpecker</w:t>
      </w:r>
      <w:r>
        <w:rPr>
          <w:rFonts w:ascii="Times New Roman" w:hAnsi="Times New Roman"/>
          <w:b/>
          <w:sz w:val="24"/>
          <w:szCs w:val="24"/>
        </w:rPr>
        <w:t xml:space="preserve"> analysis</w:t>
      </w:r>
      <w:r w:rsidRPr="00FE78EE">
        <w:rPr>
          <w:rFonts w:ascii="Times New Roman" w:hAnsi="Times New Roman"/>
          <w:b/>
          <w:sz w:val="24"/>
          <w:szCs w:val="24"/>
        </w:rPr>
        <w:t xml:space="preserve"> </w:t>
      </w:r>
      <w:r>
        <w:rPr>
          <w:rFonts w:ascii="Times New Roman" w:hAnsi="Times New Roman"/>
          <w:b/>
          <w:sz w:val="24"/>
          <w:szCs w:val="24"/>
        </w:rPr>
        <w:t>generally dismisses impacts to the species by suggesting sufficient habitat is available in other locations. No thresholds of concern have been identified and the impact of cumulative effects has largely been ignored.</w:t>
      </w:r>
    </w:p>
    <w:p w14:paraId="478071F3" w14:textId="77777777" w:rsidR="007B45C4" w:rsidRPr="00FE78EE" w:rsidRDefault="007B45C4" w:rsidP="007B45C4">
      <w:pPr>
        <w:spacing w:before="240"/>
        <w:contextualSpacing/>
        <w:rPr>
          <w:rFonts w:ascii="Times New Roman" w:hAnsi="Times New Roman"/>
          <w:sz w:val="24"/>
          <w:szCs w:val="24"/>
        </w:rPr>
      </w:pPr>
    </w:p>
    <w:p w14:paraId="25A06247" w14:textId="73BAF856" w:rsidR="007B45C4" w:rsidRDefault="007B45C4" w:rsidP="007B45C4">
      <w:pPr>
        <w:spacing w:before="240"/>
        <w:contextualSpacing/>
        <w:rPr>
          <w:rFonts w:ascii="Times New Roman" w:eastAsia="TTE1DB0090t00" w:hAnsi="Times New Roman"/>
          <w:sz w:val="24"/>
          <w:szCs w:val="24"/>
        </w:rPr>
      </w:pPr>
      <w:r w:rsidRPr="00FE78EE">
        <w:rPr>
          <w:rFonts w:ascii="Times New Roman" w:hAnsi="Times New Roman"/>
          <w:sz w:val="24"/>
          <w:szCs w:val="24"/>
        </w:rPr>
        <w:t xml:space="preserve">The </w:t>
      </w:r>
      <w:r w:rsidR="00CF25A2">
        <w:rPr>
          <w:rFonts w:ascii="Times New Roman" w:hAnsi="Times New Roman"/>
          <w:sz w:val="24"/>
          <w:szCs w:val="24"/>
        </w:rPr>
        <w:t>revised</w:t>
      </w:r>
      <w:r>
        <w:rPr>
          <w:rFonts w:ascii="Times New Roman" w:hAnsi="Times New Roman"/>
          <w:sz w:val="24"/>
          <w:szCs w:val="24"/>
        </w:rPr>
        <w:t xml:space="preserve"> wildlife report suggests </w:t>
      </w:r>
      <w:r w:rsidRPr="00FE78EE">
        <w:rPr>
          <w:rFonts w:ascii="Times New Roman" w:hAnsi="Times New Roman"/>
          <w:sz w:val="24"/>
          <w:szCs w:val="24"/>
        </w:rPr>
        <w:t xml:space="preserve">there are only </w:t>
      </w:r>
      <w:r w:rsidR="00CF25A2">
        <w:rPr>
          <w:rFonts w:ascii="Times New Roman" w:hAnsi="Times New Roman"/>
          <w:sz w:val="24"/>
          <w:szCs w:val="24"/>
        </w:rPr>
        <w:t>960-</w:t>
      </w:r>
      <w:r w:rsidRPr="00FE78EE">
        <w:rPr>
          <w:rFonts w:ascii="Times New Roman" w:hAnsi="Times New Roman"/>
          <w:sz w:val="24"/>
          <w:szCs w:val="24"/>
        </w:rPr>
        <w:t xml:space="preserve">acres of pileated nesting habitat in the project area.  This number is based on a habitat query that identifies stands with an average DBH over 20 inches and an average crown closure greater than 60%.  This number appears low, given that the vegetation analysis suggests there are </w:t>
      </w:r>
      <w:r w:rsidR="00CF25A2">
        <w:rPr>
          <w:rFonts w:ascii="Times New Roman" w:hAnsi="Times New Roman"/>
          <w:sz w:val="24"/>
          <w:szCs w:val="24"/>
        </w:rPr>
        <w:t>2,375</w:t>
      </w:r>
      <w:r w:rsidRPr="00FE78EE">
        <w:rPr>
          <w:rFonts w:ascii="Times New Roman" w:hAnsi="Times New Roman"/>
          <w:sz w:val="24"/>
          <w:szCs w:val="24"/>
        </w:rPr>
        <w:t xml:space="preserve"> acres of forest with an average DBH over 20+ inches and 1</w:t>
      </w:r>
      <w:r w:rsidR="00CF25A2">
        <w:rPr>
          <w:rFonts w:ascii="Times New Roman" w:hAnsi="Times New Roman"/>
          <w:sz w:val="24"/>
          <w:szCs w:val="24"/>
        </w:rPr>
        <w:t>2</w:t>
      </w:r>
      <w:r w:rsidRPr="00FE78EE">
        <w:rPr>
          <w:rFonts w:ascii="Times New Roman" w:hAnsi="Times New Roman"/>
          <w:sz w:val="24"/>
          <w:szCs w:val="24"/>
        </w:rPr>
        <w:t>,</w:t>
      </w:r>
      <w:r w:rsidR="00CF25A2">
        <w:rPr>
          <w:rFonts w:ascii="Times New Roman" w:hAnsi="Times New Roman"/>
          <w:sz w:val="24"/>
          <w:szCs w:val="24"/>
        </w:rPr>
        <w:t>037-</w:t>
      </w:r>
      <w:r w:rsidRPr="00FE78EE">
        <w:rPr>
          <w:rFonts w:ascii="Times New Roman" w:hAnsi="Times New Roman"/>
          <w:sz w:val="24"/>
          <w:szCs w:val="24"/>
        </w:rPr>
        <w:t xml:space="preserve">acres of forest with an average DBH between 15-19.9 inches within the project area.  Some stands with an average DBH between 15-19.9 inches likely include individual snags/trees </w:t>
      </w:r>
      <w:r>
        <w:rPr>
          <w:rFonts w:ascii="Times New Roman" w:hAnsi="Times New Roman"/>
          <w:sz w:val="24"/>
          <w:szCs w:val="24"/>
        </w:rPr>
        <w:t xml:space="preserve">that </w:t>
      </w:r>
      <w:r w:rsidRPr="00FE78EE">
        <w:rPr>
          <w:rFonts w:ascii="Times New Roman" w:hAnsi="Times New Roman"/>
          <w:sz w:val="24"/>
          <w:szCs w:val="24"/>
        </w:rPr>
        <w:t>exceed the 20</w:t>
      </w:r>
      <w:r>
        <w:rPr>
          <w:rFonts w:ascii="Times New Roman" w:hAnsi="Times New Roman"/>
          <w:sz w:val="24"/>
          <w:szCs w:val="24"/>
        </w:rPr>
        <w:t>-</w:t>
      </w:r>
      <w:r w:rsidRPr="00FE78EE">
        <w:rPr>
          <w:rFonts w:ascii="Times New Roman" w:hAnsi="Times New Roman"/>
          <w:sz w:val="24"/>
          <w:szCs w:val="24"/>
        </w:rPr>
        <w:t xml:space="preserve">inch diameter size category usually reported as the minimum size for nesting by this species (Bull and Holthausen 1993, </w:t>
      </w:r>
      <w:r w:rsidRPr="00FE78EE">
        <w:rPr>
          <w:rFonts w:ascii="Times New Roman" w:eastAsia="TTE1DB0090t00" w:hAnsi="Times New Roman"/>
          <w:sz w:val="24"/>
          <w:szCs w:val="24"/>
        </w:rPr>
        <w:t>McClelland and McClelland 1999).</w:t>
      </w:r>
      <w:r>
        <w:rPr>
          <w:rFonts w:ascii="Times New Roman" w:eastAsia="TTE1DB0090t00" w:hAnsi="Times New Roman"/>
          <w:sz w:val="24"/>
          <w:szCs w:val="24"/>
        </w:rPr>
        <w:t xml:space="preserve">  Stand exam information should be utilized to better identify potential nesting habitat before it is lost to timber harvest.</w:t>
      </w:r>
    </w:p>
    <w:p w14:paraId="14E6FFF5" w14:textId="77777777" w:rsidR="007B45C4" w:rsidRDefault="007B45C4" w:rsidP="007B45C4">
      <w:pPr>
        <w:spacing w:before="240"/>
        <w:contextualSpacing/>
        <w:rPr>
          <w:rFonts w:ascii="Times New Roman" w:eastAsia="TTE1DB0090t00" w:hAnsi="Times New Roman"/>
          <w:sz w:val="24"/>
          <w:szCs w:val="24"/>
        </w:rPr>
      </w:pPr>
    </w:p>
    <w:p w14:paraId="7CF61C63" w14:textId="4512E8CD" w:rsidR="007B45C4" w:rsidRDefault="007B45C4" w:rsidP="007B45C4">
      <w:pPr>
        <w:spacing w:before="240"/>
        <w:contextualSpacing/>
        <w:rPr>
          <w:rFonts w:ascii="Times New Roman" w:eastAsia="TTE1DB0090t00" w:hAnsi="Times New Roman"/>
          <w:sz w:val="24"/>
          <w:szCs w:val="24"/>
        </w:rPr>
      </w:pPr>
      <w:r w:rsidRPr="00FE78EE">
        <w:rPr>
          <w:rFonts w:ascii="Times New Roman" w:hAnsi="Times New Roman"/>
          <w:sz w:val="24"/>
          <w:szCs w:val="24"/>
        </w:rPr>
        <w:t xml:space="preserve">The analysis suggests there are </w:t>
      </w:r>
      <w:r>
        <w:rPr>
          <w:rFonts w:ascii="Times New Roman" w:hAnsi="Times New Roman"/>
          <w:sz w:val="24"/>
          <w:szCs w:val="24"/>
        </w:rPr>
        <w:t>2</w:t>
      </w:r>
      <w:r w:rsidR="00CF25A2">
        <w:rPr>
          <w:rFonts w:ascii="Times New Roman" w:hAnsi="Times New Roman"/>
          <w:sz w:val="24"/>
          <w:szCs w:val="24"/>
        </w:rPr>
        <w:t>3</w:t>
      </w:r>
      <w:r>
        <w:rPr>
          <w:rFonts w:ascii="Times New Roman" w:hAnsi="Times New Roman"/>
          <w:sz w:val="24"/>
          <w:szCs w:val="24"/>
        </w:rPr>
        <w:t>,</w:t>
      </w:r>
      <w:r w:rsidR="00CF25A2">
        <w:rPr>
          <w:rFonts w:ascii="Times New Roman" w:hAnsi="Times New Roman"/>
          <w:sz w:val="24"/>
          <w:szCs w:val="24"/>
        </w:rPr>
        <w:t>283-</w:t>
      </w:r>
      <w:r w:rsidRPr="00FE78EE">
        <w:rPr>
          <w:rFonts w:ascii="Times New Roman" w:hAnsi="Times New Roman"/>
          <w:sz w:val="24"/>
          <w:szCs w:val="24"/>
        </w:rPr>
        <w:t>acres of foraging habitat which is based on a habitat query of stands with an average DBH of 10-inches and an average crown closure of 25%.</w:t>
      </w:r>
      <w:r>
        <w:rPr>
          <w:rFonts w:ascii="Times New Roman" w:hAnsi="Times New Roman"/>
          <w:sz w:val="24"/>
          <w:szCs w:val="24"/>
        </w:rPr>
        <w:t xml:space="preserve"> Nest stands are also considered suitable for foraging.  Presumably, stands with an average DBH of less than 10-inches occur in previously harvested areas that are now in</w:t>
      </w:r>
      <w:r w:rsidRPr="00FE78EE">
        <w:rPr>
          <w:rFonts w:ascii="Times New Roman" w:hAnsi="Times New Roman"/>
          <w:sz w:val="24"/>
          <w:szCs w:val="24"/>
        </w:rPr>
        <w:t xml:space="preserve"> sapling and pole </w:t>
      </w:r>
      <w:r>
        <w:rPr>
          <w:rFonts w:ascii="Times New Roman" w:hAnsi="Times New Roman"/>
          <w:sz w:val="24"/>
          <w:szCs w:val="24"/>
        </w:rPr>
        <w:t>size classes.  These stands could eventually provide suitable foraging or nesting habitat as they mature.  Natural openings generally are not considered suitable habitat for this species.</w:t>
      </w:r>
    </w:p>
    <w:p w14:paraId="08ABFFA0" w14:textId="77777777" w:rsidR="007B45C4" w:rsidRPr="00BF414E" w:rsidRDefault="007B45C4" w:rsidP="007B45C4">
      <w:pPr>
        <w:spacing w:before="240"/>
        <w:contextualSpacing/>
        <w:rPr>
          <w:rFonts w:ascii="Times New Roman" w:eastAsia="TTE1DB0090t00" w:hAnsi="Times New Roman"/>
          <w:sz w:val="24"/>
          <w:szCs w:val="24"/>
        </w:rPr>
      </w:pPr>
      <w:r w:rsidRPr="00FE78EE">
        <w:rPr>
          <w:rFonts w:ascii="Times New Roman" w:eastAsia="TTE1DB0090t00" w:hAnsi="Times New Roman"/>
          <w:sz w:val="24"/>
          <w:szCs w:val="24"/>
        </w:rPr>
        <w:t xml:space="preserve">  </w:t>
      </w:r>
    </w:p>
    <w:p w14:paraId="497A41C4" w14:textId="7BCF5E6A" w:rsidR="007B45C4"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 xml:space="preserve">Regardless of the amount of available nesting habitat I object to the reliance on stand exam queries to complete the analysis. </w:t>
      </w:r>
      <w:r>
        <w:rPr>
          <w:rFonts w:ascii="Times New Roman" w:hAnsi="Times New Roman"/>
          <w:sz w:val="24"/>
          <w:szCs w:val="24"/>
        </w:rPr>
        <w:t xml:space="preserve">The analysis is not spatially explicit and if there is really only </w:t>
      </w:r>
      <w:r w:rsidR="00CF25A2">
        <w:rPr>
          <w:rFonts w:ascii="Times New Roman" w:hAnsi="Times New Roman"/>
          <w:sz w:val="24"/>
          <w:szCs w:val="24"/>
        </w:rPr>
        <w:t>960-</w:t>
      </w:r>
      <w:r>
        <w:rPr>
          <w:rFonts w:ascii="Times New Roman" w:hAnsi="Times New Roman"/>
          <w:sz w:val="24"/>
          <w:szCs w:val="24"/>
        </w:rPr>
        <w:t xml:space="preserve">acres of nesting habitat, then the distribution of potential nesting habitat is critical to this territorial species. If there is actually more nesting habitat, then the potential loss of nesting habitat is much more significant than the numbers reported in the wildlife report.  More importantly what does the regeneration harvest of over </w:t>
      </w:r>
      <w:r w:rsidR="00810A89">
        <w:rPr>
          <w:rFonts w:ascii="Times New Roman" w:hAnsi="Times New Roman"/>
          <w:sz w:val="24"/>
          <w:szCs w:val="24"/>
        </w:rPr>
        <w:t>2</w:t>
      </w:r>
      <w:r>
        <w:rPr>
          <w:rFonts w:ascii="Times New Roman" w:hAnsi="Times New Roman"/>
          <w:sz w:val="24"/>
          <w:szCs w:val="24"/>
        </w:rPr>
        <w:t>,0</w:t>
      </w:r>
      <w:r w:rsidR="00810A89">
        <w:rPr>
          <w:rFonts w:ascii="Times New Roman" w:hAnsi="Times New Roman"/>
          <w:sz w:val="24"/>
          <w:szCs w:val="24"/>
        </w:rPr>
        <w:t>57-</w:t>
      </w:r>
      <w:r>
        <w:rPr>
          <w:rFonts w:ascii="Times New Roman" w:hAnsi="Times New Roman"/>
          <w:sz w:val="24"/>
          <w:szCs w:val="24"/>
        </w:rPr>
        <w:t>acres of mature forest</w:t>
      </w:r>
      <w:r w:rsidR="00367734">
        <w:rPr>
          <w:rFonts w:ascii="Times New Roman" w:hAnsi="Times New Roman"/>
          <w:sz w:val="24"/>
          <w:szCs w:val="24"/>
        </w:rPr>
        <w:t xml:space="preserve">, burning of 1,350-acres, and fuel treatment of 1,356-acres including 56-acres of existing old growth </w:t>
      </w:r>
      <w:r>
        <w:rPr>
          <w:rFonts w:ascii="Times New Roman" w:hAnsi="Times New Roman"/>
          <w:sz w:val="24"/>
          <w:szCs w:val="24"/>
        </w:rPr>
        <w:t xml:space="preserve">really </w:t>
      </w:r>
      <w:r>
        <w:rPr>
          <w:rFonts w:ascii="Times New Roman" w:hAnsi="Times New Roman"/>
          <w:sz w:val="24"/>
          <w:szCs w:val="24"/>
        </w:rPr>
        <w:lastRenderedPageBreak/>
        <w:t xml:space="preserve">mean to the pileated woodpeckers that utilize the project area.  How many territories will be rendered unsuitable by this activity and what is the habitat threshold that begins to cause some concern </w:t>
      </w:r>
      <w:r w:rsidRPr="00FE78EE">
        <w:rPr>
          <w:rFonts w:ascii="Times New Roman" w:hAnsi="Times New Roman"/>
          <w:sz w:val="24"/>
          <w:szCs w:val="24"/>
        </w:rPr>
        <w:t xml:space="preserve">(Schultz 2010). </w:t>
      </w:r>
    </w:p>
    <w:p w14:paraId="2DBC87A0" w14:textId="77777777" w:rsidR="00367734" w:rsidRDefault="00367734" w:rsidP="007B45C4">
      <w:pPr>
        <w:spacing w:before="240"/>
        <w:contextualSpacing/>
        <w:rPr>
          <w:rFonts w:ascii="Times New Roman" w:hAnsi="Times New Roman"/>
          <w:sz w:val="24"/>
          <w:szCs w:val="24"/>
        </w:rPr>
      </w:pPr>
    </w:p>
    <w:p w14:paraId="3E5F34E1" w14:textId="20322739" w:rsidR="00367734" w:rsidRPr="00CE21C1" w:rsidRDefault="00367734" w:rsidP="007B45C4">
      <w:pPr>
        <w:spacing w:before="240"/>
        <w:contextualSpacing/>
        <w:rPr>
          <w:rFonts w:ascii="Times New Roman" w:hAnsi="Times New Roman" w:cs="Times New Roman"/>
          <w:sz w:val="24"/>
          <w:szCs w:val="24"/>
        </w:rPr>
      </w:pPr>
      <w:r>
        <w:rPr>
          <w:rFonts w:ascii="Times New Roman" w:hAnsi="Times New Roman"/>
          <w:sz w:val="24"/>
          <w:szCs w:val="24"/>
        </w:rPr>
        <w:t>It is known that regeneration harvest is going</w:t>
      </w:r>
      <w:r w:rsidR="007F35E4">
        <w:rPr>
          <w:rFonts w:ascii="Times New Roman" w:hAnsi="Times New Roman"/>
          <w:sz w:val="24"/>
          <w:szCs w:val="24"/>
        </w:rPr>
        <w:t xml:space="preserve"> to totally eliminate the potential for nesting for </w:t>
      </w:r>
      <w:r w:rsidR="007F35E4" w:rsidRPr="00CE21C1">
        <w:rPr>
          <w:rFonts w:ascii="Times New Roman" w:hAnsi="Times New Roman" w:cs="Times New Roman"/>
          <w:sz w:val="24"/>
          <w:szCs w:val="24"/>
        </w:rPr>
        <w:t>over 150-years. Broadcast burning may increase snag levels, but it will also remove downed logs and possibly mature stands that may currently provide suitable nesting habitat.  Non-commercial fuel treatments likely will remove downed logs and small trees and snags that are important foraging areas for pileated woodpeckers.  These treatments, especially those in old growth</w:t>
      </w:r>
      <w:r w:rsidR="00CE21C1" w:rsidRPr="00CE21C1">
        <w:rPr>
          <w:rFonts w:ascii="Times New Roman" w:hAnsi="Times New Roman" w:cs="Times New Roman"/>
          <w:sz w:val="24"/>
          <w:szCs w:val="24"/>
        </w:rPr>
        <w:t xml:space="preserve">, are also likely to reduce forage quality for pileated woodpeckers which feed on carpenter ants and other insects that are generally found in dead and dying trees or downed logs. </w:t>
      </w:r>
      <w:r w:rsidRPr="00CE21C1">
        <w:rPr>
          <w:rFonts w:ascii="Times New Roman" w:hAnsi="Times New Roman" w:cs="Times New Roman"/>
          <w:sz w:val="24"/>
          <w:szCs w:val="24"/>
        </w:rPr>
        <w:t>As mentioned in the wildlife report</w:t>
      </w:r>
      <w:r w:rsidR="00CE21C1" w:rsidRPr="00CE21C1">
        <w:rPr>
          <w:rFonts w:ascii="Times New Roman" w:hAnsi="Times New Roman" w:cs="Times New Roman"/>
          <w:sz w:val="24"/>
          <w:szCs w:val="24"/>
        </w:rPr>
        <w:t>, “</w:t>
      </w:r>
      <w:r w:rsidR="00CE21C1" w:rsidRPr="00CE21C1">
        <w:rPr>
          <w:rFonts w:ascii="Times New Roman" w:hAnsi="Times New Roman" w:cs="Times New Roman"/>
          <w:sz w:val="24"/>
          <w:szCs w:val="24"/>
          <w:shd w:val="clear" w:color="auto" w:fill="FFFFFF"/>
        </w:rPr>
        <w:t>Pileated woodpeckers rely on dead and dying trees for foraging and nesting, which is not</w:t>
      </w:r>
      <w:r w:rsidR="00CE21C1" w:rsidRPr="00CE21C1">
        <w:rPr>
          <w:rFonts w:ascii="Times New Roman" w:hAnsi="Times New Roman" w:cs="Times New Roman"/>
          <w:sz w:val="24"/>
          <w:szCs w:val="24"/>
        </w:rPr>
        <w:t xml:space="preserve"> </w:t>
      </w:r>
      <w:r w:rsidR="00CE21C1" w:rsidRPr="00CE21C1">
        <w:rPr>
          <w:rFonts w:ascii="Times New Roman" w:hAnsi="Times New Roman" w:cs="Times New Roman"/>
          <w:sz w:val="24"/>
          <w:szCs w:val="24"/>
          <w:shd w:val="clear" w:color="auto" w:fill="FFFFFF"/>
        </w:rPr>
        <w:t>compatible with management emphases on forest health.</w:t>
      </w:r>
      <w:r w:rsidR="00CE21C1">
        <w:rPr>
          <w:rFonts w:ascii="Times New Roman" w:hAnsi="Times New Roman" w:cs="Times New Roman"/>
          <w:sz w:val="24"/>
          <w:szCs w:val="24"/>
          <w:shd w:val="clear" w:color="auto" w:fill="FFFFFF"/>
        </w:rPr>
        <w:t>”</w:t>
      </w:r>
    </w:p>
    <w:p w14:paraId="7239CF39" w14:textId="77777777" w:rsidR="007B45C4" w:rsidRPr="00CE21C1" w:rsidRDefault="007B45C4" w:rsidP="007B45C4">
      <w:pPr>
        <w:spacing w:before="240"/>
        <w:contextualSpacing/>
        <w:rPr>
          <w:rFonts w:ascii="Times New Roman" w:hAnsi="Times New Roman" w:cs="Times New Roman"/>
          <w:sz w:val="24"/>
          <w:szCs w:val="24"/>
        </w:rPr>
      </w:pPr>
    </w:p>
    <w:p w14:paraId="2ECFA170" w14:textId="003F30D6" w:rsidR="007B45C4" w:rsidRPr="00FE78EE" w:rsidRDefault="007B45C4" w:rsidP="007B45C4">
      <w:pPr>
        <w:spacing w:before="240"/>
        <w:contextualSpacing/>
        <w:rPr>
          <w:rFonts w:ascii="Times New Roman" w:hAnsi="Times New Roman"/>
          <w:sz w:val="24"/>
          <w:szCs w:val="24"/>
        </w:rPr>
      </w:pPr>
      <w:r w:rsidRPr="00CE21C1">
        <w:rPr>
          <w:rFonts w:ascii="Times New Roman" w:hAnsi="Times New Roman" w:cs="Times New Roman"/>
          <w:sz w:val="24"/>
          <w:szCs w:val="24"/>
        </w:rPr>
        <w:t>Again, I believe</w:t>
      </w:r>
      <w:r w:rsidRPr="00FE78EE">
        <w:rPr>
          <w:rFonts w:ascii="Times New Roman" w:hAnsi="Times New Roman"/>
          <w:sz w:val="24"/>
          <w:szCs w:val="24"/>
        </w:rPr>
        <w:t xml:space="preserve"> a more spatially explicit analysis of pileated woodpecker habitat is required.  The revised analysis should start by identifying theoretical pileated woodpecker home ranges within the project area.  Pileated woodpeckers are reported to have home range sizes of approximately 1005 acres (Bull et al. 1992).  Thus</w:t>
      </w:r>
      <w:r>
        <w:rPr>
          <w:rFonts w:ascii="Times New Roman" w:hAnsi="Times New Roman"/>
          <w:sz w:val="24"/>
          <w:szCs w:val="24"/>
        </w:rPr>
        <w:t>,</w:t>
      </w:r>
      <w:r w:rsidRPr="00FE78EE">
        <w:rPr>
          <w:rFonts w:ascii="Times New Roman" w:hAnsi="Times New Roman"/>
          <w:sz w:val="24"/>
          <w:szCs w:val="24"/>
        </w:rPr>
        <w:t xml:space="preserve"> the project area could potentially support approximately </w:t>
      </w:r>
      <w:r w:rsidR="00D456C0">
        <w:rPr>
          <w:rFonts w:ascii="Times New Roman" w:hAnsi="Times New Roman"/>
          <w:sz w:val="24"/>
          <w:szCs w:val="24"/>
        </w:rPr>
        <w:t>30-35</w:t>
      </w:r>
      <w:r w:rsidRPr="00FE78EE">
        <w:rPr>
          <w:rFonts w:ascii="Times New Roman" w:hAnsi="Times New Roman"/>
          <w:sz w:val="24"/>
          <w:szCs w:val="24"/>
        </w:rPr>
        <w:t xml:space="preserve"> nesting pairs of pileated woodpeckers</w:t>
      </w:r>
      <w:r w:rsidR="00AB54CF">
        <w:rPr>
          <w:rFonts w:ascii="Times New Roman" w:hAnsi="Times New Roman"/>
          <w:sz w:val="24"/>
          <w:szCs w:val="24"/>
        </w:rPr>
        <w:t xml:space="preserve"> if unsuitable habitat (open south facing slopes and upper elevation areas) is removed</w:t>
      </w:r>
      <w:r w:rsidRPr="00FE78EE">
        <w:rPr>
          <w:rFonts w:ascii="Times New Roman" w:hAnsi="Times New Roman"/>
          <w:sz w:val="24"/>
          <w:szCs w:val="24"/>
        </w:rPr>
        <w:t>.  To identify project level impacts</w:t>
      </w:r>
      <w:r>
        <w:rPr>
          <w:rFonts w:ascii="Times New Roman" w:hAnsi="Times New Roman"/>
          <w:sz w:val="24"/>
          <w:szCs w:val="24"/>
        </w:rPr>
        <w:t>,</w:t>
      </w:r>
      <w:r w:rsidRPr="00FE78EE">
        <w:rPr>
          <w:rFonts w:ascii="Times New Roman" w:hAnsi="Times New Roman"/>
          <w:sz w:val="24"/>
          <w:szCs w:val="24"/>
        </w:rPr>
        <w:t xml:space="preserve"> I suggest use of habitat management guidelines developed by Bull and Holthausen (1993). These guidelines have been field tested and home range use in the areas w</w:t>
      </w:r>
      <w:r w:rsidR="00CC4917">
        <w:rPr>
          <w:rFonts w:ascii="Times New Roman" w:hAnsi="Times New Roman"/>
          <w:sz w:val="24"/>
          <w:szCs w:val="24"/>
        </w:rPr>
        <w:t>h</w:t>
      </w:r>
      <w:r w:rsidRPr="00FE78EE">
        <w:rPr>
          <w:rFonts w:ascii="Times New Roman" w:hAnsi="Times New Roman"/>
          <w:sz w:val="24"/>
          <w:szCs w:val="24"/>
        </w:rPr>
        <w:t xml:space="preserve">ere the guidelines were developed have been tracked for over 30 years (Bull et al 2007).   </w:t>
      </w:r>
    </w:p>
    <w:p w14:paraId="6E711688" w14:textId="77777777" w:rsidR="007B45C4" w:rsidRPr="00FE78EE" w:rsidRDefault="007B45C4" w:rsidP="007B45C4">
      <w:pPr>
        <w:spacing w:before="240"/>
        <w:contextualSpacing/>
        <w:rPr>
          <w:rFonts w:ascii="Times New Roman" w:hAnsi="Times New Roman"/>
          <w:sz w:val="24"/>
          <w:szCs w:val="24"/>
        </w:rPr>
      </w:pPr>
    </w:p>
    <w:p w14:paraId="037A5F3D" w14:textId="0E9F70D1" w:rsidR="007B45C4"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 xml:space="preserve">Bull and Holthausen (1993) recommend that approximately 25% of the home range be old growth and 50% be mature forest.   They suggested that 50% of the area should have stands with greater than 60% canopy closure and at least 40% should remain unlogged (any type of logging).   Follow up work (Bull et al. 2007) found that bird density did not change in 30 years (despite major infestations of spruce budworm) in home ranges meeting these guidelines, unless extensive regeneration harvesting (like that proposed on the </w:t>
      </w:r>
      <w:r w:rsidR="00CC4917">
        <w:rPr>
          <w:rFonts w:ascii="Times New Roman" w:hAnsi="Times New Roman"/>
          <w:sz w:val="24"/>
          <w:szCs w:val="24"/>
        </w:rPr>
        <w:t>Dead Laundry</w:t>
      </w:r>
      <w:r w:rsidRPr="00FE78EE">
        <w:rPr>
          <w:rFonts w:ascii="Times New Roman" w:hAnsi="Times New Roman"/>
          <w:sz w:val="24"/>
          <w:szCs w:val="24"/>
        </w:rPr>
        <w:t xml:space="preserve"> project) had occurred in the home range.  They defined extensive regeneration harvest as 25% of the area. They also examined nesting success and found that birds that successfully produced young had on average 85% of their home range unlogged and 15% unlogged (any type of logging including fuel reductions).  Whereas unsuccessful nesters had 62% of the home range unlogged and 38% logged (Bull et al. 2007).</w:t>
      </w:r>
      <w:r w:rsidRPr="001E4F67">
        <w:rPr>
          <w:rFonts w:ascii="Times New Roman" w:hAnsi="Times New Roman"/>
          <w:sz w:val="24"/>
          <w:szCs w:val="24"/>
        </w:rPr>
        <w:t xml:space="preserve"> </w:t>
      </w:r>
      <w:r>
        <w:rPr>
          <w:rFonts w:ascii="Times New Roman" w:hAnsi="Times New Roman"/>
          <w:sz w:val="24"/>
          <w:szCs w:val="24"/>
        </w:rPr>
        <w:t xml:space="preserve"> </w:t>
      </w:r>
    </w:p>
    <w:p w14:paraId="08A45625" w14:textId="77777777" w:rsidR="007B45C4" w:rsidRDefault="007B45C4" w:rsidP="007B45C4">
      <w:pPr>
        <w:spacing w:before="240"/>
        <w:contextualSpacing/>
        <w:rPr>
          <w:rFonts w:ascii="Times New Roman" w:hAnsi="Times New Roman"/>
          <w:sz w:val="24"/>
          <w:szCs w:val="24"/>
        </w:rPr>
      </w:pPr>
    </w:p>
    <w:p w14:paraId="238978A6" w14:textId="2FF491E5" w:rsidR="007B45C4" w:rsidRPr="00FE78EE"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 xml:space="preserve">It is ironic that the wildlife report uses the Samson (2006b) short-term viability analysis and the Bush and Lundberg 2008 habitat estimates as a way to show that pileated woodpeckers are being maintained at the Forest level and that the </w:t>
      </w:r>
      <w:r w:rsidR="00810A89">
        <w:rPr>
          <w:rFonts w:ascii="Times New Roman" w:hAnsi="Times New Roman"/>
          <w:sz w:val="24"/>
          <w:szCs w:val="24"/>
        </w:rPr>
        <w:t>Dead Laundry</w:t>
      </w:r>
      <w:r>
        <w:rPr>
          <w:rFonts w:ascii="Times New Roman" w:hAnsi="Times New Roman"/>
          <w:sz w:val="24"/>
          <w:szCs w:val="24"/>
        </w:rPr>
        <w:t xml:space="preserve"> </w:t>
      </w:r>
      <w:r w:rsidRPr="00FE78EE">
        <w:rPr>
          <w:rFonts w:ascii="Times New Roman" w:hAnsi="Times New Roman"/>
          <w:sz w:val="24"/>
          <w:szCs w:val="24"/>
        </w:rPr>
        <w:t xml:space="preserve">project will not contribute to cumulative impacts. This simplistic query of FIA data is not spatially explicit and relies on meaningless definition of pileated woodpecker habitat that is not supported by the available literature (Bull and Holthausen 1993, McClelland and McClelland 1999, Mellen et al.1992).   Nesting habitat is simply defined as a stand with one dead tree per acre over 15 inches DBH and </w:t>
      </w:r>
      <w:r w:rsidRPr="00FE78EE">
        <w:rPr>
          <w:rFonts w:ascii="Times New Roman" w:hAnsi="Times New Roman"/>
          <w:sz w:val="24"/>
          <w:szCs w:val="24"/>
        </w:rPr>
        <w:lastRenderedPageBreak/>
        <w:t xml:space="preserve">foraging habitat is defined as a stand with one dead tree per acres over 9 inches DBH.  This is not a defensible description of pileated woodpecker habitat and makes the analysis pretty much meaningless.  There is no requirement for the snags to be part of a mature stand and 15-inch DBH snags are not suitable for nesting by this species.   </w:t>
      </w:r>
    </w:p>
    <w:p w14:paraId="6BE63C6A" w14:textId="77777777" w:rsidR="007B45C4" w:rsidRPr="00FE78EE" w:rsidRDefault="007B45C4" w:rsidP="007B45C4">
      <w:pPr>
        <w:spacing w:before="240"/>
        <w:contextualSpacing/>
        <w:rPr>
          <w:rFonts w:ascii="Times New Roman" w:hAnsi="Times New Roman"/>
          <w:sz w:val="24"/>
          <w:szCs w:val="24"/>
        </w:rPr>
      </w:pPr>
    </w:p>
    <w:p w14:paraId="7AA88C9D" w14:textId="070A76AF" w:rsidR="007B45C4"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 xml:space="preserve">Clearly, the best available science does not support the contention that pileated woodpeckers will be unaffected by the </w:t>
      </w:r>
      <w:r w:rsidR="00810A89">
        <w:rPr>
          <w:rFonts w:ascii="Times New Roman" w:hAnsi="Times New Roman"/>
          <w:sz w:val="24"/>
          <w:szCs w:val="24"/>
        </w:rPr>
        <w:t>Dead Laundry</w:t>
      </w:r>
      <w:r w:rsidRPr="00FE78EE">
        <w:rPr>
          <w:rFonts w:ascii="Times New Roman" w:hAnsi="Times New Roman"/>
          <w:sz w:val="24"/>
          <w:szCs w:val="24"/>
        </w:rPr>
        <w:t xml:space="preserve"> proposal.  Long-term studies (Bull et al. 2007) suggest that the pileated woodpecker is highly sensitive to regeneration harvest which will be conducted over large areas of the project area. </w:t>
      </w:r>
      <w:r w:rsidR="00810A89">
        <w:rPr>
          <w:rFonts w:ascii="Times New Roman" w:hAnsi="Times New Roman"/>
          <w:sz w:val="24"/>
          <w:szCs w:val="24"/>
        </w:rPr>
        <w:t xml:space="preserve">At 432-acres, </w:t>
      </w:r>
      <w:r w:rsidR="00D54F43">
        <w:rPr>
          <w:rFonts w:ascii="Times New Roman" w:hAnsi="Times New Roman"/>
          <w:sz w:val="24"/>
          <w:szCs w:val="24"/>
        </w:rPr>
        <w:t>U</w:t>
      </w:r>
      <w:r w:rsidR="00810A89">
        <w:rPr>
          <w:rFonts w:ascii="Times New Roman" w:hAnsi="Times New Roman"/>
          <w:sz w:val="24"/>
          <w:szCs w:val="24"/>
        </w:rPr>
        <w:t>nit 30</w:t>
      </w:r>
      <w:r w:rsidR="00D54F43">
        <w:rPr>
          <w:rFonts w:ascii="Times New Roman" w:hAnsi="Times New Roman"/>
          <w:sz w:val="24"/>
          <w:szCs w:val="24"/>
        </w:rPr>
        <w:t xml:space="preserve"> </w:t>
      </w:r>
      <w:r>
        <w:rPr>
          <w:rFonts w:ascii="Times New Roman" w:hAnsi="Times New Roman"/>
          <w:sz w:val="24"/>
          <w:szCs w:val="24"/>
        </w:rPr>
        <w:t xml:space="preserve">could </w:t>
      </w:r>
      <w:r w:rsidRPr="00FE78EE">
        <w:rPr>
          <w:rFonts w:ascii="Times New Roman" w:hAnsi="Times New Roman"/>
          <w:sz w:val="24"/>
          <w:szCs w:val="24"/>
        </w:rPr>
        <w:t xml:space="preserve">totally eliminate </w:t>
      </w:r>
      <w:r w:rsidR="00810A89">
        <w:rPr>
          <w:rFonts w:ascii="Times New Roman" w:hAnsi="Times New Roman"/>
          <w:sz w:val="24"/>
          <w:szCs w:val="24"/>
        </w:rPr>
        <w:t xml:space="preserve">a </w:t>
      </w:r>
      <w:r w:rsidRPr="00FE78EE">
        <w:rPr>
          <w:rFonts w:ascii="Times New Roman" w:hAnsi="Times New Roman"/>
          <w:sz w:val="24"/>
          <w:szCs w:val="24"/>
        </w:rPr>
        <w:t xml:space="preserve">pileated woodpecker home range. </w:t>
      </w:r>
      <w:r>
        <w:rPr>
          <w:rFonts w:ascii="Times New Roman" w:hAnsi="Times New Roman"/>
          <w:sz w:val="24"/>
          <w:szCs w:val="24"/>
        </w:rPr>
        <w:t xml:space="preserve"> As previously discussed, </w:t>
      </w:r>
      <w:r w:rsidR="00D54F43">
        <w:rPr>
          <w:rFonts w:ascii="Times New Roman" w:hAnsi="Times New Roman"/>
          <w:sz w:val="24"/>
          <w:szCs w:val="24"/>
        </w:rPr>
        <w:t xml:space="preserve">the </w:t>
      </w:r>
      <w:r>
        <w:rPr>
          <w:rFonts w:ascii="Times New Roman" w:hAnsi="Times New Roman"/>
          <w:sz w:val="24"/>
          <w:szCs w:val="24"/>
        </w:rPr>
        <w:t>myriad of other proposals</w:t>
      </w:r>
      <w:r w:rsidRPr="007A42E8">
        <w:rPr>
          <w:rFonts w:ascii="Times New Roman" w:hAnsi="Times New Roman"/>
          <w:sz w:val="24"/>
          <w:szCs w:val="24"/>
        </w:rPr>
        <w:t xml:space="preserve"> </w:t>
      </w:r>
      <w:r>
        <w:rPr>
          <w:rFonts w:ascii="Times New Roman" w:hAnsi="Times New Roman"/>
          <w:sz w:val="24"/>
          <w:szCs w:val="24"/>
        </w:rPr>
        <w:t xml:space="preserve">being pursued on the </w:t>
      </w:r>
      <w:r w:rsidR="00D54F43">
        <w:rPr>
          <w:rFonts w:ascii="Times New Roman" w:hAnsi="Times New Roman"/>
          <w:sz w:val="24"/>
          <w:szCs w:val="24"/>
        </w:rPr>
        <w:t xml:space="preserve">Nez Perce-Clearwater NF poses a real risk </w:t>
      </w:r>
      <w:r>
        <w:rPr>
          <w:rFonts w:ascii="Times New Roman" w:hAnsi="Times New Roman"/>
          <w:sz w:val="24"/>
          <w:szCs w:val="24"/>
        </w:rPr>
        <w:t>to the species</w:t>
      </w:r>
      <w:r w:rsidR="00D54F43">
        <w:rPr>
          <w:rFonts w:ascii="Times New Roman" w:hAnsi="Times New Roman"/>
          <w:sz w:val="24"/>
          <w:szCs w:val="24"/>
        </w:rPr>
        <w:t xml:space="preserve"> like the pileated woodpecker that depend on mature forests and large snags over 20-inches DBH.</w:t>
      </w:r>
      <w:r>
        <w:rPr>
          <w:rFonts w:ascii="Times New Roman" w:hAnsi="Times New Roman"/>
          <w:sz w:val="24"/>
          <w:szCs w:val="24"/>
        </w:rPr>
        <w:t xml:space="preserve"> </w:t>
      </w:r>
    </w:p>
    <w:p w14:paraId="2F2768A2" w14:textId="77777777" w:rsidR="007B45C4" w:rsidRDefault="007B45C4" w:rsidP="007B45C4">
      <w:pPr>
        <w:spacing w:before="240"/>
        <w:contextualSpacing/>
        <w:rPr>
          <w:rFonts w:ascii="Times New Roman" w:hAnsi="Times New Roman"/>
          <w:sz w:val="24"/>
          <w:szCs w:val="24"/>
        </w:rPr>
      </w:pPr>
    </w:p>
    <w:p w14:paraId="15E5E399" w14:textId="77777777" w:rsidR="007B45C4" w:rsidRPr="00FE78EE"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Using the Bull publications would have given the Nez Perce/Clearwater National Forest a way of evaluating habitat potential and setting cumulative habitat thresholds where habitat loss becomes significant (Schultz 2010).  Such an analysis would have been based on the latest scientific information and would display some concern for maintaining management indicator species within the project area. The fact that the Forest Plan includes no guidance on cumulative thresholds for terrestrial wildlife species, does not exclude the Forest Service’s responsibility to “provide for a diversity of plant and animal communities based on the suitability and capability of the specific land area” or negate the Forest’s obligation to utilize the best available science.</w:t>
      </w:r>
    </w:p>
    <w:p w14:paraId="2F5928C5" w14:textId="77777777" w:rsidR="007B45C4" w:rsidRPr="00FE78EE" w:rsidRDefault="007B45C4" w:rsidP="007B45C4">
      <w:pPr>
        <w:spacing w:before="240"/>
        <w:contextualSpacing/>
        <w:rPr>
          <w:rFonts w:ascii="Times New Roman" w:hAnsi="Times New Roman"/>
          <w:sz w:val="24"/>
          <w:szCs w:val="24"/>
        </w:rPr>
      </w:pPr>
    </w:p>
    <w:p w14:paraId="0A7DCC49" w14:textId="58A1C753" w:rsidR="007B45C4" w:rsidRPr="00A029D2" w:rsidRDefault="007B45C4" w:rsidP="007B45C4">
      <w:pPr>
        <w:spacing w:before="240"/>
        <w:contextualSpacing/>
        <w:rPr>
          <w:rFonts w:ascii="Times New Roman" w:eastAsia="Calibri" w:hAnsi="Times New Roman"/>
          <w:b/>
          <w:sz w:val="24"/>
          <w:szCs w:val="24"/>
        </w:rPr>
      </w:pPr>
      <w:r w:rsidRPr="00FE78EE">
        <w:rPr>
          <w:rFonts w:ascii="Times New Roman" w:eastAsia="Calibri" w:hAnsi="Times New Roman"/>
          <w:b/>
          <w:sz w:val="24"/>
          <w:szCs w:val="24"/>
        </w:rPr>
        <w:t xml:space="preserve">Objection </w:t>
      </w:r>
      <w:r w:rsidR="00790951">
        <w:rPr>
          <w:rFonts w:ascii="Times New Roman" w:eastAsia="Calibri" w:hAnsi="Times New Roman"/>
          <w:b/>
          <w:sz w:val="24"/>
          <w:szCs w:val="24"/>
        </w:rPr>
        <w:t>1</w:t>
      </w:r>
      <w:r w:rsidR="0076257C">
        <w:rPr>
          <w:rFonts w:ascii="Times New Roman" w:eastAsia="Calibri" w:hAnsi="Times New Roman"/>
          <w:b/>
          <w:sz w:val="24"/>
          <w:szCs w:val="24"/>
        </w:rPr>
        <w:t>6</w:t>
      </w:r>
      <w:r w:rsidRPr="00FE78EE">
        <w:rPr>
          <w:rFonts w:ascii="Times New Roman" w:eastAsia="Calibri" w:hAnsi="Times New Roman"/>
          <w:b/>
          <w:sz w:val="24"/>
          <w:szCs w:val="24"/>
        </w:rPr>
        <w:t xml:space="preserve"> - Failure to set any meaningful thresholds of habitat loss and consider the effect of habitat fragmentation on the American Pine Marten </w:t>
      </w:r>
    </w:p>
    <w:p w14:paraId="1712C146" w14:textId="77777777" w:rsidR="007B45C4" w:rsidRPr="00FE78EE" w:rsidRDefault="007B45C4" w:rsidP="007B45C4">
      <w:pPr>
        <w:spacing w:before="240" w:line="240" w:lineRule="auto"/>
        <w:contextualSpacing/>
        <w:rPr>
          <w:rFonts w:ascii="Times New Roman" w:hAnsi="Times New Roman"/>
          <w:b/>
          <w:sz w:val="24"/>
          <w:szCs w:val="24"/>
        </w:rPr>
      </w:pPr>
    </w:p>
    <w:p w14:paraId="458D491C" w14:textId="1EA3947E" w:rsidR="007B45C4"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 xml:space="preserve">The pine marten analysis relies strictly on data base queries and suggests there are </w:t>
      </w:r>
      <w:r w:rsidR="00790951">
        <w:rPr>
          <w:rFonts w:ascii="Times New Roman" w:hAnsi="Times New Roman"/>
          <w:sz w:val="24"/>
          <w:szCs w:val="24"/>
        </w:rPr>
        <w:t>16,502</w:t>
      </w:r>
      <w:r w:rsidRPr="00FE78EE">
        <w:rPr>
          <w:rFonts w:ascii="Times New Roman" w:hAnsi="Times New Roman"/>
          <w:sz w:val="24"/>
          <w:szCs w:val="24"/>
        </w:rPr>
        <w:t xml:space="preserve"> acres of suitable habitat. </w:t>
      </w:r>
      <w:r>
        <w:rPr>
          <w:rFonts w:ascii="Times New Roman" w:hAnsi="Times New Roman"/>
          <w:sz w:val="24"/>
          <w:szCs w:val="24"/>
        </w:rPr>
        <w:t xml:space="preserve"> For the pine marten, suitable habitat is identified in the </w:t>
      </w:r>
      <w:r w:rsidR="00790951">
        <w:rPr>
          <w:rFonts w:ascii="Times New Roman" w:hAnsi="Times New Roman"/>
          <w:sz w:val="24"/>
          <w:szCs w:val="24"/>
        </w:rPr>
        <w:t xml:space="preserve">wildlife </w:t>
      </w:r>
      <w:r>
        <w:rPr>
          <w:rFonts w:ascii="Times New Roman" w:hAnsi="Times New Roman"/>
          <w:sz w:val="24"/>
          <w:szCs w:val="24"/>
        </w:rPr>
        <w:t>as stands that</w:t>
      </w:r>
      <w:r w:rsidR="00246DEC">
        <w:rPr>
          <w:rFonts w:ascii="Times New Roman" w:hAnsi="Times New Roman"/>
          <w:sz w:val="24"/>
          <w:szCs w:val="24"/>
        </w:rPr>
        <w:t>:</w:t>
      </w:r>
      <w:r>
        <w:rPr>
          <w:rFonts w:ascii="Times New Roman" w:hAnsi="Times New Roman"/>
          <w:sz w:val="24"/>
          <w:szCs w:val="24"/>
        </w:rPr>
        <w:t xml:space="preserve"> include </w:t>
      </w:r>
      <w:r w:rsidR="00790951">
        <w:rPr>
          <w:rFonts w:ascii="Times New Roman" w:hAnsi="Times New Roman"/>
          <w:sz w:val="24"/>
          <w:szCs w:val="24"/>
        </w:rPr>
        <w:t xml:space="preserve">Douglas fir, grand fir, </w:t>
      </w:r>
      <w:r w:rsidR="00246DEC">
        <w:rPr>
          <w:rFonts w:ascii="Times New Roman" w:hAnsi="Times New Roman"/>
          <w:sz w:val="24"/>
          <w:szCs w:val="24"/>
        </w:rPr>
        <w:t xml:space="preserve">western red cedar, </w:t>
      </w:r>
      <w:r>
        <w:rPr>
          <w:rFonts w:ascii="Times New Roman" w:hAnsi="Times New Roman"/>
          <w:sz w:val="24"/>
          <w:szCs w:val="24"/>
        </w:rPr>
        <w:t>subalpine fir, Engelmann spruce or lodgepole pine forest types, have an average DBH exceeding 10-inches</w:t>
      </w:r>
      <w:r w:rsidR="00A3073C">
        <w:rPr>
          <w:rFonts w:ascii="Times New Roman" w:hAnsi="Times New Roman"/>
          <w:sz w:val="24"/>
          <w:szCs w:val="24"/>
        </w:rPr>
        <w:t>,</w:t>
      </w:r>
      <w:r>
        <w:rPr>
          <w:rFonts w:ascii="Times New Roman" w:hAnsi="Times New Roman"/>
          <w:sz w:val="24"/>
          <w:szCs w:val="24"/>
        </w:rPr>
        <w:t xml:space="preserve"> a crown closure exceeding 40%</w:t>
      </w:r>
      <w:r w:rsidR="00A3073C">
        <w:rPr>
          <w:rFonts w:ascii="Times New Roman" w:hAnsi="Times New Roman"/>
          <w:sz w:val="24"/>
          <w:szCs w:val="24"/>
        </w:rPr>
        <w:t xml:space="preserve"> and elevations between 3,300 and 5,900-feet. I could not find a map of suitable marten habitat on the Nez Perce – Clearwater website.</w:t>
      </w:r>
    </w:p>
    <w:p w14:paraId="4882BAC6" w14:textId="77777777" w:rsidR="007B45C4" w:rsidRDefault="007B45C4" w:rsidP="007B45C4">
      <w:pPr>
        <w:spacing w:before="240"/>
        <w:contextualSpacing/>
        <w:rPr>
          <w:rFonts w:ascii="Times New Roman" w:hAnsi="Times New Roman"/>
          <w:sz w:val="24"/>
          <w:szCs w:val="24"/>
        </w:rPr>
      </w:pPr>
    </w:p>
    <w:p w14:paraId="5A441A04" w14:textId="6020A659" w:rsidR="007B45C4"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The</w:t>
      </w:r>
      <w:r>
        <w:rPr>
          <w:rFonts w:ascii="Times New Roman" w:hAnsi="Times New Roman"/>
          <w:sz w:val="24"/>
          <w:szCs w:val="24"/>
        </w:rPr>
        <w:t xml:space="preserve"> </w:t>
      </w:r>
      <w:r w:rsidR="0084064C">
        <w:rPr>
          <w:rFonts w:ascii="Times New Roman" w:hAnsi="Times New Roman"/>
          <w:sz w:val="24"/>
          <w:szCs w:val="24"/>
        </w:rPr>
        <w:t>Wildlife Report</w:t>
      </w:r>
      <w:r>
        <w:rPr>
          <w:rFonts w:ascii="Times New Roman" w:hAnsi="Times New Roman"/>
          <w:sz w:val="24"/>
          <w:szCs w:val="24"/>
        </w:rPr>
        <w:t xml:space="preserve"> indicates that </w:t>
      </w:r>
      <w:r w:rsidR="0084064C">
        <w:rPr>
          <w:rFonts w:ascii="Times New Roman" w:hAnsi="Times New Roman"/>
          <w:sz w:val="24"/>
          <w:szCs w:val="24"/>
        </w:rPr>
        <w:t>210</w:t>
      </w:r>
      <w:r w:rsidR="00DB7F3E">
        <w:rPr>
          <w:rFonts w:ascii="Times New Roman" w:hAnsi="Times New Roman"/>
          <w:sz w:val="24"/>
          <w:szCs w:val="24"/>
        </w:rPr>
        <w:t>3</w:t>
      </w:r>
      <w:r>
        <w:rPr>
          <w:rFonts w:ascii="Times New Roman" w:hAnsi="Times New Roman"/>
          <w:sz w:val="24"/>
          <w:szCs w:val="24"/>
        </w:rPr>
        <w:t xml:space="preserve">-acres or </w:t>
      </w:r>
      <w:r w:rsidR="00DB7F3E">
        <w:rPr>
          <w:rFonts w:ascii="Times New Roman" w:hAnsi="Times New Roman"/>
          <w:sz w:val="24"/>
          <w:szCs w:val="24"/>
        </w:rPr>
        <w:t>13</w:t>
      </w:r>
      <w:r>
        <w:rPr>
          <w:rFonts w:ascii="Times New Roman" w:hAnsi="Times New Roman"/>
          <w:sz w:val="24"/>
          <w:szCs w:val="24"/>
        </w:rPr>
        <w:t>% of the suitable habitat will be harvested with regeneration harvest</w:t>
      </w:r>
      <w:r w:rsidR="00DB7F3E">
        <w:rPr>
          <w:rFonts w:ascii="Times New Roman" w:hAnsi="Times New Roman"/>
          <w:sz w:val="24"/>
          <w:szCs w:val="24"/>
        </w:rPr>
        <w:t xml:space="preserve">, but the analysis has not been updated to reflect the reduced harvest that is proposed in the Draft Decision Notice. </w:t>
      </w:r>
      <w:r>
        <w:rPr>
          <w:rFonts w:ascii="Times New Roman" w:hAnsi="Times New Roman"/>
          <w:sz w:val="24"/>
          <w:szCs w:val="24"/>
        </w:rPr>
        <w:t xml:space="preserve">No assessment has been made regarding the amount of potential habitat that has been already impacted by past harvest and </w:t>
      </w:r>
      <w:r w:rsidRPr="00FE78EE">
        <w:rPr>
          <w:rFonts w:ascii="Times New Roman" w:hAnsi="Times New Roman"/>
          <w:sz w:val="24"/>
          <w:szCs w:val="24"/>
        </w:rPr>
        <w:t>no meaningful thresholds of habitat loss that would affect the pine marten</w:t>
      </w:r>
      <w:r>
        <w:rPr>
          <w:rFonts w:ascii="Times New Roman" w:hAnsi="Times New Roman"/>
          <w:sz w:val="24"/>
          <w:szCs w:val="24"/>
        </w:rPr>
        <w:t xml:space="preserve"> are considered</w:t>
      </w:r>
      <w:r w:rsidRPr="00FE78EE">
        <w:rPr>
          <w:rFonts w:ascii="Times New Roman" w:hAnsi="Times New Roman"/>
          <w:sz w:val="24"/>
          <w:szCs w:val="24"/>
        </w:rPr>
        <w:t xml:space="preserve">. Without meaningful thresholds projects will continue to degrade pine marten habitat across the Nez Perce/Clearwater over time (Schultz 2010, Schultz 2012).  </w:t>
      </w:r>
    </w:p>
    <w:p w14:paraId="01A6EE5D" w14:textId="77777777" w:rsidR="007B45C4" w:rsidRDefault="007B45C4" w:rsidP="007B45C4">
      <w:pPr>
        <w:spacing w:before="240"/>
        <w:contextualSpacing/>
        <w:rPr>
          <w:rFonts w:ascii="Times New Roman" w:hAnsi="Times New Roman"/>
          <w:sz w:val="24"/>
          <w:szCs w:val="24"/>
        </w:rPr>
      </w:pPr>
    </w:p>
    <w:p w14:paraId="7C131044" w14:textId="7AC83E9B" w:rsidR="007B45C4" w:rsidRPr="00FE78EE"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 xml:space="preserve">The analysis is not spatially explicit and fails to recognize </w:t>
      </w:r>
      <w:r w:rsidR="00DB7F3E">
        <w:rPr>
          <w:rFonts w:ascii="Times New Roman" w:hAnsi="Times New Roman"/>
          <w:sz w:val="24"/>
          <w:szCs w:val="24"/>
        </w:rPr>
        <w:t>the concentrated activity area in Deadwood Creek and Osier Creek.  N</w:t>
      </w:r>
      <w:r w:rsidRPr="00FE78EE">
        <w:rPr>
          <w:rFonts w:ascii="Times New Roman" w:hAnsi="Times New Roman"/>
          <w:sz w:val="24"/>
          <w:szCs w:val="24"/>
        </w:rPr>
        <w:t xml:space="preserve">umerous studies have found that the species is particularly vulnerable to habitat fragmentation (Webb and Boyce 2009, Hargis et al. 1999, Moriarty et al. </w:t>
      </w:r>
      <w:r w:rsidRPr="00FE78EE">
        <w:rPr>
          <w:rFonts w:ascii="Times New Roman" w:hAnsi="Times New Roman"/>
          <w:sz w:val="24"/>
          <w:szCs w:val="24"/>
        </w:rPr>
        <w:lastRenderedPageBreak/>
        <w:t>2011, Potvin et al. 2000, Wasserman et al. 2012).  For example, Hargis et al. (1999) reported that “Martens were nearly absent from landscapes having &gt;25% non-forest cover, even though forest connectivity was still present.”  Avoidance of openings is well documented in the literature (Potvin et al. 2000, Koehler and Hornocker 1977, Chapin et al. 1998 and Wasserman et al. 2012)</w:t>
      </w:r>
      <w:r>
        <w:rPr>
          <w:rFonts w:ascii="Times New Roman" w:hAnsi="Times New Roman"/>
          <w:sz w:val="24"/>
          <w:szCs w:val="24"/>
        </w:rPr>
        <w:t xml:space="preserve">.   </w:t>
      </w:r>
      <w:r w:rsidR="00DB7F3E">
        <w:rPr>
          <w:rFonts w:ascii="Times New Roman" w:hAnsi="Times New Roman"/>
          <w:sz w:val="24"/>
          <w:szCs w:val="24"/>
        </w:rPr>
        <w:t>The area of concentrated timber harvest in Osier and Deadwood Creek</w:t>
      </w:r>
      <w:r w:rsidR="00A3073C">
        <w:rPr>
          <w:rFonts w:ascii="Times New Roman" w:hAnsi="Times New Roman"/>
          <w:sz w:val="24"/>
          <w:szCs w:val="24"/>
        </w:rPr>
        <w:t>s</w:t>
      </w:r>
      <w:r w:rsidR="00DB7F3E">
        <w:rPr>
          <w:rFonts w:ascii="Times New Roman" w:hAnsi="Times New Roman"/>
          <w:sz w:val="24"/>
          <w:szCs w:val="24"/>
        </w:rPr>
        <w:t xml:space="preserve"> is likely to create a landscape that will have &gt;25% non-forest cover in that area. </w:t>
      </w:r>
    </w:p>
    <w:p w14:paraId="02640089" w14:textId="77777777" w:rsidR="007B45C4" w:rsidRPr="00FE78EE" w:rsidRDefault="007B45C4" w:rsidP="007B45C4">
      <w:pPr>
        <w:spacing w:before="240"/>
        <w:contextualSpacing/>
        <w:rPr>
          <w:rFonts w:ascii="Times New Roman" w:hAnsi="Times New Roman"/>
          <w:sz w:val="24"/>
          <w:szCs w:val="24"/>
        </w:rPr>
      </w:pPr>
    </w:p>
    <w:p w14:paraId="51754223" w14:textId="02EAEAD9" w:rsidR="007B45C4"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 xml:space="preserve">The Nez Perce/Clearwater National Forest needs to do a better job of identifying fragmentation impacts on the pine marten on the </w:t>
      </w:r>
      <w:r w:rsidR="00C10A6C">
        <w:rPr>
          <w:rFonts w:ascii="Times New Roman" w:hAnsi="Times New Roman"/>
          <w:sz w:val="24"/>
          <w:szCs w:val="24"/>
        </w:rPr>
        <w:t xml:space="preserve">Dead Laundry </w:t>
      </w:r>
      <w:r w:rsidRPr="00FE78EE">
        <w:rPr>
          <w:rFonts w:ascii="Times New Roman" w:hAnsi="Times New Roman"/>
          <w:sz w:val="24"/>
          <w:szCs w:val="24"/>
        </w:rPr>
        <w:t xml:space="preserve">project.  I suggest that suitable habitat for the pine marten needs to be mapped at the project level. The findings of Wasserman et al. 2012 should prove useful in defining this habitat.  </w:t>
      </w:r>
      <w:bookmarkStart w:id="6" w:name="_Hlk26857076"/>
      <w:r w:rsidRPr="00FE78EE">
        <w:rPr>
          <w:rFonts w:ascii="Times New Roman" w:hAnsi="Times New Roman"/>
          <w:sz w:val="24"/>
          <w:szCs w:val="24"/>
        </w:rPr>
        <w:t xml:space="preserve">Like many other studies they found that marten presence was positively influenced by the amount of mature closed canopy forest and negatively influenced by high road densities, non-stocked clearcuts and habitat fragmentation.  They also found that marten make use heavy use of western red cedar stands.  </w:t>
      </w:r>
      <w:bookmarkEnd w:id="6"/>
      <w:r w:rsidRPr="00FE78EE">
        <w:rPr>
          <w:rFonts w:ascii="Times New Roman" w:hAnsi="Times New Roman"/>
          <w:sz w:val="24"/>
          <w:szCs w:val="24"/>
        </w:rPr>
        <w:t>Use of spruce/fir forests was less than reported in some other studies such as Koehler and Hornocker (1997).</w:t>
      </w:r>
    </w:p>
    <w:p w14:paraId="1A7725AA" w14:textId="77777777" w:rsidR="007B45C4" w:rsidRPr="00FE78EE"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 xml:space="preserve">  </w:t>
      </w:r>
    </w:p>
    <w:p w14:paraId="67ECB948" w14:textId="32923188" w:rsidR="007B45C4" w:rsidRPr="00FE78EE" w:rsidRDefault="007B45C4" w:rsidP="007B45C4">
      <w:pPr>
        <w:spacing w:before="240"/>
        <w:contextualSpacing/>
        <w:rPr>
          <w:rFonts w:ascii="Times New Roman" w:hAnsi="Times New Roman"/>
          <w:sz w:val="24"/>
          <w:szCs w:val="24"/>
        </w:rPr>
      </w:pPr>
      <w:r>
        <w:rPr>
          <w:rFonts w:ascii="Times New Roman" w:hAnsi="Times New Roman"/>
          <w:sz w:val="24"/>
          <w:szCs w:val="24"/>
        </w:rPr>
        <w:t>As I have suggested for several other species, th</w:t>
      </w:r>
      <w:r w:rsidRPr="00FE78EE">
        <w:rPr>
          <w:rFonts w:ascii="Times New Roman" w:hAnsi="Times New Roman"/>
          <w:sz w:val="24"/>
          <w:szCs w:val="24"/>
        </w:rPr>
        <w:t>eoretical home ranges should be delineated within the suitable habitat and that fragmentation effects examined.  Home range estimates are highly variable for marten (Buskirk and McDonald 1989, Powell 1994) and no good estimates are available for Idaho in the literature.  I suggest using the findings of Bull and Heater (2001) who found that female home ranges averaged 3,500 acres in nearby Northeastern Oregon.  They report that home ranges do not overlap significantly in the same sex, but larger male home ranges (6,700 acres) often overlap female home ranges.  The number of theoretical home ranges that the project area can support will be dependent on the amount of suitable habitat</w:t>
      </w:r>
      <w:r w:rsidR="00A3073C">
        <w:rPr>
          <w:rFonts w:ascii="Times New Roman" w:hAnsi="Times New Roman"/>
          <w:sz w:val="24"/>
          <w:szCs w:val="24"/>
        </w:rPr>
        <w:t>.  M</w:t>
      </w:r>
      <w:r w:rsidRPr="00FE78EE">
        <w:rPr>
          <w:rFonts w:ascii="Times New Roman" w:hAnsi="Times New Roman"/>
          <w:sz w:val="24"/>
          <w:szCs w:val="24"/>
        </w:rPr>
        <w:t xml:space="preserve">ost of the project area </w:t>
      </w:r>
      <w:r w:rsidR="00A3073C">
        <w:rPr>
          <w:rFonts w:ascii="Times New Roman" w:hAnsi="Times New Roman"/>
          <w:sz w:val="24"/>
          <w:szCs w:val="24"/>
        </w:rPr>
        <w:t>is between 3,300 and 5,900</w:t>
      </w:r>
      <w:r w:rsidR="00A22E19">
        <w:rPr>
          <w:rFonts w:ascii="Times New Roman" w:hAnsi="Times New Roman"/>
          <w:sz w:val="24"/>
          <w:szCs w:val="24"/>
        </w:rPr>
        <w:t>-</w:t>
      </w:r>
      <w:r w:rsidR="00A3073C">
        <w:rPr>
          <w:rFonts w:ascii="Times New Roman" w:hAnsi="Times New Roman"/>
          <w:sz w:val="24"/>
          <w:szCs w:val="24"/>
        </w:rPr>
        <w:t xml:space="preserve">feet elevation and should </w:t>
      </w:r>
      <w:r w:rsidR="00A22E19">
        <w:rPr>
          <w:rFonts w:ascii="Times New Roman" w:hAnsi="Times New Roman"/>
          <w:sz w:val="24"/>
          <w:szCs w:val="24"/>
        </w:rPr>
        <w:t>s</w:t>
      </w:r>
      <w:r w:rsidRPr="00FE78EE">
        <w:rPr>
          <w:rFonts w:ascii="Times New Roman" w:hAnsi="Times New Roman"/>
          <w:sz w:val="24"/>
          <w:szCs w:val="24"/>
        </w:rPr>
        <w:t>upport the pine marten</w:t>
      </w:r>
      <w:r w:rsidR="00A22E19">
        <w:rPr>
          <w:rFonts w:ascii="Times New Roman" w:hAnsi="Times New Roman"/>
          <w:sz w:val="24"/>
          <w:szCs w:val="24"/>
        </w:rPr>
        <w:t>.  Similar to the habitat conditions discussed for the fisher, Pine marten will likely avoid open slopes in Upper Deadwood Creek and steep slopes above the North Fork of the Clearwater River.</w:t>
      </w:r>
    </w:p>
    <w:p w14:paraId="7F8CE6C7" w14:textId="77777777" w:rsidR="007B45C4" w:rsidRPr="00FE78EE" w:rsidRDefault="007B45C4" w:rsidP="007B45C4">
      <w:pPr>
        <w:spacing w:before="240"/>
        <w:contextualSpacing/>
        <w:rPr>
          <w:rFonts w:ascii="Times New Roman" w:hAnsi="Times New Roman"/>
          <w:sz w:val="24"/>
          <w:szCs w:val="24"/>
        </w:rPr>
      </w:pPr>
    </w:p>
    <w:p w14:paraId="5B7E6883" w14:textId="65967BEB" w:rsidR="007B45C4" w:rsidRPr="00FE78EE" w:rsidRDefault="00A22E19" w:rsidP="007B45C4">
      <w:pPr>
        <w:spacing w:before="240"/>
        <w:contextualSpacing/>
        <w:rPr>
          <w:rFonts w:ascii="Times New Roman" w:hAnsi="Times New Roman"/>
          <w:sz w:val="24"/>
          <w:szCs w:val="24"/>
        </w:rPr>
      </w:pPr>
      <w:r>
        <w:rPr>
          <w:rFonts w:ascii="Times New Roman" w:hAnsi="Times New Roman"/>
          <w:sz w:val="24"/>
          <w:szCs w:val="24"/>
        </w:rPr>
        <w:t>If these areas are excluded</w:t>
      </w:r>
      <w:r w:rsidR="007B45C4" w:rsidRPr="00FE78EE">
        <w:rPr>
          <w:rFonts w:ascii="Times New Roman" w:hAnsi="Times New Roman"/>
          <w:sz w:val="24"/>
          <w:szCs w:val="24"/>
        </w:rPr>
        <w:t xml:space="preserve"> there </w:t>
      </w:r>
      <w:r w:rsidR="007B45C4">
        <w:rPr>
          <w:rFonts w:ascii="Times New Roman" w:hAnsi="Times New Roman"/>
          <w:sz w:val="24"/>
          <w:szCs w:val="24"/>
        </w:rPr>
        <w:t>could</w:t>
      </w:r>
      <w:r w:rsidR="007B45C4" w:rsidRPr="00FE78EE">
        <w:rPr>
          <w:rFonts w:ascii="Times New Roman" w:hAnsi="Times New Roman"/>
          <w:sz w:val="24"/>
          <w:szCs w:val="24"/>
        </w:rPr>
        <w:t xml:space="preserve"> still be </w:t>
      </w:r>
      <w:r>
        <w:rPr>
          <w:rFonts w:ascii="Times New Roman" w:hAnsi="Times New Roman"/>
          <w:sz w:val="24"/>
          <w:szCs w:val="24"/>
        </w:rPr>
        <w:t>30,000 to 3</w:t>
      </w:r>
      <w:r w:rsidR="007B45C4">
        <w:rPr>
          <w:rFonts w:ascii="Times New Roman" w:hAnsi="Times New Roman"/>
          <w:sz w:val="24"/>
          <w:szCs w:val="24"/>
        </w:rPr>
        <w:t>5</w:t>
      </w:r>
      <w:r w:rsidR="007B45C4" w:rsidRPr="00FE78EE">
        <w:rPr>
          <w:rFonts w:ascii="Times New Roman" w:hAnsi="Times New Roman"/>
          <w:sz w:val="24"/>
          <w:szCs w:val="24"/>
        </w:rPr>
        <w:t xml:space="preserve">,000 acres of marten habitat in the project area. This would provide habitat for </w:t>
      </w:r>
      <w:r>
        <w:rPr>
          <w:rFonts w:ascii="Times New Roman" w:hAnsi="Times New Roman"/>
          <w:sz w:val="24"/>
          <w:szCs w:val="24"/>
        </w:rPr>
        <w:t>9</w:t>
      </w:r>
      <w:r w:rsidR="007B45C4">
        <w:rPr>
          <w:rFonts w:ascii="Times New Roman" w:hAnsi="Times New Roman"/>
          <w:sz w:val="24"/>
          <w:szCs w:val="24"/>
        </w:rPr>
        <w:t>-</w:t>
      </w:r>
      <w:r>
        <w:rPr>
          <w:rFonts w:ascii="Times New Roman" w:hAnsi="Times New Roman"/>
          <w:sz w:val="24"/>
          <w:szCs w:val="24"/>
        </w:rPr>
        <w:t xml:space="preserve">10 </w:t>
      </w:r>
      <w:r w:rsidR="007B45C4" w:rsidRPr="00FE78EE">
        <w:rPr>
          <w:rFonts w:ascii="Times New Roman" w:hAnsi="Times New Roman"/>
          <w:sz w:val="24"/>
          <w:szCs w:val="24"/>
        </w:rPr>
        <w:t xml:space="preserve">females and </w:t>
      </w:r>
      <w:r>
        <w:rPr>
          <w:rFonts w:ascii="Times New Roman" w:hAnsi="Times New Roman"/>
          <w:sz w:val="24"/>
          <w:szCs w:val="24"/>
        </w:rPr>
        <w:t>4</w:t>
      </w:r>
      <w:r w:rsidR="007B45C4">
        <w:rPr>
          <w:rFonts w:ascii="Times New Roman" w:hAnsi="Times New Roman"/>
          <w:sz w:val="24"/>
          <w:szCs w:val="24"/>
        </w:rPr>
        <w:t>-</w:t>
      </w:r>
      <w:r>
        <w:rPr>
          <w:rFonts w:ascii="Times New Roman" w:hAnsi="Times New Roman"/>
          <w:sz w:val="24"/>
          <w:szCs w:val="24"/>
        </w:rPr>
        <w:t>5</w:t>
      </w:r>
      <w:r w:rsidR="007B45C4" w:rsidRPr="00FE78EE">
        <w:rPr>
          <w:rFonts w:ascii="Times New Roman" w:hAnsi="Times New Roman"/>
          <w:sz w:val="24"/>
          <w:szCs w:val="24"/>
        </w:rPr>
        <w:t xml:space="preserve"> males.  Timber harvest should be then limited to actions that do not create extensive open areas in these home ranges.  For example, Wasserman et al. (2012) report the probability of marten detection drops from 0.5 to 0.4 when the landscape is composed of 15% non-stocked clearcuts.  Hargis et al. (1999) report little use of home ranges (landscapes) that have greater than 25% open habitat.  Such an analysis would give a much more scientifically based projection of the impact of the proposed project on marten habitat and more appropriately deal with fragmentation and habitat arrangement impacts that have been ignored in the current analysis. </w:t>
      </w:r>
    </w:p>
    <w:p w14:paraId="1B7C4C20" w14:textId="77777777" w:rsidR="007B45C4" w:rsidRPr="00FE78EE" w:rsidRDefault="007B45C4" w:rsidP="007B45C4">
      <w:pPr>
        <w:spacing w:before="240"/>
        <w:contextualSpacing/>
        <w:rPr>
          <w:rFonts w:ascii="Times New Roman" w:hAnsi="Times New Roman"/>
          <w:sz w:val="24"/>
          <w:szCs w:val="24"/>
        </w:rPr>
      </w:pPr>
    </w:p>
    <w:p w14:paraId="0A8115A2" w14:textId="7BA18894" w:rsidR="007B45C4" w:rsidRDefault="007B45C4" w:rsidP="007B45C4">
      <w:pPr>
        <w:spacing w:before="240"/>
        <w:contextualSpacing/>
        <w:rPr>
          <w:rFonts w:ascii="Times New Roman" w:hAnsi="Times New Roman"/>
          <w:sz w:val="24"/>
          <w:szCs w:val="24"/>
        </w:rPr>
      </w:pPr>
      <w:r w:rsidRPr="00FE78EE">
        <w:rPr>
          <w:rFonts w:ascii="Times New Roman" w:hAnsi="Times New Roman"/>
          <w:sz w:val="24"/>
          <w:szCs w:val="24"/>
        </w:rPr>
        <w:t xml:space="preserve">Wasserman et al. (2012) point out four main management implications of their work that have implications for marten habitat in the project area.  First, is “that marten select habitat at multiple spatial scales, selecting home ranges within unfragmented landscapes with high canopy closure and low road density…”  Second is “the importance of low fragmentation, middle elevation forests” and third is that timber harvest in northern Idaho National Forest System lands was </w:t>
      </w:r>
      <w:r w:rsidRPr="00FE78EE">
        <w:rPr>
          <w:rFonts w:ascii="Times New Roman" w:hAnsi="Times New Roman"/>
          <w:sz w:val="24"/>
          <w:szCs w:val="24"/>
        </w:rPr>
        <w:lastRenderedPageBreak/>
        <w:t>disproportionately concentrated in high-productivity and highly valuable middle-elevation mesic forest types”. These stands are the exact target of actions on the</w:t>
      </w:r>
      <w:r w:rsidR="00A22E19">
        <w:rPr>
          <w:rFonts w:ascii="Times New Roman" w:hAnsi="Times New Roman"/>
          <w:sz w:val="24"/>
          <w:szCs w:val="24"/>
        </w:rPr>
        <w:t xml:space="preserve"> Dead Laundry</w:t>
      </w:r>
      <w:r w:rsidRPr="00FE78EE">
        <w:rPr>
          <w:rFonts w:ascii="Times New Roman" w:hAnsi="Times New Roman"/>
          <w:sz w:val="24"/>
          <w:szCs w:val="24"/>
        </w:rPr>
        <w:t xml:space="preserve"> project.  Fourth, “is that marten are highly sensitive to road density and patch density” and that “abandoned and decommissioned roads that do not appear on current travel plan maps still have substantial impact on marten habitat. </w:t>
      </w:r>
    </w:p>
    <w:p w14:paraId="1527AF90" w14:textId="77777777" w:rsidR="007B45C4" w:rsidRDefault="007B45C4" w:rsidP="007B45C4">
      <w:pPr>
        <w:spacing w:before="240"/>
        <w:contextualSpacing/>
        <w:rPr>
          <w:rFonts w:ascii="Times New Roman" w:hAnsi="Times New Roman"/>
          <w:sz w:val="24"/>
          <w:szCs w:val="24"/>
        </w:rPr>
      </w:pPr>
    </w:p>
    <w:p w14:paraId="2E86D445" w14:textId="022CB8E7" w:rsidR="007B45C4" w:rsidRDefault="00E930EB" w:rsidP="007B45C4">
      <w:pPr>
        <w:spacing w:before="240"/>
        <w:contextualSpacing/>
        <w:rPr>
          <w:rFonts w:ascii="Times New Roman" w:hAnsi="Times New Roman"/>
          <w:sz w:val="24"/>
          <w:szCs w:val="24"/>
        </w:rPr>
      </w:pPr>
      <w:bookmarkStart w:id="7" w:name="_Hlk26940946"/>
      <w:r>
        <w:rPr>
          <w:rFonts w:ascii="Times New Roman" w:hAnsi="Times New Roman"/>
          <w:sz w:val="24"/>
          <w:szCs w:val="24"/>
        </w:rPr>
        <w:t xml:space="preserve">The proposed project </w:t>
      </w:r>
      <w:r w:rsidR="007B45C4" w:rsidRPr="00FE78EE">
        <w:rPr>
          <w:rFonts w:ascii="Times New Roman" w:hAnsi="Times New Roman"/>
          <w:sz w:val="24"/>
          <w:szCs w:val="24"/>
        </w:rPr>
        <w:t xml:space="preserve">will construct </w:t>
      </w:r>
      <w:r>
        <w:rPr>
          <w:rFonts w:ascii="Times New Roman" w:hAnsi="Times New Roman"/>
          <w:sz w:val="24"/>
          <w:szCs w:val="24"/>
        </w:rPr>
        <w:t>12</w:t>
      </w:r>
      <w:r w:rsidR="007B45C4" w:rsidRPr="00FE78EE">
        <w:rPr>
          <w:rFonts w:ascii="Times New Roman" w:hAnsi="Times New Roman"/>
          <w:sz w:val="24"/>
          <w:szCs w:val="24"/>
        </w:rPr>
        <w:t xml:space="preserve"> miles of system road and </w:t>
      </w:r>
      <w:r>
        <w:rPr>
          <w:rFonts w:ascii="Times New Roman" w:hAnsi="Times New Roman"/>
          <w:sz w:val="24"/>
          <w:szCs w:val="24"/>
        </w:rPr>
        <w:t>30</w:t>
      </w:r>
      <w:r w:rsidR="007B45C4" w:rsidRPr="00FE78EE">
        <w:rPr>
          <w:rFonts w:ascii="Times New Roman" w:hAnsi="Times New Roman"/>
          <w:sz w:val="24"/>
          <w:szCs w:val="24"/>
        </w:rPr>
        <w:t xml:space="preserve"> miles of temporary road. </w:t>
      </w:r>
      <w:r>
        <w:rPr>
          <w:rFonts w:ascii="Times New Roman" w:hAnsi="Times New Roman"/>
          <w:sz w:val="24"/>
          <w:szCs w:val="24"/>
        </w:rPr>
        <w:t xml:space="preserve"> It will also reconstruct</w:t>
      </w:r>
      <w:r w:rsidR="007B45C4" w:rsidRPr="00FE78EE">
        <w:rPr>
          <w:rFonts w:ascii="Times New Roman" w:hAnsi="Times New Roman"/>
          <w:sz w:val="24"/>
          <w:szCs w:val="24"/>
        </w:rPr>
        <w:t xml:space="preserve"> </w:t>
      </w:r>
      <w:r w:rsidR="00FE5B92">
        <w:rPr>
          <w:rFonts w:ascii="Times New Roman" w:hAnsi="Times New Roman" w:cs="Times New Roman"/>
          <w:sz w:val="24"/>
          <w:szCs w:val="24"/>
        </w:rPr>
        <w:t>as much as</w:t>
      </w:r>
      <w:r w:rsidR="00FE5B92" w:rsidRPr="00DF1151">
        <w:rPr>
          <w:rFonts w:ascii="Times New Roman" w:hAnsi="Times New Roman" w:cs="Times New Roman"/>
          <w:sz w:val="24"/>
          <w:szCs w:val="24"/>
        </w:rPr>
        <w:t xml:space="preserve"> 99-miles of existing road and maintain another 51-miles</w:t>
      </w:r>
      <w:r w:rsidR="00FE5B92" w:rsidRPr="00FE78EE">
        <w:rPr>
          <w:rFonts w:ascii="Times New Roman" w:hAnsi="Times New Roman"/>
          <w:sz w:val="24"/>
          <w:szCs w:val="24"/>
        </w:rPr>
        <w:t xml:space="preserve"> </w:t>
      </w:r>
      <w:bookmarkEnd w:id="7"/>
    </w:p>
    <w:p w14:paraId="22057AFD" w14:textId="460CE731" w:rsidR="007B45C4" w:rsidRDefault="007B45C4" w:rsidP="007B45C4">
      <w:pPr>
        <w:spacing w:before="240"/>
        <w:contextualSpacing/>
        <w:rPr>
          <w:rFonts w:ascii="Times New Roman" w:hAnsi="Times New Roman"/>
          <w:sz w:val="24"/>
          <w:szCs w:val="24"/>
        </w:rPr>
      </w:pPr>
      <w:r>
        <w:rPr>
          <w:rFonts w:ascii="Times New Roman" w:hAnsi="Times New Roman"/>
          <w:sz w:val="24"/>
          <w:szCs w:val="24"/>
        </w:rPr>
        <w:t>When coupled with activities on the adjacent E</w:t>
      </w:r>
      <w:r w:rsidR="00FE5B92">
        <w:rPr>
          <w:rFonts w:ascii="Times New Roman" w:hAnsi="Times New Roman"/>
          <w:sz w:val="24"/>
          <w:szCs w:val="24"/>
        </w:rPr>
        <w:t>ast Saddle Project</w:t>
      </w:r>
      <w:r w:rsidR="00BF23E3">
        <w:rPr>
          <w:rFonts w:ascii="Times New Roman" w:hAnsi="Times New Roman"/>
          <w:sz w:val="24"/>
          <w:szCs w:val="24"/>
        </w:rPr>
        <w:t>, North Fork Ponderosa Pine and Long Cree</w:t>
      </w:r>
      <w:r w:rsidR="00CC4917">
        <w:rPr>
          <w:rFonts w:ascii="Times New Roman" w:hAnsi="Times New Roman"/>
          <w:sz w:val="24"/>
          <w:szCs w:val="24"/>
        </w:rPr>
        <w:t>k</w:t>
      </w:r>
      <w:r w:rsidR="00BF23E3">
        <w:rPr>
          <w:rFonts w:ascii="Times New Roman" w:hAnsi="Times New Roman"/>
          <w:sz w:val="24"/>
          <w:szCs w:val="24"/>
        </w:rPr>
        <w:t xml:space="preserve"> Fuels </w:t>
      </w:r>
      <w:r>
        <w:rPr>
          <w:rFonts w:ascii="Times New Roman" w:hAnsi="Times New Roman"/>
          <w:sz w:val="24"/>
          <w:szCs w:val="24"/>
        </w:rPr>
        <w:t>and the myriad of other proposals</w:t>
      </w:r>
      <w:r w:rsidRPr="007A42E8">
        <w:rPr>
          <w:rFonts w:ascii="Times New Roman" w:hAnsi="Times New Roman"/>
          <w:sz w:val="24"/>
          <w:szCs w:val="24"/>
        </w:rPr>
        <w:t xml:space="preserve"> </w:t>
      </w:r>
      <w:r>
        <w:rPr>
          <w:rFonts w:ascii="Times New Roman" w:hAnsi="Times New Roman"/>
          <w:sz w:val="24"/>
          <w:szCs w:val="24"/>
        </w:rPr>
        <w:t xml:space="preserve">being pursued on the </w:t>
      </w:r>
      <w:r w:rsidR="00BF23E3">
        <w:rPr>
          <w:rFonts w:ascii="Times New Roman" w:hAnsi="Times New Roman"/>
          <w:sz w:val="24"/>
          <w:szCs w:val="24"/>
        </w:rPr>
        <w:t xml:space="preserve">Nez Perce – Clearwater NF </w:t>
      </w:r>
      <w:r>
        <w:rPr>
          <w:rFonts w:ascii="Times New Roman" w:hAnsi="Times New Roman"/>
          <w:sz w:val="24"/>
          <w:szCs w:val="24"/>
        </w:rPr>
        <w:t>the risk to the species is much greater than suggested in the wildlife analysis</w:t>
      </w:r>
      <w:r w:rsidRPr="00FE78EE">
        <w:rPr>
          <w:rFonts w:ascii="Times New Roman" w:hAnsi="Times New Roman"/>
          <w:sz w:val="24"/>
          <w:szCs w:val="24"/>
        </w:rPr>
        <w:t xml:space="preserve">.   </w:t>
      </w:r>
      <w:r>
        <w:rPr>
          <w:rFonts w:ascii="Times New Roman" w:hAnsi="Times New Roman"/>
          <w:sz w:val="24"/>
          <w:szCs w:val="24"/>
        </w:rPr>
        <w:t xml:space="preserve"> </w:t>
      </w:r>
    </w:p>
    <w:p w14:paraId="474C0FE8" w14:textId="77777777" w:rsidR="007B45C4" w:rsidRPr="00FE78EE" w:rsidRDefault="007B45C4" w:rsidP="007B45C4">
      <w:pPr>
        <w:spacing w:before="240" w:line="240" w:lineRule="auto"/>
        <w:contextualSpacing/>
        <w:rPr>
          <w:rFonts w:ascii="Times New Roman" w:hAnsi="Times New Roman"/>
          <w:b/>
          <w:sz w:val="24"/>
          <w:szCs w:val="24"/>
        </w:rPr>
      </w:pPr>
    </w:p>
    <w:p w14:paraId="4C0B0282" w14:textId="77777777" w:rsidR="007B45C4" w:rsidRPr="00FE78EE" w:rsidRDefault="007B45C4" w:rsidP="007B45C4">
      <w:pPr>
        <w:spacing w:before="240"/>
        <w:contextualSpacing/>
        <w:rPr>
          <w:rFonts w:ascii="Times New Roman" w:hAnsi="Times New Roman"/>
          <w:sz w:val="24"/>
          <w:szCs w:val="24"/>
        </w:rPr>
      </w:pPr>
    </w:p>
    <w:p w14:paraId="7D18C5E0" w14:textId="77777777" w:rsidR="00616F0B" w:rsidRPr="00DF1151" w:rsidRDefault="00616F0B" w:rsidP="00993A48">
      <w:pPr>
        <w:spacing w:after="0"/>
        <w:rPr>
          <w:rFonts w:ascii="Times New Roman" w:hAnsi="Times New Roman" w:cs="Times New Roman"/>
          <w:b/>
          <w:bCs/>
          <w:sz w:val="24"/>
          <w:szCs w:val="24"/>
        </w:rPr>
      </w:pPr>
    </w:p>
    <w:p w14:paraId="37465B4D" w14:textId="77777777" w:rsidR="00206150" w:rsidRPr="00DF1151" w:rsidRDefault="00206150" w:rsidP="00993A48">
      <w:pPr>
        <w:spacing w:after="0"/>
        <w:rPr>
          <w:rFonts w:ascii="Times New Roman" w:hAnsi="Times New Roman" w:cs="Times New Roman"/>
          <w:sz w:val="24"/>
          <w:szCs w:val="24"/>
        </w:rPr>
      </w:pPr>
    </w:p>
    <w:p w14:paraId="423FE1A9" w14:textId="77777777" w:rsidR="00206150" w:rsidRPr="00DF1151" w:rsidRDefault="00206150" w:rsidP="00F74EBC">
      <w:pPr>
        <w:spacing w:after="0"/>
        <w:rPr>
          <w:rFonts w:ascii="Times New Roman" w:hAnsi="Times New Roman" w:cs="Times New Roman"/>
          <w:sz w:val="24"/>
          <w:szCs w:val="24"/>
        </w:rPr>
      </w:pPr>
    </w:p>
    <w:p w14:paraId="5258AE2D" w14:textId="77777777" w:rsidR="008401F4" w:rsidRPr="00DF1151" w:rsidRDefault="008401F4" w:rsidP="008401F4">
      <w:pPr>
        <w:spacing w:after="0"/>
        <w:ind w:left="4320" w:firstLine="720"/>
        <w:rPr>
          <w:rFonts w:ascii="Times New Roman" w:hAnsi="Times New Roman" w:cs="Times New Roman"/>
          <w:sz w:val="24"/>
          <w:szCs w:val="24"/>
        </w:rPr>
      </w:pPr>
      <w:r w:rsidRPr="00DF1151">
        <w:rPr>
          <w:rFonts w:ascii="Times New Roman" w:hAnsi="Times New Roman" w:cs="Times New Roman"/>
          <w:sz w:val="24"/>
          <w:szCs w:val="24"/>
        </w:rPr>
        <w:t xml:space="preserve">Sincerely, </w:t>
      </w:r>
    </w:p>
    <w:p w14:paraId="2F1ED562" w14:textId="77777777" w:rsidR="008401F4" w:rsidRPr="00DF1151" w:rsidRDefault="008401F4" w:rsidP="008401F4">
      <w:pPr>
        <w:spacing w:after="0"/>
        <w:ind w:left="3600" w:firstLine="720"/>
        <w:rPr>
          <w:rFonts w:ascii="Times New Roman" w:hAnsi="Times New Roman" w:cs="Times New Roman"/>
          <w:sz w:val="24"/>
          <w:szCs w:val="24"/>
        </w:rPr>
      </w:pPr>
      <w:r w:rsidRPr="00DF1151">
        <w:rPr>
          <w:rFonts w:ascii="Times New Roman" w:hAnsi="Times New Roman" w:cs="Times New Roman"/>
          <w:sz w:val="24"/>
          <w:szCs w:val="24"/>
        </w:rPr>
        <w:tab/>
      </w:r>
    </w:p>
    <w:p w14:paraId="4CECCCB2" w14:textId="069E308A" w:rsidR="008401F4" w:rsidRPr="00DF1151" w:rsidRDefault="008401F4" w:rsidP="008401F4">
      <w:pPr>
        <w:spacing w:after="0"/>
        <w:rPr>
          <w:rFonts w:ascii="Times New Roman" w:hAnsi="Times New Roman" w:cs="Times New Roman"/>
          <w:sz w:val="24"/>
          <w:szCs w:val="24"/>
        </w:rPr>
      </w:pPr>
      <w:r w:rsidRPr="00DF1151">
        <w:rPr>
          <w:rFonts w:ascii="Times New Roman" w:hAnsi="Times New Roman" w:cs="Times New Roman"/>
          <w:sz w:val="24"/>
          <w:szCs w:val="24"/>
        </w:rPr>
        <w:tab/>
      </w:r>
      <w:r w:rsidR="00206150" w:rsidRPr="00DF1151">
        <w:rPr>
          <w:rFonts w:ascii="Times New Roman" w:hAnsi="Times New Roman" w:cs="Times New Roman"/>
          <w:sz w:val="24"/>
          <w:szCs w:val="24"/>
        </w:rPr>
        <w:tab/>
      </w:r>
      <w:r w:rsidR="00206150" w:rsidRPr="00DF1151">
        <w:rPr>
          <w:rFonts w:ascii="Times New Roman" w:hAnsi="Times New Roman" w:cs="Times New Roman"/>
          <w:sz w:val="24"/>
          <w:szCs w:val="24"/>
        </w:rPr>
        <w:tab/>
      </w:r>
      <w:r w:rsidR="00206150" w:rsidRPr="00DF1151">
        <w:rPr>
          <w:rFonts w:ascii="Times New Roman" w:hAnsi="Times New Roman" w:cs="Times New Roman"/>
          <w:sz w:val="24"/>
          <w:szCs w:val="24"/>
        </w:rPr>
        <w:tab/>
      </w:r>
      <w:r w:rsidR="00206150" w:rsidRPr="00DF1151">
        <w:rPr>
          <w:rFonts w:ascii="Times New Roman" w:hAnsi="Times New Roman" w:cs="Times New Roman"/>
          <w:sz w:val="24"/>
          <w:szCs w:val="24"/>
        </w:rPr>
        <w:tab/>
      </w:r>
      <w:r w:rsidR="00206150" w:rsidRPr="00DF1151">
        <w:rPr>
          <w:rFonts w:ascii="Times New Roman" w:hAnsi="Times New Roman" w:cs="Times New Roman"/>
          <w:sz w:val="24"/>
          <w:szCs w:val="24"/>
        </w:rPr>
        <w:tab/>
      </w:r>
    </w:p>
    <w:p w14:paraId="33759611" w14:textId="77777777" w:rsidR="008401F4" w:rsidRPr="00DF1151" w:rsidRDefault="008401F4" w:rsidP="008401F4">
      <w:pPr>
        <w:spacing w:after="0"/>
        <w:rPr>
          <w:rFonts w:ascii="Times New Roman" w:hAnsi="Times New Roman" w:cs="Times New Roman"/>
          <w:sz w:val="24"/>
          <w:szCs w:val="24"/>
        </w:rPr>
      </w:pPr>
    </w:p>
    <w:p w14:paraId="410AD601" w14:textId="77777777" w:rsidR="008401F4" w:rsidRPr="00DF1151" w:rsidRDefault="008401F4" w:rsidP="008401F4">
      <w:pPr>
        <w:spacing w:after="0"/>
        <w:ind w:left="4320" w:firstLine="720"/>
        <w:rPr>
          <w:rFonts w:ascii="Times New Roman" w:hAnsi="Times New Roman" w:cs="Times New Roman"/>
          <w:sz w:val="24"/>
          <w:szCs w:val="24"/>
        </w:rPr>
      </w:pPr>
      <w:r w:rsidRPr="00DF1151">
        <w:rPr>
          <w:rFonts w:ascii="Times New Roman" w:hAnsi="Times New Roman" w:cs="Times New Roman"/>
          <w:sz w:val="24"/>
          <w:szCs w:val="24"/>
        </w:rPr>
        <w:t>Harry R. Jageman</w:t>
      </w:r>
    </w:p>
    <w:p w14:paraId="57C0B74F" w14:textId="77777777" w:rsidR="008401F4" w:rsidRPr="00DF1151" w:rsidRDefault="008401F4" w:rsidP="008401F4">
      <w:pPr>
        <w:spacing w:after="0"/>
        <w:rPr>
          <w:rFonts w:ascii="Times New Roman" w:hAnsi="Times New Roman" w:cs="Times New Roman"/>
          <w:sz w:val="24"/>
          <w:szCs w:val="24"/>
        </w:rPr>
      </w:pPr>
    </w:p>
    <w:p w14:paraId="41EF6585" w14:textId="77777777" w:rsidR="00C8460D" w:rsidRPr="00DF1151" w:rsidRDefault="00C8460D">
      <w:pPr>
        <w:rPr>
          <w:rFonts w:ascii="Times New Roman" w:hAnsi="Times New Roman" w:cs="Times New Roman"/>
          <w:b/>
          <w:bCs/>
          <w:sz w:val="24"/>
          <w:szCs w:val="24"/>
        </w:rPr>
      </w:pPr>
      <w:r w:rsidRPr="00DF1151">
        <w:rPr>
          <w:rFonts w:ascii="Times New Roman" w:hAnsi="Times New Roman" w:cs="Times New Roman"/>
          <w:b/>
          <w:bCs/>
          <w:sz w:val="24"/>
          <w:szCs w:val="24"/>
        </w:rPr>
        <w:br w:type="page"/>
      </w:r>
    </w:p>
    <w:p w14:paraId="092E10B5" w14:textId="77777777" w:rsidR="00BA5EC0" w:rsidRPr="00FE78EE" w:rsidRDefault="00BA5EC0" w:rsidP="00BA5EC0">
      <w:pPr>
        <w:pStyle w:val="ListParagraph"/>
        <w:spacing w:before="240"/>
        <w:ind w:left="0"/>
        <w:rPr>
          <w:rFonts w:ascii="Times New Roman" w:hAnsi="Times New Roman"/>
          <w:b/>
          <w:sz w:val="24"/>
          <w:szCs w:val="24"/>
        </w:rPr>
      </w:pPr>
      <w:r w:rsidRPr="00FE78EE">
        <w:rPr>
          <w:rFonts w:ascii="Times New Roman" w:hAnsi="Times New Roman"/>
          <w:b/>
          <w:sz w:val="24"/>
          <w:szCs w:val="24"/>
        </w:rPr>
        <w:lastRenderedPageBreak/>
        <w:t>Literature Cited</w:t>
      </w:r>
    </w:p>
    <w:p w14:paraId="4743B5BD" w14:textId="77777777" w:rsidR="00BA5EC0" w:rsidRPr="00FE78EE" w:rsidRDefault="00BA5EC0" w:rsidP="00BA5EC0">
      <w:pPr>
        <w:autoSpaceDE w:val="0"/>
        <w:autoSpaceDN w:val="0"/>
        <w:adjustRightInd w:val="0"/>
        <w:spacing w:after="0" w:line="240" w:lineRule="auto"/>
        <w:rPr>
          <w:rFonts w:ascii="Times New Roman" w:hAnsi="Times New Roman"/>
          <w:color w:val="000000"/>
          <w:sz w:val="24"/>
          <w:szCs w:val="24"/>
        </w:rPr>
      </w:pPr>
      <w:r w:rsidRPr="00FE78EE">
        <w:rPr>
          <w:rFonts w:ascii="Times New Roman" w:hAnsi="Times New Roman"/>
          <w:color w:val="000000"/>
          <w:sz w:val="24"/>
          <w:szCs w:val="24"/>
        </w:rPr>
        <w:t>Allendorf, F. W., and N. Ryman. 2002. The role of genetics in population viability analysis. Pages 50-85 in Population viability analysis. S.R. Bessinger, and D.R. McCullough, editors. University of Chicago Press, Chicago, Illinois, USA.</w:t>
      </w:r>
    </w:p>
    <w:p w14:paraId="52E4E781" w14:textId="77777777" w:rsidR="00DA1B91" w:rsidRDefault="00DA1B91" w:rsidP="00BA5EC0">
      <w:pPr>
        <w:autoSpaceDE w:val="0"/>
        <w:autoSpaceDN w:val="0"/>
        <w:adjustRightInd w:val="0"/>
        <w:spacing w:after="0" w:line="240" w:lineRule="auto"/>
        <w:rPr>
          <w:rFonts w:ascii="Times New Roman" w:hAnsi="Times New Roman"/>
          <w:sz w:val="24"/>
          <w:szCs w:val="24"/>
        </w:rPr>
      </w:pPr>
    </w:p>
    <w:p w14:paraId="77491B01" w14:textId="3CEFB44E" w:rsidR="00BA5EC0" w:rsidRPr="00FE78EE" w:rsidRDefault="00BA5EC0" w:rsidP="00BA5EC0">
      <w:pPr>
        <w:autoSpaceDE w:val="0"/>
        <w:autoSpaceDN w:val="0"/>
        <w:adjustRightInd w:val="0"/>
        <w:spacing w:after="0" w:line="240" w:lineRule="auto"/>
        <w:rPr>
          <w:rFonts w:ascii="Times New Roman" w:eastAsia="TTE1DB0090t00" w:hAnsi="Times New Roman"/>
          <w:sz w:val="24"/>
          <w:szCs w:val="24"/>
        </w:rPr>
      </w:pPr>
      <w:r w:rsidRPr="00FE78EE">
        <w:rPr>
          <w:rFonts w:ascii="Times New Roman" w:eastAsia="TTE1DB0090t00" w:hAnsi="Times New Roman"/>
          <w:sz w:val="24"/>
          <w:szCs w:val="24"/>
        </w:rPr>
        <w:t>Beissinger, S. R. 2002. Population viability analysis: past, present and future. Pages 5-17 in</w:t>
      </w:r>
    </w:p>
    <w:p w14:paraId="4A9DF484" w14:textId="77777777" w:rsidR="00BA5EC0" w:rsidRPr="00FE78EE" w:rsidRDefault="00BA5EC0" w:rsidP="00BA5EC0">
      <w:pPr>
        <w:autoSpaceDE w:val="0"/>
        <w:autoSpaceDN w:val="0"/>
        <w:adjustRightInd w:val="0"/>
        <w:spacing w:after="0" w:line="240" w:lineRule="auto"/>
        <w:rPr>
          <w:rFonts w:ascii="Times New Roman" w:eastAsia="TTE1DB0090t00" w:hAnsi="Times New Roman"/>
          <w:sz w:val="24"/>
          <w:szCs w:val="24"/>
        </w:rPr>
      </w:pPr>
      <w:r w:rsidRPr="00FE78EE">
        <w:rPr>
          <w:rFonts w:ascii="Times New Roman" w:eastAsia="TTE1DB0090t00" w:hAnsi="Times New Roman"/>
          <w:sz w:val="24"/>
          <w:szCs w:val="24"/>
        </w:rPr>
        <w:t>Population Viability Analysis. S. R. Beissinger, and D. R. McCullough, editors. University of</w:t>
      </w:r>
    </w:p>
    <w:p w14:paraId="28BA4F3C" w14:textId="77777777" w:rsidR="00BA5EC0" w:rsidRPr="00FE78EE" w:rsidRDefault="00BA5EC0" w:rsidP="00BA5EC0">
      <w:pPr>
        <w:autoSpaceDE w:val="0"/>
        <w:autoSpaceDN w:val="0"/>
        <w:adjustRightInd w:val="0"/>
        <w:spacing w:after="0" w:line="240" w:lineRule="auto"/>
        <w:rPr>
          <w:rFonts w:ascii="Times New Roman" w:hAnsi="Times New Roman"/>
          <w:color w:val="000000"/>
          <w:sz w:val="24"/>
          <w:szCs w:val="24"/>
        </w:rPr>
      </w:pPr>
      <w:r w:rsidRPr="00FE78EE">
        <w:rPr>
          <w:rFonts w:ascii="Times New Roman" w:eastAsia="TTE1DB0090t00" w:hAnsi="Times New Roman"/>
          <w:sz w:val="24"/>
          <w:szCs w:val="24"/>
        </w:rPr>
        <w:t>Chicago Press, Chicago, Illinois, USA.</w:t>
      </w:r>
    </w:p>
    <w:p w14:paraId="06F8A873" w14:textId="77777777" w:rsidR="00BA5EC0" w:rsidRPr="00FE78EE" w:rsidRDefault="00BA5EC0" w:rsidP="00BA5EC0">
      <w:pPr>
        <w:pStyle w:val="ListParagraph"/>
        <w:spacing w:before="240" w:line="240" w:lineRule="auto"/>
        <w:ind w:left="0"/>
        <w:rPr>
          <w:rFonts w:ascii="Times New Roman" w:hAnsi="Times New Roman"/>
          <w:sz w:val="24"/>
          <w:szCs w:val="24"/>
        </w:rPr>
      </w:pPr>
      <w:r w:rsidRPr="00FE78EE">
        <w:rPr>
          <w:rFonts w:ascii="Times New Roman" w:hAnsi="Times New Roman"/>
          <w:sz w:val="24"/>
          <w:szCs w:val="24"/>
        </w:rPr>
        <w:t>Bull, E.L., R.S. Holthausen, and M.G. Henjum. 1992. Roost trees used by Pileated Woodpeckers in northeastern Oregon. Journal of Wildlife Management 56: 786- 793.</w:t>
      </w:r>
    </w:p>
    <w:p w14:paraId="0C62EB7E" w14:textId="77777777" w:rsidR="00BA5EC0" w:rsidRPr="00FE78EE" w:rsidRDefault="00BA5EC0" w:rsidP="00BA5EC0">
      <w:pPr>
        <w:autoSpaceDE w:val="0"/>
        <w:autoSpaceDN w:val="0"/>
        <w:adjustRightInd w:val="0"/>
        <w:spacing w:after="0" w:line="240" w:lineRule="auto"/>
        <w:rPr>
          <w:rFonts w:ascii="Times New Roman" w:eastAsia="TTE1DB0090t00" w:hAnsi="Times New Roman"/>
          <w:sz w:val="24"/>
          <w:szCs w:val="24"/>
        </w:rPr>
      </w:pPr>
      <w:r w:rsidRPr="00FE78EE">
        <w:rPr>
          <w:rFonts w:ascii="Times New Roman" w:eastAsia="TTE1DB0090t00" w:hAnsi="Times New Roman"/>
          <w:sz w:val="24"/>
          <w:szCs w:val="24"/>
        </w:rPr>
        <w:t>Bull, E. L., and R. S. Holthausen. 1993. Habitat use and management of pileated woodpeckers in northeastern Oregon. Journal of Wildlife Management 57: 335-345.</w:t>
      </w:r>
    </w:p>
    <w:p w14:paraId="49F0FE97" w14:textId="77777777" w:rsidR="00BA5EC0" w:rsidRPr="00FE78EE" w:rsidRDefault="00BA5EC0" w:rsidP="00BA5EC0">
      <w:pPr>
        <w:autoSpaceDE w:val="0"/>
        <w:autoSpaceDN w:val="0"/>
        <w:adjustRightInd w:val="0"/>
        <w:spacing w:after="0" w:line="240" w:lineRule="auto"/>
        <w:rPr>
          <w:rFonts w:ascii="Times New Roman" w:eastAsia="TTE1DB0090t00" w:hAnsi="Times New Roman"/>
          <w:sz w:val="24"/>
          <w:szCs w:val="24"/>
        </w:rPr>
      </w:pPr>
    </w:p>
    <w:p w14:paraId="3D63BB13" w14:textId="77777777" w:rsidR="00BA5EC0" w:rsidRDefault="00BA5EC0" w:rsidP="00BA5EC0">
      <w:pPr>
        <w:autoSpaceDE w:val="0"/>
        <w:autoSpaceDN w:val="0"/>
        <w:adjustRightInd w:val="0"/>
        <w:spacing w:after="0" w:line="240" w:lineRule="auto"/>
        <w:rPr>
          <w:rFonts w:ascii="Times New Roman" w:hAnsi="Times New Roman"/>
          <w:sz w:val="24"/>
          <w:szCs w:val="24"/>
        </w:rPr>
      </w:pPr>
      <w:r w:rsidRPr="00FE78EE">
        <w:rPr>
          <w:rFonts w:ascii="Times New Roman" w:hAnsi="Times New Roman"/>
          <w:sz w:val="24"/>
          <w:szCs w:val="24"/>
        </w:rPr>
        <w:t>Bull, E. L. and T. W. Heater. 2000. Resting and denning sites of American martens in northeastern Oregon. Northwest Science, 74(3): 179-185</w:t>
      </w:r>
    </w:p>
    <w:p w14:paraId="360CA809" w14:textId="77777777" w:rsidR="00BA5EC0" w:rsidRPr="00FE78EE" w:rsidRDefault="00BA5EC0" w:rsidP="00BA5EC0">
      <w:pPr>
        <w:autoSpaceDE w:val="0"/>
        <w:autoSpaceDN w:val="0"/>
        <w:adjustRightInd w:val="0"/>
        <w:spacing w:after="0" w:line="240" w:lineRule="auto"/>
        <w:rPr>
          <w:rFonts w:ascii="Times New Roman" w:hAnsi="Times New Roman"/>
          <w:sz w:val="24"/>
          <w:szCs w:val="24"/>
        </w:rPr>
      </w:pPr>
    </w:p>
    <w:p w14:paraId="1E973CD6" w14:textId="77777777" w:rsidR="00BA5EC0" w:rsidRPr="00FE78EE" w:rsidRDefault="00BA5EC0" w:rsidP="00BA5EC0">
      <w:pPr>
        <w:autoSpaceDE w:val="0"/>
        <w:autoSpaceDN w:val="0"/>
        <w:adjustRightInd w:val="0"/>
        <w:spacing w:after="0" w:line="240" w:lineRule="auto"/>
        <w:rPr>
          <w:rFonts w:ascii="Times New Roman" w:hAnsi="Times New Roman"/>
          <w:sz w:val="24"/>
          <w:szCs w:val="24"/>
        </w:rPr>
      </w:pPr>
      <w:r w:rsidRPr="00FE78EE">
        <w:rPr>
          <w:rFonts w:ascii="Times New Roman" w:hAnsi="Times New Roman"/>
          <w:sz w:val="24"/>
          <w:szCs w:val="24"/>
        </w:rPr>
        <w:t>Bull, E. L., N. Nielsen-Pincus, B.C. Wales, and J.L. Hayes. 2007. The influence of disturbance events on pileated woodpeckers in Northeastern Oregon.  Forest Ecology and Management 243:320-329.</w:t>
      </w:r>
    </w:p>
    <w:p w14:paraId="2B058FDF" w14:textId="77777777" w:rsidR="00BA5EC0" w:rsidRPr="00FE78EE" w:rsidRDefault="00BA5EC0" w:rsidP="00BA5EC0">
      <w:pPr>
        <w:autoSpaceDE w:val="0"/>
        <w:autoSpaceDN w:val="0"/>
        <w:adjustRightInd w:val="0"/>
        <w:spacing w:after="0" w:line="240" w:lineRule="auto"/>
        <w:rPr>
          <w:rFonts w:ascii="Times New Roman" w:eastAsia="TTE1DB0090t00" w:hAnsi="Times New Roman"/>
          <w:sz w:val="24"/>
          <w:szCs w:val="24"/>
        </w:rPr>
      </w:pPr>
    </w:p>
    <w:p w14:paraId="693E77CF" w14:textId="5E3E3DFD" w:rsidR="00BA5EC0" w:rsidRDefault="00BA5EC0" w:rsidP="00BA5EC0">
      <w:pPr>
        <w:spacing w:line="240" w:lineRule="auto"/>
        <w:rPr>
          <w:rFonts w:ascii="Times New Roman" w:hAnsi="Times New Roman"/>
          <w:sz w:val="24"/>
          <w:szCs w:val="24"/>
        </w:rPr>
      </w:pPr>
      <w:r w:rsidRPr="00FE78EE">
        <w:rPr>
          <w:rFonts w:ascii="Times New Roman" w:hAnsi="Times New Roman"/>
          <w:sz w:val="24"/>
          <w:szCs w:val="24"/>
        </w:rPr>
        <w:t>Buskirk, S.W. and L.L. McDonald. 1989. Analysis of variability in home-range size of the American marten. Journal of Wildlife Management 53: 997-1004.</w:t>
      </w:r>
    </w:p>
    <w:p w14:paraId="32AD8C02" w14:textId="77777777" w:rsidR="00ED3293" w:rsidRDefault="00ED3293" w:rsidP="00ED3293">
      <w:pPr>
        <w:autoSpaceDE w:val="0"/>
        <w:autoSpaceDN w:val="0"/>
        <w:adjustRightInd w:val="0"/>
        <w:spacing w:after="0" w:line="276" w:lineRule="auto"/>
        <w:rPr>
          <w:rFonts w:ascii="Times New Roman" w:eastAsia="Times New Roman" w:hAnsi="Times New Roman" w:cs="Times New Roman"/>
          <w:sz w:val="24"/>
          <w:szCs w:val="24"/>
        </w:rPr>
      </w:pPr>
      <w:r w:rsidRPr="00ED3293">
        <w:rPr>
          <w:rFonts w:ascii="Times New Roman" w:eastAsia="Times New Roman" w:hAnsi="Times New Roman" w:cs="Times New Roman"/>
          <w:sz w:val="24"/>
          <w:szCs w:val="24"/>
        </w:rPr>
        <w:t>Bush, R, 2006. Detailed Estimates of Old Growth on the Clearwater National Forest. Report -USFS Northern Region.</w:t>
      </w:r>
    </w:p>
    <w:p w14:paraId="3FD355DE" w14:textId="77777777" w:rsidR="00ED3293" w:rsidRDefault="00ED3293" w:rsidP="00ED3293">
      <w:pPr>
        <w:autoSpaceDE w:val="0"/>
        <w:autoSpaceDN w:val="0"/>
        <w:adjustRightInd w:val="0"/>
        <w:spacing w:after="0" w:line="276" w:lineRule="auto"/>
        <w:rPr>
          <w:rFonts w:ascii="Times New Roman" w:eastAsia="Times New Roman" w:hAnsi="Times New Roman" w:cs="Times New Roman"/>
          <w:sz w:val="24"/>
          <w:szCs w:val="24"/>
        </w:rPr>
      </w:pPr>
    </w:p>
    <w:p w14:paraId="6050F819" w14:textId="77777777" w:rsidR="00ED3293" w:rsidRDefault="00BA5EC0" w:rsidP="00ED3293">
      <w:pPr>
        <w:autoSpaceDE w:val="0"/>
        <w:autoSpaceDN w:val="0"/>
        <w:adjustRightInd w:val="0"/>
        <w:spacing w:after="0" w:line="276" w:lineRule="auto"/>
        <w:rPr>
          <w:rFonts w:ascii="Times New Roman" w:hAnsi="Times New Roman"/>
          <w:sz w:val="24"/>
          <w:szCs w:val="24"/>
        </w:rPr>
      </w:pPr>
      <w:r w:rsidRPr="00FE78EE">
        <w:rPr>
          <w:rFonts w:ascii="Times New Roman" w:hAnsi="Times New Roman"/>
          <w:sz w:val="24"/>
          <w:szCs w:val="24"/>
        </w:rPr>
        <w:t xml:space="preserve">Bush R., and Lundberg R. 2008. Wildlife habitat estimate updates for the Region One Conservation Assessment: Region One Vegetation Classification, Mapping, Inventory and </w:t>
      </w:r>
      <w:r w:rsidRPr="00AB18C2">
        <w:rPr>
          <w:rFonts w:ascii="Times New Roman" w:hAnsi="Times New Roman"/>
          <w:sz w:val="24"/>
          <w:szCs w:val="24"/>
        </w:rPr>
        <w:t>Analysis Report 08-04 v1.0</w:t>
      </w:r>
    </w:p>
    <w:p w14:paraId="1C872E0C" w14:textId="2991FAD8" w:rsidR="00BA5EC0" w:rsidRPr="00ED3293" w:rsidRDefault="00BA5EC0" w:rsidP="00ED3293">
      <w:pPr>
        <w:autoSpaceDE w:val="0"/>
        <w:autoSpaceDN w:val="0"/>
        <w:adjustRightInd w:val="0"/>
        <w:spacing w:after="0" w:line="276" w:lineRule="auto"/>
        <w:rPr>
          <w:rFonts w:ascii="Times New Roman" w:eastAsia="Times New Roman" w:hAnsi="Times New Roman" w:cs="Times New Roman"/>
          <w:sz w:val="24"/>
          <w:szCs w:val="24"/>
        </w:rPr>
      </w:pPr>
      <w:r w:rsidRPr="00AB18C2">
        <w:rPr>
          <w:rFonts w:ascii="Times New Roman" w:hAnsi="Times New Roman"/>
          <w:sz w:val="24"/>
          <w:szCs w:val="24"/>
        </w:rPr>
        <w:t xml:space="preserve">  </w:t>
      </w:r>
    </w:p>
    <w:p w14:paraId="1D07D189" w14:textId="77777777" w:rsidR="00BA5EC0" w:rsidRPr="00FE78EE" w:rsidRDefault="00BA5EC0" w:rsidP="00BA5EC0">
      <w:pPr>
        <w:spacing w:after="0" w:line="240" w:lineRule="auto"/>
        <w:rPr>
          <w:rFonts w:ascii="Times New Roman" w:hAnsi="Times New Roman"/>
          <w:sz w:val="24"/>
          <w:szCs w:val="24"/>
        </w:rPr>
      </w:pPr>
      <w:r w:rsidRPr="00AB18C2">
        <w:rPr>
          <w:rFonts w:ascii="Times New Roman" w:hAnsi="Times New Roman"/>
          <w:sz w:val="24"/>
          <w:szCs w:val="24"/>
        </w:rPr>
        <w:t>Chapin, T. G., D. J. Harrison, and D. D. Katnik. 1998. Influence of landscape pattern on habitat use</w:t>
      </w:r>
      <w:r w:rsidRPr="00FE78EE">
        <w:rPr>
          <w:rFonts w:ascii="Times New Roman" w:hAnsi="Times New Roman"/>
          <w:sz w:val="24"/>
          <w:szCs w:val="24"/>
        </w:rPr>
        <w:t xml:space="preserve"> by American marten in an industrial forest. Conservation Biology 12:96-227.</w:t>
      </w:r>
    </w:p>
    <w:p w14:paraId="4FFE33EF" w14:textId="77777777" w:rsidR="00BA5EC0" w:rsidRPr="00FE78EE" w:rsidRDefault="00BA5EC0" w:rsidP="00BA5EC0">
      <w:pPr>
        <w:spacing w:after="0" w:line="240" w:lineRule="auto"/>
        <w:rPr>
          <w:rFonts w:ascii="Times New Roman" w:hAnsi="Times New Roman"/>
          <w:sz w:val="24"/>
          <w:szCs w:val="24"/>
        </w:rPr>
      </w:pPr>
    </w:p>
    <w:p w14:paraId="661B3662" w14:textId="77777777" w:rsidR="00BA5EC0" w:rsidRDefault="00BA5EC0" w:rsidP="00BA5EC0">
      <w:pPr>
        <w:spacing w:after="0"/>
        <w:jc w:val="both"/>
        <w:rPr>
          <w:rFonts w:ascii="Times New Roman" w:hAnsi="Times New Roman"/>
          <w:sz w:val="24"/>
          <w:szCs w:val="24"/>
        </w:rPr>
      </w:pPr>
      <w:r w:rsidRPr="00FE78EE">
        <w:rPr>
          <w:rFonts w:ascii="Times New Roman" w:hAnsi="Times New Roman"/>
          <w:sz w:val="24"/>
          <w:szCs w:val="24"/>
        </w:rPr>
        <w:t>Clough, Lorraine T. 2000. Nesting Habitat Selection and Productivity of Northern Goshawks in West Central Montana</w:t>
      </w:r>
    </w:p>
    <w:p w14:paraId="3D023048" w14:textId="77777777" w:rsidR="00BA5EC0" w:rsidRPr="00FE78EE" w:rsidRDefault="00BA5EC0" w:rsidP="00BA5EC0">
      <w:pPr>
        <w:spacing w:after="0"/>
        <w:jc w:val="both"/>
        <w:rPr>
          <w:rFonts w:ascii="Times New Roman" w:eastAsiaTheme="minorEastAsia" w:hAnsi="Times New Roman"/>
          <w:sz w:val="24"/>
          <w:szCs w:val="24"/>
        </w:rPr>
      </w:pPr>
    </w:p>
    <w:p w14:paraId="18031C77" w14:textId="77777777" w:rsidR="00BA5EC0" w:rsidRPr="00FE78EE" w:rsidRDefault="00BA5EC0" w:rsidP="00BA5EC0">
      <w:pPr>
        <w:spacing w:after="0"/>
        <w:jc w:val="both"/>
        <w:rPr>
          <w:rFonts w:ascii="Times New Roman" w:hAnsi="Times New Roman"/>
          <w:sz w:val="24"/>
          <w:szCs w:val="24"/>
        </w:rPr>
      </w:pPr>
      <w:r>
        <w:rPr>
          <w:rFonts w:ascii="Times New Roman" w:hAnsi="Times New Roman"/>
          <w:sz w:val="24"/>
          <w:szCs w:val="24"/>
        </w:rPr>
        <w:t>Coo</w:t>
      </w:r>
      <w:r w:rsidRPr="00FE78EE">
        <w:rPr>
          <w:rFonts w:ascii="Times New Roman" w:hAnsi="Times New Roman"/>
          <w:sz w:val="24"/>
          <w:szCs w:val="24"/>
        </w:rPr>
        <w:t>per, S. V., K. E. Neiman, and D.W. Roberts. 1991.  Forest habitat types of northern Idaho: a second approximation. U.S. Forest Service, Intermountain Research Station, General Technical Report INT-236.</w:t>
      </w:r>
    </w:p>
    <w:p w14:paraId="1572F082" w14:textId="77777777" w:rsidR="00BA5EC0" w:rsidRDefault="00BA5EC0" w:rsidP="00BA5EC0">
      <w:pPr>
        <w:spacing w:before="240" w:line="240" w:lineRule="auto"/>
        <w:contextualSpacing/>
        <w:rPr>
          <w:rFonts w:ascii="Times New Roman" w:hAnsi="Times New Roman"/>
          <w:sz w:val="24"/>
          <w:szCs w:val="24"/>
        </w:rPr>
      </w:pPr>
    </w:p>
    <w:p w14:paraId="49C3EA7B" w14:textId="77777777" w:rsidR="00BA5EC0" w:rsidRPr="00DF1151" w:rsidRDefault="00BA5EC0" w:rsidP="00BA5EC0">
      <w:pPr>
        <w:spacing w:after="0"/>
        <w:jc w:val="both"/>
        <w:rPr>
          <w:rFonts w:ascii="Times New Roman" w:eastAsiaTheme="minorEastAsia" w:hAnsi="Times New Roman" w:cs="Times New Roman"/>
          <w:sz w:val="24"/>
          <w:szCs w:val="24"/>
        </w:rPr>
      </w:pPr>
      <w:r w:rsidRPr="00DF1151">
        <w:rPr>
          <w:rFonts w:ascii="Times New Roman" w:eastAsiaTheme="minorEastAsia" w:hAnsi="Times New Roman" w:cs="Times New Roman"/>
          <w:sz w:val="24"/>
          <w:szCs w:val="24"/>
        </w:rPr>
        <w:t>Friends of the Clearwater. 2021.  Supersized-Clearcut Report.</w:t>
      </w:r>
    </w:p>
    <w:p w14:paraId="7C074221" w14:textId="77777777" w:rsidR="00BA5EC0" w:rsidRPr="00DF1151" w:rsidRDefault="00BA5EC0" w:rsidP="00BA5EC0">
      <w:pPr>
        <w:spacing w:after="0"/>
        <w:jc w:val="both"/>
        <w:rPr>
          <w:rFonts w:ascii="Times New Roman" w:eastAsiaTheme="minorEastAsia" w:hAnsi="Times New Roman" w:cs="Times New Roman"/>
          <w:sz w:val="24"/>
          <w:szCs w:val="24"/>
        </w:rPr>
      </w:pPr>
      <w:r w:rsidRPr="00DF1151">
        <w:rPr>
          <w:rFonts w:ascii="Times New Roman" w:eastAsiaTheme="minorEastAsia" w:hAnsi="Times New Roman" w:cs="Times New Roman"/>
          <w:sz w:val="24"/>
          <w:szCs w:val="24"/>
        </w:rPr>
        <w:t>https://www.friendsoftheclearwater.org/supersized-clearcut-report/</w:t>
      </w:r>
    </w:p>
    <w:p w14:paraId="265A4482" w14:textId="77777777" w:rsidR="00BA5EC0" w:rsidRPr="00AB18C2" w:rsidRDefault="00BA5EC0" w:rsidP="00BA5EC0">
      <w:pPr>
        <w:spacing w:before="240" w:line="240" w:lineRule="auto"/>
        <w:contextualSpacing/>
        <w:rPr>
          <w:rFonts w:ascii="Times New Roman" w:hAnsi="Times New Roman"/>
          <w:sz w:val="24"/>
          <w:szCs w:val="24"/>
        </w:rPr>
      </w:pPr>
    </w:p>
    <w:p w14:paraId="7002FD99" w14:textId="77777777" w:rsidR="00BA5EC0" w:rsidRDefault="00BA5EC0" w:rsidP="00BA5EC0">
      <w:pPr>
        <w:spacing w:before="240" w:line="240" w:lineRule="auto"/>
        <w:contextualSpacing/>
        <w:rPr>
          <w:rFonts w:ascii="Times New Roman" w:hAnsi="Times New Roman"/>
          <w:color w:val="000000"/>
          <w:sz w:val="24"/>
          <w:szCs w:val="24"/>
          <w:shd w:val="clear" w:color="auto" w:fill="FFFFFF"/>
        </w:rPr>
      </w:pPr>
      <w:r w:rsidRPr="00AB18C2">
        <w:rPr>
          <w:rFonts w:ascii="Times New Roman" w:hAnsi="Times New Roman"/>
          <w:bCs/>
          <w:color w:val="000000"/>
          <w:sz w:val="24"/>
          <w:szCs w:val="24"/>
          <w:shd w:val="clear" w:color="auto" w:fill="FFFFFF"/>
        </w:rPr>
        <w:lastRenderedPageBreak/>
        <w:t>Green, P., J. Joy, D. Sirucek, W. Hann, A. Zack, and B. Naumann.</w:t>
      </w:r>
      <w:r w:rsidRPr="00AB18C2">
        <w:rPr>
          <w:rFonts w:ascii="Times New Roman" w:hAnsi="Times New Roman"/>
          <w:color w:val="000000"/>
          <w:sz w:val="24"/>
          <w:szCs w:val="24"/>
          <w:shd w:val="clear" w:color="auto" w:fill="FFFFFF"/>
        </w:rPr>
        <w:t> 1992. </w:t>
      </w:r>
      <w:r w:rsidRPr="00AB18C2">
        <w:rPr>
          <w:rFonts w:ascii="Times New Roman" w:hAnsi="Times New Roman"/>
          <w:iCs/>
          <w:color w:val="000000"/>
          <w:sz w:val="24"/>
          <w:szCs w:val="24"/>
          <w:shd w:val="clear" w:color="auto" w:fill="FFFFFF"/>
        </w:rPr>
        <w:t>Old-growth forest types of the Northern Region.</w:t>
      </w:r>
      <w:r w:rsidRPr="00AB18C2">
        <w:rPr>
          <w:rFonts w:ascii="Times New Roman" w:hAnsi="Times New Roman"/>
          <w:color w:val="000000"/>
          <w:sz w:val="24"/>
          <w:szCs w:val="24"/>
          <w:shd w:val="clear" w:color="auto" w:fill="FFFFFF"/>
        </w:rPr>
        <w:t> U.S. Forest Service, Northern Region R1, Missoula, MT.</w:t>
      </w:r>
    </w:p>
    <w:p w14:paraId="6B32AA8C" w14:textId="77777777" w:rsidR="00BA5EC0" w:rsidRDefault="00BA5EC0" w:rsidP="00BA5EC0">
      <w:pPr>
        <w:spacing w:before="240" w:line="240" w:lineRule="auto"/>
        <w:contextualSpacing/>
        <w:rPr>
          <w:rFonts w:ascii="Times New Roman" w:hAnsi="Times New Roman"/>
          <w:color w:val="000000"/>
          <w:sz w:val="24"/>
          <w:szCs w:val="24"/>
          <w:shd w:val="clear" w:color="auto" w:fill="FFFFFF"/>
        </w:rPr>
      </w:pPr>
    </w:p>
    <w:p w14:paraId="063BCBEC" w14:textId="77777777" w:rsidR="00BA5EC0" w:rsidRPr="00DF1151" w:rsidRDefault="00BA5EC0" w:rsidP="00BA5EC0">
      <w:pPr>
        <w:autoSpaceDE w:val="0"/>
        <w:autoSpaceDN w:val="0"/>
        <w:adjustRightInd w:val="0"/>
        <w:spacing w:after="0"/>
        <w:rPr>
          <w:rFonts w:ascii="Times New Roman" w:hAnsi="Times New Roman" w:cs="Times New Roman"/>
          <w:color w:val="000000"/>
          <w:sz w:val="24"/>
          <w:szCs w:val="24"/>
        </w:rPr>
      </w:pPr>
      <w:r w:rsidRPr="00DF1151">
        <w:rPr>
          <w:rFonts w:ascii="Times New Roman" w:hAnsi="Times New Roman" w:cs="Times New Roman"/>
          <w:color w:val="000000"/>
          <w:sz w:val="24"/>
          <w:szCs w:val="24"/>
        </w:rPr>
        <w:t>Haig, I.T. 1932.  Second growth yield, stand and volume tables for the western white pine type. Technical Bulletin 323. United States Department of Agriculture, Washington, D.C.</w:t>
      </w:r>
    </w:p>
    <w:p w14:paraId="3DC7D6A3" w14:textId="77777777" w:rsidR="00BA5EC0" w:rsidRPr="00AB18C2" w:rsidRDefault="00BA5EC0" w:rsidP="00BA5EC0">
      <w:pPr>
        <w:autoSpaceDE w:val="0"/>
        <w:autoSpaceDN w:val="0"/>
        <w:adjustRightInd w:val="0"/>
        <w:spacing w:after="0" w:line="240" w:lineRule="auto"/>
        <w:rPr>
          <w:rFonts w:ascii="Times New Roman" w:hAnsi="Times New Roman"/>
          <w:color w:val="000000"/>
          <w:sz w:val="24"/>
          <w:szCs w:val="24"/>
        </w:rPr>
      </w:pPr>
    </w:p>
    <w:p w14:paraId="3681EF07" w14:textId="77777777" w:rsidR="00BA5EC0" w:rsidRPr="00FE78EE" w:rsidRDefault="00BA5EC0" w:rsidP="00BA5EC0">
      <w:pPr>
        <w:spacing w:before="240" w:line="240" w:lineRule="auto"/>
        <w:contextualSpacing/>
        <w:rPr>
          <w:rFonts w:ascii="Times New Roman" w:hAnsi="Times New Roman"/>
          <w:sz w:val="24"/>
          <w:szCs w:val="24"/>
        </w:rPr>
      </w:pPr>
      <w:r w:rsidRPr="00FE78EE">
        <w:rPr>
          <w:rFonts w:ascii="Times New Roman" w:hAnsi="Times New Roman"/>
          <w:sz w:val="24"/>
          <w:szCs w:val="24"/>
        </w:rPr>
        <w:t>Hargis, C. D., J. A. Bissonette, and D. L. Turner. 1999. The influence of forest fragmentation and landscape pattern on American martens. Journal of Applied Ecology 36: 157-172.</w:t>
      </w:r>
    </w:p>
    <w:p w14:paraId="31BBA1C8" w14:textId="77777777" w:rsidR="00BA5EC0" w:rsidRPr="00FE78EE" w:rsidRDefault="00BA5EC0" w:rsidP="00BA5EC0">
      <w:pPr>
        <w:spacing w:before="240" w:line="240" w:lineRule="auto"/>
        <w:contextualSpacing/>
        <w:rPr>
          <w:rFonts w:ascii="Times New Roman" w:hAnsi="Times New Roman"/>
          <w:sz w:val="24"/>
          <w:szCs w:val="24"/>
        </w:rPr>
      </w:pPr>
    </w:p>
    <w:p w14:paraId="063A3F04" w14:textId="77777777" w:rsidR="00BA5EC0" w:rsidRPr="00FE78EE" w:rsidRDefault="00BA5EC0" w:rsidP="00BA5EC0">
      <w:pPr>
        <w:autoSpaceDE w:val="0"/>
        <w:autoSpaceDN w:val="0"/>
        <w:adjustRightInd w:val="0"/>
        <w:spacing w:after="0" w:line="240" w:lineRule="auto"/>
        <w:rPr>
          <w:rFonts w:ascii="Times New Roman" w:hAnsi="Times New Roman"/>
          <w:sz w:val="24"/>
          <w:szCs w:val="24"/>
        </w:rPr>
      </w:pPr>
      <w:r w:rsidRPr="00FE78EE">
        <w:rPr>
          <w:rFonts w:ascii="Times New Roman" w:hAnsi="Times New Roman"/>
          <w:sz w:val="24"/>
          <w:szCs w:val="24"/>
        </w:rPr>
        <w:t xml:space="preserve">Hayward, G.D. and R.E. Escano. 1989. Goshawk nest-site characteristics in western Montana and northern Idaho. Condor 91:476–479. </w:t>
      </w:r>
    </w:p>
    <w:p w14:paraId="1C2B969D" w14:textId="2D82F6F0" w:rsidR="00BA5EC0" w:rsidRPr="00DA1B91" w:rsidRDefault="0097385F" w:rsidP="00DA1B91">
      <w:pPr>
        <w:pStyle w:val="ListParagraph"/>
        <w:spacing w:before="240" w:line="240" w:lineRule="auto"/>
        <w:ind w:left="0"/>
        <w:rPr>
          <w:rFonts w:ascii="Times New Roman" w:hAnsi="Times New Roman" w:cs="Times New Roman"/>
          <w:sz w:val="24"/>
          <w:szCs w:val="24"/>
        </w:rPr>
      </w:pPr>
      <w:r w:rsidRPr="00A56E2C">
        <w:rPr>
          <w:rFonts w:ascii="Times New Roman" w:hAnsi="Times New Roman" w:cs="Times New Roman"/>
          <w:sz w:val="24"/>
          <w:szCs w:val="24"/>
        </w:rPr>
        <w:t>Jones, R.M., and P.L Murphy. 1997. Watershed condition: Clearwater National Forest.</w:t>
      </w:r>
    </w:p>
    <w:p w14:paraId="109F6B73" w14:textId="0515EF2E" w:rsidR="00BA5EC0" w:rsidRPr="00BA5EC0" w:rsidRDefault="00BA5EC0" w:rsidP="00BA5EC0">
      <w:pPr>
        <w:shd w:val="clear" w:color="auto" w:fill="FFFFFF"/>
        <w:spacing w:after="0"/>
        <w:outlineLvl w:val="0"/>
        <w:rPr>
          <w:rFonts w:ascii="Times New Roman" w:hAnsi="Times New Roman" w:cs="Times New Roman"/>
          <w:kern w:val="36"/>
          <w:sz w:val="24"/>
          <w:szCs w:val="24"/>
        </w:rPr>
      </w:pPr>
      <w:r w:rsidRPr="00DF1151">
        <w:rPr>
          <w:rFonts w:ascii="Times New Roman" w:hAnsi="Times New Roman" w:cs="Times New Roman"/>
          <w:kern w:val="36"/>
          <w:sz w:val="24"/>
          <w:szCs w:val="24"/>
        </w:rPr>
        <w:t xml:space="preserve">Juel, J. 2021.  </w:t>
      </w:r>
      <w:r w:rsidRPr="00DF1151">
        <w:rPr>
          <w:rFonts w:ascii="Times New Roman" w:hAnsi="Times New Roman" w:cs="Times New Roman"/>
          <w:sz w:val="24"/>
          <w:szCs w:val="24"/>
        </w:rPr>
        <w:t>Management of Old Growth in the U.S. Northern Rocky Mountains.  Friends of the Clearwater Staff Report.</w:t>
      </w:r>
      <w:r w:rsidRPr="00DF1151">
        <w:rPr>
          <w:rFonts w:ascii="Times New Roman" w:hAnsi="Times New Roman" w:cs="Times New Roman"/>
          <w:kern w:val="36"/>
          <w:sz w:val="24"/>
          <w:szCs w:val="24"/>
        </w:rPr>
        <w:t xml:space="preserve"> https://www.friendsoftheclearwater.org/wp-content/uploads/2021/11/Juel_2021-Old-Growth.pdf</w:t>
      </w:r>
    </w:p>
    <w:p w14:paraId="27841479" w14:textId="77777777" w:rsidR="00BA5EC0" w:rsidRDefault="00BA5EC0" w:rsidP="00BA5EC0">
      <w:pPr>
        <w:autoSpaceDE w:val="0"/>
        <w:autoSpaceDN w:val="0"/>
        <w:adjustRightInd w:val="0"/>
        <w:spacing w:after="0"/>
        <w:rPr>
          <w:rFonts w:ascii="Times New Roman" w:eastAsia="TTE1DB0090t00" w:hAnsi="Times New Roman"/>
          <w:sz w:val="24"/>
          <w:szCs w:val="24"/>
        </w:rPr>
      </w:pPr>
    </w:p>
    <w:p w14:paraId="11123935" w14:textId="77777777" w:rsidR="00BA5EC0" w:rsidRPr="00FE78EE" w:rsidRDefault="00BA5EC0" w:rsidP="00BA5EC0">
      <w:pPr>
        <w:spacing w:before="240"/>
        <w:contextualSpacing/>
        <w:rPr>
          <w:rFonts w:ascii="Times New Roman" w:hAnsi="Times New Roman"/>
          <w:sz w:val="24"/>
          <w:szCs w:val="24"/>
        </w:rPr>
      </w:pPr>
      <w:r w:rsidRPr="00FE78EE">
        <w:rPr>
          <w:rFonts w:ascii="Times New Roman" w:eastAsia="Calibri" w:hAnsi="Times New Roman"/>
          <w:sz w:val="24"/>
          <w:szCs w:val="24"/>
        </w:rPr>
        <w:t>Koehler, G. H. and M. G. Hornocker. 1977. Fire effects on marten habitat in the Selway Bitterroot Wilderness. Journal of Wildlife Management. 41: 500-505.</w:t>
      </w:r>
    </w:p>
    <w:p w14:paraId="704848BE" w14:textId="77777777" w:rsidR="00BA5EC0" w:rsidRDefault="00BA5EC0" w:rsidP="00BA5EC0">
      <w:pPr>
        <w:autoSpaceDE w:val="0"/>
        <w:autoSpaceDN w:val="0"/>
        <w:adjustRightInd w:val="0"/>
        <w:spacing w:after="0"/>
        <w:rPr>
          <w:rFonts w:ascii="Times New Roman" w:hAnsi="Times New Roman"/>
          <w:sz w:val="24"/>
          <w:szCs w:val="24"/>
        </w:rPr>
      </w:pPr>
    </w:p>
    <w:p w14:paraId="201B86C7" w14:textId="77777777" w:rsidR="00BA5EC0" w:rsidRPr="00FE78EE" w:rsidRDefault="00BA5EC0" w:rsidP="00BA5EC0">
      <w:pPr>
        <w:autoSpaceDE w:val="0"/>
        <w:autoSpaceDN w:val="0"/>
        <w:adjustRightInd w:val="0"/>
        <w:spacing w:after="0" w:line="240" w:lineRule="auto"/>
        <w:rPr>
          <w:rFonts w:ascii="Times New Roman" w:eastAsia="TTE1DB0090t00" w:hAnsi="Times New Roman"/>
          <w:sz w:val="24"/>
          <w:szCs w:val="24"/>
        </w:rPr>
      </w:pPr>
      <w:r w:rsidRPr="00FE78EE">
        <w:rPr>
          <w:rFonts w:ascii="Times New Roman" w:eastAsia="TTE1DB0090t00" w:hAnsi="Times New Roman"/>
          <w:sz w:val="24"/>
          <w:szCs w:val="24"/>
        </w:rPr>
        <w:t>McClelland, B. R., and P. T. McClelland. 1999. Pileated woodpecker nest and roost trees in Montana: links with old growth and forest "health." Wildlife Society Bulletin 27: 846- 857.</w:t>
      </w:r>
    </w:p>
    <w:p w14:paraId="7F447BF0" w14:textId="77777777" w:rsidR="00DA1B91" w:rsidRDefault="00DA1B91" w:rsidP="00BA5EC0">
      <w:pPr>
        <w:autoSpaceDE w:val="0"/>
        <w:autoSpaceDN w:val="0"/>
        <w:adjustRightInd w:val="0"/>
        <w:spacing w:after="0"/>
        <w:rPr>
          <w:rFonts w:ascii="Times New Roman" w:hAnsi="Times New Roman"/>
          <w:bCs/>
          <w:color w:val="000000"/>
          <w:kern w:val="36"/>
          <w:sz w:val="24"/>
          <w:szCs w:val="24"/>
        </w:rPr>
      </w:pPr>
    </w:p>
    <w:p w14:paraId="77CCEDEF" w14:textId="14DD0CE5" w:rsidR="00BA5EC0" w:rsidRPr="00FE78EE" w:rsidRDefault="00BA5EC0" w:rsidP="00BA5EC0">
      <w:pPr>
        <w:autoSpaceDE w:val="0"/>
        <w:autoSpaceDN w:val="0"/>
        <w:adjustRightInd w:val="0"/>
        <w:spacing w:after="0"/>
        <w:rPr>
          <w:rFonts w:ascii="Times New Roman" w:eastAsia="TTE1DB0090t00" w:hAnsi="Times New Roman"/>
          <w:sz w:val="24"/>
          <w:szCs w:val="24"/>
        </w:rPr>
      </w:pPr>
      <w:r w:rsidRPr="00FE78EE">
        <w:rPr>
          <w:rFonts w:ascii="Times New Roman" w:eastAsia="TTE1DB0090t00" w:hAnsi="Times New Roman"/>
          <w:sz w:val="24"/>
          <w:szCs w:val="24"/>
        </w:rPr>
        <w:t>Mellen, T. K., C. E. Meslow, and R. W. Mannan. 1992. Summertime home range and habitat</w:t>
      </w:r>
    </w:p>
    <w:p w14:paraId="0BD0EC34" w14:textId="77777777" w:rsidR="00BA5EC0" w:rsidRPr="00FE78EE" w:rsidRDefault="00BA5EC0" w:rsidP="00BA5EC0">
      <w:pPr>
        <w:autoSpaceDE w:val="0"/>
        <w:autoSpaceDN w:val="0"/>
        <w:adjustRightInd w:val="0"/>
        <w:spacing w:after="0"/>
        <w:rPr>
          <w:rFonts w:ascii="Times New Roman" w:eastAsia="TTE1DB0090t00" w:hAnsi="Times New Roman"/>
          <w:sz w:val="24"/>
          <w:szCs w:val="24"/>
        </w:rPr>
      </w:pPr>
      <w:r w:rsidRPr="00FE78EE">
        <w:rPr>
          <w:rFonts w:ascii="Times New Roman" w:eastAsia="TTE1DB0090t00" w:hAnsi="Times New Roman"/>
          <w:sz w:val="24"/>
          <w:szCs w:val="24"/>
        </w:rPr>
        <w:t>use of pileated woodpeckers in Western Oregon. Journal of Wildlife Management 56: 96-103.</w:t>
      </w:r>
    </w:p>
    <w:p w14:paraId="69023C76" w14:textId="77777777" w:rsidR="00BA5EC0" w:rsidRPr="00FE78EE" w:rsidRDefault="00BA5EC0" w:rsidP="00BA5EC0">
      <w:pPr>
        <w:autoSpaceDE w:val="0"/>
        <w:autoSpaceDN w:val="0"/>
        <w:adjustRightInd w:val="0"/>
        <w:spacing w:after="0"/>
        <w:rPr>
          <w:rFonts w:ascii="Times New Roman" w:eastAsia="TTE1DB0090t00" w:hAnsi="Times New Roman"/>
          <w:sz w:val="24"/>
          <w:szCs w:val="24"/>
        </w:rPr>
      </w:pPr>
    </w:p>
    <w:p w14:paraId="15D67634" w14:textId="77777777" w:rsidR="00BA5EC0" w:rsidRPr="00FE78EE" w:rsidRDefault="00BA5EC0" w:rsidP="00BA5EC0">
      <w:pPr>
        <w:autoSpaceDE w:val="0"/>
        <w:autoSpaceDN w:val="0"/>
        <w:adjustRightInd w:val="0"/>
        <w:spacing w:after="0"/>
        <w:rPr>
          <w:rFonts w:ascii="Times New Roman" w:eastAsia="TTE1DB0090t00" w:hAnsi="Times New Roman"/>
          <w:sz w:val="24"/>
          <w:szCs w:val="24"/>
        </w:rPr>
      </w:pPr>
      <w:r w:rsidRPr="00FE78EE">
        <w:rPr>
          <w:rFonts w:ascii="Times New Roman" w:eastAsia="TTE1DB0090t00" w:hAnsi="Times New Roman"/>
          <w:sz w:val="24"/>
          <w:szCs w:val="24"/>
        </w:rPr>
        <w:t>Mills, L. S. 2007.  Conservation of wildlife populations: demography, genetics and management. Blackwell Publishing, Malden, MA, USA</w:t>
      </w:r>
    </w:p>
    <w:p w14:paraId="5F815B9E" w14:textId="77777777" w:rsidR="00BA5EC0" w:rsidRPr="00FE78EE" w:rsidRDefault="00BA5EC0" w:rsidP="00BA5EC0">
      <w:pPr>
        <w:shd w:val="clear" w:color="auto" w:fill="FFFFFF"/>
        <w:spacing w:before="100" w:beforeAutospacing="1" w:after="100" w:afterAutospacing="1"/>
        <w:outlineLvl w:val="0"/>
        <w:rPr>
          <w:rFonts w:ascii="Times New Roman" w:hAnsi="Times New Roman"/>
          <w:sz w:val="24"/>
          <w:szCs w:val="24"/>
        </w:rPr>
      </w:pPr>
      <w:r w:rsidRPr="00FE78EE">
        <w:rPr>
          <w:rFonts w:ascii="Times New Roman" w:hAnsi="Times New Roman"/>
          <w:kern w:val="36"/>
          <w:sz w:val="24"/>
          <w:szCs w:val="24"/>
        </w:rPr>
        <w:t xml:space="preserve">Moriarty, K.M., W.J. Zielinski and E.D. Forsman. 2011. Decline in American Marten Occupancy Rates at Sagehen Experimental Forest, California. </w:t>
      </w:r>
      <w:r w:rsidRPr="00FE78EE">
        <w:rPr>
          <w:rFonts w:ascii="Times New Roman" w:hAnsi="Times New Roman"/>
          <w:iCs/>
          <w:sz w:val="24"/>
          <w:szCs w:val="24"/>
        </w:rPr>
        <w:t>Journal of Wildlife Management</w:t>
      </w:r>
      <w:r w:rsidRPr="00FE78EE">
        <w:rPr>
          <w:rFonts w:ascii="Times New Roman" w:hAnsi="Times New Roman"/>
          <w:kern w:val="36"/>
          <w:sz w:val="24"/>
          <w:szCs w:val="24"/>
        </w:rPr>
        <w:t xml:space="preserve">. </w:t>
      </w:r>
      <w:r w:rsidRPr="00FE78EE">
        <w:rPr>
          <w:rFonts w:ascii="Times New Roman" w:hAnsi="Times New Roman"/>
          <w:sz w:val="24"/>
          <w:szCs w:val="24"/>
        </w:rPr>
        <w:t>75:1774-1787.</w:t>
      </w:r>
    </w:p>
    <w:p w14:paraId="44F955C6" w14:textId="77777777" w:rsidR="00BA5EC0" w:rsidRPr="00E10DBD" w:rsidRDefault="00BA5EC0" w:rsidP="00BA5EC0">
      <w:pPr>
        <w:shd w:val="clear" w:color="auto" w:fill="FFFFFF"/>
        <w:spacing w:before="100" w:beforeAutospacing="1" w:after="100" w:afterAutospacing="1"/>
        <w:outlineLvl w:val="0"/>
        <w:rPr>
          <w:rFonts w:ascii="Times New Roman" w:hAnsi="Times New Roman"/>
          <w:sz w:val="24"/>
          <w:szCs w:val="24"/>
        </w:rPr>
      </w:pPr>
      <w:r w:rsidRPr="00FE78EE">
        <w:rPr>
          <w:rFonts w:ascii="Times New Roman" w:hAnsi="Times New Roman"/>
          <w:sz w:val="24"/>
          <w:szCs w:val="24"/>
        </w:rPr>
        <w:t>Moser, B.W., and E.O. Garton. 2009. Short-term effects of timber harvest and weather on Northern Goshawk reproduction in northern Idaho. J. Raptor Res. 43, 1–10.</w:t>
      </w:r>
    </w:p>
    <w:p w14:paraId="1B90AF2E" w14:textId="77777777" w:rsidR="00BA5EC0" w:rsidRPr="00FE78EE" w:rsidRDefault="00BA5EC0" w:rsidP="00BA5EC0">
      <w:pPr>
        <w:shd w:val="clear" w:color="auto" w:fill="FFFFFF"/>
        <w:spacing w:before="100" w:beforeAutospacing="1" w:after="100" w:afterAutospacing="1"/>
        <w:outlineLvl w:val="0"/>
        <w:rPr>
          <w:rFonts w:ascii="Times New Roman" w:hAnsi="Times New Roman"/>
          <w:sz w:val="24"/>
          <w:szCs w:val="24"/>
        </w:rPr>
      </w:pPr>
      <w:r w:rsidRPr="00FE78EE">
        <w:rPr>
          <w:rFonts w:ascii="Times New Roman" w:hAnsi="Times New Roman"/>
          <w:sz w:val="24"/>
          <w:szCs w:val="24"/>
        </w:rPr>
        <w:t>Noon B. R., D. D. Murphy, S. R. Beissinger, M. L. Shaffer, and D. DellaSala. 2003. Conservation planning for U.S. national forests: conducting comprehensive biodiversity assessments. BioScience 53:1217– 1220</w:t>
      </w:r>
    </w:p>
    <w:p w14:paraId="3C106B1E" w14:textId="77777777" w:rsidR="00BA5EC0" w:rsidRPr="00FE78EE" w:rsidRDefault="00BA5EC0" w:rsidP="00BA5EC0">
      <w:pPr>
        <w:spacing w:before="240" w:line="240" w:lineRule="auto"/>
        <w:contextualSpacing/>
        <w:rPr>
          <w:rFonts w:ascii="Times New Roman" w:hAnsi="Times New Roman"/>
          <w:sz w:val="24"/>
          <w:szCs w:val="24"/>
        </w:rPr>
      </w:pPr>
      <w:r w:rsidRPr="00FE78EE">
        <w:rPr>
          <w:rFonts w:ascii="Times New Roman" w:hAnsi="Times New Roman"/>
          <w:sz w:val="24"/>
          <w:szCs w:val="24"/>
        </w:rPr>
        <w:t xml:space="preserve">Potvin, F., L. Belanger, and K. Lowell. 1999. Marten habitat selection in a clearcut boreal landscape. Conservation Biology 14: 844-857. </w:t>
      </w:r>
    </w:p>
    <w:p w14:paraId="5CEA24C7" w14:textId="77777777" w:rsidR="00BA5EC0" w:rsidRPr="00FE78EE" w:rsidRDefault="00BA5EC0" w:rsidP="00BA5EC0">
      <w:pPr>
        <w:spacing w:before="240" w:line="240" w:lineRule="auto"/>
        <w:contextualSpacing/>
        <w:rPr>
          <w:rFonts w:ascii="Times New Roman" w:hAnsi="Times New Roman"/>
          <w:sz w:val="24"/>
          <w:szCs w:val="24"/>
        </w:rPr>
      </w:pPr>
    </w:p>
    <w:p w14:paraId="1D91E00E" w14:textId="77777777" w:rsidR="00BA5EC0" w:rsidRPr="00FE78EE" w:rsidRDefault="00BA5EC0" w:rsidP="00BA5EC0">
      <w:pPr>
        <w:spacing w:before="240" w:line="240" w:lineRule="auto"/>
        <w:contextualSpacing/>
        <w:rPr>
          <w:rFonts w:ascii="Times New Roman" w:hAnsi="Times New Roman"/>
          <w:sz w:val="24"/>
          <w:szCs w:val="24"/>
        </w:rPr>
      </w:pPr>
      <w:r w:rsidRPr="00FE78EE">
        <w:rPr>
          <w:rFonts w:ascii="Times New Roman" w:hAnsi="Times New Roman"/>
          <w:sz w:val="24"/>
          <w:szCs w:val="24"/>
        </w:rPr>
        <w:lastRenderedPageBreak/>
        <w:t>Powell, R.A. 1994. Structure and spacing of Martes populations. in Martens, Sables, and Fishers: Biology and Conservation, pp.101-121. Edited by S.W. Buskirk, A.S. Harestad, M.G. Raphael and R.A. Powell. Cornell University Press: Ithaca, NY.</w:t>
      </w:r>
    </w:p>
    <w:p w14:paraId="004D32EF" w14:textId="77777777" w:rsidR="00BA5EC0" w:rsidRPr="00FE78EE" w:rsidRDefault="00BA5EC0" w:rsidP="00BA5EC0">
      <w:pPr>
        <w:spacing w:before="240" w:line="240" w:lineRule="auto"/>
        <w:contextualSpacing/>
        <w:rPr>
          <w:rFonts w:ascii="Times New Roman" w:hAnsi="Times New Roman"/>
          <w:sz w:val="24"/>
          <w:szCs w:val="24"/>
        </w:rPr>
      </w:pPr>
    </w:p>
    <w:p w14:paraId="35864A09" w14:textId="77777777" w:rsidR="00BA5EC0" w:rsidRPr="00FE78EE" w:rsidRDefault="00BA5EC0" w:rsidP="00BA5EC0">
      <w:pPr>
        <w:autoSpaceDE w:val="0"/>
        <w:autoSpaceDN w:val="0"/>
        <w:adjustRightInd w:val="0"/>
        <w:spacing w:after="0" w:line="240" w:lineRule="auto"/>
        <w:rPr>
          <w:rFonts w:ascii="Times New Roman" w:hAnsi="Times New Roman"/>
          <w:sz w:val="24"/>
          <w:szCs w:val="24"/>
        </w:rPr>
      </w:pPr>
      <w:r w:rsidRPr="00FE78EE">
        <w:rPr>
          <w:rFonts w:ascii="Times New Roman" w:hAnsi="Times New Roman"/>
          <w:sz w:val="24"/>
          <w:szCs w:val="24"/>
        </w:rPr>
        <w:t>Reynolds, R.T., R.T. Graham, M.H. Reiser, R.L. Bassett, P.L. Kennedy, D.A. Boyce, G. Goodwin, R. Smith, and E.L. Fisher. 1992. Management recommendations for the Northern Goshawk in the southwestern United States. USDA Forest Service General Technical Report RM-217, Fort Collins, CO U.S.A.</w:t>
      </w:r>
    </w:p>
    <w:p w14:paraId="7BD309CB" w14:textId="77777777" w:rsidR="00BA5EC0" w:rsidRDefault="00BA5EC0" w:rsidP="00BA5EC0">
      <w:pPr>
        <w:autoSpaceDE w:val="0"/>
        <w:autoSpaceDN w:val="0"/>
        <w:adjustRightInd w:val="0"/>
        <w:spacing w:after="0" w:line="240" w:lineRule="auto"/>
        <w:rPr>
          <w:rFonts w:ascii="Times New Roman" w:hAnsi="Times New Roman"/>
          <w:sz w:val="24"/>
          <w:szCs w:val="24"/>
        </w:rPr>
      </w:pPr>
    </w:p>
    <w:p w14:paraId="6DDE1666" w14:textId="77777777" w:rsidR="00BA5EC0" w:rsidRPr="00FE78EE" w:rsidRDefault="00BA5EC0" w:rsidP="00BA5EC0">
      <w:pPr>
        <w:autoSpaceDE w:val="0"/>
        <w:autoSpaceDN w:val="0"/>
        <w:adjustRightInd w:val="0"/>
        <w:spacing w:after="0" w:line="240" w:lineRule="auto"/>
        <w:rPr>
          <w:rFonts w:ascii="Times New Roman" w:eastAsia="TTE1DB0090t00" w:hAnsi="Times New Roman"/>
          <w:sz w:val="24"/>
          <w:szCs w:val="24"/>
        </w:rPr>
      </w:pPr>
      <w:r w:rsidRPr="00FE78EE">
        <w:rPr>
          <w:rFonts w:ascii="Times New Roman" w:eastAsia="TTE1DB0090t00" w:hAnsi="Times New Roman"/>
          <w:sz w:val="24"/>
          <w:szCs w:val="24"/>
        </w:rPr>
        <w:t>Samson, F. B. 2006a. A Conservation assessment of the northern goshawk, blacked-backed woodpecker, flammulated owl, and pileated woodpecker in the Northern Region, USDA Forest Service. Unpublished report on file, Northern Region, Missoula, Montana, USA.</w:t>
      </w:r>
    </w:p>
    <w:p w14:paraId="7C0E2FBA" w14:textId="77777777" w:rsidR="00BA5EC0" w:rsidRPr="00FE78EE" w:rsidRDefault="00BA5EC0" w:rsidP="00BA5EC0">
      <w:pPr>
        <w:autoSpaceDE w:val="0"/>
        <w:autoSpaceDN w:val="0"/>
        <w:adjustRightInd w:val="0"/>
        <w:spacing w:after="0" w:line="240" w:lineRule="auto"/>
        <w:rPr>
          <w:rFonts w:ascii="Times New Roman" w:eastAsia="TTE1DB0090t00" w:hAnsi="Times New Roman"/>
          <w:sz w:val="24"/>
          <w:szCs w:val="24"/>
        </w:rPr>
      </w:pPr>
    </w:p>
    <w:p w14:paraId="4749E955" w14:textId="77777777" w:rsidR="00BA5EC0" w:rsidRPr="00FE78EE" w:rsidRDefault="00BA5EC0" w:rsidP="00BA5EC0">
      <w:pPr>
        <w:autoSpaceDE w:val="0"/>
        <w:autoSpaceDN w:val="0"/>
        <w:adjustRightInd w:val="0"/>
        <w:spacing w:after="0" w:line="240" w:lineRule="auto"/>
        <w:rPr>
          <w:rFonts w:ascii="Times New Roman" w:eastAsia="TTE1DB0090t00" w:hAnsi="Times New Roman"/>
          <w:sz w:val="24"/>
          <w:szCs w:val="24"/>
        </w:rPr>
      </w:pPr>
      <w:r w:rsidRPr="00FE78EE">
        <w:rPr>
          <w:rFonts w:ascii="Times New Roman" w:eastAsia="TTE1DB0090t00" w:hAnsi="Times New Roman"/>
          <w:sz w:val="24"/>
          <w:szCs w:val="24"/>
        </w:rPr>
        <w:t>Samson, F. B. 2006b. Habitat estimates for maintaining viable populations of the northern goshawk, black-backed woodpecker, flammulated owl, pileated woodpecker, American marten and fisher. Unpublished report on file, Northern Region, Missoula, Montana, USA.</w:t>
      </w:r>
    </w:p>
    <w:p w14:paraId="798937F8" w14:textId="77777777" w:rsidR="00BA5EC0" w:rsidRPr="00FE78EE" w:rsidRDefault="00BA5EC0" w:rsidP="00BA5EC0">
      <w:pPr>
        <w:autoSpaceDE w:val="0"/>
        <w:autoSpaceDN w:val="0"/>
        <w:adjustRightInd w:val="0"/>
        <w:spacing w:after="0" w:line="240" w:lineRule="auto"/>
        <w:rPr>
          <w:rFonts w:ascii="Times New Roman" w:eastAsia="TTE1DB0090t00" w:hAnsi="Times New Roman"/>
          <w:sz w:val="24"/>
          <w:szCs w:val="24"/>
        </w:rPr>
      </w:pPr>
    </w:p>
    <w:p w14:paraId="203519FC" w14:textId="77777777" w:rsidR="00BA5EC0" w:rsidRPr="00FE78EE" w:rsidRDefault="00BA5EC0" w:rsidP="00BA5EC0">
      <w:pPr>
        <w:autoSpaceDE w:val="0"/>
        <w:autoSpaceDN w:val="0"/>
        <w:adjustRightInd w:val="0"/>
        <w:spacing w:after="0" w:line="240" w:lineRule="auto"/>
        <w:rPr>
          <w:rFonts w:ascii="Times New Roman" w:hAnsi="Times New Roman"/>
          <w:sz w:val="24"/>
          <w:szCs w:val="24"/>
        </w:rPr>
      </w:pPr>
      <w:r w:rsidRPr="00FE78EE">
        <w:rPr>
          <w:rFonts w:ascii="Times New Roman" w:hAnsi="Times New Roman"/>
          <w:sz w:val="24"/>
          <w:szCs w:val="24"/>
        </w:rPr>
        <w:t>Sauder, J. D. 2014.  Landscape ecology of fishers (Pekania pennant) in North-Central Idaho. PhD Dissertation, June 2014.</w:t>
      </w:r>
    </w:p>
    <w:p w14:paraId="303299D0" w14:textId="77777777" w:rsidR="00BA5EC0" w:rsidRPr="00FE78EE" w:rsidRDefault="00BA5EC0" w:rsidP="00BA5EC0">
      <w:pPr>
        <w:autoSpaceDE w:val="0"/>
        <w:autoSpaceDN w:val="0"/>
        <w:adjustRightInd w:val="0"/>
        <w:spacing w:after="0" w:line="240" w:lineRule="auto"/>
        <w:rPr>
          <w:rFonts w:ascii="Times New Roman" w:hAnsi="Times New Roman"/>
          <w:sz w:val="24"/>
          <w:szCs w:val="24"/>
        </w:rPr>
      </w:pPr>
      <w:r w:rsidRPr="00FE78EE">
        <w:rPr>
          <w:rFonts w:ascii="Times New Roman" w:hAnsi="Times New Roman"/>
          <w:sz w:val="24"/>
          <w:szCs w:val="24"/>
        </w:rPr>
        <w:t xml:space="preserve"> </w:t>
      </w:r>
    </w:p>
    <w:p w14:paraId="20437C0F" w14:textId="77777777" w:rsidR="00BA5EC0" w:rsidRPr="00FE78EE" w:rsidRDefault="00BA5EC0" w:rsidP="00BA5EC0">
      <w:pPr>
        <w:autoSpaceDE w:val="0"/>
        <w:autoSpaceDN w:val="0"/>
        <w:adjustRightInd w:val="0"/>
        <w:spacing w:after="0" w:line="240" w:lineRule="auto"/>
        <w:rPr>
          <w:rFonts w:ascii="Times New Roman" w:hAnsi="Times New Roman"/>
          <w:sz w:val="24"/>
          <w:szCs w:val="24"/>
        </w:rPr>
      </w:pPr>
      <w:r w:rsidRPr="00FE78EE">
        <w:rPr>
          <w:rFonts w:ascii="Times New Roman" w:hAnsi="Times New Roman"/>
          <w:sz w:val="24"/>
          <w:szCs w:val="24"/>
        </w:rPr>
        <w:t>Sauder, J.D, and J.L. Rachlow. 2014. Both forest composition and configuration influence landscape scale habitat selection by fishers (</w:t>
      </w:r>
      <w:r w:rsidRPr="00FE78EE">
        <w:rPr>
          <w:rFonts w:ascii="Times New Roman" w:hAnsi="Times New Roman"/>
          <w:i/>
          <w:iCs/>
          <w:sz w:val="24"/>
          <w:szCs w:val="24"/>
        </w:rPr>
        <w:t>Pekania pennanti</w:t>
      </w:r>
      <w:r w:rsidRPr="00FE78EE">
        <w:rPr>
          <w:rFonts w:ascii="Times New Roman" w:hAnsi="Times New Roman"/>
          <w:sz w:val="24"/>
          <w:szCs w:val="24"/>
        </w:rPr>
        <w:t>) in mixed coniferous forests of the</w:t>
      </w:r>
    </w:p>
    <w:p w14:paraId="57FB0777" w14:textId="77777777" w:rsidR="00BA5EC0" w:rsidRPr="00FE78EE" w:rsidRDefault="00BA5EC0" w:rsidP="00BA5EC0">
      <w:pPr>
        <w:autoSpaceDE w:val="0"/>
        <w:autoSpaceDN w:val="0"/>
        <w:adjustRightInd w:val="0"/>
        <w:spacing w:after="0" w:line="240" w:lineRule="auto"/>
        <w:rPr>
          <w:rFonts w:ascii="Times New Roman" w:hAnsi="Times New Roman"/>
          <w:sz w:val="24"/>
          <w:szCs w:val="24"/>
        </w:rPr>
      </w:pPr>
      <w:r w:rsidRPr="00FE78EE">
        <w:rPr>
          <w:rFonts w:ascii="Times New Roman" w:hAnsi="Times New Roman"/>
          <w:sz w:val="24"/>
          <w:szCs w:val="24"/>
        </w:rPr>
        <w:t>Northern Rocky Mountains. Forest Ecology and Management. 314:75‐84.</w:t>
      </w:r>
    </w:p>
    <w:p w14:paraId="545A4D07" w14:textId="77777777" w:rsidR="00BA5EC0" w:rsidRPr="00FE78EE" w:rsidRDefault="00BA5EC0" w:rsidP="00BA5EC0">
      <w:pPr>
        <w:autoSpaceDE w:val="0"/>
        <w:autoSpaceDN w:val="0"/>
        <w:adjustRightInd w:val="0"/>
        <w:spacing w:after="0" w:line="240" w:lineRule="auto"/>
        <w:rPr>
          <w:rFonts w:ascii="Times New Roman" w:hAnsi="Times New Roman"/>
          <w:sz w:val="24"/>
          <w:szCs w:val="24"/>
        </w:rPr>
      </w:pPr>
    </w:p>
    <w:p w14:paraId="708FB140" w14:textId="77777777" w:rsidR="00BA5EC0" w:rsidRPr="00FE78EE" w:rsidRDefault="00BA5EC0" w:rsidP="00BA5EC0">
      <w:pPr>
        <w:spacing w:before="240" w:line="240" w:lineRule="auto"/>
        <w:contextualSpacing/>
        <w:rPr>
          <w:rFonts w:ascii="Times New Roman" w:hAnsi="Times New Roman"/>
          <w:sz w:val="24"/>
          <w:szCs w:val="24"/>
        </w:rPr>
      </w:pPr>
      <w:r w:rsidRPr="00FE78EE">
        <w:rPr>
          <w:rFonts w:ascii="Times New Roman" w:hAnsi="Times New Roman"/>
          <w:sz w:val="24"/>
          <w:szCs w:val="24"/>
        </w:rPr>
        <w:t>Schultz, C. 2010. Challenges in connecting cumulative effects analysis to effective wildlife conservation planning. BioScience 60:545–551.</w:t>
      </w:r>
    </w:p>
    <w:p w14:paraId="538FCDC0" w14:textId="77777777" w:rsidR="00BA5EC0" w:rsidRPr="00FE78EE" w:rsidRDefault="00BA5EC0" w:rsidP="00BA5EC0">
      <w:pPr>
        <w:spacing w:before="240" w:line="240" w:lineRule="auto"/>
        <w:contextualSpacing/>
        <w:rPr>
          <w:rFonts w:ascii="Times New Roman" w:hAnsi="Times New Roman"/>
          <w:sz w:val="24"/>
          <w:szCs w:val="24"/>
        </w:rPr>
      </w:pPr>
    </w:p>
    <w:p w14:paraId="4ED50EFF" w14:textId="77777777" w:rsidR="00BA5EC0" w:rsidRDefault="00BA5EC0" w:rsidP="00BA5EC0">
      <w:pPr>
        <w:spacing w:before="240" w:line="240" w:lineRule="auto"/>
        <w:contextualSpacing/>
        <w:rPr>
          <w:rFonts w:ascii="Times New Roman" w:hAnsi="Times New Roman"/>
          <w:sz w:val="24"/>
          <w:szCs w:val="24"/>
        </w:rPr>
      </w:pPr>
      <w:r w:rsidRPr="00FE78EE">
        <w:rPr>
          <w:rFonts w:ascii="Times New Roman" w:hAnsi="Times New Roman"/>
          <w:sz w:val="24"/>
          <w:szCs w:val="24"/>
        </w:rPr>
        <w:t>Schultz, C. A. 2012. The U.S. Forest Service’s analysis of cumulative effects to wildlife: a study of legal standards, current practice, and ongoing challenges on a National Forest. Environmental Impact Assessment Review 32:74–81.</w:t>
      </w:r>
    </w:p>
    <w:p w14:paraId="5EAD3B14" w14:textId="77777777" w:rsidR="00BA5EC0" w:rsidRPr="00FE78EE" w:rsidRDefault="00BA5EC0" w:rsidP="00BA5EC0">
      <w:pPr>
        <w:spacing w:before="240" w:line="240" w:lineRule="auto"/>
        <w:contextualSpacing/>
        <w:rPr>
          <w:rFonts w:ascii="Times New Roman" w:hAnsi="Times New Roman"/>
          <w:sz w:val="24"/>
          <w:szCs w:val="24"/>
        </w:rPr>
      </w:pPr>
    </w:p>
    <w:p w14:paraId="6F2673BE" w14:textId="77777777" w:rsidR="00BA5EC0" w:rsidRPr="00FE78EE" w:rsidRDefault="00BA5EC0" w:rsidP="00BA5EC0">
      <w:pPr>
        <w:spacing w:before="240"/>
        <w:contextualSpacing/>
        <w:rPr>
          <w:rFonts w:ascii="Times New Roman" w:hAnsi="Times New Roman"/>
          <w:sz w:val="24"/>
          <w:szCs w:val="24"/>
        </w:rPr>
      </w:pPr>
      <w:r w:rsidRPr="00FE78EE">
        <w:rPr>
          <w:rFonts w:ascii="Times New Roman" w:hAnsi="Times New Roman"/>
          <w:sz w:val="24"/>
          <w:szCs w:val="24"/>
        </w:rPr>
        <w:t>Servheen, G., S. Blair, D. Davis, M. Gratson, K. Leidenfrost, B. Stotts, J. White, and J. Bell. 1997. Interagency Guidelines for Evaluating and Managing Elk Habitats and Populations in Central Idaho. Wildlife Bulletin No. 11, Idaho Dept. of Fish and Game. 75p.</w:t>
      </w:r>
    </w:p>
    <w:p w14:paraId="313328C6" w14:textId="77777777" w:rsidR="00BA5EC0" w:rsidRPr="00FE78EE" w:rsidRDefault="00BA5EC0" w:rsidP="00BA5EC0">
      <w:pPr>
        <w:spacing w:before="240" w:line="240" w:lineRule="auto"/>
        <w:contextualSpacing/>
        <w:rPr>
          <w:rFonts w:ascii="Times New Roman" w:hAnsi="Times New Roman"/>
          <w:sz w:val="24"/>
          <w:szCs w:val="24"/>
        </w:rPr>
      </w:pPr>
    </w:p>
    <w:p w14:paraId="12B00B60" w14:textId="77777777" w:rsidR="00BA5EC0" w:rsidRDefault="00BA5EC0" w:rsidP="00BA5EC0">
      <w:pPr>
        <w:autoSpaceDE w:val="0"/>
        <w:autoSpaceDN w:val="0"/>
        <w:adjustRightInd w:val="0"/>
        <w:spacing w:after="0" w:line="240" w:lineRule="auto"/>
        <w:rPr>
          <w:rFonts w:ascii="Times New Roman" w:eastAsia="TTE1DB0090t00" w:hAnsi="Times New Roman"/>
          <w:sz w:val="24"/>
          <w:szCs w:val="24"/>
        </w:rPr>
      </w:pPr>
      <w:r w:rsidRPr="00FE78EE">
        <w:rPr>
          <w:rFonts w:ascii="Times New Roman" w:eastAsia="TTE1DB0090t00" w:hAnsi="Times New Roman"/>
          <w:sz w:val="24"/>
          <w:szCs w:val="24"/>
        </w:rPr>
        <w:t>Smallwood, K. S. 2001. Scale domains of abundance amongst species of mammalian Carnivora. Environmental Management 26: 102-111.</w:t>
      </w:r>
    </w:p>
    <w:p w14:paraId="4D197B65" w14:textId="77777777" w:rsidR="001560CA" w:rsidRDefault="001560CA" w:rsidP="00BA5EC0">
      <w:pPr>
        <w:autoSpaceDE w:val="0"/>
        <w:autoSpaceDN w:val="0"/>
        <w:adjustRightInd w:val="0"/>
        <w:spacing w:after="0" w:line="240" w:lineRule="auto"/>
        <w:rPr>
          <w:rFonts w:ascii="Times New Roman" w:eastAsia="TTE1DB0090t00" w:hAnsi="Times New Roman"/>
          <w:sz w:val="24"/>
          <w:szCs w:val="24"/>
        </w:rPr>
      </w:pPr>
    </w:p>
    <w:p w14:paraId="3C9ACE84" w14:textId="3DCD45AA" w:rsidR="001560CA" w:rsidRPr="001560CA" w:rsidRDefault="001560CA" w:rsidP="001560CA">
      <w:pPr>
        <w:autoSpaceDE w:val="0"/>
        <w:autoSpaceDN w:val="0"/>
        <w:adjustRightInd w:val="0"/>
        <w:spacing w:after="0" w:line="276" w:lineRule="auto"/>
        <w:rPr>
          <w:rFonts w:ascii="Times New Roman" w:eastAsia="Calibri" w:hAnsi="Times New Roman" w:cs="Times New Roman"/>
          <w:sz w:val="24"/>
          <w:szCs w:val="24"/>
        </w:rPr>
      </w:pPr>
      <w:r w:rsidRPr="001560CA">
        <w:rPr>
          <w:rFonts w:ascii="Times New Roman" w:eastAsia="Calibri" w:hAnsi="Times New Roman" w:cs="Times New Roman"/>
          <w:sz w:val="24"/>
          <w:szCs w:val="24"/>
        </w:rPr>
        <w:t xml:space="preserve">USDA Forest Service. 2006 Tom </w:t>
      </w:r>
      <w:proofErr w:type="spellStart"/>
      <w:r w:rsidRPr="001560CA">
        <w:rPr>
          <w:rFonts w:ascii="Times New Roman" w:eastAsia="Calibri" w:hAnsi="Times New Roman" w:cs="Times New Roman"/>
          <w:sz w:val="24"/>
          <w:szCs w:val="24"/>
        </w:rPr>
        <w:t>Reily</w:t>
      </w:r>
      <w:proofErr w:type="spellEnd"/>
      <w:r w:rsidRPr="001560CA">
        <w:rPr>
          <w:rFonts w:ascii="Times New Roman" w:eastAsia="Calibri" w:hAnsi="Times New Roman" w:cs="Times New Roman"/>
          <w:sz w:val="24"/>
          <w:szCs w:val="24"/>
        </w:rPr>
        <w:t xml:space="preserve"> Memo to Staff Officers, Rangers. December 7, 2006. Clearwater National Forest. Orofino, ID</w:t>
      </w:r>
    </w:p>
    <w:p w14:paraId="06B11461" w14:textId="77777777" w:rsidR="00BA5EC0" w:rsidRDefault="00BA5EC0" w:rsidP="00BA5EC0">
      <w:pPr>
        <w:autoSpaceDE w:val="0"/>
        <w:autoSpaceDN w:val="0"/>
        <w:adjustRightInd w:val="0"/>
        <w:spacing w:after="0" w:line="240" w:lineRule="auto"/>
        <w:rPr>
          <w:rFonts w:ascii="Times New Roman" w:eastAsia="TTE1DB0090t00" w:hAnsi="Times New Roman"/>
          <w:sz w:val="24"/>
          <w:szCs w:val="24"/>
        </w:rPr>
      </w:pPr>
    </w:p>
    <w:p w14:paraId="1065394B" w14:textId="77777777" w:rsidR="00BA5EC0" w:rsidRPr="00DF1151" w:rsidRDefault="00BA5EC0" w:rsidP="00BA5EC0">
      <w:pPr>
        <w:spacing w:before="240"/>
        <w:contextualSpacing/>
        <w:rPr>
          <w:rFonts w:ascii="Times New Roman" w:hAnsi="Times New Roman" w:cs="Times New Roman"/>
          <w:sz w:val="24"/>
          <w:szCs w:val="24"/>
        </w:rPr>
      </w:pPr>
      <w:r w:rsidRPr="00DF1151">
        <w:rPr>
          <w:rFonts w:ascii="Times New Roman" w:hAnsi="Times New Roman" w:cs="Times New Roman"/>
          <w:sz w:val="24"/>
          <w:szCs w:val="24"/>
        </w:rPr>
        <w:t>USDA Forest Service 2021. Road closures on the North Fork District. https://www.fs.usda.gov/detail/nezperceclearwater/news-events/?cid=FSEPRD953452</w:t>
      </w:r>
    </w:p>
    <w:p w14:paraId="48930361" w14:textId="77777777" w:rsidR="00BA5EC0" w:rsidRPr="00FE78EE" w:rsidRDefault="00BA5EC0" w:rsidP="00BA5EC0">
      <w:pPr>
        <w:autoSpaceDE w:val="0"/>
        <w:autoSpaceDN w:val="0"/>
        <w:adjustRightInd w:val="0"/>
        <w:spacing w:after="0" w:line="240" w:lineRule="auto"/>
        <w:rPr>
          <w:rFonts w:ascii="Times New Roman" w:hAnsi="Times New Roman"/>
          <w:sz w:val="24"/>
          <w:szCs w:val="24"/>
        </w:rPr>
      </w:pPr>
    </w:p>
    <w:p w14:paraId="4AF56BB1" w14:textId="77777777" w:rsidR="00BA5EC0" w:rsidRPr="00FE78EE" w:rsidRDefault="00BA5EC0" w:rsidP="00BA5EC0">
      <w:pPr>
        <w:autoSpaceDE w:val="0"/>
        <w:autoSpaceDN w:val="0"/>
        <w:adjustRightInd w:val="0"/>
        <w:spacing w:after="0" w:line="240" w:lineRule="auto"/>
        <w:rPr>
          <w:rFonts w:ascii="Times New Roman" w:eastAsia="TTE1DB0090t00" w:hAnsi="Times New Roman"/>
          <w:sz w:val="24"/>
          <w:szCs w:val="24"/>
        </w:rPr>
      </w:pPr>
      <w:r w:rsidRPr="00FE78EE">
        <w:rPr>
          <w:rFonts w:ascii="Times New Roman" w:hAnsi="Times New Roman"/>
          <w:sz w:val="24"/>
          <w:szCs w:val="24"/>
        </w:rPr>
        <w:lastRenderedPageBreak/>
        <w:t>Waserrman, T. N., S.A. Cushman, and D.O. Wallin. 2012. Multi Scale Habitat Relationships of Martes Americana in Northern Idaho, U.S.A.  Environmental Sciences Faculty Publications. Paper 20.  http:// cedar.wwu.edu/esci_facpubs/20</w:t>
      </w:r>
    </w:p>
    <w:p w14:paraId="44313BC5" w14:textId="77777777" w:rsidR="00BA5EC0" w:rsidRPr="00FE78EE" w:rsidRDefault="00BA5EC0" w:rsidP="00BA5EC0">
      <w:pPr>
        <w:shd w:val="clear" w:color="auto" w:fill="FFFFFF"/>
        <w:spacing w:before="100" w:beforeAutospacing="1" w:after="100" w:afterAutospacing="1" w:line="240" w:lineRule="auto"/>
        <w:rPr>
          <w:rFonts w:ascii="Times New Roman" w:hAnsi="Times New Roman"/>
          <w:color w:val="222222"/>
          <w:sz w:val="24"/>
          <w:szCs w:val="24"/>
        </w:rPr>
      </w:pPr>
      <w:r w:rsidRPr="00FE78EE">
        <w:rPr>
          <w:rFonts w:ascii="Times New Roman" w:hAnsi="Times New Roman"/>
          <w:color w:val="222222"/>
          <w:sz w:val="24"/>
          <w:szCs w:val="24"/>
        </w:rPr>
        <w:t>Webb, S. M., and M. S. Boyce. 2009. Marten fur harvests and landscape change in West-Central Alberta. Journal of Wildlife Management 73: 894-903.</w:t>
      </w:r>
    </w:p>
    <w:p w14:paraId="4AB97E2E" w14:textId="77777777" w:rsidR="00BA5EC0" w:rsidRPr="00FE78EE" w:rsidRDefault="00BA5EC0" w:rsidP="00BA5EC0">
      <w:pPr>
        <w:shd w:val="clear" w:color="auto" w:fill="FFFFFF"/>
        <w:spacing w:before="100" w:beforeAutospacing="1" w:after="100" w:afterAutospacing="1"/>
        <w:rPr>
          <w:rFonts w:ascii="Times New Roman" w:hAnsi="Times New Roman"/>
          <w:color w:val="222222"/>
          <w:sz w:val="24"/>
          <w:szCs w:val="24"/>
        </w:rPr>
      </w:pPr>
    </w:p>
    <w:sectPr w:rsidR="00BA5EC0" w:rsidRPr="00FE78EE" w:rsidSect="00AE089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23A0" w14:textId="77777777" w:rsidR="00F2712C" w:rsidRDefault="00F2712C" w:rsidP="009D648D">
      <w:pPr>
        <w:spacing w:after="0" w:line="240" w:lineRule="auto"/>
      </w:pPr>
      <w:r>
        <w:separator/>
      </w:r>
    </w:p>
  </w:endnote>
  <w:endnote w:type="continuationSeparator" w:id="0">
    <w:p w14:paraId="5ACA78D7" w14:textId="77777777" w:rsidR="00F2712C" w:rsidRDefault="00F2712C" w:rsidP="009D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TE1DB0090t00">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462159"/>
      <w:docPartObj>
        <w:docPartGallery w:val="Page Numbers (Bottom of Page)"/>
        <w:docPartUnique/>
      </w:docPartObj>
    </w:sdtPr>
    <w:sdtEndPr>
      <w:rPr>
        <w:noProof/>
      </w:rPr>
    </w:sdtEndPr>
    <w:sdtContent>
      <w:p w14:paraId="6359D8D0" w14:textId="04D43C50" w:rsidR="009D648D" w:rsidRDefault="009D6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002DC" w14:textId="77777777" w:rsidR="009D648D" w:rsidRDefault="009D6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B75D" w14:textId="77777777" w:rsidR="00F2712C" w:rsidRDefault="00F2712C" w:rsidP="009D648D">
      <w:pPr>
        <w:spacing w:after="0" w:line="240" w:lineRule="auto"/>
      </w:pPr>
      <w:r>
        <w:separator/>
      </w:r>
    </w:p>
  </w:footnote>
  <w:footnote w:type="continuationSeparator" w:id="0">
    <w:p w14:paraId="1F32BE2D" w14:textId="77777777" w:rsidR="00F2712C" w:rsidRDefault="00F2712C" w:rsidP="009D6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C0C"/>
    <w:multiLevelType w:val="hybridMultilevel"/>
    <w:tmpl w:val="51C68D3A"/>
    <w:lvl w:ilvl="0" w:tplc="57688636">
      <w:start w:val="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90526"/>
    <w:multiLevelType w:val="hybridMultilevel"/>
    <w:tmpl w:val="73B680FC"/>
    <w:lvl w:ilvl="0" w:tplc="8C0081C2">
      <w:start w:val="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40E32"/>
    <w:multiLevelType w:val="hybridMultilevel"/>
    <w:tmpl w:val="A86CC70C"/>
    <w:lvl w:ilvl="0" w:tplc="24B0C720">
      <w:start w:val="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A457C"/>
    <w:multiLevelType w:val="hybridMultilevel"/>
    <w:tmpl w:val="8340C100"/>
    <w:lvl w:ilvl="0" w:tplc="1BC0FB7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044137">
    <w:abstractNumId w:val="3"/>
  </w:num>
  <w:num w:numId="2" w16cid:durableId="922229147">
    <w:abstractNumId w:val="0"/>
  </w:num>
  <w:num w:numId="3" w16cid:durableId="34936677">
    <w:abstractNumId w:val="1"/>
  </w:num>
  <w:num w:numId="4" w16cid:durableId="1321082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FF"/>
    <w:rsid w:val="00000AD9"/>
    <w:rsid w:val="00000DA4"/>
    <w:rsid w:val="00001540"/>
    <w:rsid w:val="00002F95"/>
    <w:rsid w:val="00003844"/>
    <w:rsid w:val="00003EA1"/>
    <w:rsid w:val="000052CC"/>
    <w:rsid w:val="00007FC1"/>
    <w:rsid w:val="000120C8"/>
    <w:rsid w:val="00013694"/>
    <w:rsid w:val="00014D2B"/>
    <w:rsid w:val="00014DA0"/>
    <w:rsid w:val="00014F5B"/>
    <w:rsid w:val="0002097B"/>
    <w:rsid w:val="00021C97"/>
    <w:rsid w:val="00022350"/>
    <w:rsid w:val="000274E8"/>
    <w:rsid w:val="0003439B"/>
    <w:rsid w:val="00041110"/>
    <w:rsid w:val="00044F41"/>
    <w:rsid w:val="000468A4"/>
    <w:rsid w:val="00047AE9"/>
    <w:rsid w:val="00050C88"/>
    <w:rsid w:val="0005651B"/>
    <w:rsid w:val="00063740"/>
    <w:rsid w:val="00063D92"/>
    <w:rsid w:val="00067F5C"/>
    <w:rsid w:val="00070267"/>
    <w:rsid w:val="00073E50"/>
    <w:rsid w:val="00074347"/>
    <w:rsid w:val="000776C9"/>
    <w:rsid w:val="0008051D"/>
    <w:rsid w:val="00081605"/>
    <w:rsid w:val="00084743"/>
    <w:rsid w:val="00085ED6"/>
    <w:rsid w:val="0009041D"/>
    <w:rsid w:val="00093718"/>
    <w:rsid w:val="000945D6"/>
    <w:rsid w:val="00095CAF"/>
    <w:rsid w:val="0009637F"/>
    <w:rsid w:val="000A0CA6"/>
    <w:rsid w:val="000A3D25"/>
    <w:rsid w:val="000A441D"/>
    <w:rsid w:val="000A7A49"/>
    <w:rsid w:val="000B20E9"/>
    <w:rsid w:val="000B6436"/>
    <w:rsid w:val="000C1118"/>
    <w:rsid w:val="000C345D"/>
    <w:rsid w:val="000D2B1E"/>
    <w:rsid w:val="000D2FCE"/>
    <w:rsid w:val="000D49FE"/>
    <w:rsid w:val="000D5426"/>
    <w:rsid w:val="000D6579"/>
    <w:rsid w:val="000D6A95"/>
    <w:rsid w:val="000E32CD"/>
    <w:rsid w:val="000E4A9B"/>
    <w:rsid w:val="000F3C75"/>
    <w:rsid w:val="000F44FA"/>
    <w:rsid w:val="000F5E64"/>
    <w:rsid w:val="00100DDA"/>
    <w:rsid w:val="001024F7"/>
    <w:rsid w:val="00102C64"/>
    <w:rsid w:val="00104598"/>
    <w:rsid w:val="00106450"/>
    <w:rsid w:val="00112936"/>
    <w:rsid w:val="00115B5F"/>
    <w:rsid w:val="00117422"/>
    <w:rsid w:val="00120958"/>
    <w:rsid w:val="00122762"/>
    <w:rsid w:val="00123572"/>
    <w:rsid w:val="00126DF6"/>
    <w:rsid w:val="00131488"/>
    <w:rsid w:val="00131756"/>
    <w:rsid w:val="00132967"/>
    <w:rsid w:val="00141E8A"/>
    <w:rsid w:val="001509F8"/>
    <w:rsid w:val="001559F2"/>
    <w:rsid w:val="00155B95"/>
    <w:rsid w:val="001560CA"/>
    <w:rsid w:val="00161431"/>
    <w:rsid w:val="0016301D"/>
    <w:rsid w:val="00164AD0"/>
    <w:rsid w:val="00167EC7"/>
    <w:rsid w:val="00167F5B"/>
    <w:rsid w:val="001704BC"/>
    <w:rsid w:val="001733A0"/>
    <w:rsid w:val="00174D56"/>
    <w:rsid w:val="00175119"/>
    <w:rsid w:val="0018334E"/>
    <w:rsid w:val="001835CA"/>
    <w:rsid w:val="00183932"/>
    <w:rsid w:val="00186C44"/>
    <w:rsid w:val="00191528"/>
    <w:rsid w:val="001916F4"/>
    <w:rsid w:val="00193F29"/>
    <w:rsid w:val="001A15FA"/>
    <w:rsid w:val="001A2399"/>
    <w:rsid w:val="001A32EA"/>
    <w:rsid w:val="001A3E81"/>
    <w:rsid w:val="001A57AA"/>
    <w:rsid w:val="001A727F"/>
    <w:rsid w:val="001B1348"/>
    <w:rsid w:val="001B2E97"/>
    <w:rsid w:val="001B3DF7"/>
    <w:rsid w:val="001B72E9"/>
    <w:rsid w:val="001C453C"/>
    <w:rsid w:val="001D2662"/>
    <w:rsid w:val="001D3E51"/>
    <w:rsid w:val="001D5ECC"/>
    <w:rsid w:val="001E237B"/>
    <w:rsid w:val="001E2CC5"/>
    <w:rsid w:val="001E4B67"/>
    <w:rsid w:val="001F146C"/>
    <w:rsid w:val="001F3524"/>
    <w:rsid w:val="00202142"/>
    <w:rsid w:val="00206150"/>
    <w:rsid w:val="002103A8"/>
    <w:rsid w:val="00212410"/>
    <w:rsid w:val="00217406"/>
    <w:rsid w:val="00217CDB"/>
    <w:rsid w:val="00222B51"/>
    <w:rsid w:val="00223539"/>
    <w:rsid w:val="00223820"/>
    <w:rsid w:val="00223942"/>
    <w:rsid w:val="00226BF9"/>
    <w:rsid w:val="00233FDD"/>
    <w:rsid w:val="002347B1"/>
    <w:rsid w:val="00237CBD"/>
    <w:rsid w:val="00240975"/>
    <w:rsid w:val="0024318C"/>
    <w:rsid w:val="00243CED"/>
    <w:rsid w:val="0024494D"/>
    <w:rsid w:val="00245496"/>
    <w:rsid w:val="00246474"/>
    <w:rsid w:val="00246DEC"/>
    <w:rsid w:val="002532D9"/>
    <w:rsid w:val="00254D03"/>
    <w:rsid w:val="002553CA"/>
    <w:rsid w:val="00255DC5"/>
    <w:rsid w:val="00257343"/>
    <w:rsid w:val="00257C8F"/>
    <w:rsid w:val="002613D2"/>
    <w:rsid w:val="00261C3A"/>
    <w:rsid w:val="00265B94"/>
    <w:rsid w:val="00267639"/>
    <w:rsid w:val="00267E6C"/>
    <w:rsid w:val="00273E33"/>
    <w:rsid w:val="00273F1B"/>
    <w:rsid w:val="00282FAD"/>
    <w:rsid w:val="00284BAD"/>
    <w:rsid w:val="00287F72"/>
    <w:rsid w:val="002903D3"/>
    <w:rsid w:val="002912C9"/>
    <w:rsid w:val="00291EAA"/>
    <w:rsid w:val="00293E4F"/>
    <w:rsid w:val="002968CE"/>
    <w:rsid w:val="002A3181"/>
    <w:rsid w:val="002B08F2"/>
    <w:rsid w:val="002B0BBC"/>
    <w:rsid w:val="002B2F11"/>
    <w:rsid w:val="002B4A0B"/>
    <w:rsid w:val="002C269A"/>
    <w:rsid w:val="002C3EFE"/>
    <w:rsid w:val="002C55CA"/>
    <w:rsid w:val="002D6C5D"/>
    <w:rsid w:val="002E6B0A"/>
    <w:rsid w:val="002F18B1"/>
    <w:rsid w:val="002F49DD"/>
    <w:rsid w:val="00303070"/>
    <w:rsid w:val="00304406"/>
    <w:rsid w:val="00312F76"/>
    <w:rsid w:val="00314D10"/>
    <w:rsid w:val="00321BD3"/>
    <w:rsid w:val="00322781"/>
    <w:rsid w:val="00323E23"/>
    <w:rsid w:val="003246BD"/>
    <w:rsid w:val="00324E55"/>
    <w:rsid w:val="003258C2"/>
    <w:rsid w:val="00327477"/>
    <w:rsid w:val="00330D4C"/>
    <w:rsid w:val="00331D79"/>
    <w:rsid w:val="00333873"/>
    <w:rsid w:val="00336D96"/>
    <w:rsid w:val="00343969"/>
    <w:rsid w:val="00346D2E"/>
    <w:rsid w:val="00350A77"/>
    <w:rsid w:val="00352176"/>
    <w:rsid w:val="00354281"/>
    <w:rsid w:val="00355BF1"/>
    <w:rsid w:val="003607DF"/>
    <w:rsid w:val="00360F91"/>
    <w:rsid w:val="00362611"/>
    <w:rsid w:val="00365CEE"/>
    <w:rsid w:val="00367734"/>
    <w:rsid w:val="003703C6"/>
    <w:rsid w:val="003750BD"/>
    <w:rsid w:val="00377584"/>
    <w:rsid w:val="00377EF2"/>
    <w:rsid w:val="0038528D"/>
    <w:rsid w:val="00385F3A"/>
    <w:rsid w:val="003938B5"/>
    <w:rsid w:val="003968CD"/>
    <w:rsid w:val="00396C13"/>
    <w:rsid w:val="003A077F"/>
    <w:rsid w:val="003A1067"/>
    <w:rsid w:val="003A259B"/>
    <w:rsid w:val="003A4084"/>
    <w:rsid w:val="003A431D"/>
    <w:rsid w:val="003A7F8F"/>
    <w:rsid w:val="003B4199"/>
    <w:rsid w:val="003B4422"/>
    <w:rsid w:val="003C2595"/>
    <w:rsid w:val="003C35D6"/>
    <w:rsid w:val="003C3D29"/>
    <w:rsid w:val="003C53A0"/>
    <w:rsid w:val="003C5B4E"/>
    <w:rsid w:val="003C72A7"/>
    <w:rsid w:val="003D6583"/>
    <w:rsid w:val="003D6AA6"/>
    <w:rsid w:val="003D7053"/>
    <w:rsid w:val="003E1547"/>
    <w:rsid w:val="003E71A5"/>
    <w:rsid w:val="003E73A9"/>
    <w:rsid w:val="003E7E97"/>
    <w:rsid w:val="003F15BC"/>
    <w:rsid w:val="003F3BDB"/>
    <w:rsid w:val="003F42DD"/>
    <w:rsid w:val="003F597F"/>
    <w:rsid w:val="003F6792"/>
    <w:rsid w:val="00403918"/>
    <w:rsid w:val="0040478A"/>
    <w:rsid w:val="00406D31"/>
    <w:rsid w:val="004133B2"/>
    <w:rsid w:val="00414E51"/>
    <w:rsid w:val="00417D18"/>
    <w:rsid w:val="00420EC4"/>
    <w:rsid w:val="004215ED"/>
    <w:rsid w:val="00422664"/>
    <w:rsid w:val="004226D0"/>
    <w:rsid w:val="00424DC2"/>
    <w:rsid w:val="00424DE6"/>
    <w:rsid w:val="00425611"/>
    <w:rsid w:val="00426880"/>
    <w:rsid w:val="00430073"/>
    <w:rsid w:val="004319A5"/>
    <w:rsid w:val="004319AB"/>
    <w:rsid w:val="0043221C"/>
    <w:rsid w:val="004356F5"/>
    <w:rsid w:val="004404D2"/>
    <w:rsid w:val="00443084"/>
    <w:rsid w:val="004444C5"/>
    <w:rsid w:val="0044696D"/>
    <w:rsid w:val="004521C8"/>
    <w:rsid w:val="00453AF3"/>
    <w:rsid w:val="00454652"/>
    <w:rsid w:val="00456403"/>
    <w:rsid w:val="00457872"/>
    <w:rsid w:val="00460961"/>
    <w:rsid w:val="00466B9F"/>
    <w:rsid w:val="00466BB0"/>
    <w:rsid w:val="00471BE6"/>
    <w:rsid w:val="0047739B"/>
    <w:rsid w:val="0048115C"/>
    <w:rsid w:val="004816F6"/>
    <w:rsid w:val="00486B2D"/>
    <w:rsid w:val="0049073D"/>
    <w:rsid w:val="00495F2B"/>
    <w:rsid w:val="00496196"/>
    <w:rsid w:val="004962F7"/>
    <w:rsid w:val="0049742E"/>
    <w:rsid w:val="004A0222"/>
    <w:rsid w:val="004A0520"/>
    <w:rsid w:val="004A1308"/>
    <w:rsid w:val="004A3591"/>
    <w:rsid w:val="004A58F0"/>
    <w:rsid w:val="004B0EAA"/>
    <w:rsid w:val="004B231C"/>
    <w:rsid w:val="004B2805"/>
    <w:rsid w:val="004B3C69"/>
    <w:rsid w:val="004B4272"/>
    <w:rsid w:val="004B7222"/>
    <w:rsid w:val="004C4D68"/>
    <w:rsid w:val="004C4E00"/>
    <w:rsid w:val="004C62DA"/>
    <w:rsid w:val="004C6998"/>
    <w:rsid w:val="004C6E1E"/>
    <w:rsid w:val="004D45C4"/>
    <w:rsid w:val="004D6831"/>
    <w:rsid w:val="004D709F"/>
    <w:rsid w:val="004D79C7"/>
    <w:rsid w:val="004E4D84"/>
    <w:rsid w:val="004F22A6"/>
    <w:rsid w:val="004F29D4"/>
    <w:rsid w:val="004F47A2"/>
    <w:rsid w:val="004F5916"/>
    <w:rsid w:val="004F6CAC"/>
    <w:rsid w:val="004F7570"/>
    <w:rsid w:val="004F7883"/>
    <w:rsid w:val="00502AD7"/>
    <w:rsid w:val="00502F5C"/>
    <w:rsid w:val="00511F91"/>
    <w:rsid w:val="00523149"/>
    <w:rsid w:val="00523D71"/>
    <w:rsid w:val="0052537F"/>
    <w:rsid w:val="005303C2"/>
    <w:rsid w:val="0053132E"/>
    <w:rsid w:val="0053476A"/>
    <w:rsid w:val="0053530F"/>
    <w:rsid w:val="00540B00"/>
    <w:rsid w:val="00541B74"/>
    <w:rsid w:val="00545234"/>
    <w:rsid w:val="005523AC"/>
    <w:rsid w:val="0055261E"/>
    <w:rsid w:val="0055740F"/>
    <w:rsid w:val="00560AB5"/>
    <w:rsid w:val="00560DD0"/>
    <w:rsid w:val="00563E56"/>
    <w:rsid w:val="0056410D"/>
    <w:rsid w:val="00571832"/>
    <w:rsid w:val="00571E11"/>
    <w:rsid w:val="00576C1C"/>
    <w:rsid w:val="00577816"/>
    <w:rsid w:val="00584139"/>
    <w:rsid w:val="00584B9A"/>
    <w:rsid w:val="00584BF5"/>
    <w:rsid w:val="00584D13"/>
    <w:rsid w:val="00592277"/>
    <w:rsid w:val="0059551E"/>
    <w:rsid w:val="00596CD9"/>
    <w:rsid w:val="005A5512"/>
    <w:rsid w:val="005B0140"/>
    <w:rsid w:val="005C142C"/>
    <w:rsid w:val="005C1906"/>
    <w:rsid w:val="005C3687"/>
    <w:rsid w:val="005D127F"/>
    <w:rsid w:val="005D3B32"/>
    <w:rsid w:val="005D5ED5"/>
    <w:rsid w:val="005E2607"/>
    <w:rsid w:val="005E2E67"/>
    <w:rsid w:val="005F1209"/>
    <w:rsid w:val="005F1A1A"/>
    <w:rsid w:val="005F3A83"/>
    <w:rsid w:val="005F5E3C"/>
    <w:rsid w:val="00601C69"/>
    <w:rsid w:val="00611474"/>
    <w:rsid w:val="00613F5D"/>
    <w:rsid w:val="00616F0B"/>
    <w:rsid w:val="00617C25"/>
    <w:rsid w:val="006226F0"/>
    <w:rsid w:val="006243CD"/>
    <w:rsid w:val="00634566"/>
    <w:rsid w:val="00643859"/>
    <w:rsid w:val="00645B42"/>
    <w:rsid w:val="00653048"/>
    <w:rsid w:val="0065304C"/>
    <w:rsid w:val="006546D7"/>
    <w:rsid w:val="00656B94"/>
    <w:rsid w:val="00663399"/>
    <w:rsid w:val="0066623D"/>
    <w:rsid w:val="0067143B"/>
    <w:rsid w:val="006718E8"/>
    <w:rsid w:val="00672123"/>
    <w:rsid w:val="0067219E"/>
    <w:rsid w:val="00672698"/>
    <w:rsid w:val="00684FAB"/>
    <w:rsid w:val="006864A4"/>
    <w:rsid w:val="00686D63"/>
    <w:rsid w:val="00687571"/>
    <w:rsid w:val="00690EAE"/>
    <w:rsid w:val="00691D70"/>
    <w:rsid w:val="006A289B"/>
    <w:rsid w:val="006B0A8E"/>
    <w:rsid w:val="006B1138"/>
    <w:rsid w:val="006B16F6"/>
    <w:rsid w:val="006B720F"/>
    <w:rsid w:val="006C75E0"/>
    <w:rsid w:val="006C7FDF"/>
    <w:rsid w:val="006D0FB0"/>
    <w:rsid w:val="006D10F4"/>
    <w:rsid w:val="006D1598"/>
    <w:rsid w:val="006D38D9"/>
    <w:rsid w:val="006D3FA3"/>
    <w:rsid w:val="006D4AC0"/>
    <w:rsid w:val="006E3D7F"/>
    <w:rsid w:val="006E6FA8"/>
    <w:rsid w:val="006F0543"/>
    <w:rsid w:val="006F19F2"/>
    <w:rsid w:val="006F3F88"/>
    <w:rsid w:val="006F58F5"/>
    <w:rsid w:val="006F68B5"/>
    <w:rsid w:val="00700247"/>
    <w:rsid w:val="00702BA6"/>
    <w:rsid w:val="007044BE"/>
    <w:rsid w:val="00707E77"/>
    <w:rsid w:val="00714AE0"/>
    <w:rsid w:val="00715EB5"/>
    <w:rsid w:val="007172E9"/>
    <w:rsid w:val="007178B1"/>
    <w:rsid w:val="00720E9F"/>
    <w:rsid w:val="0072171E"/>
    <w:rsid w:val="007221B9"/>
    <w:rsid w:val="00724C75"/>
    <w:rsid w:val="00734D75"/>
    <w:rsid w:val="00740B58"/>
    <w:rsid w:val="0074639F"/>
    <w:rsid w:val="0074662F"/>
    <w:rsid w:val="007519E4"/>
    <w:rsid w:val="00751B9C"/>
    <w:rsid w:val="007532BC"/>
    <w:rsid w:val="007536A6"/>
    <w:rsid w:val="00754112"/>
    <w:rsid w:val="00755EF9"/>
    <w:rsid w:val="00760CC0"/>
    <w:rsid w:val="00762319"/>
    <w:rsid w:val="007623C1"/>
    <w:rsid w:val="0076257C"/>
    <w:rsid w:val="00763BF4"/>
    <w:rsid w:val="00764BA9"/>
    <w:rsid w:val="00764BD2"/>
    <w:rsid w:val="00766C63"/>
    <w:rsid w:val="007717C0"/>
    <w:rsid w:val="00773148"/>
    <w:rsid w:val="00774A54"/>
    <w:rsid w:val="00775B02"/>
    <w:rsid w:val="007810A7"/>
    <w:rsid w:val="007852E1"/>
    <w:rsid w:val="00785DE2"/>
    <w:rsid w:val="00787C2D"/>
    <w:rsid w:val="00787D09"/>
    <w:rsid w:val="00790951"/>
    <w:rsid w:val="0079748E"/>
    <w:rsid w:val="007A0854"/>
    <w:rsid w:val="007A0A8E"/>
    <w:rsid w:val="007A136D"/>
    <w:rsid w:val="007A21B2"/>
    <w:rsid w:val="007A2684"/>
    <w:rsid w:val="007A2A65"/>
    <w:rsid w:val="007A57DB"/>
    <w:rsid w:val="007A7422"/>
    <w:rsid w:val="007B2764"/>
    <w:rsid w:val="007B3AFF"/>
    <w:rsid w:val="007B45C4"/>
    <w:rsid w:val="007B4850"/>
    <w:rsid w:val="007B4A62"/>
    <w:rsid w:val="007B596B"/>
    <w:rsid w:val="007B6101"/>
    <w:rsid w:val="007B769D"/>
    <w:rsid w:val="007C0A95"/>
    <w:rsid w:val="007C1035"/>
    <w:rsid w:val="007C3CA0"/>
    <w:rsid w:val="007C607E"/>
    <w:rsid w:val="007C615F"/>
    <w:rsid w:val="007C684E"/>
    <w:rsid w:val="007D06CE"/>
    <w:rsid w:val="007D1AA6"/>
    <w:rsid w:val="007D5C9E"/>
    <w:rsid w:val="007D6036"/>
    <w:rsid w:val="007D754C"/>
    <w:rsid w:val="007E17C4"/>
    <w:rsid w:val="007E1BFC"/>
    <w:rsid w:val="007F0476"/>
    <w:rsid w:val="007F1827"/>
    <w:rsid w:val="007F35E4"/>
    <w:rsid w:val="007F5F45"/>
    <w:rsid w:val="00801870"/>
    <w:rsid w:val="0080359A"/>
    <w:rsid w:val="008059CC"/>
    <w:rsid w:val="00805CBC"/>
    <w:rsid w:val="00805DC4"/>
    <w:rsid w:val="00810A89"/>
    <w:rsid w:val="00813546"/>
    <w:rsid w:val="00820B8E"/>
    <w:rsid w:val="00821307"/>
    <w:rsid w:val="00822E31"/>
    <w:rsid w:val="00831B34"/>
    <w:rsid w:val="00832B45"/>
    <w:rsid w:val="00835701"/>
    <w:rsid w:val="008401F4"/>
    <w:rsid w:val="0084064C"/>
    <w:rsid w:val="00843934"/>
    <w:rsid w:val="00845037"/>
    <w:rsid w:val="00850DBE"/>
    <w:rsid w:val="00851EBE"/>
    <w:rsid w:val="0085250E"/>
    <w:rsid w:val="00852AAE"/>
    <w:rsid w:val="00852B5F"/>
    <w:rsid w:val="0085385A"/>
    <w:rsid w:val="00854864"/>
    <w:rsid w:val="00861B9D"/>
    <w:rsid w:val="00865116"/>
    <w:rsid w:val="0086532E"/>
    <w:rsid w:val="008658D2"/>
    <w:rsid w:val="00865ABA"/>
    <w:rsid w:val="00866793"/>
    <w:rsid w:val="00866E24"/>
    <w:rsid w:val="00867E1D"/>
    <w:rsid w:val="00874BF5"/>
    <w:rsid w:val="00875988"/>
    <w:rsid w:val="008764E3"/>
    <w:rsid w:val="00877CE3"/>
    <w:rsid w:val="008803C5"/>
    <w:rsid w:val="00881028"/>
    <w:rsid w:val="00882F25"/>
    <w:rsid w:val="008842C3"/>
    <w:rsid w:val="0089229D"/>
    <w:rsid w:val="008924D2"/>
    <w:rsid w:val="008946C4"/>
    <w:rsid w:val="008A3DF4"/>
    <w:rsid w:val="008A6740"/>
    <w:rsid w:val="008C038C"/>
    <w:rsid w:val="008C06DB"/>
    <w:rsid w:val="008C0BA3"/>
    <w:rsid w:val="008C28BF"/>
    <w:rsid w:val="008C36EE"/>
    <w:rsid w:val="008C400D"/>
    <w:rsid w:val="008C4DEA"/>
    <w:rsid w:val="008C5702"/>
    <w:rsid w:val="008C584D"/>
    <w:rsid w:val="008C6D18"/>
    <w:rsid w:val="008D21D7"/>
    <w:rsid w:val="008D6222"/>
    <w:rsid w:val="008E0B18"/>
    <w:rsid w:val="008F1070"/>
    <w:rsid w:val="008F145A"/>
    <w:rsid w:val="008F4682"/>
    <w:rsid w:val="008F53FA"/>
    <w:rsid w:val="008F6281"/>
    <w:rsid w:val="00903935"/>
    <w:rsid w:val="0091042F"/>
    <w:rsid w:val="00923C8B"/>
    <w:rsid w:val="00930098"/>
    <w:rsid w:val="00932659"/>
    <w:rsid w:val="009348A1"/>
    <w:rsid w:val="00936450"/>
    <w:rsid w:val="0093645B"/>
    <w:rsid w:val="009372F6"/>
    <w:rsid w:val="00937488"/>
    <w:rsid w:val="00941F9E"/>
    <w:rsid w:val="00942622"/>
    <w:rsid w:val="0094495F"/>
    <w:rsid w:val="00945389"/>
    <w:rsid w:val="009570C4"/>
    <w:rsid w:val="00962D05"/>
    <w:rsid w:val="00962DF2"/>
    <w:rsid w:val="00963403"/>
    <w:rsid w:val="009655E7"/>
    <w:rsid w:val="009663A5"/>
    <w:rsid w:val="0096691C"/>
    <w:rsid w:val="00967473"/>
    <w:rsid w:val="00967DA7"/>
    <w:rsid w:val="0097385F"/>
    <w:rsid w:val="009807F1"/>
    <w:rsid w:val="0098301B"/>
    <w:rsid w:val="009833DA"/>
    <w:rsid w:val="00984134"/>
    <w:rsid w:val="00984F6A"/>
    <w:rsid w:val="00985AEF"/>
    <w:rsid w:val="00990C58"/>
    <w:rsid w:val="009921E1"/>
    <w:rsid w:val="00993A48"/>
    <w:rsid w:val="00996929"/>
    <w:rsid w:val="009A0848"/>
    <w:rsid w:val="009A215F"/>
    <w:rsid w:val="009A2FAE"/>
    <w:rsid w:val="009A3D84"/>
    <w:rsid w:val="009A52A9"/>
    <w:rsid w:val="009A77DF"/>
    <w:rsid w:val="009B00EA"/>
    <w:rsid w:val="009B19E4"/>
    <w:rsid w:val="009B5C15"/>
    <w:rsid w:val="009D0F83"/>
    <w:rsid w:val="009D2F99"/>
    <w:rsid w:val="009D5088"/>
    <w:rsid w:val="009D6407"/>
    <w:rsid w:val="009D648D"/>
    <w:rsid w:val="009D7BD8"/>
    <w:rsid w:val="009E14C1"/>
    <w:rsid w:val="009E2234"/>
    <w:rsid w:val="009E338C"/>
    <w:rsid w:val="009F76C4"/>
    <w:rsid w:val="00A01A5C"/>
    <w:rsid w:val="00A02121"/>
    <w:rsid w:val="00A03711"/>
    <w:rsid w:val="00A1103A"/>
    <w:rsid w:val="00A13196"/>
    <w:rsid w:val="00A22E19"/>
    <w:rsid w:val="00A23423"/>
    <w:rsid w:val="00A236E0"/>
    <w:rsid w:val="00A27F76"/>
    <w:rsid w:val="00A3073C"/>
    <w:rsid w:val="00A33FF1"/>
    <w:rsid w:val="00A354E2"/>
    <w:rsid w:val="00A36173"/>
    <w:rsid w:val="00A418D5"/>
    <w:rsid w:val="00A422D3"/>
    <w:rsid w:val="00A4482B"/>
    <w:rsid w:val="00A54248"/>
    <w:rsid w:val="00A56136"/>
    <w:rsid w:val="00A5701B"/>
    <w:rsid w:val="00A577B3"/>
    <w:rsid w:val="00A61BFB"/>
    <w:rsid w:val="00A64728"/>
    <w:rsid w:val="00A67840"/>
    <w:rsid w:val="00A678B3"/>
    <w:rsid w:val="00A7116D"/>
    <w:rsid w:val="00A725EF"/>
    <w:rsid w:val="00A73105"/>
    <w:rsid w:val="00A748E1"/>
    <w:rsid w:val="00A755AD"/>
    <w:rsid w:val="00A76C6A"/>
    <w:rsid w:val="00A7776B"/>
    <w:rsid w:val="00A80206"/>
    <w:rsid w:val="00A804BD"/>
    <w:rsid w:val="00A83B3A"/>
    <w:rsid w:val="00A85D51"/>
    <w:rsid w:val="00A87C10"/>
    <w:rsid w:val="00A90F0F"/>
    <w:rsid w:val="00A9104E"/>
    <w:rsid w:val="00A95D41"/>
    <w:rsid w:val="00A96B4F"/>
    <w:rsid w:val="00AA0E66"/>
    <w:rsid w:val="00AA2F6E"/>
    <w:rsid w:val="00AB451B"/>
    <w:rsid w:val="00AB54CF"/>
    <w:rsid w:val="00AB5577"/>
    <w:rsid w:val="00AB6338"/>
    <w:rsid w:val="00AC2BE3"/>
    <w:rsid w:val="00AC6A59"/>
    <w:rsid w:val="00AD4EBE"/>
    <w:rsid w:val="00AD615E"/>
    <w:rsid w:val="00AD683B"/>
    <w:rsid w:val="00AD7440"/>
    <w:rsid w:val="00AE0394"/>
    <w:rsid w:val="00AE0891"/>
    <w:rsid w:val="00AE6907"/>
    <w:rsid w:val="00AE74CB"/>
    <w:rsid w:val="00AE7C54"/>
    <w:rsid w:val="00AF17B7"/>
    <w:rsid w:val="00AF23F5"/>
    <w:rsid w:val="00AF4AF1"/>
    <w:rsid w:val="00AF7650"/>
    <w:rsid w:val="00B00D49"/>
    <w:rsid w:val="00B0337A"/>
    <w:rsid w:val="00B03B89"/>
    <w:rsid w:val="00B114A3"/>
    <w:rsid w:val="00B13DD3"/>
    <w:rsid w:val="00B1476E"/>
    <w:rsid w:val="00B16043"/>
    <w:rsid w:val="00B1634D"/>
    <w:rsid w:val="00B17667"/>
    <w:rsid w:val="00B23DB9"/>
    <w:rsid w:val="00B2488B"/>
    <w:rsid w:val="00B26B32"/>
    <w:rsid w:val="00B30236"/>
    <w:rsid w:val="00B3454D"/>
    <w:rsid w:val="00B36FC5"/>
    <w:rsid w:val="00B400EF"/>
    <w:rsid w:val="00B42737"/>
    <w:rsid w:val="00B50548"/>
    <w:rsid w:val="00B56926"/>
    <w:rsid w:val="00B575B9"/>
    <w:rsid w:val="00B57AD1"/>
    <w:rsid w:val="00B606C1"/>
    <w:rsid w:val="00B61F8A"/>
    <w:rsid w:val="00B63E15"/>
    <w:rsid w:val="00B72035"/>
    <w:rsid w:val="00B743E0"/>
    <w:rsid w:val="00B75CBE"/>
    <w:rsid w:val="00B80210"/>
    <w:rsid w:val="00B83EAE"/>
    <w:rsid w:val="00B8436F"/>
    <w:rsid w:val="00B85675"/>
    <w:rsid w:val="00B91DB5"/>
    <w:rsid w:val="00B92239"/>
    <w:rsid w:val="00B95AA6"/>
    <w:rsid w:val="00B965D4"/>
    <w:rsid w:val="00B96A90"/>
    <w:rsid w:val="00B978AB"/>
    <w:rsid w:val="00BA12A4"/>
    <w:rsid w:val="00BA4CE1"/>
    <w:rsid w:val="00BA5EC0"/>
    <w:rsid w:val="00BB2E25"/>
    <w:rsid w:val="00BB481D"/>
    <w:rsid w:val="00BB4BEF"/>
    <w:rsid w:val="00BC1989"/>
    <w:rsid w:val="00BC684B"/>
    <w:rsid w:val="00BD3502"/>
    <w:rsid w:val="00BE0C38"/>
    <w:rsid w:val="00BE3FDD"/>
    <w:rsid w:val="00BE501C"/>
    <w:rsid w:val="00BE530E"/>
    <w:rsid w:val="00BE7BCE"/>
    <w:rsid w:val="00BF0B41"/>
    <w:rsid w:val="00BF23E3"/>
    <w:rsid w:val="00BF497C"/>
    <w:rsid w:val="00BF6732"/>
    <w:rsid w:val="00C0091B"/>
    <w:rsid w:val="00C05EBA"/>
    <w:rsid w:val="00C10A6C"/>
    <w:rsid w:val="00C12739"/>
    <w:rsid w:val="00C130D3"/>
    <w:rsid w:val="00C13217"/>
    <w:rsid w:val="00C20816"/>
    <w:rsid w:val="00C23211"/>
    <w:rsid w:val="00C308A2"/>
    <w:rsid w:val="00C30E91"/>
    <w:rsid w:val="00C318F6"/>
    <w:rsid w:val="00C35C0D"/>
    <w:rsid w:val="00C40742"/>
    <w:rsid w:val="00C41DAA"/>
    <w:rsid w:val="00C46A0B"/>
    <w:rsid w:val="00C50AB6"/>
    <w:rsid w:val="00C55F7B"/>
    <w:rsid w:val="00C562BE"/>
    <w:rsid w:val="00C6283F"/>
    <w:rsid w:val="00C62D19"/>
    <w:rsid w:val="00C65531"/>
    <w:rsid w:val="00C73A77"/>
    <w:rsid w:val="00C76DD3"/>
    <w:rsid w:val="00C801B4"/>
    <w:rsid w:val="00C82190"/>
    <w:rsid w:val="00C8460D"/>
    <w:rsid w:val="00C86908"/>
    <w:rsid w:val="00C90618"/>
    <w:rsid w:val="00C93EE6"/>
    <w:rsid w:val="00C95640"/>
    <w:rsid w:val="00C95A91"/>
    <w:rsid w:val="00CA0BE2"/>
    <w:rsid w:val="00CA3445"/>
    <w:rsid w:val="00CA5551"/>
    <w:rsid w:val="00CA784A"/>
    <w:rsid w:val="00CB1FAD"/>
    <w:rsid w:val="00CB3F7B"/>
    <w:rsid w:val="00CB4647"/>
    <w:rsid w:val="00CB64CE"/>
    <w:rsid w:val="00CC33D6"/>
    <w:rsid w:val="00CC458A"/>
    <w:rsid w:val="00CC4917"/>
    <w:rsid w:val="00CC587F"/>
    <w:rsid w:val="00CC5A33"/>
    <w:rsid w:val="00CC5AA0"/>
    <w:rsid w:val="00CE21C1"/>
    <w:rsid w:val="00CE2E41"/>
    <w:rsid w:val="00CE4812"/>
    <w:rsid w:val="00CE5075"/>
    <w:rsid w:val="00CF0AD9"/>
    <w:rsid w:val="00CF25A2"/>
    <w:rsid w:val="00D05A6E"/>
    <w:rsid w:val="00D079C4"/>
    <w:rsid w:val="00D16A81"/>
    <w:rsid w:val="00D16A96"/>
    <w:rsid w:val="00D25F52"/>
    <w:rsid w:val="00D273F2"/>
    <w:rsid w:val="00D27BB7"/>
    <w:rsid w:val="00D35793"/>
    <w:rsid w:val="00D456C0"/>
    <w:rsid w:val="00D519AD"/>
    <w:rsid w:val="00D53F99"/>
    <w:rsid w:val="00D54F43"/>
    <w:rsid w:val="00D57FE8"/>
    <w:rsid w:val="00D64630"/>
    <w:rsid w:val="00D648AA"/>
    <w:rsid w:val="00D64EF3"/>
    <w:rsid w:val="00D65038"/>
    <w:rsid w:val="00D71499"/>
    <w:rsid w:val="00D71B0E"/>
    <w:rsid w:val="00D749C7"/>
    <w:rsid w:val="00D771AC"/>
    <w:rsid w:val="00D813E8"/>
    <w:rsid w:val="00D82F33"/>
    <w:rsid w:val="00D857BA"/>
    <w:rsid w:val="00D875C2"/>
    <w:rsid w:val="00D915E0"/>
    <w:rsid w:val="00D926D9"/>
    <w:rsid w:val="00D9360D"/>
    <w:rsid w:val="00D96D19"/>
    <w:rsid w:val="00D975BD"/>
    <w:rsid w:val="00DA1B91"/>
    <w:rsid w:val="00DB2CE1"/>
    <w:rsid w:val="00DB7F3E"/>
    <w:rsid w:val="00DC25EB"/>
    <w:rsid w:val="00DC4FD4"/>
    <w:rsid w:val="00DC6BC0"/>
    <w:rsid w:val="00DD2D3E"/>
    <w:rsid w:val="00DD36AB"/>
    <w:rsid w:val="00DD63C1"/>
    <w:rsid w:val="00DE3D54"/>
    <w:rsid w:val="00DE460D"/>
    <w:rsid w:val="00DE4805"/>
    <w:rsid w:val="00DE5482"/>
    <w:rsid w:val="00DE6F63"/>
    <w:rsid w:val="00DE731C"/>
    <w:rsid w:val="00DF1151"/>
    <w:rsid w:val="00DF3981"/>
    <w:rsid w:val="00DF53BA"/>
    <w:rsid w:val="00DF5B00"/>
    <w:rsid w:val="00E025B0"/>
    <w:rsid w:val="00E06324"/>
    <w:rsid w:val="00E076F3"/>
    <w:rsid w:val="00E12F0D"/>
    <w:rsid w:val="00E204E1"/>
    <w:rsid w:val="00E22A87"/>
    <w:rsid w:val="00E26969"/>
    <w:rsid w:val="00E30821"/>
    <w:rsid w:val="00E3177F"/>
    <w:rsid w:val="00E32135"/>
    <w:rsid w:val="00E3356C"/>
    <w:rsid w:val="00E41972"/>
    <w:rsid w:val="00E41B62"/>
    <w:rsid w:val="00E4714E"/>
    <w:rsid w:val="00E4745D"/>
    <w:rsid w:val="00E5065F"/>
    <w:rsid w:val="00E51A23"/>
    <w:rsid w:val="00E51A94"/>
    <w:rsid w:val="00E51B15"/>
    <w:rsid w:val="00E52616"/>
    <w:rsid w:val="00E55F20"/>
    <w:rsid w:val="00E60BDD"/>
    <w:rsid w:val="00E675E5"/>
    <w:rsid w:val="00E70BA3"/>
    <w:rsid w:val="00E77495"/>
    <w:rsid w:val="00E77665"/>
    <w:rsid w:val="00E8209D"/>
    <w:rsid w:val="00E838B0"/>
    <w:rsid w:val="00E86096"/>
    <w:rsid w:val="00E86C3D"/>
    <w:rsid w:val="00E900DB"/>
    <w:rsid w:val="00E9157B"/>
    <w:rsid w:val="00E91C19"/>
    <w:rsid w:val="00E930EB"/>
    <w:rsid w:val="00E941B4"/>
    <w:rsid w:val="00EA40D6"/>
    <w:rsid w:val="00EA46C3"/>
    <w:rsid w:val="00EA5C7E"/>
    <w:rsid w:val="00EB0293"/>
    <w:rsid w:val="00EB0852"/>
    <w:rsid w:val="00EB1CE1"/>
    <w:rsid w:val="00EB3B2B"/>
    <w:rsid w:val="00EC69CF"/>
    <w:rsid w:val="00ED26C1"/>
    <w:rsid w:val="00ED3293"/>
    <w:rsid w:val="00ED3933"/>
    <w:rsid w:val="00ED61F3"/>
    <w:rsid w:val="00ED6888"/>
    <w:rsid w:val="00EE074F"/>
    <w:rsid w:val="00EE128D"/>
    <w:rsid w:val="00EE34BC"/>
    <w:rsid w:val="00EE647B"/>
    <w:rsid w:val="00EE7CE7"/>
    <w:rsid w:val="00EF546D"/>
    <w:rsid w:val="00EF6350"/>
    <w:rsid w:val="00EF66B9"/>
    <w:rsid w:val="00F0063F"/>
    <w:rsid w:val="00F03565"/>
    <w:rsid w:val="00F06D94"/>
    <w:rsid w:val="00F10A58"/>
    <w:rsid w:val="00F156A3"/>
    <w:rsid w:val="00F157FA"/>
    <w:rsid w:val="00F15B72"/>
    <w:rsid w:val="00F210C8"/>
    <w:rsid w:val="00F219A3"/>
    <w:rsid w:val="00F264B8"/>
    <w:rsid w:val="00F267E9"/>
    <w:rsid w:val="00F26CDB"/>
    <w:rsid w:val="00F2712C"/>
    <w:rsid w:val="00F303D7"/>
    <w:rsid w:val="00F32D1D"/>
    <w:rsid w:val="00F37282"/>
    <w:rsid w:val="00F4439C"/>
    <w:rsid w:val="00F464C9"/>
    <w:rsid w:val="00F5221E"/>
    <w:rsid w:val="00F523EA"/>
    <w:rsid w:val="00F55803"/>
    <w:rsid w:val="00F55853"/>
    <w:rsid w:val="00F55BAF"/>
    <w:rsid w:val="00F60F44"/>
    <w:rsid w:val="00F63063"/>
    <w:rsid w:val="00F63D6F"/>
    <w:rsid w:val="00F70462"/>
    <w:rsid w:val="00F71775"/>
    <w:rsid w:val="00F72F5C"/>
    <w:rsid w:val="00F74EBC"/>
    <w:rsid w:val="00F800D2"/>
    <w:rsid w:val="00F811B1"/>
    <w:rsid w:val="00F83037"/>
    <w:rsid w:val="00F84669"/>
    <w:rsid w:val="00F86EA3"/>
    <w:rsid w:val="00F91A37"/>
    <w:rsid w:val="00F92906"/>
    <w:rsid w:val="00FA155A"/>
    <w:rsid w:val="00FA1AE5"/>
    <w:rsid w:val="00FA2EDB"/>
    <w:rsid w:val="00FA679D"/>
    <w:rsid w:val="00FB3F30"/>
    <w:rsid w:val="00FB60D9"/>
    <w:rsid w:val="00FB6977"/>
    <w:rsid w:val="00FB7FD8"/>
    <w:rsid w:val="00FC5D73"/>
    <w:rsid w:val="00FC75F6"/>
    <w:rsid w:val="00FD5C9D"/>
    <w:rsid w:val="00FE145A"/>
    <w:rsid w:val="00FE15BF"/>
    <w:rsid w:val="00FE40D7"/>
    <w:rsid w:val="00FE5221"/>
    <w:rsid w:val="00FE5B92"/>
    <w:rsid w:val="00FE6265"/>
    <w:rsid w:val="00FE7645"/>
    <w:rsid w:val="00FF0239"/>
    <w:rsid w:val="00FF0D1D"/>
    <w:rsid w:val="00FF3FA0"/>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2A2F"/>
  <w15:chartTrackingRefBased/>
  <w15:docId w15:val="{47763D91-6A79-497B-A1A8-D4D6D315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48D"/>
  </w:style>
  <w:style w:type="paragraph" w:styleId="Footer">
    <w:name w:val="footer"/>
    <w:basedOn w:val="Normal"/>
    <w:link w:val="FooterChar"/>
    <w:uiPriority w:val="99"/>
    <w:unhideWhenUsed/>
    <w:rsid w:val="009D6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48D"/>
  </w:style>
  <w:style w:type="paragraph" w:styleId="ListParagraph">
    <w:name w:val="List Paragraph"/>
    <w:basedOn w:val="Normal"/>
    <w:uiPriority w:val="34"/>
    <w:qFormat/>
    <w:rsid w:val="00634566"/>
    <w:pPr>
      <w:spacing w:after="200" w:line="276" w:lineRule="auto"/>
      <w:ind w:left="720"/>
      <w:contextualSpacing/>
    </w:pPr>
  </w:style>
  <w:style w:type="character" w:customStyle="1" w:styleId="apple-converted-space">
    <w:name w:val="apple-converted-space"/>
    <w:basedOn w:val="DefaultParagraphFont"/>
    <w:rsid w:val="00634566"/>
  </w:style>
  <w:style w:type="paragraph" w:styleId="BalloonText">
    <w:name w:val="Balloon Text"/>
    <w:basedOn w:val="Normal"/>
    <w:link w:val="BalloonTextChar"/>
    <w:uiPriority w:val="99"/>
    <w:semiHidden/>
    <w:unhideWhenUsed/>
    <w:rsid w:val="00183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932"/>
    <w:rPr>
      <w:rFonts w:ascii="Segoe UI" w:hAnsi="Segoe UI" w:cs="Segoe UI"/>
      <w:sz w:val="18"/>
      <w:szCs w:val="18"/>
    </w:rPr>
  </w:style>
  <w:style w:type="table" w:styleId="TableGrid">
    <w:name w:val="Table Grid"/>
    <w:basedOn w:val="TableNormal"/>
    <w:uiPriority w:val="39"/>
    <w:rsid w:val="00EB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82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2283">
      <w:bodyDiv w:val="1"/>
      <w:marLeft w:val="0"/>
      <w:marRight w:val="0"/>
      <w:marTop w:val="0"/>
      <w:marBottom w:val="0"/>
      <w:divBdr>
        <w:top w:val="none" w:sz="0" w:space="0" w:color="auto"/>
        <w:left w:val="none" w:sz="0" w:space="0" w:color="auto"/>
        <w:bottom w:val="none" w:sz="0" w:space="0" w:color="auto"/>
        <w:right w:val="none" w:sz="0" w:space="0" w:color="auto"/>
      </w:divBdr>
      <w:divsChild>
        <w:div w:id="218787178">
          <w:marLeft w:val="0"/>
          <w:marRight w:val="0"/>
          <w:marTop w:val="0"/>
          <w:marBottom w:val="0"/>
          <w:divBdr>
            <w:top w:val="none" w:sz="0" w:space="0" w:color="auto"/>
            <w:left w:val="none" w:sz="0" w:space="0" w:color="auto"/>
            <w:bottom w:val="none" w:sz="0" w:space="0" w:color="auto"/>
            <w:right w:val="none" w:sz="0" w:space="0" w:color="auto"/>
          </w:divBdr>
          <w:divsChild>
            <w:div w:id="1027097902">
              <w:marLeft w:val="0"/>
              <w:marRight w:val="0"/>
              <w:marTop w:val="0"/>
              <w:marBottom w:val="0"/>
              <w:divBdr>
                <w:top w:val="none" w:sz="0" w:space="0" w:color="auto"/>
                <w:left w:val="none" w:sz="0" w:space="0" w:color="auto"/>
                <w:bottom w:val="none" w:sz="0" w:space="0" w:color="auto"/>
                <w:right w:val="none" w:sz="0" w:space="0" w:color="auto"/>
              </w:divBdr>
            </w:div>
          </w:divsChild>
        </w:div>
        <w:div w:id="10379191">
          <w:marLeft w:val="0"/>
          <w:marRight w:val="0"/>
          <w:marTop w:val="0"/>
          <w:marBottom w:val="0"/>
          <w:divBdr>
            <w:top w:val="none" w:sz="0" w:space="0" w:color="auto"/>
            <w:left w:val="none" w:sz="0" w:space="0" w:color="auto"/>
            <w:bottom w:val="none" w:sz="0" w:space="0" w:color="auto"/>
            <w:right w:val="none" w:sz="0" w:space="0" w:color="auto"/>
          </w:divBdr>
          <w:divsChild>
            <w:div w:id="8313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61292">
      <w:bodyDiv w:val="1"/>
      <w:marLeft w:val="0"/>
      <w:marRight w:val="0"/>
      <w:marTop w:val="0"/>
      <w:marBottom w:val="0"/>
      <w:divBdr>
        <w:top w:val="none" w:sz="0" w:space="0" w:color="auto"/>
        <w:left w:val="none" w:sz="0" w:space="0" w:color="auto"/>
        <w:bottom w:val="none" w:sz="0" w:space="0" w:color="auto"/>
        <w:right w:val="none" w:sz="0" w:space="0" w:color="auto"/>
      </w:divBdr>
    </w:div>
    <w:div w:id="601842980">
      <w:bodyDiv w:val="1"/>
      <w:marLeft w:val="0"/>
      <w:marRight w:val="0"/>
      <w:marTop w:val="0"/>
      <w:marBottom w:val="0"/>
      <w:divBdr>
        <w:top w:val="none" w:sz="0" w:space="0" w:color="auto"/>
        <w:left w:val="none" w:sz="0" w:space="0" w:color="auto"/>
        <w:bottom w:val="none" w:sz="0" w:space="0" w:color="auto"/>
        <w:right w:val="none" w:sz="0" w:space="0" w:color="auto"/>
      </w:divBdr>
    </w:div>
    <w:div w:id="793252887">
      <w:bodyDiv w:val="1"/>
      <w:marLeft w:val="0"/>
      <w:marRight w:val="0"/>
      <w:marTop w:val="0"/>
      <w:marBottom w:val="0"/>
      <w:divBdr>
        <w:top w:val="none" w:sz="0" w:space="0" w:color="auto"/>
        <w:left w:val="none" w:sz="0" w:space="0" w:color="auto"/>
        <w:bottom w:val="none" w:sz="0" w:space="0" w:color="auto"/>
        <w:right w:val="none" w:sz="0" w:space="0" w:color="auto"/>
      </w:divBdr>
    </w:div>
    <w:div w:id="938176854">
      <w:bodyDiv w:val="1"/>
      <w:marLeft w:val="0"/>
      <w:marRight w:val="0"/>
      <w:marTop w:val="0"/>
      <w:marBottom w:val="0"/>
      <w:divBdr>
        <w:top w:val="none" w:sz="0" w:space="0" w:color="auto"/>
        <w:left w:val="none" w:sz="0" w:space="0" w:color="auto"/>
        <w:bottom w:val="none" w:sz="0" w:space="0" w:color="auto"/>
        <w:right w:val="none" w:sz="0" w:space="0" w:color="auto"/>
      </w:divBdr>
    </w:div>
    <w:div w:id="1275014491">
      <w:bodyDiv w:val="1"/>
      <w:marLeft w:val="0"/>
      <w:marRight w:val="0"/>
      <w:marTop w:val="0"/>
      <w:marBottom w:val="0"/>
      <w:divBdr>
        <w:top w:val="none" w:sz="0" w:space="0" w:color="auto"/>
        <w:left w:val="none" w:sz="0" w:space="0" w:color="auto"/>
        <w:bottom w:val="none" w:sz="0" w:space="0" w:color="auto"/>
        <w:right w:val="none" w:sz="0" w:space="0" w:color="auto"/>
      </w:divBdr>
    </w:div>
    <w:div w:id="1778021529">
      <w:bodyDiv w:val="1"/>
      <w:marLeft w:val="0"/>
      <w:marRight w:val="0"/>
      <w:marTop w:val="0"/>
      <w:marBottom w:val="0"/>
      <w:divBdr>
        <w:top w:val="none" w:sz="0" w:space="0" w:color="auto"/>
        <w:left w:val="none" w:sz="0" w:space="0" w:color="auto"/>
        <w:bottom w:val="none" w:sz="0" w:space="0" w:color="auto"/>
        <w:right w:val="none" w:sz="0" w:space="0" w:color="auto"/>
      </w:divBdr>
    </w:div>
    <w:div w:id="18408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BA22-5451-4383-BE0E-9A7EC5D4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4006</TotalTime>
  <Pages>34</Pages>
  <Words>13005</Words>
  <Characters>74135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Jageman</dc:creator>
  <cp:keywords/>
  <dc:description/>
  <cp:lastModifiedBy>Harry Jageman</cp:lastModifiedBy>
  <cp:revision>143</cp:revision>
  <cp:lastPrinted>2020-03-20T14:50:00Z</cp:lastPrinted>
  <dcterms:created xsi:type="dcterms:W3CDTF">2023-04-30T15:23:00Z</dcterms:created>
  <dcterms:modified xsi:type="dcterms:W3CDTF">2023-05-21T13:08:00Z</dcterms:modified>
</cp:coreProperties>
</file>