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6F42F" w14:textId="77777777" w:rsidR="00776E75" w:rsidRDefault="00630C42">
      <w:pPr>
        <w:pStyle w:val="Title"/>
      </w:pPr>
      <w:r>
        <w:t>Conserve Southwest Utah Comments on the Brian Head Resort Expansion</w:t>
      </w:r>
    </w:p>
    <w:p w14:paraId="44A25B5C" w14:textId="77777777" w:rsidR="00776E75" w:rsidRDefault="00630C42">
      <w:r>
        <w:rPr>
          <w:b/>
        </w:rPr>
        <w:t>Draft Environmental Impact Statement and Proposed Forest Plan Amendment</w:t>
      </w:r>
    </w:p>
    <w:p w14:paraId="2397A4D0" w14:textId="0D6571F8" w:rsidR="00776E75" w:rsidRDefault="0004312C">
      <w:r>
        <w:t>10/29/2026</w:t>
      </w:r>
    </w:p>
    <w:p w14:paraId="0B9A8D31" w14:textId="77777777" w:rsidR="00776E75" w:rsidRDefault="00630C42">
      <w:pPr>
        <w:keepLines/>
      </w:pPr>
      <w:r>
        <w:t>Kevin Wright, Forest Supervisor</w:t>
      </w:r>
      <w:r>
        <w:br/>
        <w:t>c/o Matt Loscalzo, Project Manager</w:t>
      </w:r>
      <w:r>
        <w:br/>
        <w:t>Dixie National Forest</w:t>
      </w:r>
      <w:r>
        <w:br/>
        <w:t>820 North Main Street</w:t>
      </w:r>
      <w:r>
        <w:br/>
        <w:t>Cedar City, UT 84721</w:t>
      </w:r>
    </w:p>
    <w:p w14:paraId="43274B2C" w14:textId="77777777" w:rsidR="00776E75" w:rsidRDefault="00630C42">
      <w:pPr>
        <w:keepLines/>
      </w:pPr>
      <w:r>
        <w:rPr>
          <w:b/>
        </w:rPr>
        <w:t>Subject: Brian Head Resort Expansion Environmental Impact Statement — Project 292353</w:t>
      </w:r>
    </w:p>
    <w:p w14:paraId="557B9D91" w14:textId="77777777" w:rsidR="00776E75" w:rsidRDefault="00630C42">
      <w:r>
        <w:t>Dear Supervisor Wright:</w:t>
      </w:r>
    </w:p>
    <w:p w14:paraId="0258A191" w14:textId="77777777" w:rsidR="00776E75" w:rsidRDefault="00630C42">
      <w:r>
        <w:t>Conserve Southwest Utah (CSU) submits these comments on the Brian Head Resort Expansion Draft Environmental Impact Statement (DEIS) and proposed Forest Plan amendment. Our interest is in protecting the water, wildlife, public access, and recreation settings of this landscape while ensuring that resort development fits the capacity of the land and surrounding communities.</w:t>
      </w:r>
    </w:p>
    <w:p w14:paraId="1D3ADBA5" w14:textId="77777777" w:rsidR="00776E75" w:rsidRDefault="00630C42">
      <w:pPr>
        <w:pStyle w:val="Heading1"/>
      </w:pPr>
      <w:r>
        <w:t>1 CSU position and conditions for approval</w:t>
      </w:r>
    </w:p>
    <w:p w14:paraId="7609039C" w14:textId="77777777" w:rsidR="00776E75" w:rsidRDefault="00630C42">
      <w:r>
        <w:t>CSU favors Alternative 4 over Alternatives 2 and 3 as the basis for further refinement. It avoids the Navajo Ridge to Dry Lakes Pod while increasing comfortable carrying capacity on National Forest System lands and connected actions from 4,330 to 7,520 guests. Its recreation benefits and smaller footprint warrant consideration, but do not resolve its water constraints, permanent habitat losses, or incomplete commitments. (DEIS, pp. 94–96.)</w:t>
      </w:r>
    </w:p>
    <w:p w14:paraId="52DC7121" w14:textId="77777777" w:rsidR="00776E75" w:rsidRDefault="00630C42">
      <w:r>
        <w:t>We are asking for a smaller proposal that avoids more talus disturbance, limits snowmaking to what the water supply and operating restrictions can support, and keeps the Forest Plan amendment no broader than justified. The Forest Service should evaluate concentrating snowmaking on essential connecting runs and rerouting or omitting components that disturb pika habitat. That comparison should identify the affected components, their recreation functions, and the feasibility of these changes. The need to conne</w:t>
      </w:r>
      <w:r>
        <w:t>ct ski terrain, cited in dismissing a no-snowmaking alternative, does not establish that every proposed snowmaking acre is necessary. (DEIS, p. 40.)</w:t>
      </w:r>
    </w:p>
    <w:p w14:paraId="6DECE9C2" w14:textId="77777777" w:rsidR="00776E75" w:rsidRDefault="00630C42">
      <w:r>
        <w:t>These design changes would reduce permanent impacts. For the remaining proposal, we ask the Forest Service to explain which safeguards meet existing requirements and which it would adopt under its special-use authority. The decision should identify the evidence and binding conditions supporting its conclusions about impacts, including restrictions on resort activity if essential outside commitments are unavailable. (36 CFR 251.56.)</w:t>
      </w:r>
    </w:p>
    <w:p w14:paraId="34D0B176" w14:textId="77777777" w:rsidR="00776E75" w:rsidRDefault="00630C42">
      <w:pPr>
        <w:pStyle w:val="ListBullet"/>
        <w:spacing w:after="100"/>
        <w:ind w:left="245" w:hanging="173"/>
      </w:pPr>
      <w:r>
        <w:t>Before the decision, the Forest Service should resolve the groundwater basis for operating limits, the adequacy of habitat offsets, essential infrastructure assumptions, and the effects of the Forest Plan amendment. Essential commitments must be feasible before the agency relies on them.</w:t>
      </w:r>
    </w:p>
    <w:p w14:paraId="4534CA9E" w14:textId="77777777" w:rsidR="00776E75" w:rsidRDefault="00630C42">
      <w:pPr>
        <w:pStyle w:val="ListBullet"/>
        <w:spacing w:after="100"/>
        <w:ind w:left="245" w:hanging="173"/>
      </w:pPr>
      <w:r>
        <w:t>Before construction or use begins, the approvals, agreements, designs, infrastructure, and monitoring needed for that activity should be in place.</w:t>
      </w:r>
    </w:p>
    <w:p w14:paraId="154DE592" w14:textId="77777777" w:rsidR="00776E75" w:rsidRDefault="00630C42">
      <w:pPr>
        <w:pStyle w:val="ListBullet"/>
        <w:spacing w:after="100"/>
        <w:ind w:left="245" w:hanging="173"/>
      </w:pPr>
      <w:r>
        <w:t>During operation, compliance must be verified, results reported, corrective measures applied, and restoration completed.</w:t>
      </w:r>
    </w:p>
    <w:p w14:paraId="686CC12B" w14:textId="77777777" w:rsidR="00776E75" w:rsidRDefault="00630C42">
      <w:r>
        <w:t xml:space="preserve">Alternative 4 would encompass approximately 1,768 acres within the Special Use Permit boundary, with 210 acres of new ski terrain and 117 acres of new snowmaking coverage. The analysis should cover all development being authorized, even if construction occurs in stages. Each operational stage should function </w:t>
      </w:r>
      <w:r>
        <w:lastRenderedPageBreak/>
        <w:t>within its restrictions if later expansion never occurs. The comparison with No Action should remain part of the analysis. Alternative 4 is not an established first phase, and later expansion requires its own applicable authorization and environmental review. (DEIS, chapter 2.)</w:t>
      </w:r>
    </w:p>
    <w:p w14:paraId="2F3B7221" w14:textId="77777777" w:rsidR="00776E75" w:rsidRDefault="00630C42">
      <w:pPr>
        <w:pStyle w:val="Heading1"/>
      </w:pPr>
      <w:r>
        <w:t>2 Water supply and groundwater</w:t>
      </w:r>
    </w:p>
    <w:p w14:paraId="169617DC" w14:textId="77777777" w:rsidR="00776E75" w:rsidRDefault="00630C42">
      <w:pPr>
        <w:pStyle w:val="Heading2"/>
      </w:pPr>
      <w:r>
        <w:t>Reliable supply</w:t>
      </w:r>
    </w:p>
    <w:p w14:paraId="171E0B6C" w14:textId="77777777" w:rsidR="00776E75" w:rsidRDefault="00630C42">
      <w:r>
        <w:t>Under the DEIS’s higher modeled snowmaking rate, demand exceeds the supply identified for the resort, including nonbinding letters of intent. The table separates snowmaking from culinary demand and includes existing and proposed snowmaking. (DEIS, Table 3.7-3, p. 124.)</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00" w:type="dxa"/>
          <w:left w:w="100" w:type="dxa"/>
          <w:bottom w:w="100" w:type="dxa"/>
          <w:right w:w="100" w:type="dxa"/>
        </w:tblCellMar>
        <w:tblLook w:val="04A0" w:firstRow="1" w:lastRow="0" w:firstColumn="1" w:lastColumn="0" w:noHBand="0" w:noVBand="1"/>
      </w:tblPr>
      <w:tblGrid>
        <w:gridCol w:w="3384"/>
        <w:gridCol w:w="1584"/>
        <w:gridCol w:w="2304"/>
        <w:gridCol w:w="2232"/>
      </w:tblGrid>
      <w:tr w:rsidR="00776E75" w14:paraId="02F24C2B" w14:textId="77777777">
        <w:trPr>
          <w:tblHeader/>
        </w:trPr>
        <w:tc>
          <w:tcPr>
            <w:tcW w:w="3384"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76A8E00F" w14:textId="77777777" w:rsidR="00776E75" w:rsidRDefault="00630C42">
            <w:pPr>
              <w:keepNext/>
              <w:spacing w:after="0"/>
            </w:pPr>
            <w:r>
              <w:rPr>
                <w:b/>
                <w:sz w:val="20"/>
              </w:rPr>
              <w:t>Snowmaking scenario</w:t>
            </w:r>
          </w:p>
        </w:tc>
        <w:tc>
          <w:tcPr>
            <w:tcW w:w="1584"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47A897A2" w14:textId="77777777" w:rsidR="00776E75" w:rsidRDefault="00630C42">
            <w:pPr>
              <w:keepNext/>
              <w:spacing w:after="0"/>
              <w:jc w:val="center"/>
            </w:pPr>
            <w:r>
              <w:rPr>
                <w:b/>
                <w:sz w:val="20"/>
              </w:rPr>
              <w:t>Demand</w:t>
            </w:r>
          </w:p>
        </w:tc>
        <w:tc>
          <w:tcPr>
            <w:tcW w:w="2304"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29CE092E" w14:textId="77777777" w:rsidR="00776E75" w:rsidRDefault="00630C42">
            <w:pPr>
              <w:keepNext/>
              <w:spacing w:after="0"/>
              <w:jc w:val="center"/>
            </w:pPr>
            <w:r>
              <w:rPr>
                <w:b/>
                <w:sz w:val="20"/>
              </w:rPr>
              <w:t>Identified supply</w:t>
            </w:r>
          </w:p>
        </w:tc>
        <w:tc>
          <w:tcPr>
            <w:tcW w:w="2232"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6042EFB1" w14:textId="77777777" w:rsidR="00776E75" w:rsidRDefault="00630C42">
            <w:pPr>
              <w:keepNext/>
              <w:spacing w:after="0"/>
              <w:jc w:val="center"/>
            </w:pPr>
            <w:r>
              <w:rPr>
                <w:b/>
                <w:sz w:val="20"/>
              </w:rPr>
              <w:t>Shortfall</w:t>
            </w:r>
          </w:p>
        </w:tc>
      </w:tr>
      <w:tr w:rsidR="00776E75" w14:paraId="0F780485" w14:textId="77777777">
        <w:tc>
          <w:tcPr>
            <w:tcW w:w="3384" w:type="dxa"/>
            <w:tcBorders>
              <w:top w:val="single" w:sz="4" w:space="0" w:color="D9D9D9"/>
              <w:left w:val="single" w:sz="4" w:space="0" w:color="D9D9D9"/>
              <w:bottom w:val="single" w:sz="4" w:space="0" w:color="D9D9D9"/>
              <w:right w:val="single" w:sz="4" w:space="0" w:color="D9D9D9"/>
            </w:tcBorders>
            <w:vAlign w:val="center"/>
          </w:tcPr>
          <w:p w14:paraId="2460D28F" w14:textId="77777777" w:rsidR="00776E75" w:rsidRDefault="00630C42">
            <w:pPr>
              <w:keepNext/>
              <w:spacing w:after="0"/>
            </w:pPr>
            <w:r>
              <w:rPr>
                <w:sz w:val="20"/>
              </w:rPr>
              <w:t>Alternatives 2 and 3</w:t>
            </w:r>
          </w:p>
        </w:tc>
        <w:tc>
          <w:tcPr>
            <w:tcW w:w="1584" w:type="dxa"/>
            <w:tcBorders>
              <w:top w:val="single" w:sz="4" w:space="0" w:color="D9D9D9"/>
              <w:left w:val="single" w:sz="4" w:space="0" w:color="D9D9D9"/>
              <w:bottom w:val="single" w:sz="4" w:space="0" w:color="D9D9D9"/>
              <w:right w:val="single" w:sz="4" w:space="0" w:color="D9D9D9"/>
            </w:tcBorders>
            <w:vAlign w:val="center"/>
          </w:tcPr>
          <w:p w14:paraId="317A6FA0" w14:textId="77777777" w:rsidR="00776E75" w:rsidRDefault="00630C42">
            <w:pPr>
              <w:keepNext/>
              <w:spacing w:after="0"/>
              <w:jc w:val="center"/>
            </w:pPr>
            <w:r>
              <w:rPr>
                <w:sz w:val="20"/>
              </w:rPr>
              <w:t>496.6</w:t>
            </w:r>
          </w:p>
        </w:tc>
        <w:tc>
          <w:tcPr>
            <w:tcW w:w="2304" w:type="dxa"/>
            <w:tcBorders>
              <w:top w:val="single" w:sz="4" w:space="0" w:color="D9D9D9"/>
              <w:left w:val="single" w:sz="4" w:space="0" w:color="D9D9D9"/>
              <w:bottom w:val="single" w:sz="4" w:space="0" w:color="D9D9D9"/>
              <w:right w:val="single" w:sz="4" w:space="0" w:color="D9D9D9"/>
            </w:tcBorders>
            <w:vAlign w:val="center"/>
          </w:tcPr>
          <w:p w14:paraId="41191608" w14:textId="77777777" w:rsidR="00776E75" w:rsidRDefault="00630C42">
            <w:pPr>
              <w:keepNext/>
              <w:spacing w:after="0"/>
              <w:jc w:val="center"/>
            </w:pPr>
            <w:r>
              <w:rPr>
                <w:sz w:val="20"/>
              </w:rPr>
              <w:t>393.3</w:t>
            </w:r>
          </w:p>
        </w:tc>
        <w:tc>
          <w:tcPr>
            <w:tcW w:w="2232" w:type="dxa"/>
            <w:tcBorders>
              <w:top w:val="single" w:sz="4" w:space="0" w:color="D9D9D9"/>
              <w:left w:val="single" w:sz="4" w:space="0" w:color="D9D9D9"/>
              <w:bottom w:val="single" w:sz="4" w:space="0" w:color="D9D9D9"/>
              <w:right w:val="single" w:sz="4" w:space="0" w:color="D9D9D9"/>
            </w:tcBorders>
            <w:vAlign w:val="center"/>
          </w:tcPr>
          <w:p w14:paraId="7A6F00A0" w14:textId="77777777" w:rsidR="00776E75" w:rsidRDefault="00630C42">
            <w:pPr>
              <w:keepNext/>
              <w:spacing w:after="0"/>
              <w:jc w:val="center"/>
            </w:pPr>
            <w:r>
              <w:rPr>
                <w:sz w:val="20"/>
              </w:rPr>
              <w:t>103.3</w:t>
            </w:r>
          </w:p>
        </w:tc>
      </w:tr>
      <w:tr w:rsidR="00776E75" w14:paraId="4150C76A" w14:textId="77777777">
        <w:tc>
          <w:tcPr>
            <w:tcW w:w="3384" w:type="dxa"/>
            <w:tcBorders>
              <w:top w:val="single" w:sz="4" w:space="0" w:color="D9D9D9"/>
              <w:left w:val="single" w:sz="4" w:space="0" w:color="D9D9D9"/>
              <w:bottom w:val="single" w:sz="4" w:space="0" w:color="D9D9D9"/>
              <w:right w:val="single" w:sz="4" w:space="0" w:color="D9D9D9"/>
            </w:tcBorders>
            <w:vAlign w:val="center"/>
          </w:tcPr>
          <w:p w14:paraId="0A5228AD" w14:textId="77777777" w:rsidR="00776E75" w:rsidRDefault="00630C42">
            <w:pPr>
              <w:spacing w:after="0"/>
            </w:pPr>
            <w:r>
              <w:rPr>
                <w:sz w:val="20"/>
              </w:rPr>
              <w:t>Alternative 4</w:t>
            </w:r>
          </w:p>
        </w:tc>
        <w:tc>
          <w:tcPr>
            <w:tcW w:w="1584" w:type="dxa"/>
            <w:tcBorders>
              <w:top w:val="single" w:sz="4" w:space="0" w:color="D9D9D9"/>
              <w:left w:val="single" w:sz="4" w:space="0" w:color="D9D9D9"/>
              <w:bottom w:val="single" w:sz="4" w:space="0" w:color="D9D9D9"/>
              <w:right w:val="single" w:sz="4" w:space="0" w:color="D9D9D9"/>
            </w:tcBorders>
            <w:vAlign w:val="center"/>
          </w:tcPr>
          <w:p w14:paraId="0CEF3DD5" w14:textId="77777777" w:rsidR="00776E75" w:rsidRDefault="00630C42">
            <w:pPr>
              <w:spacing w:after="0"/>
              <w:jc w:val="center"/>
            </w:pPr>
            <w:r>
              <w:rPr>
                <w:sz w:val="20"/>
              </w:rPr>
              <w:t>403.0</w:t>
            </w:r>
          </w:p>
        </w:tc>
        <w:tc>
          <w:tcPr>
            <w:tcW w:w="2304" w:type="dxa"/>
            <w:tcBorders>
              <w:top w:val="single" w:sz="4" w:space="0" w:color="D9D9D9"/>
              <w:left w:val="single" w:sz="4" w:space="0" w:color="D9D9D9"/>
              <w:bottom w:val="single" w:sz="4" w:space="0" w:color="D9D9D9"/>
              <w:right w:val="single" w:sz="4" w:space="0" w:color="D9D9D9"/>
            </w:tcBorders>
            <w:vAlign w:val="center"/>
          </w:tcPr>
          <w:p w14:paraId="5123C4B5" w14:textId="77777777" w:rsidR="00776E75" w:rsidRDefault="00630C42">
            <w:pPr>
              <w:spacing w:after="0"/>
              <w:jc w:val="center"/>
            </w:pPr>
            <w:r>
              <w:rPr>
                <w:sz w:val="20"/>
              </w:rPr>
              <w:t>393.3</w:t>
            </w:r>
          </w:p>
        </w:tc>
        <w:tc>
          <w:tcPr>
            <w:tcW w:w="2232" w:type="dxa"/>
            <w:tcBorders>
              <w:top w:val="single" w:sz="4" w:space="0" w:color="D9D9D9"/>
              <w:left w:val="single" w:sz="4" w:space="0" w:color="D9D9D9"/>
              <w:bottom w:val="single" w:sz="4" w:space="0" w:color="D9D9D9"/>
              <w:right w:val="single" w:sz="4" w:space="0" w:color="D9D9D9"/>
            </w:tcBorders>
            <w:vAlign w:val="center"/>
          </w:tcPr>
          <w:p w14:paraId="643E33A9" w14:textId="77777777" w:rsidR="00776E75" w:rsidRDefault="00630C42">
            <w:pPr>
              <w:spacing w:after="0"/>
              <w:jc w:val="center"/>
            </w:pPr>
            <w:r>
              <w:rPr>
                <w:sz w:val="20"/>
              </w:rPr>
              <w:t>9.7</w:t>
            </w:r>
          </w:p>
        </w:tc>
      </w:tr>
    </w:tbl>
    <w:p w14:paraId="52FF125C" w14:textId="77777777" w:rsidR="00776E75" w:rsidRDefault="00776E75">
      <w:pPr>
        <w:spacing w:after="0"/>
      </w:pPr>
    </w:p>
    <w:p w14:paraId="5353D4AE" w14:textId="3235EE16" w:rsidR="00776E75" w:rsidRDefault="00630C42">
      <w:r>
        <w:t>Alternative 4’s modeled gap is approximately 2.4 percent of demand; the DEIS reports adequate</w:t>
      </w:r>
      <w:r>
        <w:t xml:space="preserve"> identified supply at the approximately 1.0 acre-foot-per-acre average application rate. We ask the Forest Service to explain which runs would receive less snowmaking in higher-demand years, whether essential connections would remain, and which binding allocations and operating rules would govern those reductions. Annual volume alone does not establish dependable delivery or acceptable groundwater effects. (DEIS, pp. 135–136.)</w:t>
      </w:r>
    </w:p>
    <w:p w14:paraId="5212F625" w14:textId="77777777" w:rsidR="00776E75" w:rsidRDefault="00630C42">
      <w:r>
        <w:t>The existing ski-area permit and water clause should be identified, along with proposed amendments and the facilities each provision covers. We request the qualified hydrologist’s or licensed engineer’s water-sufficiency assessment required by the applicable provisions, with a clear statement of when it must be completed for permit modification and new water facilities. The assessment should distinguish supply under typical conditions, including weather and use fluctuations, from plans for shortages and the</w:t>
      </w:r>
      <w:r>
        <w:t xml:space="preserve"> environmental acceptability of withdrawals. (Forest Service Ski Area Water Clause, 80 FR 81508, December 30, 2015.)</w:t>
      </w:r>
    </w:p>
    <w:p w14:paraId="3C79C89A" w14:textId="7305A016" w:rsidR="00776E75" w:rsidRDefault="00630C42">
      <w:r>
        <w:t>A consistent water budget for each alternative, including No Action, would make the supply assumptions easier to assess. It should separate existing and expan</w:t>
      </w:r>
      <w:r w:rsidR="0069367C">
        <w:t>ded</w:t>
      </w:r>
      <w:r>
        <w:t xml:space="preserve"> demand, as well as snowmaking and culinary use. For each source, the budget should show authorized use and location, binding allocations, competing commitments, delivery capacity, shortage provisions, and who can restrict deliveries. Allocations should not be double counted, and the budget should address seasonal and peak needs as well as annual volumes.</w:t>
      </w:r>
    </w:p>
    <w:p w14:paraId="271189A6" w14:textId="77777777" w:rsidR="00776E75" w:rsidRDefault="00630C42">
      <w:r>
        <w:t>The DEIS compares approximately 177.2 acre-feet of Aspen Meadows water remaining after other development demands with combined snowmaking demands of 178.1, 213.2, and 244.4 acre-feet under different private snowmaking scenarios. We request equivalent accounting for Alternative 4, with an explanation of any different development assumptions and how the federal proposal depends on those private facilities. (DEIS, pp. 143–144, Tables 3.7-6 through 3.7-9.)</w:t>
      </w:r>
    </w:p>
    <w:p w14:paraId="66DA66A4" w14:textId="77777777" w:rsidR="00776E75" w:rsidRDefault="00630C42">
      <w:r>
        <w:t>Existing records and justified scenarios should be used to test supply and demand during drought, low snowfall, warmer snowmaking periods, reduced well yield, and competing demand, including consecutive dry years where relevant. We want to understand which operations would be restricted during shortages and whether essential operations could continue at that reduced level. The environmental effects of those withdrawals also need to be evaluated separately from whether the resort would have enough water to o</w:t>
      </w:r>
      <w:r>
        <w:t>perate. (DEIS, pp. 145–146.)</w:t>
      </w:r>
    </w:p>
    <w:p w14:paraId="63A08A67" w14:textId="77777777" w:rsidR="00776E75" w:rsidRDefault="00630C42">
      <w:r>
        <w:t xml:space="preserve">Project design criteria (PDC) HS22 and WA42 address authorized places of use and water-right compliance. For each resource at risk, the Forest Service should identify the applicable requirement or adopted protection objective, the supporting evidence, and the controls needed to meet it. Those controls could include withdrawal or delivery limits, source restrictions, a smaller snowmaking area, temporary operating reductions, </w:t>
      </w:r>
      <w:r>
        <w:lastRenderedPageBreak/>
        <w:t>or an effective combination. The agency should clarify its authority over resort activity and water withdrawals, identify necessary supplier agreements, and restrict activities that depend on agreements that are unavailable.</w:t>
      </w:r>
    </w:p>
    <w:p w14:paraId="20EA6FAE" w14:textId="77777777" w:rsidR="00776E75" w:rsidRDefault="00630C42">
      <w:pPr>
        <w:pStyle w:val="Heading2"/>
      </w:pPr>
      <w:r>
        <w:t>Groundwater and snowmaking return flows</w:t>
      </w:r>
    </w:p>
    <w:p w14:paraId="5CCB2D04" w14:textId="77777777" w:rsidR="00776E75" w:rsidRDefault="00630C42">
      <w:r>
        <w:t>The DEIS states that the groundwater investigation was not completed because access to private wells was not provided. The hydrology report indicates that the work is not planned. We ask whether that investigation will be completed and, if not, what evidence will support the decision. The aquifers supplying the Town Hall, Crystal Mountain, and Munoz wells, their connections to particular resources, and the location, timing, and magnitude of effects remain uncertain. (DEIS, pp. 129–130; Hydrology and Soils T</w:t>
      </w:r>
      <w:r>
        <w:t>echnical Report, p. 52.)</w:t>
      </w:r>
    </w:p>
    <w:p w14:paraId="798AE53D" w14:textId="77777777" w:rsidR="00776E75" w:rsidRDefault="00630C42">
      <w:r>
        <w:t>A connection to a vulnerable spring or wetland could require lower withdrawals or a different supply. Delayed groundwater effects could also allow damage to occur before monitoring prompts action. The Forest Service should identify potentially affected functions, such as spring discharge or wetland hydrology, and explain whether the available evidence supports the proposed operating level under applicable requirements and management objectives. Information essential to choosing the alternative, source, or c</w:t>
      </w:r>
      <w:r>
        <w:t>ontrol should be obtained where reasonably available, considering cost and time. If it remains unavailable, the agency should explain whether the evidence supports restricted operation or further reductions.</w:t>
      </w:r>
    </w:p>
    <w:p w14:paraId="60895FDA" w14:textId="77777777" w:rsidR="00776E75" w:rsidRDefault="00630C42">
      <w:r>
        <w:t>The DEIS expressly states that it does not assume snowmaking water returns to the source aquifer. We ask how that uncertainty affects the choice of alternative and operating limits, and whether any conclusion about impacts nevertheless relies on the 20 percent planning-loss assumption. Water returning to the broader hydrologic system is different from recharge at the location and time relevant to a withdrawal; the analysis should keep that distinction clear. (DEIS, pp. 124–130; Hydrology and Soils Technical</w:t>
      </w:r>
      <w:r>
        <w:t xml:space="preserve"> Report, p. 52.)</w:t>
      </w:r>
    </w:p>
    <w:p w14:paraId="112F106E" w14:textId="77777777" w:rsidR="00776E75" w:rsidRDefault="00630C42">
      <w:r>
        <w:t>Alternative 4’s combined water budget describes approximately 159 acre-feet of additional diversions, 31.1 acre-feet of losses, and 127.9 acre-feet redistributed through runoff, shallow flow, and infiltration. The residual appears to include approximately 6.2 acre-feet of culinary water: 6.91 acre-feet of demand minus 0.69 acre-feet of depletion. Yet the hydrology report says culinary wastewater goes to Parowan and leaves the local surface and groundwater systems. Separate budgets showing where the water re</w:t>
      </w:r>
      <w:r>
        <w:t>turns would clarify whether this accounting overstates local returns or changes the conclusions about impacts. (DEIS, pp. 132 and 136; Hydrology and Soils Technical Report, p. 52.)</w:t>
      </w:r>
    </w:p>
    <w:p w14:paraId="55960475" w14:textId="77777777" w:rsidR="00776E75" w:rsidRDefault="00630C42">
      <w:pPr>
        <w:pStyle w:val="Heading1"/>
      </w:pPr>
      <w:r>
        <w:t>3 Monitoring and later development</w:t>
      </w:r>
    </w:p>
    <w:p w14:paraId="7735D4B1" w14:textId="77777777" w:rsidR="00776E75" w:rsidRDefault="00630C42">
      <w:r>
        <w:t>Monitoring should show whether impacts match predictions and safeguards work within justified operating limits. It cannot replace the analysis needed to make the decision or reverse permanent habitat destruction.</w:t>
      </w:r>
    </w:p>
    <w:p w14:paraId="672D827C" w14:textId="77777777" w:rsidR="00776E75" w:rsidRDefault="00630C42">
      <w:r>
        <w:t>Groundwater baselines, access arrangements, and monitoring should be in place before increased withdrawals that rely on them. Likewise, habitat surveys and avoidance layouts should precede the relevant clearing, and erosion controls should be installed before soil disturbance.</w:t>
      </w:r>
    </w:p>
    <w:p w14:paraId="57F3B65F" w14:textId="77777777" w:rsidR="00776E75" w:rsidRDefault="00630C42">
      <w:r>
        <w:t>The monitoring plan should explain what each measure will track, its objective, how quickly the resource is expected to respond, and what change the method can detect. Sampling methods and comparison conditions should be specified, with measurements covering withdrawals, deliveries, resource responses, and relevant weather conditions. If access is unavailable, any substitute must provide adequate evidence for the same decision.</w:t>
      </w:r>
    </w:p>
    <w:p w14:paraId="3BA846DC" w14:textId="77777777" w:rsidR="00776E75" w:rsidRDefault="00630C42">
      <w:r>
        <w:t>An early warning, an exceeded limit, and a permit violation call for different responses. Monitoring triggers should reflect the resource objective, natural variability, measurement error, and the seriousness and reversibility of potential harm. For each response, the plan should specify who acts, by when, how the result is verified, and when activity may resume. It must also account for three foreseeable problems:</w:t>
      </w:r>
    </w:p>
    <w:p w14:paraId="41B3326D" w14:textId="77777777" w:rsidR="00776E75" w:rsidRDefault="00630C42">
      <w:pPr>
        <w:pStyle w:val="ListBullet"/>
        <w:spacing w:after="100"/>
        <w:ind w:left="245" w:hanging="173"/>
      </w:pPr>
      <w:r>
        <w:t>Missing data: if compliance cannot be verified, a reliable backup or a proportionate restriction on the affected activity is needed. Reporting delays may be corrected without such restrictions where compliance remains verifiable.</w:t>
      </w:r>
    </w:p>
    <w:p w14:paraId="12A24489" w14:textId="77777777" w:rsidR="00776E75" w:rsidRDefault="00630C42">
      <w:pPr>
        <w:pStyle w:val="ListBullet"/>
        <w:spacing w:after="100"/>
        <w:ind w:left="245" w:hanging="173"/>
      </w:pPr>
      <w:r>
        <w:lastRenderedPageBreak/>
        <w:t>Warning triggers: the required protective response and investigation should begin without waiting for the operator to agree that its activity caused the change.</w:t>
      </w:r>
    </w:p>
    <w:p w14:paraId="762BF370" w14:textId="77777777" w:rsidR="00776E75" w:rsidRDefault="00630C42">
      <w:pPr>
        <w:pStyle w:val="ListBullet"/>
        <w:spacing w:after="100"/>
        <w:ind w:left="245" w:hanging="173"/>
      </w:pPr>
      <w:r>
        <w:t>Delayed effects: operating limits and decisions about later stages should account for groundwater response times. Where serious harm could occur before it is detected, preventive limits or avoidance are necessary.</w:t>
      </w:r>
    </w:p>
    <w:p w14:paraId="0F270E52" w14:textId="77777777" w:rsidR="00776E75" w:rsidRDefault="00630C42">
      <w:r>
        <w:t>The permit should require the holder to fund the specified project-related monitoring and corrective work. The Forest Service should approve methods, review results, verify compliance, and enforce conditions. Necessary supplier agreements for data sharing and delivery reductions, along with coordination with the National Park Service, should be identified without transferring the Forest Service’s permit responsibilities.</w:t>
      </w:r>
    </w:p>
    <w:p w14:paraId="685D125D" w14:textId="77777777" w:rsidR="00776E75" w:rsidRDefault="00630C42">
      <w:r>
        <w:t>We request an annual public report comparing results with predictions and limits, supported by nonconfidential data. Exceeded limits or monitoring failures that prevent verification should be reported promptly. Existing reporting processes can serve these purposes where they meet these needs.</w:t>
      </w:r>
    </w:p>
    <w:p w14:paraId="55966AED" w14:textId="77777777" w:rsidR="00776E75" w:rsidRDefault="00630C42">
      <w:r>
        <w:t>Before a later operational stage opens, the Forest Service should confirm in writing that its prerequisites have been met. Monitoring details may be finalized after the decision only if they would not change the choice of alternative or the assessment of impacts. They must be approved before the activity that depends on them begins.</w:t>
      </w:r>
    </w:p>
    <w:p w14:paraId="0690EA95" w14:textId="77777777" w:rsidR="00776E75" w:rsidRDefault="00630C42">
      <w:r>
        <w:t>Binding operating restrictions should remain distinct from formal permit suspension or revocation, which must follow applicable procedures, including notice and an opportunity to cure where required. Those procedures must preserve the agency’s ability to act immediately when needed to protect public health, safety, or the environment. (36 CFR 251.60.)</w:t>
      </w:r>
    </w:p>
    <w:p w14:paraId="0083F980" w14:textId="77777777" w:rsidR="00776E75" w:rsidRDefault="00630C42">
      <w:pPr>
        <w:pStyle w:val="Heading1"/>
      </w:pPr>
      <w:r>
        <w:t>4 Wildlife and permanent habitat loss</w:t>
      </w:r>
    </w:p>
    <w:p w14:paraId="62074CC9" w14:textId="77777777" w:rsidR="00776E75" w:rsidRDefault="00630C42">
      <w:pPr>
        <w:pStyle w:val="Heading2"/>
      </w:pPr>
      <w:r>
        <w:t>American pika</w:t>
      </w:r>
    </w:p>
    <w:p w14:paraId="4D199815" w14:textId="77777777" w:rsidR="00776E75" w:rsidRDefault="00630C42">
      <w:r>
        <w:t>The DEIS identifies substantial adverse effects on local pika habitat under all action alternatives. Alternative 4 still entails approximately 22 acres of permanent and five acres of temporary disturbance. CSU requests further avoidance and design changes before clearing or blasting because monitoring cannot restore removed talus habitat. The Forest Service should explain what habitat loss would remain and why it would be acceptable under applicable management direction. (DEIS, pp. 104–111; Biological Evalu</w:t>
      </w:r>
      <w:r>
        <w:t>ation, p. 84.)</w:t>
      </w:r>
    </w:p>
    <w:p w14:paraId="69EC337F" w14:textId="77777777" w:rsidR="00776E75" w:rsidRDefault="00630C42">
      <w:r>
        <w:t>The habitat accounting also needs to be reconciled. The DEIS describes approximately 28 acres of permanent loss under Alternative 2 and four additional acres under Alternative 3; the Biological Evaluation describes the additional blasting footprint differently. One map and consistent accounting should distinguish surveyed and modeled habitat, occupied and potential habitat, permanent and temporary effects, and overlapping disturbance, with the area used to calculate each percentage clearly stated.</w:t>
      </w:r>
    </w:p>
    <w:p w14:paraId="25806F1F" w14:textId="77777777" w:rsidR="00776E75" w:rsidRDefault="00630C42">
      <w:r>
        <w:t>For PDC W10, we ask the Forest Service to explain the avoidance criteria, survey timing, who authorizes construction after the surveys, and what happens if occupied habitat is found. If moving animals remains an option, the proposal should identify suitable receiving habitat, evidence of likely success, monitoring, and a response to failure. Moving animals should not be treated as compensation for losing their habitat.</w:t>
      </w:r>
    </w:p>
    <w:p w14:paraId="4B33C5E3" w14:textId="77777777" w:rsidR="00776E75" w:rsidRDefault="00630C42">
      <w:r>
        <w:t>Talus clearing or stabilization under GT8 and GT9 should receive joint engineering and biological review, with avoidance areas mapped before final design and blasting approval.</w:t>
      </w:r>
    </w:p>
    <w:p w14:paraId="1C3B7633" w14:textId="77777777" w:rsidR="00776E75" w:rsidRDefault="00630C42">
      <w:r>
        <w:t>For retained summit terrain, we ask the Forest Service to evaluate snowcat routes and grading or stabilization that would disturb talus, including options to reroute, limit use, or omit the affected component. The comparison should explain each option’s recreation function, feasibility, and habitat effects, and resolve conflicts between safety and habitat protection. It should also identify applicable requirements, objectives for retained habitat, and the losses the agency proposes to accept.</w:t>
      </w:r>
    </w:p>
    <w:p w14:paraId="3032491C" w14:textId="77777777" w:rsidR="00776E75" w:rsidRDefault="00630C42">
      <w:pPr>
        <w:pStyle w:val="Heading2"/>
      </w:pPr>
      <w:r>
        <w:lastRenderedPageBreak/>
        <w:t>American goshawk</w:t>
      </w:r>
    </w:p>
    <w:p w14:paraId="142B950F" w14:textId="77777777" w:rsidR="00776E75" w:rsidRDefault="00630C42">
      <w:r>
        <w:t>Alternative 4 reduces affected goshawk forest habitat from approximately 222 to 88 acres and potentially suitable nesting habitat from 117 to 14 acres. The DEIS nevertheless relies on offsets for the remaining loss. It reports a Forest Plan minimum of 40 breeding pairs that the forest has never met. Surveys detected use but no active nests. The Forest Service should explain how the proposal meets applicable habitat requirements in this forest-wide context. (DEIS, pp. 104, 106–107, and 110–111.)</w:t>
      </w:r>
    </w:p>
    <w:p w14:paraId="67022AC7" w14:textId="77777777" w:rsidR="00776E75" w:rsidRDefault="00630C42">
      <w:r>
        <w:t>Standard X requires mitigation sufficient to offset suitable-habitat loss from non-vegetative management, including ski resort construction. The DEIS commits to developing that mitigation before the Record of Decision. We ask the Forest Service to make the proposal available in time for meaningful review, showing where the offsets would occur, the quality and amount of habitat they would provide, and what benefits would be added beyond work already planned. It should explain when those benefits would begin,</w:t>
      </w:r>
      <w:r>
        <w:t xml:space="preserve"> how long they would last, how the work would be funded, and how success would be measured. The proposal also needs to account for habitat lost before replacement benefits develop. Surveys and seasonal buffers do not answer the separate question of whether the proposed offsets would make up for that loss. (Forest Plan amendment, Standard X, p. CC-25, as cited in DEIS, p. 107; DEIS, p. 111.)</w:t>
      </w:r>
    </w:p>
    <w:p w14:paraId="592FF553" w14:textId="77777777" w:rsidR="00776E75" w:rsidRDefault="00630C42">
      <w:r>
        <w:t>If the offsets cannot be shown to compensate for habitat loss, CSU requests further avoidance or a reduction in that loss. An unspecified future measure is not a sufficient basis for finding compliance or reducing the reported impacts.</w:t>
      </w:r>
    </w:p>
    <w:p w14:paraId="1FE3539C" w14:textId="77777777" w:rsidR="00776E75" w:rsidRDefault="00630C42">
      <w:r>
        <w:t>We also request an update on any consultation required by the Biological Assessment’s determinations, including the differing Mexican spotted owl determinations among alternatives. Any applicable conditions should be incorporated into the authorization. (Biological Assessment, pp. 22–24.)</w:t>
      </w:r>
    </w:p>
    <w:p w14:paraId="6F0B5512" w14:textId="77777777" w:rsidR="00776E75" w:rsidRDefault="00630C42">
      <w:pPr>
        <w:pStyle w:val="Heading1"/>
      </w:pPr>
      <w:r>
        <w:t>5 Watershed and vegetation protection</w:t>
      </w:r>
    </w:p>
    <w:p w14:paraId="20CB85BB" w14:textId="294A81E4" w:rsidR="00776E75" w:rsidRDefault="00630C42">
      <w:r>
        <w:t xml:space="preserve">Alternative 4 retains approximately 227 acres of tree removal and 204 acres of grading. </w:t>
      </w:r>
      <w:r>
        <w:t>The record also identifies erosion-prone soils, wetland impacts, and roads on poorly suited soils under the larger alternative. The Forest Service should explain how design and avoidance would address these risks in the selected alternative. (DEIS, Table 3.7-2, p. 123, and hydrology and soils effects analysis.)</w:t>
      </w:r>
    </w:p>
    <w:p w14:paraId="3AD629E1" w14:textId="77777777" w:rsidR="00776E75" w:rsidRDefault="00630C42">
      <w:r>
        <w:t>The hydrology report’s WRENSS model estimates relative changes in snowmelt yield, not absolute storm peaks or groundwater effects. We therefore ask what other analysis addresses intense rainfall, construction runoff, concentrated drainage, crossings, and downstream sediment. The Forest Service should explain the evidence behind its conclusion that best management practices would reduce combined water-quality effects below measurable levels. That explanation should distinguish impacts predicted to be small f</w:t>
      </w:r>
      <w:r>
        <w:t>rom impacts the monitoring program would be unable to detect. (Hydrology and Soils Technical Report, p. 46; DEIS, p. 142.)</w:t>
      </w:r>
    </w:p>
    <w:p w14:paraId="45117980" w14:textId="77777777" w:rsidR="00776E75" w:rsidRDefault="00630C42">
      <w:r>
        <w:t>The authorization should require mapped erosion and restoration measures, seasonal construction limits, inspections after relevant storms and snowmelt, corrective deadlines, and measurable success criteria. The different monitoring periods and activities in WA20, V12, HS21, and V13 need explanation. Treatment should continue if success criteria remain unmet after the stated period, with the permit holder funding corrections and the Forest Service approving completion.</w:t>
      </w:r>
    </w:p>
    <w:p w14:paraId="4A6EF865" w14:textId="77777777" w:rsidR="00776E75" w:rsidRDefault="00630C42">
      <w:r>
        <w:t>For field adjustments or exceptions affecting wetlands and aquatic management zones under WA3 and WA5, the Forest Service should clarify who approves them, what evidence is required, and where changes will be documented and reviewed. A decision against avoiding bristlecone pine under V6 or other sensitive features should have a documented explanation. Changes beyond the analyzed disturbance should receive the applicable review before work proceeds.</w:t>
      </w:r>
    </w:p>
    <w:p w14:paraId="1E3C0CD1" w14:textId="77777777" w:rsidR="00776E75" w:rsidRDefault="00630C42">
      <w:pPr>
        <w:pStyle w:val="Heading1"/>
      </w:pPr>
      <w:r>
        <w:lastRenderedPageBreak/>
        <w:t>6 Transportation and community capacity</w:t>
      </w:r>
    </w:p>
    <w:p w14:paraId="00C46467" w14:textId="77777777" w:rsidR="00776E75" w:rsidRDefault="00630C42">
      <w:pPr>
        <w:pStyle w:val="Heading2"/>
      </w:pPr>
      <w:r>
        <w:t>Road improvements and emergency access</w:t>
      </w:r>
    </w:p>
    <w:p w14:paraId="094C78EC" w14:textId="77777777" w:rsidR="00776E75" w:rsidRDefault="00630C42">
      <w:r>
        <w:t>The full-buildout traffic scenario assumes a future two-way center turn lane on SR-143 and identifies winter peak approach delays: LOS E at South Village resort egress and LOS F for the westbound Circle Drive approach during the PM peak. The report identifies a separate right-turn egress lane at South Village and a Circle Drive roundabout as potential remedies. The Forest Service should identify the operating standard and measures supporting its conclusions about traffic impacts, while allowing other suppor</w:t>
      </w:r>
      <w:r>
        <w:t>ted designs or traffic-management measures that meet the same need. (Traffic Technical Report, pp. 2 and 48; DEIS, pp. 93–97.)</w:t>
      </w:r>
    </w:p>
    <w:p w14:paraId="55C79D5F" w14:textId="77777777" w:rsidR="00776E75" w:rsidRDefault="00630C42">
      <w:r>
        <w:t>The DEIS reports acceptable operations under existing and future background conditions. The full-buildout scenario includes private development, and Alternative 4 has no separate operations model. We ask how much the expansion contributes to delays and why the larger scenario represents Alternative 4’s peak periods, access points, and trip distribution. Improvements assumed in the analysis need identified approvals, funding, completion dates, and responsible parties. The analysis should also cover operation</w:t>
      </w:r>
      <w:r>
        <w:t>s before the 2042 horizon.</w:t>
      </w:r>
    </w:p>
    <w:p w14:paraId="65ED2E39" w14:textId="77777777" w:rsidR="00776E75" w:rsidRDefault="00630C42">
      <w:r>
        <w:t>We ask the Forest Service to work with UDOT, the Town, and emergency providers to evaluate a credible temporary blockage or restriction of the winter access route during peak use, given the seasonal SR-143 closure south of Brian Head. That assessment should account for the expansion’s added demands and assumptions about closure duration, emergency-vehicle access, departures, shelter, and response capacity. Necessary operating or emergency-plan changes should be identified before the added use begins. Possib</w:t>
      </w:r>
      <w:r>
        <w:t>le future tax revenue is not a service commitment. (DEIS, transportation analysis; Socioeconomics Technical Report, p. 21.)</w:t>
      </w:r>
    </w:p>
    <w:p w14:paraId="571327A8" w14:textId="77777777" w:rsidR="00776E75" w:rsidRDefault="00630C42">
      <w:r>
        <w:t>The infrastructure and service commitments needed for the expansion’s added demands should be identified before the agency relies on them. Resort operations on federal land should depend on completed improvements, documented capacity, or supported alternatives such as traffic management, transit, phased opening, or operating limits. The analysis should show that authorized operations could continue within those conditions if an assumed improvement is delayed or unavailable.</w:t>
      </w:r>
    </w:p>
    <w:p w14:paraId="14E547E7" w14:textId="77777777" w:rsidR="00776E75" w:rsidRDefault="00630C42">
      <w:pPr>
        <w:pStyle w:val="Heading2"/>
      </w:pPr>
      <w:r>
        <w:t>Growth assumptions</w:t>
      </w:r>
    </w:p>
    <w:p w14:paraId="3B0423AA" w14:textId="77777777" w:rsidR="00776E75" w:rsidRDefault="00630C42">
      <w:r>
        <w:t>The No Action summer-visitation estimates need consistent assumptions and corrected arithmetic. Estimates for the same development should use the same assumptions, with legitimate differences in scope explained. (Socioeconomics Technical Report, p. 19.)</w:t>
      </w:r>
    </w:p>
    <w:p w14:paraId="28D8F3D2" w14:textId="77777777" w:rsidR="00776E75" w:rsidRDefault="00630C42">
      <w:r>
        <w:t>The assessment of project benefits and burdens should separate growth expected without the project from growth attributable to it. Table 8 projects winter visitation of 412,780 under No Action, 639,700 under Alternatives 2 and 3, and 495,000 under Alternative 4. The increases over future No Action are therefore 226,920 and 82,220 visits. (Socioeconomics Technical Report, p. 18.)</w:t>
      </w:r>
    </w:p>
    <w:p w14:paraId="260E8892" w14:textId="77777777" w:rsidR="00776E75" w:rsidRDefault="00630C42">
      <w:pPr>
        <w:pStyle w:val="Heading2"/>
      </w:pPr>
      <w:r>
        <w:t>Wastewater</w:t>
      </w:r>
    </w:p>
    <w:p w14:paraId="169A153E" w14:textId="77777777" w:rsidR="00776E75" w:rsidRDefault="00630C42">
      <w:r>
        <w:t>Provider commitments or other adequate evidence should demonstrate wastewater treatment and conveyance capacity for the expansion’s added demand. The Forest Service should identify necessary upgrades, approvals, funding, and completion dates, and explain how the federal project depends on private facilities rather than separate regional development. Before facilities open, sufficient capacity must be available or operating limits must keep use within available capacity and applicable requirements. (Socioeco</w:t>
      </w:r>
      <w:r>
        <w:t>nomics Technical Report, p. 22; DEIS, p. 132.)</w:t>
      </w:r>
    </w:p>
    <w:p w14:paraId="302DBAF3" w14:textId="77777777" w:rsidR="00776E75" w:rsidRDefault="00630C42">
      <w:pPr>
        <w:pStyle w:val="Heading1"/>
      </w:pPr>
      <w:r>
        <w:lastRenderedPageBreak/>
        <w:t>7 Public recreation and landscape protection</w:t>
      </w:r>
    </w:p>
    <w:p w14:paraId="6569C46E" w14:textId="77777777" w:rsidR="00776E75" w:rsidRDefault="00630C42">
      <w:pPr>
        <w:pStyle w:val="Heading2"/>
      </w:pPr>
      <w:r>
        <w:t>Trails and public access</w:t>
      </w:r>
    </w:p>
    <w:p w14:paraId="25A1AD18" w14:textId="77777777" w:rsidR="00776E75" w:rsidRDefault="00630C42">
      <w:r>
        <w:t>The recreation report describes retaining Dark Hollow Trail’s alignment where approximately 2,660 feet overlap an administrative road. PDC R1 requires a realignment associated with approximately one-half mile of that overlap. Relocating the road while retaining the trail might reconcile these passages, but the intended design is unclear. A map showing which route would move, an analysis of its effects, and an enforceable commitment matching that design would resolve this uncertainty. (Recreation Technical R</w:t>
      </w:r>
      <w:r>
        <w:t>eport, p. 40; DEIS, p. 34.)</w:t>
      </w:r>
    </w:p>
    <w:p w14:paraId="467A323B" w14:textId="5190DF66" w:rsidR="00776E75" w:rsidRDefault="00630C42">
      <w:r>
        <w:t>We are concerned about lasting changes in solitude, scenery, noise, and infrastructure, which need to be assessed against applicable Recreation Opportunity Spectrum and Forest Plan direction. These changes differ from temporary closures and trail-condition problems that R2 monitoring can correct. The analysis should include hikers and other users omitted by bicycle counters and account for equipment failures and other data limitations. It should also consider effects on shorter or less strenuous outings, in</w:t>
      </w:r>
      <w:r>
        <w:t>cluding their potential importance to older visitors</w:t>
      </w:r>
      <w:r w:rsidR="00EB3D5F">
        <w:t>, residents,</w:t>
      </w:r>
      <w:r>
        <w:t xml:space="preserve"> and others, without assuming visitor demographics unsupported by the record.</w:t>
      </w:r>
    </w:p>
    <w:p w14:paraId="58E5EA55" w14:textId="77777777" w:rsidR="00776E75" w:rsidRDefault="00630C42">
      <w:r>
        <w:t>We request a public access plan showing routes, parking, trailheads, gates, crossings, closures, and access to Brian Head Peak, overlooks, and the Civilian Conservation Corps shelter.</w:t>
      </w:r>
    </w:p>
    <w:p w14:paraId="075BA41C" w14:textId="77777777" w:rsidR="00776E75" w:rsidRDefault="00630C42">
      <w:r>
        <w:t>The plan should explain any fees or restrictions, how visitors would be notified, who may authorize closures and for how long, and what suitable alternate access is available where feasible.</w:t>
      </w:r>
    </w:p>
    <w:p w14:paraId="61B388DB" w14:textId="77777777" w:rsidR="00776E75" w:rsidRDefault="00630C42">
      <w:r>
        <w:t>Wildlife protection and safety may require restrictions, but their effects on public passage should be clear. Maps should show how W5 gates and W8 summer habitat restrictions interact with proposed year-round facilities so that design conflicts can be resolved before construction. (DEIS, PDC R1–R7 and W5–W8.)</w:t>
      </w:r>
    </w:p>
    <w:p w14:paraId="3F962CB9" w14:textId="77777777" w:rsidR="00776E75" w:rsidRDefault="00630C42">
      <w:r>
        <w:t>Alternative 4 has the benefit of retaining existing snowmobile route connections. If another alternative displaces a route, a replacement should be in place beforehand, with responsibility for approval, funding, construction, and maintenance clearly assigned. (DEIS, recreation analysis.)</w:t>
      </w:r>
    </w:p>
    <w:p w14:paraId="7F3E9603" w14:textId="77777777" w:rsidR="00776E75" w:rsidRDefault="00630C42">
      <w:pPr>
        <w:pStyle w:val="Heading2"/>
      </w:pPr>
      <w:r>
        <w:t>Dark skies</w:t>
      </w:r>
    </w:p>
    <w:p w14:paraId="1F0DE502" w14:textId="77777777" w:rsidR="00776E75" w:rsidRDefault="00630C42">
      <w:r>
        <w:t>PDC S3 requires compliance with Town lighting requirements, and S9 restricts construction timing. The night-sky conclusions should explain the assumed lighting inventory, operating hours, shielding, window light, and mobile lighting. The assessment should cover sensitive viewpoints and habitat corridors, including relevant snow-reflection and atmospheric conditions. Any conclusion about compatibility with dark-sky designation needs supporting evidence, along with identification of the project lighting condi</w:t>
      </w:r>
      <w:r>
        <w:t>tions the Forest Service can require. (DEIS, pp. 65–66.)</w:t>
      </w:r>
    </w:p>
    <w:p w14:paraId="73173133" w14:textId="77777777" w:rsidR="00776E75" w:rsidRDefault="00630C42">
      <w:r>
        <w:t>W9’s dark corridors should be mapped, with the lighting and nighttime operating restrictions needed to maintain them and clear responsibility for inspection and correction.</w:t>
      </w:r>
    </w:p>
    <w:p w14:paraId="5BC76990" w14:textId="77777777" w:rsidR="00776E75" w:rsidRDefault="00630C42">
      <w:pPr>
        <w:pStyle w:val="Heading1"/>
      </w:pPr>
      <w:r>
        <w:t>8 Forest Plan amendment</w:t>
      </w:r>
    </w:p>
    <w:p w14:paraId="0C2992DB" w14:textId="77777777" w:rsidR="00776E75" w:rsidRDefault="00630C42">
      <w:r>
        <w:t>Alternative 4 would convert 1,022 acres of MA 1, General Forest, and 28 acres of MA 2B, Rural and Roaded Recreation Opportunities, to MA 1B, Winter Sports Sites: 1,050 acres, compared with 1,155 under Alternatives 2 and 3. MA 10B, Municipal Water Supply Watersheds, would remain unchanged.</w:t>
      </w:r>
    </w:p>
    <w:p w14:paraId="31F3915C" w14:textId="77777777" w:rsidR="00776E75" w:rsidRDefault="00630C42">
      <w:r>
        <w:t>We ask the Forest Service to compare existing and proposed scenic, recreation, wildlife, and watershed provisions and explain the amendment’s boundary in relation to facilities, operational areas, recreation setting, and management of the area as a coherent unit. Where protections would change without a demonstrated management need, the agency should evaluate retaining the existing designation.</w:t>
      </w:r>
    </w:p>
    <w:p w14:paraId="681C39EE" w14:textId="77777777" w:rsidR="00776E75" w:rsidRDefault="00630C42">
      <w:r>
        <w:lastRenderedPageBreak/>
        <w:t>Compliance with amended management direction is a separate question from the amendment’s implications for later uses and physical effects, including views from Cedar Breaks National Monument. Both need to be addressed. (DEIS, pp. 19–20, 38, and 115, and scenery analysis.)</w:t>
      </w:r>
    </w:p>
    <w:p w14:paraId="1DE7528E" w14:textId="77777777" w:rsidR="00776E75" w:rsidRDefault="00630C42">
      <w:r>
        <w:t>The Forest Service should identify and apply the requirements of 36 CFR 219.8 through 219.11 directly related to the changed direction, within the amendment’s scope and scale. Under 36 CFR 219.13(b)(6), we ask whether species of conservation concern have been identified and whether amendment-related effects or reduced protections trigger a potential-species determination. That assessment should address American pika in light of the disclosed significant local effects and management changes affecting its hab</w:t>
      </w:r>
      <w:r>
        <w:t>itat, and other species where the record meets the trigger. (36 CFR 219.13.)</w:t>
      </w:r>
    </w:p>
    <w:p w14:paraId="4E56C510" w14:textId="77777777" w:rsidR="00776E75" w:rsidRDefault="00630C42">
      <w:pPr>
        <w:pStyle w:val="Heading1"/>
      </w:pPr>
      <w:r>
        <w:t>9 Enforceable responsibilities and agency responses</w:t>
      </w:r>
    </w:p>
    <w:p w14:paraId="71D2C87B" w14:textId="77777777" w:rsidR="00776E75" w:rsidRDefault="00630C42">
      <w:r>
        <w:t>Adopted safeguards should be binding permit terms or part of an incorporated plan. A concise compliance table or equivalent record should make clear which instrument governs each safeguard, who is responsible, what prerequisite or deadline applies, how performance will be measured and verified, who pays, and what happens if the safeguard fails. Existing construction approvals and operating plans can serve this purpose where they make obligations binding and verifiable. Requirements should be distinguished f</w:t>
      </w:r>
      <w:r>
        <w:t>rom recommendations, with essential outside commitments and continuity through operator changes and subsequent authorizations addressed. The Forest Service should also evaluate financial security for specified restoration or corrective obligations based on their estimated costs. (36 CFR 251.56.)</w:t>
      </w:r>
    </w:p>
    <w:p w14:paraId="3E621670" w14:textId="77777777" w:rsidR="00776E75" w:rsidRDefault="00630C42">
      <w:r>
        <w:t>Each adopted condition should state whether it must be met before the decision, before the activity it supports, or during operation. We ask how G2 construction oversight and G3 capital-plan review ensure that required conditions are met before operations begin, and how G1 changes are approved, recorded, disclosed, and screened for further environmental review. The land-management or permit authority supporting adopted safeguards should also be identified.</w:t>
      </w:r>
    </w:p>
    <w:p w14:paraId="540394FD" w14:textId="77777777" w:rsidR="00776E75" w:rsidRDefault="00630C42">
      <w:pPr>
        <w:pStyle w:val="Heading2"/>
      </w:pPr>
      <w:r>
        <w:t>Cultural resources</w:t>
      </w:r>
    </w:p>
    <w:p w14:paraId="287780A2" w14:textId="77777777" w:rsidR="00776E75" w:rsidRDefault="00630C42">
      <w:r>
        <w:t>We request an update on the cultural-resource programmatic agreement described in the DEIS, including participating agencies and Tribes, applicable consultation requirements, prerequisites, funding, and implementation duties. The Forest Service should explain what must be completed before authorization or disturbance and what may proceed under the agreement’s procedures. Nonconfidential provisions should be disclosed while sensitive site information remains protected. (DEIS, p. 17 and heritage PDC.)</w:t>
      </w:r>
    </w:p>
    <w:p w14:paraId="0B8E8EB6" w14:textId="77777777" w:rsidR="00776E75" w:rsidRDefault="00630C42">
      <w:pPr>
        <w:pStyle w:val="Heading2"/>
      </w:pPr>
      <w:r>
        <w:t>Agency responses</w:t>
      </w:r>
    </w:p>
    <w:p w14:paraId="77059702" w14:textId="77777777" w:rsidR="00776E75" w:rsidRDefault="00630C42">
      <w:r>
        <w:t>We ask the Forest Service to respond to each substantive issue and identify corrections to supporting reports. Its response should distinguish clerical corrections from changes affecting impact findings, feasibility, estimated benefits, demand, mitigation, or alternative comparisons. Changes or new information should receive further environmental review and public participation where required. The agency should also identify the applicable objection procedures and deadlines for both the project and the prog</w:t>
      </w:r>
      <w:r>
        <w:t>rammatic Forest Plan amendment, as distinguished in the July 27, 2026 stakeholder letter.</w:t>
      </w:r>
    </w:p>
    <w:p w14:paraId="2C7F1F17" w14:textId="77777777" w:rsidR="00776E75" w:rsidRDefault="00630C42">
      <w:pPr>
        <w:pStyle w:val="Heading2"/>
      </w:pPr>
      <w:r>
        <w:t>Technical corrections</w:t>
      </w:r>
    </w:p>
    <w:p w14:paraId="23D87678" w14:textId="77777777" w:rsidR="00776E75" w:rsidRDefault="00630C42">
      <w:r>
        <w:t>The following accounting and cross-reference errors need correction, along with an explanation of whether they affect the analysis or proposed safeguards:</w:t>
      </w:r>
    </w:p>
    <w:p w14:paraId="4245AD83" w14:textId="77777777" w:rsidR="00776E75" w:rsidRDefault="00630C42">
      <w:pPr>
        <w:pStyle w:val="ListBullet"/>
        <w:spacing w:after="100"/>
        <w:ind w:left="245" w:hanging="173"/>
      </w:pPr>
      <w:r>
        <w:t>Hydrology Report Table 13 (p. 39) includes approximately 11.2 acre-feet of culinary demand in totals labeled as snowmaking and compares them with snowmaking supply. This needs to be reconciled with the DEIS’s separate budgets.</w:t>
      </w:r>
    </w:p>
    <w:p w14:paraId="061E6537" w14:textId="77777777" w:rsidR="00776E75" w:rsidRDefault="00630C42">
      <w:pPr>
        <w:pStyle w:val="ListBullet"/>
        <w:spacing w:after="100"/>
        <w:ind w:left="245" w:hanging="173"/>
      </w:pPr>
      <w:r>
        <w:t xml:space="preserve">Socioeconomics Report p. 19 gives 21,422 and approximately 48,000 summer visits for 2036 No Action using different growth assumptions. It also labels growth from 15,590 to 21,422 as 31.5 percent; those figures </w:t>
      </w:r>
      <w:r>
        <w:lastRenderedPageBreak/>
        <w:t>imply 37.4 percent, while 31.5 percent would yield approximately 20,501 visits. The intended assumptions should be identified and affected results recalculated.</w:t>
      </w:r>
    </w:p>
    <w:p w14:paraId="571DB4AA" w14:textId="77777777" w:rsidR="00776E75" w:rsidRDefault="00630C42">
      <w:pPr>
        <w:pStyle w:val="ListBullet"/>
        <w:spacing w:after="100"/>
        <w:ind w:left="245" w:hanging="173"/>
      </w:pPr>
      <w:r>
        <w:t>WA51 refers to HS41 although the listed HS measures end at HS36. HS18’s weed-related reference to WA41–WA43 does not clearly match those provisions. The intended requirements need to be verified before they become enforceable obligations.</w:t>
      </w:r>
    </w:p>
    <w:p w14:paraId="29A8B4C0" w14:textId="77777777" w:rsidR="00776E75" w:rsidRDefault="00630C42">
      <w:r>
        <w:t>CSU requests a smaller proposal using Alternative 4 as the basis for further refinement. We ask the Forest Service to evaluate the proposed reductions in snowmaking and habitat disturbance and the scope of the Forest Plan amendment, and explain any rejection. Any remaining proposal needs supported findings and binding safeguards. Where the evidence cannot support a conclusion about impacts, demonstrate compliance, or establish an essential operating dependency, the agency should obtain the necessary informa</w:t>
      </w:r>
      <w:r>
        <w:t>tion or reduce, redesign, or withhold the affected component. No Action should remain part of the comparison, and later expansion should be evaluated on its own record.</w:t>
      </w:r>
    </w:p>
    <w:p w14:paraId="482AFF2B" w14:textId="2B8C9851" w:rsidR="00776E75" w:rsidRDefault="00630C42">
      <w:pPr>
        <w:keepLines/>
      </w:pPr>
      <w:r>
        <w:t>Sincerely,</w:t>
      </w:r>
      <w:r>
        <w:br/>
      </w:r>
      <w:r w:rsidR="0004312C">
        <w:t>Brendan Botosan</w:t>
      </w:r>
      <w:r>
        <w:br/>
      </w:r>
      <w:r w:rsidR="0004312C">
        <w:t>Public Lands Program Manager</w:t>
      </w:r>
      <w:r>
        <w:br/>
        <w:t>Conserve Southwest Utah</w:t>
      </w:r>
      <w:r>
        <w:br/>
      </w:r>
      <w:r w:rsidR="0004312C">
        <w:t>321 N. Mall Dr. B202, St. George, UT 84790</w:t>
      </w:r>
      <w:r>
        <w:br/>
      </w:r>
      <w:hyperlink r:id="rId8" w:history="1">
        <w:r w:rsidR="0004312C" w:rsidRPr="00BE6B1B">
          <w:rPr>
            <w:rStyle w:val="Hyperlink"/>
          </w:rPr>
          <w:t>brendan@conserveswu.org</w:t>
        </w:r>
      </w:hyperlink>
    </w:p>
    <w:p w14:paraId="27E78AAC" w14:textId="5A10C5A9" w:rsidR="0004312C" w:rsidRDefault="0004312C">
      <w:pPr>
        <w:keepLines/>
      </w:pPr>
      <w:r>
        <w:t>(801) 824-0170</w:t>
      </w:r>
    </w:p>
    <w:p w14:paraId="348BF129" w14:textId="197DE978" w:rsidR="00776E75" w:rsidRDefault="00776E75"/>
    <w:sectPr w:rsidR="00776E75" w:rsidSect="00034616">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F1AF0" w14:textId="77777777" w:rsidR="00630C42" w:rsidRDefault="00630C42">
      <w:pPr>
        <w:spacing w:after="0" w:line="240" w:lineRule="auto"/>
      </w:pPr>
      <w:r>
        <w:separator/>
      </w:r>
    </w:p>
  </w:endnote>
  <w:endnote w:type="continuationSeparator" w:id="0">
    <w:p w14:paraId="152E84FF" w14:textId="77777777" w:rsidR="00630C42" w:rsidRDefault="00630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903C" w14:textId="2E4083B7" w:rsidR="00776E75" w:rsidRDefault="00630C42">
    <w:pPr>
      <w:pStyle w:val="Footer"/>
      <w:tabs>
        <w:tab w:val="left" w:pos="9504"/>
      </w:tabs>
      <w:spacing w:before="80"/>
    </w:pPr>
    <w:r>
      <w:tab/>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FDDD5" w14:textId="77777777" w:rsidR="00630C42" w:rsidRDefault="00630C42">
      <w:pPr>
        <w:spacing w:after="0" w:line="240" w:lineRule="auto"/>
      </w:pPr>
      <w:r>
        <w:separator/>
      </w:r>
    </w:p>
  </w:footnote>
  <w:footnote w:type="continuationSeparator" w:id="0">
    <w:p w14:paraId="17C921CE" w14:textId="77777777" w:rsidR="00630C42" w:rsidRDefault="00630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540936">
    <w:abstractNumId w:val="8"/>
  </w:num>
  <w:num w:numId="2" w16cid:durableId="1478261564">
    <w:abstractNumId w:val="6"/>
  </w:num>
  <w:num w:numId="3" w16cid:durableId="1257594214">
    <w:abstractNumId w:val="5"/>
  </w:num>
  <w:num w:numId="4" w16cid:durableId="328294509">
    <w:abstractNumId w:val="4"/>
  </w:num>
  <w:num w:numId="5" w16cid:durableId="2069498037">
    <w:abstractNumId w:val="7"/>
  </w:num>
  <w:num w:numId="6" w16cid:durableId="1040782623">
    <w:abstractNumId w:val="3"/>
  </w:num>
  <w:num w:numId="7" w16cid:durableId="834959025">
    <w:abstractNumId w:val="2"/>
  </w:num>
  <w:num w:numId="8" w16cid:durableId="1149592341">
    <w:abstractNumId w:val="1"/>
  </w:num>
  <w:num w:numId="9" w16cid:durableId="1349217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12C"/>
    <w:rsid w:val="0006063C"/>
    <w:rsid w:val="0015074B"/>
    <w:rsid w:val="001F3832"/>
    <w:rsid w:val="0029639D"/>
    <w:rsid w:val="00326F90"/>
    <w:rsid w:val="00630C42"/>
    <w:rsid w:val="0069367C"/>
    <w:rsid w:val="00776E75"/>
    <w:rsid w:val="00AA1D8D"/>
    <w:rsid w:val="00B47730"/>
    <w:rsid w:val="00CB0664"/>
    <w:rsid w:val="00D77EC3"/>
    <w:rsid w:val="00EB3D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3A5BAC"/>
  <w14:defaultImageDpi w14:val="300"/>
  <w15:docId w15:val="{13823D1B-3C4A-46E2-A3AA-C46301B39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47"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hAnsi="Calibri"/>
      <w:color w:val="000000"/>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04312C"/>
    <w:rPr>
      <w:color w:val="0000FF" w:themeColor="hyperlink"/>
      <w:u w:val="single"/>
    </w:rPr>
  </w:style>
  <w:style w:type="character" w:styleId="UnresolvedMention">
    <w:name w:val="Unresolved Mention"/>
    <w:basedOn w:val="DefaultParagraphFont"/>
    <w:uiPriority w:val="99"/>
    <w:semiHidden/>
    <w:unhideWhenUsed/>
    <w:rsid w:val="000431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endan@conserveswu.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4751</Words>
  <Characters>27082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Comments on the Brian Head Resort Expansion Draft Environmental Impact Statement</vt:lpstr>
    </vt:vector>
  </TitlesOfParts>
  <Manager/>
  <Company/>
  <LinksUpToDate>false</LinksUpToDate>
  <CharactersWithSpaces>31770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on the Brian Head Resort Expansion Draft Environmental Impact Statement</dc:title>
  <dc:subject>CSU comment revised for Forest Service authority and enforceability</dc:subject>
  <dc:creator>Conserve Southwest Utah</dc:creator>
  <cp:keywords>Brian Head Resort, Dixie National Forest, public comment</cp:keywords>
  <dc:description>generated by python-docx</dc:description>
  <cp:lastModifiedBy>Brendan Botosan</cp:lastModifiedBy>
  <cp:revision>2</cp:revision>
  <dcterms:created xsi:type="dcterms:W3CDTF">2026-10-29T19:01:00Z</dcterms:created>
  <dcterms:modified xsi:type="dcterms:W3CDTF">2026-10-29T19:01:00Z</dcterms:modified>
  <cp:category/>
</cp:coreProperties>
</file>