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657A55" w14:textId="5BD0E87A" w:rsidR="00470B6F" w:rsidRPr="00470B6F" w:rsidRDefault="00470B6F" w:rsidP="00470B6F">
      <w:pPr>
        <w:rPr>
          <w:b/>
          <w:bCs/>
        </w:rPr>
      </w:pPr>
      <w:r w:rsidRPr="00BC37FE">
        <w:rPr>
          <w:b/>
          <w:bCs/>
        </w:rPr>
        <w:t>SWEETWATER COMMENT LETTER</w:t>
      </w:r>
    </w:p>
    <w:p w14:paraId="4B593BC0" w14:textId="7F4D0D00" w:rsidR="00470B6F" w:rsidRPr="00470B6F" w:rsidRDefault="00470B6F" w:rsidP="00470B6F">
      <w:r w:rsidRPr="00470B6F">
        <w:t>Eagle Summit Wilderness Alliance</w:t>
      </w:r>
      <w:r w:rsidRPr="00470B6F">
        <w:br/>
        <w:t>PO Box 4504</w:t>
      </w:r>
      <w:r>
        <w:br/>
      </w:r>
      <w:r w:rsidRPr="00470B6F">
        <w:t>Frisco, Colorado 80443-4504</w:t>
      </w:r>
      <w:r>
        <w:br/>
      </w:r>
      <w:r w:rsidRPr="00470B6F">
        <w:t>howdy@wild4eswa.org</w:t>
      </w:r>
    </w:p>
    <w:p w14:paraId="1703B1B1" w14:textId="4E35464F" w:rsidR="00470B6F" w:rsidRPr="00470B6F" w:rsidRDefault="00BC37FE" w:rsidP="00470B6F">
      <w:r>
        <w:t>August 5</w:t>
      </w:r>
      <w:r w:rsidR="00470B6F" w:rsidRPr="00470B6F">
        <w:t>, 2026</w:t>
      </w:r>
    </w:p>
    <w:p w14:paraId="03C491B8" w14:textId="77777777" w:rsidR="00470B6F" w:rsidRPr="00470B6F" w:rsidRDefault="00470B6F" w:rsidP="00470B6F">
      <w:r w:rsidRPr="00470B6F">
        <w:rPr>
          <w:b/>
          <w:bCs/>
        </w:rPr>
        <w:t>Submitted via the Forest Service Comment Portal</w:t>
      </w:r>
    </w:p>
    <w:p w14:paraId="2716FF16" w14:textId="77777777" w:rsidR="00470B6F" w:rsidRPr="00470B6F" w:rsidRDefault="00470B6F" w:rsidP="00470B6F">
      <w:r w:rsidRPr="00470B6F">
        <w:rPr>
          <w:b/>
          <w:bCs/>
        </w:rPr>
        <w:t>Re: Draft Environmental Impact Statement – Sweetwater Lake Recreation Management and Development Project</w:t>
      </w:r>
    </w:p>
    <w:p w14:paraId="3844AE28" w14:textId="19BA1AEC" w:rsidR="00470B6F" w:rsidRPr="00470B6F" w:rsidRDefault="00470B6F" w:rsidP="00470B6F">
      <w:r w:rsidRPr="00470B6F">
        <w:t>Dear White River National Forest, c/o Brian Glaspell,</w:t>
      </w:r>
      <w:r>
        <w:t xml:space="preserve"> Forest Supervisor</w:t>
      </w:r>
    </w:p>
    <w:p w14:paraId="3DDA1317" w14:textId="55772998" w:rsidR="00470B6F" w:rsidRPr="00470B6F" w:rsidRDefault="00470B6F" w:rsidP="00470B6F">
      <w:r w:rsidRPr="00470B6F">
        <w:t xml:space="preserve">The Eagle Summit Wilderness Alliance (ESWA) appreciates the opportunity to comment on the Draft Environmental Impact Statement (DEIS) for the Sweetwater Lake Recreation Management and Development Project. ESWA is a nonprofit organization dedicated to protecting the ecological integrity, wildlife habitat, and outstanding recreational values of the Flat Tops Wilderness and </w:t>
      </w:r>
      <w:r>
        <w:t>other Wilderness areas in Eagle and Summit counties</w:t>
      </w:r>
      <w:r w:rsidRPr="00470B6F">
        <w:t>.</w:t>
      </w:r>
    </w:p>
    <w:p w14:paraId="721B3C09" w14:textId="77777777" w:rsidR="00470B6F" w:rsidRPr="00470B6F" w:rsidRDefault="00470B6F" w:rsidP="00470B6F">
      <w:r w:rsidRPr="00470B6F">
        <w:t>ESWA recognizes the importance of providing public access to Sweetwater Lake and appreciates the thoughtful planning effort undertaken by the White River National Forest. The DEIS presents a range of alternatives that seek to balance recreation opportunities with protection of natural resources. After reviewing the DEIS, however, ESWA concludes that </w:t>
      </w:r>
      <w:r w:rsidRPr="00470B6F">
        <w:rPr>
          <w:b/>
          <w:bCs/>
        </w:rPr>
        <w:t>Alternative 3 best fulfills the Forest Service's responsibility to protect the long-term ecological integrity and Wilderness values of the area.</w:t>
      </w:r>
    </w:p>
    <w:p w14:paraId="19DB0794" w14:textId="77777777" w:rsidR="00470B6F" w:rsidRPr="00470B6F" w:rsidRDefault="00470B6F" w:rsidP="00470B6F">
      <w:pPr>
        <w:rPr>
          <w:b/>
          <w:bCs/>
        </w:rPr>
      </w:pPr>
      <w:r w:rsidRPr="00470B6F">
        <w:rPr>
          <w:b/>
          <w:bCs/>
        </w:rPr>
        <w:t>Alternative 3 Best Protects the Adjacent Flat Tops Wilderness</w:t>
      </w:r>
    </w:p>
    <w:p w14:paraId="02BE783C" w14:textId="6B3C44CF" w:rsidR="00470B6F" w:rsidRPr="00470B6F" w:rsidRDefault="00470B6F" w:rsidP="00470B6F">
      <w:r w:rsidRPr="00470B6F">
        <w:t>Although the proposed development occurs outside designated Wilderness, the Sweetwater Lake property functions as an important transition zone between developed recreation and the Flat Tops Wilderness. Decisions made on these 84</w:t>
      </w:r>
      <w:r>
        <w:t>4</w:t>
      </w:r>
      <w:r w:rsidRPr="00470B6F">
        <w:t xml:space="preserve"> acres will influence visitor expectations, recreation patterns, wildlife movement, and ecological conditions along the Wilderness boundary for decades.</w:t>
      </w:r>
    </w:p>
    <w:p w14:paraId="60174380" w14:textId="77777777" w:rsidR="00470B6F" w:rsidRDefault="00470B6F" w:rsidP="00470B6F">
      <w:r w:rsidRPr="00470B6F">
        <w:t>Alternative 3 provides the most appropriate balance by maintaining a more primitive recreation experience while minimizing permanent infrastructure and visitor intensity. Compared to the other action alternatives, it best preserves opportunities for solitude, protects wildlife habitat connectivity, and reduces long-term management pressures on adjacent Wilderness.</w:t>
      </w:r>
    </w:p>
    <w:p w14:paraId="1719BF02" w14:textId="77777777" w:rsidR="00BC37FE" w:rsidRPr="00470B6F" w:rsidRDefault="00BC37FE" w:rsidP="00470B6F"/>
    <w:p w14:paraId="77857E0F" w14:textId="77777777" w:rsidR="00470B6F" w:rsidRPr="00470B6F" w:rsidRDefault="00470B6F" w:rsidP="00470B6F">
      <w:pPr>
        <w:rPr>
          <w:b/>
          <w:bCs/>
        </w:rPr>
      </w:pPr>
      <w:r w:rsidRPr="00470B6F">
        <w:rPr>
          <w:b/>
          <w:bCs/>
        </w:rPr>
        <w:lastRenderedPageBreak/>
        <w:t>Visitor Use and Wilderness Character</w:t>
      </w:r>
    </w:p>
    <w:p w14:paraId="57420041" w14:textId="77777777" w:rsidR="00470B6F" w:rsidRPr="00470B6F" w:rsidRDefault="00470B6F" w:rsidP="00470B6F">
      <w:r w:rsidRPr="00470B6F">
        <w:t>The DEIS appropriately recognizes that increased visitation to Sweetwater Lake will likely increase recreational use of the adjacent Flat Tops Wilderness.</w:t>
      </w:r>
    </w:p>
    <w:p w14:paraId="1A10B2BB" w14:textId="77777777" w:rsidR="00470B6F" w:rsidRPr="00470B6F" w:rsidRDefault="00470B6F" w:rsidP="00470B6F">
      <w:r w:rsidRPr="00470B6F">
        <w:t>The Forest Service estimates relatively low existing visitation in this portion of the Wilderness. Alternative 2—and especially Alternative 4—would substantially increase visitation, resulting in greater visitor encounters, increased trail use, congestion at access points, and diminished opportunities for solitude.</w:t>
      </w:r>
    </w:p>
    <w:p w14:paraId="0DA55FBE" w14:textId="77777777" w:rsidR="00470B6F" w:rsidRPr="00470B6F" w:rsidRDefault="00470B6F" w:rsidP="00470B6F">
      <w:r w:rsidRPr="00470B6F">
        <w:t>Protecting opportunities for solitude is one of the defining purposes of the Wilderness Act. While these impacts may occur outside Wilderness boundaries, they directly influence the quality of the Wilderness experience.</w:t>
      </w:r>
    </w:p>
    <w:p w14:paraId="1C56AB28" w14:textId="77777777" w:rsidR="00470B6F" w:rsidRPr="00470B6F" w:rsidRDefault="00470B6F" w:rsidP="00470B6F">
      <w:r w:rsidRPr="00470B6F">
        <w:t>Alternative 3 better protects these values by limiting recreation development and visitor intensity.</w:t>
      </w:r>
    </w:p>
    <w:p w14:paraId="43F0DAAC" w14:textId="77777777" w:rsidR="00470B6F" w:rsidRPr="00470B6F" w:rsidRDefault="00470B6F" w:rsidP="00470B6F">
      <w:pPr>
        <w:rPr>
          <w:b/>
          <w:bCs/>
        </w:rPr>
      </w:pPr>
      <w:r w:rsidRPr="00470B6F">
        <w:rPr>
          <w:b/>
          <w:bCs/>
        </w:rPr>
        <w:t>Wildlife Connectivity</w:t>
      </w:r>
    </w:p>
    <w:p w14:paraId="0A01DAB8" w14:textId="77777777" w:rsidR="00470B6F" w:rsidRPr="00470B6F" w:rsidRDefault="00470B6F" w:rsidP="00470B6F">
      <w:r w:rsidRPr="00470B6F">
        <w:t>The DEIS identifies the Sweetwater parcel as an important wildlife linkage between lower elevation habitat and the Flat Tops Wilderness.</w:t>
      </w:r>
    </w:p>
    <w:p w14:paraId="04307D58" w14:textId="77777777" w:rsidR="00470B6F" w:rsidRPr="00470B6F" w:rsidRDefault="00470B6F" w:rsidP="00470B6F">
      <w:r w:rsidRPr="00470B6F">
        <w:t>ESWA agrees with the DEIS that increased recreation has the potential to disrupt migration corridors, fragment habitat, and disturb important nesting and winter range.</w:t>
      </w:r>
    </w:p>
    <w:p w14:paraId="53454ACC" w14:textId="77777777" w:rsidR="00470B6F" w:rsidRPr="00470B6F" w:rsidRDefault="00470B6F" w:rsidP="00470B6F">
      <w:r w:rsidRPr="00470B6F">
        <w:t>Although the DEIS proposes seasonal closures and other mitigation measures, ESWA believes minimizing development in the first instance provides greater long-term protection than relying primarily on management interventions after impacts occur.</w:t>
      </w:r>
    </w:p>
    <w:p w14:paraId="245345EF" w14:textId="77777777" w:rsidR="00470B6F" w:rsidRPr="00470B6F" w:rsidRDefault="00470B6F" w:rsidP="00470B6F">
      <w:pPr>
        <w:rPr>
          <w:b/>
          <w:bCs/>
        </w:rPr>
      </w:pPr>
      <w:r w:rsidRPr="00470B6F">
        <w:rPr>
          <w:b/>
          <w:bCs/>
        </w:rPr>
        <w:t>Wetlands and Sensitive Habitats</w:t>
      </w:r>
    </w:p>
    <w:p w14:paraId="29AEA2CA" w14:textId="77777777" w:rsidR="00470B6F" w:rsidRPr="00470B6F" w:rsidRDefault="00470B6F" w:rsidP="00470B6F">
      <w:r w:rsidRPr="00470B6F">
        <w:t>ESWA supports designation of the proposed Environmentally Sensitive Zone.</w:t>
      </w:r>
    </w:p>
    <w:p w14:paraId="2BA7E55E" w14:textId="77777777" w:rsidR="00470B6F" w:rsidRPr="00470B6F" w:rsidRDefault="00470B6F" w:rsidP="00470B6F">
      <w:r w:rsidRPr="00470B6F">
        <w:t>However, we remain concerned that increased recreation will gradually degrade wetlands and shoreline vegetation through trampling, erosion, and informal trail development despite management efforts.</w:t>
      </w:r>
    </w:p>
    <w:p w14:paraId="631713A6" w14:textId="77777777" w:rsidR="00470B6F" w:rsidRPr="00470B6F" w:rsidRDefault="00470B6F" w:rsidP="00470B6F">
      <w:r w:rsidRPr="00470B6F">
        <w:t>These impacts may be individually modest but become significant over time.</w:t>
      </w:r>
    </w:p>
    <w:p w14:paraId="0759B29B" w14:textId="77777777" w:rsidR="00470B6F" w:rsidRPr="00470B6F" w:rsidRDefault="00470B6F" w:rsidP="00470B6F">
      <w:pPr>
        <w:rPr>
          <w:b/>
          <w:bCs/>
        </w:rPr>
      </w:pPr>
      <w:r w:rsidRPr="00470B6F">
        <w:rPr>
          <w:b/>
          <w:bCs/>
        </w:rPr>
        <w:t>Cumulative Effects</w:t>
      </w:r>
    </w:p>
    <w:p w14:paraId="17259BFC" w14:textId="77777777" w:rsidR="00470B6F" w:rsidRPr="00470B6F" w:rsidRDefault="00470B6F" w:rsidP="00470B6F">
      <w:r w:rsidRPr="00470B6F">
        <w:t>The DEIS appropriately analyzes direct impacts but should place greater emphasis on cumulative effects associated with increased recreation.</w:t>
      </w:r>
    </w:p>
    <w:p w14:paraId="0768A121" w14:textId="77777777" w:rsidR="00BC37FE" w:rsidRDefault="00BC37FE" w:rsidP="00470B6F"/>
    <w:p w14:paraId="18DDC474" w14:textId="51C1806C" w:rsidR="00470B6F" w:rsidRPr="00470B6F" w:rsidRDefault="00470B6F" w:rsidP="00470B6F">
      <w:r w:rsidRPr="00470B6F">
        <w:lastRenderedPageBreak/>
        <w:t>These include:</w:t>
      </w:r>
    </w:p>
    <w:p w14:paraId="0EC64892" w14:textId="6DB9C90B" w:rsidR="00470B6F" w:rsidRPr="00470B6F" w:rsidRDefault="00470B6F" w:rsidP="00470B6F">
      <w:pPr>
        <w:numPr>
          <w:ilvl w:val="0"/>
          <w:numId w:val="1"/>
        </w:numPr>
        <w:spacing w:after="0"/>
      </w:pPr>
      <w:r>
        <w:t>S</w:t>
      </w:r>
      <w:r w:rsidRPr="00470B6F">
        <w:t>ocial trail creation</w:t>
      </w:r>
    </w:p>
    <w:p w14:paraId="67DAC5E1" w14:textId="627715D3" w:rsidR="00470B6F" w:rsidRPr="00470B6F" w:rsidRDefault="00470B6F" w:rsidP="00470B6F">
      <w:pPr>
        <w:numPr>
          <w:ilvl w:val="0"/>
          <w:numId w:val="1"/>
        </w:numPr>
        <w:spacing w:after="0"/>
      </w:pPr>
      <w:r>
        <w:t>D</w:t>
      </w:r>
      <w:r w:rsidRPr="00470B6F">
        <w:t>ispersed camping</w:t>
      </w:r>
    </w:p>
    <w:p w14:paraId="4EE63575" w14:textId="319392EE" w:rsidR="00470B6F" w:rsidRPr="00470B6F" w:rsidRDefault="00470B6F" w:rsidP="00470B6F">
      <w:pPr>
        <w:numPr>
          <w:ilvl w:val="0"/>
          <w:numId w:val="1"/>
        </w:numPr>
        <w:spacing w:after="0"/>
      </w:pPr>
      <w:r>
        <w:t>I</w:t>
      </w:r>
      <w:r w:rsidRPr="00470B6F">
        <w:t xml:space="preserve">ncreased </w:t>
      </w:r>
      <w:r>
        <w:t>presence of dogs</w:t>
      </w:r>
    </w:p>
    <w:p w14:paraId="709DB8D8" w14:textId="2B55B3F1" w:rsidR="00470B6F" w:rsidRPr="00470B6F" w:rsidRDefault="00470B6F" w:rsidP="00470B6F">
      <w:pPr>
        <w:numPr>
          <w:ilvl w:val="0"/>
          <w:numId w:val="1"/>
        </w:numPr>
        <w:spacing w:after="0"/>
      </w:pPr>
      <w:r>
        <w:t>Potential d</w:t>
      </w:r>
      <w:r w:rsidRPr="00470B6F">
        <w:t>rone activity</w:t>
      </w:r>
    </w:p>
    <w:p w14:paraId="6DC93386" w14:textId="1653F2C8" w:rsidR="00470B6F" w:rsidRPr="00470B6F" w:rsidRDefault="00470B6F" w:rsidP="00470B6F">
      <w:pPr>
        <w:numPr>
          <w:ilvl w:val="0"/>
          <w:numId w:val="1"/>
        </w:numPr>
        <w:spacing w:after="0"/>
      </w:pPr>
      <w:r>
        <w:t>P</w:t>
      </w:r>
      <w:r w:rsidRPr="00470B6F">
        <w:t>arking overflow</w:t>
      </w:r>
    </w:p>
    <w:p w14:paraId="5ACA7BA9" w14:textId="61DDC34B" w:rsidR="00470B6F" w:rsidRPr="00470B6F" w:rsidRDefault="00470B6F" w:rsidP="00470B6F">
      <w:pPr>
        <w:numPr>
          <w:ilvl w:val="0"/>
          <w:numId w:val="1"/>
        </w:numPr>
        <w:spacing w:after="0"/>
      </w:pPr>
      <w:r>
        <w:t>I</w:t>
      </w:r>
      <w:r w:rsidRPr="00470B6F">
        <w:t>nvasive weed introduction</w:t>
      </w:r>
    </w:p>
    <w:p w14:paraId="24F6F676" w14:textId="1612B3DA" w:rsidR="00470B6F" w:rsidRPr="00470B6F" w:rsidRDefault="00470B6F" w:rsidP="00470B6F">
      <w:pPr>
        <w:numPr>
          <w:ilvl w:val="0"/>
          <w:numId w:val="1"/>
        </w:numPr>
        <w:spacing w:after="0"/>
      </w:pPr>
      <w:r>
        <w:t>E</w:t>
      </w:r>
      <w:r w:rsidRPr="00470B6F">
        <w:t>xpanded search and rescue activities</w:t>
      </w:r>
    </w:p>
    <w:p w14:paraId="3159CE35" w14:textId="2EBA2294" w:rsidR="00470B6F" w:rsidRDefault="00470B6F" w:rsidP="00470B6F">
      <w:pPr>
        <w:numPr>
          <w:ilvl w:val="0"/>
          <w:numId w:val="1"/>
        </w:numPr>
        <w:spacing w:after="0"/>
      </w:pPr>
      <w:r>
        <w:t>I</w:t>
      </w:r>
      <w:r w:rsidRPr="00470B6F">
        <w:t>ncreasing pressure for additional recreation facilities</w:t>
      </w:r>
    </w:p>
    <w:p w14:paraId="23880496" w14:textId="77777777" w:rsidR="00470B6F" w:rsidRPr="00470B6F" w:rsidRDefault="00470B6F" w:rsidP="00470B6F">
      <w:pPr>
        <w:spacing w:after="0"/>
        <w:ind w:left="720"/>
      </w:pPr>
    </w:p>
    <w:p w14:paraId="5D4889B7" w14:textId="77777777" w:rsidR="00470B6F" w:rsidRPr="00470B6F" w:rsidRDefault="00470B6F" w:rsidP="00470B6F">
      <w:r w:rsidRPr="00470B6F">
        <w:t>Collectively, these impacts have the potential to diminish Wilderness character and increase long-term management needs.</w:t>
      </w:r>
    </w:p>
    <w:p w14:paraId="42D80FBE" w14:textId="77777777" w:rsidR="00470B6F" w:rsidRPr="00470B6F" w:rsidRDefault="00470B6F" w:rsidP="00470B6F">
      <w:pPr>
        <w:rPr>
          <w:b/>
          <w:bCs/>
        </w:rPr>
      </w:pPr>
      <w:r w:rsidRPr="00470B6F">
        <w:rPr>
          <w:b/>
          <w:bCs/>
        </w:rPr>
        <w:t>Funding and Long-Term Stewardship</w:t>
      </w:r>
    </w:p>
    <w:p w14:paraId="75E0B2D4" w14:textId="77777777" w:rsidR="00470B6F" w:rsidRPr="00470B6F" w:rsidRDefault="00470B6F" w:rsidP="00470B6F">
      <w:r w:rsidRPr="00470B6F">
        <w:t>Many mitigation measures identified in the DEIS depend upon sustained funding for monitoring, visitor education, enforcement, and habitat protection.</w:t>
      </w:r>
    </w:p>
    <w:p w14:paraId="483961CE" w14:textId="77777777" w:rsidR="00470B6F" w:rsidRPr="00470B6F" w:rsidRDefault="00470B6F" w:rsidP="00470B6F">
      <w:r w:rsidRPr="00470B6F">
        <w:t>The Final EIS should clearly identify how these long-term responsibilities will be funded and staffed.</w:t>
      </w:r>
    </w:p>
    <w:p w14:paraId="5C6A002A" w14:textId="77777777" w:rsidR="00470B6F" w:rsidRPr="00470B6F" w:rsidRDefault="00470B6F" w:rsidP="00470B6F">
      <w:r w:rsidRPr="00470B6F">
        <w:t>Adaptive management is only effective if adequate resources exist to implement it.</w:t>
      </w:r>
    </w:p>
    <w:p w14:paraId="69952D69" w14:textId="77777777" w:rsidR="00470B6F" w:rsidRPr="00470B6F" w:rsidRDefault="00470B6F" w:rsidP="00470B6F">
      <w:pPr>
        <w:rPr>
          <w:b/>
          <w:bCs/>
        </w:rPr>
      </w:pPr>
      <w:r w:rsidRPr="00470B6F">
        <w:rPr>
          <w:b/>
          <w:bCs/>
        </w:rPr>
        <w:t>Recommendations</w:t>
      </w:r>
    </w:p>
    <w:p w14:paraId="1AFC1367" w14:textId="77777777" w:rsidR="00470B6F" w:rsidRPr="00470B6F" w:rsidRDefault="00470B6F" w:rsidP="00470B6F">
      <w:r w:rsidRPr="00470B6F">
        <w:t>Should Alternative 3 be selected, ESWA recommends that the Final EIS include commitments to:</w:t>
      </w:r>
    </w:p>
    <w:p w14:paraId="53810C5E" w14:textId="181604E5" w:rsidR="00470B6F" w:rsidRPr="00470B6F" w:rsidRDefault="00470B6F" w:rsidP="00470B6F">
      <w:pPr>
        <w:numPr>
          <w:ilvl w:val="0"/>
          <w:numId w:val="2"/>
        </w:numPr>
        <w:spacing w:after="0"/>
      </w:pPr>
      <w:r>
        <w:t>E</w:t>
      </w:r>
      <w:r w:rsidRPr="00470B6F">
        <w:t>stablish measurable monitoring indicators for wildlife movement, wetlands, visitor encounters, and trail conditions;</w:t>
      </w:r>
    </w:p>
    <w:p w14:paraId="18C44399" w14:textId="1E96E3B3" w:rsidR="00470B6F" w:rsidRPr="00470B6F" w:rsidRDefault="00470B6F" w:rsidP="00470B6F">
      <w:pPr>
        <w:numPr>
          <w:ilvl w:val="0"/>
          <w:numId w:val="2"/>
        </w:numPr>
        <w:spacing w:after="0"/>
      </w:pPr>
      <w:r>
        <w:t>I</w:t>
      </w:r>
      <w:r w:rsidRPr="00470B6F">
        <w:t>dentify thresholds that trigger adaptive management actions;</w:t>
      </w:r>
    </w:p>
    <w:p w14:paraId="3C620911" w14:textId="20C7A900" w:rsidR="00470B6F" w:rsidRPr="00470B6F" w:rsidRDefault="00470B6F" w:rsidP="00470B6F">
      <w:pPr>
        <w:numPr>
          <w:ilvl w:val="0"/>
          <w:numId w:val="2"/>
        </w:numPr>
        <w:spacing w:after="0"/>
      </w:pPr>
      <w:r>
        <w:t>P</w:t>
      </w:r>
      <w:r w:rsidRPr="00470B6F">
        <w:t>ublish annual monitoring reports;</w:t>
      </w:r>
    </w:p>
    <w:p w14:paraId="1802ABC4" w14:textId="0CB4538C" w:rsidR="00470B6F" w:rsidRPr="00470B6F" w:rsidRDefault="00470B6F" w:rsidP="00470B6F">
      <w:pPr>
        <w:numPr>
          <w:ilvl w:val="0"/>
          <w:numId w:val="2"/>
        </w:numPr>
        <w:spacing w:after="0"/>
      </w:pPr>
      <w:r>
        <w:t>R</w:t>
      </w:r>
      <w:r w:rsidRPr="00470B6F">
        <w:t>estore unauthorized social trails;</w:t>
      </w:r>
    </w:p>
    <w:p w14:paraId="398448D5" w14:textId="7F9E438C" w:rsidR="00470B6F" w:rsidRPr="00470B6F" w:rsidRDefault="00470B6F" w:rsidP="00470B6F">
      <w:pPr>
        <w:numPr>
          <w:ilvl w:val="0"/>
          <w:numId w:val="2"/>
        </w:numPr>
        <w:spacing w:after="0"/>
      </w:pPr>
      <w:r>
        <w:t>C</w:t>
      </w:r>
      <w:r w:rsidRPr="00470B6F">
        <w:t>ontinue seasonal wildlife closures where monitoring demonstrates effectiveness;</w:t>
      </w:r>
    </w:p>
    <w:p w14:paraId="22EAE9EC" w14:textId="07DC1327" w:rsidR="00470B6F" w:rsidRPr="00470B6F" w:rsidRDefault="00470B6F" w:rsidP="00470B6F">
      <w:pPr>
        <w:numPr>
          <w:ilvl w:val="0"/>
          <w:numId w:val="2"/>
        </w:numPr>
        <w:spacing w:after="0"/>
      </w:pPr>
      <w:r>
        <w:t>R</w:t>
      </w:r>
      <w:r w:rsidRPr="00470B6F">
        <w:t>equire dogs to remain leashed where necessary to protect wildlife resources;</w:t>
      </w:r>
    </w:p>
    <w:p w14:paraId="291CD4B5" w14:textId="0314041A" w:rsidR="00470B6F" w:rsidRPr="00470B6F" w:rsidRDefault="00470B6F" w:rsidP="00470B6F">
      <w:pPr>
        <w:numPr>
          <w:ilvl w:val="0"/>
          <w:numId w:val="2"/>
        </w:numPr>
        <w:spacing w:after="0"/>
      </w:pPr>
      <w:r>
        <w:t>P</w:t>
      </w:r>
      <w:r w:rsidRPr="00470B6F">
        <w:t>rohibit future expansion beyond Alternative 3 without additional NEPA review; and</w:t>
      </w:r>
    </w:p>
    <w:p w14:paraId="5218F2A7" w14:textId="581B2814" w:rsidR="00470B6F" w:rsidRPr="00470B6F" w:rsidRDefault="00470B6F" w:rsidP="00470B6F">
      <w:pPr>
        <w:numPr>
          <w:ilvl w:val="0"/>
          <w:numId w:val="2"/>
        </w:numPr>
        <w:spacing w:after="0"/>
      </w:pPr>
      <w:r>
        <w:t>I</w:t>
      </w:r>
      <w:r w:rsidRPr="00470B6F">
        <w:t>dentify long-term funding commitments for implementation and monitoring.</w:t>
      </w:r>
      <w:r>
        <w:br/>
      </w:r>
    </w:p>
    <w:p w14:paraId="2221D4C6" w14:textId="77777777" w:rsidR="00470B6F" w:rsidRPr="00470B6F" w:rsidRDefault="00470B6F" w:rsidP="00470B6F">
      <w:pPr>
        <w:rPr>
          <w:b/>
          <w:bCs/>
        </w:rPr>
      </w:pPr>
      <w:r w:rsidRPr="00470B6F">
        <w:rPr>
          <w:b/>
          <w:bCs/>
        </w:rPr>
        <w:t>Conclusion</w:t>
      </w:r>
    </w:p>
    <w:p w14:paraId="06EC7D2F" w14:textId="77777777" w:rsidR="00470B6F" w:rsidRPr="00470B6F" w:rsidRDefault="00470B6F" w:rsidP="00470B6F">
      <w:r w:rsidRPr="00470B6F">
        <w:t>The question before the Forest Service is not whether Sweetwater Lake should remain accessible to the public. It should.</w:t>
      </w:r>
    </w:p>
    <w:p w14:paraId="398B31F7" w14:textId="77777777" w:rsidR="00470B6F" w:rsidRPr="00470B6F" w:rsidRDefault="00470B6F" w:rsidP="00470B6F">
      <w:r w:rsidRPr="00470B6F">
        <w:lastRenderedPageBreak/>
        <w:t>Rather, the question is what level of development is most appropriate adjacent to one of Colorado's premier Wilderness areas.</w:t>
      </w:r>
    </w:p>
    <w:p w14:paraId="2C08ABEB" w14:textId="77777777" w:rsidR="00470B6F" w:rsidRPr="00470B6F" w:rsidRDefault="00470B6F" w:rsidP="00470B6F">
      <w:r w:rsidRPr="00470B6F">
        <w:t>Alternative 3 best balances public access with protection of wildlife habitat, ecological integrity, and the outstanding opportunities for solitude that define the Flat Tops Wilderness.</w:t>
      </w:r>
    </w:p>
    <w:p w14:paraId="63B83262" w14:textId="77777777" w:rsidR="00470B6F" w:rsidRPr="00470B6F" w:rsidRDefault="00470B6F" w:rsidP="00470B6F">
      <w:r w:rsidRPr="00470B6F">
        <w:t>For these reasons, ESWA respectfully urges the Forest Service to select Alternative 3 and strengthen it through measurable monitoring, adaptive management, and long-term commitments to Wilderness stewardship.</w:t>
      </w:r>
    </w:p>
    <w:p w14:paraId="2C71B58A" w14:textId="77777777" w:rsidR="00470B6F" w:rsidRPr="00470B6F" w:rsidRDefault="00470B6F" w:rsidP="00470B6F">
      <w:r w:rsidRPr="00470B6F">
        <w:t>Thank you for considering our comments.</w:t>
      </w:r>
    </w:p>
    <w:p w14:paraId="214E441B" w14:textId="77777777" w:rsidR="00470B6F" w:rsidRPr="00470B6F" w:rsidRDefault="00470B6F" w:rsidP="00470B6F">
      <w:r w:rsidRPr="00470B6F">
        <w:t>Sincerely,</w:t>
      </w:r>
    </w:p>
    <w:p w14:paraId="52977289" w14:textId="7796071D" w:rsidR="00470B6F" w:rsidRPr="00470B6F" w:rsidRDefault="00BC37FE" w:rsidP="00470B6F">
      <w:r>
        <w:t>Michael Browning</w:t>
      </w:r>
      <w:r w:rsidR="00470B6F" w:rsidRPr="00470B6F">
        <w:t xml:space="preserve">, </w:t>
      </w:r>
      <w:r>
        <w:t xml:space="preserve">Advocacy </w:t>
      </w:r>
      <w:r w:rsidR="00470B6F" w:rsidRPr="00470B6F">
        <w:t>Chair</w:t>
      </w:r>
      <w:r w:rsidR="00470B6F" w:rsidRPr="00470B6F">
        <w:br/>
        <w:t>Eagle Summit Wilderness Alliance</w:t>
      </w:r>
    </w:p>
    <w:p w14:paraId="4BCCE4ED" w14:textId="77777777" w:rsidR="00470B6F" w:rsidRDefault="00470B6F"/>
    <w:sectPr w:rsidR="00470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F34DCC"/>
    <w:multiLevelType w:val="multilevel"/>
    <w:tmpl w:val="F1A4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A332B"/>
    <w:multiLevelType w:val="multilevel"/>
    <w:tmpl w:val="F1A4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7210556">
    <w:abstractNumId w:val="1"/>
  </w:num>
  <w:num w:numId="2" w16cid:durableId="12309668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6F"/>
    <w:rsid w:val="00470B6F"/>
    <w:rsid w:val="00BC239E"/>
    <w:rsid w:val="00BC37FE"/>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92429C"/>
  <w15:chartTrackingRefBased/>
  <w15:docId w15:val="{871763D5-4581-1E4A-BE20-49838CEB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B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B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B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B6F"/>
    <w:rPr>
      <w:rFonts w:eastAsiaTheme="majorEastAsia" w:cstheme="majorBidi"/>
      <w:color w:val="272727" w:themeColor="text1" w:themeTint="D8"/>
    </w:rPr>
  </w:style>
  <w:style w:type="paragraph" w:styleId="Title">
    <w:name w:val="Title"/>
    <w:basedOn w:val="Normal"/>
    <w:next w:val="Normal"/>
    <w:link w:val="TitleChar"/>
    <w:uiPriority w:val="10"/>
    <w:qFormat/>
    <w:rsid w:val="0047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B6F"/>
    <w:pPr>
      <w:spacing w:before="160"/>
      <w:jc w:val="center"/>
    </w:pPr>
    <w:rPr>
      <w:i/>
      <w:iCs/>
      <w:color w:val="404040" w:themeColor="text1" w:themeTint="BF"/>
    </w:rPr>
  </w:style>
  <w:style w:type="character" w:customStyle="1" w:styleId="QuoteChar">
    <w:name w:val="Quote Char"/>
    <w:basedOn w:val="DefaultParagraphFont"/>
    <w:link w:val="Quote"/>
    <w:uiPriority w:val="29"/>
    <w:rsid w:val="00470B6F"/>
    <w:rPr>
      <w:i/>
      <w:iCs/>
      <w:color w:val="404040" w:themeColor="text1" w:themeTint="BF"/>
    </w:rPr>
  </w:style>
  <w:style w:type="paragraph" w:styleId="ListParagraph">
    <w:name w:val="List Paragraph"/>
    <w:basedOn w:val="Normal"/>
    <w:uiPriority w:val="34"/>
    <w:qFormat/>
    <w:rsid w:val="00470B6F"/>
    <w:pPr>
      <w:ind w:left="720"/>
      <w:contextualSpacing/>
    </w:pPr>
  </w:style>
  <w:style w:type="character" w:styleId="IntenseEmphasis">
    <w:name w:val="Intense Emphasis"/>
    <w:basedOn w:val="DefaultParagraphFont"/>
    <w:uiPriority w:val="21"/>
    <w:qFormat/>
    <w:rsid w:val="00470B6F"/>
    <w:rPr>
      <w:i/>
      <w:iCs/>
      <w:color w:val="0F4761" w:themeColor="accent1" w:themeShade="BF"/>
    </w:rPr>
  </w:style>
  <w:style w:type="paragraph" w:styleId="IntenseQuote">
    <w:name w:val="Intense Quote"/>
    <w:basedOn w:val="Normal"/>
    <w:next w:val="Normal"/>
    <w:link w:val="IntenseQuoteChar"/>
    <w:uiPriority w:val="30"/>
    <w:qFormat/>
    <w:rsid w:val="0047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B6F"/>
    <w:rPr>
      <w:i/>
      <w:iCs/>
      <w:color w:val="0F4761" w:themeColor="accent1" w:themeShade="BF"/>
    </w:rPr>
  </w:style>
  <w:style w:type="character" w:styleId="IntenseReference">
    <w:name w:val="Intense Reference"/>
    <w:basedOn w:val="DefaultParagraphFont"/>
    <w:uiPriority w:val="32"/>
    <w:qFormat/>
    <w:rsid w:val="00470B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016430">
      <w:bodyDiv w:val="1"/>
      <w:marLeft w:val="0"/>
      <w:marRight w:val="0"/>
      <w:marTop w:val="0"/>
      <w:marBottom w:val="0"/>
      <w:divBdr>
        <w:top w:val="none" w:sz="0" w:space="0" w:color="auto"/>
        <w:left w:val="none" w:sz="0" w:space="0" w:color="auto"/>
        <w:bottom w:val="none" w:sz="0" w:space="0" w:color="auto"/>
        <w:right w:val="none" w:sz="0" w:space="0" w:color="auto"/>
      </w:divBdr>
    </w:div>
    <w:div w:id="1024358184">
      <w:bodyDiv w:val="1"/>
      <w:marLeft w:val="0"/>
      <w:marRight w:val="0"/>
      <w:marTop w:val="0"/>
      <w:marBottom w:val="0"/>
      <w:divBdr>
        <w:top w:val="none" w:sz="0" w:space="0" w:color="auto"/>
        <w:left w:val="none" w:sz="0" w:space="0" w:color="auto"/>
        <w:bottom w:val="none" w:sz="0" w:space="0" w:color="auto"/>
        <w:right w:val="none" w:sz="0" w:space="0" w:color="auto"/>
      </w:divBdr>
    </w:div>
    <w:div w:id="1739357347">
      <w:bodyDiv w:val="1"/>
      <w:marLeft w:val="0"/>
      <w:marRight w:val="0"/>
      <w:marTop w:val="0"/>
      <w:marBottom w:val="0"/>
      <w:divBdr>
        <w:top w:val="none" w:sz="0" w:space="0" w:color="auto"/>
        <w:left w:val="none" w:sz="0" w:space="0" w:color="auto"/>
        <w:bottom w:val="none" w:sz="0" w:space="0" w:color="auto"/>
        <w:right w:val="none" w:sz="0" w:space="0" w:color="auto"/>
      </w:divBdr>
    </w:div>
    <w:div w:id="200632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928</Words>
  <Characters>5296</Characters>
  <Application>Microsoft Office Word</Application>
  <DocSecurity>0</DocSecurity>
  <Lines>44</Lines>
  <Paragraphs>12</Paragraphs>
  <ScaleCrop>false</ScaleCrop>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Elliott</dc:creator>
  <cp:keywords/>
  <dc:description/>
  <cp:lastModifiedBy>Mike Browning</cp:lastModifiedBy>
  <cp:revision>2</cp:revision>
  <dcterms:created xsi:type="dcterms:W3CDTF">2026-08-06T01:26:00Z</dcterms:created>
  <dcterms:modified xsi:type="dcterms:W3CDTF">2026-08-06T01:26:00Z</dcterms:modified>
</cp:coreProperties>
</file>