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04AE4" w14:textId="77777777" w:rsidR="00FB02E3" w:rsidRDefault="003872EF">
      <w:pPr>
        <w:spacing w:before="157" w:after="157" w:line="270" w:lineRule="auto"/>
      </w:pPr>
      <w:bookmarkStart w:id="0" w:name="objection_to_the_grand_targhee_re_14aa20"/>
      <w:r>
        <w:rPr>
          <w:rFonts w:ascii="source serif 4" w:eastAsia="source serif 4" w:hAnsi="source serif 4" w:cs="source serif 4"/>
          <w:b/>
          <w:color w:val="000000"/>
          <w:sz w:val="39"/>
        </w:rPr>
        <w:t>Objection to the Grand Targhee Resort Master Development Plan Projects and Associated Project-Specific Forest Plan Amendments</w:t>
      </w:r>
      <w:bookmarkEnd w:id="0"/>
    </w:p>
    <w:p w14:paraId="0FE04AE5" w14:textId="77777777" w:rsidR="00FB02E3" w:rsidRDefault="003872EF">
      <w:pPr>
        <w:spacing w:after="210" w:line="360" w:lineRule="auto"/>
      </w:pPr>
      <w:r>
        <w:rPr>
          <w:rFonts w:ascii="source serif 4" w:eastAsia="source serif 4" w:hAnsi="source serif 4" w:cs="source serif 4"/>
          <w:b/>
          <w:color w:val="000000"/>
        </w:rPr>
        <w:t>Submitted pursuant to 36 CFR 218, Subpart A — Pre-Decisional Administrative Review</w:t>
      </w:r>
    </w:p>
    <w:p w14:paraId="0FE04AE6" w14:textId="77777777" w:rsidR="00FB02E3" w:rsidRDefault="0015504C">
      <w:pPr>
        <w:spacing w:before="210" w:after="0" w:line="360" w:lineRule="auto"/>
      </w:pPr>
      <w:r>
        <w:rPr>
          <w:noProof/>
        </w:rPr>
      </w:r>
      <w:r>
        <w:rPr>
          <w:noProof/>
        </w:rPr>
        <w:pict w14:anchorId="0FE04B3C">
          <v:rect id="_x0000_s1035" alt="" style="width:475.5pt;height:.05pt;mso-width-percent:0;mso-height-percent:0;mso-left-percent:-10001;mso-top-percent:-10001;mso-position-horizontal:absolute;mso-position-horizontal-relative:char;mso-position-vertical:absolute;mso-position-vertical-relative:line;mso-width-percent:0;mso-height-percent:0;mso-left-percent:-10001;mso-top-percent:-10001" o:hralign="center" o:hrstd="t" strokeweight="1pt">
            <v:stroke opacity="0"/>
          </v:rect>
        </w:pict>
      </w:r>
    </w:p>
    <w:p w14:paraId="0FE04AE7" w14:textId="3746C782" w:rsidR="00FB02E3" w:rsidRDefault="003872EF">
      <w:pPr>
        <w:spacing w:after="210" w:line="360" w:lineRule="auto"/>
      </w:pPr>
      <w:r>
        <w:rPr>
          <w:rFonts w:ascii="source serif 4" w:eastAsia="source serif 4" w:hAnsi="source serif 4" w:cs="source serif 4"/>
          <w:b/>
          <w:color w:val="000000"/>
        </w:rPr>
        <w:t>Date:</w:t>
      </w:r>
      <w:r>
        <w:rPr>
          <w:rFonts w:ascii="source serif 4" w:eastAsia="source serif 4" w:hAnsi="source serif 4" w:cs="source serif 4"/>
          <w:color w:val="000000"/>
        </w:rPr>
        <w:t xml:space="preserve"> </w:t>
      </w:r>
      <w:r w:rsidR="000515C7">
        <w:rPr>
          <w:rFonts w:ascii="source serif 4" w:eastAsia="source serif 4" w:hAnsi="source serif 4" w:cs="source serif 4"/>
          <w:color w:val="000000"/>
        </w:rPr>
        <w:t>8-Jun-2026</w:t>
      </w:r>
    </w:p>
    <w:p w14:paraId="0FE04AEE" w14:textId="77777777" w:rsidR="00FB02E3" w:rsidRDefault="003872EF">
      <w:pPr>
        <w:spacing w:before="315" w:after="105" w:line="360" w:lineRule="auto"/>
        <w:ind w:left="-30"/>
      </w:pPr>
      <w:bookmarkStart w:id="1" w:name="section_2_project_and_responsible_e6b447"/>
      <w:r>
        <w:rPr>
          <w:rFonts w:ascii="source serif 4" w:eastAsia="source serif 4" w:hAnsi="source serif 4" w:cs="source serif 4"/>
          <w:b/>
          <w:color w:val="000000"/>
          <w:sz w:val="24"/>
        </w:rPr>
        <w:t>Section 2 — Project and Responsible Official Identification (36 CFR 218.8(d)(4))</w:t>
      </w:r>
      <w:bookmarkEnd w:id="1"/>
    </w:p>
    <w:p w14:paraId="0FE04AEF" w14:textId="77777777" w:rsidR="00FB02E3" w:rsidRDefault="003872EF">
      <w:pPr>
        <w:spacing w:after="210" w:line="360" w:lineRule="auto"/>
      </w:pPr>
      <w:r>
        <w:rPr>
          <w:rFonts w:ascii="source serif 4" w:eastAsia="source serif 4" w:hAnsi="source serif 4" w:cs="source serif 4"/>
          <w:b/>
          <w:color w:val="000000"/>
        </w:rPr>
        <w:t>Project Name:</w:t>
      </w:r>
      <w:r>
        <w:rPr>
          <w:rFonts w:ascii="source serif 4" w:eastAsia="source serif 4" w:hAnsi="source serif 4" w:cs="source serif 4"/>
          <w:color w:val="000000"/>
        </w:rPr>
        <w:t xml:space="preserve"> Grand Targhee Resort Master Development Plan Projects</w:t>
      </w:r>
    </w:p>
    <w:p w14:paraId="0FE04AF0" w14:textId="77777777" w:rsidR="00FB02E3" w:rsidRDefault="003872EF">
      <w:pPr>
        <w:spacing w:after="210" w:line="360" w:lineRule="auto"/>
      </w:pPr>
      <w:r>
        <w:rPr>
          <w:rFonts w:ascii="source serif 4" w:eastAsia="source serif 4" w:hAnsi="source serif 4" w:cs="source serif 4"/>
          <w:b/>
          <w:color w:val="000000"/>
        </w:rPr>
        <w:t>Responsible Official:</w:t>
      </w:r>
      <w:r>
        <w:rPr>
          <w:rFonts w:ascii="source serif 4" w:eastAsia="source serif 4" w:hAnsi="source serif 4" w:cs="source serif 4"/>
          <w:color w:val="000000"/>
        </w:rPr>
        <w:t xml:space="preserve"> Jay Pence, Teton Basin District Ranger, Caribou-Targhee National Forest</w:t>
      </w:r>
    </w:p>
    <w:p w14:paraId="0FE04AF1" w14:textId="77777777" w:rsidR="00FB02E3" w:rsidRDefault="003872EF">
      <w:pPr>
        <w:spacing w:after="210" w:line="360" w:lineRule="auto"/>
      </w:pPr>
      <w:r>
        <w:rPr>
          <w:rFonts w:ascii="source serif 4" w:eastAsia="source serif 4" w:hAnsi="source serif 4" w:cs="source serif 4"/>
          <w:b/>
          <w:color w:val="000000"/>
        </w:rPr>
        <w:t>National Forest and Ranger District:</w:t>
      </w:r>
      <w:r>
        <w:rPr>
          <w:rFonts w:ascii="source serif 4" w:eastAsia="source serif 4" w:hAnsi="source serif 4" w:cs="source serif 4"/>
          <w:color w:val="000000"/>
        </w:rPr>
        <w:t xml:space="preserve"> Caribou-Targhee National Forest, Teton Basin Ranger District, located in Teton County, Wyoming</w:t>
      </w:r>
    </w:p>
    <w:p w14:paraId="0FE04AF2" w14:textId="77777777" w:rsidR="00FB02E3" w:rsidRDefault="0015504C">
      <w:pPr>
        <w:spacing w:before="210" w:after="0" w:line="360" w:lineRule="auto"/>
      </w:pPr>
      <w:r>
        <w:rPr>
          <w:noProof/>
        </w:rPr>
      </w:r>
      <w:r>
        <w:rPr>
          <w:noProof/>
        </w:rPr>
        <w:pict w14:anchorId="0FE04B42">
          <v:rect id="_x0000_s1033" alt="" style="width:475.5pt;height:.05pt;mso-width-percent:0;mso-height-percent:0;mso-left-percent:-10001;mso-top-percent:-10001;mso-position-horizontal:absolute;mso-position-horizontal-relative:char;mso-position-vertical:absolute;mso-position-vertical-relative:line;mso-width-percent:0;mso-height-percent:0;mso-left-percent:-10001;mso-top-percent:-10001" o:hralign="center" o:hrstd="t" strokeweight="1pt">
            <v:stroke opacity="0"/>
          </v:rect>
        </w:pict>
      </w:r>
    </w:p>
    <w:p w14:paraId="0FE04AF3" w14:textId="77777777" w:rsidR="00FB02E3" w:rsidRDefault="003872EF">
      <w:pPr>
        <w:spacing w:before="315" w:after="105" w:line="360" w:lineRule="auto"/>
        <w:ind w:left="-30"/>
      </w:pPr>
      <w:bookmarkStart w:id="2" w:name="section_3_aspects_of_the_proposed_bc91d6"/>
      <w:r>
        <w:rPr>
          <w:rFonts w:ascii="source serif 4" w:eastAsia="source serif 4" w:hAnsi="source serif 4" w:cs="source serif 4"/>
          <w:b/>
          <w:color w:val="000000"/>
          <w:sz w:val="24"/>
        </w:rPr>
        <w:t>Section 3 — Aspects of the Proposed Project Addressed by This Objection (36 CFR 218.8(d)(5))</w:t>
      </w:r>
      <w:bookmarkEnd w:id="2"/>
    </w:p>
    <w:p w14:paraId="0FE04AF4" w14:textId="77777777" w:rsidR="00FB02E3" w:rsidRDefault="003872EF">
      <w:pPr>
        <w:spacing w:after="210" w:line="360" w:lineRule="auto"/>
      </w:pPr>
      <w:r>
        <w:rPr>
          <w:rFonts w:ascii="source serif 4" w:eastAsia="source serif 4" w:hAnsi="source serif 4" w:cs="source serif 4"/>
          <w:color w:val="000000"/>
        </w:rPr>
        <w:t>This objection addresses the following components of the Proposed Action (Alternative 2) and its associated project-specific Forest Plan amendments as analyzed in the Grand Targhee Resort Master Development Plan Projects Final Environmental Impact Statement (FEIS), published May 28, 2026:</w:t>
      </w:r>
    </w:p>
    <w:p w14:paraId="0FE04AF5" w14:textId="77777777" w:rsidR="00FB02E3" w:rsidRDefault="003872EF">
      <w:pPr>
        <w:numPr>
          <w:ilvl w:val="0"/>
          <w:numId w:val="1"/>
        </w:numPr>
        <w:spacing w:before="105" w:after="105" w:line="360" w:lineRule="auto"/>
      </w:pPr>
      <w:r>
        <w:rPr>
          <w:rFonts w:ascii="source serif 4" w:eastAsia="source serif 4" w:hAnsi="source serif 4" w:cs="source serif 4"/>
          <w:b/>
          <w:color w:val="000000"/>
        </w:rPr>
        <w:t>South Bowl expansion</w:t>
      </w:r>
      <w:r>
        <w:rPr>
          <w:rFonts w:ascii="source serif 4" w:eastAsia="source serif 4" w:hAnsi="source serif 4" w:cs="source serif 4"/>
          <w:color w:val="000000"/>
        </w:rPr>
        <w:t xml:space="preserve"> — Addition of approximately 600 acres to the resort's Special Use Permit (SUP) boundary, including new ski runs, an access road, a chairlift, a ski patrol building, a vault toilet, a rescue cache, and two avalanche launchers.</w:t>
      </w:r>
    </w:p>
    <w:p w14:paraId="0FE04AF6" w14:textId="77777777" w:rsidR="00FB02E3" w:rsidRDefault="003872EF">
      <w:pPr>
        <w:numPr>
          <w:ilvl w:val="0"/>
          <w:numId w:val="1"/>
        </w:numPr>
        <w:spacing w:before="105" w:after="105" w:line="360" w:lineRule="auto"/>
      </w:pPr>
      <w:r>
        <w:rPr>
          <w:rFonts w:ascii="source serif 4" w:eastAsia="source serif 4" w:hAnsi="source serif 4" w:cs="source serif 4"/>
          <w:b/>
          <w:color w:val="000000"/>
        </w:rPr>
        <w:t>Mono Trees expansion</w:t>
      </w:r>
      <w:r>
        <w:rPr>
          <w:rFonts w:ascii="source serif 4" w:eastAsia="source serif 4" w:hAnsi="source serif 4" w:cs="source serif 4"/>
          <w:color w:val="000000"/>
        </w:rPr>
        <w:t xml:space="preserve"> — Addition of approximately 600 acres to the resort's SUP boundary, including new ski runs, access roads, a chairlift, and a mountaintop cabin.</w:t>
      </w:r>
    </w:p>
    <w:p w14:paraId="0FE04AF7" w14:textId="77777777" w:rsidR="00FB02E3" w:rsidRDefault="003872EF">
      <w:pPr>
        <w:numPr>
          <w:ilvl w:val="0"/>
          <w:numId w:val="1"/>
        </w:numPr>
        <w:spacing w:before="105" w:after="105" w:line="360" w:lineRule="auto"/>
      </w:pPr>
      <w:r>
        <w:rPr>
          <w:rFonts w:ascii="source serif 4" w:eastAsia="source serif 4" w:hAnsi="source serif 4" w:cs="source serif 4"/>
          <w:b/>
          <w:color w:val="000000"/>
        </w:rPr>
        <w:t>Project-specific Forest Plan amendments</w:t>
      </w:r>
      <w:r>
        <w:rPr>
          <w:rFonts w:ascii="source serif 4" w:eastAsia="source serif 4" w:hAnsi="source serif 4" w:cs="source serif 4"/>
          <w:color w:val="000000"/>
        </w:rPr>
        <w:t xml:space="preserve"> — Including amendments to American goshawk habitat standards (size of each area and management season) necessary to permit tree clearing and ski area operations that would otherwise conflict with current Forest Plan direction.</w:t>
      </w:r>
    </w:p>
    <w:p w14:paraId="0FE04AF8" w14:textId="77777777" w:rsidR="00FB02E3" w:rsidRDefault="003872EF">
      <w:pPr>
        <w:numPr>
          <w:ilvl w:val="0"/>
          <w:numId w:val="1"/>
        </w:numPr>
        <w:spacing w:before="105" w:after="105" w:line="360" w:lineRule="auto"/>
      </w:pPr>
      <w:r>
        <w:rPr>
          <w:rFonts w:ascii="source serif 4" w:eastAsia="source serif 4" w:hAnsi="source serif 4" w:cs="source serif 4"/>
          <w:b/>
          <w:color w:val="000000"/>
        </w:rPr>
        <w:lastRenderedPageBreak/>
        <w:t>Infrastructure upgrades within the existing permit boundary</w:t>
      </w:r>
      <w:r>
        <w:rPr>
          <w:rFonts w:ascii="source serif 4" w:eastAsia="source serif 4" w:hAnsi="source serif 4" w:cs="source serif 4"/>
          <w:color w:val="000000"/>
        </w:rPr>
        <w:t xml:space="preserve"> — Including a proposed mountaintop restaurant on Fred's Mountain, expanded snowmaking, additional terrain development, and year-round recreational facilities.</w:t>
      </w:r>
    </w:p>
    <w:p w14:paraId="0FE04AF9" w14:textId="77777777" w:rsidR="00FB02E3" w:rsidRDefault="003872EF">
      <w:pPr>
        <w:spacing w:after="210" w:line="360" w:lineRule="auto"/>
      </w:pPr>
      <w:r>
        <w:rPr>
          <w:rFonts w:ascii="source serif 4" w:eastAsia="source serif 4" w:hAnsi="source serif 4" w:cs="source serif 4"/>
          <w:color w:val="000000"/>
        </w:rPr>
        <w:t>The objector does not object to modest, carefully conditioned facility upgrades within the existing permitted boundary that are consistent with current Forest Plan direction and do not require Forest Plan amendments (consistent with a Modified Alternative 3 approach described below).</w:t>
      </w:r>
    </w:p>
    <w:p w14:paraId="0FE04AFA" w14:textId="77777777" w:rsidR="00FB02E3" w:rsidRDefault="0015504C">
      <w:pPr>
        <w:spacing w:before="210" w:after="0" w:line="360" w:lineRule="auto"/>
      </w:pPr>
      <w:r>
        <w:rPr>
          <w:noProof/>
        </w:rPr>
      </w:r>
      <w:r>
        <w:rPr>
          <w:noProof/>
        </w:rPr>
        <w:pict w14:anchorId="0FE04B44">
          <v:rect id="_x0000_s1032" alt="" style="width:475.5pt;height:.05pt;mso-width-percent:0;mso-height-percent:0;mso-left-percent:-10001;mso-top-percent:-10001;mso-position-horizontal:absolute;mso-position-horizontal-relative:char;mso-position-vertical:absolute;mso-position-vertical-relative:line;mso-width-percent:0;mso-height-percent:0;mso-left-percent:-10001;mso-top-percent:-10001" o:hralign="center" o:hrstd="t" strokeweight="1pt">
            <v:stroke opacity="0"/>
          </v:rect>
        </w:pict>
      </w:r>
    </w:p>
    <w:p w14:paraId="0FE04AFB" w14:textId="77777777" w:rsidR="00FB02E3" w:rsidRDefault="003872EF">
      <w:pPr>
        <w:spacing w:before="315" w:after="105" w:line="360" w:lineRule="auto"/>
        <w:ind w:left="-30"/>
      </w:pPr>
      <w:bookmarkStart w:id="3" w:name="section_4_specific_issues_and_env_9415b7"/>
      <w:r>
        <w:rPr>
          <w:rFonts w:ascii="source serif 4" w:eastAsia="source serif 4" w:hAnsi="source serif 4" w:cs="source serif 4"/>
          <w:b/>
          <w:color w:val="000000"/>
          <w:sz w:val="24"/>
        </w:rPr>
        <w:t>Section 4 — Specific Issues and Environmental Analysis Concerns (36 CFR 218.8(d)(5))</w:t>
      </w:r>
      <w:bookmarkEnd w:id="3"/>
    </w:p>
    <w:p w14:paraId="0FE04AFC" w14:textId="77777777" w:rsidR="00FB02E3" w:rsidRDefault="003872EF">
      <w:pPr>
        <w:spacing w:before="315" w:after="105" w:line="360" w:lineRule="auto"/>
        <w:ind w:left="-30"/>
      </w:pPr>
      <w:bookmarkStart w:id="4" w:name="issue_1_the_boundary_expansions_w_11ae87"/>
      <w:r>
        <w:rPr>
          <w:rFonts w:ascii="source serif 4" w:eastAsia="source serif 4" w:hAnsi="source serif 4" w:cs="source serif 4"/>
          <w:b/>
          <w:color w:val="000000"/>
          <w:sz w:val="24"/>
        </w:rPr>
        <w:t>Issue 1: The Boundary Expansions Will Cause Significant, Irreversible Environmental Harm</w:t>
      </w:r>
      <w:bookmarkEnd w:id="4"/>
    </w:p>
    <w:p w14:paraId="0FE04AFD" w14:textId="77777777" w:rsidR="00FB02E3" w:rsidRDefault="003872EF">
      <w:pPr>
        <w:spacing w:after="210" w:line="360" w:lineRule="auto"/>
      </w:pPr>
      <w:r>
        <w:rPr>
          <w:rFonts w:ascii="source serif 4" w:eastAsia="source serif 4" w:hAnsi="source serif 4" w:cs="source serif 4"/>
          <w:color w:val="000000"/>
        </w:rPr>
        <w:t>The South Bowl and Mono Trees expansion areas encompass alpine ecosystems, old-growth conifer stands, whitebark pine forest, and riparian drainages. The FEIS acknowledges that the proposed action would have direct, indirect, and cumulative impacts on terrestrial and aquatic ecosystems, watersheds, riparian areas, and wildlife habitat within the expansion area. Construction would involve tree clearing, road building, grading, snowmaking infrastructure, and year-round human activity in terrain currently undisturbed by resort operations.</w:t>
      </w:r>
    </w:p>
    <w:p w14:paraId="0FE04AFE" w14:textId="77777777" w:rsidR="00FB02E3" w:rsidRDefault="003872EF">
      <w:pPr>
        <w:spacing w:after="210" w:line="360" w:lineRule="auto"/>
      </w:pPr>
      <w:r>
        <w:rPr>
          <w:rFonts w:ascii="source serif 4" w:eastAsia="source serif 4" w:hAnsi="source serif 4" w:cs="source serif 4"/>
          <w:color w:val="000000"/>
        </w:rPr>
        <w:t>These impacts are irreversible. Once the SUP boundary is expanded and the management prescription is converted, the scenic, ecological, and quiet-use character of these areas cannot be restored. The Draft Record of Decision should not approve any alternative that includes SUP boundary expansion into South Bowl or Mono Trees.</w:t>
      </w:r>
    </w:p>
    <w:p w14:paraId="0FE04AFF" w14:textId="77777777" w:rsidR="00FB02E3" w:rsidRDefault="003872EF">
      <w:pPr>
        <w:spacing w:before="315" w:after="105" w:line="360" w:lineRule="auto"/>
        <w:ind w:left="-30"/>
      </w:pPr>
      <w:bookmarkStart w:id="5" w:name="issue_2_wildlife_habitat_fragment_e1b34d"/>
      <w:r>
        <w:rPr>
          <w:rFonts w:ascii="source serif 4" w:eastAsia="source serif 4" w:hAnsi="source serif 4" w:cs="source serif 4"/>
          <w:b/>
          <w:color w:val="000000"/>
          <w:sz w:val="24"/>
        </w:rPr>
        <w:t>Issue 2: Wildlife Habitat Fragmentation and Species of Conservation Concern</w:t>
      </w:r>
      <w:bookmarkEnd w:id="5"/>
    </w:p>
    <w:p w14:paraId="0FE04B00" w14:textId="77777777" w:rsidR="00FB02E3" w:rsidRDefault="003872EF">
      <w:pPr>
        <w:spacing w:after="210" w:line="360" w:lineRule="auto"/>
      </w:pPr>
      <w:r>
        <w:rPr>
          <w:rFonts w:ascii="source serif 4" w:eastAsia="source serif 4" w:hAnsi="source serif 4" w:cs="source serif 4"/>
          <w:color w:val="000000"/>
        </w:rPr>
        <w:t>The FEIS identifies impacts to grizzly bears, Canada lynx, wolverines, northern goshawk, bighorn sheep, mule deer, and several raptor species within the project area. Specifically:</w:t>
      </w:r>
    </w:p>
    <w:p w14:paraId="0FE04B01" w14:textId="77777777" w:rsidR="00FB02E3" w:rsidRDefault="003872EF">
      <w:pPr>
        <w:numPr>
          <w:ilvl w:val="0"/>
          <w:numId w:val="2"/>
        </w:numPr>
        <w:spacing w:before="105" w:after="105" w:line="360" w:lineRule="auto"/>
      </w:pPr>
      <w:r>
        <w:rPr>
          <w:rFonts w:ascii="source serif 4" w:eastAsia="source serif 4" w:hAnsi="source serif 4" w:cs="source serif 4"/>
          <w:b/>
          <w:color w:val="000000"/>
        </w:rPr>
        <w:t>American goshawk:</w:t>
      </w:r>
      <w:r>
        <w:rPr>
          <w:rFonts w:ascii="source serif 4" w:eastAsia="source serif 4" w:hAnsi="source serif 4" w:cs="source serif 4"/>
          <w:color w:val="000000"/>
        </w:rPr>
        <w:t xml:space="preserve"> The Proposed Action acknowledges that construction and tree clearing in the Mono Trees expansion area would reduce the post-fledging family area below the 400-acre Forest Plan standard and would occur outside the October–February management season. Project-specific Forest Plan amendments are required to override these protective standards. Overriding wildlife standards to permit expansion represents a significant and precedent-setting departure from existing Forest Plan protections.</w:t>
      </w:r>
    </w:p>
    <w:p w14:paraId="0FE04B02" w14:textId="77777777" w:rsidR="00FB02E3" w:rsidRDefault="003872EF">
      <w:pPr>
        <w:numPr>
          <w:ilvl w:val="0"/>
          <w:numId w:val="2"/>
        </w:numPr>
        <w:spacing w:before="105" w:after="105" w:line="360" w:lineRule="auto"/>
      </w:pPr>
      <w:r>
        <w:rPr>
          <w:rFonts w:ascii="source serif 4" w:eastAsia="source serif 4" w:hAnsi="source serif 4" w:cs="source serif 4"/>
          <w:b/>
          <w:color w:val="000000"/>
        </w:rPr>
        <w:lastRenderedPageBreak/>
        <w:t>Grizzly bear:</w:t>
      </w:r>
      <w:r>
        <w:rPr>
          <w:rFonts w:ascii="source serif 4" w:eastAsia="source serif 4" w:hAnsi="source serif 4" w:cs="source serif 4"/>
          <w:color w:val="000000"/>
        </w:rPr>
        <w:t xml:space="preserve"> The expansion areas fall within or adjacent to occupied grizzly bear habitat in the Greater Yellowstone Ecosystem. Year-round human activity, increased noise, new roads, and construction will fragment movement corridors and escalate conflict risks.</w:t>
      </w:r>
    </w:p>
    <w:p w14:paraId="0FE04B03" w14:textId="77777777" w:rsidR="00FB02E3" w:rsidRDefault="003872EF">
      <w:pPr>
        <w:numPr>
          <w:ilvl w:val="0"/>
          <w:numId w:val="2"/>
        </w:numPr>
        <w:spacing w:before="105" w:after="105" w:line="360" w:lineRule="auto"/>
      </w:pPr>
      <w:r>
        <w:rPr>
          <w:rFonts w:ascii="source serif 4" w:eastAsia="source serif 4" w:hAnsi="source serif 4" w:cs="source serif 4"/>
          <w:b/>
          <w:color w:val="000000"/>
        </w:rPr>
        <w:t>Wolverine and lynx:</w:t>
      </w:r>
      <w:r>
        <w:rPr>
          <w:rFonts w:ascii="source serif 4" w:eastAsia="source serif 4" w:hAnsi="source serif 4" w:cs="source serif 4"/>
          <w:color w:val="000000"/>
        </w:rPr>
        <w:t xml:space="preserve"> Both species rely on undisturbed, remote alpine terrain for denning and foraging. Tree removal, snowmaking, new roads, and operational activity would eliminate or substantially degrade habitat quality in areas the FEIS acknowledges currently support or could support these species.</w:t>
      </w:r>
    </w:p>
    <w:p w14:paraId="0FE04B04" w14:textId="77777777" w:rsidR="00FB02E3" w:rsidRDefault="003872EF">
      <w:pPr>
        <w:spacing w:after="210" w:line="360" w:lineRule="auto"/>
      </w:pPr>
      <w:r>
        <w:rPr>
          <w:rFonts w:ascii="source serif 4" w:eastAsia="source serif 4" w:hAnsi="source serif 4" w:cs="source serif 4"/>
          <w:color w:val="000000"/>
        </w:rPr>
        <w:t>The FEIS does not adequately demonstrate that projected wildlife impacts can be fully mitigated. Project Design Criteria and Best Management Practices are largely discretionary, lack specific measurable thresholds, and rely on monitoring plans that have not been finalized. The EPA raised this concern in comments on the Draft EIS, noting that BMPs "offer no guaranteed protections" and recommending specific environmental thresholds and mandatory adaptive management triggers. The Final EIS did not fully resolve this deficiency.</w:t>
      </w:r>
    </w:p>
    <w:p w14:paraId="0FE04B05" w14:textId="77777777" w:rsidR="00FB02E3" w:rsidRDefault="003872EF">
      <w:pPr>
        <w:spacing w:before="315" w:after="105" w:line="360" w:lineRule="auto"/>
        <w:ind w:left="-30"/>
      </w:pPr>
      <w:bookmarkStart w:id="6" w:name="issue_3_inadequate_water_and_wate_7be641"/>
      <w:r>
        <w:rPr>
          <w:rFonts w:ascii="source serif 4" w:eastAsia="source serif 4" w:hAnsi="source serif 4" w:cs="source serif 4"/>
          <w:b/>
          <w:color w:val="000000"/>
          <w:sz w:val="24"/>
        </w:rPr>
        <w:t>Issue 3: Inadequate Water and Watershed Analysis</w:t>
      </w:r>
      <w:bookmarkEnd w:id="6"/>
    </w:p>
    <w:p w14:paraId="0FE04B06" w14:textId="77777777" w:rsidR="00FB02E3" w:rsidRDefault="003872EF">
      <w:pPr>
        <w:spacing w:after="210" w:line="360" w:lineRule="auto"/>
      </w:pPr>
      <w:r>
        <w:rPr>
          <w:rFonts w:ascii="source serif 4" w:eastAsia="source serif 4" w:hAnsi="source serif 4" w:cs="source serif 4"/>
          <w:color w:val="000000"/>
        </w:rPr>
        <w:t>The proposed expansion includes significantly expanded snowmaking within both the existing permit area and the new expansion areas. The FEIS acknowledges that snowmaking represents a significant new water use in a climate-stressed region. The Keep Targhee Inbounds coalition and other commenters documented that the FEIS lacks a water sustainability analysis that fully accounts for current and projected future climate conditions, including reduced snowpack and lower stream flows in the Teton Basin. Approving a major expansion of snowmaking capacity without completing this analysis is arbitrary and contrary to the agency's obligation to take a hard look at environmental consequences under NEPA.</w:t>
      </w:r>
    </w:p>
    <w:p w14:paraId="0FE04B07" w14:textId="77777777" w:rsidR="00FB02E3" w:rsidRDefault="003872EF">
      <w:pPr>
        <w:spacing w:after="210" w:line="360" w:lineRule="auto"/>
      </w:pPr>
      <w:r>
        <w:rPr>
          <w:rFonts w:ascii="source serif 4" w:eastAsia="source serif 4" w:hAnsi="source serif 4" w:cs="source serif 4"/>
          <w:color w:val="000000"/>
        </w:rPr>
        <w:t>Additionally, the 125-acre Aquatic Influence Zone (AIZ) overlay within the expansion area currently provides protective management direction for riparian and stream resources. Converting this overlay to Management Prescription 4.2 (Special Use Permit Recreation Sites) eliminates that protection for the life of the current Forest Plan.</w:t>
      </w:r>
    </w:p>
    <w:p w14:paraId="0FE04B08" w14:textId="77777777" w:rsidR="00FB02E3" w:rsidRDefault="003872EF">
      <w:pPr>
        <w:spacing w:before="315" w:after="105" w:line="360" w:lineRule="auto"/>
        <w:ind w:left="-30"/>
      </w:pPr>
      <w:bookmarkStart w:id="7" w:name="issue_4_visual_impacts_on_adjacen_f39109"/>
      <w:r>
        <w:rPr>
          <w:rFonts w:ascii="source serif 4" w:eastAsia="source serif 4" w:hAnsi="source serif 4" w:cs="source serif 4"/>
          <w:b/>
          <w:color w:val="000000"/>
          <w:sz w:val="24"/>
        </w:rPr>
        <w:t>Issue 4: Visual Impacts on Adjacent Public Lands — Grand Teton National Park and Jedediah Smith Wilderness</w:t>
      </w:r>
      <w:bookmarkEnd w:id="7"/>
    </w:p>
    <w:p w14:paraId="0FE04B09" w14:textId="77777777" w:rsidR="00FB02E3" w:rsidRDefault="003872EF">
      <w:pPr>
        <w:spacing w:after="210" w:line="360" w:lineRule="auto"/>
      </w:pPr>
      <w:r>
        <w:rPr>
          <w:rFonts w:ascii="source serif 4" w:eastAsia="source serif 4" w:hAnsi="source serif 4" w:cs="source serif 4"/>
          <w:color w:val="000000"/>
        </w:rPr>
        <w:t xml:space="preserve">The expansion areas are visible from Grand Teton National Park and the Jedediah Smith Wilderness. The FEIS acknowledges that ski runs, lifts, and resort facilities in South Bowl and Mono Trees would introduce new visual elements into what is currently undisturbed forest terrain visible from these designated lands. The analysis relies on Visual Quality Objectives (VQOs) that permit modification within the existing SUP </w:t>
      </w:r>
      <w:r>
        <w:rPr>
          <w:rFonts w:ascii="source serif 4" w:eastAsia="source serif 4" w:hAnsi="source serif 4" w:cs="source serif 4"/>
          <w:color w:val="000000"/>
        </w:rPr>
        <w:lastRenderedPageBreak/>
        <w:t>but does not adequately account for the cumulative visual degradation of the broader landscape when viewed from wilderness and park lands. The dark sky values of Driggs, Idaho — recognized as an International Dark Sky Community — and of Grand Teton National Park are also at risk from expanded night lighting and facility illumination. The FEIS acknowledges this concern but provides only general commitments rather than binding measurable protections.</w:t>
      </w:r>
    </w:p>
    <w:p w14:paraId="0FE04B0A" w14:textId="77777777" w:rsidR="00FB02E3" w:rsidRDefault="003872EF">
      <w:pPr>
        <w:spacing w:before="315" w:after="105" w:line="360" w:lineRule="auto"/>
        <w:ind w:left="-30"/>
      </w:pPr>
      <w:bookmarkStart w:id="8" w:name="issue_5_socioeconomic_impacts_on_180a14"/>
      <w:r>
        <w:rPr>
          <w:rFonts w:ascii="source serif 4" w:eastAsia="source serif 4" w:hAnsi="source serif 4" w:cs="source serif 4"/>
          <w:b/>
          <w:color w:val="000000"/>
          <w:sz w:val="24"/>
        </w:rPr>
        <w:t>Issue 5: Socioeconomic Impacts on the Surrounding Community Are Underanalyzed</w:t>
      </w:r>
      <w:bookmarkEnd w:id="8"/>
    </w:p>
    <w:p w14:paraId="0FE04B0B" w14:textId="77777777" w:rsidR="00FB02E3" w:rsidRDefault="003872EF">
      <w:pPr>
        <w:spacing w:after="210" w:line="360" w:lineRule="auto"/>
      </w:pPr>
      <w:r>
        <w:rPr>
          <w:rFonts w:ascii="source serif 4" w:eastAsia="source serif 4" w:hAnsi="source serif 4" w:cs="source serif 4"/>
          <w:color w:val="000000"/>
        </w:rPr>
        <w:t>The expansion will substantially increase visitation, traffic, and demand for services in the Teton Basin, a rural community with limited infrastructure. The FEIS and the Keep Targhee Inbounds coalition both acknowledge that the following analyses are incomplete or missing:</w:t>
      </w:r>
    </w:p>
    <w:p w14:paraId="0FE04B0C" w14:textId="77777777" w:rsidR="00FB02E3" w:rsidRDefault="003872EF">
      <w:pPr>
        <w:numPr>
          <w:ilvl w:val="0"/>
          <w:numId w:val="3"/>
        </w:numPr>
        <w:spacing w:before="105" w:after="105" w:line="360" w:lineRule="auto"/>
      </w:pPr>
      <w:r>
        <w:rPr>
          <w:rFonts w:ascii="source serif 4" w:eastAsia="source serif 4" w:hAnsi="source serif 4" w:cs="source serif 4"/>
          <w:color w:val="000000"/>
        </w:rPr>
        <w:t>A full traffic and safety study for year-round use on Ski Hill Road, which is the only access route to the resort;</w:t>
      </w:r>
    </w:p>
    <w:p w14:paraId="0FE04B0D" w14:textId="77777777" w:rsidR="00FB02E3" w:rsidRDefault="003872EF">
      <w:pPr>
        <w:numPr>
          <w:ilvl w:val="0"/>
          <w:numId w:val="3"/>
        </w:numPr>
        <w:spacing w:before="105" w:after="105" w:line="360" w:lineRule="auto"/>
      </w:pPr>
      <w:r>
        <w:rPr>
          <w:rFonts w:ascii="source serif 4" w:eastAsia="source serif 4" w:hAnsi="source serif 4" w:cs="source serif 4"/>
          <w:color w:val="000000"/>
        </w:rPr>
        <w:t>A complete affordable housing and community services assessment quantifying increased demand on emergency medical services, fire response, waste management, and housing supply;</w:t>
      </w:r>
    </w:p>
    <w:p w14:paraId="0FE04B0E" w14:textId="77777777" w:rsidR="00FB02E3" w:rsidRDefault="003872EF">
      <w:pPr>
        <w:numPr>
          <w:ilvl w:val="0"/>
          <w:numId w:val="3"/>
        </w:numPr>
        <w:spacing w:before="105" w:after="105" w:line="360" w:lineRule="auto"/>
      </w:pPr>
      <w:r>
        <w:rPr>
          <w:rFonts w:ascii="source serif 4" w:eastAsia="source serif 4" w:hAnsi="source serif 4" w:cs="source serif 4"/>
          <w:color w:val="000000"/>
        </w:rPr>
        <w:t>A meaningful analysis of the displacement of non-motorized backcountry recreation users who currently access South Bowl and Mono Trees as undeveloped public land.</w:t>
      </w:r>
    </w:p>
    <w:p w14:paraId="0FE04B0F" w14:textId="77777777" w:rsidR="00FB02E3" w:rsidRDefault="003872EF">
      <w:pPr>
        <w:spacing w:after="210" w:line="360" w:lineRule="auto"/>
      </w:pPr>
      <w:r>
        <w:rPr>
          <w:rFonts w:ascii="source serif 4" w:eastAsia="source serif 4" w:hAnsi="source serif 4" w:cs="source serif 4"/>
          <w:color w:val="000000"/>
        </w:rPr>
        <w:t>The expansion will effectively privatize 866 acres of public land that currently serves backcountry skiers, hikers, and other non-motorized users, replacing free public access with commercial resort operations. This displacement is a significant impact that the FEIS does not quantify or adequately address.</w:t>
      </w:r>
    </w:p>
    <w:p w14:paraId="0FE04B10" w14:textId="77777777" w:rsidR="00FB02E3" w:rsidRDefault="003872EF">
      <w:pPr>
        <w:spacing w:before="315" w:after="105" w:line="360" w:lineRule="auto"/>
        <w:ind w:left="-30"/>
      </w:pPr>
      <w:bookmarkStart w:id="9" w:name="issue_6_the_mountaintop_restauran_131ecf"/>
      <w:r>
        <w:rPr>
          <w:rFonts w:ascii="source serif 4" w:eastAsia="source serif 4" w:hAnsi="source serif 4" w:cs="source serif 4"/>
          <w:b/>
          <w:color w:val="000000"/>
          <w:sz w:val="24"/>
        </w:rPr>
        <w:t>Issue 6: The Mountaintop Restaurant Proposal Is Inconsistent with Forest Management Direction</w:t>
      </w:r>
      <w:bookmarkEnd w:id="9"/>
    </w:p>
    <w:p w14:paraId="0FE04B11" w14:textId="77777777" w:rsidR="00FB02E3" w:rsidRDefault="003872EF">
      <w:pPr>
        <w:spacing w:after="210" w:line="360" w:lineRule="auto"/>
      </w:pPr>
      <w:r>
        <w:rPr>
          <w:rFonts w:ascii="source serif 4" w:eastAsia="source serif 4" w:hAnsi="source serif 4" w:cs="source serif 4"/>
          <w:color w:val="000000"/>
        </w:rPr>
        <w:t>The proposed restaurant on Fred's Mountain raises concerns beyond those addressed by existing facilities. The FEIS recognizes that Driggs holds International Dark Sky Community designation and that Grand Teton National Park values dark skies. A permanent, lit commercial dining facility at the summit would introduce a visible, year-round intrusion into the ridgeline skyline. Forest Service Manual 2343.141(a) requires that the primary recreation purpose of ski areas remain skiing and snow sports; a year-round mountaintop restaurant expands commercial operations beyond that primary purpose. The objector requests that the restaurant component be removed from any approved alternative.</w:t>
      </w:r>
    </w:p>
    <w:p w14:paraId="0FE04B12" w14:textId="77777777" w:rsidR="00FB02E3" w:rsidRDefault="0015504C">
      <w:pPr>
        <w:spacing w:before="210" w:after="0" w:line="360" w:lineRule="auto"/>
      </w:pPr>
      <w:r>
        <w:rPr>
          <w:noProof/>
        </w:rPr>
      </w:r>
      <w:r>
        <w:rPr>
          <w:noProof/>
        </w:rPr>
        <w:pict w14:anchorId="0FE04B46">
          <v:rect id="_x0000_s1031" alt="" style="width:475.5pt;height:.05pt;mso-width-percent:0;mso-height-percent:0;mso-left-percent:-10001;mso-top-percent:-10001;mso-position-horizontal:absolute;mso-position-horizontal-relative:char;mso-position-vertical:absolute;mso-position-vertical-relative:line;mso-width-percent:0;mso-height-percent:0;mso-left-percent:-10001;mso-top-percent:-10001" o:hralign="center" o:hrstd="t" strokeweight="1pt">
            <v:stroke opacity="0"/>
          </v:rect>
        </w:pict>
      </w:r>
    </w:p>
    <w:p w14:paraId="0FE04B13" w14:textId="77777777" w:rsidR="00FB02E3" w:rsidRDefault="003872EF">
      <w:pPr>
        <w:spacing w:before="315" w:after="105" w:line="360" w:lineRule="auto"/>
        <w:ind w:left="-30"/>
      </w:pPr>
      <w:bookmarkStart w:id="10" w:name="section_5_alleged_violations_of_l_f61770"/>
      <w:r>
        <w:rPr>
          <w:rFonts w:ascii="source serif 4" w:eastAsia="source serif 4" w:hAnsi="source serif 4" w:cs="source serif 4"/>
          <w:b/>
          <w:color w:val="000000"/>
          <w:sz w:val="24"/>
        </w:rPr>
        <w:t>Section 5 — Alleged Violations of Law, Regulation, or Policy (36 CFR 218.8(d)(5))</w:t>
      </w:r>
      <w:bookmarkEnd w:id="10"/>
    </w:p>
    <w:p w14:paraId="0FE04B14" w14:textId="77777777" w:rsidR="00FB02E3" w:rsidRDefault="003872EF">
      <w:pPr>
        <w:numPr>
          <w:ilvl w:val="0"/>
          <w:numId w:val="4"/>
        </w:numPr>
        <w:spacing w:after="210" w:line="360" w:lineRule="auto"/>
      </w:pPr>
      <w:r>
        <w:rPr>
          <w:rFonts w:ascii="source serif 4" w:eastAsia="source serif 4" w:hAnsi="source serif 4" w:cs="source serif 4"/>
          <w:b/>
          <w:color w:val="000000"/>
        </w:rPr>
        <w:lastRenderedPageBreak/>
        <w:t>NEPA (42 U.S.C. § 4332):</w:t>
      </w:r>
      <w:r>
        <w:rPr>
          <w:rFonts w:ascii="source serif 4" w:eastAsia="source serif 4" w:hAnsi="source serif 4" w:cs="source serif 4"/>
          <w:color w:val="000000"/>
        </w:rPr>
        <w:t xml:space="preserve"> The FEIS does not take the required "hard look" at cumulative water use impacts, wildlife habitat loss without adequate mitigation thresholds, community socioeconomic impacts, or displacement of existing backcountry recreation users. The use of discretionary BMPs and PDCs to substitute for rigorous impact analysis is inconsistent with NEPA's requirement for a thorough environmental review.</w:t>
      </w:r>
    </w:p>
    <w:p w14:paraId="0FE04B15" w14:textId="77777777" w:rsidR="00FB02E3" w:rsidRDefault="003872EF">
      <w:pPr>
        <w:numPr>
          <w:ilvl w:val="0"/>
          <w:numId w:val="4"/>
        </w:numPr>
        <w:spacing w:after="210" w:line="360" w:lineRule="auto"/>
      </w:pPr>
      <w:r>
        <w:rPr>
          <w:rFonts w:ascii="source serif 4" w:eastAsia="source serif 4" w:hAnsi="source serif 4" w:cs="source serif 4"/>
          <w:b/>
          <w:color w:val="000000"/>
        </w:rPr>
        <w:t>National Forest Management Act (16 U.S.C. § 1604):</w:t>
      </w:r>
      <w:r>
        <w:rPr>
          <w:rFonts w:ascii="source serif 4" w:eastAsia="source serif 4" w:hAnsi="source serif 4" w:cs="source serif 4"/>
          <w:color w:val="000000"/>
        </w:rPr>
        <w:t xml:space="preserve"> The project-specific Forest Plan amendments override binding goshawk habitat standards without demonstrating consistency with the requirement that the plan provide for the diversity of plant and animal communities and viable populations of existing native species. Approving amendments that reduce goshawk post-fledging family area below the 400-acre standard undermines Forest Plan protections without an adequate viability finding.</w:t>
      </w:r>
    </w:p>
    <w:p w14:paraId="0FE04B16" w14:textId="77777777" w:rsidR="00FB02E3" w:rsidRDefault="003872EF">
      <w:pPr>
        <w:numPr>
          <w:ilvl w:val="0"/>
          <w:numId w:val="4"/>
        </w:numPr>
        <w:spacing w:after="210" w:line="360" w:lineRule="auto"/>
      </w:pPr>
      <w:r>
        <w:rPr>
          <w:rFonts w:ascii="source serif 4" w:eastAsia="source serif 4" w:hAnsi="source serif 4" w:cs="source serif 4"/>
          <w:b/>
          <w:color w:val="000000"/>
        </w:rPr>
        <w:t>36 CFR Part 219 (Planning Rule):</w:t>
      </w:r>
      <w:r>
        <w:rPr>
          <w:rFonts w:ascii="source serif 4" w:eastAsia="source serif 4" w:hAnsi="source serif 4" w:cs="source serif 4"/>
          <w:color w:val="000000"/>
        </w:rPr>
        <w:t xml:space="preserve"> The programmatic amendment converts land managed under Visual Quality Maintenance and Aquatic Influence Zone prescriptions to a ski area recreation prescription in a manner that is not consistent with the requirement that Forest Plan amendments maintain or restore the ecological integrity of terrestrial and aquatic ecosystems.</w:t>
      </w:r>
    </w:p>
    <w:p w14:paraId="0FE04B17" w14:textId="77777777" w:rsidR="00FB02E3" w:rsidRDefault="003872EF">
      <w:pPr>
        <w:numPr>
          <w:ilvl w:val="0"/>
          <w:numId w:val="4"/>
        </w:numPr>
        <w:spacing w:after="210" w:line="360" w:lineRule="auto"/>
      </w:pPr>
      <w:r>
        <w:rPr>
          <w:rFonts w:ascii="source serif 4" w:eastAsia="source serif 4" w:hAnsi="source serif 4" w:cs="source serif 4"/>
          <w:b/>
          <w:color w:val="000000"/>
        </w:rPr>
        <w:t>Forest Service Manual 2343.141(a):</w:t>
      </w:r>
      <w:r>
        <w:rPr>
          <w:rFonts w:ascii="source serif 4" w:eastAsia="source serif 4" w:hAnsi="source serif 4" w:cs="source serif 4"/>
          <w:color w:val="000000"/>
        </w:rPr>
        <w:t xml:space="preserve"> The proposed year-round mountaintop restaurant and associated year-round commercial operations may not comply with the requirement that the primary recreation purpose of ski areas remain skiing and snow sports.</w:t>
      </w:r>
    </w:p>
    <w:p w14:paraId="0FE04B18" w14:textId="77777777" w:rsidR="00FB02E3" w:rsidRDefault="0015504C">
      <w:pPr>
        <w:spacing w:before="210" w:after="0" w:line="360" w:lineRule="auto"/>
      </w:pPr>
      <w:r>
        <w:rPr>
          <w:noProof/>
        </w:rPr>
      </w:r>
      <w:r>
        <w:rPr>
          <w:noProof/>
        </w:rPr>
        <w:pict w14:anchorId="0FE04B48">
          <v:rect id="_x0000_s1030" alt="" style="width:475.5pt;height:.05pt;mso-width-percent:0;mso-height-percent:0;mso-left-percent:-10001;mso-top-percent:-10001;mso-position-horizontal:absolute;mso-position-horizontal-relative:char;mso-position-vertical:absolute;mso-position-vertical-relative:line;mso-width-percent:0;mso-height-percent:0;mso-left-percent:-10001;mso-top-percent:-10001" o:hralign="center" o:hrstd="t" strokeweight="1pt">
            <v:stroke opacity="0"/>
          </v:rect>
        </w:pict>
      </w:r>
    </w:p>
    <w:p w14:paraId="0FE04B19" w14:textId="77777777" w:rsidR="00FB02E3" w:rsidRDefault="003872EF">
      <w:pPr>
        <w:spacing w:before="315" w:after="105" w:line="360" w:lineRule="auto"/>
        <w:ind w:left="-30"/>
      </w:pPr>
      <w:bookmarkStart w:id="11" w:name="section_6_suggested_remedies_36_c_5f9d42"/>
      <w:r>
        <w:rPr>
          <w:rFonts w:ascii="source serif 4" w:eastAsia="source serif 4" w:hAnsi="source serif 4" w:cs="source serif 4"/>
          <w:b/>
          <w:color w:val="000000"/>
          <w:sz w:val="24"/>
        </w:rPr>
        <w:t>Section 6 — Suggested Remedies (36 CFR 218.8(d)(5))</w:t>
      </w:r>
      <w:bookmarkEnd w:id="11"/>
    </w:p>
    <w:p w14:paraId="0FE04B1A" w14:textId="77777777" w:rsidR="00FB02E3" w:rsidRDefault="003872EF">
      <w:pPr>
        <w:spacing w:after="210" w:line="360" w:lineRule="auto"/>
      </w:pPr>
      <w:r>
        <w:rPr>
          <w:rFonts w:ascii="source serif 4" w:eastAsia="source serif 4" w:hAnsi="source serif 4" w:cs="source serif 4"/>
          <w:color w:val="000000"/>
        </w:rPr>
        <w:t>The objector requests that the reviewing officer direct the responsible official to take one or more of the following remedial actions:</w:t>
      </w:r>
    </w:p>
    <w:p w14:paraId="0FE04B1B" w14:textId="77777777" w:rsidR="00FB02E3" w:rsidRDefault="003872EF">
      <w:pPr>
        <w:numPr>
          <w:ilvl w:val="0"/>
          <w:numId w:val="5"/>
        </w:numPr>
        <w:spacing w:after="210" w:line="360" w:lineRule="auto"/>
      </w:pPr>
      <w:r>
        <w:rPr>
          <w:rFonts w:ascii="source serif 4" w:eastAsia="source serif 4" w:hAnsi="source serif 4" w:cs="source serif 4"/>
          <w:b/>
          <w:color w:val="000000"/>
        </w:rPr>
        <w:t>Select a Modified Alternative 3</w:t>
      </w:r>
      <w:r>
        <w:rPr>
          <w:rFonts w:ascii="source serif 4" w:eastAsia="source serif 4" w:hAnsi="source serif 4" w:cs="source serif 4"/>
          <w:color w:val="000000"/>
        </w:rPr>
        <w:t xml:space="preserve"> that permits carefully conditioned facility upgrades within the existing SUP boundary — such as new or upgraded lifts, snowmaking improvements with binding water use limits, and terrain enhancements — without expanding the SUP boundary into South Bowl or Mono Trees. This is the approach recommended by the Keep Targhee Inbounds coalition and supported by the Jackson Hole Conservation Alliance, Teton Backcountry Alliance, Winter Wildlands Alliance, Valley Advocates for Responsible Development, and Wyoming Wilderness Association.</w:t>
      </w:r>
    </w:p>
    <w:p w14:paraId="0FE04B1C" w14:textId="77777777" w:rsidR="00FB02E3" w:rsidRDefault="003872EF">
      <w:pPr>
        <w:numPr>
          <w:ilvl w:val="0"/>
          <w:numId w:val="5"/>
        </w:numPr>
        <w:spacing w:after="210" w:line="360" w:lineRule="auto"/>
      </w:pPr>
      <w:r>
        <w:rPr>
          <w:rFonts w:ascii="source serif 4" w:eastAsia="source serif 4" w:hAnsi="source serif 4" w:cs="source serif 4"/>
          <w:b/>
          <w:color w:val="000000"/>
        </w:rPr>
        <w:t>Remove the mountaintop restaurant</w:t>
      </w:r>
      <w:r>
        <w:rPr>
          <w:rFonts w:ascii="source serif 4" w:eastAsia="source serif 4" w:hAnsi="source serif 4" w:cs="source serif 4"/>
          <w:color w:val="000000"/>
        </w:rPr>
        <w:t xml:space="preserve"> from any approved alternative to protect ridgeline scenery, dark skies, and consistency with FSM 2343.141(a).</w:t>
      </w:r>
    </w:p>
    <w:p w14:paraId="0FE04B1D" w14:textId="77777777" w:rsidR="00FB02E3" w:rsidRDefault="003872EF">
      <w:pPr>
        <w:numPr>
          <w:ilvl w:val="0"/>
          <w:numId w:val="5"/>
        </w:numPr>
        <w:spacing w:after="210" w:line="360" w:lineRule="auto"/>
      </w:pPr>
      <w:r>
        <w:rPr>
          <w:rFonts w:ascii="source serif 4" w:eastAsia="source serif 4" w:hAnsi="source serif 4" w:cs="source serif 4"/>
          <w:b/>
          <w:color w:val="000000"/>
        </w:rPr>
        <w:lastRenderedPageBreak/>
        <w:t>Complete the missing analyses</w:t>
      </w:r>
      <w:r>
        <w:rPr>
          <w:rFonts w:ascii="source serif 4" w:eastAsia="source serif 4" w:hAnsi="source serif 4" w:cs="source serif 4"/>
          <w:color w:val="000000"/>
        </w:rPr>
        <w:t xml:space="preserve"> before issuing a final Record of Decision: (a) a full water sustainability analysis accounting for current and future climate conditions; (b) a complete traffic and safety study for year-round use; (c) a complete affordable housing and community services impact assessment; and (d) a quantified assessment of recreation displacement.</w:t>
      </w:r>
    </w:p>
    <w:p w14:paraId="0FE04B1E" w14:textId="77777777" w:rsidR="00FB02E3" w:rsidRDefault="003872EF">
      <w:pPr>
        <w:numPr>
          <w:ilvl w:val="0"/>
          <w:numId w:val="5"/>
        </w:numPr>
        <w:spacing w:after="210" w:line="360" w:lineRule="auto"/>
      </w:pPr>
      <w:r>
        <w:rPr>
          <w:rFonts w:ascii="source serif 4" w:eastAsia="source serif 4" w:hAnsi="source serif 4" w:cs="source serif 4"/>
          <w:b/>
          <w:color w:val="000000"/>
        </w:rPr>
        <w:t>Strengthen wildlife protections</w:t>
      </w:r>
      <w:r>
        <w:rPr>
          <w:rFonts w:ascii="source serif 4" w:eastAsia="source serif 4" w:hAnsi="source serif 4" w:cs="source serif 4"/>
          <w:color w:val="000000"/>
        </w:rPr>
        <w:t xml:space="preserve"> by incorporating binding, measurable environmental thresholds and mandatory adaptive management triggers for grizzly bear, goshawk, wolverine, lynx, and raptor species, and by requiring pre-construction surveys for unevaluated cultural resource sites in the Mono Trees expansion area.</w:t>
      </w:r>
    </w:p>
    <w:p w14:paraId="0FE04B1F" w14:textId="77777777" w:rsidR="00FB02E3" w:rsidRDefault="003872EF">
      <w:pPr>
        <w:numPr>
          <w:ilvl w:val="0"/>
          <w:numId w:val="5"/>
        </w:numPr>
        <w:spacing w:after="210" w:line="360" w:lineRule="auto"/>
      </w:pPr>
      <w:r>
        <w:rPr>
          <w:rFonts w:ascii="source serif 4" w:eastAsia="source serif 4" w:hAnsi="source serif 4" w:cs="source serif 4"/>
          <w:b/>
          <w:color w:val="000000"/>
        </w:rPr>
        <w:t>Retain Aquatic Influence Zone protections</w:t>
      </w:r>
      <w:r>
        <w:rPr>
          <w:rFonts w:ascii="source serif 4" w:eastAsia="source serif 4" w:hAnsi="source serif 4" w:cs="source serif 4"/>
          <w:color w:val="000000"/>
        </w:rPr>
        <w:t xml:space="preserve"> by declining the programmatic Forest Plan amendment to the extent it would convert AIZ-overlain acreage to Management Prescription 4.2.</w:t>
      </w:r>
    </w:p>
    <w:p w14:paraId="0FE04B20" w14:textId="77777777" w:rsidR="00FB02E3" w:rsidRDefault="003872EF">
      <w:pPr>
        <w:numPr>
          <w:ilvl w:val="0"/>
          <w:numId w:val="5"/>
        </w:numPr>
        <w:spacing w:after="210" w:line="360" w:lineRule="auto"/>
      </w:pPr>
      <w:r>
        <w:rPr>
          <w:rFonts w:ascii="source serif 4" w:eastAsia="source serif 4" w:hAnsi="source serif 4" w:cs="source serif 4"/>
          <w:b/>
          <w:color w:val="000000"/>
        </w:rPr>
        <w:t>Require binding dark sky protections</w:t>
      </w:r>
      <w:r>
        <w:rPr>
          <w:rFonts w:ascii="source serif 4" w:eastAsia="source serif 4" w:hAnsi="source serif 4" w:cs="source serif 4"/>
          <w:color w:val="000000"/>
        </w:rPr>
        <w:t xml:space="preserve"> — measurable lighting limits and curfews — as enforceable Special Use Permit conditions before approving any facility with nighttime lighting in the expansion areas or on Fred's Mountain.</w:t>
      </w:r>
    </w:p>
    <w:p w14:paraId="0FE04B21" w14:textId="77777777" w:rsidR="00FB02E3" w:rsidRDefault="0015504C">
      <w:pPr>
        <w:spacing w:before="210" w:after="0" w:line="360" w:lineRule="auto"/>
      </w:pPr>
      <w:r>
        <w:rPr>
          <w:noProof/>
        </w:rPr>
      </w:r>
      <w:r>
        <w:rPr>
          <w:noProof/>
        </w:rPr>
        <w:pict w14:anchorId="0FE04B4A">
          <v:rect id="_x0000_s1029" alt="" style="width:475.5pt;height:.05pt;mso-width-percent:0;mso-height-percent:0;mso-left-percent:-10001;mso-top-percent:-10001;mso-position-horizontal:absolute;mso-position-horizontal-relative:char;mso-position-vertical:absolute;mso-position-vertical-relative:line;mso-width-percent:0;mso-height-percent:0;mso-left-percent:-10001;mso-top-percent:-10001" o:hralign="center" o:hrstd="t" strokeweight="1pt">
            <v:stroke opacity="0"/>
          </v:rect>
        </w:pict>
      </w:r>
    </w:p>
    <w:p w14:paraId="0FE04B22" w14:textId="77777777" w:rsidR="00FB02E3" w:rsidRDefault="003872EF">
      <w:pPr>
        <w:spacing w:before="315" w:after="105" w:line="360" w:lineRule="auto"/>
        <w:ind w:left="-30"/>
      </w:pPr>
      <w:bookmarkStart w:id="12" w:name="section_7_connection_to_prior_spe_58afd3"/>
      <w:r>
        <w:rPr>
          <w:rFonts w:ascii="source serif 4" w:eastAsia="source serif 4" w:hAnsi="source serif 4" w:cs="source serif 4"/>
          <w:b/>
          <w:color w:val="000000"/>
          <w:sz w:val="24"/>
        </w:rPr>
        <w:t>Section 7 — Connection to Prior Specific Written Comments (36 CFR 218.8(d)(6))</w:t>
      </w:r>
      <w:bookmarkEnd w:id="12"/>
    </w:p>
    <w:p w14:paraId="0FE04B23" w14:textId="77777777" w:rsidR="00FB02E3" w:rsidRDefault="003872EF">
      <w:pPr>
        <w:spacing w:after="210" w:line="360" w:lineRule="auto"/>
      </w:pPr>
      <w:r>
        <w:rPr>
          <w:rFonts w:ascii="source serif 4" w:eastAsia="source serif 4" w:hAnsi="source serif 4" w:cs="source serif 4"/>
          <w:color w:val="000000"/>
        </w:rPr>
        <w:t>The objector previously submitted specific written comments during the designated public comment period for the Grand Targhee Resort Master Development Plan Projects Draft Environmental Impact Statement (comment period ending June 20, 2025). Those comments raised the following concerns, each of which directly corresponds to the issues raised in this objection:</w:t>
      </w:r>
    </w:p>
    <w:p w14:paraId="0FE04B24" w14:textId="77777777" w:rsidR="00FB02E3" w:rsidRDefault="003872EF">
      <w:pPr>
        <w:numPr>
          <w:ilvl w:val="0"/>
          <w:numId w:val="6"/>
        </w:numPr>
        <w:spacing w:before="105" w:after="105" w:line="360" w:lineRule="auto"/>
      </w:pPr>
      <w:r>
        <w:rPr>
          <w:rFonts w:ascii="source serif 4" w:eastAsia="source serif 4" w:hAnsi="source serif 4" w:cs="source serif 4"/>
          <w:color w:val="000000"/>
        </w:rPr>
        <w:t xml:space="preserve">Opposition to the SUP boundary expansion into South Bowl and Mono Trees on grounds that it would harm natural ecosystems, wildlife habitat, and the scenic character of the region </w:t>
      </w:r>
      <w:r>
        <w:rPr>
          <w:rFonts w:ascii="source serif 4" w:eastAsia="source serif 4" w:hAnsi="source serif 4" w:cs="source serif 4"/>
          <w:i/>
          <w:color w:val="000000"/>
        </w:rPr>
        <w:t>(corresponds to Issues 1, 2, and 4 above)</w:t>
      </w:r>
      <w:r>
        <w:rPr>
          <w:rFonts w:ascii="source serif 4" w:eastAsia="source serif 4" w:hAnsi="source serif 4" w:cs="source serif 4"/>
          <w:color w:val="000000"/>
        </w:rPr>
        <w:t>;</w:t>
      </w:r>
    </w:p>
    <w:p w14:paraId="0FE04B25" w14:textId="77777777" w:rsidR="00FB02E3" w:rsidRDefault="003872EF">
      <w:pPr>
        <w:numPr>
          <w:ilvl w:val="0"/>
          <w:numId w:val="6"/>
        </w:numPr>
        <w:spacing w:before="105" w:after="105" w:line="360" w:lineRule="auto"/>
      </w:pPr>
      <w:r>
        <w:rPr>
          <w:rFonts w:ascii="source serif 4" w:eastAsia="source serif 4" w:hAnsi="source serif 4" w:cs="source serif 4"/>
          <w:color w:val="000000"/>
        </w:rPr>
        <w:t xml:space="preserve">Concern that expanded snowmaking would constitute a significant new water use not adequately analyzed in the context of climate-stressed watersheds </w:t>
      </w:r>
      <w:r>
        <w:rPr>
          <w:rFonts w:ascii="source serif 4" w:eastAsia="source serif 4" w:hAnsi="source serif 4" w:cs="source serif 4"/>
          <w:i/>
          <w:color w:val="000000"/>
        </w:rPr>
        <w:t>(corresponds to Issue 3)</w:t>
      </w:r>
      <w:r>
        <w:rPr>
          <w:rFonts w:ascii="source serif 4" w:eastAsia="source serif 4" w:hAnsi="source serif 4" w:cs="source serif 4"/>
          <w:color w:val="000000"/>
        </w:rPr>
        <w:t>;</w:t>
      </w:r>
    </w:p>
    <w:p w14:paraId="0FE04B26" w14:textId="77777777" w:rsidR="00FB02E3" w:rsidRDefault="003872EF">
      <w:pPr>
        <w:numPr>
          <w:ilvl w:val="0"/>
          <w:numId w:val="6"/>
        </w:numPr>
        <w:spacing w:before="105" w:after="105" w:line="360" w:lineRule="auto"/>
      </w:pPr>
      <w:r>
        <w:rPr>
          <w:rFonts w:ascii="source serif 4" w:eastAsia="source serif 4" w:hAnsi="source serif 4" w:cs="source serif 4"/>
          <w:color w:val="000000"/>
        </w:rPr>
        <w:t xml:space="preserve">Concern that increased resort visitation and year-round commercial development would burden the rural community with traffic, housing, and service costs without adequate analysis or mitigation </w:t>
      </w:r>
      <w:r>
        <w:rPr>
          <w:rFonts w:ascii="source serif 4" w:eastAsia="source serif 4" w:hAnsi="source serif 4" w:cs="source serif 4"/>
          <w:i/>
          <w:color w:val="000000"/>
        </w:rPr>
        <w:t>(corresponds to Issue 5)</w:t>
      </w:r>
      <w:r>
        <w:rPr>
          <w:rFonts w:ascii="source serif 4" w:eastAsia="source serif 4" w:hAnsi="source serif 4" w:cs="source serif 4"/>
          <w:color w:val="000000"/>
        </w:rPr>
        <w:t>;</w:t>
      </w:r>
    </w:p>
    <w:p w14:paraId="0FE04B27" w14:textId="77777777" w:rsidR="00FB02E3" w:rsidRDefault="003872EF">
      <w:pPr>
        <w:numPr>
          <w:ilvl w:val="0"/>
          <w:numId w:val="6"/>
        </w:numPr>
        <w:spacing w:before="105" w:after="105" w:line="360" w:lineRule="auto"/>
      </w:pPr>
      <w:r>
        <w:rPr>
          <w:rFonts w:ascii="source serif 4" w:eastAsia="source serif 4" w:hAnsi="source serif 4" w:cs="source serif 4"/>
          <w:color w:val="000000"/>
        </w:rPr>
        <w:t xml:space="preserve">Objection to commercial facilities — including the proposed mountaintop restaurant — that go beyond the primary purpose of skiing and would visually intrude on the natural and community landscape </w:t>
      </w:r>
      <w:r>
        <w:rPr>
          <w:rFonts w:ascii="source serif 4" w:eastAsia="source serif 4" w:hAnsi="source serif 4" w:cs="source serif 4"/>
          <w:i/>
          <w:color w:val="000000"/>
        </w:rPr>
        <w:t>(corresponds to Issue 6)</w:t>
      </w:r>
      <w:r>
        <w:rPr>
          <w:rFonts w:ascii="source serif 4" w:eastAsia="source serif 4" w:hAnsi="source serif 4" w:cs="source serif 4"/>
          <w:color w:val="000000"/>
        </w:rPr>
        <w:t>.</w:t>
      </w:r>
    </w:p>
    <w:p w14:paraId="0FE04B28" w14:textId="3B9E2946" w:rsidR="00FB02E3" w:rsidRDefault="003872EF">
      <w:pPr>
        <w:spacing w:after="210" w:line="360" w:lineRule="auto"/>
      </w:pPr>
      <w:r>
        <w:rPr>
          <w:rFonts w:ascii="source serif 4" w:eastAsia="source serif 4" w:hAnsi="source serif 4" w:cs="source serif 4"/>
          <w:color w:val="000000"/>
        </w:rPr>
        <w:lastRenderedPageBreak/>
        <w:t xml:space="preserve">The issues raised in this objection are the same as, or a logical outgrowth of, those prior specific written comments. </w:t>
      </w:r>
    </w:p>
    <w:p w14:paraId="0FE04B29" w14:textId="77777777" w:rsidR="00FB02E3" w:rsidRDefault="0015504C">
      <w:pPr>
        <w:spacing w:before="210" w:after="0" w:line="360" w:lineRule="auto"/>
      </w:pPr>
      <w:r>
        <w:rPr>
          <w:noProof/>
        </w:rPr>
      </w:r>
      <w:r>
        <w:rPr>
          <w:noProof/>
        </w:rPr>
        <w:pict w14:anchorId="0FE04B4C">
          <v:rect id="_x0000_s1028" alt="" style="width:475.5pt;height:.05pt;mso-width-percent:0;mso-height-percent:0;mso-left-percent:-10001;mso-top-percent:-10001;mso-position-horizontal:absolute;mso-position-horizontal-relative:char;mso-position-vertical:absolute;mso-position-vertical-relative:line;mso-width-percent:0;mso-height-percent:0;mso-left-percent:-10001;mso-top-percent:-10001" o:hralign="center" o:hrstd="t" strokeweight="1pt">
            <v:stroke opacity="0"/>
          </v:rect>
        </w:pict>
      </w:r>
    </w:p>
    <w:p w14:paraId="0FE04B2A" w14:textId="77777777" w:rsidR="00FB02E3" w:rsidRDefault="003872EF">
      <w:pPr>
        <w:spacing w:before="315" w:after="105" w:line="360" w:lineRule="auto"/>
        <w:ind w:left="-30"/>
      </w:pPr>
      <w:bookmarkStart w:id="13" w:name="section_8_references_incorporated_5196fa"/>
      <w:r>
        <w:rPr>
          <w:rFonts w:ascii="source serif 4" w:eastAsia="source serif 4" w:hAnsi="source serif 4" w:cs="source serif 4"/>
          <w:b/>
          <w:color w:val="000000"/>
          <w:sz w:val="24"/>
        </w:rPr>
        <w:t>Section 8 — References Incorporated by Reference (36 CFR 218.8(b))</w:t>
      </w:r>
      <w:bookmarkEnd w:id="13"/>
    </w:p>
    <w:p w14:paraId="0FE04B2B" w14:textId="77777777" w:rsidR="00FB02E3" w:rsidRDefault="003872EF">
      <w:pPr>
        <w:spacing w:after="210" w:line="360" w:lineRule="auto"/>
      </w:pPr>
      <w:r>
        <w:rPr>
          <w:rFonts w:ascii="source serif 4" w:eastAsia="source serif 4" w:hAnsi="source serif 4" w:cs="source serif 4"/>
          <w:color w:val="000000"/>
        </w:rPr>
        <w:t>The following documents are incorporated by reference as permitted under 36 CFR 218.8(b), cited by document title, date, and relevant section:</w:t>
      </w:r>
    </w:p>
    <w:p w14:paraId="0FE04B2C" w14:textId="77777777" w:rsidR="00FB02E3" w:rsidRDefault="003872EF">
      <w:pPr>
        <w:numPr>
          <w:ilvl w:val="0"/>
          <w:numId w:val="7"/>
        </w:numPr>
        <w:spacing w:before="105" w:after="105" w:line="360" w:lineRule="auto"/>
      </w:pPr>
      <w:r>
        <w:rPr>
          <w:rFonts w:ascii="source serif 4" w:eastAsia="source serif 4" w:hAnsi="source serif 4" w:cs="source serif 4"/>
          <w:color w:val="000000"/>
        </w:rPr>
        <w:t>Grand Targhee Resort Master Development Plan Projects Final Environmental Impact Statement (FEIS), Caribou-Targhee National Forest, May 28, 2026 — Appendix C (Forest Plan Amendments), Chapter 3 (Affected Environment and Environmental Consequences), Chapter 2 Table 2.4-1 (Project Design Criteria).</w:t>
      </w:r>
    </w:p>
    <w:p w14:paraId="0FE04B2D" w14:textId="77777777" w:rsidR="00FB02E3" w:rsidRDefault="003872EF">
      <w:pPr>
        <w:numPr>
          <w:ilvl w:val="0"/>
          <w:numId w:val="7"/>
        </w:numPr>
        <w:spacing w:before="105" w:after="105" w:line="360" w:lineRule="auto"/>
      </w:pPr>
      <w:r>
        <w:rPr>
          <w:rFonts w:ascii="source serif 4" w:eastAsia="source serif 4" w:hAnsi="source serif 4" w:cs="source serif 4"/>
          <w:color w:val="000000"/>
        </w:rPr>
        <w:t>36 CFR Part 218 — Project-Level Predecisional Administrative Review Process.</w:t>
      </w:r>
    </w:p>
    <w:p w14:paraId="0FE04B2E" w14:textId="77777777" w:rsidR="00FB02E3" w:rsidRDefault="003872EF">
      <w:pPr>
        <w:numPr>
          <w:ilvl w:val="0"/>
          <w:numId w:val="7"/>
        </w:numPr>
        <w:spacing w:before="105" w:after="105" w:line="360" w:lineRule="auto"/>
      </w:pPr>
      <w:r>
        <w:rPr>
          <w:rFonts w:ascii="source serif 4" w:eastAsia="source serif 4" w:hAnsi="source serif 4" w:cs="source serif 4"/>
          <w:color w:val="000000"/>
        </w:rPr>
        <w:t>36 CFR Part 219 — Planning, Subpart B — Pre-Decisional Administrative Review Process.</w:t>
      </w:r>
    </w:p>
    <w:p w14:paraId="0FE04B2F" w14:textId="77777777" w:rsidR="00FB02E3" w:rsidRDefault="003872EF">
      <w:pPr>
        <w:numPr>
          <w:ilvl w:val="0"/>
          <w:numId w:val="7"/>
        </w:numPr>
        <w:spacing w:before="105" w:after="105" w:line="360" w:lineRule="auto"/>
      </w:pPr>
      <w:r>
        <w:rPr>
          <w:rFonts w:ascii="source serif 4" w:eastAsia="source serif 4" w:hAnsi="source serif 4" w:cs="source serif 4"/>
          <w:color w:val="000000"/>
        </w:rPr>
        <w:t>Forest Service Manual 2343.14 and 2343.141(a) — Additional Seasonal and Year-Round Recreation Activities at Ski Areas.</w:t>
      </w:r>
    </w:p>
    <w:p w14:paraId="0FE04B30" w14:textId="77777777" w:rsidR="00FB02E3" w:rsidRDefault="003872EF">
      <w:pPr>
        <w:numPr>
          <w:ilvl w:val="0"/>
          <w:numId w:val="7"/>
        </w:numPr>
        <w:spacing w:before="105" w:after="105" w:line="360" w:lineRule="auto"/>
      </w:pPr>
      <w:r>
        <w:rPr>
          <w:rFonts w:ascii="source serif 4" w:eastAsia="source serif 4" w:hAnsi="source serif 4" w:cs="source serif 4"/>
          <w:color w:val="000000"/>
        </w:rPr>
        <w:t>Keep Targhee Inbounds Information Sheet, prepared by Jackson Hole Conservation Alliance, Teton Backcountry Alliance, Winter Wildlands Alliance, Valley Advocates for Responsible Development, and Wyoming Wilderness Association (2025), identifying specific data gaps and recommending a Modified Alternative 3.</w:t>
      </w:r>
    </w:p>
    <w:p w14:paraId="0FE04B32" w14:textId="77777777" w:rsidR="00FB02E3" w:rsidRDefault="0015504C">
      <w:pPr>
        <w:spacing w:before="210" w:after="0" w:line="360" w:lineRule="auto"/>
      </w:pPr>
      <w:r>
        <w:rPr>
          <w:noProof/>
        </w:rPr>
      </w:r>
      <w:r>
        <w:rPr>
          <w:noProof/>
        </w:rPr>
        <w:pict w14:anchorId="0FE04B4E">
          <v:rect id="_x0000_s1027" alt="" style="width:475.5pt;height:.05pt;mso-width-percent:0;mso-height-percent:0;mso-left-percent:-10001;mso-top-percent:-10001;mso-position-horizontal:absolute;mso-position-horizontal-relative:char;mso-position-vertical:absolute;mso-position-vertical-relative:line;mso-width-percent:0;mso-height-percent:0;mso-left-percent:-10001;mso-top-percent:-10001" o:hralign="center" o:hrstd="t" strokeweight="1pt">
            <v:stroke opacity="0"/>
          </v:rect>
        </w:pict>
      </w:r>
    </w:p>
    <w:p w14:paraId="0FE04B33" w14:textId="77777777" w:rsidR="00FB02E3" w:rsidRDefault="003872EF">
      <w:pPr>
        <w:spacing w:before="315" w:after="105" w:line="360" w:lineRule="auto"/>
        <w:ind w:left="-30"/>
      </w:pPr>
      <w:bookmarkStart w:id="14" w:name="filing_deadline_notice"/>
      <w:r>
        <w:rPr>
          <w:rFonts w:ascii="source serif 4" w:eastAsia="source serif 4" w:hAnsi="source serif 4" w:cs="source serif 4"/>
          <w:b/>
          <w:color w:val="000000"/>
          <w:sz w:val="24"/>
        </w:rPr>
        <w:t>Filing Deadline Notice</w:t>
      </w:r>
      <w:bookmarkEnd w:id="14"/>
    </w:p>
    <w:p w14:paraId="0FE04B34" w14:textId="77777777" w:rsidR="00FB02E3" w:rsidRDefault="003872EF">
      <w:pPr>
        <w:spacing w:after="210" w:line="360" w:lineRule="auto"/>
      </w:pPr>
      <w:r>
        <w:rPr>
          <w:rFonts w:ascii="source serif 4" w:eastAsia="source serif 4" w:hAnsi="source serif 4" w:cs="source serif 4"/>
          <w:color w:val="000000"/>
        </w:rPr>
        <w:t xml:space="preserve">This objection must be filed within </w:t>
      </w:r>
      <w:r>
        <w:rPr>
          <w:rFonts w:ascii="source serif 4" w:eastAsia="source serif 4" w:hAnsi="source serif 4" w:cs="source serif 4"/>
          <w:b/>
          <w:color w:val="000000"/>
        </w:rPr>
        <w:t>45 calendar days</w:t>
      </w:r>
      <w:r>
        <w:rPr>
          <w:rFonts w:ascii="source serif 4" w:eastAsia="source serif 4" w:hAnsi="source serif 4" w:cs="source serif 4"/>
          <w:color w:val="000000"/>
        </w:rPr>
        <w:t xml:space="preserve"> following the date of publication of the legal notice in the </w:t>
      </w:r>
      <w:r>
        <w:rPr>
          <w:rFonts w:ascii="source serif 4" w:eastAsia="source serif 4" w:hAnsi="source serif 4" w:cs="source serif 4"/>
          <w:i/>
          <w:color w:val="000000"/>
        </w:rPr>
        <w:t>Post Register</w:t>
      </w:r>
      <w:r>
        <w:rPr>
          <w:rFonts w:ascii="source serif 4" w:eastAsia="source serif 4" w:hAnsi="source serif 4" w:cs="source serif 4"/>
          <w:color w:val="000000"/>
        </w:rPr>
        <w:t xml:space="preserve"> initiating the objection period. The legal notice was published on or about May 28, 2026. The deadline for filing is therefore on or before </w:t>
      </w:r>
      <w:r>
        <w:rPr>
          <w:rFonts w:ascii="source serif 4" w:eastAsia="source serif 4" w:hAnsi="source serif 4" w:cs="source serif 4"/>
          <w:b/>
          <w:color w:val="000000"/>
        </w:rPr>
        <w:t>July 12, 2026</w:t>
      </w:r>
      <w:r>
        <w:rPr>
          <w:rFonts w:ascii="source serif 4" w:eastAsia="source serif 4" w:hAnsi="source serif 4" w:cs="source serif 4"/>
          <w:color w:val="000000"/>
        </w:rPr>
        <w:t>.</w:t>
      </w:r>
    </w:p>
    <w:p w14:paraId="0FE04B35" w14:textId="77777777" w:rsidR="00FB02E3" w:rsidRDefault="003872EF">
      <w:pPr>
        <w:spacing w:after="210" w:line="360" w:lineRule="auto"/>
      </w:pPr>
      <w:r>
        <w:rPr>
          <w:rFonts w:ascii="source serif 4" w:eastAsia="source serif 4" w:hAnsi="source serif 4" w:cs="source serif 4"/>
          <w:color w:val="000000"/>
        </w:rPr>
        <w:t>Objections may be submitted:</w:t>
      </w:r>
    </w:p>
    <w:p w14:paraId="0FE04B36" w14:textId="77777777" w:rsidR="00FB02E3" w:rsidRDefault="003872EF">
      <w:pPr>
        <w:numPr>
          <w:ilvl w:val="0"/>
          <w:numId w:val="8"/>
        </w:numPr>
        <w:spacing w:before="105" w:after="105" w:line="360" w:lineRule="auto"/>
      </w:pPr>
      <w:r>
        <w:rPr>
          <w:rFonts w:ascii="source serif 4" w:eastAsia="source serif 4" w:hAnsi="source serif 4" w:cs="source serif 4"/>
          <w:b/>
          <w:color w:val="000000"/>
        </w:rPr>
        <w:t>By mail:</w:t>
      </w:r>
      <w:r>
        <w:rPr>
          <w:rFonts w:ascii="source serif 4" w:eastAsia="source serif 4" w:hAnsi="source serif 4" w:cs="source serif 4"/>
          <w:color w:val="000000"/>
        </w:rPr>
        <w:t xml:space="preserve"> Kim Pierson, Forest Supervisor, c/o Jay Pence, Teton Basin District Ranger, Caribou-Targhee National Forest, 1405 Hollipark Drive, Idaho Falls, ID 83401</w:t>
      </w:r>
    </w:p>
    <w:p w14:paraId="0FE04B37" w14:textId="77777777" w:rsidR="00FB02E3" w:rsidRDefault="003872EF">
      <w:pPr>
        <w:numPr>
          <w:ilvl w:val="0"/>
          <w:numId w:val="8"/>
        </w:numPr>
        <w:spacing w:before="105" w:after="105" w:line="360" w:lineRule="auto"/>
      </w:pPr>
      <w:r>
        <w:rPr>
          <w:rFonts w:ascii="source serif 4" w:eastAsia="source serif 4" w:hAnsi="source serif 4" w:cs="source serif 4"/>
          <w:b/>
          <w:color w:val="000000"/>
        </w:rPr>
        <w:t>By email:</w:t>
      </w:r>
      <w:r>
        <w:rPr>
          <w:rFonts w:ascii="source serif 4" w:eastAsia="source serif 4" w:hAnsi="source serif 4" w:cs="source serif 4"/>
          <w:color w:val="000000"/>
        </w:rPr>
        <w:t xml:space="preserve"> </w:t>
      </w:r>
      <w:hyperlink r:id="rId5">
        <w:r>
          <w:rPr>
            <w:rFonts w:ascii="source sans 3" w:eastAsia="source sans 3" w:hAnsi="source sans 3" w:cs="source sans 3"/>
            <w:u w:val="single"/>
          </w:rPr>
          <w:t>jay.pence@usda.gov</w:t>
        </w:r>
      </w:hyperlink>
      <w:r>
        <w:rPr>
          <w:rFonts w:ascii="source serif 4" w:eastAsia="source serif 4" w:hAnsi="source serif 4" w:cs="source serif 4"/>
          <w:color w:val="000000"/>
        </w:rPr>
        <w:t xml:space="preserve"> (include "Grand Targhee Master Development Plan Projects" in the subject line)</w:t>
      </w:r>
    </w:p>
    <w:p w14:paraId="0FE04B38" w14:textId="77777777" w:rsidR="00FB02E3" w:rsidRDefault="003872EF">
      <w:pPr>
        <w:numPr>
          <w:ilvl w:val="0"/>
          <w:numId w:val="8"/>
        </w:numPr>
        <w:spacing w:before="105" w:after="105" w:line="360" w:lineRule="auto"/>
      </w:pPr>
      <w:r>
        <w:rPr>
          <w:rFonts w:ascii="source serif 4" w:eastAsia="source serif 4" w:hAnsi="source serif 4" w:cs="source serif 4"/>
          <w:b/>
          <w:color w:val="000000"/>
        </w:rPr>
        <w:lastRenderedPageBreak/>
        <w:t>Online:</w:t>
      </w:r>
      <w:r>
        <w:rPr>
          <w:rFonts w:ascii="source serif 4" w:eastAsia="source serif 4" w:hAnsi="source serif 4" w:cs="source serif 4"/>
          <w:color w:val="000000"/>
        </w:rPr>
        <w:t xml:space="preserve"> Via the project website on the Caribou-Targhee National Forest project page</w:t>
      </w:r>
    </w:p>
    <w:p w14:paraId="0FE04B3A" w14:textId="0453A18D" w:rsidR="00FB02E3" w:rsidRDefault="0015504C" w:rsidP="00A9526C">
      <w:pPr>
        <w:spacing w:before="210" w:after="0" w:line="360" w:lineRule="auto"/>
      </w:pPr>
      <w:r>
        <w:rPr>
          <w:noProof/>
        </w:rPr>
      </w:r>
      <w:r>
        <w:rPr>
          <w:noProof/>
        </w:rPr>
        <w:pict w14:anchorId="0FE04B50">
          <v:rect id="_x0000_s1026" alt="" style="width:475.5pt;height:.05pt;mso-width-percent:0;mso-height-percent:0;mso-left-percent:-10001;mso-top-percent:-10001;mso-position-horizontal:absolute;mso-position-horizontal-relative:char;mso-position-vertical:absolute;mso-position-vertical-relative:line;mso-width-percent:0;mso-height-percent:0;mso-left-percent:-10001;mso-top-percent:-10001" o:hralign="center" o:hrstd="t" strokeweight="1pt">
            <v:stroke opacity="0"/>
          </v:rect>
        </w:pict>
      </w:r>
    </w:p>
    <w:sectPr w:rsidR="00FB02E3">
      <w:pgSz w:w="12240" w:h="15840"/>
      <w:pgMar w:top="1365" w:right="1365" w:bottom="1365" w:left="136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source serif 4">
    <w:altName w:val="Cambria"/>
    <w:panose1 w:val="00000000000000000000"/>
    <w:charset w:val="00"/>
    <w:family w:val="roman"/>
    <w:notTrueType/>
    <w:pitch w:val="default"/>
  </w:font>
  <w:font w:name="source sans 3">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401BE"/>
    <w:multiLevelType w:val="hybridMultilevel"/>
    <w:tmpl w:val="1F10F06A"/>
    <w:lvl w:ilvl="0" w:tplc="B2C015E4">
      <w:start w:val="1"/>
      <w:numFmt w:val="bullet"/>
      <w:lvlText w:val=""/>
      <w:lvlJc w:val="left"/>
      <w:pPr>
        <w:tabs>
          <w:tab w:val="num" w:pos="900"/>
        </w:tabs>
        <w:ind w:left="540" w:hanging="360"/>
      </w:pPr>
      <w:rPr>
        <w:rFonts w:ascii="Symbol" w:hAnsi="Symbol" w:hint="default"/>
      </w:rPr>
    </w:lvl>
    <w:lvl w:ilvl="1" w:tplc="42CE4128">
      <w:numFmt w:val="decimal"/>
      <w:lvlText w:val=""/>
      <w:lvlJc w:val="left"/>
    </w:lvl>
    <w:lvl w:ilvl="2" w:tplc="F39C6F92">
      <w:numFmt w:val="decimal"/>
      <w:lvlText w:val=""/>
      <w:lvlJc w:val="left"/>
    </w:lvl>
    <w:lvl w:ilvl="3" w:tplc="D20A5FBA">
      <w:numFmt w:val="decimal"/>
      <w:lvlText w:val=""/>
      <w:lvlJc w:val="left"/>
    </w:lvl>
    <w:lvl w:ilvl="4" w:tplc="BA8E6988">
      <w:numFmt w:val="decimal"/>
      <w:lvlText w:val=""/>
      <w:lvlJc w:val="left"/>
    </w:lvl>
    <w:lvl w:ilvl="5" w:tplc="F23477AA">
      <w:numFmt w:val="decimal"/>
      <w:lvlText w:val=""/>
      <w:lvlJc w:val="left"/>
    </w:lvl>
    <w:lvl w:ilvl="6" w:tplc="4594958C">
      <w:numFmt w:val="decimal"/>
      <w:lvlText w:val=""/>
      <w:lvlJc w:val="left"/>
    </w:lvl>
    <w:lvl w:ilvl="7" w:tplc="81868DC4">
      <w:numFmt w:val="decimal"/>
      <w:lvlText w:val=""/>
      <w:lvlJc w:val="left"/>
    </w:lvl>
    <w:lvl w:ilvl="8" w:tplc="2B107516">
      <w:numFmt w:val="decimal"/>
      <w:lvlText w:val=""/>
      <w:lvlJc w:val="left"/>
    </w:lvl>
  </w:abstractNum>
  <w:abstractNum w:abstractNumId="1" w15:restartNumberingAfterBreak="0">
    <w:nsid w:val="18E23A36"/>
    <w:multiLevelType w:val="hybridMultilevel"/>
    <w:tmpl w:val="BEF6922A"/>
    <w:lvl w:ilvl="0" w:tplc="DB34FC8A">
      <w:start w:val="1"/>
      <w:numFmt w:val="bullet"/>
      <w:lvlText w:val=""/>
      <w:lvlJc w:val="left"/>
      <w:pPr>
        <w:tabs>
          <w:tab w:val="num" w:pos="900"/>
        </w:tabs>
        <w:ind w:left="540" w:hanging="360"/>
      </w:pPr>
      <w:rPr>
        <w:rFonts w:ascii="Symbol" w:hAnsi="Symbol" w:hint="default"/>
      </w:rPr>
    </w:lvl>
    <w:lvl w:ilvl="1" w:tplc="ECCE23F0">
      <w:numFmt w:val="decimal"/>
      <w:lvlText w:val=""/>
      <w:lvlJc w:val="left"/>
    </w:lvl>
    <w:lvl w:ilvl="2" w:tplc="0AB2D362">
      <w:numFmt w:val="decimal"/>
      <w:lvlText w:val=""/>
      <w:lvlJc w:val="left"/>
    </w:lvl>
    <w:lvl w:ilvl="3" w:tplc="078CE4E2">
      <w:numFmt w:val="decimal"/>
      <w:lvlText w:val=""/>
      <w:lvlJc w:val="left"/>
    </w:lvl>
    <w:lvl w:ilvl="4" w:tplc="66289A28">
      <w:numFmt w:val="decimal"/>
      <w:lvlText w:val=""/>
      <w:lvlJc w:val="left"/>
    </w:lvl>
    <w:lvl w:ilvl="5" w:tplc="91DC0AFC">
      <w:numFmt w:val="decimal"/>
      <w:lvlText w:val=""/>
      <w:lvlJc w:val="left"/>
    </w:lvl>
    <w:lvl w:ilvl="6" w:tplc="CB74AFA0">
      <w:numFmt w:val="decimal"/>
      <w:lvlText w:val=""/>
      <w:lvlJc w:val="left"/>
    </w:lvl>
    <w:lvl w:ilvl="7" w:tplc="2D6CD47E">
      <w:numFmt w:val="decimal"/>
      <w:lvlText w:val=""/>
      <w:lvlJc w:val="left"/>
    </w:lvl>
    <w:lvl w:ilvl="8" w:tplc="91A279D2">
      <w:numFmt w:val="decimal"/>
      <w:lvlText w:val=""/>
      <w:lvlJc w:val="left"/>
    </w:lvl>
  </w:abstractNum>
  <w:abstractNum w:abstractNumId="2" w15:restartNumberingAfterBreak="0">
    <w:nsid w:val="199947DC"/>
    <w:multiLevelType w:val="hybridMultilevel"/>
    <w:tmpl w:val="0D3C0B92"/>
    <w:lvl w:ilvl="0" w:tplc="4B321C70">
      <w:start w:val="1"/>
      <w:numFmt w:val="decimal"/>
      <w:lvlText w:val="%1."/>
      <w:lvlJc w:val="left"/>
      <w:pPr>
        <w:tabs>
          <w:tab w:val="num" w:pos="900"/>
        </w:tabs>
        <w:ind w:left="540" w:hanging="360"/>
      </w:pPr>
    </w:lvl>
    <w:lvl w:ilvl="1" w:tplc="73DAFC98">
      <w:numFmt w:val="decimal"/>
      <w:lvlText w:val=""/>
      <w:lvlJc w:val="left"/>
    </w:lvl>
    <w:lvl w:ilvl="2" w:tplc="F9304E38">
      <w:numFmt w:val="decimal"/>
      <w:lvlText w:val=""/>
      <w:lvlJc w:val="left"/>
    </w:lvl>
    <w:lvl w:ilvl="3" w:tplc="190643E2">
      <w:numFmt w:val="decimal"/>
      <w:lvlText w:val=""/>
      <w:lvlJc w:val="left"/>
    </w:lvl>
    <w:lvl w:ilvl="4" w:tplc="87F2D172">
      <w:numFmt w:val="decimal"/>
      <w:lvlText w:val=""/>
      <w:lvlJc w:val="left"/>
    </w:lvl>
    <w:lvl w:ilvl="5" w:tplc="BB706ADE">
      <w:numFmt w:val="decimal"/>
      <w:lvlText w:val=""/>
      <w:lvlJc w:val="left"/>
    </w:lvl>
    <w:lvl w:ilvl="6" w:tplc="4ECEA12A">
      <w:numFmt w:val="decimal"/>
      <w:lvlText w:val=""/>
      <w:lvlJc w:val="left"/>
    </w:lvl>
    <w:lvl w:ilvl="7" w:tplc="7284A0EC">
      <w:numFmt w:val="decimal"/>
      <w:lvlText w:val=""/>
      <w:lvlJc w:val="left"/>
    </w:lvl>
    <w:lvl w:ilvl="8" w:tplc="1298B44C">
      <w:numFmt w:val="decimal"/>
      <w:lvlText w:val=""/>
      <w:lvlJc w:val="left"/>
    </w:lvl>
  </w:abstractNum>
  <w:abstractNum w:abstractNumId="3" w15:restartNumberingAfterBreak="0">
    <w:nsid w:val="1F083C9F"/>
    <w:multiLevelType w:val="hybridMultilevel"/>
    <w:tmpl w:val="B7863EF8"/>
    <w:lvl w:ilvl="0" w:tplc="28A4932C">
      <w:start w:val="1"/>
      <w:numFmt w:val="bullet"/>
      <w:lvlText w:val=""/>
      <w:lvlJc w:val="left"/>
      <w:pPr>
        <w:tabs>
          <w:tab w:val="num" w:pos="900"/>
        </w:tabs>
        <w:ind w:left="540" w:hanging="360"/>
      </w:pPr>
      <w:rPr>
        <w:rFonts w:ascii="Symbol" w:hAnsi="Symbol" w:hint="default"/>
      </w:rPr>
    </w:lvl>
    <w:lvl w:ilvl="1" w:tplc="85964744">
      <w:numFmt w:val="decimal"/>
      <w:lvlText w:val=""/>
      <w:lvlJc w:val="left"/>
    </w:lvl>
    <w:lvl w:ilvl="2" w:tplc="62E2F7A8">
      <w:numFmt w:val="decimal"/>
      <w:lvlText w:val=""/>
      <w:lvlJc w:val="left"/>
    </w:lvl>
    <w:lvl w:ilvl="3" w:tplc="7EA056D4">
      <w:numFmt w:val="decimal"/>
      <w:lvlText w:val=""/>
      <w:lvlJc w:val="left"/>
    </w:lvl>
    <w:lvl w:ilvl="4" w:tplc="597A2FB2">
      <w:numFmt w:val="decimal"/>
      <w:lvlText w:val=""/>
      <w:lvlJc w:val="left"/>
    </w:lvl>
    <w:lvl w:ilvl="5" w:tplc="0FD0EB62">
      <w:numFmt w:val="decimal"/>
      <w:lvlText w:val=""/>
      <w:lvlJc w:val="left"/>
    </w:lvl>
    <w:lvl w:ilvl="6" w:tplc="A53C7160">
      <w:numFmt w:val="decimal"/>
      <w:lvlText w:val=""/>
      <w:lvlJc w:val="left"/>
    </w:lvl>
    <w:lvl w:ilvl="7" w:tplc="E8A838A4">
      <w:numFmt w:val="decimal"/>
      <w:lvlText w:val=""/>
      <w:lvlJc w:val="left"/>
    </w:lvl>
    <w:lvl w:ilvl="8" w:tplc="7C8C7F62">
      <w:numFmt w:val="decimal"/>
      <w:lvlText w:val=""/>
      <w:lvlJc w:val="left"/>
    </w:lvl>
  </w:abstractNum>
  <w:abstractNum w:abstractNumId="4" w15:restartNumberingAfterBreak="0">
    <w:nsid w:val="2AA5342A"/>
    <w:multiLevelType w:val="hybridMultilevel"/>
    <w:tmpl w:val="EABE0DB8"/>
    <w:lvl w:ilvl="0" w:tplc="9FA29258">
      <w:start w:val="1"/>
      <w:numFmt w:val="decimal"/>
      <w:lvlText w:val="%1."/>
      <w:lvlJc w:val="left"/>
      <w:pPr>
        <w:tabs>
          <w:tab w:val="num" w:pos="900"/>
        </w:tabs>
        <w:ind w:left="540" w:hanging="360"/>
      </w:pPr>
    </w:lvl>
    <w:lvl w:ilvl="1" w:tplc="E1623006">
      <w:numFmt w:val="decimal"/>
      <w:lvlText w:val=""/>
      <w:lvlJc w:val="left"/>
    </w:lvl>
    <w:lvl w:ilvl="2" w:tplc="CD4ED22E">
      <w:numFmt w:val="decimal"/>
      <w:lvlText w:val=""/>
      <w:lvlJc w:val="left"/>
    </w:lvl>
    <w:lvl w:ilvl="3" w:tplc="DD7220F8">
      <w:numFmt w:val="decimal"/>
      <w:lvlText w:val=""/>
      <w:lvlJc w:val="left"/>
    </w:lvl>
    <w:lvl w:ilvl="4" w:tplc="55506ACC">
      <w:numFmt w:val="decimal"/>
      <w:lvlText w:val=""/>
      <w:lvlJc w:val="left"/>
    </w:lvl>
    <w:lvl w:ilvl="5" w:tplc="6C580E14">
      <w:numFmt w:val="decimal"/>
      <w:lvlText w:val=""/>
      <w:lvlJc w:val="left"/>
    </w:lvl>
    <w:lvl w:ilvl="6" w:tplc="764CA890">
      <w:numFmt w:val="decimal"/>
      <w:lvlText w:val=""/>
      <w:lvlJc w:val="left"/>
    </w:lvl>
    <w:lvl w:ilvl="7" w:tplc="2C24C2F4">
      <w:numFmt w:val="decimal"/>
      <w:lvlText w:val=""/>
      <w:lvlJc w:val="left"/>
    </w:lvl>
    <w:lvl w:ilvl="8" w:tplc="A6267F28">
      <w:numFmt w:val="decimal"/>
      <w:lvlText w:val=""/>
      <w:lvlJc w:val="left"/>
    </w:lvl>
  </w:abstractNum>
  <w:abstractNum w:abstractNumId="5" w15:restartNumberingAfterBreak="0">
    <w:nsid w:val="45453672"/>
    <w:multiLevelType w:val="hybridMultilevel"/>
    <w:tmpl w:val="ED28DBE8"/>
    <w:lvl w:ilvl="0" w:tplc="CFAEE07A">
      <w:start w:val="1"/>
      <w:numFmt w:val="bullet"/>
      <w:lvlText w:val=""/>
      <w:lvlJc w:val="left"/>
      <w:pPr>
        <w:tabs>
          <w:tab w:val="num" w:pos="900"/>
        </w:tabs>
        <w:ind w:left="540" w:hanging="360"/>
      </w:pPr>
      <w:rPr>
        <w:rFonts w:ascii="Symbol" w:hAnsi="Symbol" w:hint="default"/>
      </w:rPr>
    </w:lvl>
    <w:lvl w:ilvl="1" w:tplc="464C1DF8">
      <w:numFmt w:val="decimal"/>
      <w:lvlText w:val=""/>
      <w:lvlJc w:val="left"/>
    </w:lvl>
    <w:lvl w:ilvl="2" w:tplc="2E8CF5B0">
      <w:numFmt w:val="decimal"/>
      <w:lvlText w:val=""/>
      <w:lvlJc w:val="left"/>
    </w:lvl>
    <w:lvl w:ilvl="3" w:tplc="1CFE8D18">
      <w:numFmt w:val="decimal"/>
      <w:lvlText w:val=""/>
      <w:lvlJc w:val="left"/>
    </w:lvl>
    <w:lvl w:ilvl="4" w:tplc="52504C6A">
      <w:numFmt w:val="decimal"/>
      <w:lvlText w:val=""/>
      <w:lvlJc w:val="left"/>
    </w:lvl>
    <w:lvl w:ilvl="5" w:tplc="0834349E">
      <w:numFmt w:val="decimal"/>
      <w:lvlText w:val=""/>
      <w:lvlJc w:val="left"/>
    </w:lvl>
    <w:lvl w:ilvl="6" w:tplc="1EB43D1E">
      <w:numFmt w:val="decimal"/>
      <w:lvlText w:val=""/>
      <w:lvlJc w:val="left"/>
    </w:lvl>
    <w:lvl w:ilvl="7" w:tplc="F3FEE346">
      <w:numFmt w:val="decimal"/>
      <w:lvlText w:val=""/>
      <w:lvlJc w:val="left"/>
    </w:lvl>
    <w:lvl w:ilvl="8" w:tplc="BAA6F926">
      <w:numFmt w:val="decimal"/>
      <w:lvlText w:val=""/>
      <w:lvlJc w:val="left"/>
    </w:lvl>
  </w:abstractNum>
  <w:abstractNum w:abstractNumId="6" w15:restartNumberingAfterBreak="0">
    <w:nsid w:val="50713551"/>
    <w:multiLevelType w:val="hybridMultilevel"/>
    <w:tmpl w:val="4D367DCC"/>
    <w:lvl w:ilvl="0" w:tplc="83F6FF90">
      <w:start w:val="1"/>
      <w:numFmt w:val="decimal"/>
      <w:lvlText w:val="%1."/>
      <w:lvlJc w:val="left"/>
      <w:pPr>
        <w:tabs>
          <w:tab w:val="num" w:pos="900"/>
        </w:tabs>
        <w:ind w:left="540" w:hanging="360"/>
      </w:pPr>
    </w:lvl>
    <w:lvl w:ilvl="1" w:tplc="F04C3CFA">
      <w:numFmt w:val="decimal"/>
      <w:lvlText w:val=""/>
      <w:lvlJc w:val="left"/>
    </w:lvl>
    <w:lvl w:ilvl="2" w:tplc="BF8AC8DA">
      <w:numFmt w:val="decimal"/>
      <w:lvlText w:val=""/>
      <w:lvlJc w:val="left"/>
    </w:lvl>
    <w:lvl w:ilvl="3" w:tplc="D048E8AE">
      <w:numFmt w:val="decimal"/>
      <w:lvlText w:val=""/>
      <w:lvlJc w:val="left"/>
    </w:lvl>
    <w:lvl w:ilvl="4" w:tplc="02E08A8A">
      <w:numFmt w:val="decimal"/>
      <w:lvlText w:val=""/>
      <w:lvlJc w:val="left"/>
    </w:lvl>
    <w:lvl w:ilvl="5" w:tplc="6D2218D2">
      <w:numFmt w:val="decimal"/>
      <w:lvlText w:val=""/>
      <w:lvlJc w:val="left"/>
    </w:lvl>
    <w:lvl w:ilvl="6" w:tplc="937A3E58">
      <w:numFmt w:val="decimal"/>
      <w:lvlText w:val=""/>
      <w:lvlJc w:val="left"/>
    </w:lvl>
    <w:lvl w:ilvl="7" w:tplc="43CA314A">
      <w:numFmt w:val="decimal"/>
      <w:lvlText w:val=""/>
      <w:lvlJc w:val="left"/>
    </w:lvl>
    <w:lvl w:ilvl="8" w:tplc="6710312A">
      <w:numFmt w:val="decimal"/>
      <w:lvlText w:val=""/>
      <w:lvlJc w:val="left"/>
    </w:lvl>
  </w:abstractNum>
  <w:abstractNum w:abstractNumId="7" w15:restartNumberingAfterBreak="0">
    <w:nsid w:val="611B138D"/>
    <w:multiLevelType w:val="hybridMultilevel"/>
    <w:tmpl w:val="73F88082"/>
    <w:lvl w:ilvl="0" w:tplc="5AE6B3FA">
      <w:start w:val="1"/>
      <w:numFmt w:val="decimal"/>
      <w:lvlText w:val="%1."/>
      <w:lvlJc w:val="left"/>
      <w:pPr>
        <w:tabs>
          <w:tab w:val="num" w:pos="900"/>
        </w:tabs>
        <w:ind w:left="540" w:hanging="360"/>
      </w:pPr>
    </w:lvl>
    <w:lvl w:ilvl="1" w:tplc="192E4FD8">
      <w:numFmt w:val="decimal"/>
      <w:lvlText w:val=""/>
      <w:lvlJc w:val="left"/>
    </w:lvl>
    <w:lvl w:ilvl="2" w:tplc="78D066EC">
      <w:numFmt w:val="decimal"/>
      <w:lvlText w:val=""/>
      <w:lvlJc w:val="left"/>
    </w:lvl>
    <w:lvl w:ilvl="3" w:tplc="07FCAC92">
      <w:numFmt w:val="decimal"/>
      <w:lvlText w:val=""/>
      <w:lvlJc w:val="left"/>
    </w:lvl>
    <w:lvl w:ilvl="4" w:tplc="EF44BC8C">
      <w:numFmt w:val="decimal"/>
      <w:lvlText w:val=""/>
      <w:lvlJc w:val="left"/>
    </w:lvl>
    <w:lvl w:ilvl="5" w:tplc="E548A328">
      <w:numFmt w:val="decimal"/>
      <w:lvlText w:val=""/>
      <w:lvlJc w:val="left"/>
    </w:lvl>
    <w:lvl w:ilvl="6" w:tplc="BEE03378">
      <w:numFmt w:val="decimal"/>
      <w:lvlText w:val=""/>
      <w:lvlJc w:val="left"/>
    </w:lvl>
    <w:lvl w:ilvl="7" w:tplc="F9003E94">
      <w:numFmt w:val="decimal"/>
      <w:lvlText w:val=""/>
      <w:lvlJc w:val="left"/>
    </w:lvl>
    <w:lvl w:ilvl="8" w:tplc="06DA46B4">
      <w:numFmt w:val="decimal"/>
      <w:lvlText w:val=""/>
      <w:lvlJc w:val="left"/>
    </w:lvl>
  </w:abstractNum>
  <w:num w:numId="1" w16cid:durableId="1657104890">
    <w:abstractNumId w:val="4"/>
  </w:num>
  <w:num w:numId="2" w16cid:durableId="1881819261">
    <w:abstractNumId w:val="0"/>
  </w:num>
  <w:num w:numId="3" w16cid:durableId="1099066612">
    <w:abstractNumId w:val="5"/>
  </w:num>
  <w:num w:numId="4" w16cid:durableId="133957685">
    <w:abstractNumId w:val="2"/>
  </w:num>
  <w:num w:numId="5" w16cid:durableId="1426799670">
    <w:abstractNumId w:val="6"/>
  </w:num>
  <w:num w:numId="6" w16cid:durableId="1771854061">
    <w:abstractNumId w:val="1"/>
  </w:num>
  <w:num w:numId="7" w16cid:durableId="1410688283">
    <w:abstractNumId w:val="7"/>
  </w:num>
  <w:num w:numId="8" w16cid:durableId="4239574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2E3"/>
    <w:rsid w:val="000515C7"/>
    <w:rsid w:val="001A6563"/>
    <w:rsid w:val="003872EF"/>
    <w:rsid w:val="006E485B"/>
    <w:rsid w:val="00A9526C"/>
    <w:rsid w:val="00B6382C"/>
    <w:rsid w:val="00FB02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0FE04AE4"/>
  <w15:docId w15:val="{229B6644-E81C-4985-A172-4C6E383A2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Theme="minorHAnsi" w:cstheme="minorBidi"/>
        <w:sz w:val="21"/>
        <w:szCs w:val="22"/>
        <w:lang w:val="en-US"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batimChar">
    <w:name w:val="Verbatim 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ay.pence@usda.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2402</Words>
  <Characters>13697</Characters>
  <Application>Microsoft Office Word</Application>
  <DocSecurity>0</DocSecurity>
  <Lines>114</Lines>
  <Paragraphs>32</Paragraphs>
  <ScaleCrop>false</ScaleCrop>
  <Company/>
  <LinksUpToDate>false</LinksUpToDate>
  <CharactersWithSpaces>16067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Bill Bradley</cp:lastModifiedBy>
  <cp:revision>4</cp:revision>
  <dcterms:created xsi:type="dcterms:W3CDTF">2026-06-08T15:59:00Z</dcterms:created>
  <dcterms:modified xsi:type="dcterms:W3CDTF">2026-06-08T16:04:00Z</dcterms:modified>
</cp:coreProperties>
</file>