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A6F3" w14:textId="77777777" w:rsidR="00816352" w:rsidRDefault="00000000">
      <w:pPr>
        <w:widowControl w:val="0"/>
        <w:pBdr>
          <w:top w:val="nil"/>
          <w:left w:val="nil"/>
          <w:bottom w:val="nil"/>
          <w:right w:val="nil"/>
          <w:between w:val="nil"/>
        </w:pBdr>
        <w:spacing w:line="299" w:lineRule="auto"/>
        <w:ind w:left="23" w:right="222" w:firstLine="7"/>
        <w:rPr>
          <w:rFonts w:ascii="Times" w:eastAsia="Times" w:hAnsi="Times" w:cs="Times"/>
          <w:b/>
          <w:bCs/>
          <w:color w:val="000000"/>
          <w:sz w:val="36"/>
          <w:szCs w:val="36"/>
        </w:rPr>
      </w:pPr>
      <w:r>
        <w:rPr>
          <w:rFonts w:ascii="Helvetica Neue" w:eastAsia="Helvetica Neue" w:hAnsi="Helvetica Neue" w:cs="Helvetica Neue"/>
          <w:color w:val="000000"/>
          <w:sz w:val="20"/>
          <w:szCs w:val="20"/>
        </w:rPr>
        <w:t xml:space="preserve">https://basinuranium.ca/basin-uranium-significantly-increases-the-size-of-its-flagship-chord-uranium-project/ </w:t>
      </w:r>
      <w:r>
        <w:rPr>
          <w:rFonts w:ascii="Times" w:eastAsia="Times" w:hAnsi="Times" w:cs="Times"/>
          <w:b/>
          <w:bCs/>
          <w:color w:val="000000"/>
          <w:sz w:val="36"/>
          <w:szCs w:val="36"/>
        </w:rPr>
        <w:t xml:space="preserve">Basin Uranium Significantly Increases the Size of Its Flagship </w:t>
      </w:r>
      <w:proofErr w:type="gramStart"/>
      <w:r>
        <w:rPr>
          <w:rFonts w:ascii="Times" w:eastAsia="Times" w:hAnsi="Times" w:cs="Times"/>
          <w:b/>
          <w:bCs/>
          <w:color w:val="000000"/>
          <w:sz w:val="36"/>
          <w:szCs w:val="36"/>
        </w:rPr>
        <w:t>Chord  Uranium</w:t>
      </w:r>
      <w:proofErr w:type="gramEnd"/>
      <w:r>
        <w:rPr>
          <w:rFonts w:ascii="Times" w:eastAsia="Times" w:hAnsi="Times" w:cs="Times"/>
          <w:b/>
          <w:bCs/>
          <w:color w:val="000000"/>
          <w:sz w:val="36"/>
          <w:szCs w:val="36"/>
        </w:rPr>
        <w:t xml:space="preserve"> Project </w:t>
      </w:r>
    </w:p>
    <w:p w14:paraId="27B37738" w14:textId="77777777" w:rsidR="00816352" w:rsidRDefault="00000000">
      <w:pPr>
        <w:widowControl w:val="0"/>
        <w:pBdr>
          <w:top w:val="nil"/>
          <w:left w:val="nil"/>
          <w:bottom w:val="nil"/>
          <w:right w:val="nil"/>
          <w:between w:val="nil"/>
        </w:pBdr>
        <w:spacing w:before="234" w:line="233" w:lineRule="auto"/>
        <w:ind w:left="19" w:right="24" w:firstLine="2"/>
        <w:rPr>
          <w:rFonts w:ascii="Times" w:eastAsia="Times" w:hAnsi="Times" w:cs="Times"/>
          <w:color w:val="000000"/>
          <w:sz w:val="24"/>
          <w:szCs w:val="24"/>
        </w:rPr>
      </w:pPr>
      <w:r>
        <w:rPr>
          <w:rFonts w:ascii="Times" w:eastAsia="Times" w:hAnsi="Times" w:cs="Times"/>
          <w:b/>
          <w:bCs/>
          <w:color w:val="000000"/>
          <w:sz w:val="24"/>
          <w:szCs w:val="24"/>
        </w:rPr>
        <w:t xml:space="preserve">VANCOUVER, B.C. CANADA – NOVEMBER 22, 2023 – BASIN URANIUM CORP. (CSE: NCLR)  (CNSX: NCLR.CN) </w:t>
      </w:r>
      <w:r>
        <w:rPr>
          <w:rFonts w:ascii="Times" w:eastAsia="Times" w:hAnsi="Times" w:cs="Times"/>
          <w:color w:val="000000"/>
          <w:sz w:val="24"/>
          <w:szCs w:val="24"/>
        </w:rPr>
        <w:t>(“</w:t>
      </w:r>
      <w:r>
        <w:rPr>
          <w:rFonts w:ascii="Times" w:eastAsia="Times" w:hAnsi="Times" w:cs="Times"/>
          <w:b/>
          <w:bCs/>
          <w:color w:val="000000"/>
          <w:sz w:val="24"/>
          <w:szCs w:val="24"/>
        </w:rPr>
        <w:t>Basin Uranium</w:t>
      </w:r>
      <w:r>
        <w:rPr>
          <w:rFonts w:ascii="Times" w:eastAsia="Times" w:hAnsi="Times" w:cs="Times"/>
          <w:color w:val="000000"/>
          <w:sz w:val="24"/>
          <w:szCs w:val="24"/>
        </w:rPr>
        <w:t>” or the “</w:t>
      </w:r>
      <w:r>
        <w:rPr>
          <w:rFonts w:ascii="Times" w:eastAsia="Times" w:hAnsi="Times" w:cs="Times"/>
          <w:b/>
          <w:bCs/>
          <w:color w:val="000000"/>
          <w:sz w:val="24"/>
          <w:szCs w:val="24"/>
        </w:rPr>
        <w:t>Company</w:t>
      </w:r>
      <w:r>
        <w:rPr>
          <w:rFonts w:ascii="Times" w:eastAsia="Times" w:hAnsi="Times" w:cs="Times"/>
          <w:color w:val="000000"/>
          <w:sz w:val="24"/>
          <w:szCs w:val="24"/>
        </w:rPr>
        <w:t>”) is pleased to announce the acquisition of an  additional 640 acres contiguous to its flagship Chord Uranium Project (the “</w:t>
      </w:r>
      <w:r>
        <w:rPr>
          <w:rFonts w:ascii="Times" w:eastAsia="Times" w:hAnsi="Times" w:cs="Times"/>
          <w:b/>
          <w:bCs/>
          <w:color w:val="000000"/>
          <w:sz w:val="24"/>
          <w:szCs w:val="24"/>
        </w:rPr>
        <w:t>Property</w:t>
      </w:r>
      <w:r>
        <w:rPr>
          <w:rFonts w:ascii="Times" w:eastAsia="Times" w:hAnsi="Times" w:cs="Times"/>
          <w:color w:val="000000"/>
          <w:sz w:val="24"/>
          <w:szCs w:val="24"/>
        </w:rPr>
        <w:t xml:space="preserve">”) in South Dakota, which  now stands at 3,677 acres of contiguous landholdings located approximately 5.5 miles southwest of encore  Energy Corp.’s (EU-NYSEAM) Dewey-Burdock development project. The recently acquired claims adjoin </w:t>
      </w:r>
      <w:proofErr w:type="gramStart"/>
      <w:r>
        <w:rPr>
          <w:rFonts w:ascii="Times" w:eastAsia="Times" w:hAnsi="Times" w:cs="Times"/>
          <w:color w:val="000000"/>
          <w:sz w:val="24"/>
          <w:szCs w:val="24"/>
        </w:rPr>
        <w:t>the  October</w:t>
      </w:r>
      <w:proofErr w:type="gramEnd"/>
      <w:r>
        <w:rPr>
          <w:rFonts w:ascii="Times" w:eastAsia="Times" w:hAnsi="Times" w:cs="Times"/>
          <w:color w:val="000000"/>
          <w:sz w:val="24"/>
          <w:szCs w:val="24"/>
        </w:rPr>
        <w:t xml:space="preserve"> Jinx mineralized zone to the south (see March 1, 2023 news release), where historical drilling </w:t>
      </w:r>
      <w:proofErr w:type="gramStart"/>
      <w:r>
        <w:rPr>
          <w:rFonts w:ascii="Times" w:eastAsia="Times" w:hAnsi="Times" w:cs="Times"/>
          <w:color w:val="000000"/>
          <w:sz w:val="24"/>
          <w:szCs w:val="24"/>
        </w:rPr>
        <w:t>and  resource</w:t>
      </w:r>
      <w:proofErr w:type="gramEnd"/>
      <w:r>
        <w:rPr>
          <w:rFonts w:ascii="Times" w:eastAsia="Times" w:hAnsi="Times" w:cs="Times"/>
          <w:color w:val="000000"/>
          <w:sz w:val="24"/>
          <w:szCs w:val="24"/>
        </w:rPr>
        <w:t xml:space="preserve"> modelling terminated at the property boundary, and is highly prospective for extending </w:t>
      </w:r>
      <w:proofErr w:type="gramStart"/>
      <w:r>
        <w:rPr>
          <w:rFonts w:ascii="Times" w:eastAsia="Times" w:hAnsi="Times" w:cs="Times"/>
          <w:color w:val="000000"/>
          <w:sz w:val="24"/>
          <w:szCs w:val="24"/>
        </w:rPr>
        <w:t>uranium  mineralization</w:t>
      </w:r>
      <w:proofErr w:type="gramEnd"/>
      <w:r>
        <w:rPr>
          <w:rFonts w:ascii="Times" w:eastAsia="Times" w:hAnsi="Times" w:cs="Times"/>
          <w:color w:val="000000"/>
          <w:sz w:val="24"/>
          <w:szCs w:val="24"/>
        </w:rPr>
        <w:t xml:space="preserve"> to the south. The additional 640 acres are located on Fall River County Section 36-7S-2E (</w:t>
      </w:r>
      <w:proofErr w:type="gramStart"/>
      <w:r>
        <w:rPr>
          <w:rFonts w:ascii="Times" w:eastAsia="Times" w:hAnsi="Times" w:cs="Times"/>
          <w:color w:val="000000"/>
          <w:sz w:val="24"/>
          <w:szCs w:val="24"/>
        </w:rPr>
        <w:t>Figure  1</w:t>
      </w:r>
      <w:proofErr w:type="gramEnd"/>
      <w:r>
        <w:rPr>
          <w:rFonts w:ascii="Times" w:eastAsia="Times" w:hAnsi="Times" w:cs="Times"/>
          <w:color w:val="000000"/>
          <w:sz w:val="24"/>
          <w:szCs w:val="24"/>
        </w:rPr>
        <w:t xml:space="preserve">) and were acquired via way of Mineral Rights Lease Auction with notice published on September 28, </w:t>
      </w:r>
      <w:proofErr w:type="gramStart"/>
      <w:r>
        <w:rPr>
          <w:rFonts w:ascii="Times" w:eastAsia="Times" w:hAnsi="Times" w:cs="Times"/>
          <w:color w:val="000000"/>
          <w:sz w:val="24"/>
          <w:szCs w:val="24"/>
        </w:rPr>
        <w:t>October  5</w:t>
      </w:r>
      <w:proofErr w:type="gramEnd"/>
      <w:r>
        <w:rPr>
          <w:rFonts w:ascii="Times" w:eastAsia="Times" w:hAnsi="Times" w:cs="Times"/>
          <w:color w:val="000000"/>
          <w:sz w:val="24"/>
          <w:szCs w:val="24"/>
        </w:rPr>
        <w:t xml:space="preserve">, and October 12 in the Fall River County Herald Star. </w:t>
      </w:r>
    </w:p>
    <w:p w14:paraId="2AF16900" w14:textId="77777777" w:rsidR="00816352" w:rsidRDefault="00000000">
      <w:pPr>
        <w:widowControl w:val="0"/>
        <w:pBdr>
          <w:top w:val="nil"/>
          <w:left w:val="nil"/>
          <w:bottom w:val="nil"/>
          <w:right w:val="nil"/>
          <w:between w:val="nil"/>
        </w:pBdr>
        <w:spacing w:before="246" w:line="233" w:lineRule="auto"/>
        <w:ind w:left="19" w:right="23" w:firstLine="5"/>
        <w:rPr>
          <w:rFonts w:ascii="Times" w:eastAsia="Times" w:hAnsi="Times" w:cs="Times"/>
          <w:color w:val="000000"/>
          <w:sz w:val="24"/>
          <w:szCs w:val="24"/>
        </w:rPr>
      </w:pPr>
      <w:r>
        <w:rPr>
          <w:rFonts w:ascii="Times" w:eastAsia="Times" w:hAnsi="Times" w:cs="Times"/>
          <w:color w:val="000000"/>
          <w:sz w:val="24"/>
          <w:szCs w:val="24"/>
        </w:rPr>
        <w:t xml:space="preserve">“The acquisition of the additional 640 acres marks a significant advancement for the project, as it represents </w:t>
      </w:r>
      <w:proofErr w:type="gramStart"/>
      <w:r>
        <w:rPr>
          <w:rFonts w:ascii="Times" w:eastAsia="Times" w:hAnsi="Times" w:cs="Times"/>
          <w:color w:val="000000"/>
          <w:sz w:val="24"/>
          <w:szCs w:val="24"/>
        </w:rPr>
        <w:t>the  logical</w:t>
      </w:r>
      <w:proofErr w:type="gramEnd"/>
      <w:r>
        <w:rPr>
          <w:rFonts w:ascii="Times" w:eastAsia="Times" w:hAnsi="Times" w:cs="Times"/>
          <w:color w:val="000000"/>
          <w:sz w:val="24"/>
          <w:szCs w:val="24"/>
        </w:rPr>
        <w:t xml:space="preserve"> southern extension of the most significant historical resource on the project, the October Jinx deposit, </w:t>
      </w:r>
      <w:proofErr w:type="gramStart"/>
      <w:r>
        <w:rPr>
          <w:rFonts w:ascii="Times" w:eastAsia="Times" w:hAnsi="Times" w:cs="Times"/>
          <w:color w:val="000000"/>
          <w:sz w:val="24"/>
          <w:szCs w:val="24"/>
        </w:rPr>
        <w:t>as  previous</w:t>
      </w:r>
      <w:proofErr w:type="gramEnd"/>
      <w:r>
        <w:rPr>
          <w:rFonts w:ascii="Times" w:eastAsia="Times" w:hAnsi="Times" w:cs="Times"/>
          <w:color w:val="000000"/>
          <w:sz w:val="24"/>
          <w:szCs w:val="24"/>
        </w:rPr>
        <w:t xml:space="preserve"> exploration was constrained solely by the property boundary” commented Mike Blady, CEO of </w:t>
      </w:r>
      <w:proofErr w:type="gramStart"/>
      <w:r>
        <w:rPr>
          <w:rFonts w:ascii="Times" w:eastAsia="Times" w:hAnsi="Times" w:cs="Times"/>
          <w:color w:val="000000"/>
          <w:sz w:val="24"/>
          <w:szCs w:val="24"/>
        </w:rPr>
        <w:t>Basin  Uranium</w:t>
      </w:r>
      <w:proofErr w:type="gramEnd"/>
      <w:r>
        <w:rPr>
          <w:rFonts w:ascii="Times" w:eastAsia="Times" w:hAnsi="Times" w:cs="Times"/>
          <w:color w:val="000000"/>
          <w:sz w:val="24"/>
          <w:szCs w:val="24"/>
        </w:rPr>
        <w:t xml:space="preserve">. “With this parcel of land now secured, we are focused on expediting permitting for a drill project </w:t>
      </w:r>
      <w:proofErr w:type="gramStart"/>
      <w:r>
        <w:rPr>
          <w:rFonts w:ascii="Times" w:eastAsia="Times" w:hAnsi="Times" w:cs="Times"/>
          <w:color w:val="000000"/>
          <w:sz w:val="24"/>
          <w:szCs w:val="24"/>
        </w:rPr>
        <w:t>over  the</w:t>
      </w:r>
      <w:proofErr w:type="gramEnd"/>
      <w:r>
        <w:rPr>
          <w:rFonts w:ascii="Times" w:eastAsia="Times" w:hAnsi="Times" w:cs="Times"/>
          <w:color w:val="000000"/>
          <w:sz w:val="24"/>
          <w:szCs w:val="24"/>
        </w:rPr>
        <w:t xml:space="preserve"> entire </w:t>
      </w:r>
      <w:proofErr w:type="gramStart"/>
      <w:r>
        <w:rPr>
          <w:rFonts w:ascii="Times" w:eastAsia="Times" w:hAnsi="Times" w:cs="Times"/>
          <w:color w:val="000000"/>
          <w:sz w:val="24"/>
          <w:szCs w:val="24"/>
        </w:rPr>
        <w:t>3,6777 acre</w:t>
      </w:r>
      <w:proofErr w:type="gramEnd"/>
      <w:r>
        <w:rPr>
          <w:rFonts w:ascii="Times" w:eastAsia="Times" w:hAnsi="Times" w:cs="Times"/>
          <w:color w:val="000000"/>
          <w:sz w:val="24"/>
          <w:szCs w:val="24"/>
        </w:rPr>
        <w:t xml:space="preserve"> project to both confirm and expand the known mineralized bodies.” </w:t>
      </w:r>
    </w:p>
    <w:p w14:paraId="0A55EDAF" w14:textId="77777777" w:rsidR="00816352" w:rsidRDefault="00000000">
      <w:pPr>
        <w:widowControl w:val="0"/>
        <w:pBdr>
          <w:top w:val="nil"/>
          <w:left w:val="nil"/>
          <w:bottom w:val="nil"/>
          <w:right w:val="nil"/>
          <w:between w:val="nil"/>
        </w:pBdr>
        <w:spacing w:before="246" w:line="240" w:lineRule="auto"/>
        <w:ind w:left="20"/>
        <w:rPr>
          <w:rFonts w:ascii="Times" w:eastAsia="Times" w:hAnsi="Times" w:cs="Times"/>
          <w:color w:val="000000"/>
          <w:sz w:val="24"/>
          <w:szCs w:val="24"/>
        </w:rPr>
      </w:pPr>
      <w:r>
        <w:rPr>
          <w:rFonts w:ascii="Times" w:eastAsia="Times" w:hAnsi="Times" w:cs="Times"/>
          <w:color w:val="000000"/>
          <w:sz w:val="24"/>
          <w:szCs w:val="24"/>
        </w:rPr>
        <w:t>Figure 1 – Chord Property Map</w:t>
      </w:r>
    </w:p>
    <w:p w14:paraId="1D8C0D65" w14:textId="77777777" w:rsidR="00816352" w:rsidRDefault="00000000">
      <w:pPr>
        <w:widowControl w:val="0"/>
        <w:pBdr>
          <w:top w:val="nil"/>
          <w:left w:val="nil"/>
          <w:bottom w:val="nil"/>
          <w:right w:val="nil"/>
          <w:between w:val="nil"/>
        </w:pBdr>
        <w:spacing w:before="259" w:line="240" w:lineRule="auto"/>
        <w:ind w:left="18"/>
        <w:rPr>
          <w:rFonts w:ascii="Times" w:eastAsia="Times" w:hAnsi="Times" w:cs="Times"/>
          <w:color w:val="000000"/>
          <w:sz w:val="24"/>
          <w:szCs w:val="24"/>
        </w:rPr>
      </w:pPr>
      <w:r>
        <w:rPr>
          <w:rFonts w:ascii="Times" w:eastAsia="Times" w:hAnsi="Times" w:cs="Times"/>
          <w:noProof/>
          <w:color w:val="000000"/>
          <w:sz w:val="24"/>
          <w:szCs w:val="24"/>
        </w:rPr>
        <w:drawing>
          <wp:inline distT="19050" distB="19050" distL="19050" distR="19050" wp14:anchorId="26521E31" wp14:editId="375CFC84">
            <wp:extent cx="6357028" cy="44139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357028" cy="4413913"/>
                    </a:xfrm>
                    <a:prstGeom prst="rect">
                      <a:avLst/>
                    </a:prstGeom>
                    <a:ln/>
                  </pic:spPr>
                </pic:pic>
              </a:graphicData>
            </a:graphic>
          </wp:inline>
        </w:drawing>
      </w:r>
    </w:p>
    <w:p w14:paraId="20EAA5B9" w14:textId="77777777" w:rsidR="00816352" w:rsidRDefault="00000000">
      <w:pPr>
        <w:widowControl w:val="0"/>
        <w:pBdr>
          <w:top w:val="nil"/>
          <w:left w:val="nil"/>
          <w:bottom w:val="nil"/>
          <w:right w:val="nil"/>
          <w:between w:val="nil"/>
        </w:pBdr>
        <w:spacing w:line="348" w:lineRule="auto"/>
        <w:ind w:left="22" w:right="1073" w:firstLine="8"/>
        <w:rPr>
          <w:rFonts w:ascii="Times" w:eastAsia="Times" w:hAnsi="Times" w:cs="Times"/>
          <w:b/>
          <w:bCs/>
          <w:color w:val="000000"/>
          <w:sz w:val="24"/>
          <w:szCs w:val="24"/>
        </w:rPr>
      </w:pPr>
      <w:r>
        <w:rPr>
          <w:rFonts w:ascii="Helvetica Neue" w:eastAsia="Helvetica Neue" w:hAnsi="Helvetica Neue" w:cs="Helvetica Neue"/>
          <w:color w:val="000000"/>
          <w:sz w:val="20"/>
          <w:szCs w:val="20"/>
        </w:rPr>
        <w:t>https://basinuranium.ca/basin-uranium-significantly-increases-the-size-of-its-flagship-chord-uranium-</w:t>
      </w:r>
      <w:r>
        <w:rPr>
          <w:rFonts w:ascii="Helvetica Neue" w:eastAsia="Helvetica Neue" w:hAnsi="Helvetica Neue" w:cs="Helvetica Neue"/>
          <w:color w:val="000000"/>
          <w:sz w:val="20"/>
          <w:szCs w:val="20"/>
        </w:rPr>
        <w:lastRenderedPageBreak/>
        <w:t xml:space="preserve">project/ </w:t>
      </w:r>
      <w:r>
        <w:rPr>
          <w:rFonts w:ascii="Times" w:eastAsia="Times" w:hAnsi="Times" w:cs="Times"/>
          <w:b/>
          <w:bCs/>
          <w:color w:val="000000"/>
          <w:sz w:val="24"/>
          <w:szCs w:val="24"/>
        </w:rPr>
        <w:t xml:space="preserve">Investor Relations </w:t>
      </w:r>
    </w:p>
    <w:p w14:paraId="64E46F5D" w14:textId="77777777" w:rsidR="00816352" w:rsidRDefault="00000000">
      <w:pPr>
        <w:widowControl w:val="0"/>
        <w:pBdr>
          <w:top w:val="nil"/>
          <w:left w:val="nil"/>
          <w:bottom w:val="nil"/>
          <w:right w:val="nil"/>
          <w:between w:val="nil"/>
        </w:pBdr>
        <w:spacing w:before="156" w:line="233" w:lineRule="auto"/>
        <w:ind w:left="19" w:firstLine="3"/>
        <w:rPr>
          <w:rFonts w:ascii="Times" w:eastAsia="Times" w:hAnsi="Times" w:cs="Times"/>
          <w:color w:val="000000"/>
          <w:sz w:val="24"/>
          <w:szCs w:val="24"/>
        </w:rPr>
      </w:pPr>
      <w:r>
        <w:rPr>
          <w:rFonts w:ascii="Times" w:eastAsia="Times" w:hAnsi="Times" w:cs="Times"/>
          <w:color w:val="000000"/>
          <w:sz w:val="24"/>
          <w:szCs w:val="24"/>
        </w:rPr>
        <w:t xml:space="preserve">Basin Uranium has entered into a public relations </w:t>
      </w:r>
      <w:proofErr w:type="gramStart"/>
      <w:r>
        <w:rPr>
          <w:rFonts w:ascii="Times" w:eastAsia="Times" w:hAnsi="Times" w:cs="Times"/>
          <w:color w:val="000000"/>
          <w:sz w:val="24"/>
          <w:szCs w:val="24"/>
        </w:rPr>
        <w:t>services</w:t>
      </w:r>
      <w:proofErr w:type="gramEnd"/>
      <w:r>
        <w:rPr>
          <w:rFonts w:ascii="Times" w:eastAsia="Times" w:hAnsi="Times" w:cs="Times"/>
          <w:color w:val="000000"/>
          <w:sz w:val="24"/>
          <w:szCs w:val="24"/>
        </w:rPr>
        <w:t xml:space="preserve"> agreement dated November 20, 2023 (the “</w:t>
      </w:r>
      <w:proofErr w:type="gramStart"/>
      <w:r>
        <w:rPr>
          <w:rFonts w:ascii="Times" w:eastAsia="Times" w:hAnsi="Times" w:cs="Times"/>
          <w:b/>
          <w:bCs/>
          <w:color w:val="000000"/>
          <w:sz w:val="24"/>
          <w:szCs w:val="24"/>
        </w:rPr>
        <w:t>Services  Agreement</w:t>
      </w:r>
      <w:proofErr w:type="gramEnd"/>
      <w:r>
        <w:rPr>
          <w:rFonts w:ascii="Times" w:eastAsia="Times" w:hAnsi="Times" w:cs="Times"/>
          <w:color w:val="000000"/>
          <w:sz w:val="24"/>
          <w:szCs w:val="24"/>
        </w:rPr>
        <w:t>”) with Think Ink Marketing (the “</w:t>
      </w:r>
      <w:r>
        <w:rPr>
          <w:rFonts w:ascii="Times" w:eastAsia="Times" w:hAnsi="Times" w:cs="Times"/>
          <w:b/>
          <w:bCs/>
          <w:color w:val="000000"/>
          <w:sz w:val="24"/>
          <w:szCs w:val="24"/>
        </w:rPr>
        <w:t>Service Provider</w:t>
      </w:r>
      <w:r>
        <w:rPr>
          <w:rFonts w:ascii="Times" w:eastAsia="Times" w:hAnsi="Times" w:cs="Times"/>
          <w:color w:val="000000"/>
          <w:sz w:val="24"/>
          <w:szCs w:val="24"/>
        </w:rPr>
        <w:t>”). Pursuant to the terms and conditions of the  Services Agreement, the Service Provider (</w:t>
      </w:r>
      <w:proofErr w:type="spellStart"/>
      <w:r>
        <w:rPr>
          <w:rFonts w:ascii="Times" w:eastAsia="Times" w:hAnsi="Times" w:cs="Times"/>
          <w:color w:val="000000"/>
          <w:sz w:val="24"/>
          <w:szCs w:val="24"/>
        </w:rPr>
        <w:t>i</w:t>
      </w:r>
      <w:proofErr w:type="spellEnd"/>
      <w:r>
        <w:rPr>
          <w:rFonts w:ascii="Times" w:eastAsia="Times" w:hAnsi="Times" w:cs="Times"/>
          <w:color w:val="000000"/>
          <w:sz w:val="24"/>
          <w:szCs w:val="24"/>
        </w:rPr>
        <w:t>) will provide Basin Uranium with public relations services to  increase public awareness of Basin Uranium and its products, services and securities, and (ii) conduct activities  including, but not limited to, advertising on platforms such as Google and Taboola, video content distribution on  platforms such as YouTube, social media coverage on platforms such as Twitter, TikTok, and Meta, and email  distribution to subscribers of various newsletters (collectively, the “</w:t>
      </w:r>
      <w:r>
        <w:rPr>
          <w:rFonts w:ascii="Times" w:eastAsia="Times" w:hAnsi="Times" w:cs="Times"/>
          <w:b/>
          <w:bCs/>
          <w:color w:val="000000"/>
          <w:sz w:val="24"/>
          <w:szCs w:val="24"/>
        </w:rPr>
        <w:t>Marketing Services</w:t>
      </w:r>
      <w:r>
        <w:rPr>
          <w:rFonts w:ascii="Times" w:eastAsia="Times" w:hAnsi="Times" w:cs="Times"/>
          <w:color w:val="000000"/>
          <w:sz w:val="24"/>
          <w:szCs w:val="24"/>
        </w:rPr>
        <w:t xml:space="preserve">”). </w:t>
      </w:r>
    </w:p>
    <w:p w14:paraId="2A9135BA" w14:textId="77777777" w:rsidR="00816352" w:rsidRDefault="00000000">
      <w:pPr>
        <w:widowControl w:val="0"/>
        <w:pBdr>
          <w:top w:val="nil"/>
          <w:left w:val="nil"/>
          <w:bottom w:val="nil"/>
          <w:right w:val="nil"/>
          <w:between w:val="nil"/>
        </w:pBdr>
        <w:spacing w:before="246" w:line="233" w:lineRule="auto"/>
        <w:ind w:left="19" w:right="206" w:firstLine="2"/>
        <w:rPr>
          <w:rFonts w:ascii="Times" w:eastAsia="Times" w:hAnsi="Times" w:cs="Times"/>
          <w:color w:val="000000"/>
          <w:sz w:val="24"/>
          <w:szCs w:val="24"/>
        </w:rPr>
      </w:pPr>
      <w:r>
        <w:rPr>
          <w:rFonts w:ascii="Times" w:eastAsia="Times" w:hAnsi="Times" w:cs="Times"/>
          <w:color w:val="000000"/>
          <w:sz w:val="24"/>
          <w:szCs w:val="24"/>
        </w:rPr>
        <w:t xml:space="preserve">The Service Provider will begin providing the Marketing Services on or around November 27, 2023 and </w:t>
      </w:r>
      <w:proofErr w:type="gramStart"/>
      <w:r>
        <w:rPr>
          <w:rFonts w:ascii="Times" w:eastAsia="Times" w:hAnsi="Times" w:cs="Times"/>
          <w:color w:val="000000"/>
          <w:sz w:val="24"/>
          <w:szCs w:val="24"/>
        </w:rPr>
        <w:t>will  provide</w:t>
      </w:r>
      <w:proofErr w:type="gramEnd"/>
      <w:r>
        <w:rPr>
          <w:rFonts w:ascii="Times" w:eastAsia="Times" w:hAnsi="Times" w:cs="Times"/>
          <w:color w:val="000000"/>
          <w:sz w:val="24"/>
          <w:szCs w:val="24"/>
        </w:rPr>
        <w:t xml:space="preserve"> such services until February 27, 2024. However, Basin Uranium may elect, in its sole discretion, </w:t>
      </w:r>
      <w:proofErr w:type="gramStart"/>
      <w:r>
        <w:rPr>
          <w:rFonts w:ascii="Times" w:eastAsia="Times" w:hAnsi="Times" w:cs="Times"/>
          <w:color w:val="000000"/>
          <w:sz w:val="24"/>
          <w:szCs w:val="24"/>
        </w:rPr>
        <w:t>to  continue</w:t>
      </w:r>
      <w:proofErr w:type="gramEnd"/>
      <w:r>
        <w:rPr>
          <w:rFonts w:ascii="Times" w:eastAsia="Times" w:hAnsi="Times" w:cs="Times"/>
          <w:color w:val="000000"/>
          <w:sz w:val="24"/>
          <w:szCs w:val="24"/>
        </w:rPr>
        <w:t xml:space="preserve"> to engage the Service Provider to provide the Marketing Services until May 27, 2024. </w:t>
      </w:r>
      <w:proofErr w:type="gramStart"/>
      <w:r>
        <w:rPr>
          <w:rFonts w:ascii="Times" w:eastAsia="Times" w:hAnsi="Times" w:cs="Times"/>
          <w:color w:val="000000"/>
          <w:sz w:val="24"/>
          <w:szCs w:val="24"/>
        </w:rPr>
        <w:t>As  compensation</w:t>
      </w:r>
      <w:proofErr w:type="gramEnd"/>
      <w:r>
        <w:rPr>
          <w:rFonts w:ascii="Times" w:eastAsia="Times" w:hAnsi="Times" w:cs="Times"/>
          <w:color w:val="000000"/>
          <w:sz w:val="24"/>
          <w:szCs w:val="24"/>
        </w:rPr>
        <w:t xml:space="preserve"> for the Marketing Services, Basin </w:t>
      </w:r>
      <w:proofErr w:type="spellStart"/>
      <w:r>
        <w:rPr>
          <w:rFonts w:ascii="Times" w:eastAsia="Times" w:hAnsi="Times" w:cs="Times"/>
          <w:color w:val="000000"/>
          <w:sz w:val="24"/>
          <w:szCs w:val="24"/>
        </w:rPr>
        <w:t>Uraniumwill</w:t>
      </w:r>
      <w:proofErr w:type="spellEnd"/>
      <w:r>
        <w:rPr>
          <w:rFonts w:ascii="Times" w:eastAsia="Times" w:hAnsi="Times" w:cs="Times"/>
          <w:color w:val="000000"/>
          <w:sz w:val="24"/>
          <w:szCs w:val="24"/>
        </w:rPr>
        <w:t xml:space="preserve"> provide the Service Provider with a budget </w:t>
      </w:r>
      <w:proofErr w:type="gramStart"/>
      <w:r>
        <w:rPr>
          <w:rFonts w:ascii="Times" w:eastAsia="Times" w:hAnsi="Times" w:cs="Times"/>
          <w:color w:val="000000"/>
          <w:sz w:val="24"/>
          <w:szCs w:val="24"/>
        </w:rPr>
        <w:t>of  USD</w:t>
      </w:r>
      <w:proofErr w:type="gramEnd"/>
      <w:r>
        <w:rPr>
          <w:rFonts w:ascii="Times" w:eastAsia="Times" w:hAnsi="Times" w:cs="Times"/>
          <w:color w:val="000000"/>
          <w:sz w:val="24"/>
          <w:szCs w:val="24"/>
        </w:rPr>
        <w:t xml:space="preserve">$125,000, which will be paid by Basin Uranium on November 20, 2023. The following people will </w:t>
      </w:r>
      <w:proofErr w:type="gramStart"/>
      <w:r>
        <w:rPr>
          <w:rFonts w:ascii="Times" w:eastAsia="Times" w:hAnsi="Times" w:cs="Times"/>
          <w:color w:val="000000"/>
          <w:sz w:val="24"/>
          <w:szCs w:val="24"/>
        </w:rPr>
        <w:t>be  involved</w:t>
      </w:r>
      <w:proofErr w:type="gramEnd"/>
      <w:r>
        <w:rPr>
          <w:rFonts w:ascii="Times" w:eastAsia="Times" w:hAnsi="Times" w:cs="Times"/>
          <w:color w:val="000000"/>
          <w:sz w:val="24"/>
          <w:szCs w:val="24"/>
        </w:rPr>
        <w:t xml:space="preserve"> in conducting the Marketing Services: (</w:t>
      </w:r>
      <w:proofErr w:type="spellStart"/>
      <w:r>
        <w:rPr>
          <w:rFonts w:ascii="Times" w:eastAsia="Times" w:hAnsi="Times" w:cs="Times"/>
          <w:color w:val="000000"/>
          <w:sz w:val="24"/>
          <w:szCs w:val="24"/>
        </w:rPr>
        <w:t>i</w:t>
      </w:r>
      <w:proofErr w:type="spellEnd"/>
      <w:r>
        <w:rPr>
          <w:rFonts w:ascii="Times" w:eastAsia="Times" w:hAnsi="Times" w:cs="Times"/>
          <w:color w:val="000000"/>
          <w:sz w:val="24"/>
          <w:szCs w:val="24"/>
        </w:rPr>
        <w:t xml:space="preserve">) Claire Stevens, Marketing Director with an address </w:t>
      </w:r>
      <w:proofErr w:type="gramStart"/>
      <w:r>
        <w:rPr>
          <w:rFonts w:ascii="Times" w:eastAsia="Times" w:hAnsi="Times" w:cs="Times"/>
          <w:color w:val="000000"/>
          <w:sz w:val="24"/>
          <w:szCs w:val="24"/>
        </w:rPr>
        <w:t>located  at</w:t>
      </w:r>
      <w:proofErr w:type="gramEnd"/>
      <w:r>
        <w:rPr>
          <w:rFonts w:ascii="Times" w:eastAsia="Times" w:hAnsi="Times" w:cs="Times"/>
          <w:color w:val="000000"/>
          <w:sz w:val="24"/>
          <w:szCs w:val="24"/>
        </w:rPr>
        <w:t xml:space="preserve"> 3308 W. Warner Ave., Santa Ana, 92704who can be contacted at </w:t>
      </w:r>
      <w:proofErr w:type="spellStart"/>
      <w:proofErr w:type="gramStart"/>
      <w:r>
        <w:rPr>
          <w:rFonts w:ascii="Times" w:eastAsia="Times" w:hAnsi="Times" w:cs="Times"/>
          <w:color w:val="0000EE"/>
          <w:sz w:val="24"/>
          <w:szCs w:val="24"/>
          <w:u w:val="single"/>
        </w:rPr>
        <w:t>claire@thinkinkmarketing.com</w:t>
      </w:r>
      <w:r>
        <w:rPr>
          <w:rFonts w:ascii="Times" w:eastAsia="Times" w:hAnsi="Times" w:cs="Times"/>
          <w:color w:val="000000"/>
          <w:sz w:val="24"/>
          <w:szCs w:val="24"/>
          <w:u w:val="single"/>
        </w:rPr>
        <w:t>a</w:t>
      </w:r>
      <w:r>
        <w:rPr>
          <w:rFonts w:ascii="Times" w:eastAsia="Times" w:hAnsi="Times" w:cs="Times"/>
          <w:color w:val="000000"/>
          <w:sz w:val="24"/>
          <w:szCs w:val="24"/>
        </w:rPr>
        <w:t>nd</w:t>
      </w:r>
      <w:proofErr w:type="spellEnd"/>
      <w:r>
        <w:rPr>
          <w:rFonts w:ascii="Times" w:eastAsia="Times" w:hAnsi="Times" w:cs="Times"/>
          <w:color w:val="000000"/>
          <w:sz w:val="24"/>
          <w:szCs w:val="24"/>
        </w:rPr>
        <w:t xml:space="preserve">  310</w:t>
      </w:r>
      <w:proofErr w:type="gramEnd"/>
      <w:r>
        <w:rPr>
          <w:rFonts w:ascii="Times" w:eastAsia="Times" w:hAnsi="Times" w:cs="Times"/>
          <w:color w:val="000000"/>
          <w:sz w:val="24"/>
          <w:szCs w:val="24"/>
        </w:rPr>
        <w:t xml:space="preserve">-760-2616.The Service Provider and the aforementioned people are arm’s length from Basin Uranium. </w:t>
      </w:r>
    </w:p>
    <w:p w14:paraId="1FC6EC7A" w14:textId="77777777" w:rsidR="00816352" w:rsidRDefault="00000000">
      <w:pPr>
        <w:widowControl w:val="0"/>
        <w:pBdr>
          <w:top w:val="nil"/>
          <w:left w:val="nil"/>
          <w:bottom w:val="nil"/>
          <w:right w:val="nil"/>
          <w:between w:val="nil"/>
        </w:pBdr>
        <w:spacing w:before="246" w:line="240" w:lineRule="auto"/>
        <w:ind w:left="25"/>
        <w:rPr>
          <w:rFonts w:ascii="Times" w:eastAsia="Times" w:hAnsi="Times" w:cs="Times"/>
          <w:b/>
          <w:bCs/>
          <w:color w:val="000000"/>
          <w:sz w:val="24"/>
          <w:szCs w:val="24"/>
        </w:rPr>
      </w:pPr>
      <w:r>
        <w:rPr>
          <w:rFonts w:ascii="Times" w:eastAsia="Times" w:hAnsi="Times" w:cs="Times"/>
          <w:b/>
          <w:bCs/>
          <w:color w:val="000000"/>
          <w:sz w:val="24"/>
          <w:szCs w:val="24"/>
        </w:rPr>
        <w:t xml:space="preserve">Qualified Person: </w:t>
      </w:r>
    </w:p>
    <w:p w14:paraId="2D6AB7DF" w14:textId="77777777" w:rsidR="00816352" w:rsidRDefault="00000000">
      <w:pPr>
        <w:widowControl w:val="0"/>
        <w:pBdr>
          <w:top w:val="nil"/>
          <w:left w:val="nil"/>
          <w:bottom w:val="nil"/>
          <w:right w:val="nil"/>
          <w:between w:val="nil"/>
        </w:pBdr>
        <w:spacing w:before="239" w:line="233" w:lineRule="auto"/>
        <w:ind w:left="20" w:right="516"/>
        <w:rPr>
          <w:rFonts w:ascii="Times" w:eastAsia="Times" w:hAnsi="Times" w:cs="Times"/>
          <w:color w:val="000000"/>
          <w:sz w:val="24"/>
          <w:szCs w:val="24"/>
        </w:rPr>
      </w:pPr>
      <w:r>
        <w:rPr>
          <w:rFonts w:ascii="Times" w:eastAsia="Times" w:hAnsi="Times" w:cs="Times"/>
          <w:color w:val="000000"/>
          <w:sz w:val="24"/>
          <w:szCs w:val="24"/>
        </w:rPr>
        <w:t xml:space="preserve">R. Tim Henneberry, </w:t>
      </w:r>
      <w:proofErr w:type="spellStart"/>
      <w:r>
        <w:rPr>
          <w:rFonts w:ascii="Times" w:eastAsia="Times" w:hAnsi="Times" w:cs="Times"/>
          <w:color w:val="000000"/>
          <w:sz w:val="24"/>
          <w:szCs w:val="24"/>
        </w:rPr>
        <w:t>PGeo</w:t>
      </w:r>
      <w:proofErr w:type="spellEnd"/>
      <w:r>
        <w:rPr>
          <w:rFonts w:ascii="Times" w:eastAsia="Times" w:hAnsi="Times" w:cs="Times"/>
          <w:color w:val="000000"/>
          <w:sz w:val="24"/>
          <w:szCs w:val="24"/>
        </w:rPr>
        <w:t xml:space="preserve"> (B.C.), a technical advisor to the Company, is the Qualified Person as defined </w:t>
      </w:r>
      <w:proofErr w:type="gramStart"/>
      <w:r>
        <w:rPr>
          <w:rFonts w:ascii="Times" w:eastAsia="Times" w:hAnsi="Times" w:cs="Times"/>
          <w:color w:val="000000"/>
          <w:sz w:val="24"/>
          <w:szCs w:val="24"/>
        </w:rPr>
        <w:t>by  National</w:t>
      </w:r>
      <w:proofErr w:type="gramEnd"/>
      <w:r>
        <w:rPr>
          <w:rFonts w:ascii="Times" w:eastAsia="Times" w:hAnsi="Times" w:cs="Times"/>
          <w:color w:val="000000"/>
          <w:sz w:val="24"/>
          <w:szCs w:val="24"/>
        </w:rPr>
        <w:t xml:space="preserve"> Instrument 43-101 who has reviewed and approved the technical data in this news release. </w:t>
      </w:r>
    </w:p>
    <w:p w14:paraId="721CBEA6" w14:textId="77777777" w:rsidR="00816352" w:rsidRDefault="00000000">
      <w:pPr>
        <w:widowControl w:val="0"/>
        <w:pBdr>
          <w:top w:val="nil"/>
          <w:left w:val="nil"/>
          <w:bottom w:val="nil"/>
          <w:right w:val="nil"/>
          <w:between w:val="nil"/>
        </w:pBdr>
        <w:spacing w:before="246" w:line="240" w:lineRule="auto"/>
        <w:ind w:left="22"/>
        <w:rPr>
          <w:rFonts w:ascii="Times" w:eastAsia="Times" w:hAnsi="Times" w:cs="Times"/>
          <w:b/>
          <w:bCs/>
          <w:color w:val="000000"/>
          <w:sz w:val="24"/>
          <w:szCs w:val="24"/>
        </w:rPr>
      </w:pPr>
      <w:r>
        <w:rPr>
          <w:rFonts w:ascii="Times" w:eastAsia="Times" w:hAnsi="Times" w:cs="Times"/>
          <w:b/>
          <w:bCs/>
          <w:color w:val="000000"/>
          <w:sz w:val="24"/>
          <w:szCs w:val="24"/>
        </w:rPr>
        <w:t xml:space="preserve">About Basin Uranium Corp. </w:t>
      </w:r>
    </w:p>
    <w:p w14:paraId="53CAE1EF" w14:textId="77777777" w:rsidR="00816352" w:rsidRDefault="00000000">
      <w:pPr>
        <w:widowControl w:val="0"/>
        <w:pBdr>
          <w:top w:val="nil"/>
          <w:left w:val="nil"/>
          <w:bottom w:val="nil"/>
          <w:right w:val="nil"/>
          <w:between w:val="nil"/>
        </w:pBdr>
        <w:spacing w:before="239" w:line="233" w:lineRule="auto"/>
        <w:ind w:left="20" w:right="80" w:firstLine="1"/>
        <w:rPr>
          <w:rFonts w:ascii="Times" w:eastAsia="Times" w:hAnsi="Times" w:cs="Times"/>
          <w:color w:val="000000"/>
          <w:sz w:val="24"/>
          <w:szCs w:val="24"/>
        </w:rPr>
      </w:pPr>
      <w:r>
        <w:rPr>
          <w:rFonts w:ascii="Times" w:eastAsia="Times" w:hAnsi="Times" w:cs="Times"/>
          <w:color w:val="000000"/>
          <w:sz w:val="24"/>
          <w:szCs w:val="24"/>
        </w:rPr>
        <w:t xml:space="preserve">Basin Uranium is a Canadian junior exploration company focused on mineral exploration and development </w:t>
      </w:r>
      <w:proofErr w:type="gramStart"/>
      <w:r>
        <w:rPr>
          <w:rFonts w:ascii="Times" w:eastAsia="Times" w:hAnsi="Times" w:cs="Times"/>
          <w:color w:val="000000"/>
          <w:sz w:val="24"/>
          <w:szCs w:val="24"/>
        </w:rPr>
        <w:t>in  the</w:t>
      </w:r>
      <w:proofErr w:type="gramEnd"/>
      <w:r>
        <w:rPr>
          <w:rFonts w:ascii="Times" w:eastAsia="Times" w:hAnsi="Times" w:cs="Times"/>
          <w:color w:val="000000"/>
          <w:sz w:val="24"/>
          <w:szCs w:val="24"/>
        </w:rPr>
        <w:t xml:space="preserve"> green energy sector. The company has two advanced-stage uranium projects located in the United </w:t>
      </w:r>
      <w:proofErr w:type="gramStart"/>
      <w:r>
        <w:rPr>
          <w:rFonts w:ascii="Times" w:eastAsia="Times" w:hAnsi="Times" w:cs="Times"/>
          <w:color w:val="000000"/>
          <w:sz w:val="24"/>
          <w:szCs w:val="24"/>
        </w:rPr>
        <w:t>States,  namely</w:t>
      </w:r>
      <w:proofErr w:type="gramEnd"/>
      <w:r>
        <w:rPr>
          <w:rFonts w:ascii="Times" w:eastAsia="Times" w:hAnsi="Times" w:cs="Times"/>
          <w:color w:val="000000"/>
          <w:sz w:val="24"/>
          <w:szCs w:val="24"/>
        </w:rPr>
        <w:t xml:space="preserve"> the Chord project in South Dakota and the Wray Mesa project in the southeast, both of which have </w:t>
      </w:r>
      <w:proofErr w:type="gramStart"/>
      <w:r>
        <w:rPr>
          <w:rFonts w:ascii="Times" w:eastAsia="Times" w:hAnsi="Times" w:cs="Times"/>
          <w:color w:val="000000"/>
          <w:sz w:val="24"/>
          <w:szCs w:val="24"/>
        </w:rPr>
        <w:t>seen  extensive</w:t>
      </w:r>
      <w:proofErr w:type="gramEnd"/>
      <w:r>
        <w:rPr>
          <w:rFonts w:ascii="Times" w:eastAsia="Times" w:hAnsi="Times" w:cs="Times"/>
          <w:color w:val="000000"/>
          <w:sz w:val="24"/>
          <w:szCs w:val="24"/>
        </w:rPr>
        <w:t xml:space="preserve"> historical exploration and are located in prospective development areas. The company also has </w:t>
      </w:r>
      <w:proofErr w:type="gramStart"/>
      <w:r>
        <w:rPr>
          <w:rFonts w:ascii="Times" w:eastAsia="Times" w:hAnsi="Times" w:cs="Times"/>
          <w:color w:val="000000"/>
          <w:sz w:val="24"/>
          <w:szCs w:val="24"/>
        </w:rPr>
        <w:t>the  Mann</w:t>
      </w:r>
      <w:proofErr w:type="gramEnd"/>
      <w:r>
        <w:rPr>
          <w:rFonts w:ascii="Times" w:eastAsia="Times" w:hAnsi="Times" w:cs="Times"/>
          <w:color w:val="000000"/>
          <w:sz w:val="24"/>
          <w:szCs w:val="24"/>
        </w:rPr>
        <w:t xml:space="preserve"> Lake uranium project, located in the world-class Athabasca basin of Northern Saskatchewan, Canada, </w:t>
      </w:r>
      <w:proofErr w:type="gramStart"/>
      <w:r>
        <w:rPr>
          <w:rFonts w:ascii="Times" w:eastAsia="Times" w:hAnsi="Times" w:cs="Times"/>
          <w:color w:val="000000"/>
          <w:sz w:val="24"/>
          <w:szCs w:val="24"/>
        </w:rPr>
        <w:t>in  addition</w:t>
      </w:r>
      <w:proofErr w:type="gramEnd"/>
      <w:r>
        <w:rPr>
          <w:rFonts w:ascii="Times" w:eastAsia="Times" w:hAnsi="Times" w:cs="Times"/>
          <w:color w:val="000000"/>
          <w:sz w:val="24"/>
          <w:szCs w:val="24"/>
        </w:rPr>
        <w:t xml:space="preserve"> to the CHG gold project in south-central British Columbia. </w:t>
      </w:r>
    </w:p>
    <w:p w14:paraId="294A82F0" w14:textId="77777777" w:rsidR="00816352" w:rsidRDefault="00000000">
      <w:pPr>
        <w:widowControl w:val="0"/>
        <w:pBdr>
          <w:top w:val="nil"/>
          <w:left w:val="nil"/>
          <w:bottom w:val="nil"/>
          <w:right w:val="nil"/>
          <w:between w:val="nil"/>
        </w:pBdr>
        <w:spacing w:before="246" w:line="433" w:lineRule="auto"/>
        <w:ind w:left="25" w:right="715" w:hanging="4"/>
        <w:rPr>
          <w:rFonts w:ascii="Times" w:eastAsia="Times" w:hAnsi="Times" w:cs="Times"/>
          <w:color w:val="000000"/>
          <w:sz w:val="24"/>
          <w:szCs w:val="24"/>
        </w:rPr>
      </w:pPr>
      <w:r>
        <w:rPr>
          <w:rFonts w:ascii="Times" w:eastAsia="Times" w:hAnsi="Times" w:cs="Times"/>
          <w:color w:val="000000"/>
          <w:sz w:val="24"/>
          <w:szCs w:val="24"/>
        </w:rPr>
        <w:t xml:space="preserve">For further information, please contact Mr. Mike Blady or view the Company’s filings at www.sedar.com. On Behalf of the Board of Directors </w:t>
      </w:r>
    </w:p>
    <w:p w14:paraId="2A8E075B" w14:textId="77777777" w:rsidR="00816352" w:rsidRDefault="00000000">
      <w:pPr>
        <w:widowControl w:val="0"/>
        <w:pBdr>
          <w:top w:val="nil"/>
          <w:left w:val="nil"/>
          <w:bottom w:val="nil"/>
          <w:right w:val="nil"/>
          <w:between w:val="nil"/>
        </w:pBdr>
        <w:spacing w:before="46" w:line="240" w:lineRule="auto"/>
        <w:ind w:left="20"/>
        <w:rPr>
          <w:rFonts w:ascii="Times" w:eastAsia="Times" w:hAnsi="Times" w:cs="Times"/>
          <w:color w:val="000000"/>
          <w:sz w:val="24"/>
          <w:szCs w:val="24"/>
        </w:rPr>
      </w:pPr>
      <w:r>
        <w:rPr>
          <w:rFonts w:ascii="Times" w:eastAsia="Times" w:hAnsi="Times" w:cs="Times"/>
          <w:color w:val="000000"/>
          <w:sz w:val="24"/>
          <w:szCs w:val="24"/>
        </w:rPr>
        <w:t xml:space="preserve">Mike Blady  </w:t>
      </w:r>
    </w:p>
    <w:p w14:paraId="25BD038E" w14:textId="77777777" w:rsidR="00816352" w:rsidRDefault="00000000">
      <w:pPr>
        <w:widowControl w:val="0"/>
        <w:pBdr>
          <w:top w:val="nil"/>
          <w:left w:val="nil"/>
          <w:bottom w:val="nil"/>
          <w:right w:val="nil"/>
          <w:between w:val="nil"/>
        </w:pBdr>
        <w:spacing w:line="240" w:lineRule="auto"/>
        <w:ind w:left="24"/>
        <w:rPr>
          <w:rFonts w:ascii="Times" w:eastAsia="Times" w:hAnsi="Times" w:cs="Times"/>
          <w:color w:val="000000"/>
          <w:sz w:val="24"/>
          <w:szCs w:val="24"/>
        </w:rPr>
      </w:pPr>
      <w:r>
        <w:rPr>
          <w:rFonts w:ascii="Times" w:eastAsia="Times" w:hAnsi="Times" w:cs="Times"/>
          <w:color w:val="000000"/>
          <w:sz w:val="24"/>
          <w:szCs w:val="24"/>
        </w:rPr>
        <w:t xml:space="preserve">Chief Executive Officer  </w:t>
      </w:r>
    </w:p>
    <w:p w14:paraId="5F3E1BBA" w14:textId="77777777" w:rsidR="00816352" w:rsidRDefault="00000000">
      <w:pPr>
        <w:widowControl w:val="0"/>
        <w:pBdr>
          <w:top w:val="nil"/>
          <w:left w:val="nil"/>
          <w:bottom w:val="nil"/>
          <w:right w:val="nil"/>
          <w:between w:val="nil"/>
        </w:pBdr>
        <w:spacing w:line="240" w:lineRule="auto"/>
        <w:ind w:left="23"/>
        <w:rPr>
          <w:rFonts w:ascii="Times" w:eastAsia="Times" w:hAnsi="Times" w:cs="Times"/>
          <w:color w:val="0000EE"/>
          <w:sz w:val="24"/>
          <w:szCs w:val="24"/>
          <w:u w:val="single"/>
        </w:rPr>
      </w:pPr>
      <w:r>
        <w:rPr>
          <w:rFonts w:ascii="Times" w:eastAsia="Times" w:hAnsi="Times" w:cs="Times"/>
          <w:color w:val="0000EE"/>
          <w:sz w:val="24"/>
          <w:szCs w:val="24"/>
          <w:u w:val="single"/>
        </w:rPr>
        <w:t xml:space="preserve">info@basinuranium.ca </w:t>
      </w:r>
    </w:p>
    <w:p w14:paraId="6CBA90CD" w14:textId="77777777" w:rsidR="00816352" w:rsidRDefault="00000000">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604-722-9842 </w:t>
      </w:r>
    </w:p>
    <w:p w14:paraId="4C51E755" w14:textId="77777777" w:rsidR="00816352" w:rsidRDefault="00000000">
      <w:pPr>
        <w:widowControl w:val="0"/>
        <w:pBdr>
          <w:top w:val="nil"/>
          <w:left w:val="nil"/>
          <w:bottom w:val="nil"/>
          <w:right w:val="nil"/>
          <w:between w:val="nil"/>
        </w:pBdr>
        <w:spacing w:before="239" w:line="233" w:lineRule="auto"/>
        <w:ind w:left="20" w:right="176" w:hanging="8"/>
        <w:rPr>
          <w:rFonts w:ascii="Times" w:eastAsia="Times" w:hAnsi="Times" w:cs="Times"/>
          <w:b/>
          <w:bCs/>
          <w:color w:val="000000"/>
          <w:sz w:val="24"/>
          <w:szCs w:val="24"/>
        </w:rPr>
      </w:pPr>
      <w:r>
        <w:rPr>
          <w:rFonts w:ascii="Times" w:eastAsia="Times" w:hAnsi="Times" w:cs="Times"/>
          <w:b/>
          <w:bCs/>
          <w:i/>
          <w:iCs/>
          <w:color w:val="000000"/>
          <w:sz w:val="24"/>
          <w:szCs w:val="24"/>
        </w:rPr>
        <w:t xml:space="preserve">Neither the Canadian Securities Exchange nor its regulation services provider accepts responsibility for </w:t>
      </w:r>
      <w:proofErr w:type="gramStart"/>
      <w:r>
        <w:rPr>
          <w:rFonts w:ascii="Times" w:eastAsia="Times" w:hAnsi="Times" w:cs="Times"/>
          <w:b/>
          <w:bCs/>
          <w:i/>
          <w:iCs/>
          <w:color w:val="000000"/>
          <w:sz w:val="24"/>
          <w:szCs w:val="24"/>
        </w:rPr>
        <w:t>the  adequacy</w:t>
      </w:r>
      <w:proofErr w:type="gramEnd"/>
      <w:r>
        <w:rPr>
          <w:rFonts w:ascii="Times" w:eastAsia="Times" w:hAnsi="Times" w:cs="Times"/>
          <w:b/>
          <w:bCs/>
          <w:i/>
          <w:iCs/>
          <w:color w:val="000000"/>
          <w:sz w:val="24"/>
          <w:szCs w:val="24"/>
        </w:rPr>
        <w:t xml:space="preserve"> or accuracy of this news release</w:t>
      </w:r>
      <w:r>
        <w:rPr>
          <w:rFonts w:ascii="Times" w:eastAsia="Times" w:hAnsi="Times" w:cs="Times"/>
          <w:b/>
          <w:bCs/>
          <w:color w:val="000000"/>
          <w:sz w:val="24"/>
          <w:szCs w:val="24"/>
        </w:rPr>
        <w:t xml:space="preserve">. </w:t>
      </w:r>
    </w:p>
    <w:p w14:paraId="7D248037" w14:textId="77777777" w:rsidR="00816352" w:rsidRDefault="00000000">
      <w:pPr>
        <w:widowControl w:val="0"/>
        <w:pBdr>
          <w:top w:val="nil"/>
          <w:left w:val="nil"/>
          <w:bottom w:val="nil"/>
          <w:right w:val="nil"/>
          <w:between w:val="nil"/>
        </w:pBdr>
        <w:spacing w:before="246" w:line="240" w:lineRule="auto"/>
        <w:ind w:left="22"/>
        <w:rPr>
          <w:rFonts w:ascii="Times" w:eastAsia="Times" w:hAnsi="Times" w:cs="Times"/>
          <w:b/>
          <w:bCs/>
          <w:color w:val="000000"/>
          <w:sz w:val="24"/>
          <w:szCs w:val="24"/>
        </w:rPr>
      </w:pPr>
      <w:r>
        <w:rPr>
          <w:rFonts w:ascii="Times" w:eastAsia="Times" w:hAnsi="Times" w:cs="Times"/>
          <w:b/>
          <w:bCs/>
          <w:color w:val="000000"/>
          <w:sz w:val="24"/>
          <w:szCs w:val="24"/>
        </w:rPr>
        <w:t xml:space="preserve">FORWARD-LOOKING STATEMENTS: </w:t>
      </w:r>
    </w:p>
    <w:p w14:paraId="7C57C419" w14:textId="77777777" w:rsidR="00816352" w:rsidRDefault="00000000">
      <w:pPr>
        <w:widowControl w:val="0"/>
        <w:pBdr>
          <w:top w:val="nil"/>
          <w:left w:val="nil"/>
          <w:bottom w:val="nil"/>
          <w:right w:val="nil"/>
          <w:between w:val="nil"/>
        </w:pBdr>
        <w:spacing w:before="239" w:line="233" w:lineRule="auto"/>
        <w:ind w:left="22" w:right="324" w:firstLine="8"/>
        <w:rPr>
          <w:rFonts w:ascii="Times" w:eastAsia="Times" w:hAnsi="Times" w:cs="Times"/>
          <w:i/>
          <w:iCs/>
          <w:color w:val="000000"/>
          <w:sz w:val="24"/>
          <w:szCs w:val="24"/>
        </w:rPr>
      </w:pPr>
      <w:r>
        <w:rPr>
          <w:rFonts w:ascii="Times" w:eastAsia="Times" w:hAnsi="Times" w:cs="Times"/>
          <w:i/>
          <w:iCs/>
          <w:color w:val="000000"/>
          <w:sz w:val="24"/>
          <w:szCs w:val="24"/>
        </w:rPr>
        <w:t xml:space="preserve">Cautionary Note Regarding Forward-Looking Statements: This news release includes certain statements </w:t>
      </w:r>
      <w:proofErr w:type="gramStart"/>
      <w:r>
        <w:rPr>
          <w:rFonts w:ascii="Times" w:eastAsia="Times" w:hAnsi="Times" w:cs="Times"/>
          <w:i/>
          <w:iCs/>
          <w:color w:val="000000"/>
          <w:sz w:val="24"/>
          <w:szCs w:val="24"/>
        </w:rPr>
        <w:t>and  information</w:t>
      </w:r>
      <w:proofErr w:type="gramEnd"/>
      <w:r>
        <w:rPr>
          <w:rFonts w:ascii="Times" w:eastAsia="Times" w:hAnsi="Times" w:cs="Times"/>
          <w:i/>
          <w:iCs/>
          <w:color w:val="000000"/>
          <w:sz w:val="24"/>
          <w:szCs w:val="24"/>
        </w:rPr>
        <w:t xml:space="preserve"> that may constitute forward-looking information within the meaning of applicable </w:t>
      </w:r>
      <w:proofErr w:type="gramStart"/>
      <w:r>
        <w:rPr>
          <w:rFonts w:ascii="Times" w:eastAsia="Times" w:hAnsi="Times" w:cs="Times"/>
          <w:i/>
          <w:iCs/>
          <w:color w:val="000000"/>
          <w:sz w:val="24"/>
          <w:szCs w:val="24"/>
        </w:rPr>
        <w:t>Canadian  securities</w:t>
      </w:r>
      <w:proofErr w:type="gramEnd"/>
      <w:r>
        <w:rPr>
          <w:rFonts w:ascii="Times" w:eastAsia="Times" w:hAnsi="Times" w:cs="Times"/>
          <w:i/>
          <w:iCs/>
          <w:color w:val="000000"/>
          <w:sz w:val="24"/>
          <w:szCs w:val="24"/>
        </w:rPr>
        <w:t xml:space="preserve"> laws. All statements in this news release, other than statements of historical facts, including </w:t>
      </w:r>
    </w:p>
    <w:p w14:paraId="4E0AF8AE" w14:textId="77777777" w:rsidR="00816352" w:rsidRDefault="00000000">
      <w:pPr>
        <w:widowControl w:val="0"/>
        <w:pBdr>
          <w:top w:val="nil"/>
          <w:left w:val="nil"/>
          <w:bottom w:val="nil"/>
          <w:right w:val="nil"/>
          <w:between w:val="nil"/>
        </w:pBdr>
        <w:spacing w:line="240" w:lineRule="auto"/>
        <w:ind w:left="31"/>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https://basinuranium.ca/basin-uranium-significantly-increases-the-size-of-its-flagship-chord-uranium-project/ </w:t>
      </w:r>
    </w:p>
    <w:p w14:paraId="15F2FFF5" w14:textId="77777777" w:rsidR="00816352" w:rsidRDefault="00000000">
      <w:pPr>
        <w:widowControl w:val="0"/>
        <w:pBdr>
          <w:top w:val="nil"/>
          <w:left w:val="nil"/>
          <w:bottom w:val="nil"/>
          <w:right w:val="nil"/>
          <w:between w:val="nil"/>
        </w:pBdr>
        <w:spacing w:before="114" w:line="233" w:lineRule="auto"/>
        <w:ind w:right="79" w:firstLine="22"/>
        <w:rPr>
          <w:rFonts w:ascii="Times" w:eastAsia="Times" w:hAnsi="Times" w:cs="Times"/>
          <w:i/>
          <w:iCs/>
          <w:color w:val="000000"/>
          <w:sz w:val="24"/>
          <w:szCs w:val="24"/>
        </w:rPr>
      </w:pPr>
      <w:r>
        <w:rPr>
          <w:rFonts w:ascii="Times" w:eastAsia="Times" w:hAnsi="Times" w:cs="Times"/>
          <w:i/>
          <w:iCs/>
          <w:color w:val="000000"/>
          <w:sz w:val="24"/>
          <w:szCs w:val="24"/>
        </w:rPr>
        <w:lastRenderedPageBreak/>
        <w:t xml:space="preserve">statements regarding future estimates, plans, objectives, timing, assumptions or expectations of </w:t>
      </w:r>
      <w:proofErr w:type="gramStart"/>
      <w:r>
        <w:rPr>
          <w:rFonts w:ascii="Times" w:eastAsia="Times" w:hAnsi="Times" w:cs="Times"/>
          <w:i/>
          <w:iCs/>
          <w:color w:val="000000"/>
          <w:sz w:val="24"/>
          <w:szCs w:val="24"/>
        </w:rPr>
        <w:t>future  performance</w:t>
      </w:r>
      <w:proofErr w:type="gramEnd"/>
      <w:r>
        <w:rPr>
          <w:rFonts w:ascii="Times" w:eastAsia="Times" w:hAnsi="Times" w:cs="Times"/>
          <w:i/>
          <w:iCs/>
          <w:color w:val="000000"/>
          <w:sz w:val="24"/>
          <w:szCs w:val="24"/>
        </w:rPr>
        <w:t xml:space="preserve"> are forward-looking statements and contain forward-looking information. Generally, forward looking statements and information can be identified by the use of forward-looking terminology such </w:t>
      </w:r>
      <w:proofErr w:type="gramStart"/>
      <w:r>
        <w:rPr>
          <w:rFonts w:ascii="Times" w:eastAsia="Times" w:hAnsi="Times" w:cs="Times"/>
          <w:i/>
          <w:iCs/>
          <w:color w:val="000000"/>
          <w:sz w:val="24"/>
          <w:szCs w:val="24"/>
        </w:rPr>
        <w:t>as  “</w:t>
      </w:r>
      <w:proofErr w:type="gramEnd"/>
      <w:r>
        <w:rPr>
          <w:rFonts w:ascii="Times" w:eastAsia="Times" w:hAnsi="Times" w:cs="Times"/>
          <w:i/>
          <w:iCs/>
          <w:color w:val="000000"/>
          <w:sz w:val="24"/>
          <w:szCs w:val="24"/>
        </w:rPr>
        <w:t xml:space="preserve">intends” or “anticipates”, or variations of such words and phrases or statements that certain actions, </w:t>
      </w:r>
      <w:proofErr w:type="gramStart"/>
      <w:r>
        <w:rPr>
          <w:rFonts w:ascii="Times" w:eastAsia="Times" w:hAnsi="Times" w:cs="Times"/>
          <w:i/>
          <w:iCs/>
          <w:color w:val="000000"/>
          <w:sz w:val="24"/>
          <w:szCs w:val="24"/>
        </w:rPr>
        <w:t>events  or</w:t>
      </w:r>
      <w:proofErr w:type="gramEnd"/>
      <w:r>
        <w:rPr>
          <w:rFonts w:ascii="Times" w:eastAsia="Times" w:hAnsi="Times" w:cs="Times"/>
          <w:i/>
          <w:iCs/>
          <w:color w:val="000000"/>
          <w:sz w:val="24"/>
          <w:szCs w:val="24"/>
        </w:rPr>
        <w:t xml:space="preserve"> results “may”, “could”, “should”, “would” or “occur”. Forward-looking statements are based on </w:t>
      </w:r>
      <w:proofErr w:type="gramStart"/>
      <w:r>
        <w:rPr>
          <w:rFonts w:ascii="Times" w:eastAsia="Times" w:hAnsi="Times" w:cs="Times"/>
          <w:i/>
          <w:iCs/>
          <w:color w:val="000000"/>
          <w:sz w:val="24"/>
          <w:szCs w:val="24"/>
        </w:rPr>
        <w:t>certain  material</w:t>
      </w:r>
      <w:proofErr w:type="gramEnd"/>
      <w:r>
        <w:rPr>
          <w:rFonts w:ascii="Times" w:eastAsia="Times" w:hAnsi="Times" w:cs="Times"/>
          <w:i/>
          <w:iCs/>
          <w:color w:val="000000"/>
          <w:sz w:val="24"/>
          <w:szCs w:val="24"/>
        </w:rPr>
        <w:t xml:space="preserve"> assumptions and analysis made by the Company and the opinions and estimates of management as </w:t>
      </w:r>
      <w:proofErr w:type="gramStart"/>
      <w:r>
        <w:rPr>
          <w:rFonts w:ascii="Times" w:eastAsia="Times" w:hAnsi="Times" w:cs="Times"/>
          <w:i/>
          <w:iCs/>
          <w:color w:val="000000"/>
          <w:sz w:val="24"/>
          <w:szCs w:val="24"/>
        </w:rPr>
        <w:t>of  the</w:t>
      </w:r>
      <w:proofErr w:type="gramEnd"/>
      <w:r>
        <w:rPr>
          <w:rFonts w:ascii="Times" w:eastAsia="Times" w:hAnsi="Times" w:cs="Times"/>
          <w:i/>
          <w:iCs/>
          <w:color w:val="000000"/>
          <w:sz w:val="24"/>
          <w:szCs w:val="24"/>
        </w:rPr>
        <w:t xml:space="preserve"> date of this news release. These forward-looking statements are subject to known and unknown </w:t>
      </w:r>
      <w:proofErr w:type="gramStart"/>
      <w:r>
        <w:rPr>
          <w:rFonts w:ascii="Times" w:eastAsia="Times" w:hAnsi="Times" w:cs="Times"/>
          <w:i/>
          <w:iCs/>
          <w:color w:val="000000"/>
          <w:sz w:val="24"/>
          <w:szCs w:val="24"/>
        </w:rPr>
        <w:t>risks,  uncertainties</w:t>
      </w:r>
      <w:proofErr w:type="gramEnd"/>
      <w:r>
        <w:rPr>
          <w:rFonts w:ascii="Times" w:eastAsia="Times" w:hAnsi="Times" w:cs="Times"/>
          <w:i/>
          <w:iCs/>
          <w:color w:val="000000"/>
          <w:sz w:val="24"/>
          <w:szCs w:val="24"/>
        </w:rPr>
        <w:t xml:space="preserve"> and other factors that may cause the actual results, level of activity, performance or </w:t>
      </w:r>
      <w:proofErr w:type="gramStart"/>
      <w:r>
        <w:rPr>
          <w:rFonts w:ascii="Times" w:eastAsia="Times" w:hAnsi="Times" w:cs="Times"/>
          <w:i/>
          <w:iCs/>
          <w:color w:val="000000"/>
          <w:sz w:val="24"/>
          <w:szCs w:val="24"/>
        </w:rPr>
        <w:t>achievements  of</w:t>
      </w:r>
      <w:proofErr w:type="gramEnd"/>
      <w:r>
        <w:rPr>
          <w:rFonts w:ascii="Times" w:eastAsia="Times" w:hAnsi="Times" w:cs="Times"/>
          <w:i/>
          <w:iCs/>
          <w:color w:val="000000"/>
          <w:sz w:val="24"/>
          <w:szCs w:val="24"/>
        </w:rPr>
        <w:t xml:space="preserve"> the Company to be materially different from those expressed or implied by such forward-looking </w:t>
      </w:r>
      <w:proofErr w:type="gramStart"/>
      <w:r>
        <w:rPr>
          <w:rFonts w:ascii="Times" w:eastAsia="Times" w:hAnsi="Times" w:cs="Times"/>
          <w:i/>
          <w:iCs/>
          <w:color w:val="000000"/>
          <w:sz w:val="24"/>
          <w:szCs w:val="24"/>
        </w:rPr>
        <w:t>statements  or</w:t>
      </w:r>
      <w:proofErr w:type="gramEnd"/>
      <w:r>
        <w:rPr>
          <w:rFonts w:ascii="Times" w:eastAsia="Times" w:hAnsi="Times" w:cs="Times"/>
          <w:i/>
          <w:iCs/>
          <w:color w:val="000000"/>
          <w:sz w:val="24"/>
          <w:szCs w:val="24"/>
        </w:rPr>
        <w:t xml:space="preserve"> forward-looking information. Important factors that may cause actual results to vary include, </w:t>
      </w:r>
      <w:proofErr w:type="gramStart"/>
      <w:r>
        <w:rPr>
          <w:rFonts w:ascii="Times" w:eastAsia="Times" w:hAnsi="Times" w:cs="Times"/>
          <w:i/>
          <w:iCs/>
          <w:color w:val="000000"/>
          <w:sz w:val="24"/>
          <w:szCs w:val="24"/>
        </w:rPr>
        <w:t>without  limitation</w:t>
      </w:r>
      <w:proofErr w:type="gramEnd"/>
      <w:r>
        <w:rPr>
          <w:rFonts w:ascii="Times" w:eastAsia="Times" w:hAnsi="Times" w:cs="Times"/>
          <w:i/>
          <w:iCs/>
          <w:color w:val="000000"/>
          <w:sz w:val="24"/>
          <w:szCs w:val="24"/>
        </w:rPr>
        <w:t xml:space="preserve">, uncertainties affecting the expected use of proceeds. Although management of the Company </w:t>
      </w:r>
      <w:proofErr w:type="gramStart"/>
      <w:r>
        <w:rPr>
          <w:rFonts w:ascii="Times" w:eastAsia="Times" w:hAnsi="Times" w:cs="Times"/>
          <w:i/>
          <w:iCs/>
          <w:color w:val="000000"/>
          <w:sz w:val="24"/>
          <w:szCs w:val="24"/>
        </w:rPr>
        <w:t>has  attempted</w:t>
      </w:r>
      <w:proofErr w:type="gramEnd"/>
      <w:r>
        <w:rPr>
          <w:rFonts w:ascii="Times" w:eastAsia="Times" w:hAnsi="Times" w:cs="Times"/>
          <w:i/>
          <w:iCs/>
          <w:color w:val="000000"/>
          <w:sz w:val="24"/>
          <w:szCs w:val="24"/>
        </w:rPr>
        <w:t xml:space="preserve"> to identify important factors that could cause actual results to differ materially from those </w:t>
      </w:r>
      <w:proofErr w:type="gramStart"/>
      <w:r>
        <w:rPr>
          <w:rFonts w:ascii="Times" w:eastAsia="Times" w:hAnsi="Times" w:cs="Times"/>
          <w:i/>
          <w:iCs/>
          <w:color w:val="000000"/>
          <w:sz w:val="24"/>
          <w:szCs w:val="24"/>
        </w:rPr>
        <w:t>contained  in</w:t>
      </w:r>
      <w:proofErr w:type="gramEnd"/>
      <w:r>
        <w:rPr>
          <w:rFonts w:ascii="Times" w:eastAsia="Times" w:hAnsi="Times" w:cs="Times"/>
          <w:i/>
          <w:iCs/>
          <w:color w:val="000000"/>
          <w:sz w:val="24"/>
          <w:szCs w:val="24"/>
        </w:rPr>
        <w:t xml:space="preserve"> forward-looking statements or forward-looking information, there may be other factors that cause results </w:t>
      </w:r>
      <w:proofErr w:type="gramStart"/>
      <w:r>
        <w:rPr>
          <w:rFonts w:ascii="Times" w:eastAsia="Times" w:hAnsi="Times" w:cs="Times"/>
          <w:i/>
          <w:iCs/>
          <w:color w:val="000000"/>
          <w:sz w:val="24"/>
          <w:szCs w:val="24"/>
        </w:rPr>
        <w:t>not  to</w:t>
      </w:r>
      <w:proofErr w:type="gramEnd"/>
      <w:r>
        <w:rPr>
          <w:rFonts w:ascii="Times" w:eastAsia="Times" w:hAnsi="Times" w:cs="Times"/>
          <w:i/>
          <w:iCs/>
          <w:color w:val="000000"/>
          <w:sz w:val="24"/>
          <w:szCs w:val="24"/>
        </w:rPr>
        <w:t xml:space="preserve"> be as anticipated, estimated or intended. There can be no assurance that such statements will prove to </w:t>
      </w:r>
      <w:proofErr w:type="gramStart"/>
      <w:r>
        <w:rPr>
          <w:rFonts w:ascii="Times" w:eastAsia="Times" w:hAnsi="Times" w:cs="Times"/>
          <w:i/>
          <w:iCs/>
          <w:color w:val="000000"/>
          <w:sz w:val="24"/>
          <w:szCs w:val="24"/>
        </w:rPr>
        <w:t>be  accurate</w:t>
      </w:r>
      <w:proofErr w:type="gramEnd"/>
      <w:r>
        <w:rPr>
          <w:rFonts w:ascii="Times" w:eastAsia="Times" w:hAnsi="Times" w:cs="Times"/>
          <w:i/>
          <w:iCs/>
          <w:color w:val="000000"/>
          <w:sz w:val="24"/>
          <w:szCs w:val="24"/>
        </w:rPr>
        <w:t>, as actual results and future events could differ materially from those anticipated in such statements.  Accordingly, readers should not place undue reliance on forward-looking statements and forward-</w:t>
      </w:r>
      <w:proofErr w:type="gramStart"/>
      <w:r>
        <w:rPr>
          <w:rFonts w:ascii="Times" w:eastAsia="Times" w:hAnsi="Times" w:cs="Times"/>
          <w:i/>
          <w:iCs/>
          <w:color w:val="000000"/>
          <w:sz w:val="24"/>
          <w:szCs w:val="24"/>
        </w:rPr>
        <w:t>looking  information</w:t>
      </w:r>
      <w:proofErr w:type="gramEnd"/>
      <w:r>
        <w:rPr>
          <w:rFonts w:ascii="Times" w:eastAsia="Times" w:hAnsi="Times" w:cs="Times"/>
          <w:i/>
          <w:iCs/>
          <w:color w:val="000000"/>
          <w:sz w:val="24"/>
          <w:szCs w:val="24"/>
        </w:rPr>
        <w:t xml:space="preserve">. Readers are cautioned that reliance on such information may not be appropriate for </w:t>
      </w:r>
      <w:proofErr w:type="gramStart"/>
      <w:r>
        <w:rPr>
          <w:rFonts w:ascii="Times" w:eastAsia="Times" w:hAnsi="Times" w:cs="Times"/>
          <w:i/>
          <w:iCs/>
          <w:color w:val="000000"/>
          <w:sz w:val="24"/>
          <w:szCs w:val="24"/>
        </w:rPr>
        <w:t>other  purposes</w:t>
      </w:r>
      <w:proofErr w:type="gramEnd"/>
      <w:r>
        <w:rPr>
          <w:rFonts w:ascii="Times" w:eastAsia="Times" w:hAnsi="Times" w:cs="Times"/>
          <w:i/>
          <w:iCs/>
          <w:color w:val="000000"/>
          <w:sz w:val="24"/>
          <w:szCs w:val="24"/>
        </w:rPr>
        <w:t>. The Company does not undertake to update any forward-looking statement, forward-</w:t>
      </w:r>
      <w:proofErr w:type="gramStart"/>
      <w:r>
        <w:rPr>
          <w:rFonts w:ascii="Times" w:eastAsia="Times" w:hAnsi="Times" w:cs="Times"/>
          <w:i/>
          <w:iCs/>
          <w:color w:val="000000"/>
          <w:sz w:val="24"/>
          <w:szCs w:val="24"/>
        </w:rPr>
        <w:t>looking  information</w:t>
      </w:r>
      <w:proofErr w:type="gramEnd"/>
      <w:r>
        <w:rPr>
          <w:rFonts w:ascii="Times" w:eastAsia="Times" w:hAnsi="Times" w:cs="Times"/>
          <w:i/>
          <w:iCs/>
          <w:color w:val="000000"/>
          <w:sz w:val="24"/>
          <w:szCs w:val="24"/>
        </w:rPr>
        <w:t xml:space="preserve"> or financial out-look that are incorporated by reference herein, except in accordance </w:t>
      </w:r>
      <w:proofErr w:type="gramStart"/>
      <w:r>
        <w:rPr>
          <w:rFonts w:ascii="Times" w:eastAsia="Times" w:hAnsi="Times" w:cs="Times"/>
          <w:i/>
          <w:iCs/>
          <w:color w:val="000000"/>
          <w:sz w:val="24"/>
          <w:szCs w:val="24"/>
        </w:rPr>
        <w:t>with  applicable</w:t>
      </w:r>
      <w:proofErr w:type="gramEnd"/>
      <w:r>
        <w:rPr>
          <w:rFonts w:ascii="Times" w:eastAsia="Times" w:hAnsi="Times" w:cs="Times"/>
          <w:i/>
          <w:iCs/>
          <w:color w:val="000000"/>
          <w:sz w:val="24"/>
          <w:szCs w:val="24"/>
        </w:rPr>
        <w:t xml:space="preserve"> securities laws.</w:t>
      </w:r>
    </w:p>
    <w:sectPr w:rsidR="00816352">
      <w:pgSz w:w="12240" w:h="15840"/>
      <w:pgMar w:top="711" w:right="663" w:bottom="1300" w:left="70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DB4933F0-257C-4A94-8E61-C5A011A6D662}"/>
  </w:font>
  <w:font w:name="Times">
    <w:panose1 w:val="02020603050405020304"/>
    <w:charset w:val="00"/>
    <w:family w:val="roman"/>
    <w:pitch w:val="variable"/>
    <w:sig w:usb0="E0002EFF" w:usb1="C000785B" w:usb2="00000009" w:usb3="00000000" w:csb0="000001FF" w:csb1="00000000"/>
    <w:embedRegular r:id="rId2" w:fontKey="{13DCB6CD-77FD-4C95-9BAF-9993910423EF}"/>
    <w:embedBold r:id="rId3" w:fontKey="{FAF98436-5C8F-4119-954C-ACEB821EE0C8}"/>
    <w:embedItalic r:id="rId4" w:fontKey="{F6CC970D-86FC-4B19-9C58-4829944B6AD9}"/>
    <w:embedBoldItalic r:id="rId5" w:fontKey="{6C5F5AE0-6CC1-43AC-A2F1-C01677A9E4D2}"/>
  </w:font>
  <w:font w:name="Helvetica Neue">
    <w:charset w:val="00"/>
    <w:family w:val="auto"/>
    <w:pitch w:val="default"/>
    <w:embedRegular r:id="rId6" w:fontKey="{6165F5EF-ED04-4913-9AE7-359E97C32AB8}"/>
  </w:font>
  <w:font w:name="Calibri">
    <w:panose1 w:val="020F0502020204030204"/>
    <w:charset w:val="00"/>
    <w:family w:val="swiss"/>
    <w:pitch w:val="variable"/>
    <w:sig w:usb0="E4002EFF" w:usb1="C200247B" w:usb2="00000009" w:usb3="00000000" w:csb0="000001FF" w:csb1="00000000"/>
    <w:embedRegular r:id="rId7" w:fontKey="{61F991A2-0515-4D81-89E9-53E1AB9177C6}"/>
  </w:font>
  <w:font w:name="Cambria">
    <w:panose1 w:val="02040503050406030204"/>
    <w:charset w:val="00"/>
    <w:family w:val="roman"/>
    <w:pitch w:val="variable"/>
    <w:sig w:usb0="E00006FF" w:usb1="420024FF" w:usb2="02000000" w:usb3="00000000" w:csb0="0000019F" w:csb1="00000000"/>
    <w:embedRegular r:id="rId8" w:fontKey="{5DEF5F70-C80B-4945-AB3E-F2F03133E01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352"/>
    <w:rsid w:val="00816352"/>
    <w:rsid w:val="00D833D9"/>
    <w:rsid w:val="00EE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70C2A"/>
  <w15:docId w15:val="{EFC49D55-693B-4C8D-ABD1-11EF0300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Lilias</dc:creator>
  <cp:lastModifiedBy>Lilias Jarding</cp:lastModifiedBy>
  <cp:revision>2</cp:revision>
  <dcterms:created xsi:type="dcterms:W3CDTF">2025-11-28T18:51:00Z</dcterms:created>
  <dcterms:modified xsi:type="dcterms:W3CDTF">2025-11-28T18:51:00Z</dcterms:modified>
</cp:coreProperties>
</file>