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2B6902" w14:textId="4031A7CA" w:rsidR="0004457B" w:rsidRDefault="00C05203">
      <w:r>
        <w:t>Allowing any</w:t>
      </w:r>
      <w:r w:rsidR="00617A56">
        <w:t xml:space="preserve"> uranium mining in Fall River County would jeopardize the health of the residents and visitors. </w:t>
      </w:r>
      <w:r w:rsidR="00F479CB">
        <w:t>H</w:t>
      </w:r>
      <w:r w:rsidR="00617A56">
        <w:t xml:space="preserve">ealth risks include lung, bone, </w:t>
      </w:r>
      <w:r w:rsidR="00EB5E6F">
        <w:t xml:space="preserve">stomach, </w:t>
      </w:r>
      <w:r w:rsidR="00617A56">
        <w:t>and other types of cancers</w:t>
      </w:r>
      <w:r>
        <w:t>, as well as non-cancerous respiratory diseases</w:t>
      </w:r>
      <w:r w:rsidR="00617A56">
        <w:t>.</w:t>
      </w:r>
      <w:r w:rsidR="00617A56" w:rsidRPr="00EB5E6F">
        <w:rPr>
          <w:vertAlign w:val="superscript"/>
        </w:rPr>
        <w:t>1</w:t>
      </w:r>
      <w:r w:rsidR="00617A56">
        <w:t xml:space="preserve"> In </w:t>
      </w:r>
      <w:r w:rsidR="00413455">
        <w:t>addition</w:t>
      </w:r>
      <w:r w:rsidR="00617A56">
        <w:t xml:space="preserve"> to occupational exposures during the mining process, risks </w:t>
      </w:r>
      <w:r w:rsidR="00413455">
        <w:t xml:space="preserve">extend to the general public </w:t>
      </w:r>
      <w:r w:rsidR="009F672B">
        <w:t xml:space="preserve">via contamination of the drinking water and air </w:t>
      </w:r>
      <w:r w:rsidR="00A842F0">
        <w:t>with</w:t>
      </w:r>
      <w:r w:rsidR="009F672B">
        <w:t xml:space="preserve"> radioactive and other </w:t>
      </w:r>
      <w:r w:rsidR="00A842F0">
        <w:t xml:space="preserve">carcinogenic and teratogenic </w:t>
      </w:r>
      <w:r w:rsidR="009F672B">
        <w:t>chemical</w:t>
      </w:r>
      <w:r w:rsidR="00A842F0">
        <w:t>s</w:t>
      </w:r>
      <w:r w:rsidR="00413455">
        <w:t>.</w:t>
      </w:r>
    </w:p>
    <w:p w14:paraId="39ECC7E1" w14:textId="79A58F09" w:rsidR="00E879DC" w:rsidRDefault="00E879DC">
      <w:r>
        <w:t>The scientific literature has well-documented the health risks of uranium mining. A short summary is provided here:</w:t>
      </w:r>
    </w:p>
    <w:p w14:paraId="0049620E" w14:textId="4A4C1E43" w:rsidR="00E879DC" w:rsidRDefault="00E879DC" w:rsidP="00195D23">
      <w:pPr>
        <w:ind w:left="720"/>
      </w:pPr>
      <w:r>
        <w:t>“</w:t>
      </w:r>
      <w:r w:rsidRPr="00E879DC">
        <w:t>In addition to </w:t>
      </w:r>
      <w:r w:rsidRPr="00E879DC">
        <w:rPr>
          <w:vertAlign w:val="superscript"/>
        </w:rPr>
        <w:t>238</w:t>
      </w:r>
      <w:r w:rsidRPr="00E879DC">
        <w:t>U, the radionuclides of greatest health concern in this decay series are uranium-234 (</w:t>
      </w:r>
      <w:r w:rsidRPr="00E879DC">
        <w:rPr>
          <w:vertAlign w:val="superscript"/>
        </w:rPr>
        <w:t>234</w:t>
      </w:r>
      <w:r w:rsidRPr="00E879DC">
        <w:t>U) with a 240,000-year half-life, thorium-230 (</w:t>
      </w:r>
      <w:r w:rsidRPr="00E879DC">
        <w:rPr>
          <w:vertAlign w:val="superscript"/>
        </w:rPr>
        <w:t>230</w:t>
      </w:r>
      <w:r w:rsidRPr="00E879DC">
        <w:t>Th) with its 77,000-year half-life, radium-226 (</w:t>
      </w:r>
      <w:r w:rsidRPr="00E879DC">
        <w:rPr>
          <w:vertAlign w:val="superscript"/>
        </w:rPr>
        <w:t>226</w:t>
      </w:r>
      <w:r w:rsidRPr="00E879DC">
        <w:t>Ra) with a 1,600-year half-life, and the short-lived radon-222 (</w:t>
      </w:r>
      <w:r w:rsidRPr="00E879DC">
        <w:rPr>
          <w:vertAlign w:val="superscript"/>
        </w:rPr>
        <w:t>222</w:t>
      </w:r>
      <w:r w:rsidRPr="00E879DC">
        <w:t>Rn) decay products—polonium-218 (</w:t>
      </w:r>
      <w:r w:rsidRPr="00E879DC">
        <w:rPr>
          <w:vertAlign w:val="superscript"/>
        </w:rPr>
        <w:t>218</w:t>
      </w:r>
      <w:r w:rsidRPr="00E879DC">
        <w:t>Po), polonium-214 (</w:t>
      </w:r>
      <w:r w:rsidRPr="00E879DC">
        <w:rPr>
          <w:vertAlign w:val="superscript"/>
        </w:rPr>
        <w:t>214</w:t>
      </w:r>
      <w:r w:rsidRPr="00E879DC">
        <w:t>Po), and polonium-210 (</w:t>
      </w:r>
      <w:r w:rsidRPr="00E879DC">
        <w:rPr>
          <w:vertAlign w:val="superscript"/>
        </w:rPr>
        <w:t>210</w:t>
      </w:r>
      <w:r w:rsidRPr="00E879DC">
        <w:t>Po). In modern uranium processing facilities, over 97 percent of the uranium in the ore can be extracted. However, other radionuclides with potential adverse health effects, including </w:t>
      </w:r>
      <w:r w:rsidRPr="00E879DC">
        <w:rPr>
          <w:vertAlign w:val="superscript"/>
        </w:rPr>
        <w:t>230</w:t>
      </w:r>
      <w:r w:rsidRPr="00E879DC">
        <w:t>Th, </w:t>
      </w:r>
      <w:r w:rsidRPr="00E879DC">
        <w:rPr>
          <w:vertAlign w:val="superscript"/>
        </w:rPr>
        <w:t>226</w:t>
      </w:r>
      <w:r w:rsidRPr="00E879DC">
        <w:t>Ra, </w:t>
      </w:r>
      <w:r w:rsidRPr="00E879DC">
        <w:rPr>
          <w:vertAlign w:val="superscript"/>
        </w:rPr>
        <w:t>222</w:t>
      </w:r>
      <w:r w:rsidRPr="00E879DC">
        <w:t>Rn, and </w:t>
      </w:r>
      <w:r w:rsidRPr="00E879DC">
        <w:rPr>
          <w:vertAlign w:val="superscript"/>
        </w:rPr>
        <w:t>210</w:t>
      </w:r>
      <w:r w:rsidRPr="00E879DC">
        <w:t>Po, and their decay products, remain in the tailings and other waste materials generated by the extraction. In fact, about 85 percent of the original radioactivity in the ore remains after the uranium is extracted. Of particular note, the 77,000-year radioactive half-life of </w:t>
      </w:r>
      <w:r w:rsidRPr="00E879DC">
        <w:rPr>
          <w:vertAlign w:val="superscript"/>
        </w:rPr>
        <w:t>230</w:t>
      </w:r>
      <w:r w:rsidRPr="00E879DC">
        <w:t>Th provides a constant source of </w:t>
      </w:r>
      <w:r w:rsidRPr="00E879DC">
        <w:rPr>
          <w:vertAlign w:val="superscript"/>
        </w:rPr>
        <w:t>226</w:t>
      </w:r>
      <w:r w:rsidRPr="00E879DC">
        <w:t>Ra. Both radionuclides (</w:t>
      </w:r>
      <w:r w:rsidRPr="00E879DC">
        <w:rPr>
          <w:vertAlign w:val="superscript"/>
        </w:rPr>
        <w:t>230</w:t>
      </w:r>
      <w:r w:rsidRPr="00E879DC">
        <w:t>Th and </w:t>
      </w:r>
      <w:r w:rsidRPr="00E879DC">
        <w:rPr>
          <w:vertAlign w:val="superscript"/>
        </w:rPr>
        <w:t>226</w:t>
      </w:r>
      <w:r w:rsidRPr="00E879DC">
        <w:t>Ra) are common components of leached materials and airborne dusts from uranium ore tailings and waste piles, and </w:t>
      </w:r>
      <w:r w:rsidRPr="00E879DC">
        <w:rPr>
          <w:vertAlign w:val="superscript"/>
        </w:rPr>
        <w:t>230</w:t>
      </w:r>
      <w:r w:rsidRPr="00E879DC">
        <w:t>Th and </w:t>
      </w:r>
      <w:r w:rsidRPr="00E879DC">
        <w:rPr>
          <w:vertAlign w:val="superscript"/>
        </w:rPr>
        <w:t>226</w:t>
      </w:r>
      <w:r w:rsidRPr="00E879DC">
        <w:t>Ra can pose a health hazard if inhaled or ingested. Radium-226 and its decay products present both an alpha (e.g., internal exposure hazard) and a gamma (e.g., external exposure hazard from the decay products bismuth-214 and lead-214) radiation hazard to miners as well as to uranium processors.</w:t>
      </w:r>
      <w:r>
        <w:t>”</w:t>
      </w:r>
      <w:r w:rsidR="00494A09" w:rsidRPr="00494A09">
        <w:rPr>
          <w:vertAlign w:val="superscript"/>
        </w:rPr>
        <w:t xml:space="preserve"> </w:t>
      </w:r>
      <w:r w:rsidR="00494A09" w:rsidRPr="00EB5E6F">
        <w:rPr>
          <w:vertAlign w:val="superscript"/>
        </w:rPr>
        <w:t>1</w:t>
      </w:r>
    </w:p>
    <w:p w14:paraId="2C27BAB0" w14:textId="7966E13C" w:rsidR="00617A56" w:rsidRDefault="004323DB">
      <w:r>
        <w:t xml:space="preserve">Previous local mining in Fall River County </w:t>
      </w:r>
      <w:r w:rsidR="00D367A1">
        <w:t>led</w:t>
      </w:r>
      <w:r>
        <w:t xml:space="preserve"> to mortality caused by cancer</w:t>
      </w:r>
      <w:r w:rsidR="00D367A1">
        <w:t xml:space="preserve"> and respiratory diseases. Former Senator Tom Daschle noted while addressing the Senate:  “It is difficult for me to understand why or how our country let this happen.”</w:t>
      </w:r>
      <w:r w:rsidR="00494A09">
        <w:rPr>
          <w:vertAlign w:val="superscript"/>
        </w:rPr>
        <w:t>2</w:t>
      </w:r>
    </w:p>
    <w:p w14:paraId="202F4C69" w14:textId="5866FAE5" w:rsidR="004D55A3" w:rsidRDefault="00D367A1">
      <w:r>
        <w:t xml:space="preserve">In addition to </w:t>
      </w:r>
      <w:r w:rsidR="00494A09">
        <w:t xml:space="preserve">significant </w:t>
      </w:r>
      <w:r>
        <w:t xml:space="preserve">health </w:t>
      </w:r>
      <w:r w:rsidR="004D55A3">
        <w:t xml:space="preserve">and mortality impacts, </w:t>
      </w:r>
      <w:r w:rsidR="00C05203">
        <w:t>three</w:t>
      </w:r>
      <w:r w:rsidR="004D55A3">
        <w:t xml:space="preserve"> additional reasons for banning uranium mining in Fall River County</w:t>
      </w:r>
      <w:r w:rsidR="00C05203">
        <w:t xml:space="preserve"> include the following:</w:t>
      </w:r>
    </w:p>
    <w:p w14:paraId="2E02A742" w14:textId="63A3F36D" w:rsidR="004D55A3" w:rsidRDefault="004D55A3" w:rsidP="00494A09">
      <w:pPr>
        <w:pStyle w:val="ListParagraph"/>
        <w:numPr>
          <w:ilvl w:val="0"/>
          <w:numId w:val="3"/>
        </w:numPr>
      </w:pPr>
      <w:r>
        <w:t xml:space="preserve">The </w:t>
      </w:r>
      <w:r w:rsidR="00494A09">
        <w:t xml:space="preserve">proposed mining </w:t>
      </w:r>
      <w:r>
        <w:t>area contains sacred Indigenous sites and petroglyphs.</w:t>
      </w:r>
    </w:p>
    <w:p w14:paraId="27F8E54B" w14:textId="41C2F8FC" w:rsidR="004D55A3" w:rsidRDefault="004D55A3" w:rsidP="00494A09">
      <w:pPr>
        <w:pStyle w:val="ListParagraph"/>
        <w:numPr>
          <w:ilvl w:val="0"/>
          <w:numId w:val="3"/>
        </w:numPr>
      </w:pPr>
      <w:r>
        <w:t xml:space="preserve">The severe drought in the region has significantly elevated fire </w:t>
      </w:r>
      <w:r w:rsidR="00494A09">
        <w:t>risk and</w:t>
      </w:r>
      <w:r>
        <w:t xml:space="preserve"> has placed the region’s water supply at </w:t>
      </w:r>
      <w:r w:rsidR="00494A09">
        <w:t xml:space="preserve">dire </w:t>
      </w:r>
      <w:r>
        <w:t xml:space="preserve">risk. There isn’t sufficient water to support that </w:t>
      </w:r>
      <w:r w:rsidR="00494A09">
        <w:t>used in</w:t>
      </w:r>
      <w:r>
        <w:t xml:space="preserve"> mining, </w:t>
      </w:r>
      <w:r w:rsidR="00494A09">
        <w:t>and also</w:t>
      </w:r>
      <w:r>
        <w:t xml:space="preserve"> maintain that needed for the local population. </w:t>
      </w:r>
    </w:p>
    <w:p w14:paraId="58DAEB53" w14:textId="5EBADD27" w:rsidR="004D55A3" w:rsidRDefault="004D55A3" w:rsidP="00494A09">
      <w:pPr>
        <w:pStyle w:val="ListParagraph"/>
        <w:numPr>
          <w:ilvl w:val="0"/>
          <w:numId w:val="3"/>
        </w:numPr>
      </w:pPr>
      <w:r>
        <w:lastRenderedPageBreak/>
        <w:t xml:space="preserve">The State and Federal Government would place itself at risk financial loss due to costly injury compensation programs and </w:t>
      </w:r>
      <w:r w:rsidR="00494A09">
        <w:t xml:space="preserve">lawsuits. </w:t>
      </w:r>
    </w:p>
    <w:p w14:paraId="4CCFDED9" w14:textId="77777777" w:rsidR="00617A56" w:rsidRDefault="00617A56"/>
    <w:p w14:paraId="3E9023DB" w14:textId="731F0A12" w:rsidR="00617A56" w:rsidRPr="00617A56" w:rsidRDefault="00C05203" w:rsidP="00617A56">
      <w:pPr>
        <w:rPr>
          <w:b/>
          <w:bCs/>
        </w:rPr>
      </w:pPr>
      <w:r>
        <w:t>References:</w:t>
      </w:r>
    </w:p>
    <w:p w14:paraId="21D0121C" w14:textId="46FD6F6B" w:rsidR="00494A09" w:rsidRDefault="00617A56" w:rsidP="00494A09">
      <w:pPr>
        <w:pStyle w:val="ListParagraph"/>
        <w:numPr>
          <w:ilvl w:val="0"/>
          <w:numId w:val="1"/>
        </w:numPr>
      </w:pPr>
      <w:r w:rsidRPr="00617A56">
        <w:t xml:space="preserve">Committee on Uranium Mining in Virginia; Committee on Earth Resources; National Research Council. Uranium Mining in Virginia: Scientific, Technical, Environmental, Human Health and Safety, and Regulatory Aspects of Uranium Mining and Processing in Virginia. Washington (DC): National Academies Press (US); 2011 Dec 19. 5, Potential Human Health Effects of Uranium Mining, Processing, and Reclamation. Available from: </w:t>
      </w:r>
      <w:hyperlink r:id="rId5" w:history="1">
        <w:r w:rsidR="00494A09" w:rsidRPr="00CA2E5D">
          <w:rPr>
            <w:rStyle w:val="Hyperlink"/>
          </w:rPr>
          <w:t>https://www.ncbi.nlm.nih.gov/books/NBK201047/</w:t>
        </w:r>
      </w:hyperlink>
    </w:p>
    <w:p w14:paraId="45012017" w14:textId="6C323E2E" w:rsidR="00494A09" w:rsidRPr="00617A56" w:rsidRDefault="00494A09" w:rsidP="00617A56">
      <w:pPr>
        <w:pStyle w:val="ListParagraph"/>
        <w:numPr>
          <w:ilvl w:val="0"/>
          <w:numId w:val="1"/>
        </w:numPr>
      </w:pPr>
      <w:r>
        <w:t xml:space="preserve">Rapid City Journal. Radioactive Legacy. </w:t>
      </w:r>
      <w:hyperlink r:id="rId6" w:history="1">
        <w:r w:rsidRPr="00CA2E5D">
          <w:rPr>
            <w:rStyle w:val="Hyperlink"/>
          </w:rPr>
          <w:t>https://rapidcityjournal.com/app/pages/uranium/</w:t>
        </w:r>
      </w:hyperlink>
      <w:r>
        <w:t xml:space="preserve"> </w:t>
      </w:r>
    </w:p>
    <w:p w14:paraId="66EAA8FA" w14:textId="77777777" w:rsidR="00617A56" w:rsidRDefault="00617A56"/>
    <w:sectPr w:rsidR="00617A5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E8F153B"/>
    <w:multiLevelType w:val="hybridMultilevel"/>
    <w:tmpl w:val="7BA83FD4"/>
    <w:lvl w:ilvl="0" w:tplc="0409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2E11753C"/>
    <w:multiLevelType w:val="hybridMultilevel"/>
    <w:tmpl w:val="8BEC7F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9BB0781"/>
    <w:multiLevelType w:val="hybridMultilevel"/>
    <w:tmpl w:val="3020C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98519900">
    <w:abstractNumId w:val="2"/>
  </w:num>
  <w:num w:numId="2" w16cid:durableId="1477139043">
    <w:abstractNumId w:val="1"/>
  </w:num>
  <w:num w:numId="3" w16cid:durableId="6972698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7A56"/>
    <w:rsid w:val="000240A4"/>
    <w:rsid w:val="0004457B"/>
    <w:rsid w:val="00195D23"/>
    <w:rsid w:val="00413455"/>
    <w:rsid w:val="004323DB"/>
    <w:rsid w:val="00494A09"/>
    <w:rsid w:val="004D55A3"/>
    <w:rsid w:val="00617A56"/>
    <w:rsid w:val="008E2106"/>
    <w:rsid w:val="00900AE7"/>
    <w:rsid w:val="009F672B"/>
    <w:rsid w:val="00A842F0"/>
    <w:rsid w:val="00BF2B32"/>
    <w:rsid w:val="00C05203"/>
    <w:rsid w:val="00CF4254"/>
    <w:rsid w:val="00D367A1"/>
    <w:rsid w:val="00E879DC"/>
    <w:rsid w:val="00EB5E6F"/>
    <w:rsid w:val="00F479CB"/>
    <w:rsid w:val="00F84F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DF3727"/>
  <w15:chartTrackingRefBased/>
  <w15:docId w15:val="{5D16D503-054A-42C1-A956-B2C376ED28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7A5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7A5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7A5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7A5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7A5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7A5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7A5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7A5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7A5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7A5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7A5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7A5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7A5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7A5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7A5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7A5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7A5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7A56"/>
    <w:rPr>
      <w:rFonts w:eastAsiaTheme="majorEastAsia" w:cstheme="majorBidi"/>
      <w:color w:val="272727" w:themeColor="text1" w:themeTint="D8"/>
    </w:rPr>
  </w:style>
  <w:style w:type="paragraph" w:styleId="Title">
    <w:name w:val="Title"/>
    <w:basedOn w:val="Normal"/>
    <w:next w:val="Normal"/>
    <w:link w:val="TitleChar"/>
    <w:uiPriority w:val="10"/>
    <w:qFormat/>
    <w:rsid w:val="00617A5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7A5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7A5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7A5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7A56"/>
    <w:pPr>
      <w:spacing w:before="160"/>
      <w:jc w:val="center"/>
    </w:pPr>
    <w:rPr>
      <w:i/>
      <w:iCs/>
      <w:color w:val="404040" w:themeColor="text1" w:themeTint="BF"/>
    </w:rPr>
  </w:style>
  <w:style w:type="character" w:customStyle="1" w:styleId="QuoteChar">
    <w:name w:val="Quote Char"/>
    <w:basedOn w:val="DefaultParagraphFont"/>
    <w:link w:val="Quote"/>
    <w:uiPriority w:val="29"/>
    <w:rsid w:val="00617A56"/>
    <w:rPr>
      <w:i/>
      <w:iCs/>
      <w:color w:val="404040" w:themeColor="text1" w:themeTint="BF"/>
    </w:rPr>
  </w:style>
  <w:style w:type="paragraph" w:styleId="ListParagraph">
    <w:name w:val="List Paragraph"/>
    <w:basedOn w:val="Normal"/>
    <w:uiPriority w:val="34"/>
    <w:qFormat/>
    <w:rsid w:val="00617A56"/>
    <w:pPr>
      <w:ind w:left="720"/>
      <w:contextualSpacing/>
    </w:pPr>
  </w:style>
  <w:style w:type="character" w:styleId="IntenseEmphasis">
    <w:name w:val="Intense Emphasis"/>
    <w:basedOn w:val="DefaultParagraphFont"/>
    <w:uiPriority w:val="21"/>
    <w:qFormat/>
    <w:rsid w:val="00617A56"/>
    <w:rPr>
      <w:i/>
      <w:iCs/>
      <w:color w:val="0F4761" w:themeColor="accent1" w:themeShade="BF"/>
    </w:rPr>
  </w:style>
  <w:style w:type="paragraph" w:styleId="IntenseQuote">
    <w:name w:val="Intense Quote"/>
    <w:basedOn w:val="Normal"/>
    <w:next w:val="Normal"/>
    <w:link w:val="IntenseQuoteChar"/>
    <w:uiPriority w:val="30"/>
    <w:qFormat/>
    <w:rsid w:val="00617A5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7A56"/>
    <w:rPr>
      <w:i/>
      <w:iCs/>
      <w:color w:val="0F4761" w:themeColor="accent1" w:themeShade="BF"/>
    </w:rPr>
  </w:style>
  <w:style w:type="character" w:styleId="IntenseReference">
    <w:name w:val="Intense Reference"/>
    <w:basedOn w:val="DefaultParagraphFont"/>
    <w:uiPriority w:val="32"/>
    <w:qFormat/>
    <w:rsid w:val="00617A56"/>
    <w:rPr>
      <w:b/>
      <w:bCs/>
      <w:smallCaps/>
      <w:color w:val="0F4761" w:themeColor="accent1" w:themeShade="BF"/>
      <w:spacing w:val="5"/>
    </w:rPr>
  </w:style>
  <w:style w:type="character" w:styleId="Hyperlink">
    <w:name w:val="Hyperlink"/>
    <w:basedOn w:val="DefaultParagraphFont"/>
    <w:uiPriority w:val="99"/>
    <w:unhideWhenUsed/>
    <w:rsid w:val="00494A09"/>
    <w:rPr>
      <w:color w:val="467886" w:themeColor="hyperlink"/>
      <w:u w:val="single"/>
    </w:rPr>
  </w:style>
  <w:style w:type="character" w:styleId="UnresolvedMention">
    <w:name w:val="Unresolved Mention"/>
    <w:basedOn w:val="DefaultParagraphFont"/>
    <w:uiPriority w:val="99"/>
    <w:semiHidden/>
    <w:unhideWhenUsed/>
    <w:rsid w:val="00494A0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rapidcityjournal.com/app/pages/uranium/" TargetMode="External"/><Relationship Id="rId5" Type="http://schemas.openxmlformats.org/officeDocument/2006/relationships/hyperlink" Target="https://www.ncbi.nlm.nih.gov/books/NBK2010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d58addea-5053-4a80-8499-ba4d944910df}" enabled="0" method="" siteId="{d58addea-5053-4a80-8499-ba4d944910df}" removed="1"/>
</clbl:labelList>
</file>

<file path=docProps/app.xml><?xml version="1.0" encoding="utf-8"?>
<Properties xmlns="http://schemas.openxmlformats.org/officeDocument/2006/extended-properties" xmlns:vt="http://schemas.openxmlformats.org/officeDocument/2006/docPropsVTypes">
  <Template>Normal</Template>
  <TotalTime>3</TotalTime>
  <Pages>2</Pages>
  <Words>514</Words>
  <Characters>2930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Wittenberg, Kim (AHRQ/CEPI)</dc:creator>
  <cp:keywords/>
  <dc:description/>
  <cp:lastModifiedBy>Wittenberg, Kim (AHRQ/CEPI)</cp:lastModifiedBy>
  <cp:revision>4</cp:revision>
  <dcterms:created xsi:type="dcterms:W3CDTF">2026-03-04T05:14:00Z</dcterms:created>
  <dcterms:modified xsi:type="dcterms:W3CDTF">2026-03-04T05:16:00Z</dcterms:modified>
</cp:coreProperties>
</file>