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F6F74D" w14:textId="77777777" w:rsidR="00AD3237" w:rsidRPr="00AD3237" w:rsidRDefault="00AD3237" w:rsidP="00AD3237">
      <w:pPr>
        <w:jc w:val="center"/>
        <w:rPr>
          <w:b/>
          <w:szCs w:val="24"/>
          <w:u w:val="single"/>
        </w:rPr>
      </w:pPr>
      <w:bookmarkStart w:id="0" w:name="_GoBack"/>
      <w:bookmarkEnd w:id="0"/>
      <w:r w:rsidRPr="00AD3237">
        <w:rPr>
          <w:b/>
          <w:szCs w:val="24"/>
          <w:u w:val="single"/>
        </w:rPr>
        <w:t>Appendix A</w:t>
      </w:r>
    </w:p>
    <w:p w14:paraId="317A1539" w14:textId="77777777" w:rsidR="00AD3237" w:rsidRDefault="00AD3237" w:rsidP="00AD3237">
      <w:pPr>
        <w:rPr>
          <w:szCs w:val="24"/>
        </w:rPr>
      </w:pPr>
    </w:p>
    <w:p w14:paraId="338CF3CA" w14:textId="77777777" w:rsidR="00AD3237" w:rsidRDefault="00AD3237" w:rsidP="00AD3237">
      <w:pPr>
        <w:rPr>
          <w:szCs w:val="24"/>
        </w:rPr>
      </w:pPr>
    </w:p>
    <w:p w14:paraId="41715C2F" w14:textId="77777777" w:rsidR="00AD3237" w:rsidRDefault="00AD3237" w:rsidP="00AD3237">
      <w:pPr>
        <w:rPr>
          <w:szCs w:val="24"/>
        </w:rPr>
      </w:pPr>
      <w:r w:rsidRPr="00BE0E58">
        <w:rPr>
          <w:szCs w:val="24"/>
        </w:rPr>
        <w:t xml:space="preserve">In </w:t>
      </w:r>
      <w:r>
        <w:rPr>
          <w:szCs w:val="24"/>
        </w:rPr>
        <w:t xml:space="preserve">a recent </w:t>
      </w:r>
      <w:r w:rsidRPr="00BE0E58">
        <w:rPr>
          <w:szCs w:val="24"/>
        </w:rPr>
        <w:t>master’s thesis, using radio</w:t>
      </w:r>
      <w:r>
        <w:rPr>
          <w:szCs w:val="24"/>
        </w:rPr>
        <w:t>-</w:t>
      </w:r>
      <w:r w:rsidRPr="00BE0E58">
        <w:rPr>
          <w:szCs w:val="24"/>
        </w:rPr>
        <w:t>telemetry, Eyes (2014) reported that California spotted owls in Yosemite National Park had a tendency to avoid high-intensity fire areas for foraging, contrary to</w:t>
      </w:r>
      <w:r>
        <w:rPr>
          <w:szCs w:val="24"/>
        </w:rPr>
        <w:t xml:space="preserve"> the findings of</w:t>
      </w:r>
      <w:r w:rsidRPr="00BE0E58">
        <w:rPr>
          <w:szCs w:val="24"/>
        </w:rPr>
        <w:t xml:space="preserve"> </w:t>
      </w:r>
      <w:r>
        <w:rPr>
          <w:szCs w:val="24"/>
        </w:rPr>
        <w:t xml:space="preserve">Clark (2007) and </w:t>
      </w:r>
      <w:r w:rsidRPr="00BE0E58">
        <w:rPr>
          <w:szCs w:val="24"/>
        </w:rPr>
        <w:t xml:space="preserve">Bond et al. (2009).  </w:t>
      </w:r>
      <w:r>
        <w:rPr>
          <w:szCs w:val="24"/>
        </w:rPr>
        <w:t xml:space="preserve">Because the Eyes thesis makes a number of unsupported and misleading statements about the relationship between fires and owls, and because the Forest Service has used this thesis to promote post-fire logging, we address it here.  </w:t>
      </w:r>
    </w:p>
    <w:p w14:paraId="34EA3BB6" w14:textId="77777777" w:rsidR="00AD3237" w:rsidRDefault="00AD3237" w:rsidP="00AD3237">
      <w:pPr>
        <w:rPr>
          <w:szCs w:val="24"/>
        </w:rPr>
      </w:pPr>
    </w:p>
    <w:p w14:paraId="19017748" w14:textId="77777777" w:rsidR="00AD3237" w:rsidRDefault="00AD3237" w:rsidP="00AD3237">
      <w:pPr>
        <w:rPr>
          <w:szCs w:val="24"/>
        </w:rPr>
      </w:pPr>
      <w:r>
        <w:rPr>
          <w:szCs w:val="24"/>
        </w:rPr>
        <w:t xml:space="preserve">First, </w:t>
      </w:r>
      <w:r w:rsidRPr="00BE0E58">
        <w:rPr>
          <w:szCs w:val="24"/>
        </w:rPr>
        <w:t xml:space="preserve">an inspection of Figure 2 of Eyes (2014) reveals that </w:t>
      </w:r>
      <w:r>
        <w:rPr>
          <w:szCs w:val="24"/>
        </w:rPr>
        <w:t>its conclusions about high-intensity fire</w:t>
      </w:r>
      <w:r w:rsidRPr="00BE0E58">
        <w:rPr>
          <w:szCs w:val="24"/>
        </w:rPr>
        <w:t xml:space="preserve"> do not follow from </w:t>
      </w:r>
      <w:r>
        <w:rPr>
          <w:szCs w:val="24"/>
        </w:rPr>
        <w:t>the</w:t>
      </w:r>
      <w:r w:rsidRPr="00BE0E58">
        <w:rPr>
          <w:szCs w:val="24"/>
        </w:rPr>
        <w:t xml:space="preserve"> data.  Most of </w:t>
      </w:r>
      <w:r>
        <w:rPr>
          <w:szCs w:val="24"/>
        </w:rPr>
        <w:t>the study’s</w:t>
      </w:r>
      <w:r w:rsidRPr="00BE0E58">
        <w:rPr>
          <w:szCs w:val="24"/>
        </w:rPr>
        <w:t xml:space="preserve"> territories had no high-intensity fire (see Fig. 2 of Eyes 2014), and the only three territories that did show high-intensity fire areas </w:t>
      </w:r>
      <w:r>
        <w:rPr>
          <w:szCs w:val="24"/>
        </w:rPr>
        <w:t>appear to show</w:t>
      </w:r>
      <w:r w:rsidRPr="00BE0E58">
        <w:rPr>
          <w:szCs w:val="24"/>
        </w:rPr>
        <w:t xml:space="preserve"> use that exceed</w:t>
      </w:r>
      <w:r>
        <w:rPr>
          <w:szCs w:val="24"/>
        </w:rPr>
        <w:t>ed</w:t>
      </w:r>
      <w:r w:rsidRPr="00BE0E58">
        <w:rPr>
          <w:szCs w:val="24"/>
        </w:rPr>
        <w:t xml:space="preserve"> availability in the home ranges (see the two territories immediately south of Highway 120, and the second most southerly territory, in Figure 2 of Eyes 2014).  Moreover, Eyes (2014) underreported use of high-intensity fire areas by not divulging that numerous detection locations shown in Figure 2 of her thesis as low/moderate-intensity areas were actually in a large high-intensity fire patch from a 1990 fire</w:t>
      </w:r>
      <w:r>
        <w:rPr>
          <w:szCs w:val="24"/>
        </w:rPr>
        <w:t xml:space="preserve"> that later </w:t>
      </w:r>
      <w:proofErr w:type="spellStart"/>
      <w:r>
        <w:rPr>
          <w:szCs w:val="24"/>
        </w:rPr>
        <w:t>reburned</w:t>
      </w:r>
      <w:proofErr w:type="spellEnd"/>
      <w:r>
        <w:rPr>
          <w:szCs w:val="24"/>
        </w:rPr>
        <w:t xml:space="preserve"> at low-moderate intensity, and this is complex early </w:t>
      </w:r>
      <w:proofErr w:type="spellStart"/>
      <w:r>
        <w:rPr>
          <w:szCs w:val="24"/>
        </w:rPr>
        <w:t>seral</w:t>
      </w:r>
      <w:proofErr w:type="spellEnd"/>
      <w:r>
        <w:rPr>
          <w:szCs w:val="24"/>
        </w:rPr>
        <w:t xml:space="preserve"> forest</w:t>
      </w:r>
      <w:r w:rsidRPr="00BE0E58">
        <w:rPr>
          <w:szCs w:val="24"/>
        </w:rPr>
        <w:t xml:space="preserve"> (e.g., compare Figure 2 of Eyes 2014 to Figure 2 of van </w:t>
      </w:r>
      <w:proofErr w:type="spellStart"/>
      <w:r w:rsidRPr="00BE0E58">
        <w:rPr>
          <w:szCs w:val="24"/>
        </w:rPr>
        <w:t>Wagtendonk</w:t>
      </w:r>
      <w:proofErr w:type="spellEnd"/>
      <w:r w:rsidRPr="00BE0E58">
        <w:rPr>
          <w:szCs w:val="24"/>
        </w:rPr>
        <w:t xml:space="preserve"> and Lutz 2007).</w:t>
      </w:r>
    </w:p>
    <w:p w14:paraId="6849C78A" w14:textId="77777777" w:rsidR="00C672D4" w:rsidRDefault="00C672D4" w:rsidP="00AD3237">
      <w:pPr>
        <w:rPr>
          <w:szCs w:val="24"/>
        </w:rPr>
      </w:pPr>
    </w:p>
    <w:p w14:paraId="7178F6C9" w14:textId="77777777" w:rsidR="00AD3237" w:rsidRDefault="00AD3237" w:rsidP="00AD3237">
      <w:pPr>
        <w:rPr>
          <w:color w:val="222222"/>
          <w:szCs w:val="24"/>
          <w:shd w:val="clear" w:color="auto" w:fill="FFFFFF"/>
        </w:rPr>
      </w:pPr>
      <w:r>
        <w:rPr>
          <w:color w:val="222222"/>
          <w:szCs w:val="24"/>
          <w:shd w:val="clear" w:color="auto" w:fill="FFFFFF"/>
        </w:rPr>
        <w:t xml:space="preserve">Based upon Figure 2 of Eyes (2014), and after including high-intensity fire areas (and associated detections) excluded by Eyes (2014) (using the same fire severity categories used by Eyes 2014), we conducted a GIS analysis of the detection points and fire severity within the three home ranges that contained high-intensity fire (Figures 33 and 34 below).  </w:t>
      </w:r>
      <w:r w:rsidRPr="0082656F">
        <w:rPr>
          <w:color w:val="222222"/>
          <w:szCs w:val="24"/>
          <w:shd w:val="clear" w:color="auto" w:fill="FFFFFF"/>
        </w:rPr>
        <w:t>The combined area in the 100% minimum convex polygons (MCPs</w:t>
      </w:r>
      <w:r>
        <w:rPr>
          <w:color w:val="222222"/>
          <w:szCs w:val="24"/>
          <w:shd w:val="clear" w:color="auto" w:fill="FFFFFF"/>
        </w:rPr>
        <w:t>) for those three is 843 hectares, including 184 hectares</w:t>
      </w:r>
      <w:r w:rsidRPr="0082656F">
        <w:rPr>
          <w:color w:val="222222"/>
          <w:szCs w:val="24"/>
          <w:shd w:val="clear" w:color="auto" w:fill="FFFFFF"/>
        </w:rPr>
        <w:t xml:space="preserve"> of high-</w:t>
      </w:r>
      <w:r>
        <w:rPr>
          <w:color w:val="222222"/>
          <w:szCs w:val="24"/>
          <w:shd w:val="clear" w:color="auto" w:fill="FFFFFF"/>
        </w:rPr>
        <w:t>intensity fire</w:t>
      </w:r>
      <w:r w:rsidRPr="0082656F">
        <w:rPr>
          <w:color w:val="222222"/>
          <w:szCs w:val="24"/>
          <w:shd w:val="clear" w:color="auto" w:fill="FFFFFF"/>
        </w:rPr>
        <w:t xml:space="preserve"> (21.8%). </w:t>
      </w:r>
      <w:r>
        <w:rPr>
          <w:color w:val="222222"/>
          <w:szCs w:val="24"/>
          <w:shd w:val="clear" w:color="auto" w:fill="FFFFFF"/>
        </w:rPr>
        <w:t xml:space="preserve"> </w:t>
      </w:r>
      <w:r w:rsidRPr="0082656F">
        <w:rPr>
          <w:color w:val="222222"/>
          <w:szCs w:val="24"/>
          <w:shd w:val="clear" w:color="auto" w:fill="FFFFFF"/>
        </w:rPr>
        <w:t>There are a total of 82 detection locations</w:t>
      </w:r>
      <w:r>
        <w:rPr>
          <w:color w:val="222222"/>
          <w:szCs w:val="24"/>
          <w:shd w:val="clear" w:color="auto" w:fill="FFFFFF"/>
        </w:rPr>
        <w:t>, with all three territories</w:t>
      </w:r>
      <w:r w:rsidRPr="0082656F">
        <w:rPr>
          <w:color w:val="222222"/>
          <w:szCs w:val="24"/>
          <w:shd w:val="clear" w:color="auto" w:fill="FFFFFF"/>
        </w:rPr>
        <w:t xml:space="preserve"> combined</w:t>
      </w:r>
      <w:r>
        <w:rPr>
          <w:color w:val="222222"/>
          <w:szCs w:val="24"/>
          <w:shd w:val="clear" w:color="auto" w:fill="FFFFFF"/>
        </w:rPr>
        <w:t>, that can be identified from Figure 2 of Eyes (2014) (it is possible that a small number of detection locations shown in Fig. 2 of Eyes 2014 had essentially complete overlap—i.e., were directly on top of one another—in which case we could have missed a few such points; however, this would be equally true for all fire severity categories)</w:t>
      </w:r>
      <w:r w:rsidRPr="0082656F">
        <w:rPr>
          <w:color w:val="222222"/>
          <w:szCs w:val="24"/>
          <w:shd w:val="clear" w:color="auto" w:fill="FFFFFF"/>
        </w:rPr>
        <w:t xml:space="preserve">.  </w:t>
      </w:r>
      <w:r>
        <w:rPr>
          <w:color w:val="222222"/>
          <w:szCs w:val="24"/>
          <w:shd w:val="clear" w:color="auto" w:fill="FFFFFF"/>
        </w:rPr>
        <w:t>We assessed h</w:t>
      </w:r>
      <w:r w:rsidRPr="0082656F">
        <w:rPr>
          <w:color w:val="222222"/>
          <w:szCs w:val="24"/>
          <w:shd w:val="clear" w:color="auto" w:fill="FFFFFF"/>
        </w:rPr>
        <w:t>ow many of the 92-meter detection location/</w:t>
      </w:r>
      <w:r>
        <w:rPr>
          <w:color w:val="222222"/>
          <w:szCs w:val="24"/>
          <w:shd w:val="clear" w:color="auto" w:fill="FFFFFF"/>
        </w:rPr>
        <w:t>uncertainty-</w:t>
      </w:r>
      <w:r w:rsidRPr="0082656F">
        <w:rPr>
          <w:color w:val="222222"/>
          <w:szCs w:val="24"/>
          <w:shd w:val="clear" w:color="auto" w:fill="FFFFFF"/>
        </w:rPr>
        <w:t>buffer areas contain 21.8% or more high-</w:t>
      </w:r>
      <w:r>
        <w:rPr>
          <w:color w:val="222222"/>
          <w:szCs w:val="24"/>
          <w:shd w:val="clear" w:color="auto" w:fill="FFFFFF"/>
        </w:rPr>
        <w:t>intensity</w:t>
      </w:r>
      <w:r w:rsidRPr="0082656F">
        <w:rPr>
          <w:color w:val="222222"/>
          <w:szCs w:val="24"/>
          <w:shd w:val="clear" w:color="auto" w:fill="FFFFFF"/>
        </w:rPr>
        <w:t xml:space="preserve"> fire, and h</w:t>
      </w:r>
      <w:r>
        <w:rPr>
          <w:color w:val="222222"/>
          <w:szCs w:val="24"/>
          <w:shd w:val="clear" w:color="auto" w:fill="FFFFFF"/>
        </w:rPr>
        <w:t>ow many contain less than 21.8%.</w:t>
      </w:r>
      <w:r w:rsidRPr="0082656F">
        <w:rPr>
          <w:color w:val="222222"/>
          <w:szCs w:val="24"/>
          <w:shd w:val="clear" w:color="auto" w:fill="FFFFFF"/>
        </w:rPr>
        <w:t>  If there is no selection or avoidance</w:t>
      </w:r>
      <w:r>
        <w:rPr>
          <w:color w:val="222222"/>
          <w:szCs w:val="24"/>
          <w:shd w:val="clear" w:color="auto" w:fill="FFFFFF"/>
        </w:rPr>
        <w:t xml:space="preserve"> of high-intensity whatsoever, one</w:t>
      </w:r>
      <w:r w:rsidRPr="0082656F">
        <w:rPr>
          <w:color w:val="222222"/>
          <w:szCs w:val="24"/>
          <w:shd w:val="clear" w:color="auto" w:fill="FFFFFF"/>
        </w:rPr>
        <w:t xml:space="preserve"> woul</w:t>
      </w:r>
      <w:r>
        <w:rPr>
          <w:color w:val="222222"/>
          <w:szCs w:val="24"/>
          <w:shd w:val="clear" w:color="auto" w:fill="FFFFFF"/>
        </w:rPr>
        <w:t>d expect 17.9 (out of the total of 82 detections)</w:t>
      </w:r>
      <w:r w:rsidRPr="0082656F">
        <w:rPr>
          <w:color w:val="222222"/>
          <w:szCs w:val="24"/>
          <w:shd w:val="clear" w:color="auto" w:fill="FFFFFF"/>
        </w:rPr>
        <w:t xml:space="preserve"> with 21.8% or more high-</w:t>
      </w:r>
      <w:r>
        <w:rPr>
          <w:color w:val="222222"/>
          <w:szCs w:val="24"/>
          <w:shd w:val="clear" w:color="auto" w:fill="FFFFFF"/>
        </w:rPr>
        <w:t>intensity</w:t>
      </w:r>
      <w:r w:rsidRPr="0082656F">
        <w:rPr>
          <w:color w:val="222222"/>
          <w:szCs w:val="24"/>
          <w:shd w:val="clear" w:color="auto" w:fill="FFFFFF"/>
        </w:rPr>
        <w:t xml:space="preserve"> fire (0.218 x 82 = 17.9).  The actual number with 21.8% or more high-</w:t>
      </w:r>
      <w:r>
        <w:rPr>
          <w:color w:val="222222"/>
          <w:szCs w:val="24"/>
          <w:shd w:val="clear" w:color="auto" w:fill="FFFFFF"/>
        </w:rPr>
        <w:t>intensity</w:t>
      </w:r>
      <w:r w:rsidRPr="0082656F">
        <w:rPr>
          <w:color w:val="222222"/>
          <w:szCs w:val="24"/>
          <w:shd w:val="clear" w:color="auto" w:fill="FFFFFF"/>
        </w:rPr>
        <w:t xml:space="preserve"> fire is 21.  So, use of high-</w:t>
      </w:r>
      <w:r>
        <w:rPr>
          <w:color w:val="222222"/>
          <w:szCs w:val="24"/>
          <w:shd w:val="clear" w:color="auto" w:fill="FFFFFF"/>
        </w:rPr>
        <w:t>intensity</w:t>
      </w:r>
      <w:r w:rsidRPr="0082656F">
        <w:rPr>
          <w:color w:val="222222"/>
          <w:szCs w:val="24"/>
          <w:shd w:val="clear" w:color="auto" w:fill="FFFFFF"/>
        </w:rPr>
        <w:t xml:space="preserve"> </w:t>
      </w:r>
      <w:r>
        <w:rPr>
          <w:color w:val="222222"/>
          <w:szCs w:val="24"/>
          <w:shd w:val="clear" w:color="auto" w:fill="FFFFFF"/>
        </w:rPr>
        <w:t xml:space="preserve">fire </w:t>
      </w:r>
      <w:r w:rsidRPr="0082656F">
        <w:rPr>
          <w:color w:val="222222"/>
          <w:szCs w:val="24"/>
          <w:shd w:val="clear" w:color="auto" w:fill="FFFFFF"/>
        </w:rPr>
        <w:t xml:space="preserve">is </w:t>
      </w:r>
      <w:r>
        <w:rPr>
          <w:color w:val="222222"/>
          <w:szCs w:val="24"/>
          <w:shd w:val="clear" w:color="auto" w:fill="FFFFFF"/>
        </w:rPr>
        <w:t xml:space="preserve">numerically </w:t>
      </w:r>
      <w:r w:rsidRPr="0082656F">
        <w:rPr>
          <w:color w:val="222222"/>
          <w:szCs w:val="24"/>
          <w:shd w:val="clear" w:color="auto" w:fill="FFFFFF"/>
        </w:rPr>
        <w:t>higher than expected based upon availability in the Eyes data</w:t>
      </w:r>
      <w:r>
        <w:rPr>
          <w:color w:val="222222"/>
          <w:szCs w:val="24"/>
          <w:shd w:val="clear" w:color="auto" w:fill="FFFFFF"/>
        </w:rPr>
        <w:t xml:space="preserve">, indicating some level of selection, not avoidance.  </w:t>
      </w:r>
      <w:r w:rsidRPr="00682837">
        <w:rPr>
          <w:color w:val="222222"/>
          <w:szCs w:val="24"/>
          <w:shd w:val="clear" w:color="auto" w:fill="FFFFFF"/>
        </w:rPr>
        <w:t>A statistically robust analysis, however, would compare each owl</w:t>
      </w:r>
      <w:r>
        <w:rPr>
          <w:color w:val="222222"/>
          <w:szCs w:val="24"/>
          <w:shd w:val="clear" w:color="auto" w:fill="FFFFFF"/>
        </w:rPr>
        <w:t>’</w:t>
      </w:r>
      <w:r w:rsidRPr="00682837">
        <w:rPr>
          <w:color w:val="222222"/>
          <w:szCs w:val="24"/>
          <w:shd w:val="clear" w:color="auto" w:fill="FFFFFF"/>
        </w:rPr>
        <w:t>s selection for high-</w:t>
      </w:r>
      <w:r>
        <w:rPr>
          <w:color w:val="222222"/>
          <w:szCs w:val="24"/>
          <w:shd w:val="clear" w:color="auto" w:fill="FFFFFF"/>
        </w:rPr>
        <w:t>intensity</w:t>
      </w:r>
      <w:r w:rsidRPr="00682837">
        <w:rPr>
          <w:color w:val="222222"/>
          <w:szCs w:val="24"/>
          <w:shd w:val="clear" w:color="auto" w:fill="FFFFFF"/>
        </w:rPr>
        <w:t xml:space="preserve"> fire within its own available habitat (e.g., foraging range circle, Bond et al. 2009), which has not been done with this dataset.  Data may be insufficient given only three territories contained high-intensity fire</w:t>
      </w:r>
      <w:r>
        <w:rPr>
          <w:color w:val="222222"/>
          <w:szCs w:val="24"/>
          <w:shd w:val="clear" w:color="auto" w:fill="FFFFFF"/>
        </w:rPr>
        <w:t>.</w:t>
      </w:r>
    </w:p>
    <w:p w14:paraId="48A06E50" w14:textId="77777777" w:rsidR="00AD3237" w:rsidRDefault="00AD3237" w:rsidP="00AD3237">
      <w:pPr>
        <w:jc w:val="center"/>
        <w:rPr>
          <w:color w:val="222222"/>
          <w:szCs w:val="24"/>
          <w:shd w:val="clear" w:color="auto" w:fill="FFFFFF"/>
        </w:rPr>
      </w:pPr>
      <w:r>
        <w:rPr>
          <w:noProof/>
          <w:color w:val="222222"/>
          <w:szCs w:val="24"/>
          <w:shd w:val="clear" w:color="auto" w:fill="FFFFFF"/>
        </w:rPr>
        <w:lastRenderedPageBreak/>
        <w:drawing>
          <wp:inline distT="0" distB="0" distL="0" distR="0" wp14:anchorId="468F4481" wp14:editId="0143F60A">
            <wp:extent cx="3322926" cy="4300258"/>
            <wp:effectExtent l="19050" t="0" r="0" b="0"/>
            <wp:docPr id="76" name="Picture 1" descr="C:\Users\Owner\Documents\CSO demography Eyes thesis Curt Bradley map showing missing highsev 20Nov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wner\Documents\CSO demography Eyes thesis Curt Bradley map showing missing highsev 20Nov14.jpg"/>
                    <pic:cNvPicPr>
                      <a:picLocks noChangeAspect="1" noChangeArrowheads="1"/>
                    </pic:cNvPicPr>
                  </pic:nvPicPr>
                  <pic:blipFill>
                    <a:blip r:embed="rId7" cstate="print"/>
                    <a:srcRect/>
                    <a:stretch>
                      <a:fillRect/>
                    </a:stretch>
                  </pic:blipFill>
                  <pic:spPr bwMode="auto">
                    <a:xfrm>
                      <a:off x="0" y="0"/>
                      <a:ext cx="3322926" cy="4300258"/>
                    </a:xfrm>
                    <a:prstGeom prst="rect">
                      <a:avLst/>
                    </a:prstGeom>
                    <a:noFill/>
                    <a:ln w="9525">
                      <a:noFill/>
                      <a:miter lim="800000"/>
                      <a:headEnd/>
                      <a:tailEnd/>
                    </a:ln>
                  </pic:spPr>
                </pic:pic>
              </a:graphicData>
            </a:graphic>
          </wp:inline>
        </w:drawing>
      </w:r>
    </w:p>
    <w:p w14:paraId="4DB4BF1D" w14:textId="77777777" w:rsidR="00AD3237" w:rsidRPr="00A56F2B" w:rsidRDefault="00AD3237" w:rsidP="00AD3237">
      <w:pPr>
        <w:ind w:left="360" w:right="360"/>
        <w:rPr>
          <w:color w:val="222222"/>
          <w:shd w:val="clear" w:color="auto" w:fill="FFFFFF"/>
        </w:rPr>
      </w:pPr>
      <w:r w:rsidRPr="00A56F2B">
        <w:rPr>
          <w:color w:val="222222"/>
          <w:shd w:val="clear" w:color="auto" w:fill="FFFFFF"/>
        </w:rPr>
        <w:t xml:space="preserve">Figure </w:t>
      </w:r>
      <w:r>
        <w:rPr>
          <w:color w:val="222222"/>
          <w:shd w:val="clear" w:color="auto" w:fill="FFFFFF"/>
        </w:rPr>
        <w:t>33</w:t>
      </w:r>
      <w:r w:rsidRPr="00A56F2B">
        <w:rPr>
          <w:color w:val="222222"/>
          <w:shd w:val="clear" w:color="auto" w:fill="FFFFFF"/>
        </w:rPr>
        <w:t>.  High-</w:t>
      </w:r>
      <w:r>
        <w:rPr>
          <w:color w:val="222222"/>
          <w:shd w:val="clear" w:color="auto" w:fill="FFFFFF"/>
        </w:rPr>
        <w:t>intensity</w:t>
      </w:r>
      <w:r w:rsidRPr="00A56F2B">
        <w:rPr>
          <w:color w:val="222222"/>
          <w:shd w:val="clear" w:color="auto" w:fill="FFFFFF"/>
        </w:rPr>
        <w:t xml:space="preserve"> fire areas in two spotted owl home ranges in Eyes (2014).  The high-</w:t>
      </w:r>
      <w:r>
        <w:rPr>
          <w:color w:val="222222"/>
          <w:shd w:val="clear" w:color="auto" w:fill="FFFFFF"/>
        </w:rPr>
        <w:t>intensity</w:t>
      </w:r>
      <w:r w:rsidRPr="00A56F2B">
        <w:rPr>
          <w:color w:val="222222"/>
          <w:shd w:val="clear" w:color="auto" w:fill="FFFFFF"/>
        </w:rPr>
        <w:t xml:space="preserve"> fire areas (and associated detections) shown in light red were excluded by Eyes (2014). </w:t>
      </w:r>
    </w:p>
    <w:p w14:paraId="2A14A363" w14:textId="77777777" w:rsidR="00AD3237" w:rsidRDefault="00AD3237" w:rsidP="00AD3237">
      <w:pPr>
        <w:jc w:val="center"/>
        <w:rPr>
          <w:szCs w:val="24"/>
        </w:rPr>
      </w:pPr>
      <w:r>
        <w:rPr>
          <w:noProof/>
          <w:szCs w:val="24"/>
        </w:rPr>
        <w:lastRenderedPageBreak/>
        <w:drawing>
          <wp:inline distT="0" distB="0" distL="0" distR="0" wp14:anchorId="27428F2A" wp14:editId="3F7AF435">
            <wp:extent cx="3276600" cy="4240306"/>
            <wp:effectExtent l="19050" t="0" r="0" b="0"/>
            <wp:docPr id="77" name="Picture 2" descr="C:\Users\Owner\Documents\CSO demography Eyes thesis Curt Bradley map2 26Nov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wner\Documents\CSO demography Eyes thesis Curt Bradley map2 26Nov14.jpg"/>
                    <pic:cNvPicPr>
                      <a:picLocks noChangeAspect="1" noChangeArrowheads="1"/>
                    </pic:cNvPicPr>
                  </pic:nvPicPr>
                  <pic:blipFill>
                    <a:blip r:embed="rId8" cstate="print"/>
                    <a:srcRect/>
                    <a:stretch>
                      <a:fillRect/>
                    </a:stretch>
                  </pic:blipFill>
                  <pic:spPr bwMode="auto">
                    <a:xfrm>
                      <a:off x="0" y="0"/>
                      <a:ext cx="3279143" cy="4243597"/>
                    </a:xfrm>
                    <a:prstGeom prst="rect">
                      <a:avLst/>
                    </a:prstGeom>
                    <a:noFill/>
                    <a:ln w="9525">
                      <a:noFill/>
                      <a:miter lim="800000"/>
                      <a:headEnd/>
                      <a:tailEnd/>
                    </a:ln>
                  </pic:spPr>
                </pic:pic>
              </a:graphicData>
            </a:graphic>
          </wp:inline>
        </w:drawing>
      </w:r>
    </w:p>
    <w:p w14:paraId="74CCDD5C" w14:textId="77777777" w:rsidR="00AD3237" w:rsidRPr="00A56F2B" w:rsidRDefault="00AD3237" w:rsidP="00AD3237">
      <w:pPr>
        <w:ind w:left="360" w:right="360"/>
      </w:pPr>
      <w:r>
        <w:t>Figure 34</w:t>
      </w:r>
      <w:r w:rsidRPr="00A56F2B">
        <w:t>. High-</w:t>
      </w:r>
      <w:r>
        <w:t>intensity</w:t>
      </w:r>
      <w:r w:rsidRPr="00A56F2B">
        <w:t xml:space="preserve"> fire areas, and detections, in the third territory with high-</w:t>
      </w:r>
      <w:r>
        <w:t>intensity</w:t>
      </w:r>
      <w:r w:rsidRPr="00A56F2B">
        <w:t xml:space="preserve"> fire in Eyes (2014). </w:t>
      </w:r>
    </w:p>
    <w:p w14:paraId="72550ECD" w14:textId="77777777" w:rsidR="00C672D4" w:rsidRDefault="00C672D4" w:rsidP="00AD3237">
      <w:pPr>
        <w:rPr>
          <w:szCs w:val="24"/>
        </w:rPr>
      </w:pPr>
    </w:p>
    <w:p w14:paraId="4425BC64" w14:textId="77777777" w:rsidR="00AD3237" w:rsidRDefault="00AD3237" w:rsidP="00AD3237">
      <w:pPr>
        <w:rPr>
          <w:szCs w:val="24"/>
        </w:rPr>
      </w:pPr>
      <w:r w:rsidRPr="00A21573">
        <w:rPr>
          <w:szCs w:val="24"/>
        </w:rPr>
        <w:t xml:space="preserve">The Eyes </w:t>
      </w:r>
      <w:r>
        <w:rPr>
          <w:szCs w:val="24"/>
        </w:rPr>
        <w:t>thesis also is suspect because it</w:t>
      </w:r>
      <w:r w:rsidRPr="00A21573">
        <w:rPr>
          <w:szCs w:val="24"/>
        </w:rPr>
        <w:t xml:space="preserve"> pool</w:t>
      </w:r>
      <w:r>
        <w:rPr>
          <w:szCs w:val="24"/>
        </w:rPr>
        <w:t>ed</w:t>
      </w:r>
      <w:r w:rsidRPr="00A21573">
        <w:rPr>
          <w:szCs w:val="24"/>
        </w:rPr>
        <w:t xml:space="preserve"> all foraging and random locations in </w:t>
      </w:r>
      <w:r>
        <w:rPr>
          <w:szCs w:val="24"/>
        </w:rPr>
        <w:t>its</w:t>
      </w:r>
      <w:r w:rsidRPr="00A21573">
        <w:rPr>
          <w:szCs w:val="24"/>
        </w:rPr>
        <w:t xml:space="preserve"> analysis and </w:t>
      </w:r>
      <w:r>
        <w:rPr>
          <w:szCs w:val="24"/>
        </w:rPr>
        <w:t xml:space="preserve">did </w:t>
      </w:r>
      <w:r w:rsidRPr="00A21573">
        <w:rPr>
          <w:szCs w:val="24"/>
        </w:rPr>
        <w:t>not analyz</w:t>
      </w:r>
      <w:r>
        <w:rPr>
          <w:szCs w:val="24"/>
        </w:rPr>
        <w:t>e</w:t>
      </w:r>
      <w:r w:rsidRPr="00A21573">
        <w:rPr>
          <w:szCs w:val="24"/>
        </w:rPr>
        <w:t xml:space="preserve"> each owl independently.  </w:t>
      </w:r>
      <w:r>
        <w:rPr>
          <w:szCs w:val="24"/>
        </w:rPr>
        <w:t>An</w:t>
      </w:r>
      <w:r w:rsidRPr="00A21573">
        <w:rPr>
          <w:szCs w:val="24"/>
        </w:rPr>
        <w:t xml:space="preserve"> owl-specific analysis has repeatedly been shown to be necessary because habitat use patterns vary among individual owls (Glenn et al. 2004, Bond et al. 2009, Williams et al. 2011). </w:t>
      </w:r>
      <w:r>
        <w:rPr>
          <w:szCs w:val="24"/>
        </w:rPr>
        <w:t xml:space="preserve"> </w:t>
      </w:r>
      <w:r w:rsidRPr="004E6C0D">
        <w:rPr>
          <w:szCs w:val="24"/>
        </w:rPr>
        <w:t>Eyes</w:t>
      </w:r>
      <w:r>
        <w:rPr>
          <w:szCs w:val="24"/>
        </w:rPr>
        <w:t xml:space="preserve"> (2014)</w:t>
      </w:r>
      <w:r w:rsidRPr="004E6C0D">
        <w:rPr>
          <w:szCs w:val="24"/>
        </w:rPr>
        <w:t xml:space="preserve"> pooled all owl locations because she “did not expect owl foraging behavior to differ between sites, and thus did not treat owl identity as a random effect.”  </w:t>
      </w:r>
      <w:r>
        <w:rPr>
          <w:szCs w:val="24"/>
        </w:rPr>
        <w:t xml:space="preserve">But Glenn et al. (2004), </w:t>
      </w:r>
      <w:r w:rsidRPr="004E6C0D">
        <w:rPr>
          <w:szCs w:val="24"/>
        </w:rPr>
        <w:t xml:space="preserve">Bond et al. </w:t>
      </w:r>
      <w:r>
        <w:rPr>
          <w:szCs w:val="24"/>
        </w:rPr>
        <w:t>(</w:t>
      </w:r>
      <w:r w:rsidRPr="004E6C0D">
        <w:rPr>
          <w:szCs w:val="24"/>
        </w:rPr>
        <w:t>2009</w:t>
      </w:r>
      <w:r>
        <w:rPr>
          <w:szCs w:val="24"/>
        </w:rPr>
        <w:t>),</w:t>
      </w:r>
      <w:r w:rsidRPr="004E6C0D">
        <w:rPr>
          <w:szCs w:val="24"/>
        </w:rPr>
        <w:t xml:space="preserve"> and Williams et al. </w:t>
      </w:r>
      <w:r>
        <w:rPr>
          <w:szCs w:val="24"/>
        </w:rPr>
        <w:t>(</w:t>
      </w:r>
      <w:r w:rsidRPr="004E6C0D">
        <w:rPr>
          <w:szCs w:val="24"/>
        </w:rPr>
        <w:t>2011</w:t>
      </w:r>
      <w:r>
        <w:rPr>
          <w:szCs w:val="24"/>
        </w:rPr>
        <w:t>)</w:t>
      </w:r>
      <w:r w:rsidRPr="004E6C0D">
        <w:rPr>
          <w:szCs w:val="24"/>
        </w:rPr>
        <w:t xml:space="preserve"> found individual owls varied in their foraging habitat selection.  Each owl has a different set of available habitat (including each owl in a pair, given their different foraging behaviors and different home ranges) and therefore will have different selection.  It is incorrect not to include owl as a random effect and not to analyze owls independently.  </w:t>
      </w:r>
    </w:p>
    <w:p w14:paraId="76B93426" w14:textId="77777777" w:rsidR="00C672D4" w:rsidRDefault="00C672D4" w:rsidP="00AD3237">
      <w:pPr>
        <w:rPr>
          <w:szCs w:val="24"/>
        </w:rPr>
      </w:pPr>
    </w:p>
    <w:p w14:paraId="3A127E41" w14:textId="77777777" w:rsidR="00AD3237" w:rsidRPr="004E6C0D" w:rsidRDefault="00AD3237" w:rsidP="00AD3237">
      <w:pPr>
        <w:rPr>
          <w:szCs w:val="24"/>
        </w:rPr>
      </w:pPr>
      <w:r w:rsidRPr="004E6C0D">
        <w:rPr>
          <w:szCs w:val="24"/>
        </w:rPr>
        <w:t xml:space="preserve">Eyes </w:t>
      </w:r>
      <w:r>
        <w:rPr>
          <w:szCs w:val="24"/>
        </w:rPr>
        <w:t xml:space="preserve">(2014) </w:t>
      </w:r>
      <w:r w:rsidRPr="004E6C0D">
        <w:rPr>
          <w:szCs w:val="24"/>
        </w:rPr>
        <w:t xml:space="preserve">also summed all values within a foraging location into a single “fire severity index” </w:t>
      </w:r>
      <w:r>
        <w:rPr>
          <w:szCs w:val="24"/>
        </w:rPr>
        <w:t xml:space="preserve">(FSI).  </w:t>
      </w:r>
      <w:r w:rsidRPr="004E6C0D">
        <w:rPr>
          <w:szCs w:val="24"/>
        </w:rPr>
        <w:t>This washes out any real information about selection for different fire severities at the foraging location.  By making a single compound variable of the proportion of different fire severities in the location error circle, it is impossible to see the selection effects of each severity type independently.  In other words, if there is a positive association with high</w:t>
      </w:r>
      <w:r>
        <w:rPr>
          <w:szCs w:val="24"/>
        </w:rPr>
        <w:t>-intensity</w:t>
      </w:r>
      <w:r w:rsidRPr="004E6C0D">
        <w:rPr>
          <w:szCs w:val="24"/>
        </w:rPr>
        <w:t xml:space="preserve"> fire and a negative association with unburned forest, as</w:t>
      </w:r>
      <w:r>
        <w:rPr>
          <w:szCs w:val="24"/>
        </w:rPr>
        <w:t xml:space="preserve"> found in Bond et al. (2009) for foraging,</w:t>
      </w:r>
      <w:r w:rsidRPr="004E6C0D">
        <w:rPr>
          <w:szCs w:val="24"/>
        </w:rPr>
        <w:t xml:space="preserve"> the analys</w:t>
      </w:r>
      <w:r>
        <w:rPr>
          <w:szCs w:val="24"/>
        </w:rPr>
        <w:t>i</w:t>
      </w:r>
      <w:r w:rsidRPr="004E6C0D">
        <w:rPr>
          <w:szCs w:val="24"/>
        </w:rPr>
        <w:t xml:space="preserve">s using FSI is in essence fighting against itself, and the positive and negative selections for the different severities are confounded.  For example, given a location error circle that </w:t>
      </w:r>
      <w:r w:rsidRPr="004E6C0D">
        <w:rPr>
          <w:szCs w:val="24"/>
        </w:rPr>
        <w:lastRenderedPageBreak/>
        <w:t>contains 50% high</w:t>
      </w:r>
      <w:r>
        <w:rPr>
          <w:szCs w:val="24"/>
        </w:rPr>
        <w:t>-intensity fire</w:t>
      </w:r>
      <w:r w:rsidRPr="004E6C0D">
        <w:rPr>
          <w:szCs w:val="24"/>
        </w:rPr>
        <w:t xml:space="preserve"> and 50% unburned forest, the FSI would categorize that location as moderate severity, thus rendering the FSI portion of the analysis largely uninformative. Interestingly, Eyes’ definition of high-contrast edge was simply the presence of high-</w:t>
      </w:r>
      <w:r>
        <w:rPr>
          <w:szCs w:val="24"/>
        </w:rPr>
        <w:t>intensity</w:t>
      </w:r>
      <w:r w:rsidRPr="004E6C0D">
        <w:rPr>
          <w:szCs w:val="24"/>
        </w:rPr>
        <w:t xml:space="preserve"> fire within the foraging location error circle, and this was positively selected for in the top model (Page 31 says “relative probability of use was highest for high contrast edge” although confidence intervals overlapped zero).</w:t>
      </w:r>
    </w:p>
    <w:p w14:paraId="7282658B" w14:textId="77777777" w:rsidR="00C672D4" w:rsidRDefault="00C672D4" w:rsidP="00AD3237">
      <w:pPr>
        <w:autoSpaceDE w:val="0"/>
        <w:autoSpaceDN w:val="0"/>
        <w:adjustRightInd w:val="0"/>
        <w:rPr>
          <w:szCs w:val="24"/>
        </w:rPr>
      </w:pPr>
    </w:p>
    <w:p w14:paraId="0F7E6ED9" w14:textId="77777777" w:rsidR="008B1234" w:rsidRPr="00FA3C1C" w:rsidRDefault="00AD3237" w:rsidP="00AD3237">
      <w:pPr>
        <w:autoSpaceDE w:val="0"/>
        <w:autoSpaceDN w:val="0"/>
        <w:adjustRightInd w:val="0"/>
        <w:rPr>
          <w:szCs w:val="24"/>
        </w:rPr>
      </w:pPr>
      <w:r w:rsidRPr="009A2FBD">
        <w:rPr>
          <w:szCs w:val="24"/>
        </w:rPr>
        <w:t>Eyes</w:t>
      </w:r>
      <w:r>
        <w:rPr>
          <w:szCs w:val="24"/>
        </w:rPr>
        <w:t xml:space="preserve"> (2014)</w:t>
      </w:r>
      <w:r w:rsidRPr="009A2FBD">
        <w:rPr>
          <w:szCs w:val="24"/>
        </w:rPr>
        <w:t xml:space="preserve"> also </w:t>
      </w:r>
      <w:r>
        <w:rPr>
          <w:szCs w:val="24"/>
        </w:rPr>
        <w:t>ma</w:t>
      </w:r>
      <w:r w:rsidRPr="009A2FBD">
        <w:rPr>
          <w:szCs w:val="24"/>
        </w:rPr>
        <w:t>ke</w:t>
      </w:r>
      <w:r>
        <w:rPr>
          <w:szCs w:val="24"/>
        </w:rPr>
        <w:t>s</w:t>
      </w:r>
      <w:r w:rsidRPr="009A2FBD">
        <w:rPr>
          <w:szCs w:val="24"/>
        </w:rPr>
        <w:t xml:space="preserve"> incorrect statements about the literature</w:t>
      </w:r>
      <w:r>
        <w:rPr>
          <w:szCs w:val="24"/>
        </w:rPr>
        <w:t xml:space="preserve"> in her discussion section</w:t>
      </w:r>
      <w:r w:rsidRPr="009A2FBD">
        <w:rPr>
          <w:szCs w:val="24"/>
        </w:rPr>
        <w:t xml:space="preserve">.  For example, fire did </w:t>
      </w:r>
      <w:r w:rsidRPr="009A2FBD">
        <w:rPr>
          <w:i/>
          <w:szCs w:val="24"/>
        </w:rPr>
        <w:t>not</w:t>
      </w:r>
      <w:r w:rsidRPr="009A2FBD">
        <w:rPr>
          <w:szCs w:val="24"/>
        </w:rPr>
        <w:t xml:space="preserve"> decrease site occupancy of M</w:t>
      </w:r>
      <w:r>
        <w:rPr>
          <w:szCs w:val="24"/>
        </w:rPr>
        <w:t>exican spotted owls</w:t>
      </w:r>
      <w:r w:rsidRPr="009A2FBD">
        <w:rPr>
          <w:szCs w:val="24"/>
        </w:rPr>
        <w:t xml:space="preserve"> (</w:t>
      </w:r>
      <w:proofErr w:type="spellStart"/>
      <w:r w:rsidRPr="009A2FBD">
        <w:rPr>
          <w:szCs w:val="24"/>
        </w:rPr>
        <w:t>Jenness</w:t>
      </w:r>
      <w:proofErr w:type="spellEnd"/>
      <w:r w:rsidRPr="009A2FBD">
        <w:rPr>
          <w:szCs w:val="24"/>
        </w:rPr>
        <w:t xml:space="preserve"> et al. 2004), and that study did not analyze survival.  And</w:t>
      </w:r>
      <w:r>
        <w:rPr>
          <w:szCs w:val="24"/>
        </w:rPr>
        <w:t>,</w:t>
      </w:r>
      <w:r w:rsidRPr="009A2FBD">
        <w:rPr>
          <w:szCs w:val="24"/>
        </w:rPr>
        <w:t xml:space="preserve"> </w:t>
      </w:r>
      <w:proofErr w:type="spellStart"/>
      <w:r w:rsidRPr="009A2FBD">
        <w:rPr>
          <w:szCs w:val="24"/>
        </w:rPr>
        <w:t>Tempel</w:t>
      </w:r>
      <w:proofErr w:type="spellEnd"/>
      <w:r w:rsidRPr="009A2FBD">
        <w:rPr>
          <w:szCs w:val="24"/>
        </w:rPr>
        <w:t xml:space="preserve"> et al. (2014, cited as in press) did not have sufficient data to determine occupancy effects of fire, and their sites </w:t>
      </w:r>
      <w:r>
        <w:rPr>
          <w:szCs w:val="24"/>
        </w:rPr>
        <w:t>were heavily post-fire logged (as discussed in the Threats section below).</w:t>
      </w:r>
      <w:r w:rsidRPr="009A2FBD">
        <w:rPr>
          <w:szCs w:val="24"/>
        </w:rPr>
        <w:t xml:space="preserve">  Moreover, Bond et al. </w:t>
      </w:r>
      <w:r>
        <w:rPr>
          <w:szCs w:val="24"/>
        </w:rPr>
        <w:t>(</w:t>
      </w:r>
      <w:r w:rsidRPr="009A2FBD">
        <w:rPr>
          <w:szCs w:val="24"/>
        </w:rPr>
        <w:t>2009</w:t>
      </w:r>
      <w:r>
        <w:rPr>
          <w:szCs w:val="24"/>
        </w:rPr>
        <w:t>)</w:t>
      </w:r>
      <w:r w:rsidRPr="009A2FBD">
        <w:rPr>
          <w:szCs w:val="24"/>
        </w:rPr>
        <w:t xml:space="preserve"> used the owl as the individual </w:t>
      </w:r>
      <w:r>
        <w:rPr>
          <w:szCs w:val="24"/>
        </w:rPr>
        <w:t xml:space="preserve">study </w:t>
      </w:r>
      <w:r w:rsidRPr="009A2FBD">
        <w:rPr>
          <w:szCs w:val="24"/>
        </w:rPr>
        <w:t xml:space="preserve">unit, not territory, as owl pairs forage independently.  Thus, in Bond et al. </w:t>
      </w:r>
      <w:r>
        <w:rPr>
          <w:szCs w:val="24"/>
        </w:rPr>
        <w:t>(</w:t>
      </w:r>
      <w:r w:rsidRPr="009A2FBD">
        <w:rPr>
          <w:szCs w:val="24"/>
        </w:rPr>
        <w:t>2009</w:t>
      </w:r>
      <w:r>
        <w:rPr>
          <w:szCs w:val="24"/>
        </w:rPr>
        <w:t>)</w:t>
      </w:r>
      <w:r w:rsidRPr="009A2FBD">
        <w:rPr>
          <w:szCs w:val="24"/>
        </w:rPr>
        <w:t xml:space="preserve">, </w:t>
      </w:r>
      <w:r>
        <w:rPr>
          <w:szCs w:val="24"/>
        </w:rPr>
        <w:t>there were 7 study units, not 4, as Eyes (2014) incorrectly states</w:t>
      </w:r>
      <w:r w:rsidRPr="009A2FBD">
        <w:rPr>
          <w:szCs w:val="24"/>
        </w:rPr>
        <w:t xml:space="preserve"> (see also other telemetry studies that consider the owl the unit (e.g. Glenn et al. 2004, Irwin et al. 2007, Williams et al. 2011)).  Bond et al. </w:t>
      </w:r>
      <w:r>
        <w:rPr>
          <w:szCs w:val="24"/>
        </w:rPr>
        <w:t>(</w:t>
      </w:r>
      <w:r w:rsidRPr="009A2FBD">
        <w:rPr>
          <w:szCs w:val="24"/>
        </w:rPr>
        <w:t>2009</w:t>
      </w:r>
      <w:r>
        <w:rPr>
          <w:szCs w:val="24"/>
        </w:rPr>
        <w:t>)</w:t>
      </w:r>
      <w:r w:rsidRPr="009A2FBD">
        <w:rPr>
          <w:szCs w:val="24"/>
        </w:rPr>
        <w:t>’s results were not “confounded” by anything</w:t>
      </w:r>
      <w:r>
        <w:rPr>
          <w:szCs w:val="24"/>
        </w:rPr>
        <w:t>, as Eyes (2014) mistakenly claims</w:t>
      </w:r>
      <w:r w:rsidRPr="009A2FBD">
        <w:rPr>
          <w:szCs w:val="24"/>
        </w:rPr>
        <w:t>; the nature of the pre-</w:t>
      </w:r>
      <w:r>
        <w:rPr>
          <w:szCs w:val="24"/>
        </w:rPr>
        <w:t xml:space="preserve"> </w:t>
      </w:r>
      <w:r w:rsidRPr="009A2FBD">
        <w:rPr>
          <w:szCs w:val="24"/>
        </w:rPr>
        <w:t xml:space="preserve">and post-fire forests available to the owls is representative of all national forest lands because all have been logged and fire-suppressed.  </w:t>
      </w:r>
      <w:r>
        <w:rPr>
          <w:szCs w:val="24"/>
        </w:rPr>
        <w:t xml:space="preserve">In </w:t>
      </w:r>
      <w:r w:rsidRPr="009A2FBD">
        <w:rPr>
          <w:szCs w:val="24"/>
        </w:rPr>
        <w:t>addition, an average of only 4% of high-</w:t>
      </w:r>
      <w:r>
        <w:rPr>
          <w:szCs w:val="24"/>
        </w:rPr>
        <w:t>intensity</w:t>
      </w:r>
      <w:r w:rsidRPr="009A2FBD">
        <w:rPr>
          <w:szCs w:val="24"/>
        </w:rPr>
        <w:t xml:space="preserve"> fire was available for owls to select in the home ranges in the Eyes </w:t>
      </w:r>
      <w:r>
        <w:rPr>
          <w:szCs w:val="24"/>
        </w:rPr>
        <w:t xml:space="preserve">(2014) </w:t>
      </w:r>
      <w:r w:rsidRPr="009A2FBD">
        <w:rPr>
          <w:szCs w:val="24"/>
        </w:rPr>
        <w:t>study.  This makes it difficult for owls to select the high-</w:t>
      </w:r>
      <w:r>
        <w:rPr>
          <w:szCs w:val="24"/>
        </w:rPr>
        <w:t>intensity</w:t>
      </w:r>
      <w:r w:rsidRPr="009A2FBD">
        <w:rPr>
          <w:szCs w:val="24"/>
        </w:rPr>
        <w:t xml:space="preserve"> habitat type at all given it was such a small proportion of the ranges.  Further, Lee et al. </w:t>
      </w:r>
      <w:r>
        <w:rPr>
          <w:szCs w:val="24"/>
        </w:rPr>
        <w:t>(</w:t>
      </w:r>
      <w:r w:rsidRPr="009A2FBD">
        <w:rPr>
          <w:szCs w:val="24"/>
        </w:rPr>
        <w:t>2012</w:t>
      </w:r>
      <w:r>
        <w:rPr>
          <w:szCs w:val="24"/>
        </w:rPr>
        <w:t>)</w:t>
      </w:r>
      <w:r w:rsidRPr="009A2FBD">
        <w:rPr>
          <w:szCs w:val="24"/>
        </w:rPr>
        <w:t xml:space="preserve"> looked at surveyed sites throughout the Sierra Nevada, so the assertion </w:t>
      </w:r>
      <w:r>
        <w:rPr>
          <w:szCs w:val="24"/>
        </w:rPr>
        <w:t xml:space="preserve">in Eyes (2014) </w:t>
      </w:r>
      <w:r w:rsidRPr="009A2FBD">
        <w:rPr>
          <w:szCs w:val="24"/>
        </w:rPr>
        <w:t xml:space="preserve">that “results should not be extrapolated outside of their particular study area” is </w:t>
      </w:r>
      <w:r>
        <w:rPr>
          <w:szCs w:val="24"/>
        </w:rPr>
        <w:t>meaningless because</w:t>
      </w:r>
      <w:r w:rsidRPr="009A2FBD">
        <w:rPr>
          <w:szCs w:val="24"/>
        </w:rPr>
        <w:t xml:space="preserve"> Lee et al. </w:t>
      </w:r>
      <w:r>
        <w:rPr>
          <w:szCs w:val="24"/>
        </w:rPr>
        <w:t xml:space="preserve">(2012) </w:t>
      </w:r>
      <w:r w:rsidRPr="009A2FBD">
        <w:rPr>
          <w:szCs w:val="24"/>
        </w:rPr>
        <w:t>applies throughout the Sierra Nevada.</w:t>
      </w:r>
      <w:r w:rsidRPr="00877EAD">
        <w:rPr>
          <w:szCs w:val="24"/>
        </w:rPr>
        <w:t xml:space="preserve"> </w:t>
      </w:r>
      <w:r>
        <w:rPr>
          <w:szCs w:val="24"/>
        </w:rPr>
        <w:t xml:space="preserve"> Further, in the Discussion section, Eyes (2014) states that Clark (2007) found that spotted owls “avoided” high-intensity fire areas, while Clark (2007: Figure 6.2) found precisely the opposite, as discussed above.  In the beginning of the Discussion section, Eyes (2014) also mischaracterizes studies regarding northern spotted owls in fire areas in southwestern Oregon, claiming that these studies found reduced occupancy/use as a result of high-intensity fire, while these studies (including Clark 2007) actually found reduced occupancy/use where extensive post-fire logging had occurred following mixed-intensity fire. </w:t>
      </w:r>
      <w:r w:rsidR="009E77B1">
        <w:rPr>
          <w:szCs w:val="24"/>
        </w:rPr>
        <w:t xml:space="preserve"> </w:t>
      </w:r>
    </w:p>
    <w:p w14:paraId="006F3D4C" w14:textId="77777777" w:rsidR="009B57CB" w:rsidRPr="004A6A7E" w:rsidRDefault="009B57CB" w:rsidP="00FA3C1C">
      <w:pPr>
        <w:shd w:val="clear" w:color="auto" w:fill="FFFFFF"/>
        <w:rPr>
          <w:color w:val="222222"/>
          <w:szCs w:val="24"/>
        </w:rPr>
      </w:pPr>
    </w:p>
    <w:sectPr w:rsidR="009B57CB" w:rsidRPr="004A6A7E" w:rsidSect="00AF710D">
      <w:headerReference w:type="first" r:id="rId9"/>
      <w:pgSz w:w="12240" w:h="15840"/>
      <w:pgMar w:top="1440" w:right="1440" w:bottom="1440" w:left="1440" w:header="63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296A52" w14:textId="77777777" w:rsidR="00B056D6" w:rsidRDefault="00B056D6">
      <w:r>
        <w:separator/>
      </w:r>
    </w:p>
  </w:endnote>
  <w:endnote w:type="continuationSeparator" w:id="0">
    <w:p w14:paraId="00DBF6FE" w14:textId="77777777" w:rsidR="00B056D6" w:rsidRDefault="00B056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EC9C2D" w14:textId="77777777" w:rsidR="00B056D6" w:rsidRDefault="00B056D6">
      <w:r>
        <w:separator/>
      </w:r>
    </w:p>
  </w:footnote>
  <w:footnote w:type="continuationSeparator" w:id="0">
    <w:p w14:paraId="1D28E282" w14:textId="77777777" w:rsidR="00B056D6" w:rsidRDefault="00B056D6">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C8CA1A" w14:textId="77777777" w:rsidR="007436AA" w:rsidRDefault="00DA3D06">
    <w:pPr>
      <w:pStyle w:val="Header"/>
      <w:jc w:val="right"/>
      <w:rPr>
        <w:b/>
      </w:rPr>
    </w:pPr>
    <w:r>
      <w:rPr>
        <w:b/>
        <w:bCs/>
        <w:noProof/>
      </w:rPr>
      <w:t xml:space="preserve"> </w:t>
    </w:r>
  </w:p>
  <w:p w14:paraId="7BFE1D3C" w14:textId="77777777" w:rsidR="007436AA" w:rsidRDefault="00DA3D06">
    <w:pPr>
      <w:pStyle w:val="Header"/>
      <w:rPr>
        <w:b/>
      </w:rPr>
    </w:pPr>
    <w:r>
      <w:rPr>
        <w:b/>
      </w:rPr>
      <w:t xml:space="preserve"> </w:t>
    </w:r>
  </w:p>
  <w:p w14:paraId="5EB4862C" w14:textId="77777777" w:rsidR="007436AA" w:rsidRDefault="007436AA">
    <w:pPr>
      <w:pStyle w:val="Header"/>
      <w:jc w:val="right"/>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alt="https://ssl.gstatic.com/ui/v1/icons/mail/images/cleardot.gif" style="width:1pt;height:1pt;visibility:visible;mso-wrap-style:square" o:bullet="t">
        <v:imagedata r:id="rId1" o:title="cleardot"/>
      </v:shape>
    </w:pict>
  </w:numPicBullet>
  <w:abstractNum w:abstractNumId="0">
    <w:nsid w:val="096F28C0"/>
    <w:multiLevelType w:val="multilevel"/>
    <w:tmpl w:val="13BA0AA0"/>
    <w:lvl w:ilvl="0">
      <w:start w:val="1"/>
      <w:numFmt w:val="upperRoman"/>
      <w:pStyle w:val="Outlining"/>
      <w:lvlText w:val="%1."/>
      <w:lvlJc w:val="left"/>
      <w:pPr>
        <w:tabs>
          <w:tab w:val="num" w:pos="576"/>
        </w:tabs>
        <w:ind w:left="576" w:hanging="576"/>
      </w:pPr>
      <w:rPr>
        <w:rFonts w:ascii="Times New Roman" w:hAnsi="Times New Roman" w:hint="default"/>
        <w:b w:val="0"/>
        <w:i w:val="0"/>
        <w:sz w:val="24"/>
      </w:rPr>
    </w:lvl>
    <w:lvl w:ilvl="1">
      <w:start w:val="1"/>
      <w:numFmt w:val="upperLetter"/>
      <w:lvlText w:val="%2."/>
      <w:lvlJc w:val="left"/>
      <w:pPr>
        <w:tabs>
          <w:tab w:val="num" w:pos="936"/>
        </w:tabs>
        <w:ind w:left="936" w:hanging="360"/>
      </w:pPr>
      <w:rPr>
        <w:rFonts w:hint="default"/>
      </w:rPr>
    </w:lvl>
    <w:lvl w:ilvl="2">
      <w:start w:val="1"/>
      <w:numFmt w:val="decimal"/>
      <w:lvlText w:val="%3."/>
      <w:lvlJc w:val="left"/>
      <w:pPr>
        <w:tabs>
          <w:tab w:val="num" w:pos="1368"/>
        </w:tabs>
        <w:ind w:left="1368" w:hanging="432"/>
      </w:pPr>
      <w:rPr>
        <w:rFonts w:hint="default"/>
      </w:rPr>
    </w:lvl>
    <w:lvl w:ilvl="3">
      <w:start w:val="1"/>
      <w:numFmt w:val="lowerLetter"/>
      <w:lvlText w:val="%4)"/>
      <w:lvlJc w:val="left"/>
      <w:pPr>
        <w:tabs>
          <w:tab w:val="num" w:pos="1728"/>
        </w:tabs>
        <w:ind w:left="1728" w:hanging="360"/>
      </w:pPr>
      <w:rPr>
        <w:rFonts w:hint="default"/>
      </w:rPr>
    </w:lvl>
    <w:lvl w:ilvl="4">
      <w:start w:val="1"/>
      <w:numFmt w:val="decimal"/>
      <w:lvlText w:val="(%5)"/>
      <w:lvlJc w:val="left"/>
      <w:pPr>
        <w:tabs>
          <w:tab w:val="num" w:pos="2088"/>
        </w:tabs>
        <w:ind w:left="2088" w:hanging="360"/>
      </w:pPr>
      <w:rPr>
        <w:rFonts w:hint="default"/>
      </w:rPr>
    </w:lvl>
    <w:lvl w:ilvl="5">
      <w:start w:val="1"/>
      <w:numFmt w:val="lowerLetter"/>
      <w:lvlText w:val="(%6)"/>
      <w:lvlJc w:val="left"/>
      <w:pPr>
        <w:tabs>
          <w:tab w:val="num" w:pos="2448"/>
        </w:tabs>
        <w:ind w:left="2448" w:hanging="360"/>
      </w:pPr>
      <w:rPr>
        <w:rFonts w:hint="default"/>
      </w:rPr>
    </w:lvl>
    <w:lvl w:ilvl="6">
      <w:start w:val="1"/>
      <w:numFmt w:val="lowerRoman"/>
      <w:lvlText w:val="(%7)"/>
      <w:lvlJc w:val="left"/>
      <w:pPr>
        <w:tabs>
          <w:tab w:val="num" w:pos="3024"/>
        </w:tabs>
        <w:ind w:left="3024" w:hanging="576"/>
      </w:pPr>
      <w:rPr>
        <w:rFonts w:hint="default"/>
      </w:rPr>
    </w:lvl>
    <w:lvl w:ilvl="7">
      <w:start w:val="1"/>
      <w:numFmt w:val="lowerLetter"/>
      <w:lvlText w:val="(%8)"/>
      <w:lvlJc w:val="left"/>
      <w:pPr>
        <w:tabs>
          <w:tab w:val="num" w:pos="3456"/>
        </w:tabs>
        <w:ind w:left="3456" w:hanging="432"/>
      </w:pPr>
      <w:rPr>
        <w:rFonts w:hint="default"/>
      </w:rPr>
    </w:lvl>
    <w:lvl w:ilvl="8">
      <w:start w:val="1"/>
      <w:numFmt w:val="lowerRoman"/>
      <w:lvlText w:val="(%9)"/>
      <w:lvlJc w:val="left"/>
      <w:pPr>
        <w:tabs>
          <w:tab w:val="num" w:pos="3888"/>
        </w:tabs>
        <w:ind w:left="3888" w:hanging="432"/>
      </w:pPr>
      <w:rPr>
        <w:rFonts w:hint="default"/>
      </w:rPr>
    </w:lvl>
  </w:abstractNum>
  <w:abstractNum w:abstractNumId="1">
    <w:nsid w:val="289767F9"/>
    <w:multiLevelType w:val="hybridMultilevel"/>
    <w:tmpl w:val="9B4412D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ADF5EEF"/>
    <w:multiLevelType w:val="hybridMultilevel"/>
    <w:tmpl w:val="4FC4960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DA971DA"/>
    <w:multiLevelType w:val="hybridMultilevel"/>
    <w:tmpl w:val="E0280C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3A618E4"/>
    <w:multiLevelType w:val="hybridMultilevel"/>
    <w:tmpl w:val="71AAFC0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1171549"/>
    <w:multiLevelType w:val="multilevel"/>
    <w:tmpl w:val="8D125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F157D53"/>
    <w:multiLevelType w:val="hybridMultilevel"/>
    <w:tmpl w:val="9DF654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C04251A"/>
    <w:multiLevelType w:val="multilevel"/>
    <w:tmpl w:val="968610D4"/>
    <w:lvl w:ilvl="0">
      <w:start w:val="1"/>
      <w:numFmt w:val="upperRoman"/>
      <w:pStyle w:val="LegalOutline"/>
      <w:lvlText w:val="%1."/>
      <w:lvlJc w:val="left"/>
      <w:pPr>
        <w:tabs>
          <w:tab w:val="num" w:pos="720"/>
        </w:tabs>
        <w:ind w:left="720" w:hanging="720"/>
      </w:pPr>
      <w:rPr>
        <w:rFonts w:ascii="Times New Roman" w:hAnsi="Times New Roman" w:hint="default"/>
        <w:b/>
        <w:i w:val="0"/>
        <w:sz w:val="24"/>
      </w:rPr>
    </w:lvl>
    <w:lvl w:ilvl="1">
      <w:start w:val="1"/>
      <w:numFmt w:val="upperLetter"/>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lowerLetter"/>
      <w:lvlText w:val="%4."/>
      <w:lvlJc w:val="left"/>
      <w:pPr>
        <w:tabs>
          <w:tab w:val="num" w:pos="2880"/>
        </w:tabs>
        <w:ind w:left="2880" w:hanging="720"/>
      </w:pPr>
      <w:rPr>
        <w:rFonts w:hint="default"/>
      </w:rPr>
    </w:lvl>
    <w:lvl w:ilvl="4">
      <w:start w:val="1"/>
      <w:numFmt w:val="lowerRoman"/>
      <w:lvlText w:val="(%5)"/>
      <w:lvlJc w:val="left"/>
      <w:pPr>
        <w:tabs>
          <w:tab w:val="num" w:pos="3600"/>
        </w:tabs>
        <w:ind w:left="3600" w:hanging="720"/>
      </w:pPr>
      <w:rPr>
        <w:rFonts w:hint="default"/>
      </w:rPr>
    </w:lvl>
    <w:lvl w:ilvl="5">
      <w:start w:val="1"/>
      <w:numFmt w:val="lowerLetter"/>
      <w:lvlText w:val="(%6)"/>
      <w:lvlJc w:val="left"/>
      <w:pPr>
        <w:tabs>
          <w:tab w:val="num" w:pos="4320"/>
        </w:tabs>
        <w:ind w:left="4320" w:hanging="720"/>
      </w:pPr>
      <w:rPr>
        <w:rFonts w:hint="default"/>
      </w:rPr>
    </w:lvl>
    <w:lvl w:ilvl="6">
      <w:start w:val="1"/>
      <w:numFmt w:val="lowerRoman"/>
      <w:lvlText w:val="(%7)"/>
      <w:lvlJc w:val="left"/>
      <w:pPr>
        <w:tabs>
          <w:tab w:val="num" w:pos="5040"/>
        </w:tabs>
        <w:ind w:left="5040" w:hanging="720"/>
      </w:pPr>
      <w:rPr>
        <w:rFonts w:hint="default"/>
      </w:rPr>
    </w:lvl>
    <w:lvl w:ilvl="7">
      <w:start w:val="1"/>
      <w:numFmt w:val="lowerLetter"/>
      <w:lvlText w:val="(%8)"/>
      <w:lvlJc w:val="left"/>
      <w:pPr>
        <w:tabs>
          <w:tab w:val="num" w:pos="5760"/>
        </w:tabs>
        <w:ind w:left="5760" w:hanging="720"/>
      </w:pPr>
      <w:rPr>
        <w:rFonts w:hint="default"/>
      </w:rPr>
    </w:lvl>
    <w:lvl w:ilvl="8">
      <w:start w:val="1"/>
      <w:numFmt w:val="lowerRoman"/>
      <w:lvlText w:val="(%9)"/>
      <w:lvlJc w:val="left"/>
      <w:pPr>
        <w:tabs>
          <w:tab w:val="num" w:pos="6480"/>
        </w:tabs>
        <w:ind w:left="6480" w:hanging="720"/>
      </w:pPr>
      <w:rPr>
        <w:rFonts w:hint="default"/>
      </w:rPr>
    </w:lvl>
  </w:abstractNum>
  <w:abstractNum w:abstractNumId="8">
    <w:nsid w:val="6D911450"/>
    <w:multiLevelType w:val="hybridMultilevel"/>
    <w:tmpl w:val="8AC62E44"/>
    <w:lvl w:ilvl="0" w:tplc="5ECE6C9A">
      <w:start w:val="1"/>
      <w:numFmt w:val="decimal"/>
      <w:pStyle w:val="Complaint"/>
      <w:lvlText w:val="%1."/>
      <w:lvlJc w:val="left"/>
      <w:pPr>
        <w:tabs>
          <w:tab w:val="num" w:pos="720"/>
        </w:tabs>
        <w:ind w:left="720" w:hanging="360"/>
      </w:pPr>
      <w:rPr>
        <w:b w:val="0"/>
      </w:rPr>
    </w:lvl>
    <w:lvl w:ilvl="1" w:tplc="04090001">
      <w:start w:val="1"/>
      <w:numFmt w:val="bullet"/>
      <w:lvlText w:val=""/>
      <w:lvlJc w:val="left"/>
      <w:pPr>
        <w:tabs>
          <w:tab w:val="num" w:pos="1440"/>
        </w:tabs>
        <w:ind w:left="1440" w:hanging="360"/>
      </w:pPr>
      <w:rPr>
        <w:rFonts w:ascii="Symbol" w:hAnsi="Symbol" w:hint="default"/>
      </w:rPr>
    </w:lvl>
    <w:lvl w:ilvl="2" w:tplc="F14C85BA">
      <w:start w:val="1"/>
      <w:numFmt w:val="lowerLetter"/>
      <w:lvlText w:val="(%3)"/>
      <w:lvlJc w:val="left"/>
      <w:pPr>
        <w:tabs>
          <w:tab w:val="num" w:pos="2340"/>
        </w:tabs>
        <w:ind w:left="2340" w:hanging="360"/>
      </w:pPr>
      <w:rPr>
        <w:rFonts w:hint="default"/>
      </w:rPr>
    </w:lvl>
    <w:lvl w:ilvl="3" w:tplc="8FA096EC">
      <w:start w:val="1"/>
      <w:numFmt w:val="lowerLetter"/>
      <w:lvlText w:val="(%4)"/>
      <w:lvlJc w:val="left"/>
      <w:pPr>
        <w:tabs>
          <w:tab w:val="num" w:pos="2880"/>
        </w:tabs>
        <w:ind w:left="2880" w:hanging="360"/>
      </w:pPr>
      <w:rPr>
        <w:rFonts w:hint="default"/>
        <w:b w:val="0"/>
      </w:rPr>
    </w:lvl>
    <w:lvl w:ilvl="4" w:tplc="657811D0">
      <w:start w:val="30"/>
      <w:numFmt w:val="decimal"/>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70DC65B9"/>
    <w:multiLevelType w:val="hybridMultilevel"/>
    <w:tmpl w:val="4FB8D07C"/>
    <w:lvl w:ilvl="0" w:tplc="9BF0B882">
      <w:start w:val="1"/>
      <w:numFmt w:val="bullet"/>
      <w:lvlText w:val=""/>
      <w:lvlPicBulletId w:val="0"/>
      <w:lvlJc w:val="left"/>
      <w:pPr>
        <w:tabs>
          <w:tab w:val="num" w:pos="720"/>
        </w:tabs>
        <w:ind w:left="720" w:hanging="360"/>
      </w:pPr>
      <w:rPr>
        <w:rFonts w:ascii="Symbol" w:hAnsi="Symbol" w:hint="default"/>
      </w:rPr>
    </w:lvl>
    <w:lvl w:ilvl="1" w:tplc="EF460AAE" w:tentative="1">
      <w:start w:val="1"/>
      <w:numFmt w:val="bullet"/>
      <w:lvlText w:val=""/>
      <w:lvlJc w:val="left"/>
      <w:pPr>
        <w:tabs>
          <w:tab w:val="num" w:pos="1440"/>
        </w:tabs>
        <w:ind w:left="1440" w:hanging="360"/>
      </w:pPr>
      <w:rPr>
        <w:rFonts w:ascii="Symbol" w:hAnsi="Symbol" w:hint="default"/>
      </w:rPr>
    </w:lvl>
    <w:lvl w:ilvl="2" w:tplc="1B6EA336" w:tentative="1">
      <w:start w:val="1"/>
      <w:numFmt w:val="bullet"/>
      <w:lvlText w:val=""/>
      <w:lvlJc w:val="left"/>
      <w:pPr>
        <w:tabs>
          <w:tab w:val="num" w:pos="2160"/>
        </w:tabs>
        <w:ind w:left="2160" w:hanging="360"/>
      </w:pPr>
      <w:rPr>
        <w:rFonts w:ascii="Symbol" w:hAnsi="Symbol" w:hint="default"/>
      </w:rPr>
    </w:lvl>
    <w:lvl w:ilvl="3" w:tplc="F3244FC0" w:tentative="1">
      <w:start w:val="1"/>
      <w:numFmt w:val="bullet"/>
      <w:lvlText w:val=""/>
      <w:lvlJc w:val="left"/>
      <w:pPr>
        <w:tabs>
          <w:tab w:val="num" w:pos="2880"/>
        </w:tabs>
        <w:ind w:left="2880" w:hanging="360"/>
      </w:pPr>
      <w:rPr>
        <w:rFonts w:ascii="Symbol" w:hAnsi="Symbol" w:hint="default"/>
      </w:rPr>
    </w:lvl>
    <w:lvl w:ilvl="4" w:tplc="E30617FC" w:tentative="1">
      <w:start w:val="1"/>
      <w:numFmt w:val="bullet"/>
      <w:lvlText w:val=""/>
      <w:lvlJc w:val="left"/>
      <w:pPr>
        <w:tabs>
          <w:tab w:val="num" w:pos="3600"/>
        </w:tabs>
        <w:ind w:left="3600" w:hanging="360"/>
      </w:pPr>
      <w:rPr>
        <w:rFonts w:ascii="Symbol" w:hAnsi="Symbol" w:hint="default"/>
      </w:rPr>
    </w:lvl>
    <w:lvl w:ilvl="5" w:tplc="9C0E64B8" w:tentative="1">
      <w:start w:val="1"/>
      <w:numFmt w:val="bullet"/>
      <w:lvlText w:val=""/>
      <w:lvlJc w:val="left"/>
      <w:pPr>
        <w:tabs>
          <w:tab w:val="num" w:pos="4320"/>
        </w:tabs>
        <w:ind w:left="4320" w:hanging="360"/>
      </w:pPr>
      <w:rPr>
        <w:rFonts w:ascii="Symbol" w:hAnsi="Symbol" w:hint="default"/>
      </w:rPr>
    </w:lvl>
    <w:lvl w:ilvl="6" w:tplc="4E2C41AC" w:tentative="1">
      <w:start w:val="1"/>
      <w:numFmt w:val="bullet"/>
      <w:lvlText w:val=""/>
      <w:lvlJc w:val="left"/>
      <w:pPr>
        <w:tabs>
          <w:tab w:val="num" w:pos="5040"/>
        </w:tabs>
        <w:ind w:left="5040" w:hanging="360"/>
      </w:pPr>
      <w:rPr>
        <w:rFonts w:ascii="Symbol" w:hAnsi="Symbol" w:hint="default"/>
      </w:rPr>
    </w:lvl>
    <w:lvl w:ilvl="7" w:tplc="F5B25C52" w:tentative="1">
      <w:start w:val="1"/>
      <w:numFmt w:val="bullet"/>
      <w:lvlText w:val=""/>
      <w:lvlJc w:val="left"/>
      <w:pPr>
        <w:tabs>
          <w:tab w:val="num" w:pos="5760"/>
        </w:tabs>
        <w:ind w:left="5760" w:hanging="360"/>
      </w:pPr>
      <w:rPr>
        <w:rFonts w:ascii="Symbol" w:hAnsi="Symbol" w:hint="default"/>
      </w:rPr>
    </w:lvl>
    <w:lvl w:ilvl="8" w:tplc="322C10EA" w:tentative="1">
      <w:start w:val="1"/>
      <w:numFmt w:val="bullet"/>
      <w:lvlText w:val=""/>
      <w:lvlJc w:val="left"/>
      <w:pPr>
        <w:tabs>
          <w:tab w:val="num" w:pos="6480"/>
        </w:tabs>
        <w:ind w:left="6480" w:hanging="360"/>
      </w:pPr>
      <w:rPr>
        <w:rFonts w:ascii="Symbol" w:hAnsi="Symbol" w:hint="default"/>
      </w:rPr>
    </w:lvl>
  </w:abstractNum>
  <w:abstractNum w:abstractNumId="10">
    <w:nsid w:val="71EA7742"/>
    <w:multiLevelType w:val="hybridMultilevel"/>
    <w:tmpl w:val="6F128FA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73FB3863"/>
    <w:multiLevelType w:val="hybridMultilevel"/>
    <w:tmpl w:val="7736F5A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0"/>
  </w:num>
  <w:num w:numId="3">
    <w:abstractNumId w:val="7"/>
  </w:num>
  <w:num w:numId="4">
    <w:abstractNumId w:val="8"/>
  </w:num>
  <w:num w:numId="5">
    <w:abstractNumId w:val="10"/>
  </w:num>
  <w:num w:numId="6">
    <w:abstractNumId w:val="2"/>
  </w:num>
  <w:num w:numId="7">
    <w:abstractNumId w:val="6"/>
  </w:num>
  <w:num w:numId="8">
    <w:abstractNumId w:val="1"/>
  </w:num>
  <w:num w:numId="9">
    <w:abstractNumId w:val="3"/>
  </w:num>
  <w:num w:numId="10">
    <w:abstractNumId w:val="11"/>
  </w:num>
  <w:num w:numId="11">
    <w:abstractNumId w:val="5"/>
  </w:num>
  <w:num w:numId="12">
    <w:abstractNumId w:val="9"/>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2CCD"/>
    <w:rsid w:val="000101C3"/>
    <w:rsid w:val="00035033"/>
    <w:rsid w:val="00055371"/>
    <w:rsid w:val="000B655A"/>
    <w:rsid w:val="000D108E"/>
    <w:rsid w:val="000F4DB3"/>
    <w:rsid w:val="001054DF"/>
    <w:rsid w:val="00142681"/>
    <w:rsid w:val="00154498"/>
    <w:rsid w:val="00170B61"/>
    <w:rsid w:val="00176917"/>
    <w:rsid w:val="001D695C"/>
    <w:rsid w:val="001F5AA9"/>
    <w:rsid w:val="00215F0D"/>
    <w:rsid w:val="00220802"/>
    <w:rsid w:val="00227B18"/>
    <w:rsid w:val="002666B4"/>
    <w:rsid w:val="00276BBE"/>
    <w:rsid w:val="002845E1"/>
    <w:rsid w:val="0029074C"/>
    <w:rsid w:val="002965CA"/>
    <w:rsid w:val="002B5A62"/>
    <w:rsid w:val="002B6F34"/>
    <w:rsid w:val="002D5C63"/>
    <w:rsid w:val="00306286"/>
    <w:rsid w:val="003077A6"/>
    <w:rsid w:val="00320FCE"/>
    <w:rsid w:val="00325DDE"/>
    <w:rsid w:val="00334DCB"/>
    <w:rsid w:val="00342DE6"/>
    <w:rsid w:val="003D034A"/>
    <w:rsid w:val="003E4B58"/>
    <w:rsid w:val="00413120"/>
    <w:rsid w:val="004535BC"/>
    <w:rsid w:val="00464D05"/>
    <w:rsid w:val="00482EBD"/>
    <w:rsid w:val="00487AE0"/>
    <w:rsid w:val="00495DBF"/>
    <w:rsid w:val="004A6A7E"/>
    <w:rsid w:val="004F7925"/>
    <w:rsid w:val="0050247E"/>
    <w:rsid w:val="00531A8A"/>
    <w:rsid w:val="00556B7F"/>
    <w:rsid w:val="00591DA0"/>
    <w:rsid w:val="005B537F"/>
    <w:rsid w:val="005F6AEF"/>
    <w:rsid w:val="0061755D"/>
    <w:rsid w:val="00666003"/>
    <w:rsid w:val="00691318"/>
    <w:rsid w:val="006921AB"/>
    <w:rsid w:val="006C4BF6"/>
    <w:rsid w:val="006D00AE"/>
    <w:rsid w:val="006E1A1A"/>
    <w:rsid w:val="00743217"/>
    <w:rsid w:val="007436AA"/>
    <w:rsid w:val="007563B2"/>
    <w:rsid w:val="00761DC9"/>
    <w:rsid w:val="00767FF4"/>
    <w:rsid w:val="007813E9"/>
    <w:rsid w:val="007A50DA"/>
    <w:rsid w:val="007E1784"/>
    <w:rsid w:val="00807651"/>
    <w:rsid w:val="00842110"/>
    <w:rsid w:val="00892C45"/>
    <w:rsid w:val="00896385"/>
    <w:rsid w:val="008B1234"/>
    <w:rsid w:val="008F1BC3"/>
    <w:rsid w:val="00920024"/>
    <w:rsid w:val="00984D1B"/>
    <w:rsid w:val="009869C2"/>
    <w:rsid w:val="009B57CB"/>
    <w:rsid w:val="009E50BE"/>
    <w:rsid w:val="009E7706"/>
    <w:rsid w:val="009E77B1"/>
    <w:rsid w:val="00A07C33"/>
    <w:rsid w:val="00A479EC"/>
    <w:rsid w:val="00A51329"/>
    <w:rsid w:val="00A62EE8"/>
    <w:rsid w:val="00A7165F"/>
    <w:rsid w:val="00A834C7"/>
    <w:rsid w:val="00AA69A7"/>
    <w:rsid w:val="00AB4E59"/>
    <w:rsid w:val="00AD3237"/>
    <w:rsid w:val="00AD459B"/>
    <w:rsid w:val="00AF55DB"/>
    <w:rsid w:val="00AF710D"/>
    <w:rsid w:val="00B03686"/>
    <w:rsid w:val="00B056D6"/>
    <w:rsid w:val="00B2455A"/>
    <w:rsid w:val="00B26257"/>
    <w:rsid w:val="00B63807"/>
    <w:rsid w:val="00B76CDA"/>
    <w:rsid w:val="00B77748"/>
    <w:rsid w:val="00B94085"/>
    <w:rsid w:val="00BA4839"/>
    <w:rsid w:val="00BA5D40"/>
    <w:rsid w:val="00BB10E6"/>
    <w:rsid w:val="00BC2AE6"/>
    <w:rsid w:val="00BF00AD"/>
    <w:rsid w:val="00C11BD3"/>
    <w:rsid w:val="00C30E28"/>
    <w:rsid w:val="00C41AEA"/>
    <w:rsid w:val="00C609F5"/>
    <w:rsid w:val="00C672D4"/>
    <w:rsid w:val="00CB487E"/>
    <w:rsid w:val="00CC04E0"/>
    <w:rsid w:val="00CC1FEB"/>
    <w:rsid w:val="00CF724B"/>
    <w:rsid w:val="00D25CEF"/>
    <w:rsid w:val="00D270D4"/>
    <w:rsid w:val="00D621A2"/>
    <w:rsid w:val="00D673B8"/>
    <w:rsid w:val="00DA3D06"/>
    <w:rsid w:val="00DF3B6E"/>
    <w:rsid w:val="00E52CCD"/>
    <w:rsid w:val="00E64270"/>
    <w:rsid w:val="00EB14CC"/>
    <w:rsid w:val="00EB4DD9"/>
    <w:rsid w:val="00EE70BE"/>
    <w:rsid w:val="00F04589"/>
    <w:rsid w:val="00F22315"/>
    <w:rsid w:val="00FA3C1C"/>
    <w:rsid w:val="00FD6BD3"/>
    <w:rsid w:val="00FE45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1E44B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36AA"/>
    <w:rPr>
      <w:sz w:val="24"/>
      <w:szCs w:val="28"/>
    </w:rPr>
  </w:style>
  <w:style w:type="paragraph" w:styleId="Heading1">
    <w:name w:val="heading 1"/>
    <w:basedOn w:val="Normal"/>
    <w:next w:val="Normal"/>
    <w:qFormat/>
    <w:rsid w:val="007436AA"/>
    <w:pPr>
      <w:keepNext/>
      <w:outlineLvl w:val="0"/>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dent12">
    <w:name w:val="Indent 1/2&quot;"/>
    <w:basedOn w:val="Normal"/>
    <w:qFormat/>
    <w:rsid w:val="007436AA"/>
    <w:pPr>
      <w:ind w:left="720" w:right="720"/>
    </w:pPr>
  </w:style>
  <w:style w:type="paragraph" w:customStyle="1" w:styleId="LegalOutline">
    <w:name w:val="Legal Outline"/>
    <w:basedOn w:val="ListParagraph"/>
    <w:autoRedefine/>
    <w:qFormat/>
    <w:rsid w:val="007436AA"/>
    <w:pPr>
      <w:numPr>
        <w:numId w:val="3"/>
      </w:numPr>
    </w:pPr>
    <w:rPr>
      <w:b/>
    </w:rPr>
  </w:style>
  <w:style w:type="paragraph" w:styleId="ListParagraph">
    <w:name w:val="List Paragraph"/>
    <w:basedOn w:val="Normal"/>
    <w:qFormat/>
    <w:rsid w:val="007436AA"/>
    <w:pPr>
      <w:ind w:left="720"/>
      <w:contextualSpacing/>
    </w:pPr>
  </w:style>
  <w:style w:type="paragraph" w:customStyle="1" w:styleId="Outlining">
    <w:name w:val="Outlining"/>
    <w:basedOn w:val="ListParagraph"/>
    <w:qFormat/>
    <w:rsid w:val="007436AA"/>
    <w:pPr>
      <w:numPr>
        <w:numId w:val="2"/>
      </w:numPr>
    </w:pPr>
  </w:style>
  <w:style w:type="paragraph" w:customStyle="1" w:styleId="Paragraph">
    <w:name w:val="Paragraph"/>
    <w:basedOn w:val="Normal"/>
    <w:qFormat/>
    <w:rsid w:val="007436AA"/>
    <w:pPr>
      <w:spacing w:line="480" w:lineRule="auto"/>
      <w:ind w:firstLine="720"/>
    </w:pPr>
  </w:style>
  <w:style w:type="paragraph" w:customStyle="1" w:styleId="Complaint">
    <w:name w:val="Complaint"/>
    <w:basedOn w:val="Normal"/>
    <w:qFormat/>
    <w:rsid w:val="007436AA"/>
    <w:pPr>
      <w:widowControl w:val="0"/>
      <w:numPr>
        <w:numId w:val="4"/>
      </w:numPr>
      <w:spacing w:line="480" w:lineRule="auto"/>
    </w:pPr>
    <w:rPr>
      <w:szCs w:val="24"/>
    </w:rPr>
  </w:style>
  <w:style w:type="paragraph" w:styleId="Header">
    <w:name w:val="header"/>
    <w:basedOn w:val="Normal"/>
    <w:unhideWhenUsed/>
    <w:rsid w:val="007436AA"/>
    <w:pPr>
      <w:tabs>
        <w:tab w:val="center" w:pos="4680"/>
        <w:tab w:val="right" w:pos="9360"/>
      </w:tabs>
    </w:pPr>
  </w:style>
  <w:style w:type="character" w:customStyle="1" w:styleId="HeaderChar">
    <w:name w:val="Header Char"/>
    <w:basedOn w:val="DefaultParagraphFont"/>
    <w:semiHidden/>
    <w:rsid w:val="007436AA"/>
    <w:rPr>
      <w:szCs w:val="28"/>
    </w:rPr>
  </w:style>
  <w:style w:type="paragraph" w:styleId="Footer">
    <w:name w:val="footer"/>
    <w:basedOn w:val="Normal"/>
    <w:semiHidden/>
    <w:unhideWhenUsed/>
    <w:rsid w:val="007436AA"/>
    <w:pPr>
      <w:tabs>
        <w:tab w:val="center" w:pos="4680"/>
        <w:tab w:val="right" w:pos="9360"/>
      </w:tabs>
    </w:pPr>
  </w:style>
  <w:style w:type="character" w:customStyle="1" w:styleId="FooterChar">
    <w:name w:val="Footer Char"/>
    <w:basedOn w:val="DefaultParagraphFont"/>
    <w:semiHidden/>
    <w:rsid w:val="007436AA"/>
    <w:rPr>
      <w:szCs w:val="28"/>
    </w:rPr>
  </w:style>
  <w:style w:type="paragraph" w:styleId="BodyText">
    <w:name w:val="Body Text"/>
    <w:basedOn w:val="Normal"/>
    <w:semiHidden/>
    <w:rsid w:val="007436AA"/>
    <w:rPr>
      <w:b/>
      <w:bCs/>
      <w:u w:val="single"/>
    </w:rPr>
  </w:style>
  <w:style w:type="character" w:styleId="Hyperlink">
    <w:name w:val="Hyperlink"/>
    <w:basedOn w:val="DefaultParagraphFont"/>
    <w:uiPriority w:val="99"/>
    <w:semiHidden/>
    <w:rsid w:val="007436AA"/>
    <w:rPr>
      <w:color w:val="0000FF"/>
      <w:u w:val="single"/>
    </w:rPr>
  </w:style>
  <w:style w:type="paragraph" w:customStyle="1" w:styleId="BriefParagraph">
    <w:name w:val="Brief Paragraph"/>
    <w:basedOn w:val="Normal"/>
    <w:qFormat/>
    <w:rsid w:val="007436AA"/>
    <w:pPr>
      <w:spacing w:line="408" w:lineRule="auto"/>
      <w:ind w:firstLine="720"/>
    </w:pPr>
  </w:style>
  <w:style w:type="character" w:customStyle="1" w:styleId="apple-converted-space">
    <w:name w:val="apple-converted-space"/>
    <w:basedOn w:val="DefaultParagraphFont"/>
    <w:rsid w:val="009B57CB"/>
  </w:style>
  <w:style w:type="character" w:customStyle="1" w:styleId="aqj">
    <w:name w:val="aqj"/>
    <w:basedOn w:val="DefaultParagraphFont"/>
    <w:rsid w:val="009B57CB"/>
  </w:style>
  <w:style w:type="paragraph" w:styleId="NormalWeb">
    <w:name w:val="Normal (Web)"/>
    <w:basedOn w:val="Normal"/>
    <w:uiPriority w:val="99"/>
    <w:semiHidden/>
    <w:unhideWhenUsed/>
    <w:rsid w:val="009B57CB"/>
    <w:pPr>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1178992">
      <w:bodyDiv w:val="1"/>
      <w:marLeft w:val="0"/>
      <w:marRight w:val="0"/>
      <w:marTop w:val="0"/>
      <w:marBottom w:val="0"/>
      <w:divBdr>
        <w:top w:val="none" w:sz="0" w:space="0" w:color="auto"/>
        <w:left w:val="none" w:sz="0" w:space="0" w:color="auto"/>
        <w:bottom w:val="none" w:sz="0" w:space="0" w:color="auto"/>
        <w:right w:val="none" w:sz="0" w:space="0" w:color="auto"/>
      </w:divBdr>
    </w:div>
    <w:div w:id="389423353">
      <w:bodyDiv w:val="1"/>
      <w:marLeft w:val="0"/>
      <w:marRight w:val="0"/>
      <w:marTop w:val="0"/>
      <w:marBottom w:val="0"/>
      <w:divBdr>
        <w:top w:val="none" w:sz="0" w:space="0" w:color="auto"/>
        <w:left w:val="none" w:sz="0" w:space="0" w:color="auto"/>
        <w:bottom w:val="none" w:sz="0" w:space="0" w:color="auto"/>
        <w:right w:val="none" w:sz="0" w:space="0" w:color="auto"/>
      </w:divBdr>
      <w:divsChild>
        <w:div w:id="1186214841">
          <w:marLeft w:val="0"/>
          <w:marRight w:val="0"/>
          <w:marTop w:val="0"/>
          <w:marBottom w:val="0"/>
          <w:divBdr>
            <w:top w:val="none" w:sz="0" w:space="0" w:color="auto"/>
            <w:left w:val="none" w:sz="0" w:space="0" w:color="auto"/>
            <w:bottom w:val="none" w:sz="0" w:space="0" w:color="auto"/>
            <w:right w:val="none" w:sz="0" w:space="0" w:color="auto"/>
          </w:divBdr>
        </w:div>
        <w:div w:id="1638874722">
          <w:marLeft w:val="0"/>
          <w:marRight w:val="0"/>
          <w:marTop w:val="0"/>
          <w:marBottom w:val="0"/>
          <w:divBdr>
            <w:top w:val="none" w:sz="0" w:space="0" w:color="auto"/>
            <w:left w:val="none" w:sz="0" w:space="0" w:color="auto"/>
            <w:bottom w:val="none" w:sz="0" w:space="0" w:color="auto"/>
            <w:right w:val="none" w:sz="0" w:space="0" w:color="auto"/>
          </w:divBdr>
        </w:div>
        <w:div w:id="1654329166">
          <w:marLeft w:val="0"/>
          <w:marRight w:val="0"/>
          <w:marTop w:val="0"/>
          <w:marBottom w:val="0"/>
          <w:divBdr>
            <w:top w:val="none" w:sz="0" w:space="0" w:color="auto"/>
            <w:left w:val="none" w:sz="0" w:space="0" w:color="auto"/>
            <w:bottom w:val="none" w:sz="0" w:space="0" w:color="auto"/>
            <w:right w:val="none" w:sz="0" w:space="0" w:color="auto"/>
          </w:divBdr>
          <w:divsChild>
            <w:div w:id="1328555230">
              <w:marLeft w:val="720"/>
              <w:marRight w:val="720"/>
              <w:marTop w:val="2"/>
              <w:marBottom w:val="2"/>
              <w:divBdr>
                <w:top w:val="none" w:sz="0" w:space="0" w:color="auto"/>
                <w:left w:val="none" w:sz="0" w:space="0" w:color="auto"/>
                <w:bottom w:val="none" w:sz="0" w:space="0" w:color="auto"/>
                <w:right w:val="none" w:sz="0" w:space="0" w:color="auto"/>
              </w:divBdr>
            </w:div>
          </w:divsChild>
        </w:div>
        <w:div w:id="567961588">
          <w:marLeft w:val="0"/>
          <w:marRight w:val="0"/>
          <w:marTop w:val="0"/>
          <w:marBottom w:val="0"/>
          <w:divBdr>
            <w:top w:val="none" w:sz="0" w:space="0" w:color="auto"/>
            <w:left w:val="none" w:sz="0" w:space="0" w:color="auto"/>
            <w:bottom w:val="none" w:sz="0" w:space="0" w:color="auto"/>
            <w:right w:val="none" w:sz="0" w:space="0" w:color="auto"/>
          </w:divBdr>
        </w:div>
        <w:div w:id="530074866">
          <w:marLeft w:val="0"/>
          <w:marRight w:val="0"/>
          <w:marTop w:val="0"/>
          <w:marBottom w:val="0"/>
          <w:divBdr>
            <w:top w:val="none" w:sz="0" w:space="0" w:color="auto"/>
            <w:left w:val="none" w:sz="0" w:space="0" w:color="auto"/>
            <w:bottom w:val="none" w:sz="0" w:space="0" w:color="auto"/>
            <w:right w:val="none" w:sz="0" w:space="0" w:color="auto"/>
          </w:divBdr>
        </w:div>
        <w:div w:id="2004700736">
          <w:marLeft w:val="0"/>
          <w:marRight w:val="0"/>
          <w:marTop w:val="0"/>
          <w:marBottom w:val="0"/>
          <w:divBdr>
            <w:top w:val="none" w:sz="0" w:space="0" w:color="auto"/>
            <w:left w:val="none" w:sz="0" w:space="0" w:color="auto"/>
            <w:bottom w:val="none" w:sz="0" w:space="0" w:color="auto"/>
            <w:right w:val="none" w:sz="0" w:space="0" w:color="auto"/>
          </w:divBdr>
        </w:div>
      </w:divsChild>
    </w:div>
    <w:div w:id="729158808">
      <w:bodyDiv w:val="1"/>
      <w:marLeft w:val="0"/>
      <w:marRight w:val="0"/>
      <w:marTop w:val="0"/>
      <w:marBottom w:val="0"/>
      <w:divBdr>
        <w:top w:val="none" w:sz="0" w:space="0" w:color="auto"/>
        <w:left w:val="none" w:sz="0" w:space="0" w:color="auto"/>
        <w:bottom w:val="none" w:sz="0" w:space="0" w:color="auto"/>
        <w:right w:val="none" w:sz="0" w:space="0" w:color="auto"/>
      </w:divBdr>
      <w:divsChild>
        <w:div w:id="8072476">
          <w:marLeft w:val="0"/>
          <w:marRight w:val="0"/>
          <w:marTop w:val="0"/>
          <w:marBottom w:val="0"/>
          <w:divBdr>
            <w:top w:val="none" w:sz="0" w:space="0" w:color="auto"/>
            <w:left w:val="none" w:sz="0" w:space="0" w:color="auto"/>
            <w:bottom w:val="none" w:sz="0" w:space="0" w:color="auto"/>
            <w:right w:val="none" w:sz="0" w:space="0" w:color="auto"/>
          </w:divBdr>
          <w:divsChild>
            <w:div w:id="942344960">
              <w:marLeft w:val="0"/>
              <w:marRight w:val="0"/>
              <w:marTop w:val="0"/>
              <w:marBottom w:val="0"/>
              <w:divBdr>
                <w:top w:val="none" w:sz="0" w:space="0" w:color="auto"/>
                <w:left w:val="none" w:sz="0" w:space="0" w:color="auto"/>
                <w:bottom w:val="none" w:sz="0" w:space="0" w:color="auto"/>
                <w:right w:val="none" w:sz="0" w:space="0" w:color="auto"/>
              </w:divBdr>
              <w:divsChild>
                <w:div w:id="1857229390">
                  <w:marLeft w:val="0"/>
                  <w:marRight w:val="0"/>
                  <w:marTop w:val="0"/>
                  <w:marBottom w:val="0"/>
                  <w:divBdr>
                    <w:top w:val="none" w:sz="0" w:space="0" w:color="auto"/>
                    <w:left w:val="none" w:sz="0" w:space="0" w:color="auto"/>
                    <w:bottom w:val="none" w:sz="0" w:space="0" w:color="auto"/>
                    <w:right w:val="none" w:sz="0" w:space="0" w:color="auto"/>
                  </w:divBdr>
                  <w:divsChild>
                    <w:div w:id="1013143501">
                      <w:marLeft w:val="0"/>
                      <w:marRight w:val="0"/>
                      <w:marTop w:val="0"/>
                      <w:marBottom w:val="0"/>
                      <w:divBdr>
                        <w:top w:val="none" w:sz="0" w:space="0" w:color="auto"/>
                        <w:left w:val="none" w:sz="0" w:space="0" w:color="auto"/>
                        <w:bottom w:val="none" w:sz="0" w:space="0" w:color="auto"/>
                        <w:right w:val="none" w:sz="0" w:space="0" w:color="auto"/>
                      </w:divBdr>
                      <w:divsChild>
                        <w:div w:id="636574144">
                          <w:marLeft w:val="0"/>
                          <w:marRight w:val="0"/>
                          <w:marTop w:val="0"/>
                          <w:marBottom w:val="0"/>
                          <w:divBdr>
                            <w:top w:val="none" w:sz="0" w:space="0" w:color="auto"/>
                            <w:left w:val="none" w:sz="0" w:space="0" w:color="auto"/>
                            <w:bottom w:val="none" w:sz="0" w:space="0" w:color="auto"/>
                            <w:right w:val="none" w:sz="0" w:space="0" w:color="auto"/>
                          </w:divBdr>
                          <w:divsChild>
                            <w:div w:id="1106147704">
                              <w:marLeft w:val="0"/>
                              <w:marRight w:val="0"/>
                              <w:marTop w:val="0"/>
                              <w:marBottom w:val="0"/>
                              <w:divBdr>
                                <w:top w:val="none" w:sz="0" w:space="0" w:color="auto"/>
                                <w:left w:val="none" w:sz="0" w:space="0" w:color="auto"/>
                                <w:bottom w:val="none" w:sz="0" w:space="0" w:color="auto"/>
                                <w:right w:val="none" w:sz="0" w:space="0" w:color="auto"/>
                              </w:divBdr>
                              <w:divsChild>
                                <w:div w:id="801920611">
                                  <w:marLeft w:val="0"/>
                                  <w:marRight w:val="0"/>
                                  <w:marTop w:val="0"/>
                                  <w:marBottom w:val="0"/>
                                  <w:divBdr>
                                    <w:top w:val="none" w:sz="0" w:space="0" w:color="auto"/>
                                    <w:left w:val="none" w:sz="0" w:space="0" w:color="auto"/>
                                    <w:bottom w:val="none" w:sz="0" w:space="0" w:color="auto"/>
                                    <w:right w:val="none" w:sz="0" w:space="0" w:color="auto"/>
                                  </w:divBdr>
                                  <w:divsChild>
                                    <w:div w:id="1318532798">
                                      <w:marLeft w:val="0"/>
                                      <w:marRight w:val="0"/>
                                      <w:marTop w:val="0"/>
                                      <w:marBottom w:val="0"/>
                                      <w:divBdr>
                                        <w:top w:val="none" w:sz="0" w:space="0" w:color="auto"/>
                                        <w:left w:val="none" w:sz="0" w:space="0" w:color="auto"/>
                                        <w:bottom w:val="none" w:sz="0" w:space="0" w:color="auto"/>
                                        <w:right w:val="none" w:sz="0" w:space="0" w:color="auto"/>
                                      </w:divBdr>
                                      <w:divsChild>
                                        <w:div w:id="1170220493">
                                          <w:marLeft w:val="0"/>
                                          <w:marRight w:val="0"/>
                                          <w:marTop w:val="0"/>
                                          <w:marBottom w:val="0"/>
                                          <w:divBdr>
                                            <w:top w:val="none" w:sz="0" w:space="0" w:color="auto"/>
                                            <w:left w:val="none" w:sz="0" w:space="0" w:color="auto"/>
                                            <w:bottom w:val="none" w:sz="0" w:space="0" w:color="auto"/>
                                            <w:right w:val="none" w:sz="0" w:space="0" w:color="auto"/>
                                          </w:divBdr>
                                          <w:divsChild>
                                            <w:div w:id="1910996879">
                                              <w:marLeft w:val="0"/>
                                              <w:marRight w:val="0"/>
                                              <w:marTop w:val="0"/>
                                              <w:marBottom w:val="0"/>
                                              <w:divBdr>
                                                <w:top w:val="single" w:sz="12" w:space="2" w:color="FFFFCC"/>
                                                <w:left w:val="single" w:sz="12" w:space="2" w:color="FFFFCC"/>
                                                <w:bottom w:val="single" w:sz="12" w:space="2" w:color="FFFFCC"/>
                                                <w:right w:val="single" w:sz="12" w:space="0" w:color="FFFFCC"/>
                                              </w:divBdr>
                                              <w:divsChild>
                                                <w:div w:id="1081870059">
                                                  <w:marLeft w:val="0"/>
                                                  <w:marRight w:val="0"/>
                                                  <w:marTop w:val="0"/>
                                                  <w:marBottom w:val="0"/>
                                                  <w:divBdr>
                                                    <w:top w:val="none" w:sz="0" w:space="0" w:color="auto"/>
                                                    <w:left w:val="none" w:sz="0" w:space="0" w:color="auto"/>
                                                    <w:bottom w:val="none" w:sz="0" w:space="0" w:color="auto"/>
                                                    <w:right w:val="none" w:sz="0" w:space="0" w:color="auto"/>
                                                  </w:divBdr>
                                                  <w:divsChild>
                                                    <w:div w:id="205289769">
                                                      <w:marLeft w:val="0"/>
                                                      <w:marRight w:val="0"/>
                                                      <w:marTop w:val="0"/>
                                                      <w:marBottom w:val="0"/>
                                                      <w:divBdr>
                                                        <w:top w:val="none" w:sz="0" w:space="0" w:color="auto"/>
                                                        <w:left w:val="none" w:sz="0" w:space="0" w:color="auto"/>
                                                        <w:bottom w:val="none" w:sz="0" w:space="0" w:color="auto"/>
                                                        <w:right w:val="none" w:sz="0" w:space="0" w:color="auto"/>
                                                      </w:divBdr>
                                                      <w:divsChild>
                                                        <w:div w:id="1090389092">
                                                          <w:marLeft w:val="0"/>
                                                          <w:marRight w:val="0"/>
                                                          <w:marTop w:val="0"/>
                                                          <w:marBottom w:val="0"/>
                                                          <w:divBdr>
                                                            <w:top w:val="none" w:sz="0" w:space="0" w:color="auto"/>
                                                            <w:left w:val="none" w:sz="0" w:space="0" w:color="auto"/>
                                                            <w:bottom w:val="none" w:sz="0" w:space="0" w:color="auto"/>
                                                            <w:right w:val="none" w:sz="0" w:space="0" w:color="auto"/>
                                                          </w:divBdr>
                                                          <w:divsChild>
                                                            <w:div w:id="365061302">
                                                              <w:marLeft w:val="0"/>
                                                              <w:marRight w:val="0"/>
                                                              <w:marTop w:val="0"/>
                                                              <w:marBottom w:val="0"/>
                                                              <w:divBdr>
                                                                <w:top w:val="none" w:sz="0" w:space="0" w:color="auto"/>
                                                                <w:left w:val="none" w:sz="0" w:space="0" w:color="auto"/>
                                                                <w:bottom w:val="none" w:sz="0" w:space="0" w:color="auto"/>
                                                                <w:right w:val="none" w:sz="0" w:space="0" w:color="auto"/>
                                                              </w:divBdr>
                                                              <w:divsChild>
                                                                <w:div w:id="726606457">
                                                                  <w:marLeft w:val="0"/>
                                                                  <w:marRight w:val="0"/>
                                                                  <w:marTop w:val="0"/>
                                                                  <w:marBottom w:val="0"/>
                                                                  <w:divBdr>
                                                                    <w:top w:val="none" w:sz="0" w:space="0" w:color="auto"/>
                                                                    <w:left w:val="none" w:sz="0" w:space="0" w:color="auto"/>
                                                                    <w:bottom w:val="none" w:sz="0" w:space="0" w:color="auto"/>
                                                                    <w:right w:val="none" w:sz="0" w:space="0" w:color="auto"/>
                                                                  </w:divBdr>
                                                                  <w:divsChild>
                                                                    <w:div w:id="1840150624">
                                                                      <w:marLeft w:val="0"/>
                                                                      <w:marRight w:val="0"/>
                                                                      <w:marTop w:val="0"/>
                                                                      <w:marBottom w:val="0"/>
                                                                      <w:divBdr>
                                                                        <w:top w:val="none" w:sz="0" w:space="0" w:color="auto"/>
                                                                        <w:left w:val="none" w:sz="0" w:space="0" w:color="auto"/>
                                                                        <w:bottom w:val="none" w:sz="0" w:space="0" w:color="auto"/>
                                                                        <w:right w:val="none" w:sz="0" w:space="0" w:color="auto"/>
                                                                      </w:divBdr>
                                                                      <w:divsChild>
                                                                        <w:div w:id="482115015">
                                                                          <w:marLeft w:val="0"/>
                                                                          <w:marRight w:val="0"/>
                                                                          <w:marTop w:val="0"/>
                                                                          <w:marBottom w:val="0"/>
                                                                          <w:divBdr>
                                                                            <w:top w:val="none" w:sz="0" w:space="0" w:color="auto"/>
                                                                            <w:left w:val="none" w:sz="0" w:space="0" w:color="auto"/>
                                                                            <w:bottom w:val="none" w:sz="0" w:space="0" w:color="auto"/>
                                                                            <w:right w:val="none" w:sz="0" w:space="0" w:color="auto"/>
                                                                          </w:divBdr>
                                                                          <w:divsChild>
                                                                            <w:div w:id="1437481315">
                                                                              <w:marLeft w:val="0"/>
                                                                              <w:marRight w:val="0"/>
                                                                              <w:marTop w:val="0"/>
                                                                              <w:marBottom w:val="0"/>
                                                                              <w:divBdr>
                                                                                <w:top w:val="none" w:sz="0" w:space="0" w:color="auto"/>
                                                                                <w:left w:val="none" w:sz="0" w:space="0" w:color="auto"/>
                                                                                <w:bottom w:val="none" w:sz="0" w:space="0" w:color="auto"/>
                                                                                <w:right w:val="none" w:sz="0" w:space="0" w:color="auto"/>
                                                                              </w:divBdr>
                                                                              <w:divsChild>
                                                                                <w:div w:id="1497110739">
                                                                                  <w:marLeft w:val="0"/>
                                                                                  <w:marRight w:val="0"/>
                                                                                  <w:marTop w:val="0"/>
                                                                                  <w:marBottom w:val="0"/>
                                                                                  <w:divBdr>
                                                                                    <w:top w:val="none" w:sz="0" w:space="0" w:color="auto"/>
                                                                                    <w:left w:val="none" w:sz="0" w:space="0" w:color="auto"/>
                                                                                    <w:bottom w:val="none" w:sz="0" w:space="0" w:color="auto"/>
                                                                                    <w:right w:val="none" w:sz="0" w:space="0" w:color="auto"/>
                                                                                  </w:divBdr>
                                                                                  <w:divsChild>
                                                                                    <w:div w:id="2119710699">
                                                                                      <w:marLeft w:val="0"/>
                                                                                      <w:marRight w:val="0"/>
                                                                                      <w:marTop w:val="0"/>
                                                                                      <w:marBottom w:val="0"/>
                                                                                      <w:divBdr>
                                                                                        <w:top w:val="none" w:sz="0" w:space="0" w:color="auto"/>
                                                                                        <w:left w:val="none" w:sz="0" w:space="0" w:color="auto"/>
                                                                                        <w:bottom w:val="none" w:sz="0" w:space="0" w:color="auto"/>
                                                                                        <w:right w:val="none" w:sz="0" w:space="0" w:color="auto"/>
                                                                                      </w:divBdr>
                                                                                      <w:divsChild>
                                                                                        <w:div w:id="1560751207">
                                                                                          <w:marLeft w:val="0"/>
                                                                                          <w:marRight w:val="0"/>
                                                                                          <w:marTop w:val="0"/>
                                                                                          <w:marBottom w:val="0"/>
                                                                                          <w:divBdr>
                                                                                            <w:top w:val="none" w:sz="0" w:space="0" w:color="auto"/>
                                                                                            <w:left w:val="none" w:sz="0" w:space="0" w:color="auto"/>
                                                                                            <w:bottom w:val="none" w:sz="0" w:space="0" w:color="auto"/>
                                                                                            <w:right w:val="none" w:sz="0" w:space="0" w:color="auto"/>
                                                                                          </w:divBdr>
                                                                                          <w:divsChild>
                                                                                            <w:div w:id="1474761872">
                                                                                              <w:marLeft w:val="0"/>
                                                                                              <w:marRight w:val="120"/>
                                                                                              <w:marTop w:val="0"/>
                                                                                              <w:marBottom w:val="150"/>
                                                                                              <w:divBdr>
                                                                                                <w:top w:val="single" w:sz="2" w:space="0" w:color="EFEFEF"/>
                                                                                                <w:left w:val="single" w:sz="6" w:space="0" w:color="EFEFEF"/>
                                                                                                <w:bottom w:val="single" w:sz="6" w:space="0" w:color="E2E2E2"/>
                                                                                                <w:right w:val="single" w:sz="6" w:space="0" w:color="EFEFEF"/>
                                                                                              </w:divBdr>
                                                                                              <w:divsChild>
                                                                                                <w:div w:id="1301417477">
                                                                                                  <w:marLeft w:val="0"/>
                                                                                                  <w:marRight w:val="0"/>
                                                                                                  <w:marTop w:val="0"/>
                                                                                                  <w:marBottom w:val="0"/>
                                                                                                  <w:divBdr>
                                                                                                    <w:top w:val="none" w:sz="0" w:space="0" w:color="auto"/>
                                                                                                    <w:left w:val="none" w:sz="0" w:space="0" w:color="auto"/>
                                                                                                    <w:bottom w:val="none" w:sz="0" w:space="0" w:color="auto"/>
                                                                                                    <w:right w:val="none" w:sz="0" w:space="0" w:color="auto"/>
                                                                                                  </w:divBdr>
                                                                                                  <w:divsChild>
                                                                                                    <w:div w:id="324627055">
                                                                                                      <w:marLeft w:val="0"/>
                                                                                                      <w:marRight w:val="0"/>
                                                                                                      <w:marTop w:val="0"/>
                                                                                                      <w:marBottom w:val="0"/>
                                                                                                      <w:divBdr>
                                                                                                        <w:top w:val="none" w:sz="0" w:space="0" w:color="auto"/>
                                                                                                        <w:left w:val="none" w:sz="0" w:space="0" w:color="auto"/>
                                                                                                        <w:bottom w:val="none" w:sz="0" w:space="0" w:color="auto"/>
                                                                                                        <w:right w:val="none" w:sz="0" w:space="0" w:color="auto"/>
                                                                                                      </w:divBdr>
                                                                                                      <w:divsChild>
                                                                                                        <w:div w:id="1249997189">
                                                                                                          <w:marLeft w:val="0"/>
                                                                                                          <w:marRight w:val="0"/>
                                                                                                          <w:marTop w:val="0"/>
                                                                                                          <w:marBottom w:val="0"/>
                                                                                                          <w:divBdr>
                                                                                                            <w:top w:val="none" w:sz="0" w:space="0" w:color="auto"/>
                                                                                                            <w:left w:val="none" w:sz="0" w:space="0" w:color="auto"/>
                                                                                                            <w:bottom w:val="none" w:sz="0" w:space="0" w:color="auto"/>
                                                                                                            <w:right w:val="none" w:sz="0" w:space="0" w:color="auto"/>
                                                                                                          </w:divBdr>
                                                                                                          <w:divsChild>
                                                                                                            <w:div w:id="1056778228">
                                                                                                              <w:marLeft w:val="0"/>
                                                                                                              <w:marRight w:val="0"/>
                                                                                                              <w:marTop w:val="0"/>
                                                                                                              <w:marBottom w:val="0"/>
                                                                                                              <w:divBdr>
                                                                                                                <w:top w:val="none" w:sz="0" w:space="0" w:color="auto"/>
                                                                                                                <w:left w:val="none" w:sz="0" w:space="0" w:color="auto"/>
                                                                                                                <w:bottom w:val="none" w:sz="0" w:space="0" w:color="auto"/>
                                                                                                                <w:right w:val="none" w:sz="0" w:space="0" w:color="auto"/>
                                                                                                              </w:divBdr>
                                                                                                              <w:divsChild>
                                                                                                                <w:div w:id="1428189637">
                                                                                                                  <w:marLeft w:val="0"/>
                                                                                                                  <w:marRight w:val="0"/>
                                                                                                                  <w:marTop w:val="0"/>
                                                                                                                  <w:marBottom w:val="0"/>
                                                                                                                  <w:divBdr>
                                                                                                                    <w:top w:val="single" w:sz="2" w:space="4" w:color="D8D8D8"/>
                                                                                                                    <w:left w:val="single" w:sz="2" w:space="0" w:color="D8D8D8"/>
                                                                                                                    <w:bottom w:val="single" w:sz="2" w:space="4" w:color="D8D8D8"/>
                                                                                                                    <w:right w:val="single" w:sz="2" w:space="0" w:color="D8D8D8"/>
                                                                                                                  </w:divBdr>
                                                                                                                  <w:divsChild>
                                                                                                                    <w:div w:id="1545675987">
                                                                                                                      <w:marLeft w:val="225"/>
                                                                                                                      <w:marRight w:val="225"/>
                                                                                                                      <w:marTop w:val="75"/>
                                                                                                                      <w:marBottom w:val="75"/>
                                                                                                                      <w:divBdr>
                                                                                                                        <w:top w:val="none" w:sz="0" w:space="0" w:color="auto"/>
                                                                                                                        <w:left w:val="none" w:sz="0" w:space="0" w:color="auto"/>
                                                                                                                        <w:bottom w:val="none" w:sz="0" w:space="0" w:color="auto"/>
                                                                                                                        <w:right w:val="none" w:sz="0" w:space="0" w:color="auto"/>
                                                                                                                      </w:divBdr>
                                                                                                                      <w:divsChild>
                                                                                                                        <w:div w:id="326326941">
                                                                                                                          <w:marLeft w:val="0"/>
                                                                                                                          <w:marRight w:val="0"/>
                                                                                                                          <w:marTop w:val="0"/>
                                                                                                                          <w:marBottom w:val="0"/>
                                                                                                                          <w:divBdr>
                                                                                                                            <w:top w:val="none" w:sz="0" w:space="0" w:color="auto"/>
                                                                                                                            <w:left w:val="none" w:sz="0" w:space="0" w:color="auto"/>
                                                                                                                            <w:bottom w:val="none" w:sz="0" w:space="0" w:color="auto"/>
                                                                                                                            <w:right w:val="none" w:sz="0" w:space="0" w:color="auto"/>
                                                                                                                          </w:divBdr>
                                                                                                                          <w:divsChild>
                                                                                                                            <w:div w:id="1673608991">
                                                                                                                              <w:marLeft w:val="0"/>
                                                                                                                              <w:marRight w:val="0"/>
                                                                                                                              <w:marTop w:val="0"/>
                                                                                                                              <w:marBottom w:val="0"/>
                                                                                                                              <w:divBdr>
                                                                                                                                <w:top w:val="none" w:sz="0" w:space="0" w:color="auto"/>
                                                                                                                                <w:left w:val="none" w:sz="0" w:space="0" w:color="auto"/>
                                                                                                                                <w:bottom w:val="none" w:sz="0" w:space="0" w:color="auto"/>
                                                                                                                                <w:right w:val="none" w:sz="0" w:space="0" w:color="auto"/>
                                                                                                                              </w:divBdr>
                                                                                                                              <w:divsChild>
                                                                                                                                <w:div w:id="1386445742">
                                                                                                                                  <w:marLeft w:val="0"/>
                                                                                                                                  <w:marRight w:val="0"/>
                                                                                                                                  <w:marTop w:val="0"/>
                                                                                                                                  <w:marBottom w:val="0"/>
                                                                                                                                  <w:divBdr>
                                                                                                                                    <w:top w:val="none" w:sz="0" w:space="0" w:color="auto"/>
                                                                                                                                    <w:left w:val="none" w:sz="0" w:space="0" w:color="auto"/>
                                                                                                                                    <w:bottom w:val="none" w:sz="0" w:space="0" w:color="auto"/>
                                                                                                                                    <w:right w:val="none" w:sz="0" w:space="0" w:color="auto"/>
                                                                                                                                  </w:divBdr>
                                                                                                                                  <w:divsChild>
                                                                                                                                    <w:div w:id="178390860">
                                                                                                                                      <w:marLeft w:val="0"/>
                                                                                                                                      <w:marRight w:val="0"/>
                                                                                                                                      <w:marTop w:val="0"/>
                                                                                                                                      <w:marBottom w:val="0"/>
                                                                                                                                      <w:divBdr>
                                                                                                                                        <w:top w:val="none" w:sz="0" w:space="0" w:color="auto"/>
                                                                                                                                        <w:left w:val="none" w:sz="0" w:space="0" w:color="auto"/>
                                                                                                                                        <w:bottom w:val="none" w:sz="0" w:space="0" w:color="auto"/>
                                                                                                                                        <w:right w:val="none" w:sz="0" w:space="0" w:color="auto"/>
                                                                                                                                      </w:divBdr>
                                                                                                                                    </w:div>
                                                                                                                                    <w:div w:id="883372251">
                                                                                                                                      <w:marLeft w:val="0"/>
                                                                                                                                      <w:marRight w:val="0"/>
                                                                                                                                      <w:marTop w:val="0"/>
                                                                                                                                      <w:marBottom w:val="0"/>
                                                                                                                                      <w:divBdr>
                                                                                                                                        <w:top w:val="none" w:sz="0" w:space="0" w:color="auto"/>
                                                                                                                                        <w:left w:val="none" w:sz="0" w:space="0" w:color="auto"/>
                                                                                                                                        <w:bottom w:val="none" w:sz="0" w:space="0" w:color="auto"/>
                                                                                                                                        <w:right w:val="none" w:sz="0" w:space="0" w:color="auto"/>
                                                                                                                                      </w:divBdr>
                                                                                                                                      <w:divsChild>
                                                                                                                                        <w:div w:id="4672018">
                                                                                                                                          <w:marLeft w:val="0"/>
                                                                                                                                          <w:marRight w:val="0"/>
                                                                                                                                          <w:marTop w:val="0"/>
                                                                                                                                          <w:marBottom w:val="0"/>
                                                                                                                                          <w:divBdr>
                                                                                                                                            <w:top w:val="none" w:sz="0" w:space="0" w:color="auto"/>
                                                                                                                                            <w:left w:val="none" w:sz="0" w:space="0" w:color="auto"/>
                                                                                                                                            <w:bottom w:val="none" w:sz="0" w:space="0" w:color="auto"/>
                                                                                                                                            <w:right w:val="none" w:sz="0" w:space="0" w:color="auto"/>
                                                                                                                                          </w:divBdr>
                                                                                                                                          <w:divsChild>
                                                                                                                                            <w:div w:id="2082830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285293">
                                                                                                                                      <w:marLeft w:val="0"/>
                                                                                                                                      <w:marRight w:val="0"/>
                                                                                                                                      <w:marTop w:val="0"/>
                                                                                                                                      <w:marBottom w:val="0"/>
                                                                                                                                      <w:divBdr>
                                                                                                                                        <w:top w:val="none" w:sz="0" w:space="0" w:color="auto"/>
                                                                                                                                        <w:left w:val="none" w:sz="0" w:space="0" w:color="auto"/>
                                                                                                                                        <w:bottom w:val="none" w:sz="0" w:space="0" w:color="auto"/>
                                                                                                                                        <w:right w:val="none" w:sz="0" w:space="0" w:color="auto"/>
                                                                                                                                      </w:divBdr>
                                                                                                                                      <w:divsChild>
                                                                                                                                        <w:div w:id="1369256753">
                                                                                                                                          <w:marLeft w:val="0"/>
                                                                                                                                          <w:marRight w:val="0"/>
                                                                                                                                          <w:marTop w:val="0"/>
                                                                                                                                          <w:marBottom w:val="0"/>
                                                                                                                                          <w:divBdr>
                                                                                                                                            <w:top w:val="none" w:sz="0" w:space="0" w:color="auto"/>
                                                                                                                                            <w:left w:val="none" w:sz="0" w:space="0" w:color="auto"/>
                                                                                                                                            <w:bottom w:val="none" w:sz="0" w:space="0" w:color="auto"/>
                                                                                                                                            <w:right w:val="none" w:sz="0" w:space="0" w:color="auto"/>
                                                                                                                                          </w:divBdr>
                                                                                                                                        </w:div>
                                                                                                                                        <w:div w:id="83649866">
                                                                                                                                          <w:marLeft w:val="0"/>
                                                                                                                                          <w:marRight w:val="0"/>
                                                                                                                                          <w:marTop w:val="0"/>
                                                                                                                                          <w:marBottom w:val="0"/>
                                                                                                                                          <w:divBdr>
                                                                                                                                            <w:top w:val="none" w:sz="0" w:space="0" w:color="auto"/>
                                                                                                                                            <w:left w:val="none" w:sz="0" w:space="0" w:color="auto"/>
                                                                                                                                            <w:bottom w:val="none" w:sz="0" w:space="0" w:color="auto"/>
                                                                                                                                            <w:right w:val="none" w:sz="0" w:space="0" w:color="auto"/>
                                                                                                                                          </w:divBdr>
                                                                                                                                        </w:div>
                                                                                                                                        <w:div w:id="1698578839">
                                                                                                                                          <w:marLeft w:val="0"/>
                                                                                                                                          <w:marRight w:val="0"/>
                                                                                                                                          <w:marTop w:val="0"/>
                                                                                                                                          <w:marBottom w:val="0"/>
                                                                                                                                          <w:divBdr>
                                                                                                                                            <w:top w:val="none" w:sz="0" w:space="0" w:color="auto"/>
                                                                                                                                            <w:left w:val="none" w:sz="0" w:space="0" w:color="auto"/>
                                                                                                                                            <w:bottom w:val="none" w:sz="0" w:space="0" w:color="auto"/>
                                                                                                                                            <w:right w:val="none" w:sz="0" w:space="0" w:color="auto"/>
                                                                                                                                          </w:divBdr>
                                                                                                                                        </w:div>
                                                                                                                                        <w:div w:id="1323847259">
                                                                                                                                          <w:marLeft w:val="0"/>
                                                                                                                                          <w:marRight w:val="0"/>
                                                                                                                                          <w:marTop w:val="0"/>
                                                                                                                                          <w:marBottom w:val="0"/>
                                                                                                                                          <w:divBdr>
                                                                                                                                            <w:top w:val="none" w:sz="0" w:space="0" w:color="auto"/>
                                                                                                                                            <w:left w:val="none" w:sz="0" w:space="0" w:color="auto"/>
                                                                                                                                            <w:bottom w:val="none" w:sz="0" w:space="0" w:color="auto"/>
                                                                                                                                            <w:right w:val="none" w:sz="0" w:space="0" w:color="auto"/>
                                                                                                                                          </w:divBdr>
                                                                                                                                        </w:div>
                                                                                                                                        <w:div w:id="279461903">
                                                                                                                                          <w:marLeft w:val="0"/>
                                                                                                                                          <w:marRight w:val="0"/>
                                                                                                                                          <w:marTop w:val="0"/>
                                                                                                                                          <w:marBottom w:val="0"/>
                                                                                                                                          <w:divBdr>
                                                                                                                                            <w:top w:val="none" w:sz="0" w:space="0" w:color="auto"/>
                                                                                                                                            <w:left w:val="none" w:sz="0" w:space="0" w:color="auto"/>
                                                                                                                                            <w:bottom w:val="none" w:sz="0" w:space="0" w:color="auto"/>
                                                                                                                                            <w:right w:val="none" w:sz="0" w:space="0" w:color="auto"/>
                                                                                                                                          </w:divBdr>
                                                                                                                                        </w:div>
                                                                                                                                        <w:div w:id="585580296">
                                                                                                                                          <w:marLeft w:val="0"/>
                                                                                                                                          <w:marRight w:val="0"/>
                                                                                                                                          <w:marTop w:val="0"/>
                                                                                                                                          <w:marBottom w:val="0"/>
                                                                                                                                          <w:divBdr>
                                                                                                                                            <w:top w:val="none" w:sz="0" w:space="0" w:color="auto"/>
                                                                                                                                            <w:left w:val="none" w:sz="0" w:space="0" w:color="auto"/>
                                                                                                                                            <w:bottom w:val="none" w:sz="0" w:space="0" w:color="auto"/>
                                                                                                                                            <w:right w:val="none" w:sz="0" w:space="0" w:color="auto"/>
                                                                                                                                          </w:divBdr>
                                                                                                                                        </w:div>
                                                                                                                                        <w:div w:id="1072004555">
                                                                                                                                          <w:marLeft w:val="0"/>
                                                                                                                                          <w:marRight w:val="0"/>
                                                                                                                                          <w:marTop w:val="0"/>
                                                                                                                                          <w:marBottom w:val="0"/>
                                                                                                                                          <w:divBdr>
                                                                                                                                            <w:top w:val="none" w:sz="0" w:space="0" w:color="auto"/>
                                                                                                                                            <w:left w:val="none" w:sz="0" w:space="0" w:color="auto"/>
                                                                                                                                            <w:bottom w:val="none" w:sz="0" w:space="0" w:color="auto"/>
                                                                                                                                            <w:right w:val="none" w:sz="0" w:space="0" w:color="auto"/>
                                                                                                                                          </w:divBdr>
                                                                                                                                        </w:div>
                                                                                                                                        <w:div w:id="9646755">
                                                                                                                                          <w:marLeft w:val="0"/>
                                                                                                                                          <w:marRight w:val="0"/>
                                                                                                                                          <w:marTop w:val="0"/>
                                                                                                                                          <w:marBottom w:val="0"/>
                                                                                                                                          <w:divBdr>
                                                                                                                                            <w:top w:val="none" w:sz="0" w:space="0" w:color="auto"/>
                                                                                                                                            <w:left w:val="none" w:sz="0" w:space="0" w:color="auto"/>
                                                                                                                                            <w:bottom w:val="none" w:sz="0" w:space="0" w:color="auto"/>
                                                                                                                                            <w:right w:val="none" w:sz="0" w:space="0" w:color="auto"/>
                                                                                                                                          </w:divBdr>
                                                                                                                                        </w:div>
                                                                                                                                        <w:div w:id="592277177">
                                                                                                                                          <w:marLeft w:val="0"/>
                                                                                                                                          <w:marRight w:val="0"/>
                                                                                                                                          <w:marTop w:val="0"/>
                                                                                                                                          <w:marBottom w:val="0"/>
                                                                                                                                          <w:divBdr>
                                                                                                                                            <w:top w:val="none" w:sz="0" w:space="0" w:color="auto"/>
                                                                                                                                            <w:left w:val="none" w:sz="0" w:space="0" w:color="auto"/>
                                                                                                                                            <w:bottom w:val="none" w:sz="0" w:space="0" w:color="auto"/>
                                                                                                                                            <w:right w:val="none" w:sz="0" w:space="0" w:color="auto"/>
                                                                                                                                          </w:divBdr>
                                                                                                                                        </w:div>
                                                                                                                                        <w:div w:id="1715304068">
                                                                                                                                          <w:marLeft w:val="0"/>
                                                                                                                                          <w:marRight w:val="0"/>
                                                                                                                                          <w:marTop w:val="0"/>
                                                                                                                                          <w:marBottom w:val="0"/>
                                                                                                                                          <w:divBdr>
                                                                                                                                            <w:top w:val="none" w:sz="0" w:space="0" w:color="auto"/>
                                                                                                                                            <w:left w:val="none" w:sz="0" w:space="0" w:color="auto"/>
                                                                                                                                            <w:bottom w:val="none" w:sz="0" w:space="0" w:color="auto"/>
                                                                                                                                            <w:right w:val="none" w:sz="0" w:space="0" w:color="auto"/>
                                                                                                                                          </w:divBdr>
                                                                                                                                        </w:div>
                                                                                                                                        <w:div w:id="1661808931">
                                                                                                                                          <w:marLeft w:val="0"/>
                                                                                                                                          <w:marRight w:val="0"/>
                                                                                                                                          <w:marTop w:val="0"/>
                                                                                                                                          <w:marBottom w:val="0"/>
                                                                                                                                          <w:divBdr>
                                                                                                                                            <w:top w:val="none" w:sz="0" w:space="0" w:color="auto"/>
                                                                                                                                            <w:left w:val="none" w:sz="0" w:space="0" w:color="auto"/>
                                                                                                                                            <w:bottom w:val="none" w:sz="0" w:space="0" w:color="auto"/>
                                                                                                                                            <w:right w:val="none" w:sz="0" w:space="0" w:color="auto"/>
                                                                                                                                          </w:divBdr>
                                                                                                                                        </w:div>
                                                                                                                                        <w:div w:id="789857464">
                                                                                                                                          <w:marLeft w:val="0"/>
                                                                                                                                          <w:marRight w:val="0"/>
                                                                                                                                          <w:marTop w:val="0"/>
                                                                                                                                          <w:marBottom w:val="0"/>
                                                                                                                                          <w:divBdr>
                                                                                                                                            <w:top w:val="none" w:sz="0" w:space="0" w:color="auto"/>
                                                                                                                                            <w:left w:val="none" w:sz="0" w:space="0" w:color="auto"/>
                                                                                                                                            <w:bottom w:val="none" w:sz="0" w:space="0" w:color="auto"/>
                                                                                                                                            <w:right w:val="none" w:sz="0" w:space="0" w:color="auto"/>
                                                                                                                                          </w:divBdr>
                                                                                                                                        </w:div>
                                                                                                                                        <w:div w:id="1492403052">
                                                                                                                                          <w:marLeft w:val="0"/>
                                                                                                                                          <w:marRight w:val="0"/>
                                                                                                                                          <w:marTop w:val="0"/>
                                                                                                                                          <w:marBottom w:val="0"/>
                                                                                                                                          <w:divBdr>
                                                                                                                                            <w:top w:val="none" w:sz="0" w:space="0" w:color="auto"/>
                                                                                                                                            <w:left w:val="none" w:sz="0" w:space="0" w:color="auto"/>
                                                                                                                                            <w:bottom w:val="none" w:sz="0" w:space="0" w:color="auto"/>
                                                                                                                                            <w:right w:val="none" w:sz="0" w:space="0" w:color="auto"/>
                                                                                                                                          </w:divBdr>
                                                                                                                                        </w:div>
                                                                                                                                        <w:div w:id="470634584">
                                                                                                                                          <w:marLeft w:val="0"/>
                                                                                                                                          <w:marRight w:val="0"/>
                                                                                                                                          <w:marTop w:val="0"/>
                                                                                                                                          <w:marBottom w:val="0"/>
                                                                                                                                          <w:divBdr>
                                                                                                                                            <w:top w:val="none" w:sz="0" w:space="0" w:color="auto"/>
                                                                                                                                            <w:left w:val="none" w:sz="0" w:space="0" w:color="auto"/>
                                                                                                                                            <w:bottom w:val="none" w:sz="0" w:space="0" w:color="auto"/>
                                                                                                                                            <w:right w:val="none" w:sz="0" w:space="0" w:color="auto"/>
                                                                                                                                          </w:divBdr>
                                                                                                                                        </w:div>
                                                                                                                                        <w:div w:id="1563102689">
                                                                                                                                          <w:marLeft w:val="0"/>
                                                                                                                                          <w:marRight w:val="0"/>
                                                                                                                                          <w:marTop w:val="0"/>
                                                                                                                                          <w:marBottom w:val="0"/>
                                                                                                                                          <w:divBdr>
                                                                                                                                            <w:top w:val="none" w:sz="0" w:space="0" w:color="auto"/>
                                                                                                                                            <w:left w:val="none" w:sz="0" w:space="0" w:color="auto"/>
                                                                                                                                            <w:bottom w:val="none" w:sz="0" w:space="0" w:color="auto"/>
                                                                                                                                            <w:right w:val="none" w:sz="0" w:space="0" w:color="auto"/>
                                                                                                                                          </w:divBdr>
                                                                                                                                        </w:div>
                                                                                                                                        <w:div w:id="1805732115">
                                                                                                                                          <w:marLeft w:val="0"/>
                                                                                                                                          <w:marRight w:val="0"/>
                                                                                                                                          <w:marTop w:val="0"/>
                                                                                                                                          <w:marBottom w:val="0"/>
                                                                                                                                          <w:divBdr>
                                                                                                                                            <w:top w:val="none" w:sz="0" w:space="0" w:color="auto"/>
                                                                                                                                            <w:left w:val="none" w:sz="0" w:space="0" w:color="auto"/>
                                                                                                                                            <w:bottom w:val="none" w:sz="0" w:space="0" w:color="auto"/>
                                                                                                                                            <w:right w:val="none" w:sz="0" w:space="0" w:color="auto"/>
                                                                                                                                          </w:divBdr>
                                                                                                                                        </w:div>
                                                                                                                                        <w:div w:id="1877083461">
                                                                                                                                          <w:marLeft w:val="0"/>
                                                                                                                                          <w:marRight w:val="0"/>
                                                                                                                                          <w:marTop w:val="0"/>
                                                                                                                                          <w:marBottom w:val="0"/>
                                                                                                                                          <w:divBdr>
                                                                                                                                            <w:top w:val="none" w:sz="0" w:space="0" w:color="auto"/>
                                                                                                                                            <w:left w:val="none" w:sz="0" w:space="0" w:color="auto"/>
                                                                                                                                            <w:bottom w:val="none" w:sz="0" w:space="0" w:color="auto"/>
                                                                                                                                            <w:right w:val="none" w:sz="0" w:space="0" w:color="auto"/>
                                                                                                                                          </w:divBdr>
                                                                                                                                        </w:div>
                                                                                                                                        <w:div w:id="839126681">
                                                                                                                                          <w:marLeft w:val="0"/>
                                                                                                                                          <w:marRight w:val="0"/>
                                                                                                                                          <w:marTop w:val="0"/>
                                                                                                                                          <w:marBottom w:val="0"/>
                                                                                                                                          <w:divBdr>
                                                                                                                                            <w:top w:val="none" w:sz="0" w:space="0" w:color="auto"/>
                                                                                                                                            <w:left w:val="none" w:sz="0" w:space="0" w:color="auto"/>
                                                                                                                                            <w:bottom w:val="none" w:sz="0" w:space="0" w:color="auto"/>
                                                                                                                                            <w:right w:val="none" w:sz="0" w:space="0" w:color="auto"/>
                                                                                                                                          </w:divBdr>
                                                                                                                                        </w:div>
                                                                                                                                        <w:div w:id="99879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98360871">
      <w:bodyDiv w:val="1"/>
      <w:marLeft w:val="0"/>
      <w:marRight w:val="0"/>
      <w:marTop w:val="0"/>
      <w:marBottom w:val="0"/>
      <w:divBdr>
        <w:top w:val="none" w:sz="0" w:space="0" w:color="auto"/>
        <w:left w:val="none" w:sz="0" w:space="0" w:color="auto"/>
        <w:bottom w:val="none" w:sz="0" w:space="0" w:color="auto"/>
        <w:right w:val="none" w:sz="0" w:space="0" w:color="auto"/>
      </w:divBdr>
      <w:divsChild>
        <w:div w:id="1971275956">
          <w:marLeft w:val="0"/>
          <w:marRight w:val="0"/>
          <w:marTop w:val="0"/>
          <w:marBottom w:val="0"/>
          <w:divBdr>
            <w:top w:val="none" w:sz="0" w:space="0" w:color="auto"/>
            <w:left w:val="none" w:sz="0" w:space="0" w:color="auto"/>
            <w:bottom w:val="none" w:sz="0" w:space="0" w:color="auto"/>
            <w:right w:val="none" w:sz="0" w:space="0" w:color="auto"/>
          </w:divBdr>
        </w:div>
        <w:div w:id="954563239">
          <w:marLeft w:val="0"/>
          <w:marRight w:val="0"/>
          <w:marTop w:val="0"/>
          <w:marBottom w:val="0"/>
          <w:divBdr>
            <w:top w:val="none" w:sz="0" w:space="0" w:color="auto"/>
            <w:left w:val="none" w:sz="0" w:space="0" w:color="auto"/>
            <w:bottom w:val="none" w:sz="0" w:space="0" w:color="auto"/>
            <w:right w:val="none" w:sz="0" w:space="0" w:color="auto"/>
          </w:divBdr>
        </w:div>
        <w:div w:id="2017728831">
          <w:marLeft w:val="0"/>
          <w:marRight w:val="0"/>
          <w:marTop w:val="0"/>
          <w:marBottom w:val="0"/>
          <w:divBdr>
            <w:top w:val="none" w:sz="0" w:space="0" w:color="auto"/>
            <w:left w:val="none" w:sz="0" w:space="0" w:color="auto"/>
            <w:bottom w:val="none" w:sz="0" w:space="0" w:color="auto"/>
            <w:right w:val="none" w:sz="0" w:space="0" w:color="auto"/>
          </w:divBdr>
        </w:div>
        <w:div w:id="326055241">
          <w:marLeft w:val="0"/>
          <w:marRight w:val="0"/>
          <w:marTop w:val="0"/>
          <w:marBottom w:val="0"/>
          <w:divBdr>
            <w:top w:val="none" w:sz="0" w:space="0" w:color="auto"/>
            <w:left w:val="none" w:sz="0" w:space="0" w:color="auto"/>
            <w:bottom w:val="none" w:sz="0" w:space="0" w:color="auto"/>
            <w:right w:val="none" w:sz="0" w:space="0" w:color="auto"/>
          </w:divBdr>
        </w:div>
        <w:div w:id="140275972">
          <w:marLeft w:val="0"/>
          <w:marRight w:val="0"/>
          <w:marTop w:val="0"/>
          <w:marBottom w:val="0"/>
          <w:divBdr>
            <w:top w:val="none" w:sz="0" w:space="0" w:color="auto"/>
            <w:left w:val="none" w:sz="0" w:space="0" w:color="auto"/>
            <w:bottom w:val="none" w:sz="0" w:space="0" w:color="auto"/>
            <w:right w:val="none" w:sz="0" w:space="0" w:color="auto"/>
          </w:divBdr>
        </w:div>
        <w:div w:id="1478571592">
          <w:marLeft w:val="0"/>
          <w:marRight w:val="0"/>
          <w:marTop w:val="0"/>
          <w:marBottom w:val="0"/>
          <w:divBdr>
            <w:top w:val="none" w:sz="0" w:space="0" w:color="auto"/>
            <w:left w:val="none" w:sz="0" w:space="0" w:color="auto"/>
            <w:bottom w:val="none" w:sz="0" w:space="0" w:color="auto"/>
            <w:right w:val="none" w:sz="0" w:space="0" w:color="auto"/>
          </w:divBdr>
        </w:div>
        <w:div w:id="10574707">
          <w:marLeft w:val="0"/>
          <w:marRight w:val="0"/>
          <w:marTop w:val="0"/>
          <w:marBottom w:val="0"/>
          <w:divBdr>
            <w:top w:val="none" w:sz="0" w:space="0" w:color="auto"/>
            <w:left w:val="none" w:sz="0" w:space="0" w:color="auto"/>
            <w:bottom w:val="none" w:sz="0" w:space="0" w:color="auto"/>
            <w:right w:val="none" w:sz="0" w:space="0" w:color="auto"/>
          </w:divBdr>
        </w:div>
        <w:div w:id="1682010332">
          <w:marLeft w:val="0"/>
          <w:marRight w:val="0"/>
          <w:marTop w:val="0"/>
          <w:marBottom w:val="0"/>
          <w:divBdr>
            <w:top w:val="none" w:sz="0" w:space="0" w:color="auto"/>
            <w:left w:val="none" w:sz="0" w:space="0" w:color="auto"/>
            <w:bottom w:val="none" w:sz="0" w:space="0" w:color="auto"/>
            <w:right w:val="none" w:sz="0" w:space="0" w:color="auto"/>
          </w:divBdr>
        </w:div>
        <w:div w:id="1471442412">
          <w:marLeft w:val="0"/>
          <w:marRight w:val="0"/>
          <w:marTop w:val="0"/>
          <w:marBottom w:val="0"/>
          <w:divBdr>
            <w:top w:val="none" w:sz="0" w:space="0" w:color="auto"/>
            <w:left w:val="none" w:sz="0" w:space="0" w:color="auto"/>
            <w:bottom w:val="none" w:sz="0" w:space="0" w:color="auto"/>
            <w:right w:val="none" w:sz="0" w:space="0" w:color="auto"/>
          </w:divBdr>
        </w:div>
        <w:div w:id="584725847">
          <w:marLeft w:val="0"/>
          <w:marRight w:val="0"/>
          <w:marTop w:val="0"/>
          <w:marBottom w:val="0"/>
          <w:divBdr>
            <w:top w:val="none" w:sz="0" w:space="0" w:color="auto"/>
            <w:left w:val="none" w:sz="0" w:space="0" w:color="auto"/>
            <w:bottom w:val="none" w:sz="0" w:space="0" w:color="auto"/>
            <w:right w:val="none" w:sz="0" w:space="0" w:color="auto"/>
          </w:divBdr>
        </w:div>
        <w:div w:id="1973124481">
          <w:marLeft w:val="0"/>
          <w:marRight w:val="0"/>
          <w:marTop w:val="0"/>
          <w:marBottom w:val="0"/>
          <w:divBdr>
            <w:top w:val="none" w:sz="0" w:space="0" w:color="auto"/>
            <w:left w:val="none" w:sz="0" w:space="0" w:color="auto"/>
            <w:bottom w:val="none" w:sz="0" w:space="0" w:color="auto"/>
            <w:right w:val="none" w:sz="0" w:space="0" w:color="auto"/>
          </w:divBdr>
        </w:div>
        <w:div w:id="1966500102">
          <w:marLeft w:val="0"/>
          <w:marRight w:val="0"/>
          <w:marTop w:val="0"/>
          <w:marBottom w:val="0"/>
          <w:divBdr>
            <w:top w:val="none" w:sz="0" w:space="0" w:color="auto"/>
            <w:left w:val="none" w:sz="0" w:space="0" w:color="auto"/>
            <w:bottom w:val="none" w:sz="0" w:space="0" w:color="auto"/>
            <w:right w:val="none" w:sz="0" w:space="0" w:color="auto"/>
          </w:divBdr>
        </w:div>
        <w:div w:id="546529057">
          <w:marLeft w:val="0"/>
          <w:marRight w:val="0"/>
          <w:marTop w:val="0"/>
          <w:marBottom w:val="0"/>
          <w:divBdr>
            <w:top w:val="none" w:sz="0" w:space="0" w:color="auto"/>
            <w:left w:val="none" w:sz="0" w:space="0" w:color="auto"/>
            <w:bottom w:val="none" w:sz="0" w:space="0" w:color="auto"/>
            <w:right w:val="none" w:sz="0" w:space="0" w:color="auto"/>
          </w:divBdr>
        </w:div>
        <w:div w:id="471099750">
          <w:marLeft w:val="0"/>
          <w:marRight w:val="0"/>
          <w:marTop w:val="0"/>
          <w:marBottom w:val="0"/>
          <w:divBdr>
            <w:top w:val="none" w:sz="0" w:space="0" w:color="auto"/>
            <w:left w:val="none" w:sz="0" w:space="0" w:color="auto"/>
            <w:bottom w:val="none" w:sz="0" w:space="0" w:color="auto"/>
            <w:right w:val="none" w:sz="0" w:space="0" w:color="auto"/>
          </w:divBdr>
        </w:div>
        <w:div w:id="163668239">
          <w:marLeft w:val="0"/>
          <w:marRight w:val="0"/>
          <w:marTop w:val="0"/>
          <w:marBottom w:val="0"/>
          <w:divBdr>
            <w:top w:val="none" w:sz="0" w:space="0" w:color="auto"/>
            <w:left w:val="none" w:sz="0" w:space="0" w:color="auto"/>
            <w:bottom w:val="none" w:sz="0" w:space="0" w:color="auto"/>
            <w:right w:val="none" w:sz="0" w:space="0" w:color="auto"/>
          </w:divBdr>
        </w:div>
        <w:div w:id="656568092">
          <w:marLeft w:val="0"/>
          <w:marRight w:val="0"/>
          <w:marTop w:val="0"/>
          <w:marBottom w:val="0"/>
          <w:divBdr>
            <w:top w:val="none" w:sz="0" w:space="0" w:color="auto"/>
            <w:left w:val="none" w:sz="0" w:space="0" w:color="auto"/>
            <w:bottom w:val="none" w:sz="0" w:space="0" w:color="auto"/>
            <w:right w:val="none" w:sz="0" w:space="0" w:color="auto"/>
          </w:divBdr>
        </w:div>
        <w:div w:id="815990855">
          <w:marLeft w:val="0"/>
          <w:marRight w:val="0"/>
          <w:marTop w:val="0"/>
          <w:marBottom w:val="0"/>
          <w:divBdr>
            <w:top w:val="none" w:sz="0" w:space="0" w:color="auto"/>
            <w:left w:val="none" w:sz="0" w:space="0" w:color="auto"/>
            <w:bottom w:val="none" w:sz="0" w:space="0" w:color="auto"/>
            <w:right w:val="none" w:sz="0" w:space="0" w:color="auto"/>
          </w:divBdr>
        </w:div>
        <w:div w:id="658388622">
          <w:marLeft w:val="0"/>
          <w:marRight w:val="0"/>
          <w:marTop w:val="0"/>
          <w:marBottom w:val="0"/>
          <w:divBdr>
            <w:top w:val="none" w:sz="0" w:space="0" w:color="auto"/>
            <w:left w:val="none" w:sz="0" w:space="0" w:color="auto"/>
            <w:bottom w:val="none" w:sz="0" w:space="0" w:color="auto"/>
            <w:right w:val="none" w:sz="0" w:space="0" w:color="auto"/>
          </w:divBdr>
        </w:div>
        <w:div w:id="1982804821">
          <w:marLeft w:val="0"/>
          <w:marRight w:val="0"/>
          <w:marTop w:val="0"/>
          <w:marBottom w:val="0"/>
          <w:divBdr>
            <w:top w:val="none" w:sz="0" w:space="0" w:color="auto"/>
            <w:left w:val="none" w:sz="0" w:space="0" w:color="auto"/>
            <w:bottom w:val="none" w:sz="0" w:space="0" w:color="auto"/>
            <w:right w:val="none" w:sz="0" w:space="0" w:color="auto"/>
          </w:divBdr>
        </w:div>
        <w:div w:id="1513759095">
          <w:marLeft w:val="0"/>
          <w:marRight w:val="0"/>
          <w:marTop w:val="0"/>
          <w:marBottom w:val="0"/>
          <w:divBdr>
            <w:top w:val="none" w:sz="0" w:space="0" w:color="auto"/>
            <w:left w:val="none" w:sz="0" w:space="0" w:color="auto"/>
            <w:bottom w:val="none" w:sz="0" w:space="0" w:color="auto"/>
            <w:right w:val="none" w:sz="0" w:space="0" w:color="auto"/>
          </w:divBdr>
        </w:div>
        <w:div w:id="1428690951">
          <w:marLeft w:val="0"/>
          <w:marRight w:val="0"/>
          <w:marTop w:val="0"/>
          <w:marBottom w:val="0"/>
          <w:divBdr>
            <w:top w:val="none" w:sz="0" w:space="0" w:color="auto"/>
            <w:left w:val="none" w:sz="0" w:space="0" w:color="auto"/>
            <w:bottom w:val="none" w:sz="0" w:space="0" w:color="auto"/>
            <w:right w:val="none" w:sz="0" w:space="0" w:color="auto"/>
          </w:divBdr>
        </w:div>
        <w:div w:id="1626353807">
          <w:marLeft w:val="0"/>
          <w:marRight w:val="0"/>
          <w:marTop w:val="0"/>
          <w:marBottom w:val="0"/>
          <w:divBdr>
            <w:top w:val="none" w:sz="0" w:space="0" w:color="auto"/>
            <w:left w:val="none" w:sz="0" w:space="0" w:color="auto"/>
            <w:bottom w:val="none" w:sz="0" w:space="0" w:color="auto"/>
            <w:right w:val="none" w:sz="0" w:space="0" w:color="auto"/>
          </w:divBdr>
        </w:div>
        <w:div w:id="1911966083">
          <w:marLeft w:val="0"/>
          <w:marRight w:val="0"/>
          <w:marTop w:val="0"/>
          <w:marBottom w:val="0"/>
          <w:divBdr>
            <w:top w:val="none" w:sz="0" w:space="0" w:color="auto"/>
            <w:left w:val="none" w:sz="0" w:space="0" w:color="auto"/>
            <w:bottom w:val="none" w:sz="0" w:space="0" w:color="auto"/>
            <w:right w:val="none" w:sz="0" w:space="0" w:color="auto"/>
          </w:divBdr>
        </w:div>
        <w:div w:id="1289698369">
          <w:marLeft w:val="0"/>
          <w:marRight w:val="0"/>
          <w:marTop w:val="0"/>
          <w:marBottom w:val="0"/>
          <w:divBdr>
            <w:top w:val="none" w:sz="0" w:space="0" w:color="auto"/>
            <w:left w:val="none" w:sz="0" w:space="0" w:color="auto"/>
            <w:bottom w:val="none" w:sz="0" w:space="0" w:color="auto"/>
            <w:right w:val="none" w:sz="0" w:space="0" w:color="auto"/>
          </w:divBdr>
        </w:div>
        <w:div w:id="742489797">
          <w:marLeft w:val="0"/>
          <w:marRight w:val="0"/>
          <w:marTop w:val="0"/>
          <w:marBottom w:val="0"/>
          <w:divBdr>
            <w:top w:val="none" w:sz="0" w:space="0" w:color="auto"/>
            <w:left w:val="none" w:sz="0" w:space="0" w:color="auto"/>
            <w:bottom w:val="none" w:sz="0" w:space="0" w:color="auto"/>
            <w:right w:val="none" w:sz="0" w:space="0" w:color="auto"/>
          </w:divBdr>
        </w:div>
        <w:div w:id="127289073">
          <w:marLeft w:val="0"/>
          <w:marRight w:val="0"/>
          <w:marTop w:val="0"/>
          <w:marBottom w:val="0"/>
          <w:divBdr>
            <w:top w:val="none" w:sz="0" w:space="0" w:color="auto"/>
            <w:left w:val="none" w:sz="0" w:space="0" w:color="auto"/>
            <w:bottom w:val="none" w:sz="0" w:space="0" w:color="auto"/>
            <w:right w:val="none" w:sz="0" w:space="0" w:color="auto"/>
          </w:divBdr>
        </w:div>
        <w:div w:id="638001144">
          <w:marLeft w:val="0"/>
          <w:marRight w:val="0"/>
          <w:marTop w:val="0"/>
          <w:marBottom w:val="0"/>
          <w:divBdr>
            <w:top w:val="none" w:sz="0" w:space="0" w:color="auto"/>
            <w:left w:val="none" w:sz="0" w:space="0" w:color="auto"/>
            <w:bottom w:val="none" w:sz="0" w:space="0" w:color="auto"/>
            <w:right w:val="none" w:sz="0" w:space="0" w:color="auto"/>
          </w:divBdr>
        </w:div>
        <w:div w:id="170533426">
          <w:marLeft w:val="0"/>
          <w:marRight w:val="0"/>
          <w:marTop w:val="0"/>
          <w:marBottom w:val="0"/>
          <w:divBdr>
            <w:top w:val="none" w:sz="0" w:space="0" w:color="auto"/>
            <w:left w:val="none" w:sz="0" w:space="0" w:color="auto"/>
            <w:bottom w:val="none" w:sz="0" w:space="0" w:color="auto"/>
            <w:right w:val="none" w:sz="0" w:space="0" w:color="auto"/>
          </w:divBdr>
        </w:div>
        <w:div w:id="1600672714">
          <w:marLeft w:val="0"/>
          <w:marRight w:val="0"/>
          <w:marTop w:val="0"/>
          <w:marBottom w:val="0"/>
          <w:divBdr>
            <w:top w:val="none" w:sz="0" w:space="0" w:color="auto"/>
            <w:left w:val="none" w:sz="0" w:space="0" w:color="auto"/>
            <w:bottom w:val="none" w:sz="0" w:space="0" w:color="auto"/>
            <w:right w:val="none" w:sz="0" w:space="0" w:color="auto"/>
          </w:divBdr>
        </w:div>
        <w:div w:id="10381109">
          <w:marLeft w:val="0"/>
          <w:marRight w:val="0"/>
          <w:marTop w:val="0"/>
          <w:marBottom w:val="0"/>
          <w:divBdr>
            <w:top w:val="none" w:sz="0" w:space="0" w:color="auto"/>
            <w:left w:val="none" w:sz="0" w:space="0" w:color="auto"/>
            <w:bottom w:val="none" w:sz="0" w:space="0" w:color="auto"/>
            <w:right w:val="none" w:sz="0" w:space="0" w:color="auto"/>
          </w:divBdr>
        </w:div>
        <w:div w:id="2084182470">
          <w:marLeft w:val="0"/>
          <w:marRight w:val="0"/>
          <w:marTop w:val="0"/>
          <w:marBottom w:val="0"/>
          <w:divBdr>
            <w:top w:val="none" w:sz="0" w:space="0" w:color="auto"/>
            <w:left w:val="none" w:sz="0" w:space="0" w:color="auto"/>
            <w:bottom w:val="none" w:sz="0" w:space="0" w:color="auto"/>
            <w:right w:val="none" w:sz="0" w:space="0" w:color="auto"/>
          </w:divBdr>
          <w:divsChild>
            <w:div w:id="197960339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405755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2.jpeg"/><Relationship Id="rId8" Type="http://schemas.openxmlformats.org/officeDocument/2006/relationships/image" Target="media/image3.jpeg"/><Relationship Id="rId9" Type="http://schemas.openxmlformats.org/officeDocument/2006/relationships/header" Target="head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wner\Documents\Angora%20Postfire%20Salvage%20Project%20EA%2012Apr1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C:\Users\Owner\Documents\Angora Postfire Salvage Project EA 12Apr10.dot</Template>
  <TotalTime>0</TotalTime>
  <Pages>4</Pages>
  <Words>1193</Words>
  <Characters>6804</Characters>
  <Application>Microsoft Macintosh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29 March 2010</vt:lpstr>
    </vt:vector>
  </TitlesOfParts>
  <Company/>
  <LinksUpToDate>false</LinksUpToDate>
  <CharactersWithSpaces>7982</CharactersWithSpaces>
  <SharedDoc>false</SharedDoc>
  <HLinks>
    <vt:vector size="6" baseType="variant">
      <vt:variant>
        <vt:i4>3735649</vt:i4>
      </vt:variant>
      <vt:variant>
        <vt:i4>0</vt:i4>
      </vt:variant>
      <vt:variant>
        <vt:i4>0</vt:i4>
      </vt:variant>
      <vt:variant>
        <vt:i4>5</vt:i4>
      </vt:variant>
      <vt:variant>
        <vt:lpwstr>http://www.firelab.org/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29 March 2010</dc:title>
  <dc:creator>Owner</dc:creator>
  <cp:lastModifiedBy>Microsoft Office User</cp:lastModifiedBy>
  <cp:revision>2</cp:revision>
  <dcterms:created xsi:type="dcterms:W3CDTF">2016-01-12T03:43:00Z</dcterms:created>
  <dcterms:modified xsi:type="dcterms:W3CDTF">2016-01-12T03:43:00Z</dcterms:modified>
</cp:coreProperties>
</file>