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January 20, 2026</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Bighorn National Forest</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ATTN: Michael Thom</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1415 Fort Street</w:t>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Buffalo, WY 82834</w:t>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Submitted via: </w:t>
      </w:r>
    </w:p>
    <w:p w:rsidR="00000000" w:rsidDel="00000000" w:rsidP="00000000" w:rsidRDefault="00000000" w:rsidRPr="00000000" w14:paraId="00000009">
      <w:pPr>
        <w:rPr>
          <w:rFonts w:ascii="Aptos" w:cs="Aptos" w:eastAsia="Aptos" w:hAnsi="Aptos"/>
          <w:sz w:val="24"/>
          <w:szCs w:val="24"/>
        </w:rPr>
      </w:pPr>
      <w:hyperlink r:id="rId6">
        <w:r w:rsidDel="00000000" w:rsidR="00000000" w:rsidRPr="00000000">
          <w:rPr>
            <w:color w:val="1155cc"/>
            <w:sz w:val="24"/>
            <w:szCs w:val="24"/>
            <w:highlight w:val="white"/>
            <w:u w:val="single"/>
            <w:rtl w:val="0"/>
          </w:rPr>
          <w:t xml:space="preserve">https://cara.fs2c.usda.gov/Public/CommentInput?Project=64474</w:t>
        </w:r>
      </w:hyperlink>
      <w:r w:rsidDel="00000000" w:rsidR="00000000" w:rsidRPr="00000000">
        <w:rPr>
          <w:rtl w:val="0"/>
        </w:rPr>
      </w:r>
    </w:p>
    <w:p w:rsidR="00000000" w:rsidDel="00000000" w:rsidP="00000000" w:rsidRDefault="00000000" w:rsidRPr="00000000" w14:paraId="0000000A">
      <w:pPr>
        <w:spacing w:after="240" w:before="240" w:line="27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RE: Tensleep Canyon Climbing Management Plan Draft Environmental Assessment (EA) #64474 </w:t>
      </w:r>
    </w:p>
    <w:p w:rsidR="00000000" w:rsidDel="00000000" w:rsidP="00000000" w:rsidRDefault="00000000" w:rsidRPr="00000000" w14:paraId="0000000B">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Dear Forest Service Team, </w:t>
      </w:r>
    </w:p>
    <w:p w:rsidR="00000000" w:rsidDel="00000000" w:rsidP="00000000" w:rsidRDefault="00000000" w:rsidRPr="00000000" w14:paraId="0000000C">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I’m a local climber who relocated across the United States half a decade ago specifically for the incredible climbing and recreation opportunities in Ten Sleep Canyon and the Bighorn Mountains. I want to say a huge thank you to your whole team and particularly your climbing ranger Ryan Sorenson for the time and effort that has been put into creating a management plan that will ensure the continued use of these public lands</w:t>
      </w:r>
    </w:p>
    <w:p w:rsidR="00000000" w:rsidDel="00000000" w:rsidP="00000000" w:rsidRDefault="00000000" w:rsidRPr="00000000" w14:paraId="0000000D">
      <w:pPr>
        <w:spacing w:after="240" w:before="240" w:line="27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Comments:</w:t>
      </w:r>
    </w:p>
    <w:p w:rsidR="00000000" w:rsidDel="00000000" w:rsidP="00000000" w:rsidRDefault="00000000" w:rsidRPr="00000000" w14:paraId="0000000E">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1. Permit and Authorization Framework for New Route Development</w:t>
      </w:r>
      <w:r w:rsidDel="00000000" w:rsidR="00000000" w:rsidRPr="00000000">
        <w:rPr>
          <w:rtl w:val="0"/>
        </w:rPr>
      </w:r>
    </w:p>
    <w:p w:rsidR="00000000" w:rsidDel="00000000" w:rsidP="00000000" w:rsidRDefault="00000000" w:rsidRPr="00000000" w14:paraId="0000000F">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w:t>
      </w:r>
      <w:r w:rsidDel="00000000" w:rsidR="00000000" w:rsidRPr="00000000">
        <w:rPr>
          <w:rFonts w:ascii="Aptos" w:cs="Aptos" w:eastAsia="Aptos" w:hAnsi="Aptos"/>
          <w:sz w:val="24"/>
          <w:szCs w:val="24"/>
          <w:rtl w:val="0"/>
        </w:rPr>
        <w:t xml:space="preserve">strongly support a framework that authorizes new climbing development.</w:t>
      </w:r>
    </w:p>
    <w:p w:rsidR="00000000" w:rsidDel="00000000" w:rsidP="00000000" w:rsidRDefault="00000000" w:rsidRPr="00000000" w14:paraId="00000010">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am concerned that the process for doing so has not been explicitly spelled out. I feel there needs to be clearly defined approval criteria, review timelines, decision standards, transparency measures, or reconsideration/appeals processes. The last thing anyone wants is for the approval of future routes and development to be left up to the interpretation of whomever sits in review and of this process down the road.</w:t>
      </w:r>
    </w:p>
    <w:p w:rsidR="00000000" w:rsidDel="00000000" w:rsidP="00000000" w:rsidRDefault="00000000" w:rsidRPr="00000000" w14:paraId="00000011">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 practicality, fairness, and efficiency I recommend the following enhancements: </w:t>
      </w:r>
    </w:p>
    <w:p w:rsidR="00000000" w:rsidDel="00000000" w:rsidP="00000000" w:rsidRDefault="00000000" w:rsidRPr="00000000" w14:paraId="00000012">
      <w:pPr>
        <w:numPr>
          <w:ilvl w:val="0"/>
          <w:numId w:val="2"/>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Clearly state that replacement or maintenance of existing fixed hardware (on existing routes) may proceed without any new authorization, provided no expanded impacts to cultural or natural resources occur. </w:t>
      </w:r>
    </w:p>
    <w:p w:rsidR="00000000" w:rsidDel="00000000" w:rsidP="00000000" w:rsidRDefault="00000000" w:rsidRPr="00000000" w14:paraId="00000013">
      <w:pPr>
        <w:numPr>
          <w:ilvl w:val="0"/>
          <w:numId w:val="2"/>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Establish defined review timelines </w:t>
      </w:r>
    </w:p>
    <w:p w:rsidR="00000000" w:rsidDel="00000000" w:rsidP="00000000" w:rsidRDefault="00000000" w:rsidRPr="00000000" w14:paraId="00000014">
      <w:pPr>
        <w:numPr>
          <w:ilvl w:val="0"/>
          <w:numId w:val="2"/>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Provide a transparent reconsideration or appeals process consistent with Forest Service administrative procedures. </w:t>
      </w:r>
    </w:p>
    <w:p w:rsidR="00000000" w:rsidDel="00000000" w:rsidP="00000000" w:rsidRDefault="00000000" w:rsidRPr="00000000" w14:paraId="00000015">
      <w:pPr>
        <w:numPr>
          <w:ilvl w:val="0"/>
          <w:numId w:val="2"/>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Require measurable and documented impacts to cultural or natural resources before any closure of existing climbing areas.</w:t>
      </w:r>
    </w:p>
    <w:p w:rsidR="00000000" w:rsidDel="00000000" w:rsidP="00000000" w:rsidRDefault="00000000" w:rsidRPr="00000000" w14:paraId="00000016">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do not feel that new surveys should be required for any/ all new development of routes. There does not appear to be a clear timeframe for if or when these proposed surveys would or could be completed. This will be a huge problem as the perception with the release of the CMP will be that route development is allowed again but the barriers to that happen do not have addressed timelines or a detailed outline of how or when proposals for new routes would even be able to start being considered since the base criteria is that surveys must be completed first. I feel strongly and would urge your team to make the following changes.</w:t>
        <w:br w:type="textWrapping"/>
        <w:br w:type="textWrapping"/>
        <w:t xml:space="preserve">1. Allow new development to take place in all existing climbing zones/ crags/ sectors without the requirement for any additional surveys. This approach would allow for some new routes to be added to existing zones which would help the public and developers to begin to interact in this space again while providing the FS team ease of monitoring new development.</w:t>
      </w:r>
    </w:p>
    <w:p w:rsidR="00000000" w:rsidDel="00000000" w:rsidP="00000000" w:rsidRDefault="00000000" w:rsidRPr="00000000" w14:paraId="00000017">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2. Allow new development to take place in all zones that do not currently hold any special protective status. Climbing development is guided by the angles of the walls, access to the walls, the nature of the natural features existing on the walls and is therefore naturally governing in terms of where and how much development could even take place. Developers have been establishing new climbing routes in Ten Sleep Canyon for 4+ decades. The bulk of the best rock has already been developed. There is a massive percentage of the cliff faces in TSC that are not suitable for climbing routes and would/will never be developed because of this self governing nature of rock.</w:t>
      </w:r>
    </w:p>
    <w:p w:rsidR="00000000" w:rsidDel="00000000" w:rsidP="00000000" w:rsidRDefault="00000000" w:rsidRPr="00000000" w14:paraId="00000018">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2. Leigh Creek Research Natural Area</w:t>
      </w:r>
      <w:r w:rsidDel="00000000" w:rsidR="00000000" w:rsidRPr="00000000">
        <w:rPr>
          <w:rtl w:val="0"/>
        </w:rPr>
      </w:r>
    </w:p>
    <w:p w:rsidR="00000000" w:rsidDel="00000000" w:rsidP="00000000" w:rsidRDefault="00000000" w:rsidRPr="00000000" w14:paraId="00000019">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proposal to close the Leigh Creek RNA to sport climbing and remove </w:t>
      </w:r>
      <w:r w:rsidDel="00000000" w:rsidR="00000000" w:rsidRPr="00000000">
        <w:rPr>
          <w:rFonts w:ascii="Aptos" w:cs="Aptos" w:eastAsia="Aptos" w:hAnsi="Aptos"/>
          <w:b w:val="1"/>
          <w:bCs w:val="1"/>
          <w:sz w:val="24"/>
          <w:szCs w:val="24"/>
          <w:rtl w:val="0"/>
        </w:rPr>
        <w:t xml:space="preserve">all</w:t>
      </w:r>
      <w:r w:rsidDel="00000000" w:rsidR="00000000" w:rsidRPr="00000000">
        <w:rPr>
          <w:rFonts w:ascii="Aptos" w:cs="Aptos" w:eastAsia="Aptos" w:hAnsi="Aptos"/>
          <w:sz w:val="24"/>
          <w:szCs w:val="24"/>
          <w:rtl w:val="0"/>
        </w:rPr>
        <w:t xml:space="preserve"> existing routes without documented reasoning that is based on quantifiable data regarding the negative impacts is wrong. I say this bluntly because the proposed action singles out 1 particular recreation activity in this zone while still allowing so many other forms of recreation to take place in this area.</w:t>
        <w:br w:type="textWrapping"/>
        <w:br w:type="textWrapping"/>
        <w:t xml:space="preserve">To do that without quantifiable data showing measured impacts to clearly support such a decision is </w:t>
      </w:r>
      <w:r w:rsidDel="00000000" w:rsidR="00000000" w:rsidRPr="00000000">
        <w:rPr>
          <w:rFonts w:ascii="Aptos" w:cs="Aptos" w:eastAsia="Aptos" w:hAnsi="Aptos"/>
          <w:sz w:val="24"/>
          <w:szCs w:val="24"/>
          <w:u w:val="single"/>
          <w:rtl w:val="0"/>
        </w:rPr>
        <w:t xml:space="preserve">extreme bias</w:t>
      </w:r>
      <w:r w:rsidDel="00000000" w:rsidR="00000000" w:rsidRPr="00000000">
        <w:rPr>
          <w:rFonts w:ascii="Aptos" w:cs="Aptos" w:eastAsia="Aptos" w:hAnsi="Aptos"/>
          <w:sz w:val="24"/>
          <w:szCs w:val="24"/>
          <w:rtl w:val="0"/>
        </w:rPr>
        <w:t xml:space="preserve">.</w:t>
        <w:br w:type="textWrapping"/>
        <w:br w:type="textWrapping"/>
        <w:t xml:space="preserve">I strongly urge the FS Team to reconsider this proposed action and as an alternative establish a plan to monitor the impacts to this area that are directly connected to climbing specific activities with direct and measurable standards comparative to the nature of this area at the time it received its official RNA status. Establish an action plan for the future if measurable negative impacts are found where alternatives to blanket closure are introduced first and monitored such as limited access either through number of users per day/week/month etc or based on seasonal usage and high traffic periods during the climbing season. </w:t>
      </w:r>
    </w:p>
    <w:p w:rsidR="00000000" w:rsidDel="00000000" w:rsidP="00000000" w:rsidRDefault="00000000" w:rsidRPr="00000000" w14:paraId="0000001A">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This framework would provide a fair and unbiased process for the FS team to ensure protection of this area through continued monitoring of this area and measuring against a clearly defined standard for the area (current state at the time of the official RNA designation). This also provides alternatives to closure based on usage and measurable impact/ degradation leaving closure as a last resort.</w:t>
      </w:r>
    </w:p>
    <w:p w:rsidR="00000000" w:rsidDel="00000000" w:rsidP="00000000" w:rsidRDefault="00000000" w:rsidRPr="00000000" w14:paraId="0000001B">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u w:val="single"/>
          <w:rtl w:val="0"/>
        </w:rPr>
        <w:t xml:space="preserve">I want to strongly reiterate the importance of fairness and lack of bias in regard to restricting access to 1 particular user group/ recreational activity. To do so without measurable data to back the decision of this proposed action is stepping into an area where litigation could become a serious potential and does injustice to users of these beautiful spaces</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1C">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3. Standards for Removal of Existing Routes</w:t>
      </w:r>
      <w:r w:rsidDel="00000000" w:rsidR="00000000" w:rsidRPr="00000000">
        <w:rPr>
          <w:rtl w:val="0"/>
        </w:rPr>
      </w:r>
    </w:p>
    <w:p w:rsidR="00000000" w:rsidDel="00000000" w:rsidP="00000000" w:rsidRDefault="00000000" w:rsidRPr="00000000" w14:paraId="0000001D">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proposed action allows for the removal of existing climbing routes where surveys identify “</w:t>
      </w:r>
      <w:r w:rsidDel="00000000" w:rsidR="00000000" w:rsidRPr="00000000">
        <w:rPr>
          <w:rFonts w:ascii="Aptos" w:cs="Aptos" w:eastAsia="Aptos" w:hAnsi="Aptos"/>
          <w:i w:val="1"/>
          <w:iCs w:val="1"/>
          <w:sz w:val="24"/>
          <w:szCs w:val="24"/>
          <w:rtl w:val="0"/>
        </w:rPr>
        <w:t xml:space="preserve">negative impacts</w:t>
      </w:r>
      <w:r w:rsidDel="00000000" w:rsidR="00000000" w:rsidRPr="00000000">
        <w:rPr>
          <w:rFonts w:ascii="Aptos" w:cs="Aptos" w:eastAsia="Aptos" w:hAnsi="Aptos"/>
          <w:sz w:val="24"/>
          <w:szCs w:val="24"/>
          <w:rtl w:val="0"/>
        </w:rPr>
        <w:t xml:space="preserve">” to cultural or natural resources. </w:t>
      </w:r>
    </w:p>
    <w:p w:rsidR="00000000" w:rsidDel="00000000" w:rsidP="00000000" w:rsidRDefault="00000000" w:rsidRPr="00000000" w14:paraId="0000001E">
      <w:pPr>
        <w:spacing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F">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There needs to be clearly defined criteria for what constitutes a negative impact, establish thresholds for significance, or describe how such determinations will be made. This lack of definition is inconsistent with Forest Service planning and decision-making directives that require clear standards, criteria, and design features to guide implementation and ensure consistent application of management actions.</w:t>
      </w:r>
    </w:p>
    <w:p w:rsidR="00000000" w:rsidDel="00000000" w:rsidP="00000000" w:rsidRDefault="00000000" w:rsidRPr="00000000" w14:paraId="00000020">
      <w:pPr>
        <w:spacing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would like to recommend the following,</w:t>
        <w:br w:type="textWrapping"/>
        <w:br w:type="textWrapping"/>
        <w:t xml:space="preserve">Establish clear criteria for what constitutes negative impact. Establish alternative action plans based on the thresholds of significance such as limiting access to particular routes or walls to specific time periods during the season (seasonal closures). Or establishing a minimum standard for maintaining the sensitive nature of that route/ wall/ area and clearly define what measurable impacts would lead to limited access and or potential future closure.</w:t>
      </w:r>
    </w:p>
    <w:p w:rsidR="00000000" w:rsidDel="00000000" w:rsidP="00000000" w:rsidRDefault="00000000" w:rsidRPr="00000000" w14:paraId="00000022">
      <w:pPr>
        <w:spacing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3">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To align the proposed action with Forest Service directives and ensure compliance with NEPA, the EA should be revised to:</w:t>
      </w:r>
    </w:p>
    <w:p w:rsidR="00000000" w:rsidDel="00000000" w:rsidP="00000000" w:rsidRDefault="00000000" w:rsidRPr="00000000" w14:paraId="00000024">
      <w:pPr>
        <w:spacing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5">
      <w:pPr>
        <w:spacing w:line="279"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1) define “negative impacts” and establish objective criteria and thresholds for evaluating impacts to cultural and natural resources associated with existing routes, consistent with Forest Service planning and implementation guidance;</w:t>
      </w:r>
    </w:p>
    <w:p w:rsidR="00000000" w:rsidDel="00000000" w:rsidP="00000000" w:rsidRDefault="00000000" w:rsidRPr="00000000" w14:paraId="00000026">
      <w:pPr>
        <w:spacing w:line="279" w:lineRule="auto"/>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7">
      <w:pPr>
        <w:spacing w:line="279"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2) describe how avoidance, minimization, and mitigation measures will be evaluated and applied prior to route removal, including the circumstances under which removal would be required;</w:t>
      </w:r>
    </w:p>
    <w:p w:rsidR="00000000" w:rsidDel="00000000" w:rsidP="00000000" w:rsidRDefault="00000000" w:rsidRPr="00000000" w14:paraId="00000028">
      <w:pPr>
        <w:spacing w:line="279" w:lineRule="auto"/>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spacing w:line="279"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3) analyze the cumulative and reasonably foreseeable effects of route removals under this framework, including the potential for incremental loss of climbing opportunities over time.</w:t>
      </w:r>
    </w:p>
    <w:p w:rsidR="00000000" w:rsidDel="00000000" w:rsidP="00000000" w:rsidRDefault="00000000" w:rsidRPr="00000000" w14:paraId="0000002A">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4. Clarifying Key Definitions</w:t>
      </w:r>
      <w:r w:rsidDel="00000000" w:rsidR="00000000" w:rsidRPr="00000000">
        <w:rPr>
          <w:rtl w:val="0"/>
        </w:rPr>
      </w:r>
    </w:p>
    <w:p w:rsidR="00000000" w:rsidDel="00000000" w:rsidP="00000000" w:rsidRDefault="00000000" w:rsidRPr="00000000" w14:paraId="0000002B">
      <w:pPr>
        <w:spacing w:line="27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Definitions Needed</w:t>
      </w:r>
    </w:p>
    <w:p w:rsidR="00000000" w:rsidDel="00000000" w:rsidP="00000000" w:rsidRDefault="00000000" w:rsidRPr="00000000" w14:paraId="0000002C">
      <w:pPr>
        <w:spacing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D">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Mechanical Equipment:</w:t>
      </w:r>
    </w:p>
    <w:p w:rsidR="00000000" w:rsidDel="00000000" w:rsidP="00000000" w:rsidRDefault="00000000" w:rsidRPr="00000000" w14:paraId="0000002E">
      <w:pPr>
        <w:numPr>
          <w:ilvl w:val="0"/>
          <w:numId w:val="1"/>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In Attachment B- Implementation Guide, Route Development Review Process- Step 5 Route Development, we suggest additional clarification be added to the term </w:t>
      </w:r>
      <w:r w:rsidDel="00000000" w:rsidR="00000000" w:rsidRPr="00000000">
        <w:rPr>
          <w:rFonts w:ascii="Aptos" w:cs="Aptos" w:eastAsia="Aptos" w:hAnsi="Aptos"/>
          <w:b w:val="1"/>
          <w:bCs w:val="1"/>
          <w:i w:val="1"/>
          <w:iCs w:val="1"/>
          <w:sz w:val="24"/>
          <w:szCs w:val="24"/>
          <w:rtl w:val="0"/>
        </w:rPr>
        <w:t xml:space="preserve">“mechanical equipment to create holds where a natural hold does not exist.</w:t>
      </w:r>
      <w:r w:rsidDel="00000000" w:rsidR="00000000" w:rsidRPr="00000000">
        <w:rPr>
          <w:rFonts w:ascii="Aptos" w:cs="Aptos" w:eastAsia="Aptos" w:hAnsi="Aptos"/>
          <w:i w:val="1"/>
          <w:iCs w:val="1"/>
          <w:sz w:val="24"/>
          <w:szCs w:val="24"/>
          <w:rtl w:val="0"/>
        </w:rPr>
        <w:t xml:space="preserve">”</w:t>
      </w:r>
      <w:r w:rsidDel="00000000" w:rsidR="00000000" w:rsidRPr="00000000">
        <w:rPr>
          <w:rFonts w:ascii="Aptos" w:cs="Aptos" w:eastAsia="Aptos" w:hAnsi="Aptos"/>
          <w:sz w:val="24"/>
          <w:szCs w:val="24"/>
          <w:rtl w:val="0"/>
        </w:rPr>
        <w:t xml:space="preserve"> We recommend providing a brief definitions glossary or further clarification in text defining what </w:t>
      </w:r>
      <w:r w:rsidDel="00000000" w:rsidR="00000000" w:rsidRPr="00000000">
        <w:rPr>
          <w:rFonts w:ascii="Aptos" w:cs="Aptos" w:eastAsia="Aptos" w:hAnsi="Aptos"/>
          <w:b w:val="1"/>
          <w:bCs w:val="1"/>
          <w:i w:val="1"/>
          <w:iCs w:val="1"/>
          <w:sz w:val="24"/>
          <w:szCs w:val="24"/>
          <w:rtl w:val="0"/>
        </w:rPr>
        <w:t xml:space="preserve">“mechanical equipment” </w:t>
      </w:r>
      <w:r w:rsidDel="00000000" w:rsidR="00000000" w:rsidRPr="00000000">
        <w:rPr>
          <w:rFonts w:ascii="Aptos" w:cs="Aptos" w:eastAsia="Aptos" w:hAnsi="Aptos"/>
          <w:sz w:val="24"/>
          <w:szCs w:val="24"/>
          <w:rtl w:val="0"/>
        </w:rPr>
        <w:t xml:space="preserve">encompasses.</w:t>
      </w:r>
    </w:p>
    <w:p w:rsidR="00000000" w:rsidDel="00000000" w:rsidP="00000000" w:rsidRDefault="00000000" w:rsidRPr="00000000" w14:paraId="0000002F">
      <w:pPr>
        <w:spacing w:line="279" w:lineRule="auto"/>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spacing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Gluing:</w:t>
      </w:r>
    </w:p>
    <w:p w:rsidR="00000000" w:rsidDel="00000000" w:rsidP="00000000" w:rsidRDefault="00000000" w:rsidRPr="00000000" w14:paraId="00000031">
      <w:pPr>
        <w:numPr>
          <w:ilvl w:val="0"/>
          <w:numId w:val="1"/>
        </w:numPr>
        <w:spacing w:line="279"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As a climbing steward who dedicates a significant amount of my personal time and energy toward ensuring climbing routes stay safe to climb by equipping existing routes with new/ modern climbing hardware I am concerned that the current language prohibiting “</w:t>
      </w:r>
      <w:r w:rsidDel="00000000" w:rsidR="00000000" w:rsidRPr="00000000">
        <w:rPr>
          <w:rFonts w:ascii="Aptos" w:cs="Aptos" w:eastAsia="Aptos" w:hAnsi="Aptos"/>
          <w:b w:val="1"/>
          <w:bCs w:val="1"/>
          <w:i w:val="1"/>
          <w:iCs w:val="1"/>
          <w:sz w:val="24"/>
          <w:szCs w:val="24"/>
          <w:rtl w:val="0"/>
        </w:rPr>
        <w:t xml:space="preserve">gluing</w:t>
      </w:r>
      <w:r w:rsidDel="00000000" w:rsidR="00000000" w:rsidRPr="00000000">
        <w:rPr>
          <w:rFonts w:ascii="Aptos" w:cs="Aptos" w:eastAsia="Aptos" w:hAnsi="Aptos"/>
          <w:i w:val="1"/>
          <w:iCs w:val="1"/>
          <w:sz w:val="24"/>
          <w:szCs w:val="24"/>
          <w:rtl w:val="0"/>
        </w:rPr>
        <w:t xml:space="preserve">”</w:t>
      </w:r>
      <w:r w:rsidDel="00000000" w:rsidR="00000000" w:rsidRPr="00000000">
        <w:rPr>
          <w:rFonts w:ascii="Aptos" w:cs="Aptos" w:eastAsia="Aptos" w:hAnsi="Aptos"/>
          <w:sz w:val="24"/>
          <w:szCs w:val="24"/>
          <w:rtl w:val="0"/>
        </w:rPr>
        <w:t xml:space="preserve"> could unintentionally interfere with routine rebolting, anchor replacement, and route maintenance activities necessary for climber safety and long-term resource protection.  The Forest Service recreation and climbing management guidance recognizes fixed anchors and associated maintenance as an established component of climbing use where authorized. In practice, limited use of epoxy or adhesives is a standard and widely accepted component of modern fixed-anchor placement and replacement, as well as occasional fragile hold stabilization, and does not constitute route manufacturing or hold creation. The EA’s broad prohibition does not distinguish between these routine maintenance activities and practices that alter the character of the resource.  We suggest the Forest Service clarify or revise the prohibition on “</w:t>
      </w:r>
      <w:r w:rsidDel="00000000" w:rsidR="00000000" w:rsidRPr="00000000">
        <w:rPr>
          <w:rFonts w:ascii="Aptos" w:cs="Aptos" w:eastAsia="Aptos" w:hAnsi="Aptos"/>
          <w:b w:val="1"/>
          <w:bCs w:val="1"/>
          <w:i w:val="1"/>
          <w:iCs w:val="1"/>
          <w:sz w:val="24"/>
          <w:szCs w:val="24"/>
          <w:rtl w:val="0"/>
        </w:rPr>
        <w:t xml:space="preserve">gluing</w:t>
      </w:r>
      <w:r w:rsidDel="00000000" w:rsidR="00000000" w:rsidRPr="00000000">
        <w:rPr>
          <w:rFonts w:ascii="Aptos" w:cs="Aptos" w:eastAsia="Aptos" w:hAnsi="Aptos"/>
          <w:sz w:val="24"/>
          <w:szCs w:val="24"/>
          <w:rtl w:val="0"/>
        </w:rPr>
        <w:t xml:space="preserve">” to explicitly allow routine rebolting, anchor replacement, and necessary maintenance activities that use limited epoxy or adhesives for safety and resource protection purposes, while clearly distinguishing these practices from prohibited route manufacturing or hold creation.</w:t>
      </w:r>
    </w:p>
    <w:p w:rsidR="00000000" w:rsidDel="00000000" w:rsidP="00000000" w:rsidRDefault="00000000" w:rsidRPr="00000000" w14:paraId="00000032">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6. Wildlife Management – Bats and Raptors</w:t>
      </w:r>
      <w:r w:rsidDel="00000000" w:rsidR="00000000" w:rsidRPr="00000000">
        <w:rPr>
          <w:rtl w:val="0"/>
        </w:rPr>
      </w:r>
    </w:p>
    <w:p w:rsidR="00000000" w:rsidDel="00000000" w:rsidP="00000000" w:rsidRDefault="00000000" w:rsidRPr="00000000" w14:paraId="00000033">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 bat roosts, I recommend revising the 250-meter buffer to </w:t>
      </w:r>
      <w:r w:rsidDel="00000000" w:rsidR="00000000" w:rsidRPr="00000000">
        <w:rPr>
          <w:rFonts w:ascii="Aptos" w:cs="Aptos" w:eastAsia="Aptos" w:hAnsi="Aptos"/>
          <w:b w:val="1"/>
          <w:bCs w:val="1"/>
          <w:sz w:val="24"/>
          <w:szCs w:val="24"/>
          <w:rtl w:val="0"/>
        </w:rPr>
        <w:t xml:space="preserve">45 meters</w:t>
      </w:r>
      <w:r w:rsidDel="00000000" w:rsidR="00000000" w:rsidRPr="00000000">
        <w:rPr>
          <w:rFonts w:ascii="Aptos" w:cs="Aptos" w:eastAsia="Aptos" w:hAnsi="Aptos"/>
          <w:sz w:val="24"/>
          <w:szCs w:val="24"/>
          <w:rtl w:val="0"/>
        </w:rPr>
        <w:t xml:space="preserve"> for general sites, with site-specific expansion only where high-value habitat (e.g., maternity colonies or hibernacula) is confirmed by a qualified biologist. This aligns with current research on climbing-related disturbance. </w:t>
      </w:r>
    </w:p>
    <w:p w:rsidR="00000000" w:rsidDel="00000000" w:rsidP="00000000" w:rsidRDefault="00000000" w:rsidRPr="00000000" w14:paraId="00000034">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 raptors and migratory birds, I urge adoption of modern, adaptive, monitoring-based management over broad seasonal closures. Site-specific buffers, real-time nest monitoring, transparent criteria for initiating/lifting restrictions, and climber partnerships for volunteer observation have proven highly effective. The Access Fund’s raptor management handbook—reviewed by leading wildlife experts—offers a robust, science-based resource we encourage the Forest Service to utilize. </w:t>
      </w:r>
    </w:p>
    <w:p w:rsidR="00000000" w:rsidDel="00000000" w:rsidP="00000000" w:rsidRDefault="00000000" w:rsidRPr="00000000" w14:paraId="00000035">
      <w:pPr>
        <w:pStyle w:val="Heading3"/>
        <w:spacing w:after="281" w:before="281" w:line="279" w:lineRule="auto"/>
        <w:rPr>
          <w:rFonts w:ascii="Aptos" w:cs="Aptos" w:eastAsia="Aptos" w:hAnsi="Aptos"/>
          <w:color w:val="0f4761"/>
        </w:rPr>
      </w:pPr>
      <w:r w:rsidDel="00000000" w:rsidR="00000000" w:rsidRPr="00000000">
        <w:rPr>
          <w:rFonts w:ascii="Aptos" w:cs="Aptos" w:eastAsia="Aptos" w:hAnsi="Aptos"/>
          <w:b w:val="1"/>
          <w:bCs w:val="1"/>
          <w:color w:val="0f4761"/>
          <w:rtl w:val="0"/>
        </w:rPr>
        <w:t xml:space="preserve">7. Categorical Exclusions, Infrastructure, and Collaboration</w:t>
      </w:r>
      <w:r w:rsidDel="00000000" w:rsidR="00000000" w:rsidRPr="00000000">
        <w:rPr>
          <w:rtl w:val="0"/>
        </w:rPr>
      </w:r>
    </w:p>
    <w:p w:rsidR="00000000" w:rsidDel="00000000" w:rsidP="00000000" w:rsidRDefault="00000000" w:rsidRPr="00000000" w14:paraId="00000036">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Like many others who share this sentiment. I would like to see the route development moratorium lifted for the entire Bighorn National Forest and would urge the FS Team to consider pursuing this action asap.</w:t>
      </w:r>
      <w:r w:rsidDel="00000000" w:rsidR="00000000" w:rsidRPr="00000000">
        <w:rPr>
          <w:rtl w:val="0"/>
        </w:rPr>
      </w:r>
    </w:p>
    <w:p w:rsidR="00000000" w:rsidDel="00000000" w:rsidP="00000000" w:rsidRDefault="00000000" w:rsidRPr="00000000" w14:paraId="00000037">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Thank you for your consideration of these comments and suggestions</w:t>
      </w:r>
    </w:p>
    <w:p w:rsidR="00000000" w:rsidDel="00000000" w:rsidP="00000000" w:rsidRDefault="00000000" w:rsidRPr="00000000" w14:paraId="00000038">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Best Regards, </w:t>
      </w:r>
    </w:p>
    <w:p w:rsidR="00000000" w:rsidDel="00000000" w:rsidP="00000000" w:rsidRDefault="00000000" w:rsidRPr="00000000" w14:paraId="00000039">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Aaron Townsley</w:t>
      </w:r>
    </w:p>
    <w:p w:rsidR="00000000" w:rsidDel="00000000" w:rsidP="00000000" w:rsidRDefault="00000000" w:rsidRPr="00000000" w14:paraId="0000003A">
      <w:pPr>
        <w:spacing w:after="240" w:before="24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Ten Sleep Wy</w:t>
      </w:r>
    </w:p>
    <w:p w:rsidR="00000000" w:rsidDel="00000000" w:rsidP="00000000" w:rsidRDefault="00000000" w:rsidRPr="00000000" w14:paraId="0000003B">
      <w:pPr>
        <w:spacing w:after="240" w:before="24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C">
      <w:pPr>
        <w:spacing w:after="160" w:line="279" w:lineRule="auto"/>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ra.fs2c.usda.gov/Public/CommentInput?Project=64474"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