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January 20, 2026</w:t>
      </w:r>
    </w:p>
    <w:p w:rsidR="00000000" w:rsidDel="00000000" w:rsidP="00000000" w:rsidRDefault="00000000" w:rsidRPr="00000000" w14:paraId="00000002">
      <w:pPr>
        <w:spacing w:after="0" w:line="276"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03">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Bighorn National Forest</w:t>
      </w:r>
    </w:p>
    <w:p w:rsidR="00000000" w:rsidDel="00000000" w:rsidP="00000000" w:rsidRDefault="00000000" w:rsidRPr="00000000" w14:paraId="00000004">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ATTN: Michael Thom</w:t>
      </w:r>
    </w:p>
    <w:p w:rsidR="00000000" w:rsidDel="00000000" w:rsidP="00000000" w:rsidRDefault="00000000" w:rsidRPr="00000000" w14:paraId="00000005">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1415 Fort Street</w:t>
      </w:r>
    </w:p>
    <w:p w:rsidR="00000000" w:rsidDel="00000000" w:rsidP="00000000" w:rsidRDefault="00000000" w:rsidRPr="00000000" w14:paraId="00000006">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Buffalo, WY 82834</w:t>
      </w:r>
    </w:p>
    <w:p w:rsidR="00000000" w:rsidDel="00000000" w:rsidP="00000000" w:rsidRDefault="00000000" w:rsidRPr="00000000" w14:paraId="00000007">
      <w:pPr>
        <w:spacing w:after="0" w:line="276"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08">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Submitted via: </w:t>
      </w:r>
    </w:p>
    <w:p w:rsidR="00000000" w:rsidDel="00000000" w:rsidP="00000000" w:rsidRDefault="00000000" w:rsidRPr="00000000" w14:paraId="00000009">
      <w:pPr>
        <w:spacing w:after="0" w:line="276" w:lineRule="auto"/>
        <w:rPr/>
      </w:pPr>
      <w:hyperlink r:id="rId7">
        <w:r w:rsidDel="00000000" w:rsidR="00000000" w:rsidRPr="00000000">
          <w:rPr>
            <w:rFonts w:ascii="Arial" w:cs="Arial" w:eastAsia="Arial" w:hAnsi="Arial"/>
            <w:color w:val="1155cc"/>
            <w:highlight w:val="white"/>
            <w:u w:val="single"/>
            <w:rtl w:val="0"/>
          </w:rPr>
          <w:t xml:space="preserve">https://cara.fs2c.usda.gov/Public/CommentInput?Project=64474</w:t>
        </w:r>
      </w:hyperlink>
      <w:r w:rsidDel="00000000" w:rsidR="00000000" w:rsidRPr="00000000">
        <w:rPr>
          <w:rtl w:val="0"/>
        </w:rPr>
      </w:r>
    </w:p>
    <w:p w:rsidR="00000000" w:rsidDel="00000000" w:rsidP="00000000" w:rsidRDefault="00000000" w:rsidRPr="00000000" w14:paraId="0000000A">
      <w:pPr>
        <w:spacing w:after="240" w:before="240" w:lineRule="auto"/>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RE: Tensleep Canyon Climbing Management Plan Draft Environmental Assessment (EA) #64474 </w:t>
      </w:r>
    </w:p>
    <w:p w:rsidR="00000000" w:rsidDel="00000000" w:rsidP="00000000" w:rsidRDefault="00000000" w:rsidRPr="00000000" w14:paraId="0000000B">
      <w:pPr>
        <w:spacing w:after="240" w:before="240" w:lineRule="auto"/>
        <w:rPr/>
      </w:pPr>
      <w:r w:rsidDel="00000000" w:rsidR="00000000" w:rsidRPr="00000000">
        <w:rPr>
          <w:rFonts w:ascii="Aptos" w:cs="Aptos" w:eastAsia="Aptos" w:hAnsi="Aptos"/>
          <w:sz w:val="24"/>
          <w:szCs w:val="24"/>
          <w:rtl w:val="0"/>
        </w:rPr>
        <w:t xml:space="preserve">Dear Forest Service Team, </w:t>
      </w: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Fonts w:ascii="Aptos" w:cs="Aptos" w:eastAsia="Aptos" w:hAnsi="Aptos"/>
          <w:sz w:val="24"/>
          <w:szCs w:val="24"/>
          <w:rtl w:val="0"/>
        </w:rPr>
        <w:t xml:space="preserve">The Bighorn Climbers' Coalition (BCC) is deeply grateful for the opportunity to comment on the Tensleep Canyon Climbing Management Plan Draft EA. Tensleep Canyon is more than a climbing destination—it's a treasured home crag for our local community and a world-class gem that draws passionate climbers from across the globe. We sincerely appreciate the Forest Service’s commitment to addressing longstanding challenges around parking, sanitation, trail impacts, and resource protection. These improvements are essential, widely supported, and reflect a shared vision for a sustainable future that honors both the natural and cultural significance of this remarkable place. </w:t>
      </w:r>
      <w:r w:rsidDel="00000000" w:rsidR="00000000" w:rsidRPr="00000000">
        <w:rPr>
          <w:rtl w:val="0"/>
        </w:rPr>
      </w:r>
    </w:p>
    <w:p w:rsidR="00000000" w:rsidDel="00000000" w:rsidP="00000000" w:rsidRDefault="00000000" w:rsidRPr="00000000" w14:paraId="0000000D">
      <w:pPr>
        <w:spacing w:after="240" w:befor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As a grassroots organization dedicated to the Bighorn region, BCC has a proud track record of collaborative stewardship—leading trail work parties, supporting raptor monitoring, educating new climbers, and partnering with land managers to balance access with conservation. Building on the thoughtful input already provided by our allies at WyoClimbers and the Access Fund, we offer the following consolidated recommendations to strengthen the plan, enhance clarity, ensure proportionality, and foster enduring partnerships. </w:t>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Comments:</w:t>
      </w:r>
    </w:p>
    <w:p w:rsidR="00000000" w:rsidDel="00000000" w:rsidP="00000000" w:rsidRDefault="00000000" w:rsidRPr="00000000" w14:paraId="0000000F">
      <w:pPr>
        <w:pStyle w:val="Heading3"/>
        <w:spacing w:after="281" w:before="281" w:lineRule="auto"/>
        <w:rPr/>
      </w:pPr>
      <w:r w:rsidDel="00000000" w:rsidR="00000000" w:rsidRPr="00000000">
        <w:rPr>
          <w:rFonts w:ascii="Aptos" w:cs="Aptos" w:eastAsia="Aptos" w:hAnsi="Aptos"/>
          <w:b w:val="1"/>
          <w:bCs w:val="1"/>
          <w:sz w:val="28"/>
          <w:szCs w:val="28"/>
          <w:rtl w:val="0"/>
        </w:rPr>
        <w:t xml:space="preserve">1. Permit and Authorization Framework for New Route Development</w:t>
      </w:r>
      <w:r w:rsidDel="00000000" w:rsidR="00000000" w:rsidRPr="00000000">
        <w:rPr>
          <w:rtl w:val="0"/>
        </w:rPr>
      </w:r>
    </w:p>
    <w:p w:rsidR="00000000" w:rsidDel="00000000" w:rsidP="00000000" w:rsidRDefault="00000000" w:rsidRPr="00000000" w14:paraId="00000010">
      <w:pPr>
        <w:spacing w:after="240" w:before="240" w:line="279" w:lineRule="auto"/>
        <w:ind w:left="0" w:right="0" w:firstLine="0"/>
        <w:jc w:val="left"/>
        <w:rPr/>
      </w:pPr>
      <w:r w:rsidDel="00000000" w:rsidR="00000000" w:rsidRPr="00000000">
        <w:rPr>
          <w:rFonts w:ascii="Aptos" w:cs="Aptos" w:eastAsia="Aptos" w:hAnsi="Aptos"/>
          <w:sz w:val="24"/>
          <w:szCs w:val="24"/>
          <w:rtl w:val="0"/>
        </w:rPr>
        <w:t xml:space="preserve">We strongly support a proposed framework that authorizes climbing development rather than imposing broad prohibitions. This approach aligns with federal recreation policy and the spirit of recent legislation emphasizing sustainable access alongside resource protection. </w: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Fonts w:ascii="Aptos" w:cs="Aptos" w:eastAsia="Aptos" w:hAnsi="Aptos"/>
          <w:sz w:val="24"/>
          <w:szCs w:val="24"/>
          <w:rtl w:val="0"/>
        </w:rPr>
        <w:t xml:space="preserve">However, the current lack of defined approval criteria, review timelines, decision standards, transparency measures, or reconsideration/appeals processes creates significant uncertainty. Without these elements, the system risks functioning as a de facto moratorium on new routes, discouraging volunteer route developers and undermining predictable management. </w: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Fonts w:ascii="Aptos" w:cs="Aptos" w:eastAsia="Aptos" w:hAnsi="Aptos"/>
          <w:sz w:val="24"/>
          <w:szCs w:val="24"/>
          <w:rtl w:val="0"/>
        </w:rPr>
        <w:t xml:space="preserve">To make this framework practical, fair, and efficient, we recommend the following enhancements: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Clearly state that replacement or maintenance of existing fixed hardware may proceed without new authorization, provided no expanded impacts to cultural or natural resources occur. </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Establish defined review timelines with milestones for Forest Service  setting realistic expectations for all parties. </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Provide a transparent reconsideration or appeals process consistent with Forest Service administrative procedures. </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Require measurable and documented impacts to cultural or natural resources before any closure of existing climbing areas.</w:t>
      </w:r>
    </w:p>
    <w:p w:rsidR="00000000" w:rsidDel="00000000" w:rsidP="00000000" w:rsidRDefault="00000000" w:rsidRPr="00000000" w14:paraId="00000017">
      <w:pPr>
        <w:spacing w:after="240" w:before="240" w:lineRule="auto"/>
        <w:rPr/>
      </w:pPr>
      <w:r w:rsidDel="00000000" w:rsidR="00000000" w:rsidRPr="00000000">
        <w:rPr>
          <w:rFonts w:ascii="Aptos" w:cs="Aptos" w:eastAsia="Aptos" w:hAnsi="Aptos"/>
          <w:sz w:val="24"/>
          <w:szCs w:val="24"/>
          <w:rtl w:val="0"/>
        </w:rPr>
        <w:t xml:space="preserve">We also strongly advocate for a </w:t>
      </w:r>
      <w:r w:rsidDel="00000000" w:rsidR="00000000" w:rsidRPr="00000000">
        <w:rPr>
          <w:rFonts w:ascii="Aptos" w:cs="Aptos" w:eastAsia="Aptos" w:hAnsi="Aptos"/>
          <w:b w:val="1"/>
          <w:bCs w:val="1"/>
          <w:sz w:val="24"/>
          <w:szCs w:val="24"/>
          <w:rtl w:val="0"/>
        </w:rPr>
        <w:t xml:space="preserve">programmatic/zone-based approach</w:t>
      </w:r>
      <w:r w:rsidDel="00000000" w:rsidR="00000000" w:rsidRPr="00000000">
        <w:rPr>
          <w:rFonts w:ascii="Aptos" w:cs="Aptos" w:eastAsia="Aptos" w:hAnsi="Aptos"/>
          <w:sz w:val="24"/>
          <w:szCs w:val="24"/>
          <w:rtl w:val="0"/>
        </w:rPr>
        <w:t xml:space="preserve"> to streamline approvals and reduce administrative burden. The Forest Service should work with BCC and experienced route developers to proactively identify suitable cliff sections or crags for future development, conducting advance cultural and natural resource evaluations in those zones. Where no significant conflicts exist, zones could be programmatically authorized for new routes. </w:t>
      </w:r>
      <w:r w:rsidDel="00000000" w:rsidR="00000000" w:rsidRPr="00000000">
        <w:rPr>
          <w:rtl w:val="0"/>
        </w:rPr>
      </w:r>
    </w:p>
    <w:p w:rsidR="00000000" w:rsidDel="00000000" w:rsidP="00000000" w:rsidRDefault="00000000" w:rsidRPr="00000000" w14:paraId="00000018">
      <w:pPr>
        <w:pStyle w:val="Heading3"/>
        <w:spacing w:after="281" w:before="281" w:lineRule="auto"/>
        <w:rPr/>
      </w:pPr>
      <w:r w:rsidDel="00000000" w:rsidR="00000000" w:rsidRPr="00000000">
        <w:rPr>
          <w:rFonts w:ascii="Aptos" w:cs="Aptos" w:eastAsia="Aptos" w:hAnsi="Aptos"/>
          <w:b w:val="1"/>
          <w:bCs w:val="1"/>
          <w:sz w:val="28"/>
          <w:szCs w:val="28"/>
          <w:rtl w:val="0"/>
        </w:rPr>
        <w:t xml:space="preserve">2. Leigh Creek Research Natural Area</w:t>
      </w: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rFonts w:ascii="Aptos" w:cs="Aptos" w:eastAsia="Aptos" w:hAnsi="Aptos"/>
          <w:sz w:val="24"/>
          <w:szCs w:val="24"/>
          <w:rtl w:val="0"/>
        </w:rPr>
        <w:t xml:space="preserve">The proposal to close the Leigh Creek RNA to sport climbing and remove </w:t>
      </w:r>
      <w:r w:rsidDel="00000000" w:rsidR="00000000" w:rsidRPr="00000000">
        <w:rPr>
          <w:rFonts w:ascii="Aptos" w:cs="Aptos" w:eastAsia="Aptos" w:hAnsi="Aptos"/>
          <w:b w:val="1"/>
          <w:bCs w:val="1"/>
          <w:sz w:val="24"/>
          <w:szCs w:val="24"/>
          <w:rtl w:val="0"/>
        </w:rPr>
        <w:t xml:space="preserve">all</w:t>
      </w:r>
      <w:r w:rsidDel="00000000" w:rsidR="00000000" w:rsidRPr="00000000">
        <w:rPr>
          <w:rFonts w:ascii="Aptos" w:cs="Aptos" w:eastAsia="Aptos" w:hAnsi="Aptos"/>
          <w:sz w:val="24"/>
          <w:szCs w:val="24"/>
          <w:rtl w:val="0"/>
        </w:rPr>
        <w:t xml:space="preserve"> existing routes represents a substantial departure from the scoping proposal, which contemplated removal of only a limited subset. This expanded scope requires fuller explanation and analysis under NEPA, particularly regarding why less restrictive measures are insufficient. </w:t>
      </w: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Fonts w:ascii="Aptos" w:cs="Aptos" w:eastAsia="Aptos" w:hAnsi="Aptos"/>
          <w:sz w:val="24"/>
          <w:szCs w:val="24"/>
          <w:rtl w:val="0"/>
        </w:rPr>
        <w:t xml:space="preserve">These long-established routes were developed legally and have coexisted with the area’s recommended RNA status for decades. The EA does not yet establish clear thresholds for when climbing becomes incompatible with RNA objectives, nor does it provide site-specific inventories demonstrating measurable impacts from individual routes. It also lacks rigorous evaluation of reasonable alternatives—such as partial closures, seasonal restrictions, route-specific management, use limits, or adaptive monitoring—before defaulting to complete removal. </w:t>
      </w: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Fonts w:ascii="Aptos" w:cs="Aptos" w:eastAsia="Aptos" w:hAnsi="Aptos"/>
          <w:sz w:val="24"/>
          <w:szCs w:val="24"/>
          <w:rtl w:val="0"/>
        </w:rPr>
        <w:t xml:space="preserve">To align with NEPA’s requirement for a hard look at alternatives and evidence-based decisions, we urge the Forest Service to: </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Clearly specify whether the prohibition applies only to sport climbing or to all forms (traditional, bouldering, etc.), and explain any distinctions. </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Conduct route- and site-specific resource surveys to identify actual, documented impacts. </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Define objective incompatibility standards and impact thresholds. </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Analyze less-restrictive alternatives, including managed access that retains existing routes unless unacceptable, unmitigable impacts are proven. </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If closures are tied to research goals, frame them as temporary and adaptive, with explicit objectives, monitoring protocols, and criteria for future reevaluation of access.</w:t>
      </w:r>
    </w:p>
    <w:p w:rsidR="00000000" w:rsidDel="00000000" w:rsidP="00000000" w:rsidRDefault="00000000" w:rsidRPr="00000000" w14:paraId="00000021">
      <w:pPr>
        <w:spacing w:after="240" w:before="240" w:lineRule="auto"/>
        <w:rPr/>
      </w:pPr>
      <w:r w:rsidDel="00000000" w:rsidR="00000000" w:rsidRPr="00000000">
        <w:rPr>
          <w:rFonts w:ascii="Aptos" w:cs="Aptos" w:eastAsia="Aptos" w:hAnsi="Aptos"/>
          <w:sz w:val="24"/>
          <w:szCs w:val="24"/>
          <w:rtl w:val="0"/>
        </w:rPr>
        <w:t xml:space="preserve">This balanced, evidence-driven approach would respect both the ecological aspirations of the RNA and the historical recreational use of the area. </w:t>
      </w:r>
      <w:r w:rsidDel="00000000" w:rsidR="00000000" w:rsidRPr="00000000">
        <w:rPr>
          <w:rtl w:val="0"/>
        </w:rPr>
      </w:r>
    </w:p>
    <w:p w:rsidR="00000000" w:rsidDel="00000000" w:rsidP="00000000" w:rsidRDefault="00000000" w:rsidRPr="00000000" w14:paraId="00000022">
      <w:pPr>
        <w:pStyle w:val="Heading3"/>
        <w:spacing w:after="281" w:before="281" w:lineRule="auto"/>
        <w:rPr/>
      </w:pPr>
      <w:r w:rsidDel="00000000" w:rsidR="00000000" w:rsidRPr="00000000">
        <w:rPr>
          <w:rFonts w:ascii="Aptos" w:cs="Aptos" w:eastAsia="Aptos" w:hAnsi="Aptos"/>
          <w:b w:val="1"/>
          <w:bCs w:val="1"/>
          <w:sz w:val="28"/>
          <w:szCs w:val="28"/>
          <w:rtl w:val="0"/>
        </w:rPr>
        <w:t xml:space="preserve">3. Standards for Removal of Existing Routes</w:t>
      </w:r>
      <w:r w:rsidDel="00000000" w:rsidR="00000000" w:rsidRPr="00000000">
        <w:rPr>
          <w:rtl w:val="0"/>
        </w:rPr>
      </w:r>
    </w:p>
    <w:p w:rsidR="00000000" w:rsidDel="00000000" w:rsidP="00000000" w:rsidRDefault="00000000" w:rsidRPr="00000000" w14:paraId="00000023">
      <w:pPr>
        <w:spacing w:after="0" w:before="0" w:lineRule="auto"/>
        <w:ind w:left="0" w:firstLine="0"/>
        <w:rPr>
          <w:rFonts w:ascii="Aptos" w:cs="Aptos" w:eastAsia="Aptos" w:hAnsi="Aptos"/>
          <w:b w:val="0"/>
          <w:bCs w:val="0"/>
          <w:i w:val="0"/>
          <w:iCs w:val="0"/>
          <w:strike w:val="0"/>
          <w:color w:val="000000"/>
          <w:sz w:val="24"/>
          <w:szCs w:val="24"/>
          <w:u w:val="none"/>
        </w:rPr>
      </w:pPr>
      <w:r w:rsidDel="00000000" w:rsidR="00000000" w:rsidRPr="00000000">
        <w:rPr>
          <w:rFonts w:ascii="Aptos" w:cs="Aptos" w:eastAsia="Aptos" w:hAnsi="Aptos"/>
          <w:b w:val="0"/>
          <w:bCs w:val="0"/>
          <w:i w:val="0"/>
          <w:iCs w:val="0"/>
          <w:strike w:val="0"/>
          <w:color w:val="000000"/>
          <w:sz w:val="24"/>
          <w:szCs w:val="24"/>
          <w:u w:val="none"/>
          <w:rtl w:val="0"/>
        </w:rPr>
        <w:t xml:space="preserve">The proposed action allows for the removal of existing climbing routes where surveys identify “</w:t>
      </w:r>
      <w:r w:rsidDel="00000000" w:rsidR="00000000" w:rsidRPr="00000000">
        <w:rPr>
          <w:rFonts w:ascii="Aptos" w:cs="Aptos" w:eastAsia="Aptos" w:hAnsi="Aptos"/>
          <w:b w:val="0"/>
          <w:bCs w:val="0"/>
          <w:i w:val="1"/>
          <w:iCs w:val="1"/>
          <w:strike w:val="0"/>
          <w:color w:val="000000"/>
          <w:sz w:val="24"/>
          <w:szCs w:val="24"/>
          <w:u w:val="none"/>
          <w:rtl w:val="0"/>
        </w:rPr>
        <w:t xml:space="preserve">negative impacts</w:t>
      </w:r>
      <w:r w:rsidDel="00000000" w:rsidR="00000000" w:rsidRPr="00000000">
        <w:rPr>
          <w:rFonts w:ascii="Aptos" w:cs="Aptos" w:eastAsia="Aptos" w:hAnsi="Aptos"/>
          <w:b w:val="0"/>
          <w:bCs w:val="0"/>
          <w:i w:val="0"/>
          <w:iCs w:val="0"/>
          <w:strike w:val="0"/>
          <w:color w:val="000000"/>
          <w:sz w:val="24"/>
          <w:szCs w:val="24"/>
          <w:u w:val="none"/>
          <w:rtl w:val="0"/>
        </w:rPr>
        <w:t xml:space="preserve">” to cultural or natural resources; however, the EA does not define what constitutes a negative impact, establish thresholds for significance, or describe how such determinations will be made. This lack of definition is inconsistent with Forest Service planning and decision-making directives that require clear standards, criteria, and design features to guide implementation and ensure consistent application of management actions.</w:t>
      </w:r>
    </w:p>
    <w:p w:rsidR="00000000" w:rsidDel="00000000" w:rsidP="00000000" w:rsidRDefault="00000000" w:rsidRPr="00000000" w14:paraId="00000024">
      <w:pPr>
        <w:spacing w:after="0" w:before="0" w:lineRule="auto"/>
        <w:ind w:left="0" w:firstLine="0"/>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5">
      <w:pPr>
        <w:spacing w:after="0" w:before="0" w:lineRule="auto"/>
        <w:ind w:left="0" w:firstLine="0"/>
        <w:rPr>
          <w:rFonts w:ascii="Aptos" w:cs="Aptos" w:eastAsia="Aptos" w:hAnsi="Aptos"/>
          <w:b w:val="0"/>
          <w:bCs w:val="0"/>
          <w:i w:val="0"/>
          <w:iCs w:val="0"/>
          <w:strike w:val="0"/>
          <w:color w:val="000000"/>
          <w:sz w:val="24"/>
          <w:szCs w:val="24"/>
          <w:u w:val="none"/>
        </w:rPr>
      </w:pPr>
      <w:r w:rsidDel="00000000" w:rsidR="00000000" w:rsidRPr="00000000">
        <w:rPr>
          <w:rFonts w:ascii="Aptos" w:cs="Aptos" w:eastAsia="Aptos" w:hAnsi="Aptos"/>
          <w:b w:val="0"/>
          <w:bCs w:val="0"/>
          <w:i w:val="0"/>
          <w:iCs w:val="0"/>
          <w:strike w:val="0"/>
          <w:color w:val="000000"/>
          <w:sz w:val="24"/>
          <w:szCs w:val="24"/>
          <w:u w:val="none"/>
          <w:rtl w:val="0"/>
        </w:rPr>
        <w:t xml:space="preserve">Further, the EA does not disclose whether avoidance, minimization, or mitigation measures will be considered prior to route removal. Forest Service directives emphasize the use of mitigation hierarchies and adaptive management to address resource concerns before eliminating existing uses. By failing to describe how mitigation would be evaluated or applied, the EA does not provide sufficient information to understand how existing routes would be managed or how impacts would be proportionally addressed.</w:t>
      </w:r>
    </w:p>
    <w:p w:rsidR="00000000" w:rsidDel="00000000" w:rsidP="00000000" w:rsidRDefault="00000000" w:rsidRPr="00000000" w14:paraId="00000026">
      <w:pPr>
        <w:spacing w:after="0" w:before="0" w:lineRule="auto"/>
        <w:ind w:left="0" w:firstLine="0"/>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7">
      <w:pPr>
        <w:spacing w:after="0" w:before="0" w:lineRule="auto"/>
        <w:ind w:left="0" w:firstLine="0"/>
        <w:rPr>
          <w:rFonts w:ascii="Aptos" w:cs="Aptos" w:eastAsia="Aptos" w:hAnsi="Aptos"/>
          <w:b w:val="0"/>
          <w:bCs w:val="0"/>
          <w:i w:val="0"/>
          <w:iCs w:val="0"/>
          <w:strike w:val="0"/>
          <w:color w:val="000000"/>
          <w:sz w:val="24"/>
          <w:szCs w:val="24"/>
          <w:u w:val="none"/>
        </w:rPr>
      </w:pPr>
      <w:r w:rsidDel="00000000" w:rsidR="00000000" w:rsidRPr="00000000">
        <w:rPr>
          <w:rFonts w:ascii="Aptos" w:cs="Aptos" w:eastAsia="Aptos" w:hAnsi="Aptos"/>
          <w:b w:val="0"/>
          <w:bCs w:val="0"/>
          <w:i w:val="0"/>
          <w:iCs w:val="0"/>
          <w:strike w:val="0"/>
          <w:color w:val="000000"/>
          <w:sz w:val="24"/>
          <w:szCs w:val="24"/>
          <w:u w:val="none"/>
          <w:rtl w:val="0"/>
        </w:rPr>
        <w:t xml:space="preserve">As written, the proposed action establishes an asymmetric management framework in which existing routes may be removed based on undefined standards, while the approval of new routes is subject to discretionary and potentially open-ended review. This approach lacks the proportionality and predictability contemplated by Forest Service recreation management policy and raises concerns about incremental loss of existing routes over time without corresponding opportunities for mitigation, replacement, or adaptive management. The EA does not meaningfully analyze these reasonably foreseeable outcomes.</w:t>
      </w:r>
    </w:p>
    <w:p w:rsidR="00000000" w:rsidDel="00000000" w:rsidP="00000000" w:rsidRDefault="00000000" w:rsidRPr="00000000" w14:paraId="00000028">
      <w:pPr>
        <w:spacing w:after="0" w:before="0" w:lineRule="auto"/>
        <w:ind w:left="0" w:firstLine="0"/>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9">
      <w:pPr>
        <w:spacing w:after="0" w:before="0" w:lineRule="auto"/>
        <w:ind w:left="0" w:firstLine="0"/>
        <w:rPr>
          <w:rFonts w:ascii="Aptos" w:cs="Aptos" w:eastAsia="Aptos" w:hAnsi="Aptos"/>
          <w:b w:val="0"/>
          <w:bCs w:val="0"/>
          <w:i w:val="0"/>
          <w:iCs w:val="0"/>
          <w:strike w:val="0"/>
          <w:color w:val="000000"/>
          <w:sz w:val="24"/>
          <w:szCs w:val="24"/>
          <w:u w:val="none"/>
        </w:rPr>
      </w:pPr>
      <w:r w:rsidDel="00000000" w:rsidR="00000000" w:rsidRPr="00000000">
        <w:rPr>
          <w:rFonts w:ascii="Aptos" w:cs="Aptos" w:eastAsia="Aptos" w:hAnsi="Aptos"/>
          <w:b w:val="0"/>
          <w:bCs w:val="0"/>
          <w:i w:val="0"/>
          <w:iCs w:val="0"/>
          <w:strike w:val="0"/>
          <w:color w:val="000000"/>
          <w:sz w:val="24"/>
          <w:szCs w:val="24"/>
          <w:u w:val="none"/>
          <w:rtl w:val="0"/>
        </w:rPr>
        <w:t xml:space="preserve">To align the proposed action with Forest Service directives and ensure compliance with NEPA, the EA should be revised to:</w:t>
      </w:r>
    </w:p>
    <w:p w:rsidR="00000000" w:rsidDel="00000000" w:rsidP="00000000" w:rsidRDefault="00000000" w:rsidRPr="00000000" w14:paraId="0000002A">
      <w:pPr>
        <w:spacing w:after="0" w:before="0" w:lineRule="auto"/>
        <w:ind w:left="0" w:firstLine="0"/>
        <w:rPr>
          <w:rFonts w:ascii="Aptos" w:cs="Aptos" w:eastAsia="Aptos" w:hAnsi="Aptos"/>
          <w:b w:val="0"/>
          <w:bCs w:val="0"/>
          <w:i w:val="0"/>
          <w:iCs w:val="0"/>
          <w:strike w:val="0"/>
          <w:color w:val="000000"/>
          <w:sz w:val="24"/>
          <w:szCs w:val="24"/>
          <w:u w:val="no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1) define “negative impacts” and establish objective criteria and thresholds for evaluating impacts to cultural and natural resources associated with existing routes, consistent with Forest Service planning and implementation guidance;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2) describe how avoidance, minimization, and mitigation measures will be evaluated and applied prior to route removal, including the circumstances under which removal would be required;</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3) analyze the cumulative and reasonably foreseeable effects of route removals under this framework, including the potential for incremental loss of climbing opportunities over time.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spacing w:after="0" w:before="0" w:lineRule="auto"/>
        <w:ind w:left="720" w:firstLine="0"/>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2">
      <w:pPr>
        <w:pStyle w:val="Heading3"/>
        <w:spacing w:after="281" w:before="281" w:lineRule="auto"/>
        <w:rPr/>
      </w:pPr>
      <w:r w:rsidDel="00000000" w:rsidR="00000000" w:rsidRPr="00000000">
        <w:rPr>
          <w:rFonts w:ascii="Aptos" w:cs="Aptos" w:eastAsia="Aptos" w:hAnsi="Aptos"/>
          <w:b w:val="1"/>
          <w:bCs w:val="1"/>
          <w:sz w:val="28"/>
          <w:szCs w:val="28"/>
          <w:rtl w:val="0"/>
        </w:rPr>
        <w:t xml:space="preserve">4. Clarifying Key Definitions</w:t>
      </w:r>
      <w:r w:rsidDel="00000000" w:rsidR="00000000" w:rsidRPr="00000000">
        <w:rPr>
          <w:rtl w:val="0"/>
        </w:rPr>
      </w:r>
    </w:p>
    <w:p w:rsidR="00000000" w:rsidDel="00000000" w:rsidP="00000000" w:rsidRDefault="00000000" w:rsidRPr="00000000" w14:paraId="00000033">
      <w:pPr>
        <w:spacing w:after="0" w:before="0" w:lineRule="auto"/>
        <w:ind w:left="0" w:firstLine="0"/>
        <w:rPr>
          <w:rFonts w:ascii="Aptos" w:cs="Aptos" w:eastAsia="Aptos" w:hAnsi="Aptos"/>
          <w:b w:val="1"/>
          <w:bCs w:val="1"/>
          <w:i w:val="0"/>
          <w:iCs w:val="0"/>
          <w:strike w:val="0"/>
          <w:color w:val="000000"/>
          <w:sz w:val="24"/>
          <w:szCs w:val="24"/>
          <w:u w:val="none"/>
        </w:rPr>
      </w:pPr>
      <w:r w:rsidDel="00000000" w:rsidR="00000000" w:rsidRPr="00000000">
        <w:rPr>
          <w:rFonts w:ascii="Aptos" w:cs="Aptos" w:eastAsia="Aptos" w:hAnsi="Aptos"/>
          <w:b w:val="1"/>
          <w:bCs w:val="1"/>
          <w:i w:val="0"/>
          <w:iCs w:val="0"/>
          <w:strike w:val="0"/>
          <w:color w:val="000000"/>
          <w:sz w:val="24"/>
          <w:szCs w:val="24"/>
          <w:u w:val="none"/>
          <w:rtl w:val="0"/>
        </w:rPr>
        <w:t xml:space="preserve">Definitions Needed</w:t>
      </w:r>
    </w:p>
    <w:p w:rsidR="00000000" w:rsidDel="00000000" w:rsidP="00000000" w:rsidRDefault="00000000" w:rsidRPr="00000000" w14:paraId="00000034">
      <w:pPr>
        <w:spacing w:after="0" w:before="0" w:lineRule="auto"/>
        <w:ind w:left="0" w:firstLine="0"/>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5">
      <w:pPr>
        <w:spacing w:after="0" w:before="0" w:lineRule="auto"/>
        <w:ind w:left="0" w:firstLine="0"/>
        <w:rPr>
          <w:rFonts w:ascii="Aptos" w:cs="Aptos" w:eastAsia="Aptos" w:hAnsi="Aptos"/>
          <w:b w:val="0"/>
          <w:bCs w:val="0"/>
          <w:i w:val="0"/>
          <w:iCs w:val="0"/>
          <w:strike w:val="0"/>
          <w:color w:val="000000"/>
          <w:sz w:val="24"/>
          <w:szCs w:val="24"/>
          <w:u w:val="none"/>
        </w:rPr>
      </w:pPr>
      <w:r w:rsidDel="00000000" w:rsidR="00000000" w:rsidRPr="00000000">
        <w:rPr>
          <w:rFonts w:ascii="Aptos" w:cs="Aptos" w:eastAsia="Aptos" w:hAnsi="Aptos"/>
          <w:b w:val="0"/>
          <w:bCs w:val="0"/>
          <w:i w:val="0"/>
          <w:iCs w:val="0"/>
          <w:strike w:val="0"/>
          <w:color w:val="000000"/>
          <w:sz w:val="24"/>
          <w:szCs w:val="24"/>
          <w:u w:val="none"/>
          <w:rtl w:val="0"/>
        </w:rPr>
        <w:t xml:space="preserve">Mechanical Equipment:</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In Attachment B- Implementation Guide, Route Development Review Process- Step 5 Route Development, we suggest additional clarification be added to the term </w:t>
      </w:r>
      <w:r w:rsidDel="00000000" w:rsidR="00000000" w:rsidRPr="00000000">
        <w:rPr>
          <w:rFonts w:ascii="Aptos" w:cs="Aptos" w:eastAsia="Aptos" w:hAnsi="Aptos"/>
          <w:b w:val="1"/>
          <w:bCs w:val="1"/>
          <w:i w:val="1"/>
          <w:iCs w:val="1"/>
          <w:smallCaps w:val="0"/>
          <w:strike w:val="0"/>
          <w:color w:val="000000"/>
          <w:sz w:val="24"/>
          <w:szCs w:val="24"/>
          <w:u w:val="none"/>
          <w:shd w:fill="auto" w:val="clear"/>
          <w:vertAlign w:val="baseline"/>
          <w:rtl w:val="0"/>
        </w:rPr>
        <w:t xml:space="preserve">“mechanical equipment to create holds where a natural hold does not exist.</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We recommend providing a brief definitions glossary or further clarification in text defining what </w:t>
      </w:r>
      <w:r w:rsidDel="00000000" w:rsidR="00000000" w:rsidRPr="00000000">
        <w:rPr>
          <w:rFonts w:ascii="Aptos" w:cs="Aptos" w:eastAsia="Aptos" w:hAnsi="Aptos"/>
          <w:b w:val="1"/>
          <w:bCs w:val="1"/>
          <w:i w:val="1"/>
          <w:iCs w:val="1"/>
          <w:smallCaps w:val="0"/>
          <w:strike w:val="0"/>
          <w:color w:val="000000"/>
          <w:sz w:val="24"/>
          <w:szCs w:val="24"/>
          <w:u w:val="none"/>
          <w:shd w:fill="auto" w:val="clear"/>
          <w:vertAlign w:val="baseline"/>
          <w:rtl w:val="0"/>
        </w:rPr>
        <w:t xml:space="preserve">“mechanical equipment”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encompasses.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spacing w:after="0" w:before="0" w:lineRule="auto"/>
        <w:ind w:left="0" w:firstLine="0"/>
        <w:rPr>
          <w:rFonts w:ascii="Aptos" w:cs="Aptos" w:eastAsia="Aptos" w:hAnsi="Aptos"/>
          <w:b w:val="0"/>
          <w:bCs w:val="0"/>
          <w:i w:val="0"/>
          <w:iCs w:val="0"/>
          <w:strike w:val="0"/>
          <w:color w:val="000000"/>
          <w:sz w:val="24"/>
          <w:szCs w:val="24"/>
          <w:u w:val="none"/>
        </w:rPr>
      </w:pPr>
      <w:r w:rsidDel="00000000" w:rsidR="00000000" w:rsidRPr="00000000">
        <w:rPr>
          <w:rFonts w:ascii="Aptos" w:cs="Aptos" w:eastAsia="Aptos" w:hAnsi="Aptos"/>
          <w:b w:val="0"/>
          <w:bCs w:val="0"/>
          <w:i w:val="0"/>
          <w:iCs w:val="0"/>
          <w:strike w:val="0"/>
          <w:color w:val="000000"/>
          <w:sz w:val="24"/>
          <w:szCs w:val="24"/>
          <w:u w:val="none"/>
          <w:rtl w:val="0"/>
        </w:rPr>
        <w:t xml:space="preserve">Gluing:</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We are concerned that the current language prohibiting “</w:t>
      </w:r>
      <w:r w:rsidDel="00000000" w:rsidR="00000000" w:rsidRPr="00000000">
        <w:rPr>
          <w:rFonts w:ascii="Aptos" w:cs="Aptos" w:eastAsia="Aptos" w:hAnsi="Aptos"/>
          <w:b w:val="1"/>
          <w:bCs w:val="1"/>
          <w:i w:val="1"/>
          <w:iCs w:val="1"/>
          <w:smallCaps w:val="0"/>
          <w:strike w:val="0"/>
          <w:color w:val="000000"/>
          <w:sz w:val="24"/>
          <w:szCs w:val="24"/>
          <w:u w:val="none"/>
          <w:shd w:fill="auto" w:val="clear"/>
          <w:vertAlign w:val="baseline"/>
          <w:rtl w:val="0"/>
        </w:rPr>
        <w:t xml:space="preserve">gluing</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could unintentionally interfere with routine rebolting, anchor replacement, and route maintenance activities necessary for climber safety and long-term resource protection. Forest Service recreation and climbing management guidance recognizes fixed anchors and associated maintenance as an established component of climbing use where authorized. In practice, limited use of epoxy or adhesives is a standard and widely accepted component of modern fixed-anchor placement and replacement, as well as occasional fragile hold stabilization, and does not constitute route manufacturing or hold creation. The EA’s broad prohibition does not distinguish between these routine maintenance activities and practices that alter the character of the resource.  We suggest the Forest Service clarify or revise the prohibition on “</w:t>
      </w:r>
      <w:r w:rsidDel="00000000" w:rsidR="00000000" w:rsidRPr="00000000">
        <w:rPr>
          <w:rFonts w:ascii="Aptos" w:cs="Aptos" w:eastAsia="Aptos" w:hAnsi="Aptos"/>
          <w:b w:val="1"/>
          <w:bCs w:val="1"/>
          <w:i w:val="1"/>
          <w:iCs w:val="1"/>
          <w:smallCaps w:val="0"/>
          <w:strike w:val="0"/>
          <w:color w:val="000000"/>
          <w:sz w:val="24"/>
          <w:szCs w:val="24"/>
          <w:u w:val="none"/>
          <w:shd w:fill="auto" w:val="clear"/>
          <w:vertAlign w:val="baseline"/>
          <w:rtl w:val="0"/>
        </w:rPr>
        <w:t xml:space="preserve">gluing</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to explicitly allow routine rebolting, anchor replacement, and necessary maintenance activities that use limited epoxy or adhesives for safety and resource protection purposes, while clearly distinguishing these practices from prohibited route manufacturing or hold creation.</w:t>
      </w:r>
    </w:p>
    <w:p w:rsidR="00000000" w:rsidDel="00000000" w:rsidP="00000000" w:rsidRDefault="00000000" w:rsidRPr="00000000" w14:paraId="0000003A">
      <w:pPr>
        <w:pStyle w:val="Heading3"/>
        <w:spacing w:after="281" w:before="281" w:lineRule="auto"/>
        <w:rPr/>
      </w:pPr>
      <w:r w:rsidDel="00000000" w:rsidR="00000000" w:rsidRPr="00000000">
        <w:rPr>
          <w:rFonts w:ascii="Aptos" w:cs="Aptos" w:eastAsia="Aptos" w:hAnsi="Aptos"/>
          <w:b w:val="1"/>
          <w:bCs w:val="1"/>
          <w:sz w:val="28"/>
          <w:szCs w:val="28"/>
          <w:rtl w:val="0"/>
        </w:rPr>
        <w:t xml:space="preserve">5. Cultural Resources, NHPA Section 106, and Traditional Cultural Surveys</w:t>
      </w:r>
      <w:r w:rsidDel="00000000" w:rsidR="00000000" w:rsidRPr="00000000">
        <w:rPr>
          <w:rtl w:val="0"/>
        </w:rPr>
      </w:r>
    </w:p>
    <w:p w:rsidR="00000000" w:rsidDel="00000000" w:rsidP="00000000" w:rsidRDefault="00000000" w:rsidRPr="00000000" w14:paraId="0000003B">
      <w:pPr>
        <w:spacing w:after="240" w:before="240" w:lineRule="auto"/>
        <w:rPr/>
      </w:pPr>
      <w:r w:rsidDel="00000000" w:rsidR="00000000" w:rsidRPr="00000000">
        <w:rPr>
          <w:rFonts w:ascii="Aptos" w:cs="Aptos" w:eastAsia="Aptos" w:hAnsi="Aptos"/>
          <w:sz w:val="24"/>
          <w:szCs w:val="24"/>
          <w:rtl w:val="0"/>
        </w:rPr>
        <w:t xml:space="preserve">We deeply respect the Indigenous heritage of these lands and fully support meaningful tribal consultation. To provide certainty and enable meaningful public review, the EA should clarify: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relationship between standard NHPA Section 106 processes and any additional traditional cultural surveys, including which process controls when findings conflict. </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Objective criteria, procedural steps, and decision-making roles for identifying and managing sacred sites or traditional cultural use areas. </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How future outcomes from these processes will be integrated into climbing management decisions.</w:t>
      </w:r>
    </w:p>
    <w:p w:rsidR="00000000" w:rsidDel="00000000" w:rsidP="00000000" w:rsidRDefault="00000000" w:rsidRPr="00000000" w14:paraId="0000003F">
      <w:pPr>
        <w:spacing w:after="240" w:before="240" w:lineRule="auto"/>
        <w:rPr/>
      </w:pPr>
      <w:r w:rsidDel="00000000" w:rsidR="00000000" w:rsidRPr="00000000">
        <w:rPr>
          <w:rFonts w:ascii="Aptos" w:cs="Aptos" w:eastAsia="Aptos" w:hAnsi="Aptos"/>
          <w:sz w:val="24"/>
          <w:szCs w:val="24"/>
          <w:rtl w:val="0"/>
        </w:rPr>
        <w:t xml:space="preserve">We also request that BCC, Access Fund, local tribal governments, and other relevant stakeholders be formally included as consulting parties during Section 106 reviews. </w:t>
      </w:r>
      <w:r w:rsidDel="00000000" w:rsidR="00000000" w:rsidRPr="00000000">
        <w:rPr>
          <w:rtl w:val="0"/>
        </w:rPr>
      </w:r>
    </w:p>
    <w:p w:rsidR="00000000" w:rsidDel="00000000" w:rsidP="00000000" w:rsidRDefault="00000000" w:rsidRPr="00000000" w14:paraId="00000040">
      <w:pPr>
        <w:pStyle w:val="Heading3"/>
        <w:spacing w:after="281" w:before="281" w:lineRule="auto"/>
        <w:rPr/>
      </w:pPr>
      <w:r w:rsidDel="00000000" w:rsidR="00000000" w:rsidRPr="00000000">
        <w:rPr>
          <w:rFonts w:ascii="Aptos" w:cs="Aptos" w:eastAsia="Aptos" w:hAnsi="Aptos"/>
          <w:b w:val="1"/>
          <w:bCs w:val="1"/>
          <w:sz w:val="28"/>
          <w:szCs w:val="28"/>
          <w:rtl w:val="0"/>
        </w:rPr>
        <w:t xml:space="preserve">6. Wildlife Management – Bats and Raptors</w:t>
      </w:r>
      <w:r w:rsidDel="00000000" w:rsidR="00000000" w:rsidRPr="00000000">
        <w:rPr>
          <w:rtl w:val="0"/>
        </w:rPr>
      </w:r>
    </w:p>
    <w:p w:rsidR="00000000" w:rsidDel="00000000" w:rsidP="00000000" w:rsidRDefault="00000000" w:rsidRPr="00000000" w14:paraId="00000041">
      <w:pPr>
        <w:spacing w:after="240" w:before="240" w:lineRule="auto"/>
        <w:rPr/>
      </w:pPr>
      <w:r w:rsidDel="00000000" w:rsidR="00000000" w:rsidRPr="00000000">
        <w:rPr>
          <w:rFonts w:ascii="Aptos" w:cs="Aptos" w:eastAsia="Aptos" w:hAnsi="Aptos"/>
          <w:sz w:val="24"/>
          <w:szCs w:val="24"/>
          <w:rtl w:val="0"/>
        </w:rPr>
        <w:t xml:space="preserve">For bat roosts, we recommend revising the 250-meter buffer to </w:t>
      </w:r>
      <w:r w:rsidDel="00000000" w:rsidR="00000000" w:rsidRPr="00000000">
        <w:rPr>
          <w:rFonts w:ascii="Aptos" w:cs="Aptos" w:eastAsia="Aptos" w:hAnsi="Aptos"/>
          <w:b w:val="1"/>
          <w:bCs w:val="1"/>
          <w:sz w:val="24"/>
          <w:szCs w:val="24"/>
          <w:rtl w:val="0"/>
        </w:rPr>
        <w:t xml:space="preserve">45 meters</w:t>
      </w:r>
      <w:r w:rsidDel="00000000" w:rsidR="00000000" w:rsidRPr="00000000">
        <w:rPr>
          <w:rFonts w:ascii="Aptos" w:cs="Aptos" w:eastAsia="Aptos" w:hAnsi="Aptos"/>
          <w:sz w:val="24"/>
          <w:szCs w:val="24"/>
          <w:rtl w:val="0"/>
        </w:rPr>
        <w:t xml:space="preserve"> for general sites, with site-specific expansion only where high-value habitat (e.g., maternity colonies or hibernacula) is confirmed by a qualified biologist. This aligns with current research on climbing-related disturbance. </w:t>
      </w:r>
      <w:r w:rsidDel="00000000" w:rsidR="00000000" w:rsidRPr="00000000">
        <w:rPr>
          <w:rtl w:val="0"/>
        </w:rPr>
      </w:r>
    </w:p>
    <w:p w:rsidR="00000000" w:rsidDel="00000000" w:rsidP="00000000" w:rsidRDefault="00000000" w:rsidRPr="00000000" w14:paraId="00000042">
      <w:pPr>
        <w:spacing w:after="240" w:before="240" w:lineRule="auto"/>
        <w:rPr/>
      </w:pPr>
      <w:r w:rsidDel="00000000" w:rsidR="00000000" w:rsidRPr="00000000">
        <w:rPr>
          <w:rFonts w:ascii="Aptos" w:cs="Aptos" w:eastAsia="Aptos" w:hAnsi="Aptos"/>
          <w:sz w:val="24"/>
          <w:szCs w:val="24"/>
          <w:rtl w:val="0"/>
        </w:rPr>
        <w:t xml:space="preserve">For raptors and migratory birds, we urge adoption of modern, adaptive, monitoring-based management over broad seasonal closures. Site-specific buffers, real-time nest monitoring, transparent criteria for initiating/lifting restrictions, and climber partnerships for volunteer observation have proven highly effective. The Access Fund’s raptor management handbook—reviewed by leading wildlife experts—offers a robust, science-based resource we encourage the Forest Service to utilize. </w:t>
      </w:r>
      <w:r w:rsidDel="00000000" w:rsidR="00000000" w:rsidRPr="00000000">
        <w:rPr>
          <w:rtl w:val="0"/>
        </w:rPr>
      </w:r>
    </w:p>
    <w:p w:rsidR="00000000" w:rsidDel="00000000" w:rsidP="00000000" w:rsidRDefault="00000000" w:rsidRPr="00000000" w14:paraId="00000043">
      <w:pPr>
        <w:pStyle w:val="Heading3"/>
        <w:spacing w:after="281" w:before="281" w:lineRule="auto"/>
        <w:rPr/>
      </w:pPr>
      <w:r w:rsidDel="00000000" w:rsidR="00000000" w:rsidRPr="00000000">
        <w:rPr>
          <w:rFonts w:ascii="Aptos" w:cs="Aptos" w:eastAsia="Aptos" w:hAnsi="Aptos"/>
          <w:b w:val="1"/>
          <w:bCs w:val="1"/>
          <w:sz w:val="28"/>
          <w:szCs w:val="28"/>
          <w:rtl w:val="0"/>
        </w:rPr>
        <w:t xml:space="preserve">7. Categorical Exclusions, Infrastructure, and Collaboration</w:t>
      </w:r>
      <w:r w:rsidDel="00000000" w:rsidR="00000000" w:rsidRPr="00000000">
        <w:rPr>
          <w:rtl w:val="0"/>
        </w:rPr>
      </w:r>
    </w:p>
    <w:p w:rsidR="00000000" w:rsidDel="00000000" w:rsidP="00000000" w:rsidRDefault="00000000" w:rsidRPr="00000000" w14:paraId="00000044">
      <w:pPr>
        <w:spacing w:after="240" w:before="240" w:lineRule="auto"/>
        <w:rPr/>
      </w:pPr>
      <w:r w:rsidDel="00000000" w:rsidR="00000000" w:rsidRPr="00000000">
        <w:rPr>
          <w:rFonts w:ascii="Aptos" w:cs="Aptos" w:eastAsia="Aptos" w:hAnsi="Aptos"/>
          <w:sz w:val="24"/>
          <w:szCs w:val="24"/>
          <w:rtl w:val="0"/>
        </w:rPr>
        <w:t xml:space="preserve">We support categorical exclusions under NEPA for low-risk actions such as replacing hardware in previously inventoried areas and developing new routes in pre-cleared zones. </w:t>
      </w:r>
      <w:r w:rsidDel="00000000" w:rsidR="00000000" w:rsidRPr="00000000">
        <w:rPr>
          <w:rtl w:val="0"/>
        </w:rPr>
      </w:r>
    </w:p>
    <w:p w:rsidR="00000000" w:rsidDel="00000000" w:rsidP="00000000" w:rsidRDefault="00000000" w:rsidRPr="00000000" w14:paraId="00000045">
      <w:pPr>
        <w:spacing w:after="240" w:before="240" w:line="279" w:lineRule="auto"/>
        <w:ind w:left="0" w:right="0" w:firstLine="0"/>
        <w:jc w:val="left"/>
        <w:rPr/>
      </w:pPr>
      <w:r w:rsidDel="00000000" w:rsidR="00000000" w:rsidRPr="00000000">
        <w:rPr>
          <w:rFonts w:ascii="Aptos" w:cs="Aptos" w:eastAsia="Aptos" w:hAnsi="Aptos"/>
          <w:sz w:val="24"/>
          <w:szCs w:val="24"/>
          <w:rtl w:val="0"/>
        </w:rPr>
        <w:t xml:space="preserve">We enthusiastically endorse the proposed infrastructure improvements (trails, staging areas, vault toilets, parking) and stand ready to support implementation through partnership with the Access Fund </w:t>
      </w:r>
      <w:r w:rsidDel="00000000" w:rsidR="00000000" w:rsidRPr="00000000">
        <w:rPr>
          <w:rFonts w:ascii="Aptos" w:cs="Aptos" w:eastAsia="Aptos" w:hAnsi="Aptos"/>
          <w:b w:val="1"/>
          <w:bCs w:val="1"/>
          <w:sz w:val="24"/>
          <w:szCs w:val="24"/>
          <w:rtl w:val="0"/>
        </w:rPr>
        <w:t xml:space="preserve">Conservation Team</w:t>
      </w:r>
      <w:r w:rsidDel="00000000" w:rsidR="00000000" w:rsidRPr="00000000">
        <w:rPr>
          <w:rFonts w:ascii="Aptos" w:cs="Aptos" w:eastAsia="Aptos" w:hAnsi="Aptos"/>
          <w:sz w:val="24"/>
          <w:szCs w:val="24"/>
          <w:rtl w:val="0"/>
        </w:rPr>
        <w:t xml:space="preserve">. A clear, transparent process for planning and executing these projects would enable strong volunteer and partner coordination. </w:t>
      </w:r>
      <w:r w:rsidDel="00000000" w:rsidR="00000000" w:rsidRPr="00000000">
        <w:rPr>
          <w:rtl w:val="0"/>
        </w:rPr>
      </w:r>
    </w:p>
    <w:p w:rsidR="00000000" w:rsidDel="00000000" w:rsidP="00000000" w:rsidRDefault="00000000" w:rsidRPr="00000000" w14:paraId="00000046">
      <w:pPr>
        <w:spacing w:after="240" w:before="240" w:lineRule="auto"/>
        <w:rPr/>
      </w:pPr>
      <w:r w:rsidDel="00000000" w:rsidR="00000000" w:rsidRPr="00000000">
        <w:rPr>
          <w:rFonts w:ascii="Aptos" w:cs="Aptos" w:eastAsia="Aptos" w:hAnsi="Aptos"/>
          <w:sz w:val="24"/>
          <w:szCs w:val="24"/>
          <w:rtl w:val="0"/>
        </w:rPr>
        <w:t xml:space="preserve">Finally, we urge the Forest Service to avoid deferring major decisions (e.g., site-specific route approvals, parking locations) to a post-EA Implementation Guide without further public review. Incorporating these into the current process would strengthen transparency and trust. </w:t>
      </w:r>
      <w:r w:rsidDel="00000000" w:rsidR="00000000" w:rsidRPr="00000000">
        <w:rPr>
          <w:rtl w:val="0"/>
        </w:rPr>
      </w:r>
    </w:p>
    <w:p w:rsidR="00000000" w:rsidDel="00000000" w:rsidP="00000000" w:rsidRDefault="00000000" w:rsidRPr="00000000" w14:paraId="00000047">
      <w:pPr>
        <w:spacing w:after="240" w:before="240" w:lineRule="auto"/>
        <w:rPr/>
      </w:pPr>
      <w:r w:rsidDel="00000000" w:rsidR="00000000" w:rsidRPr="00000000">
        <w:rPr>
          <w:rFonts w:ascii="Aptos" w:cs="Aptos" w:eastAsia="Aptos" w:hAnsi="Aptos"/>
          <w:sz w:val="24"/>
          <w:szCs w:val="24"/>
          <w:rtl w:val="0"/>
        </w:rPr>
        <w:t xml:space="preserve">With the adoption of a comprehensive CMP, we also recommend rescinding the overlapping 2019 climbing regulations to eliminate confusion and allow the new plan to stand as the clear governing framework. </w:t>
      </w:r>
      <w:r w:rsidDel="00000000" w:rsidR="00000000" w:rsidRPr="00000000">
        <w:rPr>
          <w:rtl w:val="0"/>
        </w:rPr>
      </w:r>
    </w:p>
    <w:p w:rsidR="00000000" w:rsidDel="00000000" w:rsidP="00000000" w:rsidRDefault="00000000" w:rsidRPr="00000000" w14:paraId="00000048">
      <w:pPr>
        <w:pStyle w:val="Heading3"/>
        <w:spacing w:after="281" w:before="281" w:lineRule="auto"/>
        <w:rPr/>
      </w:pPr>
      <w:r w:rsidDel="00000000" w:rsidR="00000000" w:rsidRPr="00000000">
        <w:rPr>
          <w:rFonts w:ascii="Aptos" w:cs="Aptos" w:eastAsia="Aptos" w:hAnsi="Aptos"/>
          <w:b w:val="1"/>
          <w:bCs w:val="1"/>
          <w:sz w:val="28"/>
          <w:szCs w:val="28"/>
          <w:rtl w:val="0"/>
        </w:rPr>
        <w:t xml:space="preserve">Closing</w:t>
      </w:r>
      <w:r w:rsidDel="00000000" w:rsidR="00000000" w:rsidRPr="00000000">
        <w:rPr>
          <w:rtl w:val="0"/>
        </w:rPr>
      </w:r>
    </w:p>
    <w:p w:rsidR="00000000" w:rsidDel="00000000" w:rsidP="00000000" w:rsidRDefault="00000000" w:rsidRPr="00000000" w14:paraId="00000049">
      <w:pPr>
        <w:spacing w:after="240" w:before="240" w:lineRule="auto"/>
        <w:rPr/>
      </w:pPr>
      <w:r w:rsidDel="00000000" w:rsidR="00000000" w:rsidRPr="00000000">
        <w:rPr>
          <w:rFonts w:ascii="Aptos" w:cs="Aptos" w:eastAsia="Aptos" w:hAnsi="Aptos"/>
          <w:sz w:val="24"/>
          <w:szCs w:val="24"/>
          <w:rtl w:val="0"/>
        </w:rPr>
        <w:t xml:space="preserve">Tensleep Canyon is a place of profound beauty and shared meaning. By refining the EA with clearer standards, evidence-based thresholds, adaptive approaches, and meaningful inclusion of climbers as stewards, we can create a model of compassionate, durable management that protects resources, honors cultural values, and sustains world-class climbing access for generations to come. </w:t>
      </w:r>
      <w:r w:rsidDel="00000000" w:rsidR="00000000" w:rsidRPr="00000000">
        <w:rPr>
          <w:rtl w:val="0"/>
        </w:rPr>
      </w:r>
    </w:p>
    <w:p w:rsidR="00000000" w:rsidDel="00000000" w:rsidP="00000000" w:rsidRDefault="00000000" w:rsidRPr="00000000" w14:paraId="0000004A">
      <w:pPr>
        <w:spacing w:after="240" w:before="240" w:lineRule="auto"/>
        <w:rPr/>
      </w:pPr>
      <w:r w:rsidDel="00000000" w:rsidR="00000000" w:rsidRPr="00000000">
        <w:rPr>
          <w:rFonts w:ascii="Aptos" w:cs="Aptos" w:eastAsia="Aptos" w:hAnsi="Aptos"/>
          <w:sz w:val="24"/>
          <w:szCs w:val="24"/>
          <w:rtl w:val="0"/>
        </w:rPr>
        <w:t xml:space="preserve">BCC stands ready as a committed partner. Please feel free to contact us to discuss these recommendations further—we welcome the opportunity to collaborate. </w:t>
      </w:r>
      <w:r w:rsidDel="00000000" w:rsidR="00000000" w:rsidRPr="00000000">
        <w:rPr>
          <w:rtl w:val="0"/>
        </w:rPr>
      </w:r>
    </w:p>
    <w:p w:rsidR="00000000" w:rsidDel="00000000" w:rsidP="00000000" w:rsidRDefault="00000000" w:rsidRPr="00000000" w14:paraId="0000004B">
      <w:pPr>
        <w:spacing w:after="240" w:before="240" w:lineRule="auto"/>
        <w:rPr/>
      </w:pPr>
      <w:r w:rsidDel="00000000" w:rsidR="00000000" w:rsidRPr="00000000">
        <w:rPr>
          <w:rtl w:val="0"/>
        </w:rPr>
        <w:t xml:space="preserve">Best Regards</w:t>
      </w:r>
      <w:r w:rsidDel="00000000" w:rsidR="00000000" w:rsidRPr="00000000">
        <w:rPr>
          <w:rFonts w:ascii="Aptos" w:cs="Aptos" w:eastAsia="Aptos" w:hAnsi="Aptos"/>
          <w:sz w:val="24"/>
          <w:szCs w:val="24"/>
          <w:rtl w:val="0"/>
        </w:rPr>
        <w:t xml:space="preserve">, </w:t>
      </w:r>
      <w:r w:rsidDel="00000000" w:rsidR="00000000" w:rsidRPr="00000000">
        <w:rPr>
          <w:rtl w:val="0"/>
        </w:rPr>
      </w:r>
    </w:p>
    <w:p w:rsidR="00000000" w:rsidDel="00000000" w:rsidP="00000000" w:rsidRDefault="00000000" w:rsidRPr="00000000" w14:paraId="0000004C">
      <w:pPr>
        <w:spacing w:after="240" w:before="240" w:line="279" w:lineRule="auto"/>
        <w:ind w:left="0" w:right="0" w:firstLine="0"/>
        <w:jc w:val="left"/>
        <w:rPr/>
      </w:pPr>
      <w:r w:rsidDel="00000000" w:rsidR="00000000" w:rsidRPr="00000000">
        <w:rPr>
          <w:rFonts w:ascii="Aptos" w:cs="Aptos" w:eastAsia="Aptos" w:hAnsi="Aptos"/>
          <w:sz w:val="24"/>
          <w:szCs w:val="24"/>
          <w:rtl w:val="0"/>
        </w:rPr>
        <w:t xml:space="preserve">Aaron Townsley</w:t>
      </w:r>
      <w:r w:rsidDel="00000000" w:rsidR="00000000" w:rsidRPr="00000000">
        <w:rPr>
          <w:rtl w:val="0"/>
        </w:rPr>
      </w:r>
    </w:p>
    <w:p w:rsidR="00000000" w:rsidDel="00000000" w:rsidP="00000000" w:rsidRDefault="00000000" w:rsidRPr="00000000" w14:paraId="0000004D">
      <w:pPr>
        <w:spacing w:after="240" w:before="240" w:line="279" w:lineRule="auto"/>
        <w:ind w:left="0" w:right="0" w:firstLine="0"/>
        <w:jc w:val="left"/>
        <w:rPr/>
      </w:pPr>
      <w:r w:rsidDel="00000000" w:rsidR="00000000" w:rsidRPr="00000000">
        <w:rPr>
          <w:rFonts w:ascii="Aptos" w:cs="Aptos" w:eastAsia="Aptos" w:hAnsi="Aptos"/>
          <w:sz w:val="24"/>
          <w:szCs w:val="24"/>
          <w:rtl w:val="0"/>
        </w:rPr>
        <w:t xml:space="preserve">Director of the Bighorn Anchor Initiative</w:t>
      </w:r>
      <w:r w:rsidDel="00000000" w:rsidR="00000000" w:rsidRPr="00000000">
        <w:rPr>
          <w:rtl w:val="0"/>
        </w:rPr>
      </w:r>
    </w:p>
    <w:p w:rsidR="00000000" w:rsidDel="00000000" w:rsidP="00000000" w:rsidRDefault="00000000" w:rsidRPr="00000000" w14:paraId="0000004E">
      <w:pPr>
        <w:spacing w:after="240" w:before="240" w:lineRule="auto"/>
        <w:rPr/>
      </w:pPr>
      <w:r w:rsidDel="00000000" w:rsidR="00000000" w:rsidRPr="00000000">
        <w:rPr>
          <w:rFonts w:ascii="Aptos" w:cs="Aptos" w:eastAsia="Aptos" w:hAnsi="Aptos"/>
          <w:sz w:val="24"/>
          <w:szCs w:val="24"/>
          <w:rtl w:val="0"/>
        </w:rPr>
        <w:t xml:space="preserve">Bighorn Climbers' Coalition</w:t>
      </w:r>
      <w:r w:rsidDel="00000000" w:rsidR="00000000" w:rsidRPr="00000000">
        <w:rPr>
          <w:rtl w:val="0"/>
        </w:rPr>
      </w:r>
    </w:p>
    <w:p w:rsidR="00000000" w:rsidDel="00000000" w:rsidP="00000000" w:rsidRDefault="00000000" w:rsidRPr="00000000" w14:paraId="0000004F">
      <w:pPr>
        <w:spacing w:after="240" w:before="240" w:line="279" w:lineRule="auto"/>
        <w:ind w:left="0" w:right="0" w:firstLine="0"/>
        <w:jc w:val="left"/>
        <w:rPr/>
      </w:pPr>
      <w:r w:rsidDel="00000000" w:rsidR="00000000" w:rsidRPr="00000000">
        <w:rPr>
          <w:rFonts w:ascii="Aptos" w:cs="Aptos" w:eastAsia="Aptos" w:hAnsi="Aptos"/>
          <w:sz w:val="24"/>
          <w:szCs w:val="24"/>
          <w:rtl w:val="0"/>
        </w:rPr>
        <w:t xml:space="preserve">BAI@bighornclimbers.org</w:t>
      </w:r>
      <w:r w:rsidDel="00000000" w:rsidR="00000000" w:rsidRPr="00000000">
        <w:rPr>
          <w:rtl w:val="0"/>
        </w:rPr>
      </w:r>
    </w:p>
    <w:p w:rsidR="00000000" w:rsidDel="00000000" w:rsidP="00000000" w:rsidRDefault="00000000" w:rsidRPr="00000000" w14:paraId="00000050">
      <w:pPr>
        <w:spacing w:after="240" w:before="240" w:line="276"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1">
      <w:pPr>
        <w:spacing w:after="240" w:before="240" w:line="276" w:lineRule="auto"/>
        <w:rPr>
          <w:rFonts w:ascii="Arial" w:cs="Arial" w:eastAsia="Arial" w:hAnsi="Arial"/>
          <w:sz w:val="22"/>
          <w:szCs w:val="22"/>
          <w:highlight w:val="white"/>
        </w:rPr>
      </w:pPr>
      <w:r w:rsidDel="00000000" w:rsidR="00000000" w:rsidRPr="00000000">
        <w:rPr>
          <w:rFonts w:ascii="Arial" w:cs="Arial" w:eastAsia="Arial" w:hAnsi="Arial"/>
          <w:b w:val="1"/>
          <w:bCs w:val="1"/>
          <w:sz w:val="22"/>
          <w:szCs w:val="22"/>
          <w:rtl w:val="0"/>
        </w:rPr>
        <w:t xml:space="preserve">Christa Melde</w:t>
        <w:tab/>
        <w:t xml:space="preserve">Lana Stigura</w:t>
        <w:tab/>
        <w:tab/>
        <w:t xml:space="preserve">Katie Goodwin  </w:t>
        <w:br w:type="textWrapping"/>
      </w:r>
      <w:r w:rsidDel="00000000" w:rsidR="00000000" w:rsidRPr="00000000">
        <w:rPr>
          <w:rFonts w:ascii="Arial" w:cs="Arial" w:eastAsia="Arial" w:hAnsi="Arial"/>
          <w:sz w:val="22"/>
          <w:szCs w:val="22"/>
          <w:rtl w:val="0"/>
        </w:rPr>
        <w:t xml:space="preserve">Board President </w:t>
        <w:tab/>
        <w:t xml:space="preserve">Executive Director</w:t>
        <w:tab/>
      </w:r>
      <w:r w:rsidDel="00000000" w:rsidR="00000000" w:rsidRPr="00000000">
        <w:rPr>
          <w:rFonts w:ascii="Arial" w:cs="Arial" w:eastAsia="Arial" w:hAnsi="Arial"/>
          <w:sz w:val="22"/>
          <w:szCs w:val="22"/>
          <w:highlight w:val="white"/>
          <w:rtl w:val="0"/>
        </w:rPr>
        <w:t xml:space="preserve">Policy Analyst &amp; Western Regional Director</w:t>
      </w:r>
    </w:p>
    <w:p w:rsidR="00000000" w:rsidDel="00000000" w:rsidP="00000000" w:rsidRDefault="00000000" w:rsidRPr="00000000" w14:paraId="00000052">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Bighorn Climbers Coalition</w:t>
        <w:tab/>
        <w:t xml:space="preserve">WyoClimbers</w:t>
        <w:tab/>
        <w:t xml:space="preserve">   Access Fund                            </w:t>
      </w:r>
    </w:p>
    <w:p w:rsidR="00000000" w:rsidDel="00000000" w:rsidP="00000000" w:rsidRDefault="00000000" w:rsidRPr="00000000" w14:paraId="00000053">
      <w:pPr>
        <w:spacing w:after="240" w:before="240" w:line="276" w:lineRule="auto"/>
        <w:rPr>
          <w:rFonts w:ascii="Arial" w:cs="Arial" w:eastAsia="Arial" w:hAnsi="Arial"/>
          <w:sz w:val="22"/>
          <w:szCs w:val="22"/>
        </w:rPr>
      </w:pPr>
      <w:hyperlink r:id="rId8">
        <w:r w:rsidDel="00000000" w:rsidR="00000000" w:rsidRPr="00000000">
          <w:rPr>
            <w:rFonts w:ascii="Arial" w:cs="Arial" w:eastAsia="Arial" w:hAnsi="Arial"/>
            <w:color w:val="1155cc"/>
            <w:sz w:val="22"/>
            <w:szCs w:val="22"/>
            <w:u w:val="single"/>
            <w:rtl w:val="0"/>
          </w:rPr>
          <w:t xml:space="preserve">president@bighornclimbers.org</w:t>
        </w:r>
      </w:hyperlink>
      <w:r w:rsidDel="00000000" w:rsidR="00000000" w:rsidRPr="00000000">
        <w:rPr>
          <w:rFonts w:ascii="Arial" w:cs="Arial" w:eastAsia="Arial" w:hAnsi="Arial"/>
          <w:sz w:val="22"/>
          <w:szCs w:val="22"/>
          <w:rtl w:val="0"/>
        </w:rPr>
        <w:t xml:space="preserve">      </w:t>
      </w:r>
      <w:hyperlink r:id="rId9">
        <w:r w:rsidDel="00000000" w:rsidR="00000000" w:rsidRPr="00000000">
          <w:rPr>
            <w:rFonts w:ascii="Arial" w:cs="Arial" w:eastAsia="Arial" w:hAnsi="Arial"/>
            <w:color w:val="0000ee"/>
            <w:sz w:val="22"/>
            <w:szCs w:val="22"/>
            <w:u w:val="single"/>
            <w:rtl w:val="0"/>
          </w:rPr>
          <w:t xml:space="preserve">lana@wyomingclimbers.org</w:t>
        </w:r>
      </w:hyperlink>
      <w:r w:rsidDel="00000000" w:rsidR="00000000" w:rsidRPr="00000000">
        <w:rPr>
          <w:rFonts w:ascii="Arial" w:cs="Arial" w:eastAsia="Arial" w:hAnsi="Arial"/>
          <w:sz w:val="22"/>
          <w:szCs w:val="22"/>
          <w:rtl w:val="0"/>
        </w:rPr>
        <w:tab/>
        <w:t xml:space="preserve">   </w:t>
      </w:r>
      <w:hyperlink r:id="rId10">
        <w:r w:rsidDel="00000000" w:rsidR="00000000" w:rsidRPr="00000000">
          <w:rPr>
            <w:rFonts w:ascii="Arial" w:cs="Arial" w:eastAsia="Arial" w:hAnsi="Arial"/>
            <w:color w:val="0000ee"/>
            <w:sz w:val="22"/>
            <w:szCs w:val="22"/>
            <w:u w:val="single"/>
            <w:rtl w:val="0"/>
          </w:rPr>
          <w:t xml:space="preserve">katie@accessfund.org</w:t>
        </w:r>
      </w:hyperlink>
      <w:r w:rsidDel="00000000" w:rsidR="00000000" w:rsidRPr="00000000">
        <w:rPr>
          <w:rtl w:val="0"/>
        </w:rPr>
      </w:r>
    </w:p>
    <w:p w:rsidR="00000000" w:rsidDel="00000000" w:rsidP="00000000" w:rsidRDefault="00000000" w:rsidRPr="00000000" w14:paraId="00000054">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BCC Board, Cc: WyoClimbers Access Committee, </w:t>
      </w:r>
      <w:r w:rsidDel="00000000" w:rsidR="00000000" w:rsidRPr="00000000">
        <w:rPr>
          <w:rFonts w:ascii="Arial" w:cs="Arial" w:eastAsia="Arial" w:hAnsi="Arial"/>
          <w:sz w:val="22"/>
          <w:szCs w:val="22"/>
          <w:highlight w:val="white"/>
          <w:rtl w:val="0"/>
        </w:rPr>
        <w:t xml:space="preserve">Cc:Erik Murdock, Deputy Director, Access Fund</w:t>
      </w:r>
      <w:r w:rsidDel="00000000" w:rsidR="00000000" w:rsidRPr="00000000">
        <w:rPr>
          <w:rtl w:val="0"/>
        </w:rPr>
      </w:r>
    </w:p>
    <w:p w:rsidR="00000000" w:rsidDel="00000000" w:rsidP="00000000" w:rsidRDefault="00000000" w:rsidRPr="00000000" w14:paraId="00000055">
      <w:pPr>
        <w:spacing w:after="0" w:line="276" w:lineRule="auto"/>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Bighorn Climbers Coalition</w:t>
      </w:r>
    </w:p>
    <w:p w:rsidR="00000000" w:rsidDel="00000000" w:rsidP="00000000" w:rsidRDefault="00000000" w:rsidRPr="00000000" w14:paraId="00000056">
      <w:pPr>
        <w:spacing w:after="0" w:line="276" w:lineRule="auto"/>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57">
      <w:pPr>
        <w:spacing w:after="0" w:line="276"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 501(c)(3) nonprofit organization, the Bighorn Climbers’ Coalition (BCC) mission is to preserve, promote and protect climbing resources and access to climbing resources throughout the Bighorn Mountains and basin. BCC intends to raise funds, obtain grants and organize efforts to improve local recreation areas. This will benefit the climbing community as well as other recreational user groups while decreasing potential negative environmental impacts from climbers. BCC has a history of constructive partnership with local land managers and other local organizations. For more information about the BCC, visit </w:t>
      </w:r>
      <w:hyperlink r:id="rId11">
        <w:r w:rsidDel="00000000" w:rsidR="00000000" w:rsidRPr="00000000">
          <w:rPr>
            <w:rFonts w:ascii="Arial" w:cs="Arial" w:eastAsia="Arial" w:hAnsi="Arial"/>
            <w:color w:val="1155cc"/>
            <w:sz w:val="22"/>
            <w:szCs w:val="22"/>
            <w:highlight w:val="white"/>
            <w:u w:val="single"/>
            <w:rtl w:val="0"/>
          </w:rPr>
          <w:t xml:space="preserve">www.bighornclimbers.org</w:t>
        </w:r>
      </w:hyperlink>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58">
      <w:pPr>
        <w:spacing w:after="0" w:line="276"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59">
      <w:pPr>
        <w:spacing w:after="0" w:line="276" w:lineRule="auto"/>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Central Wyoming Climbers’ Coalition</w:t>
      </w:r>
    </w:p>
    <w:p w:rsidR="00000000" w:rsidDel="00000000" w:rsidP="00000000" w:rsidRDefault="00000000" w:rsidRPr="00000000" w14:paraId="0000005A">
      <w:pPr>
        <w:spacing w:after="0" w:line="276"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5B">
      <w:pPr>
        <w:spacing w:after="0" w:line="276"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Central Wyoming Climbers’ Alliance (CWCA) is a 501(c)3 non-profit organization dedicated to supporting climbing in the central Wyoming region. The Central Wyoming Climbers’ Alliance mission is dedicated to protecting climbing access and resources for today in order to preserve them for tomorrow. For more information about the Central Wyoming Climbers’ Alliance, see </w:t>
      </w:r>
      <w:hyperlink r:id="rId12">
        <w:r w:rsidDel="00000000" w:rsidR="00000000" w:rsidRPr="00000000">
          <w:rPr>
            <w:rFonts w:ascii="Arial" w:cs="Arial" w:eastAsia="Arial" w:hAnsi="Arial"/>
            <w:color w:val="1155cc"/>
            <w:sz w:val="22"/>
            <w:szCs w:val="22"/>
            <w:highlight w:val="white"/>
            <w:u w:val="single"/>
            <w:rtl w:val="0"/>
          </w:rPr>
          <w:t xml:space="preserve">www.wyomingclimbers.org</w:t>
        </w:r>
      </w:hyperlink>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5C">
      <w:pPr>
        <w:spacing w:after="0" w:line="276"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5D">
      <w:pPr>
        <w:spacing w:after="0" w:line="276" w:lineRule="auto"/>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Access Fund</w:t>
      </w:r>
    </w:p>
    <w:p w:rsidR="00000000" w:rsidDel="00000000" w:rsidP="00000000" w:rsidRDefault="00000000" w:rsidRPr="00000000" w14:paraId="0000005E">
      <w:pPr>
        <w:spacing w:after="0" w:line="276" w:lineRule="auto"/>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5F">
      <w:pPr>
        <w:spacing w:after="0" w:line="276"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Access Fund is a national advocacy organization whose mission is to lead and inspire the climbing community toward sustainable access and conservation of the</w:t>
      </w:r>
    </w:p>
    <w:p w:rsidR="00000000" w:rsidDel="00000000" w:rsidP="00000000" w:rsidRDefault="00000000" w:rsidRPr="00000000" w14:paraId="00000060">
      <w:pPr>
        <w:spacing w:after="0" w:line="276"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climbing environment. A 501(c)(3) non-profit supporting and representing over 7 million climbers nationwide in all forms of climbing—rock climbing, ice climbing, mountaineering, and bouldering—the Access Fund is the largest US climbing organization with over 20,000 members and 150 affiliates. </w:t>
      </w:r>
      <w:r w:rsidDel="00000000" w:rsidR="00000000" w:rsidRPr="00000000">
        <w:rPr>
          <w:rtl w:val="0"/>
        </w:rPr>
      </w:r>
    </w:p>
    <w:p w:rsidR="00000000" w:rsidDel="00000000" w:rsidP="00000000" w:rsidRDefault="00000000" w:rsidRPr="00000000" w14:paraId="0000006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after="0" w:line="276" w:lineRule="auto"/>
        <w:rPr/>
      </w:pPr>
      <w:r w:rsidDel="00000000" w:rsidR="00000000" w:rsidRPr="00000000">
        <w:rPr>
          <w:rFonts w:ascii="Arial" w:cs="Arial" w:eastAsia="Arial" w:hAnsi="Arial"/>
        </w:rPr>
        <w:drawing>
          <wp:inline distB="114300" distT="114300" distL="114300" distR="114300">
            <wp:extent cx="1236572" cy="947738"/>
            <wp:effectExtent b="0" l="0" r="0" t="0"/>
            <wp:docPr id="3"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1236572" cy="947738"/>
                    </a:xfrm>
                    <a:prstGeom prst="rect"/>
                    <a:ln/>
                  </pic:spPr>
                </pic:pic>
              </a:graphicData>
            </a:graphic>
          </wp:inline>
        </w:drawing>
      </w:r>
      <w:r w:rsidDel="00000000" w:rsidR="00000000" w:rsidRPr="00000000">
        <w:rPr>
          <w:rFonts w:ascii="Arial" w:cs="Arial" w:eastAsia="Arial" w:hAnsi="Arial"/>
          <w:rtl w:val="0"/>
        </w:rPr>
        <w:tab/>
        <w:tab/>
      </w:r>
      <w:r w:rsidDel="00000000" w:rsidR="00000000" w:rsidRPr="00000000">
        <w:rPr>
          <w:rFonts w:ascii="Arial" w:cs="Arial" w:eastAsia="Arial" w:hAnsi="Arial"/>
        </w:rPr>
        <w:drawing>
          <wp:inline distB="114300" distT="114300" distL="114300" distR="114300">
            <wp:extent cx="2285266" cy="482445"/>
            <wp:effectExtent b="0" l="0" r="0" t="0"/>
            <wp:docPr id="2"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2285266" cy="482445"/>
                    </a:xfrm>
                    <a:prstGeom prst="rect"/>
                    <a:ln/>
                  </pic:spPr>
                </pic:pic>
              </a:graphicData>
            </a:graphic>
          </wp:inline>
        </w:drawing>
      </w:r>
      <w:r w:rsidDel="00000000" w:rsidR="00000000" w:rsidRPr="00000000">
        <w:rPr>
          <w:rFonts w:ascii="Arial" w:cs="Arial" w:eastAsia="Arial" w:hAnsi="Arial"/>
          <w:rtl w:val="0"/>
        </w:rPr>
        <w:tab/>
        <w:tab/>
        <w:tab/>
        <w:tab/>
      </w:r>
      <w:r w:rsidDel="00000000" w:rsidR="00000000" w:rsidRPr="00000000">
        <w:rPr>
          <w:rtl w:val="0"/>
        </w:rPr>
      </w:r>
      <w:r w:rsidDel="00000000" w:rsidR="00000000" w:rsidRPr="00000000">
        <w:drawing>
          <wp:anchor allowOverlap="1" behindDoc="1" distB="0" distT="0" distL="114300" distR="114300" hidden="0" layoutInCell="1" locked="0" relativeHeight="0" simplePos="0">
            <wp:simplePos x="0" y="0"/>
            <wp:positionH relativeFrom="column">
              <wp:posOffset>4476750</wp:posOffset>
            </wp:positionH>
            <wp:positionV relativeFrom="paragraph">
              <wp:posOffset>-8092</wp:posOffset>
            </wp:positionV>
            <wp:extent cx="1529080" cy="1040130"/>
            <wp:effectExtent b="0" l="0" r="0" t="0"/>
            <wp:wrapNone/>
            <wp:docPr id="1"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1529080" cy="1040130"/>
                    </a:xfrm>
                    <a:prstGeom prst="rect"/>
                    <a:ln/>
                  </pic:spPr>
                </pic:pic>
              </a:graphicData>
            </a:graphic>
          </wp:anchor>
        </w:drawing>
      </w:r>
    </w:p>
    <w:p w:rsidR="00000000" w:rsidDel="00000000" w:rsidP="00000000" w:rsidRDefault="00000000" w:rsidRPr="00000000" w14:paraId="00000064">
      <w:pPr>
        <w:rPr>
          <w:rFonts w:ascii="Arial" w:cs="Arial" w:eastAsia="Arial" w:hAnsi="Arial"/>
          <w:sz w:val="22"/>
          <w:szCs w:val="22"/>
        </w:rPr>
      </w:pPr>
      <w:r w:rsidDel="00000000" w:rsidR="00000000" w:rsidRPr="00000000">
        <w:rPr>
          <w:rtl w:val="0"/>
        </w:rPr>
      </w:r>
    </w:p>
    <w:sectPr>
      <w:headerReference r:id="rId1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Aptos"/>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spacing w:after="0" w:line="276" w:lineRule="auto"/>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5701AF68"/>
    <w:pPr>
      <w:spacing/>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bighornclimbers.org" TargetMode="External"/><Relationship Id="rId10" Type="http://schemas.openxmlformats.org/officeDocument/2006/relationships/hyperlink" Target="mailto:katie@accessfund.org" TargetMode="External"/><Relationship Id="rId13" Type="http://schemas.openxmlformats.org/officeDocument/2006/relationships/image" Target="media/image3.png"/><Relationship Id="rId12" Type="http://schemas.openxmlformats.org/officeDocument/2006/relationships/hyperlink" Target="http://www.wyomingclimbers.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ana@wyomingclimbers.org" TargetMode="External"/><Relationship Id="rId15" Type="http://schemas.openxmlformats.org/officeDocument/2006/relationships/image" Target="media/image1.png"/><Relationship Id="rId14" Type="http://schemas.openxmlformats.org/officeDocument/2006/relationships/image" Target="media/image2.png"/><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ara.fs2c.usda.gov/Public/CommentInput?Project=64474" TargetMode="External"/><Relationship Id="rId8" Type="http://schemas.openxmlformats.org/officeDocument/2006/relationships/hyperlink" Target="mailto:president@bighornclimber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fTbPcW/E6qs/KLZYsLXYSIuo0g==">CgMxLjA4AHIhMU9qVHBJV2wySzlYb0E3alNndG9DWWZPMzFjTHhNWDFE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2026-01-19T23:21:53.4019449Z</dcterms:created>
  <dc:creator>Christa Melde</dc:creator>
</cp:coreProperties>
</file>