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741A8" w:rsidRPr="00C13CE6" w:rsidRDefault="006741A8"/>
    <w:p w:rsidR="00C13CE6" w:rsidRDefault="00C867EF" w:rsidP="00C13CE6">
      <w:r>
        <w:t>2</w:t>
      </w:r>
      <w:r w:rsidR="00815C0F">
        <w:t>8</w:t>
      </w:r>
      <w:r w:rsidR="00950514">
        <w:t xml:space="preserve"> May </w:t>
      </w:r>
      <w:r w:rsidR="00C13CE6" w:rsidRPr="00C13CE6">
        <w:t>2024</w:t>
      </w:r>
    </w:p>
    <w:p w:rsidR="006A4A12" w:rsidRPr="00C13CE6" w:rsidRDefault="006A4A12" w:rsidP="00C13CE6"/>
    <w:p w:rsidR="00C13CE6" w:rsidRPr="00C13CE6" w:rsidRDefault="00C13CE6" w:rsidP="00C13CE6">
      <w:r w:rsidRPr="00C13CE6">
        <w:t xml:space="preserve">TO: </w:t>
      </w:r>
      <w:r w:rsidR="001311C9">
        <w:t>USDA Forest Service, Blue Mountains Forest Planning Team</w:t>
      </w:r>
    </w:p>
    <w:p w:rsidR="00F03224" w:rsidRDefault="00C13CE6" w:rsidP="00C13CE6">
      <w:r w:rsidRPr="00C13CE6">
        <w:t xml:space="preserve">VIA: </w:t>
      </w:r>
      <w:hyperlink r:id="rId7" w:history="1">
        <w:r w:rsidR="00950514" w:rsidRPr="007A4D60">
          <w:rPr>
            <w:rStyle w:val="Hyperlink"/>
          </w:rPr>
          <w:t>https://cara.fs2c.usda.gov/Public/CommentInput?project=64157</w:t>
        </w:r>
      </w:hyperlink>
      <w:r w:rsidR="00F03224" w:rsidRPr="00F03224">
        <w:t>, (</w:t>
      </w:r>
      <w:r w:rsidR="00AB70C5">
        <w:t xml:space="preserve">Attempted 5-28, 11 AM. </w:t>
      </w:r>
      <w:bookmarkStart w:id="0" w:name="_GoBack"/>
      <w:bookmarkEnd w:id="0"/>
      <w:r w:rsidR="006A4A12">
        <w:t>Sadly</w:t>
      </w:r>
      <w:r w:rsidR="00F03224" w:rsidRPr="00F03224">
        <w:t xml:space="preserve">, the Forest Service shut down the </w:t>
      </w:r>
      <w:r w:rsidR="00F03224">
        <w:t xml:space="preserve">comment </w:t>
      </w:r>
      <w:r w:rsidR="00F03224" w:rsidRPr="00F03224">
        <w:t>portal</w:t>
      </w:r>
      <w:r w:rsidR="006A4A12">
        <w:t>, even though the deadline fell on a Sunday followed by a federal holiday)</w:t>
      </w:r>
    </w:p>
    <w:p w:rsidR="00C13CE6" w:rsidRPr="00C13CE6" w:rsidRDefault="00616956" w:rsidP="00C13CE6">
      <w:r>
        <w:t xml:space="preserve">CC: </w:t>
      </w:r>
      <w:hyperlink r:id="rId8" w:history="1">
        <w:r w:rsidRPr="007A4D60">
          <w:rPr>
            <w:rStyle w:val="Hyperlink"/>
          </w:rPr>
          <w:t>sm.fs.bluesforests@usda.gov</w:t>
        </w:r>
      </w:hyperlink>
      <w:r>
        <w:t xml:space="preserve"> </w:t>
      </w:r>
      <w:r w:rsidR="00950514">
        <w:t xml:space="preserve"> </w:t>
      </w:r>
    </w:p>
    <w:p w:rsidR="00C13CE6" w:rsidRPr="00C13CE6" w:rsidRDefault="00C13CE6" w:rsidP="00C13CE6"/>
    <w:p w:rsidR="00C13CE6" w:rsidRPr="00C13CE6" w:rsidRDefault="00C13CE6" w:rsidP="00C13CE6">
      <w:pPr>
        <w:rPr>
          <w:b/>
        </w:rPr>
      </w:pPr>
      <w:r w:rsidRPr="00C13CE6">
        <w:rPr>
          <w:b/>
        </w:rPr>
        <w:t xml:space="preserve">Subject: </w:t>
      </w:r>
      <w:r w:rsidR="00950514">
        <w:rPr>
          <w:b/>
        </w:rPr>
        <w:t xml:space="preserve">Blue Mountains Forest Planning, Assessment </w:t>
      </w:r>
      <w:r w:rsidRPr="00C13CE6">
        <w:rPr>
          <w:b/>
        </w:rPr>
        <w:t xml:space="preserve"> —</w:t>
      </w:r>
      <w:r w:rsidR="00BE0853">
        <w:rPr>
          <w:b/>
        </w:rPr>
        <w:t xml:space="preserve"> </w:t>
      </w:r>
      <w:r w:rsidRPr="00C13CE6">
        <w:rPr>
          <w:b/>
        </w:rPr>
        <w:t>comments</w:t>
      </w:r>
    </w:p>
    <w:p w:rsidR="00C13CE6" w:rsidRPr="00C13CE6" w:rsidRDefault="00C13CE6" w:rsidP="00C13CE6"/>
    <w:p w:rsidR="001311C9" w:rsidRDefault="00C13CE6" w:rsidP="00C13CE6">
      <w:r w:rsidRPr="00C13CE6">
        <w:t xml:space="preserve">Please </w:t>
      </w:r>
      <w:r w:rsidRPr="006A568B">
        <w:t>accept</w:t>
      </w:r>
      <w:r w:rsidRPr="00C13CE6">
        <w:t xml:space="preserve"> the following comments from Oregon Wild concerning the </w:t>
      </w:r>
      <w:r w:rsidR="00A060EE">
        <w:t xml:space="preserve">draft </w:t>
      </w:r>
      <w:r w:rsidR="00950514">
        <w:t>Assessment Reports related to the Blue Mountains Forest Plan Revisions</w:t>
      </w:r>
      <w:r w:rsidRPr="00C13CE6">
        <w:t>,</w:t>
      </w:r>
      <w:r w:rsidR="00950514">
        <w:t xml:space="preserve"> </w:t>
      </w:r>
      <w:hyperlink r:id="rId9" w:history="1">
        <w:r w:rsidR="00950514" w:rsidRPr="007A4D60">
          <w:rPr>
            <w:rStyle w:val="Hyperlink"/>
          </w:rPr>
          <w:t>https://www.fs.usda.gov/detail/umatilla/home/?cid=fseprd1066821</w:t>
        </w:r>
      </w:hyperlink>
      <w:r w:rsidRPr="00C13CE6">
        <w:t>. Oregon Wild represents 20,000 members and supporters who share our mission to protect and restore Oregon’s wildlands, wildlife, and water as an enduring legacy. Our goal is to protect areas that remain intact while striving to restore areas that have been degraded.</w:t>
      </w:r>
    </w:p>
    <w:sdt>
      <w:sdtPr>
        <w:rPr>
          <w:rFonts w:ascii="Georgia" w:eastAsia="Arial" w:hAnsi="Georgia" w:cs="Arial"/>
          <w:color w:val="auto"/>
          <w:sz w:val="22"/>
          <w:szCs w:val="22"/>
          <w:lang w:val="en"/>
        </w:rPr>
        <w:id w:val="214622585"/>
        <w:docPartObj>
          <w:docPartGallery w:val="Table of Contents"/>
          <w:docPartUnique/>
        </w:docPartObj>
      </w:sdtPr>
      <w:sdtEndPr>
        <w:rPr>
          <w:b/>
          <w:bCs/>
          <w:noProof/>
        </w:rPr>
      </w:sdtEndPr>
      <w:sdtContent>
        <w:p w:rsidR="00235CD2" w:rsidRDefault="00235CD2">
          <w:pPr>
            <w:pStyle w:val="TOCHeading"/>
          </w:pPr>
          <w:r>
            <w:t>Contents</w:t>
          </w:r>
        </w:p>
        <w:p w:rsidR="00257186" w:rsidRDefault="00235CD2">
          <w:pPr>
            <w:pStyle w:val="TOC2"/>
            <w:tabs>
              <w:tab w:val="right" w:leader="dot" w:pos="9350"/>
            </w:tabs>
            <w:rPr>
              <w:rFonts w:asciiTheme="minorHAnsi" w:eastAsiaTheme="minorEastAsia" w:hAnsiTheme="minorHAnsi" w:cstheme="minorBidi"/>
              <w:noProof/>
              <w:lang w:val="en-US"/>
            </w:rPr>
          </w:pPr>
          <w:r>
            <w:fldChar w:fldCharType="begin"/>
          </w:r>
          <w:r>
            <w:instrText xml:space="preserve"> TOC \o "1-3" \h \z \u </w:instrText>
          </w:r>
          <w:r>
            <w:fldChar w:fldCharType="separate"/>
          </w:r>
          <w:hyperlink w:anchor="_Toc167784195" w:history="1">
            <w:r w:rsidR="00257186" w:rsidRPr="0093664E">
              <w:rPr>
                <w:rStyle w:val="Hyperlink"/>
                <w:noProof/>
              </w:rPr>
              <w:t>Introduction</w:t>
            </w:r>
            <w:r w:rsidR="00257186">
              <w:rPr>
                <w:noProof/>
                <w:webHidden/>
              </w:rPr>
              <w:tab/>
            </w:r>
            <w:r w:rsidR="00257186">
              <w:rPr>
                <w:noProof/>
                <w:webHidden/>
              </w:rPr>
              <w:fldChar w:fldCharType="begin"/>
            </w:r>
            <w:r w:rsidR="00257186">
              <w:rPr>
                <w:noProof/>
                <w:webHidden/>
              </w:rPr>
              <w:instrText xml:space="preserve"> PAGEREF _Toc167784195 \h </w:instrText>
            </w:r>
            <w:r w:rsidR="00257186">
              <w:rPr>
                <w:noProof/>
                <w:webHidden/>
              </w:rPr>
            </w:r>
            <w:r w:rsidR="00257186">
              <w:rPr>
                <w:noProof/>
                <w:webHidden/>
              </w:rPr>
              <w:fldChar w:fldCharType="separate"/>
            </w:r>
            <w:r w:rsidR="00257186">
              <w:rPr>
                <w:noProof/>
                <w:webHidden/>
              </w:rPr>
              <w:t>2</w:t>
            </w:r>
            <w:r w:rsidR="00257186">
              <w:rPr>
                <w:noProof/>
                <w:webHidden/>
              </w:rPr>
              <w:fldChar w:fldCharType="end"/>
            </w:r>
          </w:hyperlink>
        </w:p>
        <w:p w:rsidR="00257186" w:rsidRDefault="00F03224">
          <w:pPr>
            <w:pStyle w:val="TOC2"/>
            <w:tabs>
              <w:tab w:val="right" w:leader="dot" w:pos="9350"/>
            </w:tabs>
            <w:rPr>
              <w:rFonts w:asciiTheme="minorHAnsi" w:eastAsiaTheme="minorEastAsia" w:hAnsiTheme="minorHAnsi" w:cstheme="minorBidi"/>
              <w:noProof/>
              <w:lang w:val="en-US"/>
            </w:rPr>
          </w:pPr>
          <w:hyperlink w:anchor="_Toc167784196" w:history="1">
            <w:r w:rsidR="00257186" w:rsidRPr="0093664E">
              <w:rPr>
                <w:rStyle w:val="Hyperlink"/>
                <w:noProof/>
              </w:rPr>
              <w:t>Make Way for Global Climate Change</w:t>
            </w:r>
            <w:r w:rsidR="00257186">
              <w:rPr>
                <w:noProof/>
                <w:webHidden/>
              </w:rPr>
              <w:tab/>
            </w:r>
            <w:r w:rsidR="00257186">
              <w:rPr>
                <w:noProof/>
                <w:webHidden/>
              </w:rPr>
              <w:fldChar w:fldCharType="begin"/>
            </w:r>
            <w:r w:rsidR="00257186">
              <w:rPr>
                <w:noProof/>
                <w:webHidden/>
              </w:rPr>
              <w:instrText xml:space="preserve"> PAGEREF _Toc167784196 \h </w:instrText>
            </w:r>
            <w:r w:rsidR="00257186">
              <w:rPr>
                <w:noProof/>
                <w:webHidden/>
              </w:rPr>
            </w:r>
            <w:r w:rsidR="00257186">
              <w:rPr>
                <w:noProof/>
                <w:webHidden/>
              </w:rPr>
              <w:fldChar w:fldCharType="separate"/>
            </w:r>
            <w:r w:rsidR="00257186">
              <w:rPr>
                <w:noProof/>
                <w:webHidden/>
              </w:rPr>
              <w:t>4</w:t>
            </w:r>
            <w:r w:rsidR="00257186">
              <w:rPr>
                <w:noProof/>
                <w:webHidden/>
              </w:rPr>
              <w:fldChar w:fldCharType="end"/>
            </w:r>
          </w:hyperlink>
        </w:p>
        <w:p w:rsidR="00257186" w:rsidRDefault="00F03224">
          <w:pPr>
            <w:pStyle w:val="TOC2"/>
            <w:tabs>
              <w:tab w:val="right" w:leader="dot" w:pos="9350"/>
            </w:tabs>
            <w:rPr>
              <w:rFonts w:asciiTheme="minorHAnsi" w:eastAsiaTheme="minorEastAsia" w:hAnsiTheme="minorHAnsi" w:cstheme="minorBidi"/>
              <w:noProof/>
              <w:lang w:val="en-US"/>
            </w:rPr>
          </w:pPr>
          <w:hyperlink w:anchor="_Toc167784197" w:history="1">
            <w:r w:rsidR="00257186" w:rsidRPr="0093664E">
              <w:rPr>
                <w:rStyle w:val="Hyperlink"/>
                <w:noProof/>
              </w:rPr>
              <w:t>Ecosystem Integrity Through Natural Processes</w:t>
            </w:r>
            <w:r w:rsidR="00257186">
              <w:rPr>
                <w:noProof/>
                <w:webHidden/>
              </w:rPr>
              <w:tab/>
            </w:r>
            <w:r w:rsidR="00257186">
              <w:rPr>
                <w:noProof/>
                <w:webHidden/>
              </w:rPr>
              <w:fldChar w:fldCharType="begin"/>
            </w:r>
            <w:r w:rsidR="00257186">
              <w:rPr>
                <w:noProof/>
                <w:webHidden/>
              </w:rPr>
              <w:instrText xml:space="preserve"> PAGEREF _Toc167784197 \h </w:instrText>
            </w:r>
            <w:r w:rsidR="00257186">
              <w:rPr>
                <w:noProof/>
                <w:webHidden/>
              </w:rPr>
            </w:r>
            <w:r w:rsidR="00257186">
              <w:rPr>
                <w:noProof/>
                <w:webHidden/>
              </w:rPr>
              <w:fldChar w:fldCharType="separate"/>
            </w:r>
            <w:r w:rsidR="00257186">
              <w:rPr>
                <w:noProof/>
                <w:webHidden/>
              </w:rPr>
              <w:t>7</w:t>
            </w:r>
            <w:r w:rsidR="00257186">
              <w:rPr>
                <w:noProof/>
                <w:webHidden/>
              </w:rPr>
              <w:fldChar w:fldCharType="end"/>
            </w:r>
          </w:hyperlink>
        </w:p>
        <w:p w:rsidR="00257186" w:rsidRDefault="00F03224">
          <w:pPr>
            <w:pStyle w:val="TOC3"/>
            <w:tabs>
              <w:tab w:val="right" w:leader="dot" w:pos="9350"/>
            </w:tabs>
            <w:rPr>
              <w:rFonts w:asciiTheme="minorHAnsi" w:eastAsiaTheme="minorEastAsia" w:hAnsiTheme="minorHAnsi" w:cstheme="minorBidi"/>
              <w:noProof/>
              <w:lang w:val="en-US"/>
            </w:rPr>
          </w:pPr>
          <w:hyperlink w:anchor="_Toc167784198" w:history="1">
            <w:r w:rsidR="00257186" w:rsidRPr="0093664E">
              <w:rPr>
                <w:rStyle w:val="Hyperlink"/>
                <w:i/>
                <w:noProof/>
              </w:rPr>
              <w:t>Work with Nature, Not Against It</w:t>
            </w:r>
            <w:r w:rsidR="00257186">
              <w:rPr>
                <w:noProof/>
                <w:webHidden/>
              </w:rPr>
              <w:tab/>
            </w:r>
            <w:r w:rsidR="00257186">
              <w:rPr>
                <w:noProof/>
                <w:webHidden/>
              </w:rPr>
              <w:fldChar w:fldCharType="begin"/>
            </w:r>
            <w:r w:rsidR="00257186">
              <w:rPr>
                <w:noProof/>
                <w:webHidden/>
              </w:rPr>
              <w:instrText xml:space="preserve"> PAGEREF _Toc167784198 \h </w:instrText>
            </w:r>
            <w:r w:rsidR="00257186">
              <w:rPr>
                <w:noProof/>
                <w:webHidden/>
              </w:rPr>
            </w:r>
            <w:r w:rsidR="00257186">
              <w:rPr>
                <w:noProof/>
                <w:webHidden/>
              </w:rPr>
              <w:fldChar w:fldCharType="separate"/>
            </w:r>
            <w:r w:rsidR="00257186">
              <w:rPr>
                <w:noProof/>
                <w:webHidden/>
              </w:rPr>
              <w:t>7</w:t>
            </w:r>
            <w:r w:rsidR="00257186">
              <w:rPr>
                <w:noProof/>
                <w:webHidden/>
              </w:rPr>
              <w:fldChar w:fldCharType="end"/>
            </w:r>
          </w:hyperlink>
        </w:p>
        <w:p w:rsidR="00257186" w:rsidRDefault="00F03224">
          <w:pPr>
            <w:pStyle w:val="TOC2"/>
            <w:tabs>
              <w:tab w:val="right" w:leader="dot" w:pos="9350"/>
            </w:tabs>
            <w:rPr>
              <w:rFonts w:asciiTheme="minorHAnsi" w:eastAsiaTheme="minorEastAsia" w:hAnsiTheme="minorHAnsi" w:cstheme="minorBidi"/>
              <w:noProof/>
              <w:lang w:val="en-US"/>
            </w:rPr>
          </w:pPr>
          <w:hyperlink w:anchor="_Toc167784199" w:history="1">
            <w:r w:rsidR="00257186" w:rsidRPr="0093664E">
              <w:rPr>
                <w:rStyle w:val="Hyperlink"/>
                <w:noProof/>
              </w:rPr>
              <w:t>Mature and Old-Growth</w:t>
            </w:r>
            <w:r w:rsidR="00257186">
              <w:rPr>
                <w:noProof/>
                <w:webHidden/>
              </w:rPr>
              <w:tab/>
            </w:r>
            <w:r w:rsidR="00257186">
              <w:rPr>
                <w:noProof/>
                <w:webHidden/>
              </w:rPr>
              <w:fldChar w:fldCharType="begin"/>
            </w:r>
            <w:r w:rsidR="00257186">
              <w:rPr>
                <w:noProof/>
                <w:webHidden/>
              </w:rPr>
              <w:instrText xml:space="preserve"> PAGEREF _Toc167784199 \h </w:instrText>
            </w:r>
            <w:r w:rsidR="00257186">
              <w:rPr>
                <w:noProof/>
                <w:webHidden/>
              </w:rPr>
            </w:r>
            <w:r w:rsidR="00257186">
              <w:rPr>
                <w:noProof/>
                <w:webHidden/>
              </w:rPr>
              <w:fldChar w:fldCharType="separate"/>
            </w:r>
            <w:r w:rsidR="00257186">
              <w:rPr>
                <w:noProof/>
                <w:webHidden/>
              </w:rPr>
              <w:t>24</w:t>
            </w:r>
            <w:r w:rsidR="00257186">
              <w:rPr>
                <w:noProof/>
                <w:webHidden/>
              </w:rPr>
              <w:fldChar w:fldCharType="end"/>
            </w:r>
          </w:hyperlink>
        </w:p>
        <w:p w:rsidR="00257186" w:rsidRDefault="00F03224">
          <w:pPr>
            <w:pStyle w:val="TOC2"/>
            <w:tabs>
              <w:tab w:val="right" w:leader="dot" w:pos="9350"/>
            </w:tabs>
            <w:rPr>
              <w:rFonts w:asciiTheme="minorHAnsi" w:eastAsiaTheme="minorEastAsia" w:hAnsiTheme="minorHAnsi" w:cstheme="minorBidi"/>
              <w:noProof/>
              <w:lang w:val="en-US"/>
            </w:rPr>
          </w:pPr>
          <w:hyperlink w:anchor="_Toc167784200" w:history="1">
            <w:r w:rsidR="00257186" w:rsidRPr="0093664E">
              <w:rPr>
                <w:rStyle w:val="Hyperlink"/>
                <w:noProof/>
              </w:rPr>
              <w:t>Timber (and the Required Roads)</w:t>
            </w:r>
            <w:r w:rsidR="00257186">
              <w:rPr>
                <w:noProof/>
                <w:webHidden/>
              </w:rPr>
              <w:tab/>
            </w:r>
            <w:r w:rsidR="00257186">
              <w:rPr>
                <w:noProof/>
                <w:webHidden/>
              </w:rPr>
              <w:fldChar w:fldCharType="begin"/>
            </w:r>
            <w:r w:rsidR="00257186">
              <w:rPr>
                <w:noProof/>
                <w:webHidden/>
              </w:rPr>
              <w:instrText xml:space="preserve"> PAGEREF _Toc167784200 \h </w:instrText>
            </w:r>
            <w:r w:rsidR="00257186">
              <w:rPr>
                <w:noProof/>
                <w:webHidden/>
              </w:rPr>
            </w:r>
            <w:r w:rsidR="00257186">
              <w:rPr>
                <w:noProof/>
                <w:webHidden/>
              </w:rPr>
              <w:fldChar w:fldCharType="separate"/>
            </w:r>
            <w:r w:rsidR="00257186">
              <w:rPr>
                <w:noProof/>
                <w:webHidden/>
              </w:rPr>
              <w:t>36</w:t>
            </w:r>
            <w:r w:rsidR="00257186">
              <w:rPr>
                <w:noProof/>
                <w:webHidden/>
              </w:rPr>
              <w:fldChar w:fldCharType="end"/>
            </w:r>
          </w:hyperlink>
        </w:p>
        <w:p w:rsidR="00257186" w:rsidRDefault="00F03224">
          <w:pPr>
            <w:pStyle w:val="TOC2"/>
            <w:tabs>
              <w:tab w:val="right" w:leader="dot" w:pos="9350"/>
            </w:tabs>
            <w:rPr>
              <w:rFonts w:asciiTheme="minorHAnsi" w:eastAsiaTheme="minorEastAsia" w:hAnsiTheme="minorHAnsi" w:cstheme="minorBidi"/>
              <w:noProof/>
              <w:lang w:val="en-US"/>
            </w:rPr>
          </w:pPr>
          <w:hyperlink w:anchor="_Toc167784201" w:history="1">
            <w:r w:rsidR="00257186" w:rsidRPr="0093664E">
              <w:rPr>
                <w:rStyle w:val="Hyperlink"/>
                <w:noProof/>
              </w:rPr>
              <w:t>Carbon Storage/Emissions</w:t>
            </w:r>
            <w:r w:rsidR="00257186">
              <w:rPr>
                <w:noProof/>
                <w:webHidden/>
              </w:rPr>
              <w:tab/>
            </w:r>
            <w:r w:rsidR="00257186">
              <w:rPr>
                <w:noProof/>
                <w:webHidden/>
              </w:rPr>
              <w:fldChar w:fldCharType="begin"/>
            </w:r>
            <w:r w:rsidR="00257186">
              <w:rPr>
                <w:noProof/>
                <w:webHidden/>
              </w:rPr>
              <w:instrText xml:space="preserve"> PAGEREF _Toc167784201 \h </w:instrText>
            </w:r>
            <w:r w:rsidR="00257186">
              <w:rPr>
                <w:noProof/>
                <w:webHidden/>
              </w:rPr>
            </w:r>
            <w:r w:rsidR="00257186">
              <w:rPr>
                <w:noProof/>
                <w:webHidden/>
              </w:rPr>
              <w:fldChar w:fldCharType="separate"/>
            </w:r>
            <w:r w:rsidR="00257186">
              <w:rPr>
                <w:noProof/>
                <w:webHidden/>
              </w:rPr>
              <w:t>45</w:t>
            </w:r>
            <w:r w:rsidR="00257186">
              <w:rPr>
                <w:noProof/>
                <w:webHidden/>
              </w:rPr>
              <w:fldChar w:fldCharType="end"/>
            </w:r>
          </w:hyperlink>
        </w:p>
        <w:p w:rsidR="00257186" w:rsidRDefault="00F03224">
          <w:pPr>
            <w:pStyle w:val="TOC2"/>
            <w:tabs>
              <w:tab w:val="right" w:leader="dot" w:pos="9350"/>
            </w:tabs>
            <w:rPr>
              <w:rFonts w:asciiTheme="minorHAnsi" w:eastAsiaTheme="minorEastAsia" w:hAnsiTheme="minorHAnsi" w:cstheme="minorBidi"/>
              <w:noProof/>
              <w:lang w:val="en-US"/>
            </w:rPr>
          </w:pPr>
          <w:hyperlink w:anchor="_Toc167784202" w:history="1">
            <w:r w:rsidR="00257186" w:rsidRPr="0093664E">
              <w:rPr>
                <w:rStyle w:val="Hyperlink"/>
                <w:noProof/>
              </w:rPr>
              <w:t>Roadless/Wilderness</w:t>
            </w:r>
            <w:r w:rsidR="00257186">
              <w:rPr>
                <w:noProof/>
                <w:webHidden/>
              </w:rPr>
              <w:tab/>
            </w:r>
            <w:r w:rsidR="00257186">
              <w:rPr>
                <w:noProof/>
                <w:webHidden/>
              </w:rPr>
              <w:fldChar w:fldCharType="begin"/>
            </w:r>
            <w:r w:rsidR="00257186">
              <w:rPr>
                <w:noProof/>
                <w:webHidden/>
              </w:rPr>
              <w:instrText xml:space="preserve"> PAGEREF _Toc167784202 \h </w:instrText>
            </w:r>
            <w:r w:rsidR="00257186">
              <w:rPr>
                <w:noProof/>
                <w:webHidden/>
              </w:rPr>
            </w:r>
            <w:r w:rsidR="00257186">
              <w:rPr>
                <w:noProof/>
                <w:webHidden/>
              </w:rPr>
              <w:fldChar w:fldCharType="separate"/>
            </w:r>
            <w:r w:rsidR="00257186">
              <w:rPr>
                <w:noProof/>
                <w:webHidden/>
              </w:rPr>
              <w:t>52</w:t>
            </w:r>
            <w:r w:rsidR="00257186">
              <w:rPr>
                <w:noProof/>
                <w:webHidden/>
              </w:rPr>
              <w:fldChar w:fldCharType="end"/>
            </w:r>
          </w:hyperlink>
        </w:p>
        <w:p w:rsidR="00257186" w:rsidRDefault="00F03224">
          <w:pPr>
            <w:pStyle w:val="TOC2"/>
            <w:tabs>
              <w:tab w:val="right" w:leader="dot" w:pos="9350"/>
            </w:tabs>
            <w:rPr>
              <w:rFonts w:asciiTheme="minorHAnsi" w:eastAsiaTheme="minorEastAsia" w:hAnsiTheme="minorHAnsi" w:cstheme="minorBidi"/>
              <w:noProof/>
              <w:lang w:val="en-US"/>
            </w:rPr>
          </w:pPr>
          <w:hyperlink w:anchor="_Toc167784203" w:history="1">
            <w:r w:rsidR="00257186" w:rsidRPr="0093664E">
              <w:rPr>
                <w:rStyle w:val="Hyperlink"/>
                <w:noProof/>
              </w:rPr>
              <w:t>Wild and Scenic Rivers</w:t>
            </w:r>
            <w:r w:rsidR="00257186">
              <w:rPr>
                <w:noProof/>
                <w:webHidden/>
              </w:rPr>
              <w:tab/>
            </w:r>
            <w:r w:rsidR="00257186">
              <w:rPr>
                <w:noProof/>
                <w:webHidden/>
              </w:rPr>
              <w:fldChar w:fldCharType="begin"/>
            </w:r>
            <w:r w:rsidR="00257186">
              <w:rPr>
                <w:noProof/>
                <w:webHidden/>
              </w:rPr>
              <w:instrText xml:space="preserve"> PAGEREF _Toc167784203 \h </w:instrText>
            </w:r>
            <w:r w:rsidR="00257186">
              <w:rPr>
                <w:noProof/>
                <w:webHidden/>
              </w:rPr>
            </w:r>
            <w:r w:rsidR="00257186">
              <w:rPr>
                <w:noProof/>
                <w:webHidden/>
              </w:rPr>
              <w:fldChar w:fldCharType="separate"/>
            </w:r>
            <w:r w:rsidR="00257186">
              <w:rPr>
                <w:noProof/>
                <w:webHidden/>
              </w:rPr>
              <w:t>66</w:t>
            </w:r>
            <w:r w:rsidR="00257186">
              <w:rPr>
                <w:noProof/>
                <w:webHidden/>
              </w:rPr>
              <w:fldChar w:fldCharType="end"/>
            </w:r>
          </w:hyperlink>
        </w:p>
        <w:p w:rsidR="00257186" w:rsidRDefault="00F03224">
          <w:pPr>
            <w:pStyle w:val="TOC2"/>
            <w:tabs>
              <w:tab w:val="right" w:leader="dot" w:pos="9350"/>
            </w:tabs>
            <w:rPr>
              <w:rFonts w:asciiTheme="minorHAnsi" w:eastAsiaTheme="minorEastAsia" w:hAnsiTheme="minorHAnsi" w:cstheme="minorBidi"/>
              <w:noProof/>
              <w:lang w:val="en-US"/>
            </w:rPr>
          </w:pPr>
          <w:hyperlink w:anchor="_Toc167784204" w:history="1">
            <w:r w:rsidR="00257186" w:rsidRPr="0093664E">
              <w:rPr>
                <w:rStyle w:val="Hyperlink"/>
                <w:noProof/>
              </w:rPr>
              <w:t>Watersheds/Aquatics/Water Quality</w:t>
            </w:r>
            <w:r w:rsidR="00257186">
              <w:rPr>
                <w:noProof/>
                <w:webHidden/>
              </w:rPr>
              <w:tab/>
            </w:r>
            <w:r w:rsidR="00257186">
              <w:rPr>
                <w:noProof/>
                <w:webHidden/>
              </w:rPr>
              <w:fldChar w:fldCharType="begin"/>
            </w:r>
            <w:r w:rsidR="00257186">
              <w:rPr>
                <w:noProof/>
                <w:webHidden/>
              </w:rPr>
              <w:instrText xml:space="preserve"> PAGEREF _Toc167784204 \h </w:instrText>
            </w:r>
            <w:r w:rsidR="00257186">
              <w:rPr>
                <w:noProof/>
                <w:webHidden/>
              </w:rPr>
            </w:r>
            <w:r w:rsidR="00257186">
              <w:rPr>
                <w:noProof/>
                <w:webHidden/>
              </w:rPr>
              <w:fldChar w:fldCharType="separate"/>
            </w:r>
            <w:r w:rsidR="00257186">
              <w:rPr>
                <w:noProof/>
                <w:webHidden/>
              </w:rPr>
              <w:t>66</w:t>
            </w:r>
            <w:r w:rsidR="00257186">
              <w:rPr>
                <w:noProof/>
                <w:webHidden/>
              </w:rPr>
              <w:fldChar w:fldCharType="end"/>
            </w:r>
          </w:hyperlink>
        </w:p>
        <w:p w:rsidR="00257186" w:rsidRDefault="00F03224">
          <w:pPr>
            <w:pStyle w:val="TOC2"/>
            <w:tabs>
              <w:tab w:val="right" w:leader="dot" w:pos="9350"/>
            </w:tabs>
            <w:rPr>
              <w:rFonts w:asciiTheme="minorHAnsi" w:eastAsiaTheme="minorEastAsia" w:hAnsiTheme="minorHAnsi" w:cstheme="minorBidi"/>
              <w:noProof/>
              <w:lang w:val="en-US"/>
            </w:rPr>
          </w:pPr>
          <w:hyperlink w:anchor="_Toc167784205" w:history="1">
            <w:r w:rsidR="00257186" w:rsidRPr="0093664E">
              <w:rPr>
                <w:rStyle w:val="Hyperlink"/>
                <w:noProof/>
              </w:rPr>
              <w:t>Soil Conservation</w:t>
            </w:r>
            <w:r w:rsidR="00257186">
              <w:rPr>
                <w:noProof/>
                <w:webHidden/>
              </w:rPr>
              <w:tab/>
            </w:r>
            <w:r w:rsidR="00257186">
              <w:rPr>
                <w:noProof/>
                <w:webHidden/>
              </w:rPr>
              <w:fldChar w:fldCharType="begin"/>
            </w:r>
            <w:r w:rsidR="00257186">
              <w:rPr>
                <w:noProof/>
                <w:webHidden/>
              </w:rPr>
              <w:instrText xml:space="preserve"> PAGEREF _Toc167784205 \h </w:instrText>
            </w:r>
            <w:r w:rsidR="00257186">
              <w:rPr>
                <w:noProof/>
                <w:webHidden/>
              </w:rPr>
            </w:r>
            <w:r w:rsidR="00257186">
              <w:rPr>
                <w:noProof/>
                <w:webHidden/>
              </w:rPr>
              <w:fldChar w:fldCharType="separate"/>
            </w:r>
            <w:r w:rsidR="00257186">
              <w:rPr>
                <w:noProof/>
                <w:webHidden/>
              </w:rPr>
              <w:t>71</w:t>
            </w:r>
            <w:r w:rsidR="00257186">
              <w:rPr>
                <w:noProof/>
                <w:webHidden/>
              </w:rPr>
              <w:fldChar w:fldCharType="end"/>
            </w:r>
          </w:hyperlink>
        </w:p>
        <w:p w:rsidR="00257186" w:rsidRDefault="00F03224">
          <w:pPr>
            <w:pStyle w:val="TOC2"/>
            <w:tabs>
              <w:tab w:val="right" w:leader="dot" w:pos="9350"/>
            </w:tabs>
            <w:rPr>
              <w:rFonts w:asciiTheme="minorHAnsi" w:eastAsiaTheme="minorEastAsia" w:hAnsiTheme="minorHAnsi" w:cstheme="minorBidi"/>
              <w:noProof/>
              <w:lang w:val="en-US"/>
            </w:rPr>
          </w:pPr>
          <w:hyperlink w:anchor="_Toc167784206" w:history="1">
            <w:r w:rsidR="00257186" w:rsidRPr="0093664E">
              <w:rPr>
                <w:rStyle w:val="Hyperlink"/>
                <w:noProof/>
              </w:rPr>
              <w:t>Livestock Grazing</w:t>
            </w:r>
            <w:r w:rsidR="00257186">
              <w:rPr>
                <w:noProof/>
                <w:webHidden/>
              </w:rPr>
              <w:tab/>
            </w:r>
            <w:r w:rsidR="00257186">
              <w:rPr>
                <w:noProof/>
                <w:webHidden/>
              </w:rPr>
              <w:fldChar w:fldCharType="begin"/>
            </w:r>
            <w:r w:rsidR="00257186">
              <w:rPr>
                <w:noProof/>
                <w:webHidden/>
              </w:rPr>
              <w:instrText xml:space="preserve"> PAGEREF _Toc167784206 \h </w:instrText>
            </w:r>
            <w:r w:rsidR="00257186">
              <w:rPr>
                <w:noProof/>
                <w:webHidden/>
              </w:rPr>
            </w:r>
            <w:r w:rsidR="00257186">
              <w:rPr>
                <w:noProof/>
                <w:webHidden/>
              </w:rPr>
              <w:fldChar w:fldCharType="separate"/>
            </w:r>
            <w:r w:rsidR="00257186">
              <w:rPr>
                <w:noProof/>
                <w:webHidden/>
              </w:rPr>
              <w:t>75</w:t>
            </w:r>
            <w:r w:rsidR="00257186">
              <w:rPr>
                <w:noProof/>
                <w:webHidden/>
              </w:rPr>
              <w:fldChar w:fldCharType="end"/>
            </w:r>
          </w:hyperlink>
        </w:p>
        <w:p w:rsidR="00257186" w:rsidRDefault="00F03224">
          <w:pPr>
            <w:pStyle w:val="TOC2"/>
            <w:tabs>
              <w:tab w:val="right" w:leader="dot" w:pos="9350"/>
            </w:tabs>
            <w:rPr>
              <w:rFonts w:asciiTheme="minorHAnsi" w:eastAsiaTheme="minorEastAsia" w:hAnsiTheme="minorHAnsi" w:cstheme="minorBidi"/>
              <w:noProof/>
              <w:lang w:val="en-US"/>
            </w:rPr>
          </w:pPr>
          <w:hyperlink w:anchor="_Toc167784207" w:history="1">
            <w:r w:rsidR="00257186" w:rsidRPr="0093664E">
              <w:rPr>
                <w:rStyle w:val="Hyperlink"/>
                <w:noProof/>
              </w:rPr>
              <w:t>Wildlife</w:t>
            </w:r>
            <w:r w:rsidR="00257186">
              <w:rPr>
                <w:noProof/>
                <w:webHidden/>
              </w:rPr>
              <w:tab/>
            </w:r>
            <w:r w:rsidR="00257186">
              <w:rPr>
                <w:noProof/>
                <w:webHidden/>
              </w:rPr>
              <w:fldChar w:fldCharType="begin"/>
            </w:r>
            <w:r w:rsidR="00257186">
              <w:rPr>
                <w:noProof/>
                <w:webHidden/>
              </w:rPr>
              <w:instrText xml:space="preserve"> PAGEREF _Toc167784207 \h </w:instrText>
            </w:r>
            <w:r w:rsidR="00257186">
              <w:rPr>
                <w:noProof/>
                <w:webHidden/>
              </w:rPr>
            </w:r>
            <w:r w:rsidR="00257186">
              <w:rPr>
                <w:noProof/>
                <w:webHidden/>
              </w:rPr>
              <w:fldChar w:fldCharType="separate"/>
            </w:r>
            <w:r w:rsidR="00257186">
              <w:rPr>
                <w:noProof/>
                <w:webHidden/>
              </w:rPr>
              <w:t>81</w:t>
            </w:r>
            <w:r w:rsidR="00257186">
              <w:rPr>
                <w:noProof/>
                <w:webHidden/>
              </w:rPr>
              <w:fldChar w:fldCharType="end"/>
            </w:r>
          </w:hyperlink>
        </w:p>
        <w:p w:rsidR="00257186" w:rsidRDefault="00F03224">
          <w:pPr>
            <w:pStyle w:val="TOC3"/>
            <w:tabs>
              <w:tab w:val="right" w:leader="dot" w:pos="9350"/>
            </w:tabs>
            <w:rPr>
              <w:rFonts w:asciiTheme="minorHAnsi" w:eastAsiaTheme="minorEastAsia" w:hAnsiTheme="minorHAnsi" w:cstheme="minorBidi"/>
              <w:noProof/>
              <w:lang w:val="en-US"/>
            </w:rPr>
          </w:pPr>
          <w:hyperlink w:anchor="_Toc167784208" w:history="1">
            <w:r w:rsidR="00257186" w:rsidRPr="0093664E">
              <w:rPr>
                <w:rStyle w:val="Hyperlink"/>
                <w:noProof/>
              </w:rPr>
              <w:t>Snags and Dead Wood Habitat (and Other Values)</w:t>
            </w:r>
            <w:r w:rsidR="00257186">
              <w:rPr>
                <w:noProof/>
                <w:webHidden/>
              </w:rPr>
              <w:tab/>
            </w:r>
            <w:r w:rsidR="00257186">
              <w:rPr>
                <w:noProof/>
                <w:webHidden/>
              </w:rPr>
              <w:fldChar w:fldCharType="begin"/>
            </w:r>
            <w:r w:rsidR="00257186">
              <w:rPr>
                <w:noProof/>
                <w:webHidden/>
              </w:rPr>
              <w:instrText xml:space="preserve"> PAGEREF _Toc167784208 \h </w:instrText>
            </w:r>
            <w:r w:rsidR="00257186">
              <w:rPr>
                <w:noProof/>
                <w:webHidden/>
              </w:rPr>
            </w:r>
            <w:r w:rsidR="00257186">
              <w:rPr>
                <w:noProof/>
                <w:webHidden/>
              </w:rPr>
              <w:fldChar w:fldCharType="separate"/>
            </w:r>
            <w:r w:rsidR="00257186">
              <w:rPr>
                <w:noProof/>
                <w:webHidden/>
              </w:rPr>
              <w:t>81</w:t>
            </w:r>
            <w:r w:rsidR="00257186">
              <w:rPr>
                <w:noProof/>
                <w:webHidden/>
              </w:rPr>
              <w:fldChar w:fldCharType="end"/>
            </w:r>
          </w:hyperlink>
        </w:p>
        <w:p w:rsidR="00257186" w:rsidRDefault="00F03224">
          <w:pPr>
            <w:pStyle w:val="TOC3"/>
            <w:tabs>
              <w:tab w:val="right" w:leader="dot" w:pos="9350"/>
            </w:tabs>
            <w:rPr>
              <w:rFonts w:asciiTheme="minorHAnsi" w:eastAsiaTheme="minorEastAsia" w:hAnsiTheme="minorHAnsi" w:cstheme="minorBidi"/>
              <w:noProof/>
              <w:lang w:val="en-US"/>
            </w:rPr>
          </w:pPr>
          <w:hyperlink w:anchor="_Toc167784209" w:history="1">
            <w:r w:rsidR="00257186" w:rsidRPr="0093664E">
              <w:rPr>
                <w:rStyle w:val="Hyperlink"/>
                <w:noProof/>
              </w:rPr>
              <w:t>Species of Conservation Concern</w:t>
            </w:r>
            <w:r w:rsidR="00257186">
              <w:rPr>
                <w:noProof/>
                <w:webHidden/>
              </w:rPr>
              <w:tab/>
            </w:r>
            <w:r w:rsidR="00257186">
              <w:rPr>
                <w:noProof/>
                <w:webHidden/>
              </w:rPr>
              <w:fldChar w:fldCharType="begin"/>
            </w:r>
            <w:r w:rsidR="00257186">
              <w:rPr>
                <w:noProof/>
                <w:webHidden/>
              </w:rPr>
              <w:instrText xml:space="preserve"> PAGEREF _Toc167784209 \h </w:instrText>
            </w:r>
            <w:r w:rsidR="00257186">
              <w:rPr>
                <w:noProof/>
                <w:webHidden/>
              </w:rPr>
            </w:r>
            <w:r w:rsidR="00257186">
              <w:rPr>
                <w:noProof/>
                <w:webHidden/>
              </w:rPr>
              <w:fldChar w:fldCharType="separate"/>
            </w:r>
            <w:r w:rsidR="00257186">
              <w:rPr>
                <w:noProof/>
                <w:webHidden/>
              </w:rPr>
              <w:t>88</w:t>
            </w:r>
            <w:r w:rsidR="00257186">
              <w:rPr>
                <w:noProof/>
                <w:webHidden/>
              </w:rPr>
              <w:fldChar w:fldCharType="end"/>
            </w:r>
          </w:hyperlink>
        </w:p>
        <w:p w:rsidR="00257186" w:rsidRDefault="00F03224">
          <w:pPr>
            <w:pStyle w:val="TOC3"/>
            <w:tabs>
              <w:tab w:val="right" w:leader="dot" w:pos="9350"/>
            </w:tabs>
            <w:rPr>
              <w:rFonts w:asciiTheme="minorHAnsi" w:eastAsiaTheme="minorEastAsia" w:hAnsiTheme="minorHAnsi" w:cstheme="minorBidi"/>
              <w:noProof/>
              <w:lang w:val="en-US"/>
            </w:rPr>
          </w:pPr>
          <w:hyperlink w:anchor="_Toc167784210" w:history="1">
            <w:r w:rsidR="00257186" w:rsidRPr="0093664E">
              <w:rPr>
                <w:rStyle w:val="Hyperlink"/>
                <w:noProof/>
              </w:rPr>
              <w:t>Connectivity</w:t>
            </w:r>
            <w:r w:rsidR="00257186">
              <w:rPr>
                <w:noProof/>
                <w:webHidden/>
              </w:rPr>
              <w:tab/>
            </w:r>
            <w:r w:rsidR="00257186">
              <w:rPr>
                <w:noProof/>
                <w:webHidden/>
              </w:rPr>
              <w:fldChar w:fldCharType="begin"/>
            </w:r>
            <w:r w:rsidR="00257186">
              <w:rPr>
                <w:noProof/>
                <w:webHidden/>
              </w:rPr>
              <w:instrText xml:space="preserve"> PAGEREF _Toc167784210 \h </w:instrText>
            </w:r>
            <w:r w:rsidR="00257186">
              <w:rPr>
                <w:noProof/>
                <w:webHidden/>
              </w:rPr>
            </w:r>
            <w:r w:rsidR="00257186">
              <w:rPr>
                <w:noProof/>
                <w:webHidden/>
              </w:rPr>
              <w:fldChar w:fldCharType="separate"/>
            </w:r>
            <w:r w:rsidR="00257186">
              <w:rPr>
                <w:noProof/>
                <w:webHidden/>
              </w:rPr>
              <w:t>89</w:t>
            </w:r>
            <w:r w:rsidR="00257186">
              <w:rPr>
                <w:noProof/>
                <w:webHidden/>
              </w:rPr>
              <w:fldChar w:fldCharType="end"/>
            </w:r>
          </w:hyperlink>
        </w:p>
        <w:p w:rsidR="00257186" w:rsidRDefault="00F03224">
          <w:pPr>
            <w:pStyle w:val="TOC2"/>
            <w:tabs>
              <w:tab w:val="right" w:leader="dot" w:pos="9350"/>
            </w:tabs>
            <w:rPr>
              <w:rFonts w:asciiTheme="minorHAnsi" w:eastAsiaTheme="minorEastAsia" w:hAnsiTheme="minorHAnsi" w:cstheme="minorBidi"/>
              <w:noProof/>
              <w:lang w:val="en-US"/>
            </w:rPr>
          </w:pPr>
          <w:hyperlink w:anchor="_Toc167784211" w:history="1">
            <w:r w:rsidR="00257186" w:rsidRPr="0093664E">
              <w:rPr>
                <w:rStyle w:val="Hyperlink"/>
                <w:noProof/>
              </w:rPr>
              <w:t>Economics</w:t>
            </w:r>
            <w:r w:rsidR="00257186">
              <w:rPr>
                <w:noProof/>
                <w:webHidden/>
              </w:rPr>
              <w:tab/>
            </w:r>
            <w:r w:rsidR="00257186">
              <w:rPr>
                <w:noProof/>
                <w:webHidden/>
              </w:rPr>
              <w:fldChar w:fldCharType="begin"/>
            </w:r>
            <w:r w:rsidR="00257186">
              <w:rPr>
                <w:noProof/>
                <w:webHidden/>
              </w:rPr>
              <w:instrText xml:space="preserve"> PAGEREF _Toc167784211 \h </w:instrText>
            </w:r>
            <w:r w:rsidR="00257186">
              <w:rPr>
                <w:noProof/>
                <w:webHidden/>
              </w:rPr>
            </w:r>
            <w:r w:rsidR="00257186">
              <w:rPr>
                <w:noProof/>
                <w:webHidden/>
              </w:rPr>
              <w:fldChar w:fldCharType="separate"/>
            </w:r>
            <w:r w:rsidR="00257186">
              <w:rPr>
                <w:noProof/>
                <w:webHidden/>
              </w:rPr>
              <w:t>91</w:t>
            </w:r>
            <w:r w:rsidR="00257186">
              <w:rPr>
                <w:noProof/>
                <w:webHidden/>
              </w:rPr>
              <w:fldChar w:fldCharType="end"/>
            </w:r>
          </w:hyperlink>
        </w:p>
        <w:p w:rsidR="00257186" w:rsidRDefault="00F03224">
          <w:pPr>
            <w:pStyle w:val="TOC3"/>
            <w:tabs>
              <w:tab w:val="right" w:leader="dot" w:pos="9350"/>
            </w:tabs>
            <w:rPr>
              <w:rFonts w:asciiTheme="minorHAnsi" w:eastAsiaTheme="minorEastAsia" w:hAnsiTheme="minorHAnsi" w:cstheme="minorBidi"/>
              <w:noProof/>
              <w:lang w:val="en-US"/>
            </w:rPr>
          </w:pPr>
          <w:hyperlink w:anchor="_Toc167784212" w:history="1">
            <w:r w:rsidR="00257186" w:rsidRPr="0093664E">
              <w:rPr>
                <w:rStyle w:val="Hyperlink"/>
                <w:noProof/>
              </w:rPr>
              <w:t>Social Cost of Carbon Dioxide Emissions</w:t>
            </w:r>
            <w:r w:rsidR="00257186">
              <w:rPr>
                <w:noProof/>
                <w:webHidden/>
              </w:rPr>
              <w:tab/>
            </w:r>
            <w:r w:rsidR="00257186">
              <w:rPr>
                <w:noProof/>
                <w:webHidden/>
              </w:rPr>
              <w:fldChar w:fldCharType="begin"/>
            </w:r>
            <w:r w:rsidR="00257186">
              <w:rPr>
                <w:noProof/>
                <w:webHidden/>
              </w:rPr>
              <w:instrText xml:space="preserve"> PAGEREF _Toc167784212 \h </w:instrText>
            </w:r>
            <w:r w:rsidR="00257186">
              <w:rPr>
                <w:noProof/>
                <w:webHidden/>
              </w:rPr>
            </w:r>
            <w:r w:rsidR="00257186">
              <w:rPr>
                <w:noProof/>
                <w:webHidden/>
              </w:rPr>
              <w:fldChar w:fldCharType="separate"/>
            </w:r>
            <w:r w:rsidR="00257186">
              <w:rPr>
                <w:noProof/>
                <w:webHidden/>
              </w:rPr>
              <w:t>99</w:t>
            </w:r>
            <w:r w:rsidR="00257186">
              <w:rPr>
                <w:noProof/>
                <w:webHidden/>
              </w:rPr>
              <w:fldChar w:fldCharType="end"/>
            </w:r>
          </w:hyperlink>
        </w:p>
        <w:p w:rsidR="00235CD2" w:rsidRDefault="00235CD2">
          <w:r>
            <w:rPr>
              <w:b/>
              <w:bCs/>
              <w:noProof/>
            </w:rPr>
            <w:fldChar w:fldCharType="end"/>
          </w:r>
        </w:p>
      </w:sdtContent>
    </w:sdt>
    <w:p w:rsidR="00235CD2" w:rsidRDefault="00235CD2" w:rsidP="00235CD2">
      <w:pPr>
        <w:pStyle w:val="Heading2"/>
      </w:pPr>
      <w:bookmarkStart w:id="1" w:name="_Toc167784195"/>
      <w:r>
        <w:t>Introduction</w:t>
      </w:r>
      <w:bookmarkEnd w:id="1"/>
    </w:p>
    <w:p w:rsidR="0084316B" w:rsidRDefault="0084316B" w:rsidP="00C13CE6">
      <w:r>
        <w:t xml:space="preserve">The Assessment Reports are required to address ecosystem integrity, key ecosystem characteristics, </w:t>
      </w:r>
      <w:r w:rsidR="008B048D">
        <w:t xml:space="preserve">ecosystem services, </w:t>
      </w:r>
      <w:r w:rsidR="0046140A">
        <w:t xml:space="preserve">ecological sustainability, </w:t>
      </w:r>
      <w:r>
        <w:t xml:space="preserve">and system drivers, among other matters. Our comments address those very issues, but not </w:t>
      </w:r>
      <w:r w:rsidR="0046140A">
        <w:t xml:space="preserve">always </w:t>
      </w:r>
      <w:r>
        <w:t xml:space="preserve">in those very terms. We expect Forest Service </w:t>
      </w:r>
      <w:r w:rsidR="008B048D">
        <w:t xml:space="preserve">professionals on the planning team </w:t>
      </w:r>
      <w:r>
        <w:t>to recognize the</w:t>
      </w:r>
      <w:r w:rsidR="008B048D">
        <w:t xml:space="preserve"> relevance</w:t>
      </w:r>
      <w:r>
        <w:t xml:space="preserve"> of our comments even when the terminology </w:t>
      </w:r>
      <w:r w:rsidR="0046140A">
        <w:t xml:space="preserve">we use </w:t>
      </w:r>
      <w:r w:rsidR="008B048D">
        <w:t>is not explicit</w:t>
      </w:r>
      <w:r w:rsidR="0046140A">
        <w:t>ly tied to the Forest Service’s planning assessment terminology</w:t>
      </w:r>
      <w:r w:rsidR="008B048D">
        <w:t>.</w:t>
      </w:r>
    </w:p>
    <w:p w:rsidR="00B22FAD" w:rsidRDefault="00B22FAD" w:rsidP="00C13CE6"/>
    <w:p w:rsidR="006F7B48" w:rsidRDefault="00B22FAD" w:rsidP="00C13CE6">
      <w:r>
        <w:t>In general, we find the</w:t>
      </w:r>
      <w:r w:rsidR="00A060EE">
        <w:t xml:space="preserve"> draft</w:t>
      </w:r>
      <w:r>
        <w:t xml:space="preserve"> assessment reports to be far too general, mainly reporting generalized results across large landscape areas. </w:t>
      </w:r>
      <w:r w:rsidR="006F7B48">
        <w:t>For instance, watershed conditions are reported at the forest scale</w:t>
      </w:r>
      <w:r w:rsidR="003733FA">
        <w:t>:</w:t>
      </w:r>
    </w:p>
    <w:p w:rsidR="006F7B48" w:rsidRDefault="006F7B48" w:rsidP="006F7B48">
      <w:pPr>
        <w:ind w:left="720"/>
      </w:pPr>
      <w:r>
        <w:rPr>
          <w:noProof/>
          <w:lang w:val="en-US"/>
        </w:rPr>
        <w:drawing>
          <wp:inline distT="0" distB="0" distL="0" distR="0" wp14:anchorId="1BDA23E3" wp14:editId="0408BA4B">
            <wp:extent cx="3670300" cy="2401772"/>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691672" cy="2415757"/>
                    </a:xfrm>
                    <a:prstGeom prst="rect">
                      <a:avLst/>
                    </a:prstGeom>
                  </pic:spPr>
                </pic:pic>
              </a:graphicData>
            </a:graphic>
          </wp:inline>
        </w:drawing>
      </w:r>
    </w:p>
    <w:p w:rsidR="00BD5A58" w:rsidRDefault="00BD5A58" w:rsidP="00C13CE6"/>
    <w:p w:rsidR="00BD5A58" w:rsidRDefault="00B22FAD" w:rsidP="00C13CE6">
      <w:r>
        <w:t xml:space="preserve">The assessment is less useful when it fails to </w:t>
      </w:r>
      <w:r w:rsidR="003733FA">
        <w:t xml:space="preserve">disclose effects at a more relevant scales that reveal, for instance, differences </w:t>
      </w:r>
      <w:r>
        <w:t>between the provision of ecosystem services in logged and roaded areas versus unlogged and unroaded areas.</w:t>
      </w:r>
      <w:r w:rsidR="00401892">
        <w:t xml:space="preserve"> In order to inform the planning process, and which kinds of activities should be promoted and which should be de-emphasized, the assessment needs to reveal the effects of management by disclosing ecosystem characteristics and ecosystem services in areas that have experienced different management.</w:t>
      </w:r>
    </w:p>
    <w:p w:rsidR="00BD5A58" w:rsidRDefault="00BD5A58" w:rsidP="00C13CE6"/>
    <w:p w:rsidR="00F07B56" w:rsidRDefault="00BD5A58" w:rsidP="00BD5A58">
      <w:r>
        <w:t xml:space="preserve">Figure 4 of the </w:t>
      </w:r>
      <w:r w:rsidRPr="002D4C1B">
        <w:t>Wildlife Species and Habitats of Interest</w:t>
      </w:r>
      <w:r>
        <w:t xml:space="preserve"> </w:t>
      </w:r>
      <w:r w:rsidR="00A060EE">
        <w:t>Assessment</w:t>
      </w:r>
      <w:r>
        <w:t xml:space="preserve"> (showing proximity of sheep allotment to bighorn sheep herds) provides a good example of information that highlights potential management issues at a useful scale. There is sadly too little of this in the assessment reports.</w:t>
      </w:r>
    </w:p>
    <w:p w:rsidR="00F07B56" w:rsidRDefault="00F07B56" w:rsidP="00BD5A58"/>
    <w:p w:rsidR="00F07B56" w:rsidRDefault="00F07B56" w:rsidP="00BD5A58">
      <w:r>
        <w:t>/ / /</w:t>
      </w:r>
    </w:p>
    <w:p w:rsidR="00F07B56" w:rsidRDefault="00F07B56" w:rsidP="00BD5A58"/>
    <w:p w:rsidR="00F07B56" w:rsidRDefault="00F07B56" w:rsidP="00BD5A58">
      <w:r>
        <w:lastRenderedPageBreak/>
        <w:t>/ / /</w:t>
      </w:r>
    </w:p>
    <w:p w:rsidR="00BD5A58" w:rsidRDefault="00BD5A58" w:rsidP="00BD5A58">
      <w:pPr>
        <w:ind w:left="720"/>
      </w:pPr>
      <w:r>
        <w:rPr>
          <w:noProof/>
          <w:lang w:val="en-US"/>
        </w:rPr>
        <w:drawing>
          <wp:inline distT="0" distB="0" distL="0" distR="0" wp14:anchorId="627E9D25" wp14:editId="6F7CE0B3">
            <wp:extent cx="3678725" cy="51244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686890" cy="5135824"/>
                    </a:xfrm>
                    <a:prstGeom prst="rect">
                      <a:avLst/>
                    </a:prstGeom>
                  </pic:spPr>
                </pic:pic>
              </a:graphicData>
            </a:graphic>
          </wp:inline>
        </w:drawing>
      </w:r>
    </w:p>
    <w:p w:rsidR="00CC7DA5" w:rsidRDefault="00CC7DA5" w:rsidP="00C13CE6"/>
    <w:p w:rsidR="00CC7DA5" w:rsidRDefault="00CC7DA5" w:rsidP="00C13CE6">
      <w:r>
        <w:t xml:space="preserve">The sources of information for this assessment should include the entire administrative record and scientific record for the Interior Columbia Basin Ecosystem Management Project. The agencies invested millions of dollars and many years developing important information that was intended to lead to </w:t>
      </w:r>
      <w:r w:rsidR="00A93CC3">
        <w:t xml:space="preserve">improved, ecosystem-based </w:t>
      </w:r>
      <w:r>
        <w:t xml:space="preserve">forest plans. </w:t>
      </w:r>
      <w:r w:rsidR="00A93CC3">
        <w:t xml:space="preserve">An example of such information is the ICBEMP data on wildlife sources and sinks, and the finding of Korol et al (2002) that estimated that even if the Forest Service applies enlightened forest management on federal lands in the Interior Columbia Basin for the next 100 years, we will still reach only 75% of the historic large snag abundance, and most of the increase in large snags will occur in roadless and wilderness areas. Jerome J. Korol, Miles A. Hemstrom, Wendel J. Hann, and Rebecca A. Gravenmier. 2002. Snags and Down Wood in the Interior Columbia Basin Ecosystem Management Project. PNW-GTR-181. </w:t>
      </w:r>
      <w:hyperlink r:id="rId12" w:history="1">
        <w:r w:rsidR="00A93CC3">
          <w:rPr>
            <w:rStyle w:val="Hyperlink"/>
          </w:rPr>
          <w:t>http://www.fs.fed.us/psw/publications/documents/gtr-181/049_Korol.pdf</w:t>
        </w:r>
      </w:hyperlink>
      <w:r w:rsidR="00A93CC3">
        <w:t xml:space="preserve">. </w:t>
      </w:r>
      <w:r>
        <w:t>Now is the time to bring that information into the planning process. We incorporate ALL that information by reference.</w:t>
      </w:r>
      <w:r w:rsidR="00A93CC3">
        <w:t xml:space="preserve"> See </w:t>
      </w:r>
      <w:hyperlink r:id="rId13" w:history="1">
        <w:r w:rsidR="00A93CC3" w:rsidRPr="007A4D60">
          <w:rPr>
            <w:rStyle w:val="Hyperlink"/>
          </w:rPr>
          <w:t>https://www.fs.usda.gov/r6/icbemp/</w:t>
        </w:r>
      </w:hyperlink>
      <w:r w:rsidR="00A93CC3">
        <w:t xml:space="preserve"> and related government sources.</w:t>
      </w:r>
    </w:p>
    <w:p w:rsidR="004B28CE" w:rsidRDefault="004B28CE" w:rsidP="00C13CE6"/>
    <w:p w:rsidR="004B28CE" w:rsidRDefault="004B28CE" w:rsidP="00C13CE6">
      <w:r>
        <w:lastRenderedPageBreak/>
        <w:t xml:space="preserve">The </w:t>
      </w:r>
      <w:hyperlink r:id="rId14" w:history="1">
        <w:r w:rsidRPr="004B28CE">
          <w:rPr>
            <w:rStyle w:val="Hyperlink"/>
          </w:rPr>
          <w:t>website</w:t>
        </w:r>
      </w:hyperlink>
      <w:r>
        <w:t xml:space="preserve"> Blue Mountains Plan Revision has a poorly designed user interface. For instance, the Pop-in Box for “More Information” does not have copyable or shareable links to relevant Assessment Phase documents.</w:t>
      </w:r>
    </w:p>
    <w:p w:rsidR="004B28CE" w:rsidRDefault="004B28CE" w:rsidP="00C13CE6"/>
    <w:p w:rsidR="004B28CE" w:rsidRPr="00C13CE6" w:rsidRDefault="004B28CE" w:rsidP="00C13CE6">
      <w:r>
        <w:t xml:space="preserve">The Assessment reports seem to highlight the ineffectiveness of the Forest Service monitoring programs. There is scant information from monitoring to help </w:t>
      </w:r>
      <w:r w:rsidR="00675A4A">
        <w:t xml:space="preserve">inform managers on the effects of </w:t>
      </w:r>
      <w:r>
        <w:t xml:space="preserve">past management and how to adjust things going forward. </w:t>
      </w:r>
      <w:r w:rsidR="00675A4A">
        <w:t xml:space="preserve">For example, there is not enough on water quality during storm events when most of the erosion happens. There is too little information on the effects of livestock grazing on soil, water, plants, etc. Managers would benefit greatly from solid data on the provision of ecosystem services from logged and unlogged areas. Wildlife population data is generally lacking. </w:t>
      </w:r>
      <w:r w:rsidR="00025A30">
        <w:t xml:space="preserve">In other cases, there are rich sources of data available, such as LiDAR, but the Forest Service is not fully utilizing the data, by for instance, analyzing it to show where the tall trees are, where complex forest structure remains, and using it to inform management decisions. </w:t>
      </w:r>
      <w:r>
        <w:t xml:space="preserve">The Forest Service always talks about wanting flexibility to </w:t>
      </w:r>
      <w:r w:rsidR="00675A4A">
        <w:t>do adaptive management based on lessons learned, but unless there is data to support the conclusions, there is a risk that management will be based on anecdotes rather than credible data with large enough sample sizes to yield significant results.</w:t>
      </w:r>
    </w:p>
    <w:p w:rsidR="00EB2B8E" w:rsidRPr="00737A97" w:rsidRDefault="007F1DA8" w:rsidP="00737A97">
      <w:pPr>
        <w:pStyle w:val="Heading2"/>
      </w:pPr>
      <w:bookmarkStart w:id="2" w:name="_Toc167784196"/>
      <w:r>
        <w:t xml:space="preserve">Make Way for </w:t>
      </w:r>
      <w:r w:rsidR="00EB2B8E" w:rsidRPr="00737A97">
        <w:t>Global Climate Change</w:t>
      </w:r>
      <w:bookmarkEnd w:id="2"/>
      <w:r w:rsidR="00EB2B8E" w:rsidRPr="00737A97">
        <w:t xml:space="preserve"> </w:t>
      </w:r>
    </w:p>
    <w:p w:rsidR="00EB2B8E" w:rsidRDefault="00EB2B8E" w:rsidP="00EB2B8E">
      <w:r>
        <w:t>Climate change is a major focus of our comments because it presents significant challenges for our forests, watersheds, ecosystems, and management approaches. While the climate crisis is very real, and demands management adjustments, the Forest Service may be over-reacting by using heavy handed approaches, and forgetting that these ecosystems have experienced climate change before, and have the capacity for self-organizing and self-correcting. We will of course see changes to our forests that make us uncomfortable, but we think it wise to remain humble and allow natural processes to do their work and avoid the cumulative impacts of widespread logging and roads, plus unavoidable climate driven disturbance events.</w:t>
      </w:r>
    </w:p>
    <w:p w:rsidR="00675A4A" w:rsidRDefault="00675A4A" w:rsidP="00EB2B8E"/>
    <w:p w:rsidR="00EB2B8E" w:rsidRPr="00157BB3" w:rsidRDefault="00EB2B8E" w:rsidP="00EB2B8E">
      <w:pPr>
        <w:autoSpaceDE w:val="0"/>
      </w:pPr>
      <w:r w:rsidRPr="00157BB3">
        <w:t>Forests provide a variety of ecosystem services that will be increasingly important as the climate changes.</w:t>
      </w:r>
    </w:p>
    <w:p w:rsidR="00EB2B8E" w:rsidRPr="00157BB3" w:rsidRDefault="00EB2B8E" w:rsidP="00EB2B8E">
      <w:pPr>
        <w:autoSpaceDE w:val="0"/>
        <w:ind w:left="720"/>
      </w:pPr>
      <w:r w:rsidRPr="00157BB3">
        <w:t xml:space="preserve">   [F]orest, water and energy interactions provide the foundations for carbon storage, for cooling terrestrial surfaces and for distributing water resources. Forests and trees must be recognized as prime regulators within the water, energy and carbon cycles. … </w:t>
      </w:r>
    </w:p>
    <w:p w:rsidR="00EB2B8E" w:rsidRPr="00157BB3" w:rsidRDefault="00EB2B8E" w:rsidP="00EB2B8E">
      <w:pPr>
        <w:autoSpaceDE w:val="0"/>
        <w:ind w:left="720"/>
      </w:pPr>
      <w:r w:rsidRPr="00157BB3">
        <w:t xml:space="preserve">   [F]orests play important roles in producing and regulating the world’s temperatures and fresh water flows. … By evapotranspiring, trees recharge atmospheric moisture, contributing to rainfall locally and in distant locations. Cooling is explicitly embedded in the capacity of trees to capture and redistribute the sun’s energy (Pokorný et al., 2010). Further, trees’ microbial flora and biogenic volatile organic compounds can directly promote rainfall. Trees enhance soil infiltration and, under suitable conditions, improve groundwater recharge. Precipitation filtered through forested catchments delivers purified ground and surface water (Calder, 2005; Neary et al., 2009). …</w:t>
      </w:r>
    </w:p>
    <w:p w:rsidR="00EB2B8E" w:rsidRPr="00157BB3" w:rsidRDefault="00EB2B8E" w:rsidP="00EB2B8E">
      <w:pPr>
        <w:autoSpaceDE w:val="0"/>
        <w:ind w:left="720"/>
      </w:pPr>
      <w:r w:rsidRPr="00157BB3">
        <w:t xml:space="preserve">   Forests play a large role in regulating fluxes of atmospheric moisture and rainfall patterns over land. Earth’s land and ocean surfaces release water vapor to the atmosphere. On continental surfaces, this process is aided by forests and other </w:t>
      </w:r>
      <w:r w:rsidRPr="00157BB3">
        <w:lastRenderedPageBreak/>
        <w:t xml:space="preserve">vegetation through evapotranspiration (ET) – evaporation from soil and plant surfaces and transpiration of water by plants. The resulting atmospheric moisture is circulated by winds across the Earth’s continents and oceans. The upwind and cross-continental production and transport of atmospheric moisture — “precipitation recycling” — can, in the appropriate circumstances, promote and intensify the redistribution of water across terrestrial surfaces. </w:t>
      </w:r>
    </w:p>
    <w:p w:rsidR="00EB2B8E" w:rsidRPr="00157BB3" w:rsidRDefault="00EB2B8E" w:rsidP="00EB2B8E">
      <w:pPr>
        <w:autoSpaceDE w:val="0"/>
        <w:ind w:left="720"/>
      </w:pPr>
      <w:r w:rsidRPr="00157BB3">
        <w:t xml:space="preserve">  On average, at least 40% of rainfall over land originates from ET. …</w:t>
      </w:r>
    </w:p>
    <w:p w:rsidR="00EB2B8E" w:rsidRPr="00157BB3" w:rsidRDefault="00EB2B8E" w:rsidP="00EB2B8E">
      <w:pPr>
        <w:autoSpaceDE w:val="0"/>
        <w:ind w:left="720"/>
      </w:pPr>
      <w:r w:rsidRPr="00157BB3">
        <w:t xml:space="preserve">   Trees and forests contribute to the intensification of rainfall through the biological particles they release into the atmosphere, which include fungal spores, pollen, bacterial cells and biological debris. Atmospheric moisture condenses when air becomes sufficiently saturated with water and much more readily when suitable surfaces, provided by aerosol particles (condensation nuclei), are present (Morris et al., 2014; Sheil, 2014). Some volatile organic compounds, 90% of which are also biological in origin, become oxidized and sticky in sunlight and attach to any (mainly biological) particles, thereby growing to sizes that enhance</w:t>
      </w:r>
    </w:p>
    <w:p w:rsidR="00EB2B8E" w:rsidRPr="00157BB3" w:rsidRDefault="00EB2B8E" w:rsidP="00EB2B8E">
      <w:pPr>
        <w:autoSpaceDE w:val="0"/>
        <w:ind w:left="720"/>
      </w:pPr>
      <w:r w:rsidRPr="00157BB3">
        <w:t>condensation …</w:t>
      </w:r>
    </w:p>
    <w:p w:rsidR="00EB2B8E" w:rsidRPr="00157BB3" w:rsidRDefault="00EB2B8E" w:rsidP="00EB2B8E">
      <w:pPr>
        <w:autoSpaceDE w:val="0"/>
        <w:ind w:left="720"/>
      </w:pPr>
      <w:r w:rsidRPr="00157BB3">
        <w:t xml:space="preserve">   Forests influence local and global temperatures and the flow of heat. At the local scale, forests can remain much cooler during daytime due to shade and the role of evaporation and transpiration in reducing sensible heat … Additional regional and global cooling derives from the fact that, through emissions of reactive organic compounds (Spracklen et al., 2008), forests can increase low-level cloud cover and raise reflectivity [albedo]. …</w:t>
      </w:r>
    </w:p>
    <w:p w:rsidR="00EB2B8E" w:rsidRPr="00157BB3" w:rsidRDefault="00EB2B8E" w:rsidP="00EB2B8E">
      <w:pPr>
        <w:autoSpaceDE w:val="0"/>
        <w:ind w:left="720"/>
      </w:pPr>
      <w:r w:rsidRPr="00157BB3">
        <w:t xml:space="preserve">   Using the sun’s energy, individual trees can transpire hundreds of liters of water per day. This represents a cooling power equivalent to 70 kWh for every 100 L of water transpired (enough to power two average household central air-conditioning units per day). With deeper roots, trees can maintain their cooling function even during long-lasting heatwaves … </w:t>
      </w:r>
    </w:p>
    <w:p w:rsidR="00EB2B8E" w:rsidRPr="00157BB3" w:rsidRDefault="00EB2B8E" w:rsidP="00EB2B8E">
      <w:pPr>
        <w:autoSpaceDE w:val="0"/>
        <w:ind w:left="720"/>
      </w:pPr>
      <w:r w:rsidRPr="00157BB3">
        <w:t xml:space="preserve">   Forests may be particularly important for the so-called “water towers” of larger regions (see e.g. Viviroli and Weingartner, 2004). High altitude forests have a special ability to intercept fog and cloud droplets. Condensation on plant surfaces, including on dense, epiphytic lichen and moss communities, provides additional moisture for tree growth, ET, infiltration, groundwater recharge, and, ultimately, runoff …</w:t>
      </w:r>
    </w:p>
    <w:p w:rsidR="00EB2B8E" w:rsidRDefault="00EB2B8E" w:rsidP="00EB2B8E">
      <w:pPr>
        <w:autoSpaceDE w:val="0"/>
        <w:ind w:left="720"/>
      </w:pPr>
      <w:r w:rsidRPr="00157BB3">
        <w:t xml:space="preserve">   Tree root architecture is also highly important for the hydraulic redistribution of water in soils, facilitating both upward and downward flows and thereby improving dry-season transpiration and photosynthesis while simultaneously transporting rainwater downward to levels where it cannot easily be evaporated (Neumann and Cardon, 2012; Prieto et al., 2012). Intermediate tree densities on degraded lands may in fact maximize groundwater recharge</w:t>
      </w:r>
      <w:r>
        <w:t xml:space="preserve"> (Ilstedt et al., 2016). …</w:t>
      </w:r>
    </w:p>
    <w:p w:rsidR="00EB2B8E" w:rsidRDefault="00EB2B8E" w:rsidP="00EB2B8E">
      <w:pPr>
        <w:autoSpaceDE w:val="0"/>
        <w:ind w:left="720"/>
      </w:pPr>
      <w:r>
        <w:t xml:space="preserve">   Biodiversity enhances many ecosystem functions like water uptake, tree growth and pest resistance (Sullivan and O’Keeffe, 2011; Vaughn, 2010). The perverse effects of current land management strategies require closer scrutiny. For example, the practice of plantation forestry can negatively impact species richness and related ecosystem services (Ordonez et al., 2014; Verheyen et al., 2015).</w:t>
      </w:r>
    </w:p>
    <w:p w:rsidR="00EB2B8E" w:rsidRDefault="00EB2B8E" w:rsidP="00EB2B8E">
      <w:pPr>
        <w:autoSpaceDE w:val="0"/>
        <w:ind w:left="720"/>
      </w:pPr>
      <w:r>
        <w:t xml:space="preserve">   Mixed species forests may lead to healthier, more productive forests, more resilient ecosystems and more reliable water related services, and often appear to perform better than monocultures regarding drought resistance and tree growth (Ordonez et al., 2014; </w:t>
      </w:r>
      <w:r>
        <w:lastRenderedPageBreak/>
        <w:t>Paquette and Messier, 2011; Pretzsch et al., 2014 Pretzsch et al., 2014). Through variation in rooting depth, strength and pattern, different species may aid each other through water uptake, water infiltration and erosion control (Reubens et al., 2007). …</w:t>
      </w:r>
    </w:p>
    <w:p w:rsidR="00EB2B8E" w:rsidRDefault="00EB2B8E" w:rsidP="00EB2B8E">
      <w:pPr>
        <w:autoSpaceDE w:val="0"/>
        <w:ind w:left="720"/>
      </w:pPr>
      <w:r>
        <w:t xml:space="preserve">   The climate-regulating functions of forests – atmospheric moisture production, rainfall and temperature control at local and regional scale – should be recognized as their principal contribution, with carbon storage, timber and non-timber forest products as co-benefits (Locatelli et al., 2015). …</w:t>
      </w:r>
    </w:p>
    <w:p w:rsidR="00EB2B8E" w:rsidRDefault="00EB2B8E" w:rsidP="00EB2B8E">
      <w:pPr>
        <w:autoSpaceDE w:val="0"/>
        <w:ind w:left="720"/>
      </w:pPr>
      <w:r>
        <w:t xml:space="preserve">   The multiple water and climate-related services provided by forests – precipitation recycling, cooling, water purification, infiltration and groundwater recharge, … represent powerful adaptation opportunities that can significantly reduce human vulnerability and simultaneously, through their carbon storage functions, provide mitigation (Pramova et al., 2012b). …</w:t>
      </w:r>
    </w:p>
    <w:p w:rsidR="00EB2B8E" w:rsidRDefault="00EB2B8E" w:rsidP="00EB2B8E">
      <w:pPr>
        <w:autoSpaceDE w:val="0"/>
        <w:ind w:left="720"/>
      </w:pPr>
      <w:r>
        <w:t xml:space="preserve">   Given sufficient scientific evidence on forest, water and energy interactions, decision-making must recognize that water and climate-related ecosystem services benefit and impact people well beyond the local or catchment scale, often far from where actual decisions on tree planting or removal are made. Tradeoffs, for example between local restoration costs and downstream or downwind benefits, must also be taken into account …</w:t>
      </w:r>
    </w:p>
    <w:p w:rsidR="00EB2B8E" w:rsidRDefault="00EB2B8E" w:rsidP="00EB2B8E">
      <w:pPr>
        <w:autoSpaceDE w:val="0"/>
        <w:ind w:left="720"/>
      </w:pPr>
      <w:r>
        <w:t xml:space="preserve">   Findings on forest and water interactions have important implications for environmental accounting. In addition to representing a potential loss for downstream water users, we likewise see ET as a potential gain for downwind users. Thus, the accounting and definition of plant water use as “consumption” is problematic and requires careful consideration (Launiainen et al., 2014; Maes et al., 2009). …</w:t>
      </w:r>
    </w:p>
    <w:p w:rsidR="00EB2B8E" w:rsidRDefault="00EB2B8E" w:rsidP="00EB2B8E">
      <w:pPr>
        <w:autoSpaceDE w:val="0"/>
        <w:ind w:left="720"/>
      </w:pPr>
      <w:r>
        <w:t xml:space="preserve">   The effects of forests on water and climate at local, regional and continental scales provide a powerful adaptation tool that, if wielded successfully, also has globally-relevant climate change mitigation potential.</w:t>
      </w:r>
    </w:p>
    <w:p w:rsidR="00EB2B8E" w:rsidRDefault="00EB2B8E" w:rsidP="00EB2B8E">
      <w:pPr>
        <w:autoSpaceDE w:val="0"/>
      </w:pPr>
      <w:r>
        <w:t xml:space="preserve">David Ellison et al 2017. Trees, forests and water: Cool insights for a hot world. </w:t>
      </w:r>
      <w:r w:rsidRPr="00EA0091">
        <w:t>Global Environmental Change 43 (2017) 51–61</w:t>
      </w:r>
      <w:r>
        <w:t xml:space="preserve">. </w:t>
      </w:r>
      <w:hyperlink r:id="rId15" w:history="1">
        <w:r w:rsidRPr="007A30D5">
          <w:rPr>
            <w:rStyle w:val="Hyperlink"/>
          </w:rPr>
          <w:t>http://ac.els-cdn.com/S0959378017300134/1-s2.0-S0959378017300134-main.pdf?_tid=38eca4a8-081a-11e7-9f6d-00000aab0f02&amp;acdnat=1489429617_9efb667c50b0b4b3a3a03214472ba08d</w:t>
        </w:r>
      </w:hyperlink>
      <w:r>
        <w:t xml:space="preserve"> </w:t>
      </w:r>
    </w:p>
    <w:p w:rsidR="008A2029" w:rsidRDefault="008A2029" w:rsidP="00EB2B8E">
      <w:pPr>
        <w:autoSpaceDE w:val="0"/>
      </w:pPr>
    </w:p>
    <w:p w:rsidR="00EB2B8E" w:rsidRPr="00E46468" w:rsidRDefault="00EB2B8E" w:rsidP="00EB2B8E">
      <w:pPr>
        <w:rPr>
          <w:rFonts w:asciiTheme="minorHAnsi" w:hAnsiTheme="minorHAnsi"/>
        </w:rPr>
      </w:pPr>
      <w:r w:rsidRPr="00E46468">
        <w:rPr>
          <w:rFonts w:asciiTheme="minorHAnsi" w:hAnsiTheme="minorHAnsi"/>
          <w:szCs w:val="24"/>
        </w:rPr>
        <w:t xml:space="preserve">Another study showed that as the climate warms forests, especially natural forests, become an increasingly important refuge for North American mammals, and that thinning dense forests may impair the forests function as climate refugia. Tourani et al 2023.  Maximum temperatures determine the habitat affiliations of North American mammals. PNAS December 4, 2023. 120 (50) e2304411120 </w:t>
      </w:r>
      <w:hyperlink r:id="rId16" w:history="1">
        <w:r w:rsidRPr="00E46468">
          <w:rPr>
            <w:rStyle w:val="Hyperlink"/>
            <w:rFonts w:asciiTheme="minorHAnsi" w:hAnsiTheme="minorHAnsi"/>
            <w:szCs w:val="24"/>
          </w:rPr>
          <w:t>https://doi.org/10.1073/pnas.23044111</w:t>
        </w:r>
      </w:hyperlink>
      <w:r w:rsidRPr="00E46468">
        <w:rPr>
          <w:rFonts w:asciiTheme="minorHAnsi" w:hAnsiTheme="minorHAnsi"/>
          <w:szCs w:val="24"/>
        </w:rPr>
        <w:t xml:space="preserve">, </w:t>
      </w:r>
      <w:hyperlink r:id="rId17" w:history="1">
        <w:r w:rsidRPr="00E46468">
          <w:rPr>
            <w:rStyle w:val="Hyperlink"/>
            <w:rFonts w:asciiTheme="minorHAnsi" w:hAnsiTheme="minorHAnsi"/>
            <w:szCs w:val="24"/>
          </w:rPr>
          <w:t>https://www.pnas.org/doi/pdf/10.1073/pnas.2304411120</w:t>
        </w:r>
      </w:hyperlink>
      <w:r w:rsidRPr="00E46468">
        <w:rPr>
          <w:rFonts w:asciiTheme="minorHAnsi" w:hAnsiTheme="minorHAnsi"/>
          <w:szCs w:val="24"/>
        </w:rPr>
        <w:t xml:space="preserve">. </w:t>
      </w:r>
      <w:r w:rsidRPr="00E46468">
        <w:rPr>
          <w:rFonts w:asciiTheme="minorHAnsi" w:hAnsiTheme="minorHAnsi" w:cs="Times New Roman"/>
          <w:szCs w:val="24"/>
        </w:rPr>
        <w:t>(“</w:t>
      </w:r>
      <w:r w:rsidRPr="00E46468">
        <w:rPr>
          <w:rFonts w:asciiTheme="minorHAnsi" w:hAnsiTheme="minorHAnsi" w:cs="Times New Roman"/>
          <w:color w:val="262626"/>
          <w:szCs w:val="24"/>
          <w:shd w:val="clear" w:color="auto" w:fill="FFFFFF"/>
        </w:rPr>
        <w:t>When temperatures spike (or plummet), many species can behaviorally thermoregulate by seeking thermally buffered microclimates (</w:t>
      </w:r>
      <w:hyperlink r:id="rId18" w:anchor="core-r20" w:history="1">
        <w:r w:rsidRPr="00E46468">
          <w:rPr>
            <w:rStyle w:val="Hyperlink"/>
            <w:rFonts w:asciiTheme="minorHAnsi" w:hAnsiTheme="minorHAnsi" w:cs="Times New Roman"/>
            <w:color w:val="1C75BC"/>
            <w:szCs w:val="24"/>
            <w:shd w:val="clear" w:color="auto" w:fill="FFFFFF"/>
          </w:rPr>
          <w:t>20</w:t>
        </w:r>
      </w:hyperlink>
      <w:r w:rsidRPr="00E46468">
        <w:rPr>
          <w:rFonts w:asciiTheme="minorHAnsi" w:hAnsiTheme="minorHAnsi" w:cs="Times New Roman"/>
          <w:color w:val="262626"/>
          <w:szCs w:val="24"/>
          <w:shd w:val="clear" w:color="auto" w:fill="FFFFFF"/>
        </w:rPr>
        <w:t>). The presence of suitable microclimates can therefore drive species’ distributions (</w:t>
      </w:r>
      <w:hyperlink r:id="rId19" w:anchor="core-r21" w:history="1">
        <w:r w:rsidRPr="00E46468">
          <w:rPr>
            <w:rStyle w:val="Hyperlink"/>
            <w:rFonts w:asciiTheme="minorHAnsi" w:hAnsiTheme="minorHAnsi" w:cs="Times New Roman"/>
            <w:color w:val="1C75BC"/>
            <w:szCs w:val="24"/>
            <w:shd w:val="clear" w:color="auto" w:fill="FFFFFF"/>
          </w:rPr>
          <w:t>21</w:t>
        </w:r>
      </w:hyperlink>
      <w:r w:rsidRPr="00E46468">
        <w:rPr>
          <w:rFonts w:asciiTheme="minorHAnsi" w:hAnsiTheme="minorHAnsi" w:cs="Times New Roman"/>
          <w:color w:val="262626"/>
          <w:szCs w:val="24"/>
          <w:shd w:val="clear" w:color="auto" w:fill="FFFFFF"/>
        </w:rPr>
        <w:t>), allowing species to persist in areas that would otherwise regularly exceed their thermal tolerances. Critically, anthropogenic land-uses are often much more structurally homogeneous than natural areas, resulting in reduced thermal buffering capacity and fewer potential climate refugia (</w:t>
      </w:r>
      <w:hyperlink r:id="rId20" w:anchor="core-r20" w:history="1">
        <w:r w:rsidRPr="00E46468">
          <w:rPr>
            <w:rStyle w:val="Hyperlink"/>
            <w:rFonts w:asciiTheme="minorHAnsi" w:hAnsiTheme="minorHAnsi" w:cs="Times New Roman"/>
            <w:color w:val="1C75BC"/>
            <w:szCs w:val="24"/>
            <w:shd w:val="clear" w:color="auto" w:fill="FFFFFF"/>
          </w:rPr>
          <w:t>20</w:t>
        </w:r>
      </w:hyperlink>
      <w:r w:rsidRPr="00E46468">
        <w:rPr>
          <w:rFonts w:asciiTheme="minorHAnsi" w:hAnsiTheme="minorHAnsi" w:cs="Times New Roman"/>
          <w:color w:val="262626"/>
          <w:szCs w:val="24"/>
          <w:shd w:val="clear" w:color="auto" w:fill="FFFFFF"/>
        </w:rPr>
        <w:t>, </w:t>
      </w:r>
      <w:hyperlink r:id="rId21" w:anchor="core-r22" w:history="1">
        <w:r w:rsidRPr="00E46468">
          <w:rPr>
            <w:rStyle w:val="Hyperlink"/>
            <w:rFonts w:asciiTheme="minorHAnsi" w:hAnsiTheme="minorHAnsi" w:cs="Times New Roman"/>
            <w:color w:val="1C75BC"/>
            <w:szCs w:val="24"/>
            <w:shd w:val="clear" w:color="auto" w:fill="FFFFFF"/>
          </w:rPr>
          <w:t>22</w:t>
        </w:r>
      </w:hyperlink>
      <w:r w:rsidRPr="00E46468">
        <w:rPr>
          <w:rFonts w:asciiTheme="minorHAnsi" w:hAnsiTheme="minorHAnsi" w:cs="Times New Roman"/>
          <w:color w:val="262626"/>
          <w:szCs w:val="24"/>
          <w:shd w:val="clear" w:color="auto" w:fill="FFFFFF"/>
        </w:rPr>
        <w:t>–</w:t>
      </w:r>
      <w:hyperlink r:id="rId22" w:anchor="core-r24" w:history="1">
        <w:r w:rsidRPr="00E46468">
          <w:rPr>
            <w:rStyle w:val="Hyperlink"/>
            <w:rFonts w:asciiTheme="minorHAnsi" w:hAnsiTheme="minorHAnsi" w:cs="Times New Roman"/>
            <w:color w:val="1C75BC"/>
            <w:szCs w:val="24"/>
            <w:shd w:val="clear" w:color="auto" w:fill="FFFFFF"/>
          </w:rPr>
          <w:t>24</w:t>
        </w:r>
      </w:hyperlink>
      <w:r w:rsidRPr="00E46468">
        <w:rPr>
          <w:rFonts w:asciiTheme="minorHAnsi" w:hAnsiTheme="minorHAnsi" w:cs="Times New Roman"/>
          <w:color w:val="262626"/>
          <w:szCs w:val="24"/>
          <w:shd w:val="clear" w:color="auto" w:fill="FFFFFF"/>
        </w:rPr>
        <w:t xml:space="preserve">). …  [W]e found that mammals switch their habitat affiliations to become more associated with forests and more sensitive to human modification in warmer regions. … [C]losed forest canopies can thermally buffer the understory, thereby </w:t>
      </w:r>
      <w:r w:rsidRPr="00E46468">
        <w:rPr>
          <w:rFonts w:asciiTheme="minorHAnsi" w:hAnsiTheme="minorHAnsi" w:cs="Times New Roman"/>
          <w:color w:val="262626"/>
          <w:szCs w:val="24"/>
          <w:shd w:val="clear" w:color="auto" w:fill="FFFFFF"/>
        </w:rPr>
        <w:lastRenderedPageBreak/>
        <w:t>guarding against regional climate extremes (</w:t>
      </w:r>
      <w:hyperlink r:id="rId23" w:anchor="core-r44" w:history="1">
        <w:r w:rsidRPr="00E46468">
          <w:rPr>
            <w:rStyle w:val="Hyperlink"/>
            <w:rFonts w:asciiTheme="minorHAnsi" w:hAnsiTheme="minorHAnsi" w:cs="Times New Roman"/>
            <w:color w:val="1C75BC"/>
            <w:szCs w:val="24"/>
            <w:shd w:val="clear" w:color="auto" w:fill="FFFFFF"/>
          </w:rPr>
          <w:t>44</w:t>
        </w:r>
      </w:hyperlink>
      <w:r w:rsidRPr="00E46468">
        <w:rPr>
          <w:rFonts w:asciiTheme="minorHAnsi" w:hAnsiTheme="minorHAnsi" w:cs="Times New Roman"/>
          <w:color w:val="262626"/>
          <w:szCs w:val="24"/>
          <w:shd w:val="clear" w:color="auto" w:fill="FFFFFF"/>
        </w:rPr>
        <w:t>). In contrast, many anthropogenic habitats lack closed canopies and thus also lack the local thermal buffering capacity needed to provide organisms with climate refugia (</w:t>
      </w:r>
      <w:hyperlink r:id="rId24" w:anchor="core-r20" w:history="1">
        <w:r w:rsidRPr="00E46468">
          <w:rPr>
            <w:rStyle w:val="Hyperlink"/>
            <w:rFonts w:asciiTheme="minorHAnsi" w:hAnsiTheme="minorHAnsi" w:cs="Times New Roman"/>
            <w:color w:val="1C75BC"/>
            <w:szCs w:val="24"/>
            <w:shd w:val="clear" w:color="auto" w:fill="FFFFFF"/>
          </w:rPr>
          <w:t>20</w:t>
        </w:r>
      </w:hyperlink>
      <w:r w:rsidRPr="00E46468">
        <w:rPr>
          <w:rFonts w:asciiTheme="minorHAnsi" w:hAnsiTheme="minorHAnsi" w:cs="Times New Roman"/>
          <w:color w:val="262626"/>
          <w:szCs w:val="24"/>
          <w:shd w:val="clear" w:color="auto" w:fill="FFFFFF"/>
        </w:rPr>
        <w:t>, </w:t>
      </w:r>
      <w:hyperlink r:id="rId25" w:anchor="core-r22" w:history="1">
        <w:r w:rsidRPr="00E46468">
          <w:rPr>
            <w:rStyle w:val="Hyperlink"/>
            <w:rFonts w:asciiTheme="minorHAnsi" w:hAnsiTheme="minorHAnsi" w:cs="Times New Roman"/>
            <w:color w:val="1C75BC"/>
            <w:szCs w:val="24"/>
            <w:shd w:val="clear" w:color="auto" w:fill="FFFFFF"/>
          </w:rPr>
          <w:t>22</w:t>
        </w:r>
      </w:hyperlink>
      <w:r w:rsidRPr="00E46468">
        <w:rPr>
          <w:rFonts w:asciiTheme="minorHAnsi" w:hAnsiTheme="minorHAnsi" w:cs="Times New Roman"/>
          <w:color w:val="262626"/>
          <w:szCs w:val="24"/>
          <w:shd w:val="clear" w:color="auto" w:fill="FFFFFF"/>
        </w:rPr>
        <w:t>–</w:t>
      </w:r>
      <w:hyperlink r:id="rId26" w:anchor="core-r24" w:history="1">
        <w:r w:rsidRPr="00E46468">
          <w:rPr>
            <w:rStyle w:val="Hyperlink"/>
            <w:rFonts w:asciiTheme="minorHAnsi" w:hAnsiTheme="minorHAnsi" w:cs="Times New Roman"/>
            <w:color w:val="1C75BC"/>
            <w:szCs w:val="24"/>
            <w:shd w:val="clear" w:color="auto" w:fill="FFFFFF"/>
          </w:rPr>
          <w:t>24</w:t>
        </w:r>
      </w:hyperlink>
      <w:r w:rsidRPr="00E46468">
        <w:rPr>
          <w:rFonts w:asciiTheme="minorHAnsi" w:hAnsiTheme="minorHAnsi" w:cs="Times New Roman"/>
          <w:color w:val="262626"/>
          <w:szCs w:val="24"/>
          <w:shd w:val="clear" w:color="auto" w:fill="FFFFFF"/>
        </w:rPr>
        <w:t>). … Our findings reaffirm that high temperatures may prevent species from exploiting habitats that they might otherwise occupy (</w:t>
      </w:r>
      <w:hyperlink r:id="rId27" w:anchor="core-r64" w:history="1">
        <w:r w:rsidRPr="00E46468">
          <w:rPr>
            <w:rStyle w:val="Hyperlink"/>
            <w:rFonts w:asciiTheme="minorHAnsi" w:hAnsiTheme="minorHAnsi" w:cs="Times New Roman"/>
            <w:color w:val="1C75BC"/>
            <w:szCs w:val="24"/>
            <w:shd w:val="clear" w:color="auto" w:fill="FFFFFF"/>
          </w:rPr>
          <w:t>64</w:t>
        </w:r>
      </w:hyperlink>
      <w:r w:rsidRPr="00E46468">
        <w:rPr>
          <w:rFonts w:asciiTheme="minorHAnsi" w:hAnsiTheme="minorHAnsi" w:cs="Times New Roman"/>
          <w:color w:val="262626"/>
          <w:szCs w:val="24"/>
          <w:shd w:val="clear" w:color="auto" w:fill="FFFFFF"/>
        </w:rPr>
        <w:t>). … Our work suggests these climate extremes may further constrain species distributions and compromise efforts to conserve biodiversity in human-dominated landscapes.</w:t>
      </w:r>
      <w:r w:rsidRPr="00E46468">
        <w:rPr>
          <w:rFonts w:asciiTheme="minorHAnsi" w:hAnsiTheme="minorHAnsi" w:cs="Times New Roman"/>
          <w:szCs w:val="24"/>
        </w:rPr>
        <w:t>”).</w:t>
      </w:r>
    </w:p>
    <w:p w:rsidR="00387091" w:rsidRDefault="00D73407" w:rsidP="00387091">
      <w:pPr>
        <w:pStyle w:val="Heading2"/>
      </w:pPr>
      <w:bookmarkStart w:id="3" w:name="_Toc167784197"/>
      <w:r>
        <w:t xml:space="preserve">Ecosystem </w:t>
      </w:r>
      <w:r w:rsidR="006B37FE">
        <w:t>Integrity</w:t>
      </w:r>
      <w:r>
        <w:t xml:space="preserve"> Through </w:t>
      </w:r>
      <w:r w:rsidR="00387091">
        <w:t>Natural Processes</w:t>
      </w:r>
      <w:bookmarkEnd w:id="3"/>
    </w:p>
    <w:p w:rsidR="00410664" w:rsidRPr="00410664" w:rsidRDefault="00410664" w:rsidP="00410664">
      <w:pPr>
        <w:pStyle w:val="Heading3"/>
        <w:rPr>
          <w:i/>
        </w:rPr>
      </w:pPr>
      <w:bookmarkStart w:id="4" w:name="_Toc167784198"/>
      <w:r w:rsidRPr="00410664">
        <w:rPr>
          <w:i/>
        </w:rPr>
        <w:t xml:space="preserve">Work with </w:t>
      </w:r>
      <w:r w:rsidR="007E68FC">
        <w:rPr>
          <w:i/>
        </w:rPr>
        <w:t>Nature</w:t>
      </w:r>
      <w:r w:rsidRPr="00410664">
        <w:rPr>
          <w:i/>
        </w:rPr>
        <w:t>, Not Against It</w:t>
      </w:r>
      <w:bookmarkEnd w:id="4"/>
    </w:p>
    <w:p w:rsidR="007E68FC" w:rsidRDefault="007E68FC" w:rsidP="007E68FC">
      <w:r>
        <w:t xml:space="preserve">Natural processes act over varying scales of space and time to create and maintain biodiverse and productive ecosystems. The Assessment and the revised plans should strive to harmonize with these natural processes rather than interfere with them. It’s time to do real ecosystem management. </w:t>
      </w:r>
    </w:p>
    <w:p w:rsidR="007E68FC" w:rsidRDefault="007E68FC" w:rsidP="00387091"/>
    <w:p w:rsidR="006B37FE" w:rsidRDefault="0084316B" w:rsidP="00387091">
      <w:r>
        <w:t>E</w:t>
      </w:r>
      <w:r w:rsidR="006B37FE">
        <w:t xml:space="preserve">cosystem integrity </w:t>
      </w:r>
      <w:r>
        <w:t xml:space="preserve">must be defined </w:t>
      </w:r>
      <w:r w:rsidR="006B37FE">
        <w:t xml:space="preserve">to include natural mortality as a desired part of the ecosystem and (not just another excuse to log the forest to save it from fire, insects, density dependent mortality, etc). The Assessment must recognize that these natural processes are solutions, not problems. </w:t>
      </w:r>
      <w:r w:rsidR="00D72440">
        <w:t xml:space="preserve">The draft wildlife </w:t>
      </w:r>
      <w:r w:rsidR="00A060EE">
        <w:t xml:space="preserve">Assessment </w:t>
      </w:r>
      <w:r w:rsidR="00D72440">
        <w:t>says “</w:t>
      </w:r>
      <w:r w:rsidR="00D72440" w:rsidRPr="00D72440">
        <w:t>Wildfire still plays an important ecological role in maintaining and restoring ecosystem functions, vegetation conditions, and reducing hazardous fuels.</w:t>
      </w:r>
      <w:r w:rsidR="00D72440">
        <w:t>” But this is not very well reflected in most of the management we see (e.g., aggressive logging to control fire) and we fear that it will not well reflected in this plan revision process.</w:t>
      </w:r>
    </w:p>
    <w:p w:rsidR="000854F4" w:rsidRDefault="000854F4" w:rsidP="00387091"/>
    <w:p w:rsidR="008B048D" w:rsidRDefault="00D167F5" w:rsidP="00387091">
      <w:r>
        <w:t>These natural processes include photosynthesis, succession, and competitive mortality, non-competitive mortality, various forms of disturbance (fire of varying severity, wind, drought, floods, tree fall events, insects, disease, snow/ice, landslides, etc)</w:t>
      </w:r>
      <w:r w:rsidR="008B048D">
        <w:t>, organism establishment/ growth/mortality, species range expansion/contraction, predator/prey relations, herbivory, symbiosis/mutualism/parasitism, etc</w:t>
      </w:r>
      <w:r>
        <w:t xml:space="preserve">.  </w:t>
      </w:r>
      <w:r w:rsidR="008B048D">
        <w:t xml:space="preserve">Each of these process provides ecosystem services. As an example, some of the ecosystem services provided by tree mortality include: </w:t>
      </w:r>
      <w:r w:rsidR="00BA3D1A">
        <w:t xml:space="preserve">creating canopy gaps that make resources available to new tree cohorts, and other diverse species; recruitment of dead wood that serves many purposes from soil building to habitat; reallocation of resources such as light, water, and nutrients; thinning that reduces competitive stress; </w:t>
      </w:r>
    </w:p>
    <w:p w:rsidR="008B048D" w:rsidRDefault="008B048D" w:rsidP="00387091"/>
    <w:p w:rsidR="00387091" w:rsidRDefault="000747CB" w:rsidP="00387091">
      <w:r>
        <w:t xml:space="preserve">The Forest Management and Timber </w:t>
      </w:r>
      <w:r w:rsidR="00A060EE">
        <w:t xml:space="preserve">Assessment </w:t>
      </w:r>
      <w:r>
        <w:t xml:space="preserve">says “excess forest growth is … </w:t>
      </w:r>
      <w:r w:rsidRPr="000747CB">
        <w:t>susceptible to competition-related mortality, insect and disease outbreaks, and wildfires.</w:t>
      </w:r>
      <w:r>
        <w:t xml:space="preserve">” This is based on an outdated agricultural model of forestry that tries to control mortality, instead of seeing these natural mortality processes as solutions to the problems created by past management, especially logging, dense replanting, and fire suppression. </w:t>
      </w:r>
      <w:r w:rsidR="008010CE">
        <w:t>The Assessment and the Planning process must recognize that natural processes taken together represent a self-organizing system that generates desired conditions.</w:t>
      </w:r>
      <w:r w:rsidR="006B37FE">
        <w:t xml:space="preserve"> </w:t>
      </w:r>
      <w:r w:rsidR="00D167F5">
        <w:t xml:space="preserve">These forests have gone through climate change before, and are doing so again now. </w:t>
      </w:r>
      <w:r w:rsidR="006B37FE">
        <w:t>The Forest Service must give these processes wide b</w:t>
      </w:r>
      <w:r w:rsidR="00D167F5">
        <w:t xml:space="preserve">erth to help the forest </w:t>
      </w:r>
      <w:r w:rsidR="00D167F5">
        <w:lastRenderedPageBreak/>
        <w:t>adapt to global climate change.</w:t>
      </w:r>
      <w:r w:rsidR="008010CE">
        <w:t xml:space="preserve"> </w:t>
      </w:r>
      <w:r w:rsidR="00D167F5">
        <w:t xml:space="preserve">This means being tolerant of some disturbance events that might make people uncomfortable. </w:t>
      </w:r>
    </w:p>
    <w:p w:rsidR="007E68FC" w:rsidRDefault="007E68FC" w:rsidP="00387091"/>
    <w:p w:rsidR="007E68FC" w:rsidRDefault="007E68FC" w:rsidP="007E68FC">
      <w:bookmarkStart w:id="5" w:name="_Toc160629186"/>
      <w:r>
        <w:t>The Assessment needs to recognize that mortality from logging is often greater than expected mortality from natural processes</w:t>
      </w:r>
      <w:bookmarkEnd w:id="5"/>
      <w:r>
        <w:t xml:space="preserve">. And mortality from logging is not </w:t>
      </w:r>
      <w:r w:rsidRPr="000854F4">
        <w:rPr>
          <w:i/>
        </w:rPr>
        <w:t>better</w:t>
      </w:r>
      <w:r>
        <w:t xml:space="preserve"> than mortality from natural processes. In fact, it’s arguably much worse, because mortality from natural processes does not require roads and heavy equipment and it recruits snags and dead wood that are essential to wildlife and other biophysical functions. </w:t>
      </w:r>
    </w:p>
    <w:p w:rsidR="007E68FC" w:rsidRDefault="007E68FC" w:rsidP="007E68FC"/>
    <w:p w:rsidR="007E68FC" w:rsidRDefault="007E68FC" w:rsidP="00F07B56">
      <w:pPr>
        <w:ind w:left="720"/>
      </w:pPr>
      <w:r w:rsidRPr="007621E2">
        <w:rPr>
          <w:noProof/>
          <w:lang w:val="en-US"/>
        </w:rPr>
        <w:drawing>
          <wp:inline distT="0" distB="0" distL="0" distR="0" wp14:anchorId="48709781" wp14:editId="2270FD0B">
            <wp:extent cx="5038803" cy="213360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055325" cy="2140596"/>
                    </a:xfrm>
                    <a:prstGeom prst="rect">
                      <a:avLst/>
                    </a:prstGeom>
                    <a:noFill/>
                    <a:ln>
                      <a:noFill/>
                    </a:ln>
                  </pic:spPr>
                </pic:pic>
              </a:graphicData>
            </a:graphic>
          </wp:inline>
        </w:drawing>
      </w:r>
    </w:p>
    <w:p w:rsidR="007E68FC" w:rsidRPr="00612EED" w:rsidRDefault="007E68FC" w:rsidP="007E68FC">
      <w:pPr>
        <w:rPr>
          <w:color w:val="000000"/>
        </w:rPr>
      </w:pPr>
    </w:p>
    <w:p w:rsidR="007E68FC" w:rsidRPr="00612EED" w:rsidRDefault="007E68FC" w:rsidP="007E68FC">
      <w:pPr>
        <w:rPr>
          <w:color w:val="000000"/>
        </w:rPr>
      </w:pPr>
    </w:p>
    <w:p w:rsidR="007E68FC" w:rsidRPr="007E68FC" w:rsidRDefault="007E68FC" w:rsidP="007E68FC">
      <w:pPr>
        <w:rPr>
          <w:rFonts w:cs="Times New Roman"/>
          <w:color w:val="000000"/>
          <w:szCs w:val="24"/>
        </w:rPr>
      </w:pPr>
      <w:r w:rsidRPr="007E68FC">
        <w:rPr>
          <w:color w:val="000000"/>
        </w:rPr>
        <w:t xml:space="preserve">Berner, Law et al 2017. Tree mortality from fires, bark beetles, and timber harvest during a hot and dry decade in the western United States (2003–2012). Environ. Res. Lett. 12 065005. </w:t>
      </w:r>
      <w:hyperlink r:id="rId29" w:history="1">
        <w:r w:rsidRPr="007E68FC">
          <w:rPr>
            <w:rStyle w:val="Hyperlink"/>
            <w:color w:val="000000"/>
          </w:rPr>
          <w:t>http://iopscience.iop.org/article/10.1088/1748-9326/aa6f94/meta</w:t>
        </w:r>
      </w:hyperlink>
      <w:r w:rsidRPr="007E68FC">
        <w:rPr>
          <w:color w:val="000000"/>
        </w:rPr>
        <w:t xml:space="preserve"> </w:t>
      </w:r>
      <w:r w:rsidRPr="007E68FC">
        <w:rPr>
          <w:rFonts w:cs="Times New Roman"/>
          <w:color w:val="000000"/>
          <w:szCs w:val="24"/>
        </w:rPr>
        <w:t>(In the western continental United States… “Harvest accounted for the largest percentage of MORT</w:t>
      </w:r>
      <w:r w:rsidRPr="007E68FC">
        <w:rPr>
          <w:rFonts w:cs="Times New Roman"/>
          <w:color w:val="000000"/>
          <w:szCs w:val="24"/>
          <w:bdr w:val="none" w:sz="0" w:space="0" w:color="auto" w:frame="1"/>
          <w:vertAlign w:val="subscript"/>
        </w:rPr>
        <w:t>H+B+F</w:t>
      </w:r>
      <w:r w:rsidRPr="007E68FC">
        <w:rPr>
          <w:rFonts w:cs="Times New Roman"/>
          <w:color w:val="000000"/>
          <w:szCs w:val="24"/>
        </w:rPr>
        <w:t> (~50%), followed by beetles (~32%), and fires (~18%). Tree mortality from harvest was concentrated in Washington and Oregon, where harvest accounted for ~80% of MORT</w:t>
      </w:r>
      <w:r w:rsidRPr="007E68FC">
        <w:rPr>
          <w:rFonts w:cs="Times New Roman"/>
          <w:color w:val="000000"/>
          <w:szCs w:val="24"/>
          <w:bdr w:val="none" w:sz="0" w:space="0" w:color="auto" w:frame="1"/>
          <w:vertAlign w:val="subscript"/>
        </w:rPr>
        <w:t>H+B+F</w:t>
      </w:r>
      <w:r w:rsidRPr="007E68FC">
        <w:rPr>
          <w:rFonts w:cs="Times New Roman"/>
          <w:color w:val="000000"/>
          <w:szCs w:val="24"/>
        </w:rPr>
        <w:t> in each state. Tree mortality from beetles occurred widely at low levels across the region,…”).</w:t>
      </w:r>
    </w:p>
    <w:p w:rsidR="007E68FC" w:rsidRDefault="007E68FC" w:rsidP="007E68FC"/>
    <w:p w:rsidR="007E68FC" w:rsidRDefault="007E68FC" w:rsidP="007E68FC">
      <w:r>
        <w:t xml:space="preserve">The Assessment should disclose the stand-scale mortality from logging versus natural processes, and should explain the relative ecological costs and benefits or mortality from natural events like drought, beetles fire versus mortality from logging. Why is the Forest Service so accepting of logging mortality and so intolerant of natural mortality.  </w:t>
      </w:r>
      <w:r w:rsidRPr="00254338">
        <w:rPr>
          <w:i/>
        </w:rPr>
        <w:t>Humane Society v. Locke</w:t>
      </w:r>
      <w:r>
        <w:t>, 9</w:t>
      </w:r>
      <w:r w:rsidRPr="00254338">
        <w:rPr>
          <w:vertAlign w:val="superscript"/>
        </w:rPr>
        <w:t>th</w:t>
      </w:r>
      <w:r>
        <w:t xml:space="preserve"> Circ, 2010.</w:t>
      </w:r>
    </w:p>
    <w:p w:rsidR="007E68FC" w:rsidRDefault="00F03224" w:rsidP="007E68FC">
      <w:hyperlink r:id="rId30" w:history="1">
        <w:r w:rsidR="007E68FC" w:rsidRPr="002440B7">
          <w:rPr>
            <w:rStyle w:val="Hyperlink"/>
          </w:rPr>
          <w:t>https://web.archive.org/web/20101130013757/http://www.ca9.uscourts.gov/opinions/view_subpage.php?pk_id=0000010986</w:t>
        </w:r>
      </w:hyperlink>
      <w:r w:rsidR="007E68FC">
        <w:t>.</w:t>
      </w:r>
    </w:p>
    <w:p w:rsidR="007E68FC" w:rsidRDefault="007E68FC" w:rsidP="007E68FC"/>
    <w:p w:rsidR="007E68FC" w:rsidRPr="00F07B56" w:rsidRDefault="007E68FC" w:rsidP="007E68FC">
      <w:pPr>
        <w:rPr>
          <w:rFonts w:eastAsia="Times New Roman" w:cs="Times New Roman"/>
          <w:color w:val="000000"/>
          <w:szCs w:val="24"/>
        </w:rPr>
      </w:pPr>
      <w:r w:rsidRPr="00F07B56">
        <w:rPr>
          <w:rFonts w:cs="Times New Roman"/>
          <w:color w:val="000000"/>
          <w:szCs w:val="24"/>
        </w:rPr>
        <w:t xml:space="preserve">From an ecological standpoint, it is much better for a tree to die of natural causes and stay in the forest to serve diverse biophysical functions, rather than be cut and sent from the ecosystem on the back of a log truck. </w:t>
      </w:r>
      <w:r w:rsidRPr="00F07B56">
        <w:rPr>
          <w:rFonts w:eastAsia="Times New Roman" w:cs="Times New Roman"/>
          <w:color w:val="000000"/>
          <w:szCs w:val="24"/>
        </w:rPr>
        <w:t xml:space="preserve">Retaining unlogged forests allows natural processes (such as disturbance and succession) to flourish. This typically results in higher-quality combination of habitat features with fewer trade-offs. For instance, allowing trees to grow unharvested, results in natural tree mortality which not only frees up resources (light, moisture, nutrients, growing </w:t>
      </w:r>
      <w:r w:rsidRPr="00F07B56">
        <w:rPr>
          <w:rFonts w:eastAsia="Times New Roman" w:cs="Times New Roman"/>
          <w:color w:val="000000"/>
          <w:szCs w:val="24"/>
        </w:rPr>
        <w:lastRenderedPageBreak/>
        <w:t>space) for residual trees to be grow larger, but also creates valuable snags and down wood habitat, and opens small canopy gaps that stimulate understory development and new tree cohorts. The benefits of allowing natural succession to occur in older stands is summarized by Eugene BLM:</w:t>
      </w:r>
    </w:p>
    <w:p w:rsidR="007E68FC" w:rsidRPr="00F07B56" w:rsidRDefault="007E68FC" w:rsidP="007E68FC">
      <w:pPr>
        <w:shd w:val="clear" w:color="auto" w:fill="FFFFFF"/>
        <w:ind w:left="720"/>
        <w:rPr>
          <w:rFonts w:eastAsia="Times New Roman" w:cs="Times New Roman"/>
          <w:color w:val="000000"/>
          <w:szCs w:val="24"/>
        </w:rPr>
      </w:pPr>
      <w:r w:rsidRPr="00F07B56">
        <w:rPr>
          <w:rFonts w:eastAsia="Times New Roman" w:cs="Times New Roman"/>
          <w:color w:val="000000"/>
          <w:szCs w:val="24"/>
        </w:rPr>
        <w:t>As dominant trees continue to grow, they would gain late-successional habitat features like large diameters, deeply fissured bark, deep crowns, large branches, broken tops, and cavities. As individual dominant trees die, they would become large snags or down wood. As large trees or snags fall, they would knock over other trees and branches, creating growing space. This growing space would release understory conifers and hardwoods, allowing them to grow into dominant trees, and stimulate growth of shrubs and herbaceous vegetation. The overall effect of these successional processes would create a mosaic of tree ages, species composition, and late-successional habitat features in the stands. Additionally, patches of overstory trees would continue to suffer mortality from sporadic processes such as root rot or other disturbance such as windthrow. This would create larger areas of growing space for surviving overstory trees, hardwoods, conifer regeneration, shrubs, and herbs to occupy. Therefore, habitat in the project area would primarily develop late-successional characteristics, with patches of early- or mid-successional habitat throughout.</w:t>
      </w:r>
    </w:p>
    <w:p w:rsidR="007E68FC" w:rsidRPr="00170C8F" w:rsidRDefault="007E68FC" w:rsidP="007E68FC">
      <w:pPr>
        <w:rPr>
          <w:rFonts w:cs="Times New Roman"/>
          <w:szCs w:val="24"/>
        </w:rPr>
      </w:pPr>
      <w:r w:rsidRPr="00E46468">
        <w:rPr>
          <w:rFonts w:eastAsia="Times New Roman" w:cs="Times New Roman"/>
          <w:color w:val="000000"/>
          <w:szCs w:val="24"/>
        </w:rPr>
        <w:t xml:space="preserve">McKenzie Landscape EA, No. DOI-BLM- OR060-2013-0005-EA. </w:t>
      </w:r>
      <w:r w:rsidRPr="00170C8F">
        <w:rPr>
          <w:rFonts w:cs="Times New Roman"/>
          <w:szCs w:val="24"/>
        </w:rPr>
        <w:t xml:space="preserve"> </w:t>
      </w:r>
      <w:hyperlink r:id="rId31" w:history="1">
        <w:r w:rsidRPr="0000590E">
          <w:rPr>
            <w:rStyle w:val="Hyperlink"/>
            <w:rFonts w:ascii="Times New Roman" w:hAnsi="Times New Roman" w:cs="Times New Roman"/>
            <w:szCs w:val="24"/>
          </w:rPr>
          <w:t>https://eplanning.blm.gov/epl-front-office/projects/nepa/69610/91093/109561/2016_11_23_McKenzie_Landscape_EA__and_Preliminary_FONSI.pdf</w:t>
        </w:r>
      </w:hyperlink>
      <w:r w:rsidRPr="00170C8F">
        <w:rPr>
          <w:rFonts w:cs="Times New Roman"/>
          <w:szCs w:val="24"/>
        </w:rPr>
        <w:t xml:space="preserve"> </w:t>
      </w:r>
    </w:p>
    <w:p w:rsidR="007E68FC" w:rsidRDefault="007E68FC" w:rsidP="007E68FC"/>
    <w:p w:rsidR="007E68FC" w:rsidRDefault="007E68FC" w:rsidP="007E68FC">
      <w:r>
        <w:t xml:space="preserve">The agency’s need to take a hard look at the comparative risk of mortality from logging versus natural processes is analogous to the 9th Circuit's decision in </w:t>
      </w:r>
      <w:r w:rsidRPr="00D01351">
        <w:rPr>
          <w:i/>
        </w:rPr>
        <w:t>Humane Society vs Locke</w:t>
      </w:r>
      <w:r>
        <w:t xml:space="preserve"> (9th Circ. November 23, 2010) which halted the killing of sea lions below Bonneville Dam because "NMFS has not adequately explained its finding that sea lion predation is having a significant negative impact on salmonid decline or recovery in light of its positive environmental assessments of harvest plans having greater mortality impacts. The absence of an explanation is particularly concerning with respect to the 2005 fishery environmental assessment. In that assessment, NMFS found that a plan providing for fisheries to take between 5.5 and 17 percent of listed salmonids annually, depending on run size, would be expected to result in “minimal adverse effects on Listed Salmonid [populations] in the Columbia River Basin,” and that the “[c]umulative impacts from NMFS’s Proposed Action would be minor if at all measurable.” Those findings are in apparent conflict with NMFS’s finding in this case that sea lions responsible for less or comparable salmonid mortality have a “significant negative impact” on the decline or recovery of these same populations, yet the agency has not offered a rationale to explain the disparate findings.... NMFS cannot avoid its duty to confront these inconsistencies by blinding itself to them." </w:t>
      </w:r>
      <w:hyperlink r:id="rId32" w:anchor="_blank" w:history="1">
        <w:r>
          <w:rPr>
            <w:rStyle w:val="Hyperlink"/>
          </w:rPr>
          <w:t>http://www.ca9.uscourts.gov/datastore/opinions/2010/11/23/08-36038.pdf</w:t>
        </w:r>
      </w:hyperlink>
      <w:r>
        <w:t>.</w:t>
      </w:r>
    </w:p>
    <w:p w:rsidR="007E68FC" w:rsidRDefault="007E68FC"/>
    <w:p w:rsidR="007B6DF2" w:rsidRDefault="007B6DF2" w:rsidP="00387091">
      <w:r>
        <w:t xml:space="preserve">The FS must embrace a probabilistic framework of analysis that recognizes our limited control of nature, the significant adverse trade-offs of commercial logging plus roads, the limited </w:t>
      </w:r>
      <w:r>
        <w:lastRenderedPageBreak/>
        <w:t>effectiveness of commercial logging</w:t>
      </w:r>
      <w:r>
        <w:rPr>
          <w:rStyle w:val="FootnoteReference"/>
        </w:rPr>
        <w:footnoteReference w:id="1"/>
      </w:r>
      <w:r>
        <w:t>, and the fact that the combined effects of commercial logging, plus natural disturbances, will likely result in net negative outcomes relative to natural process augmented by cautious application of non-commercial thinning and prescribed fire.</w:t>
      </w:r>
    </w:p>
    <w:p w:rsidR="00387091" w:rsidRDefault="00387091" w:rsidP="00387091"/>
    <w:p w:rsidR="00D73407" w:rsidRDefault="00D73407" w:rsidP="00D73407">
      <w:r>
        <w:t>Faison et al (2023) say that natural processes are more likely to develop complexity and resilience-</w:t>
      </w:r>
    </w:p>
    <w:p w:rsidR="00D73407" w:rsidRDefault="00D73407" w:rsidP="00D73407">
      <w:pPr>
        <w:ind w:left="720"/>
      </w:pPr>
      <w:r>
        <w:t>North America's temperate forests evolved continuously in response to natural disturbances and changes in climate over the past 65 million years (Askins, 2014). Only in the past 10–15,000 years did humans arrive and manage forests with fire and tree removal for subsistence and safety near their settlements (Roos, 2020; Roos et al., 2021), and only in the past two centuries did humans manage forests intensively (including the suppression of natural disturbances like fire) for  industry and other values at the regional scale (Williams, 1992).</w:t>
      </w:r>
    </w:p>
    <w:p w:rsidR="00D73407" w:rsidRDefault="00D73407" w:rsidP="00D73407">
      <w:pPr>
        <w:ind w:left="720"/>
      </w:pPr>
      <w:r>
        <w:t>…</w:t>
      </w:r>
    </w:p>
    <w:p w:rsidR="00D73407" w:rsidRDefault="00D73407" w:rsidP="00D73407">
      <w:pPr>
        <w:ind w:left="720"/>
      </w:pPr>
      <w:r>
        <w:t>Forest health and resilience are important tenets of adaptation. Yet definitions of forest health focus on the ability of forests to provide direct resources and services to people (Millar &amp; Stephenson, 2015), rather than the ability of ecosystems to persist and adapt per se in the face of changing disturbances. Hence, forest adaptation projects are portrayed as necessary for protecting forest ecosystems from climate change, when these initiatives are often more about resisting and directing change to promote a particular set of natural resource values and objectives, including economic gain.</w:t>
      </w:r>
    </w:p>
    <w:p w:rsidR="00D73407" w:rsidRDefault="00D73407" w:rsidP="00D73407">
      <w:pPr>
        <w:ind w:left="720"/>
      </w:pPr>
      <w:r>
        <w:t>…</w:t>
      </w:r>
    </w:p>
    <w:p w:rsidR="00D73407" w:rsidRDefault="00D73407" w:rsidP="00D73407">
      <w:pPr>
        <w:ind w:left="720"/>
      </w:pPr>
      <w:r>
        <w:t>Here we argue that a resist and direct approach to managing forests (e.g., mechanical thinning, prescribed burns, species selection, pre- and post</w:t>
      </w:r>
      <w:r w:rsidR="002362A1">
        <w:t>-</w:t>
      </w:r>
      <w:r>
        <w:t>disturbance salvage/planting, and other fire suppression tactics) is appropriate in some forests intended for resource production, experiments, and human safety in the “wildland–urban interface.” However, accepting the capacity of natural systems to adapt and be self</w:t>
      </w:r>
      <w:r w:rsidR="002362A1">
        <w:t>-</w:t>
      </w:r>
      <w:r>
        <w:t>sustaining with natural stewardship is a critical and  cost-effective approach in other forest contexts.</w:t>
      </w:r>
    </w:p>
    <w:p w:rsidR="00D73407" w:rsidRDefault="00D73407" w:rsidP="00D73407">
      <w:pPr>
        <w:ind w:left="720"/>
      </w:pPr>
      <w:r>
        <w:t>…</w:t>
      </w:r>
    </w:p>
    <w:p w:rsidR="00D73407" w:rsidRDefault="00D73407" w:rsidP="00D73407">
      <w:pPr>
        <w:ind w:left="720"/>
      </w:pPr>
      <w:r>
        <w:t xml:space="preserve">Although improved resilience and protection of biodiversity are goals of proposed adaptation management, active management may, in some cases, have little effect on future stand resistance (Morris et al., 2022), is often unnecessary for natural forest resilience (e.g., Cansler et al., 2022; Hart et al., 2015) and biodiversity (Thom &amp; Seidl, 2016; Viljur et al., 2022), and is generally counterproductive to carbon storage, structural complexity, tree diversity, and resistance to invasive species. (Donato et al., 2013; Miller et al., 2018; Patton et al., 2022; Schwilk et al., 2009; Young et al., 2017; Table 1). Moreover, conservation evidence for the effectiveness of management interventions is often lacking or has mixed results (Sutherland et al., 2021), resources for interventions are limited, and management incurs substantial financial and other costs to society (Houtman et al., 2013). Depending on local considerations, and based on multiple values, natural or near natural forest stewardship is an effective approach to </w:t>
      </w:r>
      <w:r>
        <w:lastRenderedPageBreak/>
        <w:t>developing and sustaining forest complexity, diversity, and functionality and traditional/aesthetic values (Franklin et al. 2002; Miller et al., 2016; Miller et al., 2018; Sze et al., 2022; Waller &amp; Reo, 2018). It is also an insurance policy as we face an uncertain future.</w:t>
      </w:r>
    </w:p>
    <w:p w:rsidR="00D73407" w:rsidRDefault="00D73407" w:rsidP="00D73407">
      <w:pPr>
        <w:ind w:left="720"/>
      </w:pPr>
      <w:r>
        <w:t>…</w:t>
      </w:r>
    </w:p>
    <w:p w:rsidR="00D73407" w:rsidRDefault="00D73407" w:rsidP="00D73407">
      <w:pPr>
        <w:ind w:left="720"/>
      </w:pPr>
      <w:r>
        <w:t>From an ecological perspective, it is questionable whether it is even desirable or necessary to reduce the frequency and intensity of fire and other disturbances away from human settlements and forests managed for sustained wood production (e.g., Bradley et al., 2016; Kulakowski, 2016). Even moderate to severe natural disturbances promote structural heterogeneity, create biological legacies and unique habitats, and can increase biodiversity (Carbone et al., 2019; Klaus et al., 2010; Santoro &amp; D'Amato, 2019; Shive et al., 2013; Swanson et al., 2011). And while mechanical thinning may mimic some of the habitat benefits of low to moderate severity fires, it does not emulate the important habitat characteristics of high severity fires (Stephens et al., 2012).</w:t>
      </w:r>
    </w:p>
    <w:p w:rsidR="00D73407" w:rsidRDefault="00D73407" w:rsidP="00D73407">
      <w:pPr>
        <w:ind w:left="720"/>
      </w:pPr>
      <w:r>
        <w:t>…</w:t>
      </w:r>
    </w:p>
    <w:p w:rsidR="00D73407" w:rsidRDefault="00D73407" w:rsidP="00D73407">
      <w:pPr>
        <w:ind w:left="720"/>
      </w:pPr>
      <w:r>
        <w:t>A common rationale for forest adaptation management is preventing future tree mortality, species compositional shifts, and carbon loss from natural disturbances. In some cases, thinning has been shown to reduce subsequent tree death from  insects and drought compared to untreated areas, thereby promoting stand resistance and maintaining an existing species composition, while procuring sound timber (Hood et al., 2016; Knapp et al., 2021). However, in other cases prescribed burn treatments increased subsequent tree mortality (Knapp et al., 2021; Stark et al., 2013; Youngblood et al., 2009), and thinning and burn treatments generally promote the spread of invasive plants relative to controls (Schwilk et al., 2009; Willms et al., 2017). Additionally, loss of tree basal area and carbon storage from thinning and prescribed burning is often equal to or considerably greater than tree mortality and carbon loss from the disturbances themselves (Campbell et al., 2012; Hood et al., 2016; Knapp et al., 2021; Powers et al., 2010; Yocom-Kent et al., 2015). As a result, treated stands are not objectively more resistant or resilient to tree mortality or carbon loss—and in many cases are less so—if losses from the management itself are taken into account. Not surprisingly, natural forests in strictly protected areas store greater amounts of carbon, on average, than managed and unprotected areas (Collins &amp; Mitchard, 2017; Moomaw et al., 2019).</w:t>
      </w:r>
    </w:p>
    <w:p w:rsidR="00D73407" w:rsidRDefault="00D73407" w:rsidP="00D73407">
      <w:pPr>
        <w:ind w:left="720"/>
      </w:pPr>
      <w:r>
        <w:t>…</w:t>
      </w:r>
    </w:p>
    <w:p w:rsidR="00D73407" w:rsidRDefault="00D73407" w:rsidP="00D73407">
      <w:pPr>
        <w:ind w:left="720"/>
      </w:pPr>
      <w:r>
        <w:t>[M]ost forests still regenerate without interventions, even after severe natural disturbances (Donato et al., 2016; Pielou, 1991; Santoro &amp; D'Amato, 2019; Shive et al., 2013). In fact, natural regeneration often exceeds active restoration efforts (Cook-Patton et al., 2020; Donato et al., 2006), provides greater genetic diversity than planted seedlings (Swanson et al., 2011), and greater stand-level carbon storage in coarse woody debris (Donato et al., 2013).</w:t>
      </w:r>
    </w:p>
    <w:p w:rsidR="00D73407" w:rsidRDefault="00D73407" w:rsidP="00D73407">
      <w:pPr>
        <w:ind w:left="720"/>
      </w:pPr>
      <w:r>
        <w:t>…</w:t>
      </w:r>
    </w:p>
    <w:p w:rsidR="00D73407" w:rsidRDefault="00D73407" w:rsidP="00D73407">
      <w:pPr>
        <w:ind w:left="720"/>
      </w:pPr>
      <w:r>
        <w:t xml:space="preserve">Perceived regeneration failures from severe fire, intensive ungulate browsing, or seed source limitations may, in many cases, be patchy or delayed tree regeneration that has other benefits when seedling densities, growth rates, and particular tree species are not primary concerns. As one example, low density regeneration reduces the severity of reburns, facilitating forest recovery (Cansler et al., 2022; Harvey et al., 2016). </w:t>
      </w:r>
      <w:r>
        <w:lastRenderedPageBreak/>
        <w:t>Heterogeneity of natural regeneration also avoids structural uniformity that occurs with planting and can extend the duration of early successional patches and gaps, there by accelerating the development of spatial and structural complexity (Donato et al., 2012; Reed et al., 2022; Swanson et al., 2011).</w:t>
      </w:r>
    </w:p>
    <w:p w:rsidR="00D73407" w:rsidRDefault="00D73407" w:rsidP="00D73407">
      <w:pPr>
        <w:ind w:left="720"/>
      </w:pPr>
      <w:r>
        <w:t>…</w:t>
      </w:r>
    </w:p>
    <w:p w:rsidR="00D73407" w:rsidRDefault="00D73407" w:rsidP="00D73407">
      <w:pPr>
        <w:ind w:left="720"/>
      </w:pPr>
      <w:r>
        <w:t>[A]ccepting change with natural stewardship and exposure to natural disturbances and processes generally increases structural complexity, carbon storage, and tree species and other diversity. These accruing benefits, in turn, make forests more resistant and resilient to many future natural challenges and provide mitigation against climate change. Given the limited resources for actively managing forests, the mixed evidence of management promoting young trees and reducing fire and other risks, and little evidence that we can actively resist or direct change in unknown future conditions better than nature can, protecting more forests with natural stewardship is a cost effective way to harness the inherent adaptation and mitigation powers in forests and ensure that they are at their most functional to regulate planetary processes.</w:t>
      </w:r>
    </w:p>
    <w:p w:rsidR="00D73407" w:rsidRDefault="00D73407" w:rsidP="00D73407">
      <w:r>
        <w:t xml:space="preserve">Faison, E. K., Masino, S. A., &amp; Moomaw, W. R. (2023). The importance of natural forest stewardship in adaptation planning in the United States. Conservation Science and Practice, e12935. </w:t>
      </w:r>
      <w:hyperlink r:id="rId33" w:history="1">
        <w:r w:rsidRPr="007B1FAF">
          <w:rPr>
            <w:rStyle w:val="Hyperlink"/>
          </w:rPr>
          <w:t>https://doi.org/10.1111/csp2.12935</w:t>
        </w:r>
      </w:hyperlink>
      <w:r>
        <w:t xml:space="preserve">. </w:t>
      </w:r>
      <w:hyperlink r:id="rId34" w:history="1">
        <w:r w:rsidRPr="007B1FAF">
          <w:rPr>
            <w:rStyle w:val="Hyperlink"/>
          </w:rPr>
          <w:t>https://conbio.onlinelibrary.wiley.com/doi/pdf/10.1111/csp2.12935</w:t>
        </w:r>
      </w:hyperlink>
      <w:r>
        <w:t xml:space="preserve">. </w:t>
      </w:r>
    </w:p>
    <w:p w:rsidR="00D73407" w:rsidRDefault="00D73407" w:rsidP="00387091"/>
    <w:p w:rsidR="00410664" w:rsidRDefault="00410664" w:rsidP="00410664">
      <w:r>
        <w:t xml:space="preserve">We are concerned that </w:t>
      </w:r>
      <w:r w:rsidR="000854F4">
        <w:t xml:space="preserve">the assessment is </w:t>
      </w:r>
      <w:r>
        <w:t xml:space="preserve">based on a false sense of control over nature when in reality fuel reduction has a low probability of encountering fire and has a modest/marginal effect on fire behavior, and wildfires continue to burn with a characteristic mix of low, moderate, and severe effects. The purpose and need for this </w:t>
      </w:r>
      <w:r w:rsidR="00145E60">
        <w:t xml:space="preserve">plan amendment </w:t>
      </w:r>
      <w:r>
        <w:t>should be adjusted accordingly and the agency should consider alternatives that are based on working with, instead of against, natural processes.</w:t>
      </w:r>
    </w:p>
    <w:p w:rsidR="00410664" w:rsidRDefault="00410664" w:rsidP="00410664"/>
    <w:p w:rsidR="00410664" w:rsidRPr="00145E60" w:rsidRDefault="00410664" w:rsidP="00410664">
      <w:pPr>
        <w:rPr>
          <w:rFonts w:cs="Times New Roman"/>
          <w:szCs w:val="24"/>
        </w:rPr>
      </w:pPr>
      <w:r w:rsidRPr="00145E60">
        <w:rPr>
          <w:rFonts w:cs="Times New Roman"/>
          <w:szCs w:val="24"/>
        </w:rPr>
        <w:t xml:space="preserve">Oregon forests are fire-dependent. Even with increasing acres burned by wildfire in recent years, there is still a severe deficit of fire in all severity classes, including severe fire, a deficit which grows yearly. In eastern Oregon and Washington, </w:t>
      </w:r>
    </w:p>
    <w:p w:rsidR="00410664" w:rsidRDefault="00410664" w:rsidP="00410664">
      <w:pPr>
        <w:ind w:left="720"/>
      </w:pPr>
      <w:r>
        <w:t>Contemporary years average well under historical rates for virtually all severity classes across dry and moist (but not cold) forests. Annualized fire deficits relative to historical rates are especially conspicuous for low-severity area in dry forests (on average missing 127,000–161,000 ha</w:t>
      </w:r>
      <w:r>
        <w:rPr>
          <w:rFonts w:ascii="Cambria Math" w:hAnsi="Cambria Math" w:cs="Cambria Math"/>
        </w:rPr>
        <w:t>⋅</w:t>
      </w:r>
      <w:r>
        <w:t>yr</w:t>
      </w:r>
      <w:r w:rsidRPr="00170C8F">
        <w:rPr>
          <w:rFonts w:cs="Times New Roman"/>
        </w:rPr>
        <w:t>−</w:t>
      </w:r>
      <w:r>
        <w:t>1 regionally) and moderate-severity area in both dry (missing 34,000–44,000 ha</w:t>
      </w:r>
      <w:r>
        <w:rPr>
          <w:rFonts w:ascii="Cambria Math" w:hAnsi="Cambria Math" w:cs="Cambria Math"/>
        </w:rPr>
        <w:t>⋅</w:t>
      </w:r>
      <w:r>
        <w:t>yr</w:t>
      </w:r>
      <w:r w:rsidRPr="00170C8F">
        <w:rPr>
          <w:rFonts w:cs="Times New Roman"/>
        </w:rPr>
        <w:t>−</w:t>
      </w:r>
      <w:r>
        <w:t>1) and moist (missing 9000–12,000 ha</w:t>
      </w:r>
      <w:r>
        <w:rPr>
          <w:rFonts w:ascii="Cambria Math" w:hAnsi="Cambria Math" w:cs="Cambria Math"/>
        </w:rPr>
        <w:t>⋅</w:t>
      </w:r>
      <w:r>
        <w:t>yr</w:t>
      </w:r>
      <w:r w:rsidRPr="00170C8F">
        <w:rPr>
          <w:rFonts w:cs="Times New Roman"/>
        </w:rPr>
        <w:t>−</w:t>
      </w:r>
      <w:r>
        <w:t>1 ) forests. Ten-year moving averages in burn area are increasing in recent years, but remain below historical levels. Trends are similar across states and major land ownerships. … As such, beneficial fire years may be those not with less, but rather more, area burned – with characteristic severity and patch distributions, minimal clearly-negative impacts (e.g. loss of life and property), and contribution to restoration/maintenance objectives.</w:t>
      </w:r>
    </w:p>
    <w:p w:rsidR="00410664" w:rsidRDefault="00410664" w:rsidP="00410664">
      <w:pPr>
        <w:ind w:left="720"/>
      </w:pPr>
      <w:r>
        <w:t>…</w:t>
      </w:r>
    </w:p>
    <w:p w:rsidR="00410664" w:rsidRPr="00F07B56" w:rsidRDefault="00410664" w:rsidP="00410664">
      <w:pPr>
        <w:ind w:left="720"/>
        <w:rPr>
          <w:rFonts w:cs="Times New Roman"/>
        </w:rPr>
      </w:pPr>
      <w:r w:rsidRPr="00F07B56">
        <w:rPr>
          <w:rFonts w:cs="Times New Roman"/>
        </w:rPr>
        <w:t xml:space="preserve">Three key takeaways emerge: 1) historically, for all the forest types of the inland Pacific Northwest to have burned at published frequencies, a significant fraction of the land base – hundreds of thousands of hectares – would have burned each year, albeit with substantial year to year variation; 2) the contemporary era (1985–2020) has been much </w:t>
      </w:r>
      <w:r w:rsidRPr="00F07B56">
        <w:rPr>
          <w:rFonts w:cs="Times New Roman"/>
        </w:rPr>
        <w:lastRenderedPageBreak/>
        <w:t>less fiery than the historical era – by nearly an order of magnitude when comparing averages of annual area burned; and 3) these burned-area rates demonstrate that successful forest restoration and maintenance will likely require both increasing active treatment rates and incorporating managed wildfire.</w:t>
      </w:r>
    </w:p>
    <w:p w:rsidR="00410664" w:rsidRPr="00170C8F" w:rsidRDefault="00410664" w:rsidP="00410664">
      <w:pPr>
        <w:ind w:left="720"/>
        <w:rPr>
          <w:rFonts w:cs="Times New Roman"/>
        </w:rPr>
      </w:pPr>
      <w:r w:rsidRPr="00170C8F">
        <w:rPr>
          <w:rFonts w:cs="Times New Roman"/>
        </w:rPr>
        <w:t>… Without significantly greater use of managed wildfire, in combination with major increases in prescribed fire or other treatments, it will be challenging to achieve wildfire risk reduction and landscape climate adaptation goals in a meaningful timeframe (</w:t>
      </w:r>
      <w:hyperlink r:id="rId35" w:anchor="b0240" w:history="1">
        <w:r w:rsidRPr="001E02DA">
          <w:rPr>
            <w:rStyle w:val="anchor-text"/>
            <w:rFonts w:ascii="Times New Roman" w:hAnsi="Times New Roman" w:cs="Times New Roman"/>
          </w:rPr>
          <w:t>North et al., 2012</w:t>
        </w:r>
      </w:hyperlink>
      <w:r w:rsidRPr="00170C8F">
        <w:rPr>
          <w:rFonts w:cs="Times New Roman"/>
        </w:rPr>
        <w:t>, </w:t>
      </w:r>
      <w:hyperlink r:id="rId36" w:anchor="b0245" w:history="1">
        <w:r w:rsidRPr="001E02DA">
          <w:rPr>
            <w:rStyle w:val="anchor-text"/>
            <w:rFonts w:ascii="Times New Roman" w:hAnsi="Times New Roman" w:cs="Times New Roman"/>
          </w:rPr>
          <w:t>North et al., 2021</w:t>
        </w:r>
      </w:hyperlink>
      <w:r w:rsidRPr="00170C8F">
        <w:rPr>
          <w:rFonts w:cs="Times New Roman"/>
        </w:rPr>
        <w:t>, </w:t>
      </w:r>
      <w:hyperlink r:id="rId37" w:anchor="b0015" w:history="1">
        <w:r w:rsidRPr="001E02DA">
          <w:rPr>
            <w:rStyle w:val="anchor-text"/>
            <w:rFonts w:ascii="Times New Roman" w:hAnsi="Times New Roman" w:cs="Times New Roman"/>
          </w:rPr>
          <w:t>Ager et al., 2022</w:t>
        </w:r>
      </w:hyperlink>
      <w:r w:rsidRPr="00170C8F">
        <w:rPr>
          <w:rFonts w:cs="Times New Roman"/>
        </w:rPr>
        <w:t>).</w:t>
      </w:r>
    </w:p>
    <w:p w:rsidR="00410664" w:rsidRPr="00170C8F" w:rsidRDefault="00410664" w:rsidP="00410664">
      <w:pPr>
        <w:ind w:left="720"/>
        <w:rPr>
          <w:rFonts w:cs="Times New Roman"/>
          <w:szCs w:val="24"/>
        </w:rPr>
      </w:pPr>
      <w:r w:rsidRPr="00170C8F">
        <w:rPr>
          <w:rFonts w:cs="Times New Roman"/>
        </w:rPr>
        <w:t>… A broader assessment of fire impacts could place fire seasons in a more meaningful context. Rather than a narrative centered simply on absolute area burned, a broader evaluation would consider both the impacts and the ‘work’ accomplished by wildfires. The ‘work’ of wildfire can be thought of as the degree to which stand- and landscape-scale fire effects are consistent with science-based objectives for </w:t>
      </w:r>
      <w:hyperlink r:id="rId38" w:tooltip="Learn more about ecosystem resilience from ScienceDirect's AI-generated Topic Pages" w:history="1">
        <w:r w:rsidRPr="001E02DA">
          <w:rPr>
            <w:rStyle w:val="Hyperlink"/>
            <w:rFonts w:ascii="Times New Roman" w:hAnsi="Times New Roman" w:cs="Times New Roman"/>
          </w:rPr>
          <w:t>ecosystem resilience</w:t>
        </w:r>
      </w:hyperlink>
      <w:r w:rsidRPr="00170C8F">
        <w:rPr>
          <w:rFonts w:cs="Times New Roman"/>
        </w:rPr>
        <w:t> or planned forest restoration/maintenance treatments. In essence, the question shifts from “how many hectares burned?” to “how many hectares burned that produced desired versus deleterious outcomes – ecologically and socially?” (See </w:t>
      </w:r>
      <w:hyperlink r:id="rId39" w:anchor="b0100" w:history="1">
        <w:r w:rsidRPr="001E02DA">
          <w:rPr>
            <w:rStyle w:val="anchor-text"/>
            <w:rFonts w:ascii="Times New Roman" w:hAnsi="Times New Roman" w:cs="Times New Roman"/>
          </w:rPr>
          <w:t>WA DNR, 2022a</w:t>
        </w:r>
      </w:hyperlink>
      <w:r w:rsidRPr="00170C8F">
        <w:rPr>
          <w:rFonts w:cs="Times New Roman"/>
        </w:rPr>
        <w:t>, </w:t>
      </w:r>
      <w:hyperlink r:id="rId40" w:anchor="b0105" w:history="1">
        <w:r w:rsidRPr="001E02DA">
          <w:rPr>
            <w:rStyle w:val="anchor-text"/>
            <w:rFonts w:ascii="Times New Roman" w:hAnsi="Times New Roman" w:cs="Times New Roman"/>
          </w:rPr>
          <w:t>WA DNR, 2022b</w:t>
        </w:r>
      </w:hyperlink>
      <w:r w:rsidRPr="00170C8F">
        <w:rPr>
          <w:rFonts w:cs="Times New Roman"/>
        </w:rPr>
        <w:t xml:space="preserve">). </w:t>
      </w:r>
    </w:p>
    <w:p w:rsidR="00410664" w:rsidRPr="00E46468" w:rsidRDefault="00410664" w:rsidP="00410664">
      <w:pPr>
        <w:rPr>
          <w:rFonts w:cs="Times New Roman"/>
          <w:szCs w:val="24"/>
        </w:rPr>
      </w:pPr>
      <w:r w:rsidRPr="00E46468">
        <w:rPr>
          <w:rFonts w:cs="Times New Roman"/>
          <w:szCs w:val="24"/>
        </w:rPr>
        <w:t xml:space="preserve">Daniel C. Donato, Joshua S. Halofsky, Derek J. Churchill, Ryan D. Haugo, C. Alina Cansler, Annie Smith, Brian J. Harvey, 2023.  Does large area burned mean a bad fire year? Comparing contemporary wildfire years to historical fire regimes informs the restoration task in fire-dependent forests, Forest Ecology and Management, Volume 546, 2023, 121372, ISSN 0378-1127, </w:t>
      </w:r>
      <w:hyperlink r:id="rId41" w:history="1">
        <w:r w:rsidRPr="00E46468">
          <w:rPr>
            <w:rStyle w:val="Hyperlink"/>
            <w:rFonts w:cs="Times New Roman"/>
            <w:szCs w:val="24"/>
          </w:rPr>
          <w:t>https://doi.org/10.1016/j.foreco.2023.121372</w:t>
        </w:r>
      </w:hyperlink>
      <w:r w:rsidRPr="00E46468">
        <w:rPr>
          <w:rFonts w:cs="Times New Roman"/>
          <w:szCs w:val="24"/>
        </w:rPr>
        <w:t xml:space="preserve">. </w:t>
      </w:r>
      <w:hyperlink r:id="rId42" w:history="1">
        <w:r w:rsidRPr="00E46468">
          <w:rPr>
            <w:rStyle w:val="Hyperlink"/>
            <w:rFonts w:cs="Times New Roman"/>
            <w:szCs w:val="24"/>
          </w:rPr>
          <w:t>https://www.sciencedirect.com/science/article/pii/S0378112723006060</w:t>
        </w:r>
      </w:hyperlink>
      <w:r w:rsidRPr="00E46468">
        <w:rPr>
          <w:rFonts w:cs="Times New Roman"/>
          <w:szCs w:val="24"/>
        </w:rPr>
        <w:t>. The authors recommend greater use of fire as a management tool.</w:t>
      </w:r>
    </w:p>
    <w:p w:rsidR="00410664" w:rsidRDefault="00410664" w:rsidP="00387091"/>
    <w:p w:rsidR="008768AE" w:rsidRDefault="008768AE" w:rsidP="008768AE">
      <w:r>
        <w:t>After the extreme 2020 wildfires in Oregon’s western Cascades, Bev Law testified before Congress saying:</w:t>
      </w:r>
    </w:p>
    <w:p w:rsidR="008768AE" w:rsidRDefault="008768AE" w:rsidP="008768AE">
      <w:pPr>
        <w:ind w:left="720"/>
      </w:pPr>
      <w:r>
        <w:t>The takeaway from the 2020 fires in Oregon is that we will always have available fuel in the forests that can burn. Grasslands and shrublands can burn too. We are not going to be able to cut our way to less fire, nor are we going to be able to suppress all fire. We need to be prepared for the large fire events by hardening our homes and protecting our communities. We may need to improve forest management, and that discussion needs to include how we manage industrial forestlands so they do not pose increased risks to communities.</w:t>
      </w:r>
    </w:p>
    <w:p w:rsidR="008768AE" w:rsidRDefault="008768AE" w:rsidP="008768AE">
      <w:pPr>
        <w:ind w:left="720"/>
      </w:pPr>
      <w:r>
        <w:t>…</w:t>
      </w:r>
    </w:p>
    <w:p w:rsidR="008768AE" w:rsidRDefault="008768AE" w:rsidP="008768AE">
      <w:pPr>
        <w:ind w:left="720"/>
      </w:pPr>
      <w:r>
        <w:t xml:space="preserve">Increasing the use of prescribed fires and managing wildland fires may promote resilience to more frequent fire (Schoennagel et al. 2017).” However, the scope and scale of this work is very expensive, and thinning vast landscapes has not been shown to have a high-probability of success in encountering fire or altering fire behavior. In Oregon, we have millions of acres of dry forests, and just addressing a portion of this landscape will costs billions of dollars. Because of the short period of treatment effectiveness (10-20 yr), the treatments will need to be repeated into the future. It is important for policymakers to know that there are ecological and carbon costs from landscape scale thinning, and that it is not an effective tool to ensure community safety. Rather, as Dr. Jack Cohen has </w:t>
      </w:r>
      <w:r>
        <w:lastRenderedPageBreak/>
        <w:t>demonstrating, working from the home outward is the best approach to ensuring fire safe communities.</w:t>
      </w:r>
    </w:p>
    <w:p w:rsidR="008768AE" w:rsidRDefault="008768AE" w:rsidP="008768AE">
      <w:pPr>
        <w:ind w:left="720"/>
      </w:pPr>
      <w:r>
        <w:t>…</w:t>
      </w:r>
    </w:p>
    <w:p w:rsidR="008768AE" w:rsidRDefault="008768AE" w:rsidP="008768AE">
      <w:pPr>
        <w:ind w:left="720"/>
      </w:pPr>
      <w:r>
        <w:t>It is highly unlikely that attempt to manage the flammability of vast landscapes by cutting will be effective or achievable over time. See responses to (#5a, 16c). State and federal agencies need to support individuals and communities to be fire wise, create and maintain defensible space and protect critical infrastructure. Home hardening works. Emergency planning and early warning systems are the</w:t>
      </w:r>
    </w:p>
    <w:p w:rsidR="008768AE" w:rsidRDefault="008768AE" w:rsidP="008768AE">
      <w:pPr>
        <w:ind w:left="720"/>
      </w:pPr>
      <w:r>
        <w:t>most effective ways to save lives and livelihoods in extreme fire weather.</w:t>
      </w:r>
    </w:p>
    <w:p w:rsidR="008768AE" w:rsidRDefault="008768AE" w:rsidP="008768AE">
      <w:r>
        <w:t xml:space="preserve">Law, B. 2021. Response to Questions for the Record, </w:t>
      </w:r>
      <w:r>
        <w:rPr>
          <w:i/>
        </w:rPr>
        <w:t>a</w:t>
      </w:r>
      <w:r w:rsidRPr="00D42916">
        <w:rPr>
          <w:i/>
        </w:rPr>
        <w:t>ttached to</w:t>
      </w:r>
      <w:r>
        <w:t xml:space="preserve"> STATEMENT OF DR. BEVERLY LAW, PROFESSOR EMERITUS, OREGON STATE UNIVERSITY,  BEFORE THE UNITED STATES HOUSE OF REPRESENTATIVES,  SUBCOMMITTEE ON NATIONAL PARKS, FORESTS AND PUBLIC LANDS,  APRIL 29, 2021, CONCERNING “WILDFIRE IN A WARMING WORLD: OPPORTUNITIES TO IMPROVE COMMUNITY COLLABORATION, CLIMATE RESILIENCE, AND WORKFORCE CAPACITY” </w:t>
      </w:r>
      <w:hyperlink r:id="rId43" w:history="1">
        <w:r w:rsidRPr="005517EB">
          <w:rPr>
            <w:rStyle w:val="Hyperlink"/>
          </w:rPr>
          <w:t>https://naturalresources.house.gov/imo/media/doc/Law,%20Beverly%20-%20Testimony%20-%20NPFPL%20Ov%20Hrg%2004.29.21.pdf</w:t>
        </w:r>
      </w:hyperlink>
      <w:r>
        <w:t xml:space="preserve"> (link to Statement, without Response to Questions).</w:t>
      </w:r>
    </w:p>
    <w:p w:rsidR="008768AE" w:rsidRDefault="008768AE" w:rsidP="008768AE"/>
    <w:p w:rsidR="008768AE" w:rsidRPr="00E46468" w:rsidRDefault="008768AE" w:rsidP="008768AE">
      <w:pPr>
        <w:rPr>
          <w:rFonts w:asciiTheme="minorHAnsi" w:hAnsiTheme="minorHAnsi"/>
        </w:rPr>
      </w:pPr>
      <w:r w:rsidRPr="00E46468">
        <w:t xml:space="preserve">The agencies are moving across the landscape often using commercial logging as a tool to aggressively manage fuels and reducing stand density which causes significant cumulative impacts on soil, water, wildlife habitat, carbon storage, and other values. These public resources are now exposed to the unprecedented compound effects of both logging and fire. The agency thinks it has found great alignment between its desire for timber production, risk reduction, and other restoration goals, but this view is just too convenient. It requires constant validation and reassessment. The view that everything aligns may be hiding significant trade-offs and causing the agency to overlook other viable options, such as decreasing reliance on logging and increasing reliance on fire as tools to achieve more optimal forest management outcomes. The accumulation of evidence does not support logging for fuel reduction as a sound strategy to manage fuel and fire. </w:t>
      </w:r>
    </w:p>
    <w:p w:rsidR="008768AE" w:rsidRPr="00E46468" w:rsidRDefault="008768AE" w:rsidP="008768AE">
      <w:pPr>
        <w:numPr>
          <w:ilvl w:val="0"/>
          <w:numId w:val="4"/>
        </w:numPr>
        <w:suppressAutoHyphens/>
        <w:spacing w:line="240" w:lineRule="auto"/>
        <w:rPr>
          <w:rFonts w:asciiTheme="minorHAnsi" w:hAnsiTheme="minorHAnsi"/>
        </w:rPr>
      </w:pPr>
      <w:r w:rsidRPr="00E46468">
        <w:rPr>
          <w:rFonts w:asciiTheme="minorHAnsi" w:hAnsiTheme="minorHAnsi"/>
          <w:i/>
        </w:rPr>
        <w:t>Most fires are climate-driven, rather than fuel-driven.</w:t>
      </w:r>
      <w:r w:rsidRPr="00E46468">
        <w:rPr>
          <w:rFonts w:asciiTheme="minorHAnsi" w:hAnsiTheme="minorHAnsi"/>
        </w:rPr>
        <w:t xml:space="preserve"> The warming climate is likely to make this effect even more pronounced. Schoennagel et al 2017. Adapt to more wildfire in western North American forests as climate changes. PNAS 2017; published ahead of print April 17, 2017. </w:t>
      </w:r>
      <w:hyperlink r:id="rId44" w:history="1">
        <w:r w:rsidRPr="00E46468">
          <w:rPr>
            <w:rStyle w:val="Hyperlink"/>
            <w:rFonts w:asciiTheme="minorHAnsi" w:hAnsiTheme="minorHAnsi"/>
          </w:rPr>
          <w:t>www.pnas.org/cgi/doi/10.1073/pnas.1617464114</w:t>
        </w:r>
      </w:hyperlink>
      <w:r w:rsidRPr="00E46468">
        <w:rPr>
          <w:rFonts w:asciiTheme="minorHAnsi" w:hAnsiTheme="minorHAnsi"/>
        </w:rPr>
        <w:t xml:space="preserve">;  </w:t>
      </w:r>
      <w:hyperlink r:id="rId45" w:history="1">
        <w:r w:rsidRPr="00E46468">
          <w:rPr>
            <w:rStyle w:val="Hyperlink"/>
            <w:rFonts w:asciiTheme="minorHAnsi" w:hAnsiTheme="minorHAnsi"/>
            <w:szCs w:val="24"/>
          </w:rPr>
          <w:t>https://headwaterseconomics.org/wp-content/uploads/Adapt_To_More_Wildfire.pdf</w:t>
        </w:r>
      </w:hyperlink>
      <w:r w:rsidRPr="00E46468">
        <w:rPr>
          <w:rFonts w:asciiTheme="minorHAnsi" w:hAnsiTheme="minorHAnsi"/>
          <w:szCs w:val="24"/>
        </w:rPr>
        <w:t xml:space="preserve">; Odion, D.C. et al 2014. Examining Historical and Current Mixed-Severity Fire Regimes in Ponderosa Pine and Mixed-Conifer Forests of Western North America. PLOS One. February 2014 | Volume 9 | Issue 2 </w:t>
      </w:r>
      <w:r w:rsidRPr="00E46468">
        <w:rPr>
          <w:rStyle w:val="Hyperlink"/>
          <w:rFonts w:asciiTheme="minorHAnsi" w:hAnsiTheme="minorHAnsi"/>
          <w:szCs w:val="24"/>
        </w:rPr>
        <w:t>http://www.californiachaparral.org/images/Odion_et_al_Historical_Current_Fire_Regimes_mixed_conifer_2014.pdf</w:t>
      </w:r>
      <w:r w:rsidRPr="00E46468">
        <w:rPr>
          <w:rFonts w:asciiTheme="minorHAnsi" w:hAnsiTheme="minorHAnsi"/>
        </w:rPr>
        <w:t xml:space="preserve">; See also, Alisa Keyser and Anthony Westerling, 2017. Climate drives inter-annual variability in probability of high severity fire occurrence in the western United States, Environmental Research Letters. Accepted Manuscript online 4 April 2017 </w:t>
      </w:r>
      <w:hyperlink r:id="rId46" w:history="1">
        <w:r w:rsidRPr="00E46468">
          <w:rPr>
            <w:rStyle w:val="Hyperlink"/>
            <w:rFonts w:asciiTheme="minorHAnsi" w:hAnsiTheme="minorHAnsi"/>
          </w:rPr>
          <w:t>https://doi.org/10.1088/1748-9326/aa6b10</w:t>
        </w:r>
      </w:hyperlink>
      <w:r w:rsidRPr="00E46468">
        <w:rPr>
          <w:rFonts w:asciiTheme="minorHAnsi" w:hAnsiTheme="minorHAnsi"/>
        </w:rPr>
        <w:t>.</w:t>
      </w:r>
    </w:p>
    <w:p w:rsidR="008768AE" w:rsidRPr="00E46468" w:rsidRDefault="008768AE" w:rsidP="008768AE">
      <w:pPr>
        <w:numPr>
          <w:ilvl w:val="0"/>
          <w:numId w:val="4"/>
        </w:numPr>
        <w:suppressAutoHyphens/>
        <w:spacing w:line="240" w:lineRule="auto"/>
        <w:rPr>
          <w:rFonts w:asciiTheme="minorHAnsi" w:hAnsiTheme="minorHAnsi"/>
          <w:i/>
        </w:rPr>
      </w:pPr>
      <w:r w:rsidRPr="00E46468">
        <w:rPr>
          <w:rFonts w:asciiTheme="minorHAnsi" w:hAnsiTheme="minorHAnsi"/>
          <w:i/>
        </w:rPr>
        <w:t>Our forests are still suffering from a deficit of fire, including high severity fire. Any trend toward more severe fires in the west is very recent and driven by climate change, not fuels.</w:t>
      </w:r>
      <w:r w:rsidRPr="00E46468">
        <w:rPr>
          <w:rFonts w:asciiTheme="minorHAnsi" w:hAnsiTheme="minorHAnsi"/>
        </w:rPr>
        <w:t xml:space="preserve"> Many institutions (timber industry, counties, land management agencies, some academics) have been advocating for aggressive fuel reduction for years, based on a counterfactual </w:t>
      </w:r>
      <w:r w:rsidRPr="00E46468">
        <w:rPr>
          <w:rFonts w:asciiTheme="minorHAnsi" w:hAnsiTheme="minorHAnsi"/>
        </w:rPr>
        <w:lastRenderedPageBreak/>
        <w:t>assertion that recent fires are uncharacteristic and driven by excessive fuels. Neither of these is well-supported by evidence (except for some very recent fire seasons driven to extremes by global climate change).</w:t>
      </w:r>
    </w:p>
    <w:p w:rsidR="008768AE" w:rsidRPr="00E46468" w:rsidRDefault="008768AE" w:rsidP="008768AE">
      <w:pPr>
        <w:numPr>
          <w:ilvl w:val="1"/>
          <w:numId w:val="4"/>
        </w:numPr>
        <w:suppressAutoHyphens/>
        <w:spacing w:line="240" w:lineRule="auto"/>
        <w:rPr>
          <w:rFonts w:asciiTheme="minorHAnsi" w:hAnsiTheme="minorHAnsi" w:cs="Times New Roman"/>
          <w:szCs w:val="24"/>
        </w:rPr>
      </w:pPr>
      <w:r w:rsidRPr="00E46468">
        <w:rPr>
          <w:rFonts w:asciiTheme="minorHAnsi" w:hAnsiTheme="minorHAnsi"/>
          <w:szCs w:val="24"/>
        </w:rPr>
        <w:t xml:space="preserve">Schwind, B. (compiler). 2008. MTBS: Monitoring Trends in Burn Severity: Report on the PNW &amp; PSW Fires — 1984 to 2005. </w:t>
      </w:r>
      <w:hyperlink r:id="rId47" w:history="1">
        <w:r w:rsidRPr="00E46468">
          <w:rPr>
            <w:rStyle w:val="Hyperlink"/>
            <w:rFonts w:asciiTheme="minorHAnsi" w:hAnsiTheme="minorHAnsi"/>
            <w:szCs w:val="24"/>
          </w:rPr>
          <w:t>https://web.archive.org/web/20130214220819/http://www.mtbs.gov/reports/MTBS_pnw-psw_final.pdf</w:t>
        </w:r>
      </w:hyperlink>
      <w:r w:rsidRPr="00E46468">
        <w:rPr>
          <w:rFonts w:asciiTheme="minorHAnsi" w:hAnsiTheme="minorHAnsi" w:cs="Times New Roman"/>
          <w:szCs w:val="24"/>
        </w:rPr>
        <w:t xml:space="preserve">  (“MTBS data does not support the assumption that wildfires [in the PNW] are burning more severely in recent years. ... </w:t>
      </w:r>
      <w:r w:rsidRPr="00E46468">
        <w:rPr>
          <w:rFonts w:asciiTheme="minorHAnsi" w:hAnsiTheme="minorHAnsi" w:cs="Times New Roman"/>
          <w:color w:val="000000"/>
          <w:szCs w:val="24"/>
        </w:rPr>
        <w:t>The majority of area burned falls within the unburned to low severity range, with relatively low annual variation in these severity classes. The high and moderate severity classes show higher relative variation between years, suggesting that these classes may be most influenced by variation in climate, weather, and seasonal fuel conditions.</w:t>
      </w:r>
      <w:r w:rsidRPr="00E46468">
        <w:rPr>
          <w:rFonts w:asciiTheme="minorHAnsi" w:hAnsiTheme="minorHAnsi" w:cs="Times New Roman"/>
          <w:szCs w:val="24"/>
        </w:rPr>
        <w:t>”)</w:t>
      </w:r>
    </w:p>
    <w:p w:rsidR="008768AE" w:rsidRPr="00E46468" w:rsidRDefault="008768AE" w:rsidP="008768AE">
      <w:pPr>
        <w:numPr>
          <w:ilvl w:val="1"/>
          <w:numId w:val="4"/>
        </w:numPr>
        <w:suppressAutoHyphens/>
        <w:spacing w:line="240" w:lineRule="auto"/>
        <w:rPr>
          <w:rStyle w:val="fontstyle21"/>
          <w:rFonts w:asciiTheme="minorHAnsi" w:hAnsiTheme="minorHAnsi" w:cs="Times New Roman"/>
          <w:sz w:val="24"/>
          <w:szCs w:val="24"/>
        </w:rPr>
      </w:pPr>
      <w:r w:rsidRPr="00E46468">
        <w:rPr>
          <w:rStyle w:val="fontstyle21"/>
          <w:rFonts w:asciiTheme="minorHAnsi" w:hAnsiTheme="minorHAnsi" w:cs="Times New Roman"/>
          <w:sz w:val="24"/>
          <w:szCs w:val="24"/>
        </w:rPr>
        <w:t xml:space="preserve">Vaillant &amp; Reinhardt 2017. An Evaluation of the Forest Service Hazardous Fuels Treatment Program—Are We Treating Enough to Promote Resiliency or Reduce Hazard? J. For. 115(4):300 –308. July 2017. </w:t>
      </w:r>
      <w:hyperlink r:id="rId48" w:history="1">
        <w:r w:rsidRPr="00E46468">
          <w:rPr>
            <w:rStyle w:val="Hyperlink"/>
            <w:rFonts w:asciiTheme="minorHAnsi" w:hAnsiTheme="minorHAnsi" w:cs="Times New Roman"/>
            <w:szCs w:val="24"/>
          </w:rPr>
          <w:t>https://doi.org/10.5849/jof.16-067</w:t>
        </w:r>
      </w:hyperlink>
      <w:r w:rsidRPr="00E46468">
        <w:rPr>
          <w:rStyle w:val="fontstyle21"/>
          <w:rFonts w:asciiTheme="minorHAnsi" w:hAnsiTheme="minorHAnsi" w:cs="Times New Roman"/>
          <w:sz w:val="24"/>
          <w:szCs w:val="24"/>
        </w:rPr>
        <w:t xml:space="preserve">. </w:t>
      </w:r>
      <w:hyperlink r:id="rId49" w:history="1">
        <w:r w:rsidRPr="00E46468">
          <w:rPr>
            <w:rStyle w:val="Hyperlink"/>
            <w:rFonts w:asciiTheme="minorHAnsi" w:hAnsiTheme="minorHAnsi" w:cs="Times New Roman"/>
            <w:szCs w:val="24"/>
          </w:rPr>
          <w:t>https://www.fs.fed.us/pnw/pubs/journals/pnw_2017_vaillant001.pdf</w:t>
        </w:r>
      </w:hyperlink>
      <w:r w:rsidRPr="00E46468">
        <w:rPr>
          <w:rStyle w:val="fontstyle21"/>
          <w:rFonts w:asciiTheme="minorHAnsi" w:hAnsiTheme="minorHAnsi" w:cs="Times New Roman"/>
          <w:sz w:val="24"/>
          <w:szCs w:val="24"/>
        </w:rPr>
        <w:t xml:space="preserve"> (Nationwide, only 11% of fires burn uncharacteristically.)</w:t>
      </w:r>
    </w:p>
    <w:p w:rsidR="008768AE" w:rsidRPr="00E46468" w:rsidRDefault="008768AE" w:rsidP="008768AE">
      <w:pPr>
        <w:numPr>
          <w:ilvl w:val="1"/>
          <w:numId w:val="4"/>
        </w:numPr>
        <w:suppressAutoHyphens/>
        <w:spacing w:line="240" w:lineRule="auto"/>
        <w:rPr>
          <w:rFonts w:asciiTheme="minorHAnsi" w:hAnsiTheme="minorHAnsi" w:cs="Times New Roman"/>
          <w:szCs w:val="24"/>
        </w:rPr>
      </w:pPr>
      <w:r w:rsidRPr="00E46468">
        <w:rPr>
          <w:rFonts w:asciiTheme="minorHAnsi" w:hAnsiTheme="minorHAnsi" w:cs="Times New Roman"/>
          <w:szCs w:val="24"/>
        </w:rPr>
        <w:t xml:space="preserve">Law, B.E., Waring, R.H. 2015. Review and synthesis - Carbon implications of current and future effects of drought, fire and management on Pacific Northwest forests. Forest Ecology and Management 355 (2015) 4–14. </w:t>
      </w:r>
      <w:hyperlink r:id="rId50" w:history="1">
        <w:r w:rsidRPr="00E46468">
          <w:rPr>
            <w:rStyle w:val="Hyperlink"/>
            <w:rFonts w:asciiTheme="minorHAnsi" w:hAnsiTheme="minorHAnsi"/>
            <w:szCs w:val="24"/>
          </w:rPr>
          <w:t>http://people.forestry.oregonstate.edu/richard-waring/sites/people.forestry.oregonstate.edu.richard-waring/files/publications/Law%20and%20Waring%202015.pdf</w:t>
        </w:r>
      </w:hyperlink>
      <w:r w:rsidRPr="00E46468">
        <w:rPr>
          <w:rFonts w:asciiTheme="minorHAnsi" w:hAnsiTheme="minorHAnsi" w:cs="Times New Roman"/>
          <w:szCs w:val="24"/>
        </w:rPr>
        <w:t xml:space="preserve"> (This study reported no significant trend in area burned, number of fires, or fire severity for the state of Oregon.)</w:t>
      </w:r>
    </w:p>
    <w:p w:rsidR="008768AE" w:rsidRPr="00E46468" w:rsidRDefault="008768AE" w:rsidP="008768AE">
      <w:pPr>
        <w:numPr>
          <w:ilvl w:val="1"/>
          <w:numId w:val="4"/>
        </w:numPr>
        <w:suppressAutoHyphens/>
        <w:spacing w:line="240" w:lineRule="auto"/>
        <w:rPr>
          <w:rFonts w:asciiTheme="minorHAnsi" w:hAnsiTheme="minorHAnsi" w:cs="Times New Roman"/>
          <w:szCs w:val="24"/>
        </w:rPr>
      </w:pPr>
      <w:r w:rsidRPr="00E46468">
        <w:rPr>
          <w:rFonts w:asciiTheme="minorHAnsi" w:hAnsiTheme="minorHAnsi" w:cs="Times New Roman"/>
          <w:szCs w:val="24"/>
        </w:rPr>
        <w:t xml:space="preserve">Ray Davis et al 2015. RMP Revisions for Western Oregon BLM DEIS. Appendix D – Modeling Wildfires and Fire Severity. </w:t>
      </w:r>
      <w:hyperlink r:id="rId51" w:history="1">
        <w:r w:rsidRPr="00E46468">
          <w:rPr>
            <w:rStyle w:val="Hyperlink"/>
            <w:rFonts w:asciiTheme="minorHAnsi" w:hAnsiTheme="minorHAnsi" w:cs="Times New Roman"/>
            <w:szCs w:val="24"/>
          </w:rPr>
          <w:t>http://www.blm.gov/or/plans/rmpswesternoregon/files/draft/RMP_EIS_Volume3_appd.pdf</w:t>
        </w:r>
      </w:hyperlink>
      <w:r w:rsidRPr="00E46468">
        <w:rPr>
          <w:rFonts w:asciiTheme="minorHAnsi" w:hAnsiTheme="minorHAnsi" w:cs="Times New Roman"/>
          <w:szCs w:val="24"/>
        </w:rPr>
        <w:t>. (“… examined the MTBS data for any obvious temporal trends in wildfire severity [within the range of the spotted owl], but did not detect a strong signal (Figure D-6). Over the course of 25 years, there appears to be a slight increase in the percentage of area burned by low and moderate severity wildfire, and a slight decrease in the percent of area burned in high severity wildfire, although these trends are not statistically significant. …”)</w:t>
      </w:r>
    </w:p>
    <w:p w:rsidR="008768AE" w:rsidRPr="00E46468" w:rsidRDefault="008768AE" w:rsidP="008768AE">
      <w:pPr>
        <w:numPr>
          <w:ilvl w:val="1"/>
          <w:numId w:val="4"/>
        </w:numPr>
        <w:suppressAutoHyphens/>
        <w:spacing w:line="240" w:lineRule="auto"/>
        <w:rPr>
          <w:rFonts w:asciiTheme="minorHAnsi" w:hAnsiTheme="minorHAnsi" w:cs="Times New Roman"/>
          <w:szCs w:val="24"/>
        </w:rPr>
      </w:pPr>
      <w:r w:rsidRPr="00E46468">
        <w:rPr>
          <w:rFonts w:asciiTheme="minorHAnsi" w:hAnsiTheme="minorHAnsi" w:cs="Times New Roman"/>
          <w:szCs w:val="24"/>
        </w:rPr>
        <w:t xml:space="preserve">Alisa Keyser and Anthony Westerling, 2017. Climate drives inter-annual variability in probability of high severity fire occurrence in the western United States, Environmental Research Letters. Accepted Manuscript online 4 April 2017 </w:t>
      </w:r>
      <w:hyperlink r:id="rId52" w:history="1">
        <w:r w:rsidRPr="00E46468">
          <w:rPr>
            <w:rStyle w:val="Hyperlink"/>
            <w:rFonts w:asciiTheme="minorHAnsi" w:hAnsiTheme="minorHAnsi" w:cs="Times New Roman"/>
            <w:szCs w:val="24"/>
          </w:rPr>
          <w:t>https://doi.org/10.1088/1748-9326/aa6b10</w:t>
        </w:r>
      </w:hyperlink>
      <w:r w:rsidRPr="00E46468">
        <w:rPr>
          <w:rFonts w:asciiTheme="minorHAnsi" w:hAnsiTheme="minorHAnsi" w:cs="Times New Roman"/>
          <w:szCs w:val="24"/>
        </w:rPr>
        <w:t>. (“We tested trends for WUS [western United States], each state, and each month. We found no significant trend in WUS high severity fire occurrence over 1984-2014, except for Colorado (table S1). While some studies have shown increasing fire season length, we saw no significant increase in high severity fire occurrence by month, May through October (figure S1). We found no correlation between fraction of high severity fire and total fire size, meaning increasing large fires does not necessarily increase fractional high severity fire area.”)</w:t>
      </w:r>
    </w:p>
    <w:p w:rsidR="008768AE" w:rsidRPr="00E46468" w:rsidRDefault="008768AE" w:rsidP="008768AE">
      <w:pPr>
        <w:numPr>
          <w:ilvl w:val="1"/>
          <w:numId w:val="4"/>
        </w:numPr>
        <w:suppressAutoHyphens/>
        <w:spacing w:line="240" w:lineRule="auto"/>
        <w:rPr>
          <w:rFonts w:asciiTheme="minorHAnsi" w:hAnsiTheme="minorHAnsi" w:cs="Times New Roman"/>
          <w:szCs w:val="24"/>
        </w:rPr>
      </w:pPr>
      <w:r w:rsidRPr="00E46468">
        <w:rPr>
          <w:rFonts w:asciiTheme="minorHAnsi" w:hAnsiTheme="minorHAnsi" w:cs="Times New Roman"/>
          <w:szCs w:val="24"/>
        </w:rPr>
        <w:t xml:space="preserve">Brendan P. Murphy, Larissa L. Yocom, Patrick Belmont. 2018. Beyond the 1984 perspective: narrow focus on modern wildfire trends underestimates future risks to water security. Earth's Future, 2018; DOI: 10.1029/ 2018EF001006 </w:t>
      </w:r>
      <w:hyperlink r:id="rId53" w:history="1">
        <w:r w:rsidRPr="00E46468">
          <w:rPr>
            <w:rStyle w:val="Hyperlink"/>
            <w:rFonts w:asciiTheme="minorHAnsi" w:hAnsiTheme="minorHAnsi" w:cs="Times New Roman"/>
            <w:szCs w:val="24"/>
          </w:rPr>
          <w:t>https://agupubs.onlinelibrary.wiley.com/doi/pdf/10.1029/2018EF001006</w:t>
        </w:r>
      </w:hyperlink>
      <w:r w:rsidRPr="00E46468">
        <w:rPr>
          <w:rFonts w:asciiTheme="minorHAnsi" w:hAnsiTheme="minorHAnsi" w:cs="Times New Roman"/>
          <w:szCs w:val="24"/>
        </w:rPr>
        <w:t xml:space="preserve"> (“Compiling several datasets, we illustrate a comprehensive history of western </w:t>
      </w:r>
      <w:r w:rsidRPr="00E46468">
        <w:rPr>
          <w:rFonts w:asciiTheme="minorHAnsi" w:hAnsiTheme="minorHAnsi" w:cs="Times New Roman"/>
          <w:szCs w:val="24"/>
        </w:rPr>
        <w:lastRenderedPageBreak/>
        <w:t>wildfire, demonstrate that the majority of western settlement occurred during an artificially and anomalously low period of wildfire in the 20th century, ... A crucial first step toward realigning public perspectives will require scientists and journalists to present recent increases in wildfire area within the context and scale of longerterm trends. ... A review of Science, Nature, and PNAS reveals that 77% of wildfire-related articles published about the western U.S. since 2000 (n=52) only address fire trends from the past few decades. In many of these studies, as well as in principal wildfire databases (Eidenshink et al., 2007; NIFC, 2017), ca. 1984 is frequently the first year presented, because this marks the beginning of consistent, satellite-derived records (Short, 2015). Wildfire area has rapidly increased since 1984, as ecosystems realize their potential to burn in an era of lengthening fire seasons and warming temperatures (Abatzoglou &amp; Williams, 2016). However, this “1984 perspective” of wildfire is problematic. First and foremost, the 1980s represent the end of an anomalously low period for wildfire during the mid-20th century, and western U.S. landscapes remain well below historical wildfire activity (Barrett, et al., 1997; Leenhouts, 1998; Stephens et al., 2007; Littell et al., 2009; Swetnam et al., 2016). ... Historical reconstructions of annual area burned demonstrate that wildfire area in the pre-settlement western U.S. was many times greater than the supposed ‘record highs’ of today (Barrett, et al., 1997; Leenhouts, 1998; Stephens et al., 2007) (Fig. 1A&amp;C). Borne out by hundreds of fire-history studies, research consistently shows that dry western forests frequently burned by wildfire over the past few centuries (Falk et al., 2010). Although wildfire activity naturally oscillates over millennial timescales (Marlon et al., 2012), area burned across the West began to rapidly decline in the late 19th century with the introduction of railroads and livestock (Swetnam et al., 2016). This was especially true in dry forest ecosystems, where livestock ate the fine fuel necessary to carry widespread surface fires. By the mid-20th century (ca. 1950s to mid-1980s), the area burning annually across all western ecosystems had plummeted from 7-18 Mha to less than 0.5 Mha due to fire suppression activities (Leenhouts, 1998; Littell et al., 2009) (Figure 1A). This West-wide decline in area burned is corroborated by subregional records (Figure 1C) and is consistent with the 20</w:t>
      </w:r>
      <w:r w:rsidRPr="00E46468">
        <w:rPr>
          <w:rFonts w:asciiTheme="minorHAnsi" w:hAnsiTheme="minorHAnsi" w:cs="Times New Roman"/>
          <w:szCs w:val="24"/>
          <w:vertAlign w:val="superscript"/>
        </w:rPr>
        <w:t>th</w:t>
      </w:r>
      <w:r w:rsidRPr="00E46468">
        <w:rPr>
          <w:rFonts w:asciiTheme="minorHAnsi" w:hAnsiTheme="minorHAnsi" w:cs="Times New Roman"/>
          <w:szCs w:val="24"/>
        </w:rPr>
        <w:t xml:space="preserve"> century “fire deficit” observed in fire scar and charcoal influx records Marlon et al., 2012). ... The annual area burned, as well as burn severity, are projected to continue increasing across the western U.S. through the 21st century due to climate change and, in some ecosystems, excess fuel loading from fire suppression (Brown et al., 2004; Westerling et al., 2011; Hawbaker &amp; Zhu, 2012; Abatzoglou &amp; Williams, 2016; Abatzoglou et al., 2017).”)</w:t>
      </w:r>
    </w:p>
    <w:p w:rsidR="008768AE" w:rsidRPr="00E46468" w:rsidRDefault="008768AE" w:rsidP="008768AE">
      <w:pPr>
        <w:numPr>
          <w:ilvl w:val="1"/>
          <w:numId w:val="4"/>
        </w:numPr>
        <w:suppressAutoHyphens/>
        <w:spacing w:line="240" w:lineRule="auto"/>
        <w:rPr>
          <w:rFonts w:asciiTheme="minorHAnsi" w:hAnsiTheme="minorHAnsi"/>
          <w:szCs w:val="24"/>
        </w:rPr>
      </w:pPr>
      <w:r w:rsidRPr="00E46468">
        <w:rPr>
          <w:rFonts w:asciiTheme="minorHAnsi" w:hAnsiTheme="minorHAnsi"/>
          <w:szCs w:val="24"/>
        </w:rPr>
        <w:t xml:space="preserve">Baker, W. L. 2015. Are high-severity fires burning at much higher rates recently than historically in dry-forest landscapes of the Western USA? PLoS ONE 10(9): e0136147; </w:t>
      </w:r>
    </w:p>
    <w:p w:rsidR="008768AE" w:rsidRPr="00E46468" w:rsidRDefault="008768AE" w:rsidP="008768AE">
      <w:pPr>
        <w:numPr>
          <w:ilvl w:val="1"/>
          <w:numId w:val="4"/>
        </w:numPr>
        <w:suppressAutoHyphens/>
        <w:spacing w:line="240" w:lineRule="auto"/>
        <w:rPr>
          <w:rFonts w:asciiTheme="minorHAnsi" w:hAnsiTheme="minorHAnsi"/>
          <w:szCs w:val="24"/>
        </w:rPr>
      </w:pPr>
      <w:r w:rsidRPr="00E46468">
        <w:rPr>
          <w:rFonts w:asciiTheme="minorHAnsi" w:hAnsiTheme="minorHAnsi"/>
          <w:szCs w:val="24"/>
        </w:rPr>
        <w:t xml:space="preserve">Collins, B.M. et al. 2009. Interactions among wildland fires in a long-established Sierra Nevada natural fire area. Ecosystems 12:114–128; </w:t>
      </w:r>
    </w:p>
    <w:p w:rsidR="008768AE" w:rsidRPr="00E46468" w:rsidRDefault="008768AE" w:rsidP="008768AE">
      <w:pPr>
        <w:numPr>
          <w:ilvl w:val="1"/>
          <w:numId w:val="4"/>
        </w:numPr>
        <w:suppressAutoHyphens/>
        <w:spacing w:line="240" w:lineRule="auto"/>
        <w:rPr>
          <w:rFonts w:asciiTheme="minorHAnsi" w:hAnsiTheme="minorHAnsi"/>
          <w:szCs w:val="24"/>
        </w:rPr>
      </w:pPr>
      <w:r w:rsidRPr="00E46468">
        <w:rPr>
          <w:rFonts w:asciiTheme="minorHAnsi" w:hAnsiTheme="minorHAnsi"/>
          <w:szCs w:val="24"/>
        </w:rPr>
        <w:t xml:space="preserve">Dillon, J.K. et al. 2011, Both topography and climate affected forest and woodland burn severity in two regions of the western US, 1984 to 2006. Ecosphere 2: Article 130; </w:t>
      </w:r>
    </w:p>
    <w:p w:rsidR="008768AE" w:rsidRPr="00E46468" w:rsidRDefault="008768AE" w:rsidP="008768AE">
      <w:pPr>
        <w:numPr>
          <w:ilvl w:val="1"/>
          <w:numId w:val="4"/>
        </w:numPr>
        <w:suppressAutoHyphens/>
        <w:spacing w:line="240" w:lineRule="auto"/>
        <w:rPr>
          <w:rFonts w:asciiTheme="minorHAnsi" w:hAnsiTheme="minorHAnsi"/>
          <w:szCs w:val="24"/>
        </w:rPr>
      </w:pPr>
      <w:r w:rsidRPr="00E46468">
        <w:rPr>
          <w:rFonts w:asciiTheme="minorHAnsi" w:hAnsiTheme="minorHAnsi"/>
          <w:szCs w:val="24"/>
        </w:rPr>
        <w:t xml:space="preserve">Hanson, C. T. and D.C. Odion, 2014. “Is fire severity increasing in the Sierra Nevada, California, USA? International Journal of Wildland Fire 23: 1–8; </w:t>
      </w:r>
    </w:p>
    <w:p w:rsidR="008768AE" w:rsidRPr="00E46468" w:rsidRDefault="008768AE" w:rsidP="008768AE">
      <w:pPr>
        <w:numPr>
          <w:ilvl w:val="1"/>
          <w:numId w:val="4"/>
        </w:numPr>
        <w:suppressAutoHyphens/>
        <w:spacing w:line="240" w:lineRule="auto"/>
        <w:rPr>
          <w:rFonts w:asciiTheme="minorHAnsi" w:hAnsiTheme="minorHAnsi"/>
          <w:szCs w:val="24"/>
        </w:rPr>
      </w:pPr>
      <w:r w:rsidRPr="00E46468">
        <w:rPr>
          <w:rFonts w:asciiTheme="minorHAnsi" w:hAnsiTheme="minorHAnsi"/>
          <w:szCs w:val="24"/>
        </w:rPr>
        <w:t xml:space="preserve">Hanson, C.T. and D.C. Odion, 2015. Sierra Nevada fire severity conclusions are robust to further analysis: a reply to Safford et al. International Journal of Wildland Fire 24: 294-295; </w:t>
      </w:r>
    </w:p>
    <w:p w:rsidR="008768AE" w:rsidRPr="00E46468" w:rsidRDefault="008768AE" w:rsidP="008768AE">
      <w:pPr>
        <w:numPr>
          <w:ilvl w:val="1"/>
          <w:numId w:val="4"/>
        </w:numPr>
        <w:suppressAutoHyphens/>
        <w:spacing w:line="240" w:lineRule="auto"/>
        <w:rPr>
          <w:rFonts w:asciiTheme="minorHAnsi" w:hAnsiTheme="minorHAnsi"/>
          <w:szCs w:val="24"/>
        </w:rPr>
      </w:pPr>
      <w:r w:rsidRPr="00E46468">
        <w:rPr>
          <w:rFonts w:asciiTheme="minorHAnsi" w:hAnsiTheme="minorHAnsi"/>
          <w:szCs w:val="24"/>
        </w:rPr>
        <w:lastRenderedPageBreak/>
        <w:t xml:space="preserve">Keyser, A. and A.L. Westerling 2017. Climate drives inter-annual variability in probability of high severity fire occurrence in the western United States. Environmental Research Letters 12 065003; </w:t>
      </w:r>
    </w:p>
    <w:p w:rsidR="008768AE" w:rsidRPr="00E46468" w:rsidRDefault="008768AE" w:rsidP="008768AE">
      <w:pPr>
        <w:numPr>
          <w:ilvl w:val="1"/>
          <w:numId w:val="4"/>
        </w:numPr>
        <w:suppressAutoHyphens/>
        <w:spacing w:line="240" w:lineRule="auto"/>
        <w:rPr>
          <w:rFonts w:asciiTheme="minorHAnsi" w:hAnsiTheme="minorHAnsi"/>
          <w:szCs w:val="24"/>
        </w:rPr>
      </w:pPr>
      <w:r w:rsidRPr="00E46468">
        <w:rPr>
          <w:rFonts w:asciiTheme="minorHAnsi" w:hAnsiTheme="minorHAnsi"/>
          <w:szCs w:val="24"/>
        </w:rPr>
        <w:t xml:space="preserve">Miller, J.D. et al. 2012. Trends and causes of severity, size, and number of fires in northwestern California, USA. Ecological Applications 22: 184-203; </w:t>
      </w:r>
    </w:p>
    <w:p w:rsidR="008768AE" w:rsidRPr="00E46468" w:rsidRDefault="008768AE" w:rsidP="008768AE">
      <w:pPr>
        <w:numPr>
          <w:ilvl w:val="1"/>
          <w:numId w:val="4"/>
        </w:numPr>
        <w:suppressAutoHyphens/>
        <w:spacing w:line="240" w:lineRule="auto"/>
        <w:rPr>
          <w:rFonts w:asciiTheme="minorHAnsi" w:hAnsiTheme="minorHAnsi"/>
          <w:szCs w:val="24"/>
        </w:rPr>
      </w:pPr>
      <w:r w:rsidRPr="00E46468">
        <w:rPr>
          <w:rFonts w:asciiTheme="minorHAnsi" w:hAnsiTheme="minorHAnsi"/>
          <w:szCs w:val="24"/>
        </w:rPr>
        <w:t xml:space="preserve">Odion, D.C. et al. 2014. Examining historical and current mixed-severity fire regimes in Ponderosa pine and mixed-conifer forests of western North America. PLoS ONE 9(2): e87852; </w:t>
      </w:r>
    </w:p>
    <w:p w:rsidR="008768AE" w:rsidRPr="00E46468" w:rsidRDefault="008768AE" w:rsidP="008768AE">
      <w:pPr>
        <w:numPr>
          <w:ilvl w:val="1"/>
          <w:numId w:val="4"/>
        </w:numPr>
        <w:suppressAutoHyphens/>
        <w:spacing w:line="240" w:lineRule="auto"/>
        <w:rPr>
          <w:rFonts w:asciiTheme="minorHAnsi" w:hAnsiTheme="minorHAnsi"/>
          <w:szCs w:val="24"/>
        </w:rPr>
      </w:pPr>
      <w:r w:rsidRPr="00E46468">
        <w:rPr>
          <w:rFonts w:asciiTheme="minorHAnsi" w:hAnsiTheme="minorHAnsi"/>
          <w:szCs w:val="24"/>
        </w:rPr>
        <w:t xml:space="preserve">Picotte et al. 2016. 1984-2010 Trends in fire burn severity and area for the coterminous US. International Journal of Wildland Fire 25: 413-420; </w:t>
      </w:r>
    </w:p>
    <w:p w:rsidR="008768AE" w:rsidRPr="00E46468" w:rsidRDefault="008768AE" w:rsidP="008768AE">
      <w:pPr>
        <w:numPr>
          <w:ilvl w:val="1"/>
          <w:numId w:val="4"/>
        </w:numPr>
        <w:suppressAutoHyphens/>
        <w:spacing w:line="240" w:lineRule="auto"/>
        <w:rPr>
          <w:rFonts w:asciiTheme="minorHAnsi" w:hAnsiTheme="minorHAnsi"/>
          <w:szCs w:val="24"/>
        </w:rPr>
      </w:pPr>
      <w:r w:rsidRPr="00E46468">
        <w:rPr>
          <w:rFonts w:asciiTheme="minorHAnsi" w:hAnsiTheme="minorHAnsi"/>
          <w:szCs w:val="24"/>
        </w:rPr>
        <w:t xml:space="preserve">Schwind, B. 2008. Monitoring trends in burn severity: report on the Pacific Northwest and Pacific Southwest fires (1984 to 2005). US Geological Survey. </w:t>
      </w:r>
    </w:p>
    <w:p w:rsidR="008768AE" w:rsidRPr="00E46468" w:rsidRDefault="008768AE" w:rsidP="008768AE">
      <w:pPr>
        <w:numPr>
          <w:ilvl w:val="0"/>
          <w:numId w:val="4"/>
        </w:numPr>
        <w:suppressAutoHyphens/>
        <w:spacing w:line="240" w:lineRule="auto"/>
        <w:rPr>
          <w:rFonts w:asciiTheme="minorHAnsi" w:hAnsiTheme="minorHAnsi"/>
        </w:rPr>
      </w:pPr>
      <w:r w:rsidRPr="00E46468">
        <w:rPr>
          <w:rFonts w:asciiTheme="minorHAnsi" w:hAnsiTheme="minorHAnsi"/>
          <w:i/>
        </w:rPr>
        <w:t>There is a relatively low probability that fuel treatments will interact with wildfire before fuels regrow and render the fuel reduction effort ineffective</w:t>
      </w:r>
      <w:r w:rsidRPr="00E46468">
        <w:rPr>
          <w:rFonts w:asciiTheme="minorHAnsi" w:hAnsiTheme="minorHAnsi"/>
        </w:rPr>
        <w:t xml:space="preserve">. Tania Schoennagel highlights the problem of removing fuels from a vast forest landscape that has a low annual probability of burning by saying that forest fuel reduction “is like trying to scoop water out of the ocean to make it less wet.” “A recent study conducted by researchers at the University of Montana found that only about 7 percent of fuel-reduction treatment areas in the entire United States were subsequently hit by wildfires since 1999. … If someone had the magical ability to predict, within the past decade, that a major fire was going to strike that particular portion of the 240,000-acre Scapegoat Wilderness, then thinning and logging theoretically could have helped. But it doesn’t work that way, and fires are sparked in random places by lightning and humans, and they are pushed by erratic winds and weather. … According to Tania Schoennagel, a forest landscape ecologist and fire researcher at the University of Colorado, … ‘it’s little bit of a crapshoot probability game whether the treatment you put in is going to encounter wildfire in the 10 to 15 years it remains effective in reducing fire severity. Simply because forests in the West are so vast, the chance of burning in a place we’ve pre-treated is so low. It’s not a very effective lever. We don’t know where fires are going to happen.’” David Erickson (2017). Experts: More logging and thinning to battle wildfires might just burn taxpayer dollars. CREDIT: MISSOULIAN.COM. Oct 1, 2017. </w:t>
      </w:r>
      <w:hyperlink r:id="rId54" w:history="1">
        <w:r w:rsidRPr="00E46468">
          <w:rPr>
            <w:rStyle w:val="Hyperlink"/>
            <w:rFonts w:asciiTheme="minorHAnsi" w:hAnsiTheme="minorHAnsi"/>
          </w:rPr>
          <w:t>http://www.america.easybranches.com/montana/Experts--More-logging-and-thinning-to-battle-wildfires-might-just-burn-taxpayer-dollars-152776</w:t>
        </w:r>
      </w:hyperlink>
      <w:r w:rsidRPr="00E46468">
        <w:rPr>
          <w:rFonts w:asciiTheme="minorHAnsi" w:hAnsiTheme="minorHAnsi"/>
        </w:rPr>
        <w:t xml:space="preserve"> </w:t>
      </w:r>
      <w:r w:rsidRPr="00E46468">
        <w:rPr>
          <w:rFonts w:asciiTheme="minorHAnsi" w:hAnsiTheme="minorHAnsi"/>
          <w:i/>
        </w:rPr>
        <w:t>citing</w:t>
      </w:r>
      <w:r w:rsidRPr="00E46468">
        <w:rPr>
          <w:rFonts w:asciiTheme="minorHAnsi" w:hAnsiTheme="minorHAnsi"/>
        </w:rPr>
        <w:t xml:space="preserve"> Kevin Barnett, Sean A. Parks, Carol Miller, and Helen T. Naughton. 2016. Beyond Fuel Treatment Effectiveness: Characterizing Interactions between Fire and Treatments in the US. Forests [open access] 2016, 7, 237; doi:10.3390/f7100237. </w:t>
      </w:r>
      <w:hyperlink r:id="rId55" w:history="1">
        <w:r w:rsidRPr="00E46468">
          <w:rPr>
            <w:rStyle w:val="Hyperlink"/>
            <w:rFonts w:asciiTheme="minorHAnsi" w:hAnsiTheme="minorHAnsi"/>
          </w:rPr>
          <w:t>http://www.mdpi.com/1999-4907/7/10/237</w:t>
        </w:r>
      </w:hyperlink>
      <w:r w:rsidRPr="00E46468">
        <w:rPr>
          <w:rFonts w:asciiTheme="minorHAnsi" w:hAnsiTheme="minorHAnsi"/>
        </w:rPr>
        <w:t xml:space="preserve">. See also, William L. Baker, Jonathan J. Rhodes. 2008. Fire Probability, Fuel Treatment Effectiveness and Ecological Tradeoffs in Western U.S. Public Forests. pp.1-7 (7). The Open Forest Science Journal, Volume 1. 2008. </w:t>
      </w:r>
      <w:hyperlink r:id="rId56" w:history="1">
        <w:r w:rsidRPr="00E46468">
          <w:rPr>
            <w:rStyle w:val="Hyperlink"/>
            <w:rFonts w:asciiTheme="minorHAnsi" w:hAnsiTheme="minorHAnsi"/>
          </w:rPr>
          <w:t>http://api.ning.com/files/1kp0vDW*F1cqOeO4-GdXE1AHOATghmIAN2x9qLpH3aA_/FireandFuelTreatments.pdf</w:t>
        </w:r>
      </w:hyperlink>
      <w:r w:rsidRPr="00E46468">
        <w:rPr>
          <w:rFonts w:asciiTheme="minorHAnsi" w:hAnsiTheme="minorHAnsi"/>
        </w:rPr>
        <w:t xml:space="preserve">; “According to a recent analysis, annually less than one percent of U.S. Forest Service fuel reduction treatments in forested areas subsequently burned, on average. From 2000 to 2015, almost 17 million acres of federal land were treated for fuels reduction, equating to approximately four percent of U.S. Forest Service and Bureau of Land Management lands. During the same time period, more than 93 million acres burned. The odds of putting fuel treatments in the wrong place are extremely high.” Pohl, Kelly 2019. “For communities, land use planning is more effective than logging on federal lands to reduce future wildfire disasters.” </w:t>
      </w:r>
      <w:hyperlink r:id="rId57" w:history="1">
        <w:r w:rsidRPr="00E46468">
          <w:rPr>
            <w:rStyle w:val="Hyperlink"/>
            <w:rFonts w:asciiTheme="minorHAnsi" w:hAnsiTheme="minorHAnsi"/>
          </w:rPr>
          <w:t>https://headwaterseconomics.org/wildfire/solutions/land-use-planning-is-more-effective/</w:t>
        </w:r>
      </w:hyperlink>
      <w:r w:rsidRPr="00E46468">
        <w:rPr>
          <w:rFonts w:asciiTheme="minorHAnsi" w:hAnsiTheme="minorHAnsi"/>
        </w:rPr>
        <w:t xml:space="preserve">. Also, “In real landscapes treatments are static, restricted to a small portion of the landscape and against a background of stochastic fire and dynamic vegetation, thus the likelihood of fire encountering a treatment during the period treatments remain effective is small. ... Allocating priorities to treat based on merchantable timber (THIN), vegetation departure </w:t>
      </w:r>
      <w:r w:rsidRPr="00E46468">
        <w:rPr>
          <w:rFonts w:asciiTheme="minorHAnsi" w:hAnsiTheme="minorHAnsi"/>
        </w:rPr>
        <w:lastRenderedPageBreak/>
        <w:t xml:space="preserve">(VDEP), area suitable for prescribed fire and restoration wildfire (FIRE) and conditional flame length (CFL) had similar or lower success odds than random allocation ... [S]uccess odds declined sharply as desired success levels increased suggesting that fuel management goals need to be tempered to consider the stochastic nature of wildfire.” Barros, Ana M. G.; Ager, A. A.; Day, M. A.; Palaiologou, P. 2019. Improving long-term fuel treatment effectiveness in the National Forest System through quantitative prioritization. Forest Ecology and Management. 433: 514-527. </w:t>
      </w:r>
      <w:hyperlink r:id="rId58" w:history="1">
        <w:r w:rsidRPr="00E46468">
          <w:rPr>
            <w:rStyle w:val="Hyperlink"/>
            <w:rFonts w:asciiTheme="minorHAnsi" w:hAnsiTheme="minorHAnsi"/>
          </w:rPr>
          <w:t>https://www.fs.fed.us/rm/pubs_journals/2019/rmrs_2019_barros_a001.pdf</w:t>
        </w:r>
      </w:hyperlink>
      <w:r w:rsidRPr="00E46468">
        <w:rPr>
          <w:rFonts w:asciiTheme="minorHAnsi" w:hAnsiTheme="minorHAnsi"/>
        </w:rPr>
        <w:t>.</w:t>
      </w:r>
    </w:p>
    <w:p w:rsidR="008768AE" w:rsidRPr="00E46468" w:rsidRDefault="008768AE" w:rsidP="008768AE">
      <w:pPr>
        <w:numPr>
          <w:ilvl w:val="0"/>
          <w:numId w:val="4"/>
        </w:numPr>
        <w:suppressAutoHyphens/>
        <w:spacing w:line="240" w:lineRule="auto"/>
        <w:rPr>
          <w:rFonts w:asciiTheme="minorHAnsi" w:hAnsiTheme="minorHAnsi"/>
        </w:rPr>
      </w:pPr>
      <w:r w:rsidRPr="00E46468">
        <w:rPr>
          <w:rFonts w:asciiTheme="minorHAnsi" w:hAnsiTheme="minorHAnsi"/>
          <w:i/>
        </w:rPr>
        <w:t>The effects of fuel reduction are modest</w:t>
      </w:r>
      <w:r w:rsidRPr="00E46468">
        <w:rPr>
          <w:rFonts w:asciiTheme="minorHAnsi" w:hAnsiTheme="minorHAnsi"/>
        </w:rPr>
        <w:t xml:space="preserve">. Even extensive fuel reduction reduces the extent of wildfire by less than 10 percent. See </w:t>
      </w:r>
      <w:r w:rsidRPr="00E46468">
        <w:rPr>
          <w:rFonts w:asciiTheme="minorHAnsi" w:hAnsiTheme="minorHAnsi"/>
          <w:color w:val="000000"/>
          <w:szCs w:val="24"/>
        </w:rPr>
        <w:t xml:space="preserve">M. A. Cochrane, C. J. Moran, M. C. Wimberly, A. D. Baer, M. A. Finney, K. L. Beckendorf, J. Eidenshink, and Z. Zhu. 2012. Estimation of wildfire size and risk changes due to fuels treatments. International Journal of Wildland Fire.  </w:t>
      </w:r>
      <w:hyperlink r:id="rId59" w:history="1">
        <w:r w:rsidRPr="00E46468">
          <w:rPr>
            <w:rStyle w:val="Hyperlink"/>
            <w:rFonts w:asciiTheme="minorHAnsi" w:hAnsiTheme="minorHAnsi"/>
            <w:szCs w:val="24"/>
          </w:rPr>
          <w:t>http://dx.doi.org/10.1071/WF11079</w:t>
        </w:r>
      </w:hyperlink>
      <w:r w:rsidRPr="00E46468">
        <w:rPr>
          <w:rFonts w:asciiTheme="minorHAnsi" w:hAnsiTheme="minorHAnsi"/>
          <w:color w:val="000000"/>
          <w:szCs w:val="24"/>
        </w:rPr>
        <w:t>.  </w:t>
      </w:r>
      <w:hyperlink r:id="rId60" w:history="1">
        <w:r w:rsidRPr="00E46468">
          <w:rPr>
            <w:rStyle w:val="Hyperlink"/>
            <w:rFonts w:asciiTheme="minorHAnsi" w:hAnsiTheme="minorHAnsi"/>
            <w:szCs w:val="24"/>
          </w:rPr>
          <w:t>http://www.publish.csiro.au/?act=view_file&amp;file_id=WF11079.pdf</w:t>
        </w:r>
      </w:hyperlink>
      <w:r w:rsidRPr="00E46468">
        <w:rPr>
          <w:rFonts w:asciiTheme="minorHAnsi" w:hAnsiTheme="minorHAnsi"/>
        </w:rPr>
        <w:t xml:space="preserve">. Andrew Larson, a forest ecologist from the University of Montana said </w:t>
      </w:r>
    </w:p>
    <w:p w:rsidR="008768AE" w:rsidRPr="00E46468" w:rsidRDefault="008768AE" w:rsidP="008768AE">
      <w:pPr>
        <w:ind w:left="720"/>
        <w:rPr>
          <w:rFonts w:asciiTheme="minorHAnsi" w:hAnsiTheme="minorHAnsi"/>
        </w:rPr>
      </w:pPr>
      <w:r w:rsidRPr="00E46468">
        <w:rPr>
          <w:rFonts w:asciiTheme="minorHAnsi" w:hAnsiTheme="minorHAnsi"/>
        </w:rPr>
        <w:t>"Even after you go and thin a forest, when it's dry like it is now, it's still going to carry a fire, it's still going to generate smoke. So, in terms of day to day life, the experience we have during the fire season, we need to not get our hopes up," Larson says. "You can anticipate more smoke. Even if we were to double, triple, increase the amount of area logged or thinned by a factor of ten or 20, we're still going have smoke, we're not going to stop the fires. We may change how they burn, and that's an important outcome, it's something that a lot of my research is directed at. But we need to make sure people don't get their hopes up and expect something that the forestry profession, that managers in the Forest Service, the Department of Interior, can't deliver on."</w:t>
      </w:r>
    </w:p>
    <w:p w:rsidR="008768AE" w:rsidRPr="00E46468" w:rsidRDefault="008768AE" w:rsidP="008768AE">
      <w:pPr>
        <w:ind w:left="360"/>
        <w:rPr>
          <w:rFonts w:asciiTheme="minorHAnsi" w:hAnsiTheme="minorHAnsi"/>
        </w:rPr>
      </w:pPr>
      <w:r w:rsidRPr="00E46468">
        <w:rPr>
          <w:rFonts w:asciiTheme="minorHAnsi" w:hAnsiTheme="minorHAnsi"/>
        </w:rPr>
        <w:t xml:space="preserve">ERIC WHITNEY 2017. Forest Ecologist Comments On Senator Daines' Fire Call. Montana Public Radio. Sept 14, 2017. </w:t>
      </w:r>
      <w:hyperlink r:id="rId61" w:history="1">
        <w:r w:rsidRPr="00E46468">
          <w:rPr>
            <w:rStyle w:val="Hyperlink"/>
            <w:rFonts w:asciiTheme="minorHAnsi" w:hAnsiTheme="minorHAnsi"/>
          </w:rPr>
          <w:t>http://mtpr.org/post/forest-ecologist-comments-senator-daines-fire-call</w:t>
        </w:r>
      </w:hyperlink>
      <w:r w:rsidRPr="00E46468">
        <w:rPr>
          <w:rFonts w:asciiTheme="minorHAnsi" w:hAnsiTheme="minorHAnsi"/>
        </w:rPr>
        <w:t xml:space="preserve">. Also, Hurteau et al (2019) found that “fuel availability and flammability only reduced the cumulative area burned in the Sierra by about 7.5 percent over the course of the century ... because vegetation re-growth happens with sufficient speed that the fuel limitation effects from fire are short-lived.” Matthew D. Hurteau, Shuang Liang, A. LeRoy Westerling &amp; Christine Wiedinmyer 2019.  Vegetation-fire feedback reduces projected area burned under climate change. Scientific Reports, volume 9, Article number: 2838 (2019), </w:t>
      </w:r>
      <w:hyperlink r:id="rId62" w:history="1">
        <w:r w:rsidRPr="00E46468">
          <w:rPr>
            <w:rStyle w:val="Hyperlink"/>
            <w:rFonts w:asciiTheme="minorHAnsi" w:hAnsiTheme="minorHAnsi"/>
          </w:rPr>
          <w:t>https://www.nature.com/articles/s41598-019-39284-1</w:t>
        </w:r>
      </w:hyperlink>
      <w:r w:rsidRPr="00E46468">
        <w:rPr>
          <w:rFonts w:asciiTheme="minorHAnsi" w:hAnsiTheme="minorHAnsi"/>
        </w:rPr>
        <w:t xml:space="preserve">; </w:t>
      </w:r>
      <w:hyperlink r:id="rId63" w:history="1">
        <w:r w:rsidRPr="00E46468">
          <w:rPr>
            <w:rStyle w:val="Hyperlink"/>
            <w:rFonts w:asciiTheme="minorHAnsi" w:hAnsiTheme="minorHAnsi"/>
          </w:rPr>
          <w:t>https://doi.org/10.1038/s41598-019-39284-1</w:t>
        </w:r>
      </w:hyperlink>
      <w:r w:rsidRPr="00E46468">
        <w:rPr>
          <w:rFonts w:asciiTheme="minorHAnsi" w:hAnsiTheme="minorHAnsi"/>
        </w:rPr>
        <w:t xml:space="preserve">; </w:t>
      </w:r>
      <w:hyperlink r:id="rId64" w:history="1">
        <w:r w:rsidRPr="00E46468">
          <w:rPr>
            <w:rStyle w:val="Hyperlink"/>
            <w:rFonts w:asciiTheme="minorHAnsi" w:hAnsiTheme="minorHAnsi"/>
          </w:rPr>
          <w:t>https://news.ucmerced.edu/news/2019/scientists-simulate-forest-fire-dynamics-understand-area-burn-future-wildfires</w:t>
        </w:r>
      </w:hyperlink>
      <w:r w:rsidRPr="00E46468">
        <w:rPr>
          <w:rFonts w:asciiTheme="minorHAnsi" w:hAnsiTheme="minorHAnsi"/>
        </w:rPr>
        <w:t xml:space="preserve">  </w:t>
      </w:r>
    </w:p>
    <w:p w:rsidR="008768AE" w:rsidRPr="00E46468" w:rsidRDefault="008768AE" w:rsidP="008768AE">
      <w:pPr>
        <w:numPr>
          <w:ilvl w:val="0"/>
          <w:numId w:val="4"/>
        </w:numPr>
        <w:shd w:val="clear" w:color="auto" w:fill="FFFFFF"/>
        <w:autoSpaceDE w:val="0"/>
        <w:spacing w:line="240" w:lineRule="auto"/>
        <w:rPr>
          <w:rFonts w:asciiTheme="minorHAnsi" w:eastAsia="Times New Roman" w:hAnsiTheme="minorHAnsi" w:cs="Times New Roman"/>
          <w:color w:val="222222"/>
          <w:szCs w:val="24"/>
        </w:rPr>
      </w:pPr>
      <w:r w:rsidRPr="00E46468">
        <w:rPr>
          <w:rFonts w:asciiTheme="minorHAnsi" w:hAnsiTheme="minorHAnsi"/>
          <w:i/>
        </w:rPr>
        <w:t>Commercial logging will often make fire hazard worse, not better</w:t>
      </w:r>
      <w:r w:rsidRPr="00E46468">
        <w:rPr>
          <w:rFonts w:asciiTheme="minorHAnsi" w:hAnsiTheme="minorHAnsi"/>
        </w:rPr>
        <w:t xml:space="preserve">. Reducing the forest canopy will make the stand hotter, drier, and windier, produce more activity fuels, and stimulate the growth of ladder fuels. Professor Char Miller said “… decades of data show that intense logging creates more destructive fires than the ones that burn through roadless areas, parkland and wilderness.” Char Miller. 2017. Op-Ed: What the Trump administration doesn't understand about wildfires. LA Times. Oct 1, 2017.  </w:t>
      </w:r>
      <w:hyperlink r:id="rId65" w:history="1">
        <w:r w:rsidRPr="00E46468">
          <w:rPr>
            <w:rStyle w:val="Hyperlink"/>
            <w:rFonts w:asciiTheme="minorHAnsi" w:hAnsiTheme="minorHAnsi"/>
          </w:rPr>
          <w:t>http://www.latimes.com/opinion/op-ed/la-oe-miller-zinke-fire-memo-20171001-story.html</w:t>
        </w:r>
      </w:hyperlink>
      <w:r w:rsidRPr="00E46468">
        <w:rPr>
          <w:rFonts w:asciiTheme="minorHAnsi" w:hAnsiTheme="minorHAnsi"/>
        </w:rPr>
        <w:t xml:space="preserve">. See also, </w:t>
      </w:r>
      <w:r w:rsidRPr="00E46468">
        <w:rPr>
          <w:rFonts w:asciiTheme="minorHAnsi" w:hAnsiTheme="minorHAnsi"/>
          <w:szCs w:val="24"/>
        </w:rPr>
        <w:t xml:space="preserve">Jain, Theresa B.; Battaglia, Mike A.; Han, Han-Sup; Graham, Russell T.; Keyes, Christopher R.; Fried, Jeremy S.; Sandquist, Jonathan E. 2012. A comprehensive guide to fuel management practices for dry mixed conifer forests in the northwestern United States. USDA Forest Service Gen. Tech. Rep. RMRS-GTR-292. 2012 </w:t>
      </w:r>
      <w:hyperlink r:id="rId66" w:history="1">
        <w:r w:rsidRPr="00E46468">
          <w:rPr>
            <w:rStyle w:val="Hyperlink"/>
            <w:rFonts w:asciiTheme="minorHAnsi" w:hAnsiTheme="minorHAnsi"/>
            <w:szCs w:val="24"/>
          </w:rPr>
          <w:t>http://www.firescience.gov/projects/09-2-01-16/project/09-2-01-16_09-2-01-16_rmrs_gtr292web.pdf</w:t>
        </w:r>
      </w:hyperlink>
      <w:r w:rsidRPr="00E46468">
        <w:rPr>
          <w:rFonts w:asciiTheme="minorHAnsi" w:hAnsiTheme="minorHAnsi"/>
          <w:szCs w:val="24"/>
        </w:rPr>
        <w:t xml:space="preserve">. A meta-analysis of the effects of partial cutting showed that understory growth was stimulated in all cases. </w:t>
      </w:r>
      <w:r w:rsidRPr="00E46468">
        <w:rPr>
          <w:rStyle w:val="e"/>
          <w:rFonts w:asciiTheme="minorHAnsi" w:hAnsiTheme="minorHAnsi"/>
        </w:rPr>
        <w:t xml:space="preserve">D. Zhou, S. Q. Zhao, S. Liu,  and J. Oeding. </w:t>
      </w:r>
      <w:r w:rsidRPr="00E46468">
        <w:rPr>
          <w:rStyle w:val="e"/>
          <w:rFonts w:asciiTheme="minorHAnsi" w:hAnsiTheme="minorHAnsi"/>
        </w:rPr>
        <w:lastRenderedPageBreak/>
        <w:t xml:space="preserve">2013. A meta-analysis on the impacts of partial cutting on forest structure and carbon storage. Biogeosciences, 10, 3691–3703, 2013. </w:t>
      </w:r>
      <w:hyperlink r:id="rId67" w:history="1">
        <w:r w:rsidRPr="00E46468">
          <w:rPr>
            <w:rStyle w:val="Hyperlink"/>
            <w:rFonts w:asciiTheme="minorHAnsi" w:hAnsiTheme="minorHAnsi"/>
          </w:rPr>
          <w:t>https://www.biogeosciences.net/10/3691/2013/bg-10-3691-2013.pdf</w:t>
        </w:r>
      </w:hyperlink>
      <w:r w:rsidRPr="00E46468">
        <w:rPr>
          <w:rStyle w:val="e"/>
          <w:rFonts w:asciiTheme="minorHAnsi" w:hAnsiTheme="minorHAnsi"/>
        </w:rPr>
        <w:t xml:space="preserve">. </w:t>
      </w:r>
      <w:r w:rsidRPr="00E46468">
        <w:rPr>
          <w:rFonts w:asciiTheme="minorHAnsi" w:hAnsiTheme="minorHAnsi"/>
          <w:szCs w:val="24"/>
        </w:rPr>
        <w:t xml:space="preserve">(“Understory C was stimulated significantly by partial cutting in all of the studies. This stimulation can be mostly attributed to an increase in the availability of light, water, and nutrients to the understory because of tree removal (Aussenac, 2000; Kleintjes et al., 2004; Deal, 2007)”) </w:t>
      </w:r>
      <w:r w:rsidRPr="00E46468">
        <w:rPr>
          <w:rFonts w:asciiTheme="minorHAnsi" w:hAnsiTheme="minorHAnsi"/>
        </w:rPr>
        <w:t xml:space="preserve">Removing commercial sized logs as part of fuel reduction degrades habitat while doing little to modify fire behavior. If conducted at large scales, the effects of commercial logging for fuel reduction will be socially and ecologically unacceptable. </w:t>
      </w:r>
      <w:r w:rsidRPr="00E46468">
        <w:rPr>
          <w:rFonts w:asciiTheme="minorHAnsi" w:eastAsia="Times New Roman" w:hAnsiTheme="minorHAnsi" w:cs="Times New Roman"/>
          <w:color w:val="000000"/>
          <w:szCs w:val="24"/>
        </w:rPr>
        <w:t xml:space="preserve">Lehmkuhl, John; Gaines, William; Peterson, Dave W.; Bailey, John; Youngblood, Andrew, tech. eds. 2015. Silviculture and monitoring guidelines for integrating restoration of dry mixed-conifer forest and spotted owl habitat management in the eastern Cascade Range. Gen. Tech. Rep. PNW-GTR-915. Portland, OR: U.S. Department of Agriculture, Forest Service, Pacific Northwest Research Station. 158 p. </w:t>
      </w:r>
      <w:r w:rsidRPr="00E46468">
        <w:rPr>
          <w:rFonts w:ascii="Times New Roman" w:eastAsia="Times New Roman" w:hAnsi="Times New Roman" w:cs="Times New Roman"/>
          <w:color w:val="000000"/>
          <w:szCs w:val="24"/>
        </w:rPr>
        <w:t>​</w:t>
      </w:r>
      <w:hyperlink r:id="rId68" w:tgtFrame="_blank" w:history="1">
        <w:r w:rsidRPr="00E46468">
          <w:rPr>
            <w:rFonts w:asciiTheme="minorHAnsi" w:eastAsia="Times New Roman" w:hAnsiTheme="minorHAnsi" w:cs="Times New Roman"/>
            <w:color w:val="1155CC"/>
            <w:szCs w:val="24"/>
            <w:u w:val="single"/>
            <w:shd w:val="clear" w:color="auto" w:fill="FFFFFF"/>
          </w:rPr>
          <w:t>http://www.fs.fed.us/pnw/pubs/pnw_gtr915.pdf</w:t>
        </w:r>
      </w:hyperlink>
      <w:r w:rsidRPr="00E46468">
        <w:rPr>
          <w:rFonts w:asciiTheme="minorHAnsi" w:eastAsia="Times New Roman" w:hAnsiTheme="minorHAnsi" w:cs="Times New Roman"/>
          <w:szCs w:val="24"/>
        </w:rPr>
        <w:t>. (“</w:t>
      </w:r>
      <w:r w:rsidRPr="00E46468">
        <w:rPr>
          <w:rFonts w:asciiTheme="minorHAnsi" w:eastAsia="Times New Roman" w:hAnsiTheme="minorHAnsi" w:cs="Times New Roman"/>
          <w:bCs/>
          <w:color w:val="222222"/>
          <w:szCs w:val="24"/>
        </w:rPr>
        <w:t>Tradeoffs between fire resistance and NSO habitat quality are real.</w:t>
      </w:r>
      <w:r w:rsidRPr="00E46468">
        <w:rPr>
          <w:rFonts w:asciiTheme="minorHAnsi" w:eastAsia="Times New Roman" w:hAnsiTheme="minorHAnsi" w:cs="Times New Roman"/>
          <w:b/>
          <w:bCs/>
          <w:color w:val="222222"/>
          <w:szCs w:val="24"/>
        </w:rPr>
        <w:t> </w:t>
      </w:r>
      <w:r w:rsidRPr="00E46468">
        <w:rPr>
          <w:rFonts w:asciiTheme="minorHAnsi" w:eastAsia="Times New Roman" w:hAnsiTheme="minorHAnsi" w:cs="Times New Roman"/>
          <w:color w:val="222222"/>
          <w:szCs w:val="24"/>
        </w:rPr>
        <w:t xml:space="preserve">Our results demonstrate that balancing the goals of increasing fire resilience while maintaining habitat function, especially nesting and roosting, for the NSO in the same individual stand is a difficult, if not an impossible, task. Even lighter thinning treatments typically reduce canopy cover below 40 percent. The reality is that nesting and roosting NSO habitat is by definition very susceptible to high-severity fire; owl habitat value and fire risk are in direct conflict on any given acre. …”). Montana Public Radio reported on Senator Daines statement that “’radical environmentalists’ would try to stop efforts to remove dead trees from Montana forests. [Ecologist Andrew Larson said] "That's an attitude that I'm always kind of disappointed to encounter," Larson said, "because a healthy forest has dead trees and dead wood. The snags — standing dead trees — and dead logs are some of the most important habitat features for biodiversity. You can't have an intact, healthy wildlife community without dead wood in your forest." </w:t>
      </w:r>
      <w:r w:rsidRPr="00E46468">
        <w:rPr>
          <w:rFonts w:asciiTheme="minorHAnsi" w:hAnsiTheme="minorHAnsi"/>
        </w:rPr>
        <w:t xml:space="preserve">ERIC WHITNEY 2017. Forest Ecologist Comments On Senator Daines' Fire Call. Montana Public Radio. Sept 14, 2017. </w:t>
      </w:r>
      <w:hyperlink r:id="rId69" w:history="1">
        <w:r w:rsidRPr="00E46468">
          <w:rPr>
            <w:rStyle w:val="Hyperlink"/>
            <w:rFonts w:asciiTheme="minorHAnsi" w:hAnsiTheme="minorHAnsi"/>
          </w:rPr>
          <w:t>http://mtpr.org/post/forest-ecologist-comments-senator-daines-fire-call</w:t>
        </w:r>
      </w:hyperlink>
      <w:r w:rsidRPr="00E46468">
        <w:rPr>
          <w:rFonts w:asciiTheme="minorHAnsi" w:hAnsiTheme="minorHAnsi"/>
        </w:rPr>
        <w:t xml:space="preserve">; </w:t>
      </w:r>
    </w:p>
    <w:p w:rsidR="008768AE" w:rsidRPr="00E46468" w:rsidRDefault="008768AE" w:rsidP="008768AE">
      <w:pPr>
        <w:numPr>
          <w:ilvl w:val="0"/>
          <w:numId w:val="4"/>
        </w:numPr>
        <w:shd w:val="clear" w:color="auto" w:fill="FFFFFF"/>
        <w:autoSpaceDE w:val="0"/>
        <w:spacing w:line="240" w:lineRule="auto"/>
        <w:rPr>
          <w:rFonts w:asciiTheme="minorHAnsi" w:eastAsia="Times New Roman" w:hAnsiTheme="minorHAnsi" w:cs="Times New Roman"/>
          <w:color w:val="222222"/>
          <w:szCs w:val="24"/>
        </w:rPr>
      </w:pPr>
      <w:r w:rsidRPr="00E46468">
        <w:rPr>
          <w:rFonts w:asciiTheme="minorHAnsi" w:hAnsiTheme="minorHAnsi"/>
          <w:i/>
        </w:rPr>
        <w:t>Retaining mature forest canopy is more fire resilient than most logged sites</w:t>
      </w:r>
      <w:r w:rsidRPr="00E46468">
        <w:rPr>
          <w:rFonts w:asciiTheme="minorHAnsi" w:eastAsia="Times New Roman" w:hAnsiTheme="minorHAnsi" w:cs="Times New Roman"/>
          <w:color w:val="222222"/>
          <w:szCs w:val="24"/>
        </w:rPr>
        <w:t xml:space="preserve">. </w:t>
      </w:r>
      <w:r w:rsidRPr="00E46468">
        <w:rPr>
          <w:rFonts w:asciiTheme="minorHAnsi" w:hAnsiTheme="minorHAnsi"/>
        </w:rPr>
        <w:t xml:space="preserve">Canopy removal via thinning not only makes the forest hotter, drier, and windier, it also stimulates the growth of shrubs and create the very conditions that favor more severe crown damage during fire. This challenges the very popular notion that dense forests are a fire hazard. </w:t>
      </w:r>
      <w:r w:rsidRPr="00E46468">
        <w:rPr>
          <w:rFonts w:asciiTheme="minorHAnsi" w:hAnsiTheme="minorHAnsi"/>
          <w:szCs w:val="24"/>
        </w:rPr>
        <w:t xml:space="preserve">A meta-analysis of the effects of partial cutting showed that understory growth was stimulated in all cases. </w:t>
      </w:r>
      <w:r w:rsidRPr="00E46468">
        <w:rPr>
          <w:rStyle w:val="e"/>
          <w:rFonts w:asciiTheme="minorHAnsi" w:hAnsiTheme="minorHAnsi"/>
        </w:rPr>
        <w:t xml:space="preserve">D. Zhou, S. Q. Zhao, S. Liu,  and J. Oeding. 2013. A meta-analysis on the impacts of partial cutting on forest structure and carbon storage. Biogeosciences, 10, 3691–3703, 2013. </w:t>
      </w:r>
      <w:hyperlink r:id="rId70" w:history="1">
        <w:r w:rsidRPr="00E46468">
          <w:rPr>
            <w:rStyle w:val="Hyperlink"/>
            <w:rFonts w:asciiTheme="minorHAnsi" w:hAnsiTheme="minorHAnsi"/>
          </w:rPr>
          <w:t>https://www.biogeosciences.net/10/3691/2013/bg-10-3691-2013.pdf</w:t>
        </w:r>
      </w:hyperlink>
      <w:r w:rsidRPr="00E46468">
        <w:rPr>
          <w:rStyle w:val="e"/>
          <w:rFonts w:asciiTheme="minorHAnsi" w:hAnsiTheme="minorHAnsi"/>
        </w:rPr>
        <w:t xml:space="preserve">. </w:t>
      </w:r>
      <w:r w:rsidRPr="00E46468">
        <w:rPr>
          <w:rFonts w:asciiTheme="minorHAnsi" w:hAnsiTheme="minorHAnsi"/>
          <w:szCs w:val="24"/>
        </w:rPr>
        <w:t xml:space="preserve">(“Understory C was stimulated significantly by partial cutting in all of the studies. This stimulation can be mostly attributed to an increase in the availability of light, water, and nutrients to the understory because of tree removal (Aussenac, 2000; Kleintjes et al., 2004; Deal, 2007)”). “Thinning is most effective when it removes understory trees, because larger overstory trees are more resistant to heat injury (Agee and Skinner 2005). In addition, shade and competition from larger trees slows the recruitment of younger trees in the understory.” Keeley, J.E.; Aplet, G.H.; Christensen, N.L.; Conard, S.C.; Johnson, E.A.; Omi, P.N.; Peterson, D.L.; Swetnam, T.W. 2009. Ecological foundations for fire management in North American forest and shrubland ecosystems. Gen. Tech. Rep. PNW-GTR-779. Portland, OR: U.S. Department of Agriculture, Forest Service, Pacific Northwest Research Station. 92 p. </w:t>
      </w:r>
      <w:hyperlink r:id="rId71" w:history="1">
        <w:r w:rsidRPr="00E46468">
          <w:rPr>
            <w:rStyle w:val="Hyperlink"/>
            <w:rFonts w:asciiTheme="minorHAnsi" w:hAnsiTheme="minorHAnsi"/>
            <w:szCs w:val="24"/>
          </w:rPr>
          <w:t>http://www.fs.fed.us/pnw/pubs/pnw_gtr779.pdf</w:t>
        </w:r>
      </w:hyperlink>
      <w:r w:rsidRPr="00E46468">
        <w:rPr>
          <w:rFonts w:asciiTheme="minorHAnsi" w:hAnsiTheme="minorHAnsi"/>
          <w:szCs w:val="24"/>
        </w:rPr>
        <w:t xml:space="preserve">. </w:t>
      </w:r>
      <w:r w:rsidRPr="00E46468">
        <w:rPr>
          <w:rFonts w:asciiTheme="minorHAnsi" w:hAnsiTheme="minorHAnsi" w:cs="Times New  Roman"/>
        </w:rPr>
        <w:t>Zald &amp; Dunn (2018) looked at fire severity in a mixed ownership landscape and found that stand age was inversely related to fire severity suggesting that older forests are more resistant and resilient to fire and that time-since-fire has the opposite of the assumed effect on fire hazard. “</w:t>
      </w:r>
      <w:r w:rsidRPr="00E46468">
        <w:rPr>
          <w:rFonts w:asciiTheme="minorHAnsi" w:hAnsiTheme="minorHAnsi"/>
          <w:b/>
        </w:rPr>
        <w:t xml:space="preserve">…we found daily fire </w:t>
      </w:r>
      <w:r w:rsidRPr="00E46468">
        <w:rPr>
          <w:rFonts w:asciiTheme="minorHAnsi" w:hAnsiTheme="minorHAnsi"/>
          <w:b/>
        </w:rPr>
        <w:lastRenderedPageBreak/>
        <w:t>weather was the most important predictor of fire severity, followed by stand age and ownership, followed by topographic features. Estimates of pre</w:t>
      </w:r>
      <w:r w:rsidRPr="00E46468">
        <w:rPr>
          <w:rFonts w:ascii="Times New Roman" w:hAnsi="Times New Roman" w:cs="Times New Roman"/>
          <w:b/>
        </w:rPr>
        <w:t>‐</w:t>
      </w:r>
      <w:r w:rsidRPr="00E46468">
        <w:rPr>
          <w:rFonts w:asciiTheme="minorHAnsi" w:hAnsiTheme="minorHAnsi"/>
          <w:b/>
        </w:rPr>
        <w:t>fire forest biomass were not an important predictor of fire severity.</w:t>
      </w:r>
      <w:r w:rsidRPr="00E46468">
        <w:rPr>
          <w:rFonts w:asciiTheme="minorHAnsi" w:hAnsiTheme="minorHAnsi"/>
        </w:rPr>
        <w:t xml:space="preserve"> Adjusting for all other predictor variables in a general least squares model incorporating spatial autocorrelation, mean predicted RdNBR was higher on private industrial forests (RdNBR 521.85 ± 18.67 [mean ± SE]) vs. BLM forests (398.87 ± 18.23) with a much greater proportion of older forests. </w:t>
      </w:r>
      <w:r w:rsidRPr="00E46468">
        <w:rPr>
          <w:rFonts w:asciiTheme="minorHAnsi" w:hAnsiTheme="minorHAnsi"/>
          <w:b/>
        </w:rPr>
        <w:t>Our findings suggest intensive plantation forestry characterized by young forests and spatially homogenized fuels, rather than pre</w:t>
      </w:r>
      <w:r w:rsidRPr="00E46468">
        <w:rPr>
          <w:rFonts w:ascii="Times New Roman" w:hAnsi="Times New Roman" w:cs="Times New Roman"/>
          <w:b/>
        </w:rPr>
        <w:t>‐</w:t>
      </w:r>
      <w:r w:rsidRPr="00E46468">
        <w:rPr>
          <w:rFonts w:asciiTheme="minorHAnsi" w:hAnsiTheme="minorHAnsi"/>
          <w:b/>
        </w:rPr>
        <w:t>fire biomass, were significant drivers of wildfire severity.</w:t>
      </w:r>
      <w:r w:rsidRPr="00E46468">
        <w:rPr>
          <w:rFonts w:asciiTheme="minorHAnsi" w:hAnsiTheme="minorHAnsi"/>
        </w:rPr>
        <w:t xml:space="preserve"> This has implications for perceptions of wildfire risk, shared fire management responsibilities, and developing fire resilience for multiple objectives in multi</w:t>
      </w:r>
      <w:r w:rsidRPr="00170C8F">
        <w:rPr>
          <w:rFonts w:ascii="Times New Roman" w:hAnsi="Times New Roman" w:cs="Times New Roman"/>
        </w:rPr>
        <w:t>‐</w:t>
      </w:r>
      <w:r w:rsidRPr="00E46468">
        <w:rPr>
          <w:rFonts w:asciiTheme="minorHAnsi" w:hAnsiTheme="minorHAnsi"/>
        </w:rPr>
        <w:t>owner landscapes.” Harold S. J. Zald, Christopher J. Dunn. 2018. Severe fire weather and intensive forest management increase fire severity in a multi</w:t>
      </w:r>
      <w:r w:rsidRPr="00170C8F">
        <w:rPr>
          <w:rFonts w:ascii="Times New Roman" w:hAnsi="Times New Roman" w:cs="Times New Roman"/>
        </w:rPr>
        <w:t>‐</w:t>
      </w:r>
      <w:r w:rsidRPr="00E46468">
        <w:rPr>
          <w:rFonts w:asciiTheme="minorHAnsi" w:hAnsiTheme="minorHAnsi"/>
        </w:rPr>
        <w:t xml:space="preserve">ownership landscape. Ecological Applications. </w:t>
      </w:r>
      <w:r w:rsidRPr="00E46468">
        <w:rPr>
          <w:rFonts w:asciiTheme="minorHAnsi" w:hAnsiTheme="minorHAnsi"/>
          <w:i/>
        </w:rPr>
        <w:t>Online Version of Record before inclusion in an issue.</w:t>
      </w:r>
      <w:r w:rsidRPr="00E46468">
        <w:rPr>
          <w:rFonts w:asciiTheme="minorHAnsi" w:hAnsiTheme="minorHAnsi"/>
        </w:rPr>
        <w:t xml:space="preserve"> 26 April 2018. </w:t>
      </w:r>
      <w:hyperlink r:id="rId72" w:history="1">
        <w:r w:rsidRPr="00E46468">
          <w:rPr>
            <w:rStyle w:val="Hyperlink"/>
            <w:rFonts w:asciiTheme="minorHAnsi" w:hAnsiTheme="minorHAnsi"/>
          </w:rPr>
          <w:t>https://doi.org/10.1002/eap.1710</w:t>
        </w:r>
      </w:hyperlink>
      <w:r w:rsidRPr="00E46468">
        <w:rPr>
          <w:rFonts w:asciiTheme="minorHAnsi" w:hAnsiTheme="minorHAnsi"/>
        </w:rPr>
        <w:t xml:space="preserve">. Also, </w:t>
      </w:r>
      <w:hyperlink r:id="rId73" w:history="1">
        <w:r w:rsidRPr="00E46468">
          <w:rPr>
            <w:rStyle w:val="Hyperlink"/>
            <w:rFonts w:asciiTheme="minorHAnsi" w:hAnsiTheme="minorHAnsi"/>
          </w:rPr>
          <w:t>https://phys.org/news/2018-04-high-wildfire-severity-young-plantation.html</w:t>
        </w:r>
      </w:hyperlink>
      <w:r w:rsidRPr="00E46468">
        <w:rPr>
          <w:rFonts w:asciiTheme="minorHAnsi" w:hAnsiTheme="minorHAnsi"/>
        </w:rPr>
        <w:t>.</w:t>
      </w:r>
    </w:p>
    <w:p w:rsidR="008768AE" w:rsidRPr="00E46468" w:rsidRDefault="008768AE" w:rsidP="008768AE">
      <w:pPr>
        <w:shd w:val="clear" w:color="auto" w:fill="FFFFFF"/>
        <w:autoSpaceDE w:val="0"/>
        <w:rPr>
          <w:rFonts w:asciiTheme="minorHAnsi" w:eastAsia="Times New Roman" w:hAnsiTheme="minorHAnsi" w:cs="Times New Roman"/>
          <w:color w:val="222222"/>
          <w:szCs w:val="24"/>
        </w:rPr>
      </w:pPr>
    </w:p>
    <w:p w:rsidR="008768AE" w:rsidRPr="00E46468" w:rsidRDefault="008768AE" w:rsidP="008768AE">
      <w:pPr>
        <w:shd w:val="clear" w:color="auto" w:fill="FFFFFF"/>
        <w:autoSpaceDE w:val="0"/>
        <w:ind w:left="360"/>
        <w:rPr>
          <w:rFonts w:asciiTheme="minorHAnsi" w:hAnsiTheme="minorHAnsi"/>
          <w:noProof/>
        </w:rPr>
      </w:pPr>
      <w:r w:rsidRPr="00E46468">
        <w:rPr>
          <w:rFonts w:asciiTheme="minorHAnsi" w:hAnsiTheme="minorHAnsi"/>
          <w:noProof/>
          <w:lang w:val="en-US"/>
        </w:rPr>
        <w:drawing>
          <wp:inline distT="0" distB="0" distL="0" distR="0">
            <wp:extent cx="5194300" cy="2432050"/>
            <wp:effectExtent l="0" t="0" r="635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194300" cy="2432050"/>
                    </a:xfrm>
                    <a:prstGeom prst="rect">
                      <a:avLst/>
                    </a:prstGeom>
                    <a:noFill/>
                    <a:ln>
                      <a:noFill/>
                    </a:ln>
                  </pic:spPr>
                </pic:pic>
              </a:graphicData>
            </a:graphic>
          </wp:inline>
        </w:drawing>
      </w:r>
    </w:p>
    <w:p w:rsidR="008768AE" w:rsidRPr="00E46468" w:rsidRDefault="008768AE" w:rsidP="008768AE">
      <w:pPr>
        <w:shd w:val="clear" w:color="auto" w:fill="FFFFFF"/>
        <w:autoSpaceDE w:val="0"/>
        <w:ind w:left="360"/>
        <w:rPr>
          <w:rFonts w:asciiTheme="minorHAnsi" w:eastAsia="Times New Roman" w:hAnsiTheme="minorHAnsi"/>
          <w:color w:val="222222"/>
          <w:sz w:val="20"/>
        </w:rPr>
      </w:pPr>
      <w:r w:rsidRPr="00E46468">
        <w:rPr>
          <w:rFonts w:asciiTheme="minorHAnsi" w:hAnsiTheme="minorHAnsi"/>
          <w:noProof/>
          <w:sz w:val="20"/>
        </w:rPr>
        <w:t xml:space="preserve">An example of </w:t>
      </w:r>
      <w:r w:rsidRPr="00E46468">
        <w:rPr>
          <w:rFonts w:asciiTheme="minorHAnsi" w:eastAsia="Times New Roman" w:hAnsiTheme="minorHAnsi"/>
          <w:color w:val="222222"/>
          <w:sz w:val="20"/>
        </w:rPr>
        <w:t>thick brush that can grow after thinning.</w:t>
      </w:r>
    </w:p>
    <w:p w:rsidR="008768AE" w:rsidRPr="00E46468" w:rsidRDefault="008768AE" w:rsidP="008768AE">
      <w:pPr>
        <w:numPr>
          <w:ilvl w:val="0"/>
          <w:numId w:val="4"/>
        </w:numPr>
        <w:shd w:val="clear" w:color="auto" w:fill="FFFFFF"/>
        <w:spacing w:line="240" w:lineRule="auto"/>
        <w:rPr>
          <w:rFonts w:asciiTheme="minorHAnsi" w:eastAsia="Times New Roman" w:hAnsiTheme="minorHAnsi" w:cs="Times New Roman"/>
          <w:color w:val="222222"/>
          <w:szCs w:val="24"/>
        </w:rPr>
      </w:pPr>
      <w:r w:rsidRPr="00E46468">
        <w:rPr>
          <w:rFonts w:asciiTheme="minorHAnsi" w:hAnsiTheme="minorHAnsi"/>
          <w:i/>
        </w:rPr>
        <w:t>Only a small fraction of needed density reductio</w:t>
      </w:r>
      <w:r w:rsidRPr="00E46468">
        <w:rPr>
          <w:rFonts w:asciiTheme="minorHAnsi" w:hAnsiTheme="minorHAnsi"/>
          <w:i/>
          <w:szCs w:val="24"/>
        </w:rPr>
        <w:t>n can support an economically viable timber sale</w:t>
      </w:r>
      <w:r w:rsidRPr="00E46468">
        <w:rPr>
          <w:rFonts w:asciiTheme="minorHAnsi" w:hAnsiTheme="minorHAnsi"/>
          <w:szCs w:val="24"/>
        </w:rPr>
        <w:t xml:space="preserve">. See Rainville, Robert; White, Rachel; Barbour, Jamie, tech. eds. 2008. Assessment of timber availability from forest restoration within the Blue Mountains of Oregon. Gen. Tech. Rep. PNW-GTR-752. Portland, OR: U.S. Department of Agriculture, Forest Service, Pacific Northwest Research Station. 65 p. </w:t>
      </w:r>
      <w:hyperlink r:id="rId75" w:history="1">
        <w:r w:rsidRPr="00E46468">
          <w:rPr>
            <w:rStyle w:val="Hyperlink"/>
            <w:rFonts w:asciiTheme="minorHAnsi" w:hAnsiTheme="minorHAnsi"/>
            <w:szCs w:val="24"/>
          </w:rPr>
          <w:t>http://www.fs.fed.us/pnw/pubs/pnw_gtr752.pdf</w:t>
        </w:r>
      </w:hyperlink>
      <w:r w:rsidRPr="00E46468">
        <w:rPr>
          <w:rFonts w:asciiTheme="minorHAnsi" w:hAnsiTheme="minorHAnsi"/>
          <w:szCs w:val="24"/>
        </w:rPr>
        <w:t xml:space="preserve"> (</w:t>
      </w:r>
      <w:r w:rsidRPr="00E46468">
        <w:rPr>
          <w:rFonts w:asciiTheme="minorHAnsi" w:hAnsiTheme="minorHAnsi"/>
        </w:rPr>
        <w:t xml:space="preserve">“Hoping to boost their economies and also restore these forests, local leaders are interested in the economic value of timber that might be available from thinning treatments on these lands. … [W]e found that on lands where active forestry is allowable, thinning of most densely stocked stands would not be economically viable. … In the 46 percent of the three Blue Mountains national forests that is forested, thinning with timber removal is an unlikely treatment method. This does not mean that other vegetative management options (prescribed fire, wildland fire use, or thinning without commercial timber removal) could not be used to reduce fire hazard, but it is doubtful that these areas would produce much commercial timber. …  Commercial thinning would only be possible where the value of the timber harvested exceeds the cost of the harvesting, hauling, road maintenance, and contractual requirements (i.e., a positive net revenue exists). Because most simulated thinnings harvested low volumes of small trees, commercial removal was possible on only 39,900 (± 4,600) acres, or less than 10 percent of </w:t>
      </w:r>
      <w:r w:rsidRPr="00E46468">
        <w:rPr>
          <w:rFonts w:asciiTheme="minorHAnsi" w:hAnsiTheme="minorHAnsi"/>
        </w:rPr>
        <w:lastRenderedPageBreak/>
        <w:t>the densely stocked acres (table 4-8). … … even when considered under the most favorable of assumptions, most densely stocked stands would not be treatable without significant investments.”)</w:t>
      </w:r>
      <w:r w:rsidRPr="00E46468">
        <w:rPr>
          <w:rFonts w:asciiTheme="minorHAnsi" w:hAnsiTheme="minorHAnsi"/>
          <w:szCs w:val="24"/>
        </w:rPr>
        <w:t xml:space="preserve"> </w:t>
      </w:r>
    </w:p>
    <w:p w:rsidR="008768AE" w:rsidRPr="00E46468" w:rsidRDefault="008768AE" w:rsidP="008768AE">
      <w:pPr>
        <w:numPr>
          <w:ilvl w:val="0"/>
          <w:numId w:val="4"/>
        </w:numPr>
        <w:suppressAutoHyphens/>
        <w:spacing w:line="240" w:lineRule="auto"/>
        <w:rPr>
          <w:rFonts w:asciiTheme="minorHAnsi" w:hAnsiTheme="minorHAnsi"/>
        </w:rPr>
      </w:pPr>
      <w:r w:rsidRPr="00E46468">
        <w:rPr>
          <w:rFonts w:asciiTheme="minorHAnsi" w:hAnsiTheme="minorHAnsi"/>
          <w:i/>
        </w:rPr>
        <w:t>The agencies are failing to treat the areas of highest hazard and choosing instead to treat areas that produce profitable timber sales.</w:t>
      </w:r>
      <w:r w:rsidRPr="00E46468">
        <w:rPr>
          <w:rFonts w:asciiTheme="minorHAnsi" w:hAnsiTheme="minorHAnsi"/>
        </w:rPr>
        <w:t xml:space="preserve"> Vaillant &amp; Reinhardt 2017. An Evaluation of the Forest Service Hazardous Fuels Treatment Program—Are We Treating Enough to Promote Resiliency or Reduce Hazard? J. For. 115(4):300 –308. July 2017.</w:t>
      </w:r>
      <w:r w:rsidRPr="00E46468">
        <w:rPr>
          <w:rStyle w:val="fontstyle21"/>
          <w:rFonts w:asciiTheme="minorHAnsi" w:hAnsiTheme="minorHAnsi" w:cs="Times New Roman"/>
          <w:sz w:val="24"/>
          <w:szCs w:val="24"/>
        </w:rPr>
        <w:t xml:space="preserve"> </w:t>
      </w:r>
      <w:hyperlink r:id="rId76" w:history="1">
        <w:r w:rsidRPr="00E46468">
          <w:rPr>
            <w:rStyle w:val="Hyperlink"/>
            <w:rFonts w:asciiTheme="minorHAnsi" w:hAnsiTheme="minorHAnsi" w:cs="Times New Roman"/>
            <w:szCs w:val="24"/>
          </w:rPr>
          <w:t>https://doi.org/10.5849/jof.16-067</w:t>
        </w:r>
      </w:hyperlink>
      <w:r w:rsidRPr="00E46468">
        <w:rPr>
          <w:rStyle w:val="fontstyle21"/>
          <w:rFonts w:asciiTheme="minorHAnsi" w:hAnsiTheme="minorHAnsi" w:cs="Times New Roman"/>
          <w:sz w:val="24"/>
          <w:szCs w:val="24"/>
        </w:rPr>
        <w:t xml:space="preserve">. </w:t>
      </w:r>
      <w:hyperlink r:id="rId77" w:history="1">
        <w:r w:rsidRPr="00E46468">
          <w:rPr>
            <w:rStyle w:val="Hyperlink"/>
            <w:rFonts w:asciiTheme="minorHAnsi" w:hAnsiTheme="minorHAnsi" w:cs="Times New Roman"/>
            <w:szCs w:val="24"/>
          </w:rPr>
          <w:t>https://www.fs.fed.us/pnw/pubs/journals/pnw_2017_vaillant001.pdf</w:t>
        </w:r>
      </w:hyperlink>
      <w:r w:rsidRPr="00E46468">
        <w:rPr>
          <w:rStyle w:val="fontstyle21"/>
          <w:rFonts w:asciiTheme="minorHAnsi" w:hAnsiTheme="minorHAnsi" w:cs="Times New Roman"/>
          <w:sz w:val="24"/>
          <w:szCs w:val="24"/>
        </w:rPr>
        <w:t xml:space="preserve">. </w:t>
      </w:r>
      <w:r w:rsidRPr="00E46468">
        <w:rPr>
          <w:rFonts w:asciiTheme="minorHAnsi" w:hAnsiTheme="minorHAnsi"/>
        </w:rPr>
        <w:t>(“[W]e evaluated the [nationwide] extent of fuel treatments and wildfire occurrence within lands managed by the National Forest System (NFS) between 2008 and 2012 …</w:t>
      </w:r>
      <w:r w:rsidRPr="00E46468">
        <w:rPr>
          <w:rStyle w:val="fontstyle21"/>
          <w:rFonts w:asciiTheme="minorHAnsi" w:hAnsiTheme="minorHAnsi" w:cs="Times New Roman"/>
          <w:sz w:val="24"/>
          <w:szCs w:val="24"/>
        </w:rPr>
        <w:t xml:space="preserve"> </w:t>
      </w:r>
      <w:r w:rsidRPr="00E46468">
        <w:rPr>
          <w:rFonts w:asciiTheme="minorHAnsi" w:hAnsiTheme="minorHAnsi"/>
        </w:rPr>
        <w:t>The very high hazard class had the lowest treatment percentage and the highest incidence of uncharacteristically high-severity wildfire out of all the hazard classes. … Areas of very low hazard often are favored for treatment because they are less complex to plan and implement, are more economical to treat, … [T]reatments may be placed where they can accomplish multiple objectives, including production of wood products. This may result in selection of locations that are less important for hazard mitigation.”)</w:t>
      </w:r>
    </w:p>
    <w:p w:rsidR="008768AE" w:rsidRPr="00E46468" w:rsidRDefault="008768AE" w:rsidP="008768AE">
      <w:pPr>
        <w:numPr>
          <w:ilvl w:val="0"/>
          <w:numId w:val="4"/>
        </w:numPr>
        <w:suppressAutoHyphens/>
        <w:spacing w:line="240" w:lineRule="auto"/>
        <w:rPr>
          <w:rFonts w:asciiTheme="minorHAnsi" w:hAnsiTheme="minorHAnsi"/>
        </w:rPr>
      </w:pPr>
      <w:r w:rsidRPr="00E46468">
        <w:rPr>
          <w:rFonts w:asciiTheme="minorHAnsi" w:hAnsiTheme="minorHAnsi"/>
          <w:i/>
        </w:rPr>
        <w:t>Building codes and land use planning are more effective than logging to reduce community wildfire hazard</w:t>
      </w:r>
      <w:r w:rsidRPr="00E46468">
        <w:rPr>
          <w:rFonts w:asciiTheme="minorHAnsi" w:hAnsiTheme="minorHAnsi"/>
        </w:rPr>
        <w:t xml:space="preserve">. Pohl, Kelly 2019. “For communities, land use planning is more effective than logging on federal lands to reduce future wildfire disasters.” </w:t>
      </w:r>
      <w:hyperlink r:id="rId78" w:history="1">
        <w:r w:rsidRPr="00E46468">
          <w:rPr>
            <w:rStyle w:val="Hyperlink"/>
            <w:rFonts w:asciiTheme="minorHAnsi" w:hAnsiTheme="minorHAnsi"/>
          </w:rPr>
          <w:t>https://headwaterseconomics.org/wildfire/solutions/land-use-planning-is-more-effective/</w:t>
        </w:r>
      </w:hyperlink>
      <w:r w:rsidRPr="00E46468">
        <w:rPr>
          <w:rFonts w:asciiTheme="minorHAnsi" w:hAnsiTheme="minorHAnsi"/>
        </w:rPr>
        <w:t xml:space="preserve">. (“[W]e have the knowledge and tools to reduce risk posed by homes in wildfire-prone areas. ... [T]here are many land use planning tools available that can mean the difference between home survival and loss.”). The fire threat to communities is caused by, and may be best addressed by, land use practices, not forest fuels. Forest fuels policy needs to recognize that structures themselves represent hazardous fuels that can carry fire from structure-to-structure, or from structure-to-forest. There are already too many homes in the wildland urban interface, and more are being built every day. Radeloff, Helmers, Kramer et al 2017. Rapid growth of the US wildland-urban interface raises wildfire risk. Proceedings of the National Academy of Sciences. Mar 2018, 2017. </w:t>
      </w:r>
      <w:hyperlink r:id="rId79" w:history="1">
        <w:r w:rsidRPr="00E46468">
          <w:rPr>
            <w:rStyle w:val="Hyperlink"/>
            <w:rFonts w:asciiTheme="minorHAnsi" w:hAnsiTheme="minorHAnsi"/>
          </w:rPr>
          <w:t>https://www.pnas.org/cgi/doi/10.1073/pnas.1718850115</w:t>
        </w:r>
      </w:hyperlink>
      <w:r w:rsidRPr="00E46468">
        <w:rPr>
          <w:rFonts w:asciiTheme="minorHAnsi" w:hAnsiTheme="minorHAnsi"/>
        </w:rPr>
        <w:t>. (“Abstract: … Here we report that the WUI in the United States grew rapidly from 1990 to 2010 in terms of both number of new houses (from 30.8 to 43.4 million; 41% growth) and land area (from 581,000 to 770,000 km2; 33% growth), making it the fastest-growing land use type in the conterminous United States. The vast majority of new WUI areas were the result of new housing (97%), not related to an increase in wildland vegetation. Within the perimeter of recent wildfires (1990–2015), there were 286,000 houses in 2010, compared with 177,000 in 1990. Furthermore, WUI growth often results in more wildfire ignitions, putting more lives and houses at risk. Wildfire problems will not abate if recent housing growth trends continue.”). This also shows that people are quite willing to tolerate fire hazard in order to enjoy the quality of life associated with living near the forest.</w:t>
      </w:r>
    </w:p>
    <w:p w:rsidR="008768AE" w:rsidRPr="00E46468" w:rsidRDefault="008768AE" w:rsidP="008768AE">
      <w:pPr>
        <w:numPr>
          <w:ilvl w:val="0"/>
          <w:numId w:val="4"/>
        </w:numPr>
        <w:suppressAutoHyphens/>
        <w:spacing w:line="240" w:lineRule="auto"/>
        <w:rPr>
          <w:rFonts w:asciiTheme="minorHAnsi" w:hAnsiTheme="minorHAnsi"/>
        </w:rPr>
      </w:pPr>
      <w:r w:rsidRPr="00E46468">
        <w:rPr>
          <w:rFonts w:asciiTheme="minorHAnsi" w:hAnsiTheme="minorHAnsi"/>
          <w:i/>
        </w:rPr>
        <w:t xml:space="preserve">Unlogged areas provide many benefits such as wildlife cover, snag &amp; wood recruitment, carbon storage, soil/watershed quality, microclimate buffering, etc. </w:t>
      </w:r>
      <w:r w:rsidRPr="00E46468">
        <w:rPr>
          <w:rFonts w:asciiTheme="minorHAnsi" w:hAnsiTheme="minorHAnsi"/>
        </w:rPr>
        <w:t xml:space="preserve">Forests are naturally adaptive and natural processes will accomplish many of the benefits attributed to thinning. “Counter to many regional studies, our results indicated that treated and long-unaltered, untreated areas may be moving in a similar direction. Treated and untreated areas experienced declines in tree density, increases in the size of the average individual, and losses of surface fuels in most size classes. The number of large trees increased in untreated areas, but decreased in treated areas. Our results suggested that untreated areas may be naturally recovering from the large disturbances associated with resource extraction and development in the late 1800s, and that natural recovery processes, including self thinning, </w:t>
      </w:r>
      <w:r w:rsidRPr="00E46468">
        <w:rPr>
          <w:rFonts w:asciiTheme="minorHAnsi" w:hAnsiTheme="minorHAnsi"/>
        </w:rPr>
        <w:lastRenderedPageBreak/>
        <w:t xml:space="preserve">are taking hold. ... In a study of forest restoration need across eastern Washington and Oregon, over 25% of required restoration could be achieved through transition to later stages of forest stand development through successional processes as western landscapes recover from widespread historic degradation (Haugo et al., 2015).” </w:t>
      </w:r>
      <w:r w:rsidRPr="00E46468">
        <w:rPr>
          <w:rFonts w:asciiTheme="minorHAnsi" w:hAnsiTheme="minorHAnsi" w:cs="Times New Roman"/>
          <w:szCs w:val="24"/>
        </w:rPr>
        <w:t xml:space="preserve">Zachmann, L. J., D. W. Shaw, and B. G. Dickson. 2018. Prescribed fire and natural recovery produce similar long-term patterns of change in forest structure in the Lake Tahoe basin, California. Forest Ecology and Management 409:276–287. </w:t>
      </w:r>
      <w:hyperlink r:id="rId80" w:history="1">
        <w:r w:rsidRPr="00E46468">
          <w:rPr>
            <w:rStyle w:val="Hyperlink"/>
            <w:rFonts w:asciiTheme="minorHAnsi" w:hAnsiTheme="minorHAnsi" w:cs="Times New Roman"/>
            <w:szCs w:val="24"/>
          </w:rPr>
          <w:t>http://www.csp-inc.org/wp-content/uploads/2017/11/Zachmann_et_al_2017.pdf</w:t>
        </w:r>
      </w:hyperlink>
      <w:r w:rsidRPr="00E46468">
        <w:rPr>
          <w:rFonts w:asciiTheme="minorHAnsi" w:hAnsiTheme="minorHAnsi" w:cs="Times New Roman"/>
          <w:szCs w:val="24"/>
        </w:rPr>
        <w:t xml:space="preserve"> </w:t>
      </w:r>
    </w:p>
    <w:p w:rsidR="008768AE" w:rsidRPr="00E46468" w:rsidRDefault="008768AE" w:rsidP="008768AE">
      <w:pPr>
        <w:numPr>
          <w:ilvl w:val="0"/>
          <w:numId w:val="4"/>
        </w:numPr>
        <w:suppressAutoHyphens/>
        <w:spacing w:line="240" w:lineRule="auto"/>
        <w:rPr>
          <w:rFonts w:asciiTheme="minorHAnsi" w:hAnsiTheme="minorHAnsi"/>
        </w:rPr>
      </w:pPr>
      <w:r w:rsidRPr="00E46468">
        <w:rPr>
          <w:rFonts w:asciiTheme="minorHAnsi" w:hAnsiTheme="minorHAnsi"/>
          <w:i/>
        </w:rPr>
        <w:t>Wildfire effects are more ecologically beneficial than logging.</w:t>
      </w:r>
      <w:r w:rsidRPr="00E46468">
        <w:rPr>
          <w:rFonts w:asciiTheme="minorHAnsi" w:hAnsiTheme="minorHAnsi"/>
        </w:rPr>
        <w:t xml:space="preserve"> The 2017 Fuels Report for the 130,000 acre East Hills Project on this Fremont-Winema NF admits that wildfires are expected to have beneficial effects even under the no action alternative - “Overall expected value of fire effects is moderately beneficial. This assumes that fires burn throughout the range of conditions – actual current practice is to suppress fires that are most likely to be beneficial.” </w:t>
      </w:r>
      <w:hyperlink r:id="rId81" w:history="1">
        <w:r w:rsidRPr="00E46468">
          <w:rPr>
            <w:rStyle w:val="Hyperlink"/>
            <w:rFonts w:asciiTheme="minorHAnsi" w:hAnsiTheme="minorHAnsi" w:cs="Times New Roman"/>
            <w:szCs w:val="24"/>
          </w:rPr>
          <w:t>https://www.fs.usda.gov/nfs/11558/www/nepa/101283_FSPLT3_4264365.pdf</w:t>
        </w:r>
      </w:hyperlink>
      <w:r w:rsidRPr="00E46468">
        <w:rPr>
          <w:rFonts w:asciiTheme="minorHAnsi" w:hAnsiTheme="minorHAnsi"/>
        </w:rPr>
        <w:t xml:space="preserve">. This would indicate a need to modify fire suppression practices and work </w:t>
      </w:r>
      <w:r w:rsidRPr="00E46468">
        <w:rPr>
          <w:rFonts w:asciiTheme="minorHAnsi" w:hAnsiTheme="minorHAnsi"/>
          <w:i/>
        </w:rPr>
        <w:t>with</w:t>
      </w:r>
      <w:r w:rsidRPr="00E46468">
        <w:rPr>
          <w:rFonts w:asciiTheme="minorHAnsi" w:hAnsiTheme="minorHAnsi"/>
        </w:rPr>
        <w:t xml:space="preserve"> fire when weather conditions are favorable.</w:t>
      </w:r>
    </w:p>
    <w:p w:rsidR="008768AE" w:rsidRDefault="008768AE" w:rsidP="008768AE"/>
    <w:p w:rsidR="008768AE" w:rsidRDefault="008768AE" w:rsidP="008768AE">
      <w:r>
        <w:t xml:space="preserve">Considering all of this, forest managers need to recognize that they cannot log their way out of the fuel predicament they are in. Forest managers will eventually come to realize that the vast majority of the ecological work will be accomplished by wild and prescribed fire. </w:t>
      </w:r>
    </w:p>
    <w:p w:rsidR="008768AE" w:rsidRDefault="008768AE" w:rsidP="008768AE"/>
    <w:p w:rsidR="008768AE" w:rsidRDefault="008768AE" w:rsidP="008768AE">
      <w:r>
        <w:t xml:space="preserve">Oregon Wild supports the objective of preparing the forest for wildfire, but this does not mean that extensive commercial logging is required. Preparing for fire can often be done best by doing non-commercial pre-treatment followed by prescribed fire at the appropriate time, when the weather and fuels are relatively cool and moist. Fire is preferable because it has a lighter ecological footprint on soil, water, and large wood habitat. </w:t>
      </w:r>
    </w:p>
    <w:p w:rsidR="008768AE" w:rsidRDefault="008768AE" w:rsidP="008768AE"/>
    <w:p w:rsidR="008768AE" w:rsidRDefault="008768AE" w:rsidP="008768AE">
      <w:r>
        <w:t>Schoennagel et al (2017) make a compelling case for a new approach to managing fire and fuel with a greater emphasis on using wild and prescribed fire instead of mechanical fuel reduction.</w:t>
      </w:r>
    </w:p>
    <w:p w:rsidR="008768AE" w:rsidRDefault="008768AE" w:rsidP="008768AE">
      <w:pPr>
        <w:ind w:left="576"/>
      </w:pPr>
      <w:r>
        <w:t xml:space="preserve">Key aspects of an adaptive resilience approach are (i) recognizing that fuels reduction cannot alter regional wildfire trends; (ii) targeting fuels reduction to increase adaptation by some ecosystems and residential communities to more frequent fire; (iii) actively managing more wild and prescribed fires with a range of severities; and (iv) incentivizing and planning residential development to withstand inevitable wildfire. … Managing ecosystems, people, and wildfire in a changing climate is a complex but critical challenge that requires effective and innovative policy strategies. Our key message is that wildfire policy and management require a new paradigm that hinges on the critical need to adapt to inevitably more fire in the West in the coming decades. … Three primary factors have produced gradual but significant change across western North American landscapes in recent decades: the warming and drying climate, the build-up of fuels, and the expansion of the wildland–urban interface. … Increasing the use of prescribed fires and managing rather than aggressively suppressing wildland fires can promote adaptive resilience as the climate continues to warm. … Strategic planning for more managed and uncontrolled wild fires on the landscape today may help decrease the proportion of large and severe wildfires in the coming decades and may enhance adaptive resilience to changing climate. Prescribed fires, ignited under cooler and moister conditions than are typical of most wildfires, can reduce fuels and minimize the risk of uncontrolled forest wildfire near </w:t>
      </w:r>
      <w:r>
        <w:lastRenderedPageBreak/>
        <w:t xml:space="preserve">communities. In contrast to wildfires, prescribed fire risks are relatively low, and more than 99% of prescribed fires are held within planned perimeters successfully. … We need to develop a new fire culture. Despite these and various legal and operational challenges, the benefits of prescribed fire and managed wildfires to ecosystems and communities are high. Promoting more wildfire away from people and prescribed fires near people and the WUI are important steps toward augmenting the adaptive resilience of ecosystems and society to increasing wildfire. … [T]he effectiveness of this [fuel reduction] approach at broad scales is limited. Mechanical fuels treatments on US federal lands over the last 15 y (2001–2015) totaled almost 7 million ha (Forests and Rangelands, https://www.forestsandrangelands.gov/), but the annual area burned has continued to set records. Regionally, the area treated has little relationship to trends in the area burned, which is influenced primarily by patterns of drought and warming. Forested areas considerably exceed the area treated, so it is relatively rare that treatments encounter wildfire. … [R]oughly 1% of US Forest Service forest treatments experience wildfire each year, on average. The effectiveness of forest treatments lasts about 10–20 y, suggesting that most treatments have little influence on wildfire. … [T]he prospects for forest fuels treatments to promote adaptive resilience to wildfire at broad scales, by regionally reducing trends in area burned or burn severity, are fairly limited. … Home loss to wildfire is a local event, dependent on structural fuels (e.g., building material) and nearby vegetative fuels. Therefore, fuels management for home and community protection will be most effective closest to homes, which usually are on private land in the WUI where ignition probabilities are likely to be high. … The majority of home building on fire-prone lands occurs in large part because incentives are misaligned, where risks are taken by homeowners and communities but others bear much of the cost if things go wrong. Therefore, getting incentives right is essential, with negative financial consequences for land-management decisions that increase risk and positive financial rewards for decisions that reduce risk. … </w:t>
      </w:r>
    </w:p>
    <w:p w:rsidR="008768AE" w:rsidRDefault="008768AE" w:rsidP="008768AE">
      <w:r>
        <w:t xml:space="preserve">Schoennagel et al 2017. Adapt to more wildfire in western North American forests as climate changes. </w:t>
      </w:r>
      <w:r w:rsidRPr="000B1A25">
        <w:t xml:space="preserve">PNAS </w:t>
      </w:r>
      <w:r>
        <w:t>2017</w:t>
      </w:r>
      <w:r w:rsidRPr="000B1A25">
        <w:t>; published ahead of print April 17, 2017</w:t>
      </w:r>
      <w:r>
        <w:t xml:space="preserve">. </w:t>
      </w:r>
      <w:hyperlink r:id="rId82" w:history="1">
        <w:r w:rsidRPr="00522DD0">
          <w:rPr>
            <w:rStyle w:val="Hyperlink"/>
          </w:rPr>
          <w:t>www.pnas.org/cgi/doi/10.1073/pnas.1617464114</w:t>
        </w:r>
      </w:hyperlink>
      <w:r>
        <w:t xml:space="preserve">; </w:t>
      </w:r>
      <w:r w:rsidRPr="0002375F">
        <w:t xml:space="preserve"> </w:t>
      </w:r>
      <w:hyperlink r:id="rId83" w:history="1">
        <w:r w:rsidRPr="00522DD0">
          <w:rPr>
            <w:rStyle w:val="Hyperlink"/>
          </w:rPr>
          <w:t>https://headwaterseconomics.org/wp-content/uploads/Adapt_To_More_Wildfire.pdf</w:t>
        </w:r>
      </w:hyperlink>
      <w:r>
        <w:t>. Others seem to agree that fire is the preferred tool for management of fire-dependent forests that are suffering from fire exclusion and climate stress. MP North, R</w:t>
      </w:r>
      <w:r w:rsidRPr="005E760C">
        <w:t>A Yor</w:t>
      </w:r>
      <w:r>
        <w:t>k, BM Collins, MD Hurteau, GM Jones, EE Knapp, L Kobziar, H McCann, MD Meyer, S</w:t>
      </w:r>
      <w:r w:rsidRPr="005E760C">
        <w:t>L Stephe</w:t>
      </w:r>
      <w:r>
        <w:t>ns, RE Tompkins, CL Tubbesing.</w:t>
      </w:r>
      <w:r w:rsidRPr="005E760C">
        <w:t xml:space="preserve"> </w:t>
      </w:r>
      <w:r>
        <w:t xml:space="preserve">2021. </w:t>
      </w:r>
      <w:r w:rsidRPr="005E760C">
        <w:t>Pyrosilviculture Needed for Landscape Resilience of Dry Western United Stat</w:t>
      </w:r>
      <w:r>
        <w:t>es Forests, Journal of Forestry;</w:t>
      </w:r>
      <w:r w:rsidRPr="005E760C">
        <w:t xml:space="preserve"> </w:t>
      </w:r>
      <w:hyperlink r:id="rId84" w:history="1">
        <w:r w:rsidRPr="008C3228">
          <w:rPr>
            <w:rStyle w:val="Hyperlink"/>
          </w:rPr>
          <w:t>https://doi.org/10.1093/jofore/fvab026</w:t>
        </w:r>
      </w:hyperlink>
      <w:r>
        <w:t xml:space="preserve"> (“A management paradigm shift in fire use is needed to restore western forest landscape resilience. We propose a “pyrosilviculture” approach with the goals of directly increasing prescribed fire and managed wildfire and modifying thinning treatments to optimize more managed fire.”) We would caution adoption of this paper’s recommendation of using “revenue thinning” to pay for prescribed fire treatments, as large-scale commercial logging will have unacceptable trade-offs such as wildlife habitat, snag habitat, water quality, and carbon storage.</w:t>
      </w:r>
    </w:p>
    <w:p w:rsidR="008768AE" w:rsidRDefault="008768AE" w:rsidP="00387091"/>
    <w:p w:rsidR="00D73407" w:rsidRDefault="008A2029" w:rsidP="00D73407">
      <w:r>
        <w:t>As explained in greater detail in the wildlife section of or comments, s</w:t>
      </w:r>
      <w:r w:rsidR="00D73407">
        <w:t xml:space="preserve">nags and dead wood serve valuable ecosystem services yet are in short supply due to a long history of management that is </w:t>
      </w:r>
      <w:r w:rsidR="00D73407">
        <w:lastRenderedPageBreak/>
        <w:t xml:space="preserve">adverse to snag recruitment. The Assessment needs to better explain the critical values provided by snags and dead wood, the shortage of them, and the cause of the shortage. The plan revision needs to fix this problem by reducing logging and retaining more trees and letting natural processes act upon those trees to create desired conditions. Wisdom et al (2008) found that snag abundance in the Pacific northwest forests is inversely related to past harvest and proximity to roads. Wisdom, M.J., and Bate, L.J. 2008. Snag density varies with intensity of timber harvest and human access. For. Ecol. Manage. 255: 2085–2093. doi:10.1016/j.foreco.2007.12.027. </w:t>
      </w:r>
      <w:hyperlink r:id="rId85" w:history="1">
        <w:r w:rsidR="00D73407" w:rsidRPr="006611AB">
          <w:rPr>
            <w:rStyle w:val="Hyperlink"/>
          </w:rPr>
          <w:t>http://www.fs.fed.us/pnw/pubs/journals/pnw_2008_wisdom001.pdf</w:t>
        </w:r>
      </w:hyperlink>
      <w:r w:rsidR="00D73407">
        <w:t xml:space="preserve"> (“Our highest snag density … occurred in unharvested stands that had no adjacent roads. … Stands with no history of timber harvest had 3 times the density of snags as stands selectively harvested, and 19 times the density as stands having undergone complete harvest. Stands not adjacent to roads had almost 3 times the density of snags as stands adjacent to roads.”)</w:t>
      </w:r>
    </w:p>
    <w:p w:rsidR="00D73407" w:rsidRDefault="00D73407" w:rsidP="00D73407"/>
    <w:p w:rsidR="00D73407" w:rsidRPr="00E441CE" w:rsidRDefault="00D73407" w:rsidP="00387091">
      <w:pPr>
        <w:rPr>
          <w:szCs w:val="24"/>
        </w:rPr>
      </w:pPr>
      <w:r>
        <w:rPr>
          <w:szCs w:val="24"/>
        </w:rPr>
        <w:t>Low-impact restoration activities, including but not limited to prescribed fire, mowing, non-commercial thinning, and weed removal may be appropriate</w:t>
      </w:r>
      <w:r w:rsidR="00410664">
        <w:rPr>
          <w:szCs w:val="24"/>
        </w:rPr>
        <w:t xml:space="preserve"> to augment natural processes.  </w:t>
      </w:r>
      <w:r>
        <w:rPr>
          <w:szCs w:val="24"/>
        </w:rPr>
        <w:t>C</w:t>
      </w:r>
      <w:r w:rsidRPr="00285AC7">
        <w:rPr>
          <w:szCs w:val="24"/>
        </w:rPr>
        <w:t xml:space="preserve">ommercial </w:t>
      </w:r>
      <w:r>
        <w:rPr>
          <w:szCs w:val="24"/>
        </w:rPr>
        <w:t xml:space="preserve">logging </w:t>
      </w:r>
      <w:r w:rsidRPr="00285AC7">
        <w:rPr>
          <w:szCs w:val="24"/>
        </w:rPr>
        <w:t xml:space="preserve">prescriptions are </w:t>
      </w:r>
      <w:r>
        <w:rPr>
          <w:szCs w:val="24"/>
        </w:rPr>
        <w:t xml:space="preserve">typically </w:t>
      </w:r>
      <w:r w:rsidRPr="00285AC7">
        <w:rPr>
          <w:szCs w:val="24"/>
        </w:rPr>
        <w:t xml:space="preserve">designed to exert </w:t>
      </w:r>
      <w:r>
        <w:rPr>
          <w:szCs w:val="24"/>
        </w:rPr>
        <w:t xml:space="preserve">significant </w:t>
      </w:r>
      <w:r w:rsidRPr="00285AC7">
        <w:rPr>
          <w:szCs w:val="24"/>
        </w:rPr>
        <w:t xml:space="preserve">control over fire </w:t>
      </w:r>
      <w:r>
        <w:rPr>
          <w:szCs w:val="24"/>
        </w:rPr>
        <w:t xml:space="preserve">behavior </w:t>
      </w:r>
      <w:r w:rsidRPr="00285AC7">
        <w:rPr>
          <w:szCs w:val="24"/>
        </w:rPr>
        <w:t xml:space="preserve">and </w:t>
      </w:r>
      <w:r>
        <w:rPr>
          <w:szCs w:val="24"/>
        </w:rPr>
        <w:t xml:space="preserve">tree </w:t>
      </w:r>
      <w:r w:rsidRPr="00285AC7">
        <w:rPr>
          <w:szCs w:val="24"/>
        </w:rPr>
        <w:t xml:space="preserve">mortality, and </w:t>
      </w:r>
      <w:r>
        <w:rPr>
          <w:szCs w:val="24"/>
        </w:rPr>
        <w:t xml:space="preserve">similar </w:t>
      </w:r>
      <w:r w:rsidRPr="00285AC7">
        <w:rPr>
          <w:szCs w:val="24"/>
        </w:rPr>
        <w:t xml:space="preserve">prescriptions </w:t>
      </w:r>
      <w:r>
        <w:rPr>
          <w:szCs w:val="24"/>
        </w:rPr>
        <w:t xml:space="preserve">have been and </w:t>
      </w:r>
      <w:r w:rsidRPr="00285AC7">
        <w:rPr>
          <w:szCs w:val="24"/>
        </w:rPr>
        <w:t>are being applied across quite a large area</w:t>
      </w:r>
      <w:r>
        <w:rPr>
          <w:szCs w:val="24"/>
        </w:rPr>
        <w:t xml:space="preserve"> of our federal forests</w:t>
      </w:r>
      <w:r w:rsidRPr="00285AC7">
        <w:rPr>
          <w:szCs w:val="24"/>
        </w:rPr>
        <w:t xml:space="preserve">. By limiting treatments to </w:t>
      </w:r>
      <w:r>
        <w:rPr>
          <w:szCs w:val="24"/>
        </w:rPr>
        <w:t xml:space="preserve">low-impact, non-commercial activities </w:t>
      </w:r>
      <w:r w:rsidRPr="00285AC7">
        <w:rPr>
          <w:szCs w:val="24"/>
        </w:rPr>
        <w:t xml:space="preserve">in undeveloped areas we are still treating them, </w:t>
      </w:r>
      <w:r>
        <w:rPr>
          <w:szCs w:val="24"/>
        </w:rPr>
        <w:t xml:space="preserve">and </w:t>
      </w:r>
      <w:r w:rsidRPr="00285AC7">
        <w:rPr>
          <w:szCs w:val="24"/>
        </w:rPr>
        <w:t>still getting benefits in terms of fire and "forest heath," but we are relaxing our control just a bit and letting natural processes play a bigger role in that subset of the landscape.</w:t>
      </w:r>
    </w:p>
    <w:p w:rsidR="00F94A68" w:rsidRDefault="00F94A68" w:rsidP="00782EBF">
      <w:pPr>
        <w:pStyle w:val="Heading2"/>
      </w:pPr>
      <w:bookmarkStart w:id="6" w:name="_Toc167784199"/>
      <w:r>
        <w:t xml:space="preserve">Mature and </w:t>
      </w:r>
      <w:r w:rsidR="008A2029">
        <w:t>O</w:t>
      </w:r>
      <w:r>
        <w:t>ld-</w:t>
      </w:r>
      <w:r w:rsidR="008A2029">
        <w:t>G</w:t>
      </w:r>
      <w:r>
        <w:t>rowth</w:t>
      </w:r>
      <w:bookmarkEnd w:id="6"/>
      <w:r>
        <w:t xml:space="preserve"> </w:t>
      </w:r>
    </w:p>
    <w:p w:rsidR="00660B47" w:rsidRDefault="00660B47" w:rsidP="00660B47">
      <w:pPr>
        <w:shd w:val="clear" w:color="auto" w:fill="FFFFFF"/>
        <w:rPr>
          <w:rFonts w:eastAsia="Times New Roman" w:cs="Times New Roman"/>
          <w:color w:val="000000"/>
          <w:spacing w:val="-2"/>
          <w:szCs w:val="24"/>
        </w:rPr>
      </w:pPr>
      <w:r>
        <w:rPr>
          <w:rFonts w:eastAsia="Times New Roman" w:cs="Times New Roman"/>
          <w:color w:val="000000"/>
          <w:spacing w:val="-2"/>
          <w:szCs w:val="24"/>
        </w:rPr>
        <w:t>Large and old trees are rare compared to the historic range of variability and they provide a wide range of ecosystem services related to carbon/climate, fish &amp; wildlife habitat, hydrological function, fire resistance/resilience, recreation and scenic values, etc. The Assessment needs to explain the value of conserving large and old trees, and the adverse effects of removing large and old trees.</w:t>
      </w:r>
    </w:p>
    <w:p w:rsidR="00660B47" w:rsidRDefault="00660B47" w:rsidP="00E441CE">
      <w:pPr>
        <w:shd w:val="clear" w:color="auto" w:fill="FFFFFF"/>
        <w:rPr>
          <w:szCs w:val="24"/>
        </w:rPr>
      </w:pPr>
    </w:p>
    <w:p w:rsidR="00E441CE" w:rsidRDefault="00E441CE" w:rsidP="00E441CE">
      <w:pPr>
        <w:shd w:val="clear" w:color="auto" w:fill="FFFFFF"/>
        <w:rPr>
          <w:szCs w:val="24"/>
        </w:rPr>
      </w:pPr>
      <w:r>
        <w:rPr>
          <w:szCs w:val="24"/>
        </w:rPr>
        <w:t>On April 22, 2022 President Biden issued an executive order declaring a policy to conserve mature and old-growth forests on federal land and to manage forests to retain and enhance carbon storage. The agencies should immediately implement these policies.</w:t>
      </w:r>
    </w:p>
    <w:p w:rsidR="00E441CE" w:rsidRDefault="00E441CE" w:rsidP="00E441CE">
      <w:pPr>
        <w:shd w:val="clear" w:color="auto" w:fill="FFFFFF"/>
        <w:ind w:left="720"/>
        <w:rPr>
          <w:szCs w:val="24"/>
        </w:rPr>
      </w:pPr>
      <w:r w:rsidRPr="0000296A">
        <w:rPr>
          <w:szCs w:val="24"/>
        </w:rPr>
        <w:t>Sec. 1. Policy.</w:t>
      </w:r>
      <w:r>
        <w:rPr>
          <w:szCs w:val="24"/>
        </w:rPr>
        <w:t xml:space="preserve"> </w:t>
      </w:r>
    </w:p>
    <w:p w:rsidR="00E441CE" w:rsidRDefault="00E441CE" w:rsidP="00E441CE">
      <w:pPr>
        <w:shd w:val="clear" w:color="auto" w:fill="FFFFFF"/>
        <w:ind w:left="720"/>
        <w:rPr>
          <w:szCs w:val="24"/>
        </w:rPr>
      </w:pPr>
      <w:r w:rsidRPr="009A4B6C">
        <w:rPr>
          <w:szCs w:val="24"/>
        </w:rPr>
        <w:t xml:space="preserve">Strengthening America’s forests, which are home to cherished expanses of mature and old-growth forests on Federal lands, is critical to the health, prosperity, and </w:t>
      </w:r>
      <w:r>
        <w:rPr>
          <w:szCs w:val="24"/>
        </w:rPr>
        <w:t>resilience of our communities …</w:t>
      </w:r>
      <w:r w:rsidRPr="009A4B6C">
        <w:rPr>
          <w:szCs w:val="24"/>
        </w:rPr>
        <w:t>.  Forests provide clean air and water, sustain the plant and animal life fundamental to combating the global climate and biodiversity crises, and hold special importance to Tribal Nations.</w:t>
      </w:r>
      <w:r>
        <w:rPr>
          <w:szCs w:val="24"/>
        </w:rPr>
        <w:t xml:space="preserve"> … </w:t>
      </w:r>
      <w:r w:rsidRPr="009A4B6C">
        <w:rPr>
          <w:szCs w:val="24"/>
        </w:rPr>
        <w:t xml:space="preserve">Conserving old-growth and mature forests on Federal lands </w:t>
      </w:r>
      <w:r>
        <w:rPr>
          <w:szCs w:val="24"/>
        </w:rPr>
        <w:t xml:space="preserve">… </w:t>
      </w:r>
      <w:r w:rsidRPr="009A4B6C">
        <w:rPr>
          <w:szCs w:val="24"/>
        </w:rPr>
        <w:t xml:space="preserve"> is critical to protecting these and other ecosystem services provided by those forests.</w:t>
      </w:r>
      <w:r>
        <w:rPr>
          <w:szCs w:val="24"/>
        </w:rPr>
        <w:t xml:space="preserve"> </w:t>
      </w:r>
      <w:r w:rsidRPr="009A4B6C">
        <w:rPr>
          <w:szCs w:val="24"/>
        </w:rPr>
        <w:t>…</w:t>
      </w:r>
      <w:r>
        <w:rPr>
          <w:szCs w:val="24"/>
        </w:rPr>
        <w:t xml:space="preserve"> </w:t>
      </w:r>
      <w:r w:rsidRPr="009A4B6C">
        <w:rPr>
          <w:szCs w:val="24"/>
        </w:rPr>
        <w:t xml:space="preserve">We can and must take action to conserve, restore, reforest, and manage our magnificent forests  </w:t>
      </w:r>
      <w:r>
        <w:rPr>
          <w:szCs w:val="24"/>
        </w:rPr>
        <w:t xml:space="preserve">… </w:t>
      </w:r>
      <w:r w:rsidRPr="0070606D">
        <w:rPr>
          <w:szCs w:val="24"/>
          <w:u w:val="single"/>
        </w:rPr>
        <w:t>It is the policy of my Administration, … to … conserve America’s mature and old-growth forests on Federal lands …</w:t>
      </w:r>
    </w:p>
    <w:p w:rsidR="00E441CE" w:rsidRDefault="00E441CE" w:rsidP="00E441CE">
      <w:pPr>
        <w:shd w:val="clear" w:color="auto" w:fill="FFFFFF"/>
        <w:ind w:left="720"/>
        <w:rPr>
          <w:szCs w:val="24"/>
        </w:rPr>
      </w:pPr>
      <w:r>
        <w:rPr>
          <w:szCs w:val="24"/>
        </w:rPr>
        <w:t>…</w:t>
      </w:r>
    </w:p>
    <w:p w:rsidR="00E441CE" w:rsidRDefault="00E441CE" w:rsidP="00E441CE">
      <w:pPr>
        <w:shd w:val="clear" w:color="auto" w:fill="FFFFFF"/>
        <w:ind w:left="720"/>
        <w:rPr>
          <w:szCs w:val="24"/>
        </w:rPr>
      </w:pPr>
      <w:r w:rsidRPr="0000296A">
        <w:rPr>
          <w:szCs w:val="24"/>
        </w:rPr>
        <w:lastRenderedPageBreak/>
        <w:t>Sec. 2.  Restoring and Conserving the Nation’s Forests, Including Mature and Old-Growth Forests.</w:t>
      </w:r>
      <w:r>
        <w:rPr>
          <w:szCs w:val="24"/>
        </w:rPr>
        <w:t xml:space="preserve"> </w:t>
      </w:r>
    </w:p>
    <w:p w:rsidR="00E441CE" w:rsidRPr="0070606D" w:rsidRDefault="00E441CE" w:rsidP="00E441CE">
      <w:pPr>
        <w:shd w:val="clear" w:color="auto" w:fill="FFFFFF"/>
        <w:ind w:left="720"/>
        <w:rPr>
          <w:szCs w:val="24"/>
          <w:u w:val="single"/>
        </w:rPr>
      </w:pPr>
      <w:r w:rsidRPr="0070606D">
        <w:rPr>
          <w:szCs w:val="24"/>
          <w:u w:val="single"/>
        </w:rPr>
        <w:t>My Administration will manage forests on Federal lands, which include many mature and old-growth forests, to promote their continued health and resilience; retain and enhance carbon storage; conserve biodiversity …</w:t>
      </w:r>
    </w:p>
    <w:p w:rsidR="00E441CE" w:rsidRPr="002A55AE" w:rsidRDefault="00E441CE" w:rsidP="00E441CE">
      <w:pPr>
        <w:shd w:val="clear" w:color="auto" w:fill="FFFFFF"/>
        <w:rPr>
          <w:rFonts w:eastAsia="Times New Roman" w:cs="Times New Roman"/>
          <w:color w:val="000000"/>
          <w:szCs w:val="24"/>
        </w:rPr>
      </w:pPr>
      <w:r>
        <w:rPr>
          <w:szCs w:val="24"/>
        </w:rPr>
        <w:t xml:space="preserve">Biden, J. 2022. </w:t>
      </w:r>
      <w:r w:rsidRPr="009A4B6C">
        <w:rPr>
          <w:szCs w:val="24"/>
        </w:rPr>
        <w:t xml:space="preserve">Executive Order </w:t>
      </w:r>
      <w:r>
        <w:rPr>
          <w:szCs w:val="24"/>
        </w:rPr>
        <w:t xml:space="preserve">#14072 </w:t>
      </w:r>
      <w:r w:rsidRPr="009A4B6C">
        <w:rPr>
          <w:szCs w:val="24"/>
        </w:rPr>
        <w:t>on Strengthening the Nation’s Forests, Communities, and Local Economies</w:t>
      </w:r>
      <w:r>
        <w:rPr>
          <w:szCs w:val="24"/>
        </w:rPr>
        <w:t xml:space="preserve">. APRIL 22, 2022. </w:t>
      </w:r>
      <w:r w:rsidRPr="009A4B6C">
        <w:rPr>
          <w:szCs w:val="24"/>
        </w:rPr>
        <w:t>PRESIDENTIAL ACTIONS</w:t>
      </w:r>
      <w:r>
        <w:rPr>
          <w:szCs w:val="24"/>
        </w:rPr>
        <w:t xml:space="preserve"> </w:t>
      </w:r>
      <w:hyperlink r:id="rId86" w:history="1">
        <w:r w:rsidRPr="004E6431">
          <w:rPr>
            <w:rStyle w:val="Hyperlink"/>
            <w:szCs w:val="24"/>
          </w:rPr>
          <w:t>https://www.whitehouse.gov/briefing-room/presidential-actions/2022/04/22/executive-order-on-strengthening-the-nations-forests-communities-and-local-economies/</w:t>
        </w:r>
      </w:hyperlink>
      <w:r>
        <w:rPr>
          <w:szCs w:val="24"/>
        </w:rPr>
        <w:t xml:space="preserve"> </w:t>
      </w:r>
      <w:r>
        <w:rPr>
          <w:rFonts w:eastAsia="Times New Roman" w:cs="Times New Roman"/>
          <w:color w:val="000000"/>
          <w:szCs w:val="24"/>
        </w:rPr>
        <w:t>(emphasis added). The official policy of the federal government is to conserve mature and old-growth forests on federal land and that policy should be implemented here and now.</w:t>
      </w:r>
      <w:r w:rsidRPr="002A55AE">
        <w:rPr>
          <w:rFonts w:eastAsia="Times New Roman" w:cs="Times New Roman"/>
          <w:color w:val="000000"/>
          <w:szCs w:val="24"/>
        </w:rPr>
        <w:t xml:space="preserve"> </w:t>
      </w:r>
    </w:p>
    <w:p w:rsidR="004C1E65" w:rsidRDefault="00E441CE" w:rsidP="004C1E65">
      <w:r>
        <w:t xml:space="preserve"> </w:t>
      </w:r>
      <w:r w:rsidR="004C1E65">
        <w:t>Additional commitments were made</w:t>
      </w:r>
      <w:r>
        <w:t xml:space="preserve"> </w:t>
      </w:r>
      <w:r w:rsidR="004C1E65">
        <w:t>public on December 19, 2023, announcing efforts to amend all Forest Plans across the</w:t>
      </w:r>
      <w:r>
        <w:t xml:space="preserve"> </w:t>
      </w:r>
      <w:r w:rsidR="004C1E65">
        <w:t>country. Any revised Blue Mountains Forest Plans should treat existing protections as a</w:t>
      </w:r>
      <w:r>
        <w:t xml:space="preserve"> </w:t>
      </w:r>
      <w:r w:rsidR="004C1E65">
        <w:t>floor rather than a ceiling, and include iron-clad protections for mature and old growth</w:t>
      </w:r>
      <w:r>
        <w:t xml:space="preserve"> </w:t>
      </w:r>
      <w:r w:rsidR="004C1E65">
        <w:t>forests.</w:t>
      </w:r>
    </w:p>
    <w:p w:rsidR="00BA3D1A" w:rsidRDefault="00BA3D1A" w:rsidP="004C1E65"/>
    <w:p w:rsidR="0069081E" w:rsidRDefault="009E4333" w:rsidP="004C1E65">
      <w:r>
        <w:t xml:space="preserve">It is often said that forests are not static, which is very true. Old-growth forests don’t last forever. They can succumb to natural mortality as well as logging. </w:t>
      </w:r>
      <w:r w:rsidR="005E7D98">
        <w:t xml:space="preserve">In fact, the climate change </w:t>
      </w:r>
      <w:r w:rsidR="00A060EE">
        <w:t xml:space="preserve">impacts </w:t>
      </w:r>
      <w:r w:rsidR="005E7D98">
        <w:t>assessment says, “</w:t>
      </w:r>
      <w:r w:rsidR="005E7D98" w:rsidRPr="005E7D98">
        <w:t>future forests may be dominated by younger age classes and smaller trees</w:t>
      </w:r>
      <w:r w:rsidR="005E7D98">
        <w:t xml:space="preserve">.” </w:t>
      </w:r>
      <w:r>
        <w:t>Old forests are already in short supply, that is why it is critical to maintain mature forests as a replacement pool for the old growth cohort.</w:t>
      </w:r>
      <w:r w:rsidR="00EE3ACD">
        <w:t xml:space="preserve"> See Doug Heiken 2009. The Case for Protecting Both Old Growth and Mature Forests. Version 1.8  April 2009. </w:t>
      </w:r>
      <w:hyperlink r:id="rId87" w:history="1">
        <w:r w:rsidR="00EE3ACD" w:rsidRPr="007A4D60">
          <w:rPr>
            <w:rStyle w:val="Hyperlink"/>
          </w:rPr>
          <w:t>https://www.dropbox.com/s/4s0825a7t6fq7zu/Mature%20Forests%2C%20Heiken%2C%20v%201.8.pdf?dl=0</w:t>
        </w:r>
      </w:hyperlink>
      <w:r w:rsidR="00EE3ACD">
        <w:t xml:space="preserve">. </w:t>
      </w:r>
    </w:p>
    <w:p w:rsidR="0069081E" w:rsidRDefault="0069081E" w:rsidP="004C1E65"/>
    <w:p w:rsidR="00C21843" w:rsidRDefault="00660B47" w:rsidP="00C21843">
      <w:r>
        <w:t xml:space="preserve">The Forest Service likes to say that species composition is shifting to </w:t>
      </w:r>
      <w:r w:rsidR="00C21843">
        <w:t xml:space="preserve">shade-tolerant trees grand fire/white fir that (they assert) are </w:t>
      </w:r>
      <w:r>
        <w:t xml:space="preserve">less resilient. </w:t>
      </w:r>
      <w:r w:rsidR="00C21843">
        <w:t xml:space="preserve">The Forest Service should show more humility. </w:t>
      </w:r>
      <w:r>
        <w:t xml:space="preserve">These </w:t>
      </w:r>
      <w:r w:rsidR="00C21843">
        <w:t xml:space="preserve">shifting patterns are a result of the conditions we have created for them. Who are we to question which native species are desired and not desired? Grand fir appear to be a fairly successful species in our forests modified by logging and fire suppression. Is that going to change? </w:t>
      </w:r>
    </w:p>
    <w:p w:rsidR="00C21843" w:rsidRDefault="00C21843" w:rsidP="00C21843"/>
    <w:p w:rsidR="00AB5647" w:rsidRDefault="00C21843" w:rsidP="00C21843">
      <w:pPr>
        <w:rPr>
          <w:rFonts w:ascii="Times New Roman" w:hAnsi="Times New Roman" w:cs="Times New Roman"/>
          <w:sz w:val="24"/>
          <w:szCs w:val="24"/>
        </w:rPr>
      </w:pPr>
      <w:r>
        <w:t xml:space="preserve">The Forest Service also needs to give these trees their due. The Forest Service commonly overstates the fire sensitivity of these species.  </w:t>
      </w:r>
      <w:r w:rsidR="00660B47" w:rsidRPr="007263E1">
        <w:rPr>
          <w:rFonts w:ascii="Times New Roman" w:hAnsi="Times New Roman" w:cs="Times New Roman"/>
          <w:sz w:val="24"/>
          <w:szCs w:val="24"/>
        </w:rPr>
        <w:t>The</w:t>
      </w:r>
      <w:r w:rsidR="00660B47">
        <w:rPr>
          <w:rFonts w:ascii="Times New Roman" w:hAnsi="Times New Roman" w:cs="Times New Roman"/>
          <w:sz w:val="24"/>
          <w:szCs w:val="24"/>
        </w:rPr>
        <w:t>re</w:t>
      </w:r>
      <w:r w:rsidR="00660B47" w:rsidRPr="007263E1">
        <w:rPr>
          <w:rFonts w:ascii="Times New Roman" w:hAnsi="Times New Roman" w:cs="Times New Roman"/>
          <w:sz w:val="24"/>
          <w:szCs w:val="24"/>
        </w:rPr>
        <w:t xml:space="preserve"> is new information indicating that Grand fir may be more fire resistant than assumed in the NEPA analysis supporting the Screens Amendment. "The grand f</w:t>
      </w:r>
      <w:r w:rsidR="00660B47">
        <w:rPr>
          <w:rFonts w:ascii="Times New Roman" w:hAnsi="Times New Roman" w:cs="Times New Roman"/>
          <w:sz w:val="24"/>
          <w:szCs w:val="24"/>
        </w:rPr>
        <w:t>i</w:t>
      </w:r>
      <w:r w:rsidR="00660B47" w:rsidRPr="007263E1">
        <w:rPr>
          <w:rFonts w:ascii="Times New Roman" w:hAnsi="Times New Roman" w:cs="Times New Roman"/>
          <w:sz w:val="24"/>
          <w:szCs w:val="24"/>
        </w:rPr>
        <w:t>r forest type had severity</w:t>
      </w:r>
      <w:r w:rsidR="00660B47">
        <w:rPr>
          <w:rFonts w:ascii="Times New Roman" w:hAnsi="Times New Roman" w:cs="Times New Roman"/>
          <w:sz w:val="24"/>
          <w:szCs w:val="24"/>
        </w:rPr>
        <w:t xml:space="preserve"> </w:t>
      </w:r>
      <w:r w:rsidR="00660B47" w:rsidRPr="007263E1">
        <w:rPr>
          <w:rFonts w:ascii="Times New Roman" w:hAnsi="Times New Roman" w:cs="Times New Roman"/>
          <w:sz w:val="24"/>
          <w:szCs w:val="24"/>
        </w:rPr>
        <w:t>values at the same level of forest types dominated by</w:t>
      </w:r>
      <w:r w:rsidR="00660B47">
        <w:rPr>
          <w:rFonts w:ascii="Times New Roman" w:hAnsi="Times New Roman" w:cs="Times New Roman"/>
          <w:sz w:val="24"/>
          <w:szCs w:val="24"/>
        </w:rPr>
        <w:t xml:space="preserve"> </w:t>
      </w:r>
      <w:r w:rsidR="00660B47" w:rsidRPr="007263E1">
        <w:rPr>
          <w:rFonts w:ascii="Times New Roman" w:hAnsi="Times New Roman" w:cs="Times New Roman"/>
          <w:sz w:val="24"/>
          <w:szCs w:val="24"/>
        </w:rPr>
        <w:t>fire-resister species despite grand fir was classified as</w:t>
      </w:r>
      <w:r w:rsidR="00660B47">
        <w:rPr>
          <w:rFonts w:ascii="Times New Roman" w:hAnsi="Times New Roman" w:cs="Times New Roman"/>
          <w:sz w:val="24"/>
          <w:szCs w:val="24"/>
        </w:rPr>
        <w:t xml:space="preserve"> </w:t>
      </w:r>
      <w:r w:rsidR="00660B47" w:rsidRPr="007263E1">
        <w:rPr>
          <w:rFonts w:ascii="Times New Roman" w:hAnsi="Times New Roman" w:cs="Times New Roman"/>
          <w:sz w:val="24"/>
          <w:szCs w:val="24"/>
        </w:rPr>
        <w:t>a f</w:t>
      </w:r>
      <w:r w:rsidR="00660B47">
        <w:rPr>
          <w:rFonts w:ascii="Times New Roman" w:hAnsi="Times New Roman" w:cs="Times New Roman"/>
          <w:sz w:val="24"/>
          <w:szCs w:val="24"/>
        </w:rPr>
        <w:t>i</w:t>
      </w:r>
      <w:r w:rsidR="00660B47" w:rsidRPr="007263E1">
        <w:rPr>
          <w:rFonts w:ascii="Times New Roman" w:hAnsi="Times New Roman" w:cs="Times New Roman"/>
          <w:sz w:val="24"/>
          <w:szCs w:val="24"/>
        </w:rPr>
        <w:t>re-avoider species. … In many ponderosa pine forests maintained historically by a high frequency, low-severity fire regime, the transition towards denser forests dominated by Douglas-fir and grand fir would explain why ponderosa pine and Douglas-fir still compose a signif</w:t>
      </w:r>
      <w:r w:rsidR="00660B47">
        <w:rPr>
          <w:rFonts w:ascii="Times New Roman" w:hAnsi="Times New Roman" w:cs="Times New Roman"/>
          <w:sz w:val="24"/>
          <w:szCs w:val="24"/>
        </w:rPr>
        <w:t>i</w:t>
      </w:r>
      <w:r w:rsidR="00660B47" w:rsidRPr="007263E1">
        <w:rPr>
          <w:rFonts w:ascii="Times New Roman" w:hAnsi="Times New Roman" w:cs="Times New Roman"/>
          <w:sz w:val="24"/>
          <w:szCs w:val="24"/>
        </w:rPr>
        <w:t xml:space="preserve">cant proportion of basal area in the grand fir forest type, and many maintain large, old, fire-resistant ponderosa pine trees (Johnston et  al. 2021; Merschel et  al. 2021). Therefore, the particular structure and composition of these “recent” grand fir forests (e.g., Merschel et al. 2014), with an important presence of large-diameter trees of fire-resistant species, may provide latent fire resistance (Larson et al. </w:t>
      </w:r>
      <w:r w:rsidR="00660B47" w:rsidRPr="007263E1">
        <w:rPr>
          <w:rFonts w:ascii="Times New Roman" w:hAnsi="Times New Roman" w:cs="Times New Roman"/>
          <w:sz w:val="24"/>
          <w:szCs w:val="24"/>
        </w:rPr>
        <w:lastRenderedPageBreak/>
        <w:t>2013)." Jose V. Moris, Matthew J. Reilly, Zhiqiang Yang, Warren B. Cohen, Re</w:t>
      </w:r>
      <w:r w:rsidR="00660B47">
        <w:rPr>
          <w:rFonts w:ascii="Times New Roman" w:hAnsi="Times New Roman" w:cs="Times New Roman"/>
          <w:sz w:val="24"/>
          <w:szCs w:val="24"/>
        </w:rPr>
        <w:t xml:space="preserve">nzo Motta, </w:t>
      </w:r>
      <w:r w:rsidR="00660B47" w:rsidRPr="002D671B">
        <w:rPr>
          <w:rFonts w:ascii="Times New Roman" w:hAnsi="Times New Roman" w:cs="Times New Roman"/>
          <w:sz w:val="24"/>
          <w:szCs w:val="24"/>
        </w:rPr>
        <w:t xml:space="preserve">Davide Ascoli  2022. Using a trait‑based approach to asses fire resistance in forest landscapes of the Inland </w:t>
      </w:r>
      <w:r w:rsidR="00660B47" w:rsidRPr="007263E1">
        <w:rPr>
          <w:rFonts w:ascii="Times New Roman" w:hAnsi="Times New Roman" w:cs="Times New Roman"/>
          <w:sz w:val="24"/>
          <w:szCs w:val="24"/>
        </w:rPr>
        <w:t xml:space="preserve">Northwest, USA. Landsc Ecol (2022) 37:2149–2164. </w:t>
      </w:r>
      <w:r w:rsidR="00660B47">
        <w:rPr>
          <w:rFonts w:ascii="Times New Roman" w:hAnsi="Times New Roman" w:cs="Times New Roman"/>
          <w:sz w:val="24"/>
          <w:szCs w:val="24"/>
        </w:rPr>
        <w:t>energy</w:t>
      </w:r>
      <w:hyperlink r:id="rId88" w:history="1">
        <w:r w:rsidR="00660B47" w:rsidRPr="007263E1">
          <w:rPr>
            <w:rStyle w:val="Hyperlink"/>
            <w:rFonts w:ascii="Times New Roman" w:hAnsi="Times New Roman" w:cs="Times New Roman"/>
            <w:sz w:val="24"/>
            <w:szCs w:val="24"/>
          </w:rPr>
          <w:t>https://doi.org/10.1007/s10980-022-01478-w</w:t>
        </w:r>
      </w:hyperlink>
      <w:r w:rsidR="00660B47">
        <w:rPr>
          <w:rFonts w:ascii="Times New Roman" w:hAnsi="Times New Roman" w:cs="Times New Roman"/>
          <w:sz w:val="24"/>
          <w:szCs w:val="24"/>
        </w:rPr>
        <w:t xml:space="preserve">, </w:t>
      </w:r>
      <w:hyperlink r:id="rId89" w:history="1">
        <w:r w:rsidR="00660B47" w:rsidRPr="007263E1">
          <w:rPr>
            <w:rStyle w:val="Hyperlink"/>
            <w:rFonts w:ascii="Times New Roman" w:hAnsi="Times New Roman" w:cs="Times New Roman"/>
            <w:sz w:val="24"/>
            <w:szCs w:val="24"/>
          </w:rPr>
          <w:t>https://www.fs.usda.gov/rm/pubs_journals/2022/rmrs_2022_moris_j001.pdf</w:t>
        </w:r>
      </w:hyperlink>
      <w:r w:rsidR="00660B47" w:rsidRPr="007263E1">
        <w:rPr>
          <w:rFonts w:ascii="Times New Roman" w:hAnsi="Times New Roman" w:cs="Times New Roman"/>
          <w:sz w:val="24"/>
          <w:szCs w:val="24"/>
        </w:rPr>
        <w:t xml:space="preserve">. </w:t>
      </w:r>
    </w:p>
    <w:p w:rsidR="00AB5647" w:rsidRPr="007263E1" w:rsidRDefault="00AB5647" w:rsidP="00C21843">
      <w:pPr>
        <w:rPr>
          <w:rFonts w:ascii="Times New Roman" w:hAnsi="Times New Roman" w:cs="Times New Roman"/>
          <w:sz w:val="24"/>
          <w:szCs w:val="24"/>
        </w:rPr>
      </w:pPr>
    </w:p>
    <w:p w:rsidR="00AB5647" w:rsidRPr="00E46468" w:rsidRDefault="00AB5647" w:rsidP="00AB5647">
      <w:pPr>
        <w:rPr>
          <w:rFonts w:cs="Times New Roman"/>
          <w:color w:val="000000"/>
        </w:rPr>
      </w:pPr>
      <w:r w:rsidRPr="00E46468">
        <w:rPr>
          <w:rFonts w:cs="Times New Roman"/>
          <w:color w:val="000000"/>
        </w:rPr>
        <w:t xml:space="preserve">As shown in the table below from the 2020 Amendment to the Eastside Screens, there is still a shortage of large trees across the eastside landscape. </w:t>
      </w:r>
    </w:p>
    <w:p w:rsidR="00AB5647" w:rsidRDefault="00AB5647" w:rsidP="00AB5647">
      <w:pPr>
        <w:ind w:left="720"/>
        <w:rPr>
          <w:noProof/>
        </w:rPr>
      </w:pPr>
      <w:r w:rsidRPr="00A827BE">
        <w:rPr>
          <w:noProof/>
          <w:lang w:val="en-US"/>
        </w:rPr>
        <w:drawing>
          <wp:inline distT="0" distB="0" distL="0" distR="0">
            <wp:extent cx="4540250" cy="45529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540250" cy="4552950"/>
                    </a:xfrm>
                    <a:prstGeom prst="rect">
                      <a:avLst/>
                    </a:prstGeom>
                    <a:noFill/>
                    <a:ln>
                      <a:noFill/>
                    </a:ln>
                  </pic:spPr>
                </pic:pic>
              </a:graphicData>
            </a:graphic>
          </wp:inline>
        </w:drawing>
      </w:r>
    </w:p>
    <w:p w:rsidR="00AB5647" w:rsidRPr="00E46468" w:rsidRDefault="00AB5647" w:rsidP="00AB5647">
      <w:pPr>
        <w:rPr>
          <w:rFonts w:cs="Times New Roman"/>
          <w:color w:val="000000"/>
        </w:rPr>
      </w:pPr>
    </w:p>
    <w:p w:rsidR="00AB5647" w:rsidRPr="00E46468" w:rsidRDefault="00AB5647" w:rsidP="00AB5647">
      <w:pPr>
        <w:rPr>
          <w:rFonts w:cs="Times New Roman"/>
          <w:color w:val="000000"/>
        </w:rPr>
      </w:pPr>
    </w:p>
    <w:p w:rsidR="00AB5647" w:rsidRPr="00E46468" w:rsidRDefault="00AB5647" w:rsidP="00AB5647">
      <w:pPr>
        <w:rPr>
          <w:rFonts w:cs="Times New Roman"/>
          <w:color w:val="000000"/>
        </w:rPr>
      </w:pPr>
      <w:r w:rsidRPr="00E46468">
        <w:rPr>
          <w:rFonts w:cs="Times New Roman"/>
          <w:color w:val="000000"/>
        </w:rPr>
        <w:t>Significantly, large white fir contribute positively to biodiversity associated with large trees and large snags, climate mitigation and adaptation, and fire resistance/resilience. The problem of large white fir co-mingling and adversely competing with large pine is overstated, and does not justify sweeping exemptions to the well-supported standards requiring protection of all large trees in eastside National Forests.</w:t>
      </w:r>
    </w:p>
    <w:p w:rsidR="00AB5647" w:rsidRPr="00E46468" w:rsidRDefault="00AB5647" w:rsidP="00AB5647">
      <w:pPr>
        <w:rPr>
          <w:rFonts w:cs="Times New Roman"/>
          <w:color w:val="000000"/>
        </w:rPr>
      </w:pPr>
    </w:p>
    <w:p w:rsidR="00AB5647" w:rsidRPr="00E46468" w:rsidRDefault="00AB5647" w:rsidP="00AB5647">
      <w:pPr>
        <w:rPr>
          <w:rFonts w:cs="Times New Roman"/>
          <w:color w:val="000000"/>
        </w:rPr>
      </w:pPr>
      <w:r w:rsidRPr="00E46468">
        <w:rPr>
          <w:rFonts w:cs="Times New Roman"/>
          <w:color w:val="000000"/>
        </w:rPr>
        <w:t xml:space="preserve">Where large trees appear to be abundant, they are helping to compensate for large areas lacking large trees. The agency is not helping when they propose to remove large trees when they exceed </w:t>
      </w:r>
      <w:r w:rsidRPr="00E46468">
        <w:rPr>
          <w:rFonts w:cs="Times New Roman"/>
          <w:color w:val="000000"/>
        </w:rPr>
        <w:lastRenderedPageBreak/>
        <w:t xml:space="preserve">the historic average, because large trees populations exhibited a range of conditions often exceeding the average. </w:t>
      </w:r>
    </w:p>
    <w:p w:rsidR="00AB5647" w:rsidRPr="00E46468" w:rsidRDefault="00AB5647" w:rsidP="00AB5647">
      <w:pPr>
        <w:rPr>
          <w:rFonts w:cs="Times New Roman"/>
          <w:color w:val="000000"/>
        </w:rPr>
      </w:pPr>
    </w:p>
    <w:p w:rsidR="00AB5647" w:rsidRDefault="00AB5647" w:rsidP="00AB5647">
      <w:pPr>
        <w:rPr>
          <w:rStyle w:val="apple-converted-space"/>
          <w:rFonts w:ascii="Times New Roman" w:hAnsi="Times New Roman" w:cs="Times New Roman"/>
          <w:color w:val="000000"/>
        </w:rPr>
      </w:pPr>
      <w:r w:rsidRPr="00E46468">
        <w:rPr>
          <w:rFonts w:cs="Times New Roman"/>
          <w:color w:val="000000"/>
        </w:rPr>
        <w:t>Furthermore, where large trees appear to be in competition and at risk of mortality, they are just furthering the natural processes that help tree populations develop adaptive traits such as when less fit individuals die and allow more fit individuals to survive and reproduce, thus increasing population resilience to drought. Mortality also helps recruit valuable large snags and dead wood.</w:t>
      </w:r>
      <w:r w:rsidRPr="00CF7717">
        <w:rPr>
          <w:rStyle w:val="apple-converted-space"/>
          <w:rFonts w:ascii="Times New Roman" w:hAnsi="Times New Roman" w:cs="Times New Roman"/>
          <w:color w:val="000000"/>
        </w:rPr>
        <w:t> </w:t>
      </w:r>
      <w:r>
        <w:rPr>
          <w:rStyle w:val="apple-converted-space"/>
          <w:rFonts w:ascii="Times New Roman" w:hAnsi="Times New Roman" w:cs="Times New Roman"/>
          <w:color w:val="000000"/>
        </w:rPr>
        <w:t>It is unavoidable that logging large trees has net negative ecological effects and cannot be justified on ecological grounds.  The agency must consider all the trade-offs carefully.</w:t>
      </w:r>
    </w:p>
    <w:p w:rsidR="00AB5647" w:rsidRDefault="00AB5647" w:rsidP="00AB5647">
      <w:pPr>
        <w:rPr>
          <w:rStyle w:val="apple-converted-space"/>
          <w:rFonts w:ascii="Times New Roman" w:hAnsi="Times New Roman" w:cs="Times New Roman"/>
          <w:color w:val="000000"/>
        </w:rPr>
      </w:pPr>
    </w:p>
    <w:p w:rsidR="00AB5647" w:rsidRDefault="00AB5647" w:rsidP="00AB5647">
      <w:pPr>
        <w:rPr>
          <w:rStyle w:val="apple-converted-space"/>
          <w:rFonts w:ascii="Times New Roman" w:hAnsi="Times New Roman" w:cs="Times New Roman"/>
          <w:color w:val="000000"/>
        </w:rPr>
      </w:pPr>
      <w:r>
        <w:rPr>
          <w:rStyle w:val="apple-converted-space"/>
          <w:rFonts w:ascii="Times New Roman" w:hAnsi="Times New Roman" w:cs="Times New Roman"/>
          <w:color w:val="000000"/>
        </w:rPr>
        <w:t>Hessburg et al 2015 recommend: “</w:t>
      </w:r>
      <w:r w:rsidRPr="005A47E0">
        <w:rPr>
          <w:rStyle w:val="apple-converted-space"/>
          <w:rFonts w:ascii="Times New Roman" w:hAnsi="Times New Roman" w:cs="Times New Roman"/>
          <w:color w:val="000000"/>
        </w:rPr>
        <w:t>To improve the longevity of larger early seral trees,</w:t>
      </w:r>
      <w:r>
        <w:rPr>
          <w:rStyle w:val="apple-converted-space"/>
          <w:rFonts w:ascii="Times New Roman" w:hAnsi="Times New Roman" w:cs="Times New Roman"/>
          <w:color w:val="000000"/>
        </w:rPr>
        <w:t xml:space="preserve"> </w:t>
      </w:r>
      <w:r w:rsidRPr="005A47E0">
        <w:rPr>
          <w:rStyle w:val="apple-converted-space"/>
          <w:rFonts w:ascii="Times New Roman" w:hAnsi="Times New Roman" w:cs="Times New Roman"/>
          <w:color w:val="000000"/>
        </w:rPr>
        <w:t xml:space="preserve">restorative activities would include thinning and removing </w:t>
      </w:r>
      <w:r w:rsidRPr="005A47E0">
        <w:rPr>
          <w:rStyle w:val="apple-converted-space"/>
          <w:rFonts w:ascii="Times New Roman" w:hAnsi="Times New Roman" w:cs="Times New Roman"/>
          <w:color w:val="000000"/>
          <w:u w:val="single"/>
        </w:rPr>
        <w:t>neighboring</w:t>
      </w:r>
      <w:r w:rsidRPr="005A47E0">
        <w:rPr>
          <w:rStyle w:val="apple-converted-space"/>
          <w:rFonts w:ascii="Times New Roman" w:hAnsi="Times New Roman" w:cs="Times New Roman"/>
          <w:color w:val="000000"/>
        </w:rPr>
        <w:t xml:space="preserve"> shade-tolerant trees to reduce competition for water and</w:t>
      </w:r>
      <w:r>
        <w:rPr>
          <w:rStyle w:val="apple-converted-space"/>
          <w:rFonts w:ascii="Times New Roman" w:hAnsi="Times New Roman" w:cs="Times New Roman"/>
          <w:color w:val="000000"/>
        </w:rPr>
        <w:t xml:space="preserve"> </w:t>
      </w:r>
      <w:r w:rsidRPr="005A47E0">
        <w:rPr>
          <w:rStyle w:val="apple-converted-space"/>
          <w:rFonts w:ascii="Times New Roman" w:hAnsi="Times New Roman" w:cs="Times New Roman"/>
          <w:color w:val="000000"/>
        </w:rPr>
        <w:t>nutrients, and removing nearby surface and ladder fuels to reduce fire intensities that would threaten their long-term survival.</w:t>
      </w:r>
      <w:r>
        <w:rPr>
          <w:rStyle w:val="apple-converted-space"/>
          <w:rFonts w:ascii="Times New Roman" w:hAnsi="Times New Roman" w:cs="Times New Roman"/>
          <w:color w:val="000000"/>
        </w:rPr>
        <w:t xml:space="preserve">” </w:t>
      </w:r>
      <w:r w:rsidRPr="005A47E0">
        <w:rPr>
          <w:rStyle w:val="apple-converted-space"/>
          <w:rFonts w:ascii="Times New Roman" w:hAnsi="Times New Roman" w:cs="Times New Roman"/>
          <w:color w:val="000000"/>
        </w:rPr>
        <w:t>Paul F. Hessburg . Derek J. Churchill . Andrew J. Larson</w:t>
      </w:r>
      <w:r>
        <w:rPr>
          <w:rStyle w:val="apple-converted-space"/>
          <w:rFonts w:ascii="Times New Roman" w:hAnsi="Times New Roman" w:cs="Times New Roman"/>
          <w:color w:val="000000"/>
        </w:rPr>
        <w:t xml:space="preserve"> . Ryan D. Haugo . Carol Miller</w:t>
      </w:r>
      <w:r w:rsidRPr="005A47E0">
        <w:rPr>
          <w:rStyle w:val="apple-converted-space"/>
          <w:rFonts w:ascii="Times New Roman" w:hAnsi="Times New Roman" w:cs="Times New Roman"/>
          <w:color w:val="000000"/>
        </w:rPr>
        <w:t>.</w:t>
      </w:r>
      <w:r>
        <w:rPr>
          <w:rStyle w:val="apple-converted-space"/>
          <w:rFonts w:ascii="Times New Roman" w:hAnsi="Times New Roman" w:cs="Times New Roman"/>
          <w:color w:val="000000"/>
        </w:rPr>
        <w:t xml:space="preserve"> </w:t>
      </w:r>
      <w:r w:rsidRPr="005A47E0">
        <w:rPr>
          <w:rStyle w:val="apple-converted-space"/>
          <w:rFonts w:ascii="Times New Roman" w:hAnsi="Times New Roman" w:cs="Times New Roman"/>
          <w:color w:val="000000"/>
        </w:rPr>
        <w:t>Thomas A. Spies . Malcolm P. North . Nicholas A. Povak . R. Tra</w:t>
      </w:r>
      <w:r>
        <w:rPr>
          <w:rStyle w:val="apple-converted-space"/>
          <w:rFonts w:ascii="Times New Roman" w:hAnsi="Times New Roman" w:cs="Times New Roman"/>
          <w:color w:val="000000"/>
        </w:rPr>
        <w:t>vis Belote . Peter H. Singleton</w:t>
      </w:r>
      <w:r w:rsidRPr="005A47E0">
        <w:rPr>
          <w:rStyle w:val="apple-converted-space"/>
          <w:rFonts w:ascii="Times New Roman" w:hAnsi="Times New Roman" w:cs="Times New Roman"/>
          <w:color w:val="000000"/>
        </w:rPr>
        <w:t>.</w:t>
      </w:r>
      <w:r>
        <w:rPr>
          <w:rStyle w:val="apple-converted-space"/>
          <w:rFonts w:ascii="Times New Roman" w:hAnsi="Times New Roman" w:cs="Times New Roman"/>
          <w:color w:val="000000"/>
        </w:rPr>
        <w:t xml:space="preserve"> </w:t>
      </w:r>
      <w:r w:rsidRPr="005A47E0">
        <w:rPr>
          <w:rStyle w:val="apple-converted-space"/>
          <w:rFonts w:ascii="Times New Roman" w:hAnsi="Times New Roman" w:cs="Times New Roman"/>
          <w:color w:val="000000"/>
        </w:rPr>
        <w:t xml:space="preserve">William L. Gaines . Robert E. Keane . Gregory H. Aplet . Scott </w:t>
      </w:r>
      <w:r>
        <w:rPr>
          <w:rStyle w:val="apple-converted-space"/>
          <w:rFonts w:ascii="Times New Roman" w:hAnsi="Times New Roman" w:cs="Times New Roman"/>
          <w:color w:val="000000"/>
        </w:rPr>
        <w:t xml:space="preserve">L. Stephens . Penelope Morgan, </w:t>
      </w:r>
      <w:r w:rsidRPr="005A47E0">
        <w:rPr>
          <w:rStyle w:val="apple-converted-space"/>
          <w:rFonts w:ascii="Times New Roman" w:hAnsi="Times New Roman" w:cs="Times New Roman"/>
          <w:color w:val="000000"/>
        </w:rPr>
        <w:t>Peter A. Bisson . Bruce E. Rieman . R. Brion Salter . Gordon H. Reeves</w:t>
      </w:r>
      <w:r>
        <w:rPr>
          <w:rStyle w:val="apple-converted-space"/>
          <w:rFonts w:ascii="Times New Roman" w:hAnsi="Times New Roman" w:cs="Times New Roman"/>
          <w:color w:val="000000"/>
        </w:rPr>
        <w:t xml:space="preserve">. 2015. </w:t>
      </w:r>
      <w:r w:rsidRPr="005A47E0">
        <w:rPr>
          <w:rStyle w:val="apple-converted-space"/>
          <w:rFonts w:ascii="Times New Roman" w:hAnsi="Times New Roman" w:cs="Times New Roman"/>
          <w:color w:val="000000"/>
        </w:rPr>
        <w:t>Restoring fire-prone Inland</w:t>
      </w:r>
      <w:r>
        <w:rPr>
          <w:rStyle w:val="apple-converted-space"/>
          <w:rFonts w:ascii="Times New Roman" w:hAnsi="Times New Roman" w:cs="Times New Roman"/>
          <w:color w:val="000000"/>
        </w:rPr>
        <w:t xml:space="preserve"> Pacific landscapes: seven core </w:t>
      </w:r>
      <w:r w:rsidRPr="005A47E0">
        <w:rPr>
          <w:rStyle w:val="apple-converted-space"/>
          <w:rFonts w:ascii="Times New Roman" w:hAnsi="Times New Roman" w:cs="Times New Roman"/>
          <w:color w:val="000000"/>
        </w:rPr>
        <w:t>principles</w:t>
      </w:r>
      <w:r>
        <w:rPr>
          <w:rStyle w:val="apple-converted-space"/>
          <w:rFonts w:ascii="Times New Roman" w:hAnsi="Times New Roman" w:cs="Times New Roman"/>
          <w:color w:val="000000"/>
        </w:rPr>
        <w:t xml:space="preserve">. </w:t>
      </w:r>
      <w:r w:rsidRPr="005A47E0">
        <w:rPr>
          <w:rStyle w:val="apple-converted-space"/>
          <w:rFonts w:ascii="Times New Roman" w:hAnsi="Times New Roman" w:cs="Times New Roman"/>
          <w:color w:val="000000"/>
        </w:rPr>
        <w:t>Landscape Ecol</w:t>
      </w:r>
      <w:r>
        <w:rPr>
          <w:rStyle w:val="apple-converted-space"/>
          <w:rFonts w:ascii="Times New Roman" w:hAnsi="Times New Roman" w:cs="Times New Roman"/>
          <w:color w:val="000000"/>
        </w:rPr>
        <w:t xml:space="preserve">ogy, May 2015. </w:t>
      </w:r>
      <w:r w:rsidRPr="005A47E0">
        <w:rPr>
          <w:rStyle w:val="apple-converted-space"/>
          <w:rFonts w:ascii="Times New Roman" w:hAnsi="Times New Roman" w:cs="Times New Roman"/>
          <w:color w:val="000000"/>
        </w:rPr>
        <w:t>DOI 10.1007/s10980-015-0218-0</w:t>
      </w:r>
      <w:r>
        <w:rPr>
          <w:rStyle w:val="apple-converted-space"/>
          <w:rFonts w:ascii="Times New Roman" w:hAnsi="Times New Roman" w:cs="Times New Roman"/>
          <w:color w:val="000000"/>
        </w:rPr>
        <w:t xml:space="preserve"> </w:t>
      </w:r>
      <w:hyperlink r:id="rId91" w:history="1">
        <w:r w:rsidRPr="008F1A6C">
          <w:rPr>
            <w:rStyle w:val="Hyperlink"/>
            <w:rFonts w:ascii="Times New Roman" w:hAnsi="Times New Roman" w:cs="Times New Roman"/>
          </w:rPr>
          <w:t>http://link.springer.com/content/pdf/10.1007%2Fs10980-015-0218-0.pdf</w:t>
        </w:r>
      </w:hyperlink>
      <w:r>
        <w:rPr>
          <w:rStyle w:val="apple-converted-space"/>
          <w:rFonts w:ascii="Times New Roman" w:hAnsi="Times New Roman" w:cs="Times New Roman"/>
          <w:color w:val="000000"/>
        </w:rPr>
        <w:t>.</w:t>
      </w:r>
    </w:p>
    <w:p w:rsidR="00AB5647" w:rsidRDefault="00AB5647" w:rsidP="00AB5647">
      <w:pPr>
        <w:rPr>
          <w:rStyle w:val="apple-converted-space"/>
          <w:rFonts w:ascii="Times New Roman" w:hAnsi="Times New Roman" w:cs="Times New Roman"/>
          <w:color w:val="000000"/>
        </w:rPr>
      </w:pPr>
    </w:p>
    <w:p w:rsidR="00AB5647" w:rsidRDefault="00AB5647" w:rsidP="00AB5647">
      <w:pPr>
        <w:rPr>
          <w:rStyle w:val="apple-converted-space"/>
          <w:rFonts w:ascii="Times New Roman" w:hAnsi="Times New Roman" w:cs="Times New Roman"/>
          <w:color w:val="000000"/>
        </w:rPr>
      </w:pPr>
      <w:r>
        <w:rPr>
          <w:rStyle w:val="apple-converted-space"/>
          <w:rFonts w:ascii="Times New Roman" w:hAnsi="Times New Roman" w:cs="Times New Roman"/>
          <w:color w:val="000000"/>
        </w:rPr>
        <w:t xml:space="preserve">However, the Forest Service is over-stating the “problem” of large Ponderosa pine co-mingling with large white fir. Mildrexler et al (2023) looked at the FIA data and found – </w:t>
      </w:r>
    </w:p>
    <w:p w:rsidR="00AB5647" w:rsidRDefault="00AB5647" w:rsidP="00AB5647">
      <w:pPr>
        <w:ind w:left="720"/>
        <w:rPr>
          <w:rStyle w:val="apple-converted-space"/>
          <w:rFonts w:ascii="Times New Roman" w:hAnsi="Times New Roman" w:cs="Times New Roman"/>
          <w:color w:val="000000"/>
        </w:rPr>
      </w:pPr>
      <w:r w:rsidRPr="008D511B">
        <w:rPr>
          <w:rStyle w:val="apple-converted-space"/>
          <w:rFonts w:ascii="Times New Roman" w:hAnsi="Times New Roman" w:cs="Times New Roman"/>
          <w:color w:val="000000"/>
        </w:rPr>
        <w:t>Large ponderosa</w:t>
      </w:r>
      <w:r>
        <w:rPr>
          <w:rStyle w:val="apple-converted-space"/>
          <w:rFonts w:ascii="Times New Roman" w:hAnsi="Times New Roman" w:cs="Times New Roman"/>
          <w:color w:val="000000"/>
        </w:rPr>
        <w:t xml:space="preserve"> </w:t>
      </w:r>
      <w:r w:rsidRPr="008D511B">
        <w:rPr>
          <w:rStyle w:val="apple-converted-space"/>
          <w:rFonts w:ascii="Times New Roman" w:hAnsi="Times New Roman" w:cs="Times New Roman"/>
          <w:color w:val="000000"/>
        </w:rPr>
        <w:t>pine co-mingle with large grand fir about 14% of the</w:t>
      </w:r>
      <w:r>
        <w:rPr>
          <w:rStyle w:val="apple-converted-space"/>
          <w:rFonts w:ascii="Times New Roman" w:hAnsi="Times New Roman" w:cs="Times New Roman"/>
          <w:color w:val="000000"/>
        </w:rPr>
        <w:t xml:space="preserve"> </w:t>
      </w:r>
      <w:r w:rsidRPr="008D511B">
        <w:rPr>
          <w:rStyle w:val="apple-converted-space"/>
          <w:rFonts w:ascii="Times New Roman" w:hAnsi="Times New Roman" w:cs="Times New Roman"/>
          <w:color w:val="000000"/>
        </w:rPr>
        <w:t>time (259 plots), leaving 86% of plots with large ponderosa</w:t>
      </w:r>
      <w:r>
        <w:rPr>
          <w:rStyle w:val="apple-converted-space"/>
          <w:rFonts w:ascii="Times New Roman" w:hAnsi="Times New Roman" w:cs="Times New Roman"/>
          <w:color w:val="000000"/>
        </w:rPr>
        <w:t xml:space="preserve"> </w:t>
      </w:r>
      <w:r w:rsidRPr="008D511B">
        <w:rPr>
          <w:rStyle w:val="apple-converted-space"/>
          <w:rFonts w:ascii="Times New Roman" w:hAnsi="Times New Roman" w:cs="Times New Roman"/>
          <w:color w:val="000000"/>
        </w:rPr>
        <w:t>pine without large grand fir (1616 plots). Similarly, large</w:t>
      </w:r>
      <w:r>
        <w:rPr>
          <w:rStyle w:val="apple-converted-space"/>
          <w:rFonts w:ascii="Times New Roman" w:hAnsi="Times New Roman" w:cs="Times New Roman"/>
          <w:color w:val="000000"/>
        </w:rPr>
        <w:t xml:space="preserve"> </w:t>
      </w:r>
      <w:r w:rsidRPr="008D511B">
        <w:rPr>
          <w:rStyle w:val="apple-converted-space"/>
          <w:rFonts w:ascii="Times New Roman" w:hAnsi="Times New Roman" w:cs="Times New Roman"/>
          <w:color w:val="000000"/>
        </w:rPr>
        <w:t>western larch co-mingle with large grand fir about 56% of</w:t>
      </w:r>
      <w:r>
        <w:rPr>
          <w:rStyle w:val="apple-converted-space"/>
          <w:rFonts w:ascii="Times New Roman" w:hAnsi="Times New Roman" w:cs="Times New Roman"/>
          <w:color w:val="000000"/>
        </w:rPr>
        <w:t xml:space="preserve"> </w:t>
      </w:r>
      <w:r w:rsidRPr="008D511B">
        <w:rPr>
          <w:rStyle w:val="apple-converted-space"/>
          <w:rFonts w:ascii="Times New Roman" w:hAnsi="Times New Roman" w:cs="Times New Roman"/>
          <w:color w:val="000000"/>
        </w:rPr>
        <w:t>the time. Large ponderosa pine and grand fir are found</w:t>
      </w:r>
      <w:r>
        <w:rPr>
          <w:rStyle w:val="apple-converted-space"/>
          <w:rFonts w:ascii="Times New Roman" w:hAnsi="Times New Roman" w:cs="Times New Roman"/>
          <w:color w:val="000000"/>
        </w:rPr>
        <w:t xml:space="preserve"> </w:t>
      </w:r>
      <w:r w:rsidRPr="008D511B">
        <w:rPr>
          <w:rStyle w:val="apple-converted-space"/>
          <w:rFonts w:ascii="Times New Roman" w:hAnsi="Times New Roman" w:cs="Times New Roman"/>
          <w:color w:val="000000"/>
        </w:rPr>
        <w:t>together on only 8% of all plots in the region, while large</w:t>
      </w:r>
      <w:r>
        <w:rPr>
          <w:rStyle w:val="apple-converted-space"/>
          <w:rFonts w:ascii="Times New Roman" w:hAnsi="Times New Roman" w:cs="Times New Roman"/>
          <w:color w:val="000000"/>
        </w:rPr>
        <w:t xml:space="preserve"> </w:t>
      </w:r>
      <w:r w:rsidRPr="008D511B">
        <w:rPr>
          <w:rStyle w:val="apple-converted-space"/>
          <w:rFonts w:ascii="Times New Roman" w:hAnsi="Times New Roman" w:cs="Times New Roman"/>
          <w:color w:val="000000"/>
        </w:rPr>
        <w:t>larch and grand fir are found together on only 4% of all</w:t>
      </w:r>
      <w:r>
        <w:rPr>
          <w:rStyle w:val="apple-converted-space"/>
          <w:rFonts w:ascii="Times New Roman" w:hAnsi="Times New Roman" w:cs="Times New Roman"/>
          <w:color w:val="000000"/>
        </w:rPr>
        <w:t xml:space="preserve"> </w:t>
      </w:r>
      <w:r w:rsidRPr="008D511B">
        <w:rPr>
          <w:rStyle w:val="apple-converted-space"/>
          <w:rFonts w:ascii="Times New Roman" w:hAnsi="Times New Roman" w:cs="Times New Roman"/>
          <w:color w:val="000000"/>
        </w:rPr>
        <w:t>plots in the region. In other words, large ponderosa pine</w:t>
      </w:r>
      <w:r>
        <w:rPr>
          <w:rStyle w:val="apple-converted-space"/>
          <w:rFonts w:ascii="Times New Roman" w:hAnsi="Times New Roman" w:cs="Times New Roman"/>
          <w:color w:val="000000"/>
        </w:rPr>
        <w:t xml:space="preserve"> </w:t>
      </w:r>
      <w:r w:rsidRPr="008D511B">
        <w:rPr>
          <w:rStyle w:val="apple-converted-space"/>
          <w:rFonts w:ascii="Times New Roman" w:hAnsi="Times New Roman" w:cs="Times New Roman"/>
          <w:color w:val="000000"/>
        </w:rPr>
        <w:t>are by far the most common tree species found in these six</w:t>
      </w:r>
      <w:r>
        <w:rPr>
          <w:rStyle w:val="apple-converted-space"/>
          <w:rFonts w:ascii="Times New Roman" w:hAnsi="Times New Roman" w:cs="Times New Roman"/>
          <w:color w:val="000000"/>
        </w:rPr>
        <w:t xml:space="preserve"> </w:t>
      </w:r>
      <w:r w:rsidRPr="008D511B">
        <w:rPr>
          <w:rStyle w:val="apple-converted-space"/>
          <w:rFonts w:ascii="Times New Roman" w:hAnsi="Times New Roman" w:cs="Times New Roman"/>
          <w:color w:val="000000"/>
        </w:rPr>
        <w:t>National Forests and infrequently co-mingle with large</w:t>
      </w:r>
      <w:r>
        <w:rPr>
          <w:rStyle w:val="apple-converted-space"/>
          <w:rFonts w:ascii="Times New Roman" w:hAnsi="Times New Roman" w:cs="Times New Roman"/>
          <w:color w:val="000000"/>
        </w:rPr>
        <w:t xml:space="preserve"> </w:t>
      </w:r>
      <w:r w:rsidRPr="008D511B">
        <w:rPr>
          <w:rStyle w:val="apple-converted-space"/>
          <w:rFonts w:ascii="Times New Roman" w:hAnsi="Times New Roman" w:cs="Times New Roman"/>
          <w:color w:val="000000"/>
        </w:rPr>
        <w:t>grand fir at the FIA plot scale, whereas large western larch</w:t>
      </w:r>
      <w:r>
        <w:rPr>
          <w:rStyle w:val="apple-converted-space"/>
          <w:rFonts w:ascii="Times New Roman" w:hAnsi="Times New Roman" w:cs="Times New Roman"/>
          <w:color w:val="000000"/>
        </w:rPr>
        <w:t xml:space="preserve"> </w:t>
      </w:r>
      <w:r w:rsidRPr="008D511B">
        <w:rPr>
          <w:rStyle w:val="apple-converted-space"/>
          <w:rFonts w:ascii="Times New Roman" w:hAnsi="Times New Roman" w:cs="Times New Roman"/>
          <w:color w:val="000000"/>
        </w:rPr>
        <w:t>are far less common and co-mingle with large grand fir</w:t>
      </w:r>
      <w:r>
        <w:rPr>
          <w:rStyle w:val="apple-converted-space"/>
          <w:rFonts w:ascii="Times New Roman" w:hAnsi="Times New Roman" w:cs="Times New Roman"/>
          <w:color w:val="000000"/>
        </w:rPr>
        <w:t xml:space="preserve"> </w:t>
      </w:r>
      <w:r w:rsidRPr="008D511B">
        <w:rPr>
          <w:rStyle w:val="apple-converted-space"/>
          <w:rFonts w:ascii="Times New Roman" w:hAnsi="Times New Roman" w:cs="Times New Roman"/>
          <w:color w:val="000000"/>
        </w:rPr>
        <w:t>about half the time, which is expected since these species</w:t>
      </w:r>
      <w:r>
        <w:rPr>
          <w:rStyle w:val="apple-converted-space"/>
          <w:rFonts w:ascii="Times New Roman" w:hAnsi="Times New Roman" w:cs="Times New Roman"/>
          <w:color w:val="000000"/>
        </w:rPr>
        <w:t xml:space="preserve"> </w:t>
      </w:r>
      <w:r w:rsidRPr="008D511B">
        <w:rPr>
          <w:rStyle w:val="apple-converted-space"/>
          <w:rFonts w:ascii="Times New Roman" w:hAnsi="Times New Roman" w:cs="Times New Roman"/>
          <w:color w:val="000000"/>
        </w:rPr>
        <w:t>occupy similar environmental settings</w:t>
      </w:r>
      <w:r>
        <w:rPr>
          <w:rStyle w:val="apple-converted-space"/>
          <w:rFonts w:ascii="Times New Roman" w:hAnsi="Times New Roman" w:cs="Times New Roman"/>
          <w:color w:val="000000"/>
        </w:rPr>
        <w:t xml:space="preserve"> …</w:t>
      </w:r>
    </w:p>
    <w:p w:rsidR="00AB5647" w:rsidRPr="00A822B4" w:rsidRDefault="00AB5647" w:rsidP="00AB5647">
      <w:pPr>
        <w:rPr>
          <w:rStyle w:val="apple-converted-space"/>
          <w:rFonts w:ascii="Times New Roman" w:hAnsi="Times New Roman" w:cs="Times New Roman"/>
          <w:color w:val="000000"/>
        </w:rPr>
      </w:pPr>
      <w:r>
        <w:rPr>
          <w:rStyle w:val="apple-converted-space"/>
          <w:rFonts w:ascii="Times New Roman" w:hAnsi="Times New Roman" w:cs="Times New Roman"/>
          <w:color w:val="000000"/>
        </w:rPr>
        <w:t xml:space="preserve">David J. Mildrexler, </w:t>
      </w:r>
      <w:r w:rsidRPr="00A822B4">
        <w:rPr>
          <w:rStyle w:val="apple-converted-space"/>
          <w:rFonts w:ascii="Times New Roman" w:hAnsi="Times New Roman" w:cs="Times New Roman"/>
          <w:color w:val="000000"/>
        </w:rPr>
        <w:t>Loga</w:t>
      </w:r>
      <w:r>
        <w:rPr>
          <w:rStyle w:val="apple-converted-space"/>
          <w:rFonts w:ascii="Times New Roman" w:hAnsi="Times New Roman" w:cs="Times New Roman"/>
          <w:color w:val="000000"/>
        </w:rPr>
        <w:t xml:space="preserve">n T. Berner, Beverly E. Law, </w:t>
      </w:r>
      <w:r w:rsidRPr="00A822B4">
        <w:rPr>
          <w:rStyle w:val="apple-converted-space"/>
          <w:rFonts w:ascii="Times New Roman" w:hAnsi="Times New Roman" w:cs="Times New Roman"/>
          <w:color w:val="000000"/>
        </w:rPr>
        <w:t>Richard A.</w:t>
      </w:r>
      <w:r>
        <w:rPr>
          <w:rStyle w:val="apple-converted-space"/>
          <w:rFonts w:ascii="Times New Roman" w:hAnsi="Times New Roman" w:cs="Times New Roman"/>
          <w:color w:val="000000"/>
        </w:rPr>
        <w:t xml:space="preserve"> Birdsey, William R. Moomaw 2023. </w:t>
      </w:r>
      <w:r w:rsidRPr="00A822B4">
        <w:rPr>
          <w:rStyle w:val="apple-converted-space"/>
          <w:rFonts w:ascii="Times New Roman" w:hAnsi="Times New Roman" w:cs="Times New Roman"/>
          <w:color w:val="000000"/>
        </w:rPr>
        <w:t>Protect large trees for climate mitigation, biodiversity,</w:t>
      </w:r>
      <w:r>
        <w:rPr>
          <w:rStyle w:val="apple-converted-space"/>
          <w:rFonts w:ascii="Times New Roman" w:hAnsi="Times New Roman" w:cs="Times New Roman"/>
          <w:color w:val="000000"/>
        </w:rPr>
        <w:t xml:space="preserve"> </w:t>
      </w:r>
      <w:r w:rsidRPr="00A822B4">
        <w:rPr>
          <w:rStyle w:val="apple-converted-space"/>
          <w:rFonts w:ascii="Times New Roman" w:hAnsi="Times New Roman" w:cs="Times New Roman"/>
          <w:color w:val="000000"/>
        </w:rPr>
        <w:t>and forest resilience</w:t>
      </w:r>
      <w:r>
        <w:rPr>
          <w:rStyle w:val="apple-converted-space"/>
          <w:rFonts w:ascii="Times New Roman" w:hAnsi="Times New Roman" w:cs="Times New Roman"/>
          <w:color w:val="000000"/>
        </w:rPr>
        <w:t xml:space="preserve">. </w:t>
      </w:r>
      <w:r w:rsidRPr="00A822B4">
        <w:rPr>
          <w:rStyle w:val="apple-converted-space"/>
          <w:rFonts w:ascii="Times New Roman" w:hAnsi="Times New Roman" w:cs="Times New Roman"/>
          <w:color w:val="000000"/>
        </w:rPr>
        <w:t xml:space="preserve">Conservation Science and Practice. 2023;e12944. </w:t>
      </w:r>
      <w:hyperlink r:id="rId92" w:history="1">
        <w:r w:rsidRPr="00211D75">
          <w:rPr>
            <w:rStyle w:val="Hyperlink"/>
            <w:rFonts w:ascii="Times New Roman" w:hAnsi="Times New Roman" w:cs="Times New Roman"/>
          </w:rPr>
          <w:t>https://doi.org/10.1111/csp2.12944</w:t>
        </w:r>
      </w:hyperlink>
      <w:r>
        <w:rPr>
          <w:rStyle w:val="apple-converted-space"/>
          <w:rFonts w:ascii="Times New Roman" w:hAnsi="Times New Roman" w:cs="Times New Roman"/>
          <w:color w:val="000000"/>
        </w:rPr>
        <w:t>. This paper also notes that large trees are more resilient to drought stress than small trees, and “</w:t>
      </w:r>
      <w:r w:rsidRPr="008012EC">
        <w:rPr>
          <w:rStyle w:val="apple-converted-space"/>
          <w:rFonts w:ascii="Times New Roman" w:hAnsi="Times New Roman" w:cs="Times New Roman"/>
          <w:color w:val="000000"/>
        </w:rPr>
        <w:t>a trait-based approach to assess fire</w:t>
      </w:r>
      <w:r>
        <w:rPr>
          <w:rStyle w:val="apple-converted-space"/>
          <w:rFonts w:ascii="Times New Roman" w:hAnsi="Times New Roman" w:cs="Times New Roman"/>
          <w:color w:val="000000"/>
        </w:rPr>
        <w:t xml:space="preserve"> </w:t>
      </w:r>
      <w:r w:rsidRPr="008012EC">
        <w:rPr>
          <w:rStyle w:val="apple-converted-space"/>
          <w:rFonts w:ascii="Times New Roman" w:hAnsi="Times New Roman" w:cs="Times New Roman"/>
          <w:color w:val="000000"/>
        </w:rPr>
        <w:t>resistance found that the grand fir forest type had the second</w:t>
      </w:r>
      <w:r>
        <w:rPr>
          <w:rStyle w:val="apple-converted-space"/>
          <w:rFonts w:ascii="Times New Roman" w:hAnsi="Times New Roman" w:cs="Times New Roman"/>
          <w:color w:val="000000"/>
        </w:rPr>
        <w:t xml:space="preserve"> </w:t>
      </w:r>
      <w:r w:rsidRPr="008012EC">
        <w:rPr>
          <w:rStyle w:val="apple-converted-space"/>
          <w:rFonts w:ascii="Times New Roman" w:hAnsi="Times New Roman" w:cs="Times New Roman"/>
          <w:color w:val="000000"/>
        </w:rPr>
        <w:t>highest fire resistance score, and one of the lowest</w:t>
      </w:r>
      <w:r>
        <w:rPr>
          <w:rStyle w:val="apple-converted-space"/>
          <w:rFonts w:ascii="Times New Roman" w:hAnsi="Times New Roman" w:cs="Times New Roman"/>
          <w:color w:val="000000"/>
        </w:rPr>
        <w:t xml:space="preserve"> </w:t>
      </w:r>
      <w:r w:rsidRPr="008012EC">
        <w:rPr>
          <w:rStyle w:val="apple-converted-space"/>
          <w:rFonts w:ascii="Times New Roman" w:hAnsi="Times New Roman" w:cs="Times New Roman"/>
          <w:color w:val="000000"/>
        </w:rPr>
        <w:t>fire severity values among forest types of the Inland</w:t>
      </w:r>
      <w:r>
        <w:rPr>
          <w:rStyle w:val="apple-converted-space"/>
          <w:rFonts w:ascii="Times New Roman" w:hAnsi="Times New Roman" w:cs="Times New Roman"/>
          <w:color w:val="000000"/>
        </w:rPr>
        <w:t xml:space="preserve"> </w:t>
      </w:r>
      <w:r w:rsidRPr="008012EC">
        <w:rPr>
          <w:rStyle w:val="apple-converted-space"/>
          <w:rFonts w:ascii="Times New Roman" w:hAnsi="Times New Roman" w:cs="Times New Roman"/>
          <w:color w:val="000000"/>
        </w:rPr>
        <w:t>Northwest USA (Moris et al., 2022).</w:t>
      </w:r>
      <w:r>
        <w:rPr>
          <w:rStyle w:val="apple-converted-space"/>
          <w:rFonts w:ascii="Times New Roman" w:hAnsi="Times New Roman" w:cs="Times New Roman"/>
          <w:color w:val="000000"/>
        </w:rPr>
        <w:t xml:space="preserve">” Citing </w:t>
      </w:r>
      <w:r w:rsidRPr="008012EC">
        <w:rPr>
          <w:rStyle w:val="apple-converted-space"/>
          <w:rFonts w:ascii="Times New Roman" w:hAnsi="Times New Roman" w:cs="Times New Roman"/>
          <w:color w:val="000000"/>
        </w:rPr>
        <w:t>Moris, J. V., Reilly, M. J., Yang, Z., Cohen, W. B., Motta, R., &amp;</w:t>
      </w:r>
      <w:r>
        <w:rPr>
          <w:rStyle w:val="apple-converted-space"/>
          <w:rFonts w:ascii="Times New Roman" w:hAnsi="Times New Roman" w:cs="Times New Roman"/>
          <w:color w:val="000000"/>
        </w:rPr>
        <w:t xml:space="preserve"> </w:t>
      </w:r>
      <w:r w:rsidRPr="008012EC">
        <w:rPr>
          <w:rStyle w:val="apple-converted-space"/>
          <w:rFonts w:ascii="Times New Roman" w:hAnsi="Times New Roman" w:cs="Times New Roman"/>
          <w:color w:val="000000"/>
        </w:rPr>
        <w:t>Ascoli, D. (2022). Using a trait-based approach to asses fire</w:t>
      </w:r>
      <w:r>
        <w:rPr>
          <w:rStyle w:val="apple-converted-space"/>
          <w:rFonts w:ascii="Times New Roman" w:hAnsi="Times New Roman" w:cs="Times New Roman"/>
          <w:color w:val="000000"/>
        </w:rPr>
        <w:t xml:space="preserve"> </w:t>
      </w:r>
      <w:r w:rsidRPr="008012EC">
        <w:rPr>
          <w:rStyle w:val="apple-converted-space"/>
          <w:rFonts w:ascii="Times New Roman" w:hAnsi="Times New Roman" w:cs="Times New Roman"/>
          <w:color w:val="000000"/>
        </w:rPr>
        <w:t>resistance in forest landscapes of the inland northwest, USA.</w:t>
      </w:r>
      <w:r>
        <w:rPr>
          <w:rStyle w:val="apple-converted-space"/>
          <w:rFonts w:ascii="Times New Roman" w:hAnsi="Times New Roman" w:cs="Times New Roman"/>
          <w:color w:val="000000"/>
        </w:rPr>
        <w:t xml:space="preserve"> </w:t>
      </w:r>
      <w:r w:rsidRPr="008012EC">
        <w:rPr>
          <w:rStyle w:val="apple-converted-space"/>
          <w:rFonts w:ascii="Times New Roman" w:hAnsi="Times New Roman" w:cs="Times New Roman"/>
          <w:color w:val="000000"/>
        </w:rPr>
        <w:t>Landscape Ecology, 37, 2149</w:t>
      </w:r>
      <w:r>
        <w:rPr>
          <w:rStyle w:val="apple-converted-space"/>
          <w:rFonts w:ascii="Times New Roman" w:hAnsi="Times New Roman" w:cs="Times New Roman"/>
          <w:color w:val="000000"/>
        </w:rPr>
        <w:t xml:space="preserve">–2164. </w:t>
      </w:r>
      <w:hyperlink r:id="rId93" w:history="1">
        <w:r w:rsidRPr="00211D75">
          <w:rPr>
            <w:rStyle w:val="Hyperlink"/>
            <w:rFonts w:ascii="Times New Roman" w:hAnsi="Times New Roman" w:cs="Times New Roman"/>
          </w:rPr>
          <w:t>https://doi.org/10.1007/s10980-022-01478-w</w:t>
        </w:r>
      </w:hyperlink>
      <w:r>
        <w:rPr>
          <w:rStyle w:val="apple-converted-space"/>
          <w:rFonts w:ascii="Times New Roman" w:hAnsi="Times New Roman" w:cs="Times New Roman"/>
          <w:color w:val="000000"/>
        </w:rPr>
        <w:t xml:space="preserve">. </w:t>
      </w:r>
    </w:p>
    <w:p w:rsidR="00AB5647" w:rsidRDefault="00AB5647"/>
    <w:p w:rsidR="0069081E" w:rsidRDefault="0069081E" w:rsidP="0069081E">
      <w:pPr>
        <w:rPr>
          <w:szCs w:val="24"/>
        </w:rPr>
      </w:pPr>
      <w:r>
        <w:t xml:space="preserve">“Older forests are an important part of the ‘evolutionary anvil’ upon which biodiversity is hammered out by natural selection. If we drive species to extinction through our artificial, often unwitting human-imposed selection processes, we will be harming the biological potential of the </w:t>
      </w:r>
      <w:r>
        <w:lastRenderedPageBreak/>
        <w:t>land far more than by the removal of in</w:t>
      </w:r>
      <w:r>
        <w:rPr>
          <w:szCs w:val="24"/>
        </w:rPr>
        <w:t xml:space="preserve">dividual species. We will be striking a devastating blow to the wellspring of our biological and social future.” NCSSF 2008. Beyond Old Growth Older Forests in a Changing World - A synthesis of findings from five regional workshops. National Commission on Science for Sustainable Forestry. </w:t>
      </w:r>
      <w:hyperlink r:id="rId94" w:history="1">
        <w:r>
          <w:rPr>
            <w:rStyle w:val="Hyperlink"/>
            <w:szCs w:val="24"/>
          </w:rPr>
          <w:t>http://cms.oregon.gov/ODF/BOARD/docs/FFAC_020108_Beyond_Old_Growth_John_Gordon.pdf</w:t>
        </w:r>
      </w:hyperlink>
      <w:r>
        <w:t xml:space="preserve">; </w:t>
      </w:r>
      <w:hyperlink r:id="rId95" w:history="1">
        <w:r w:rsidRPr="002269B4">
          <w:rPr>
            <w:rStyle w:val="Hyperlink"/>
          </w:rPr>
          <w:t>https://andrewsforest.oregonstate.edu/sites/default/files/lter/pubs/pdf/pub4524.pdf</w:t>
        </w:r>
      </w:hyperlink>
      <w:r>
        <w:rPr>
          <w:szCs w:val="24"/>
        </w:rPr>
        <w:t>.</w:t>
      </w:r>
    </w:p>
    <w:p w:rsidR="006A7C17" w:rsidRDefault="006A7C17" w:rsidP="004C1E65"/>
    <w:p w:rsidR="0069081E" w:rsidRDefault="0069081E" w:rsidP="0069081E">
      <w:r>
        <w:t xml:space="preserve">We wish to reiterate some key points made by the Eastside Forests Coalition. </w:t>
      </w:r>
    </w:p>
    <w:p w:rsidR="0069081E" w:rsidRDefault="0069081E" w:rsidP="00D61533">
      <w:pPr>
        <w:numPr>
          <w:ilvl w:val="0"/>
          <w:numId w:val="20"/>
        </w:numPr>
        <w:ind w:left="540" w:hanging="360"/>
      </w:pPr>
      <w:r>
        <w:t>In the face of the ongoing climate crisis, the revised Blue Mountains Forest Plans should at a minimum – reinstate the original Eastside Screens’ protections for large trees—which store a disproportionately large amount of above ground carbon—both inside and outside late old structure forests.</w:t>
      </w:r>
    </w:p>
    <w:p w:rsidR="0069081E" w:rsidRDefault="0069081E" w:rsidP="00D61533">
      <w:pPr>
        <w:numPr>
          <w:ilvl w:val="0"/>
          <w:numId w:val="20"/>
        </w:numPr>
        <w:ind w:left="540" w:hanging="360"/>
      </w:pPr>
      <w:r>
        <w:t>Mature and old growth forests and large trees must be protected to support wildlife dependent upon large living trees and snags, closed canopies, and mature and old forest abundance.</w:t>
      </w:r>
    </w:p>
    <w:p w:rsidR="0069081E" w:rsidRDefault="0069081E" w:rsidP="00D61533">
      <w:pPr>
        <w:numPr>
          <w:ilvl w:val="0"/>
          <w:numId w:val="20"/>
        </w:numPr>
        <w:ind w:left="540" w:hanging="360"/>
      </w:pPr>
      <w:r>
        <w:t>Protecting mature and old growth forests and large trees also offers protections to cold clean water and aquatic habitat, as the complex ecosystem structure created by these forests helps filter rainwater and provides necessary shading in riparian areas, among other benefits.</w:t>
      </w:r>
    </w:p>
    <w:p w:rsidR="0069081E" w:rsidRDefault="0069081E" w:rsidP="0069081E"/>
    <w:p w:rsidR="006A568B" w:rsidRPr="006A568B" w:rsidRDefault="0069081E" w:rsidP="0069081E">
      <w:r>
        <w:t>The Assessment should reflect the fact that o</w:t>
      </w:r>
      <w:r w:rsidR="006A568B" w:rsidRPr="006A568B">
        <w:t xml:space="preserve">ld trees appear to be more resilient to heat stress than younger trees.  Parks, Bradley 11-22-2021. Oregon trees cooked during summer heat waves. </w:t>
      </w:r>
      <w:hyperlink r:id="rId96" w:history="1">
        <w:r w:rsidR="006A568B" w:rsidRPr="006A568B">
          <w:rPr>
            <w:rStyle w:val="Hyperlink"/>
          </w:rPr>
          <w:t>https://www.opb.org/article/2021/11/22/oregon-trees-cooked-by-summer-heat-waves/</w:t>
        </w:r>
      </w:hyperlink>
      <w:r w:rsidR="006A568B" w:rsidRPr="006A568B">
        <w:t xml:space="preserve">. ([during the 2021 Oregon heat wave] “Younger trees also fared worse than older ones. “There is going to be an impact, I think, going forward, if this young generation had lots and lots of mortality, which we think it did,” [Christopher] Still said. “The older trees, they’re going to be more resilient,”). </w:t>
      </w:r>
    </w:p>
    <w:p w:rsidR="00875C8A" w:rsidRDefault="00875C8A" w:rsidP="00F86C06">
      <w:pPr>
        <w:autoSpaceDE w:val="0"/>
        <w:rPr>
          <w:szCs w:val="24"/>
        </w:rPr>
      </w:pPr>
      <w:r>
        <w:rPr>
          <w:szCs w:val="24"/>
        </w:rPr>
        <w:t xml:space="preserve"> </w:t>
      </w:r>
    </w:p>
    <w:p w:rsidR="0069081E" w:rsidRDefault="0069081E" w:rsidP="0069081E">
      <w:pPr>
        <w:rPr>
          <w:szCs w:val="24"/>
        </w:rPr>
      </w:pPr>
      <w:r>
        <w:rPr>
          <w:szCs w:val="24"/>
        </w:rPr>
        <w:t xml:space="preserve">Old trees are “life history lottery winners” and exhibit unique characteristics that are lost when old trees are logged. </w:t>
      </w:r>
    </w:p>
    <w:p w:rsidR="0069081E" w:rsidRDefault="0069081E" w:rsidP="0069081E">
      <w:pPr>
        <w:ind w:left="720"/>
      </w:pPr>
      <w:r>
        <w:t xml:space="preserve">Human cultures around the world have revered ancient trees as powerful spiritual beings, connecting Earth and Heaven, as sources of wisdom, fertility, balance and longevity1. These myths and legends are often embodied by a particularly old and venerated individual tree of exceptional presence, distinguishable from the many other large trees in the forest. These ancient trees are seen as belonging to a separate and special class of being that transcends the normal plane of existence, binding the tree to a deep knowledge and awareness of history, change and persistence. With increasing knowledge about the role old trees play in ecosystems, biologists are also beginning to attach special importance to individual ancient trees in populations2,3. </w:t>
      </w:r>
    </w:p>
    <w:p w:rsidR="0069081E" w:rsidRDefault="0069081E" w:rsidP="0069081E">
      <w:pPr>
        <w:ind w:left="720"/>
      </w:pPr>
      <w:r>
        <w:t xml:space="preserve">   The ecological importance of old trees in forested ecosystems has been extensively documented, particularly as small natural features that provide a wide range of services4–6. And yet, our understanding of tree age structure in forested ecosystems remains poor7. Fundamentally, the lifespan of even an average tree greatly exceeds the duration of any current ecological project, so true demographic studies of trees have never been carried out, except on a cross-sectional, not longitudinal, basis. … [W]e </w:t>
      </w:r>
      <w:r>
        <w:lastRenderedPageBreak/>
        <w:t>highlight several exceptional population-level demographic properties that emerge from these models and discuss their evolutionary implications, particularly given long-term environmental cycles. First, a small proportion of individuals win the life-history ‘lottery’ and obtain exceptional ages, far more than ten times greater than the median age in the population (Fig. 1a). These ancient trees are observed in natural populations and are possible because of the lack of programmed senescence enabled by the woody plant growth form3 and the low mortality rates observed in many old-growth forests globally13–16. We argue that, despite the rarity of these individuals, they play a significant role maintaining diversity in the population and bridging across unusual and infrequent environmental conditions. Second, a larger proportion of individuals reach significant ages many times greater than the median age. These old individuals contribute substantially to the stabilization of population diversity to intermediate environmental change.</w:t>
      </w:r>
    </w:p>
    <w:p w:rsidR="0069081E" w:rsidRDefault="0069081E" w:rsidP="0069081E">
      <w:pPr>
        <w:ind w:left="720"/>
      </w:pPr>
      <w:r>
        <w:t>…</w:t>
      </w:r>
    </w:p>
    <w:p w:rsidR="0069081E" w:rsidRDefault="0069081E" w:rsidP="0069081E">
      <w:pPr>
        <w:ind w:left="720"/>
      </w:pPr>
      <w:r>
        <w:t>The ancient trees, particularly the oldest, display the greatest degree of responsiveness to changing model conditions. Some individuals obtain truly astonishing ages in relation to the mean age of the population, which, as noted above, is already substantially greater than the median population age and even the median oldest individual across replicates (Fig. 3; see full range of variation in Supplementary Fig. 3). Even in the smallest populations, individuals achieve ages that are significantly more than the mean maximum age, and the frequency and magnitude of these outliers increase with declining mortality (Fig. 3). Essentially, a life-history ‘lottery winner’ can emerge at any timepoint. The maximum age obtained by  these lottery winners is substantially greater than even forest climax age, indicating that, even after population age structure has stabilized, the ancient trees continue to become more unusual and idiosyncratic for many more centuries. Unfortunately, the ancient age group that emerges from a stochastic death process, and thus their impact on evolutionary dynamics, can only be found in old-growth forests. Anthropogenic forest conversion resets the clock on this long emergent process.</w:t>
      </w:r>
    </w:p>
    <w:p w:rsidR="0069081E" w:rsidRDefault="0069081E" w:rsidP="0069081E">
      <w:pPr>
        <w:ind w:left="720"/>
      </w:pPr>
      <w:r>
        <w:t>…</w:t>
      </w:r>
    </w:p>
    <w:p w:rsidR="0069081E" w:rsidRDefault="0069081E" w:rsidP="0069081E">
      <w:pPr>
        <w:ind w:left="720"/>
      </w:pPr>
      <w:r>
        <w:t>[B]ecause each ancient tree can differ in age from other ancient trees by decades and even centuries, every individual represents a unique set of environmental conditions that existed when they established.</w:t>
      </w:r>
    </w:p>
    <w:p w:rsidR="0069081E" w:rsidRDefault="0069081E" w:rsidP="0069081E">
      <w:pPr>
        <w:ind w:left="720"/>
      </w:pPr>
      <w:r>
        <w:t xml:space="preserve">   These ancient trees can be a very valuable resource for the population, if temporal scales of environmental variation extend beyond the age of even old trees, thus bridging between extreme and infrequent environmental conditions that the population might not survive without the ancient trees.</w:t>
      </w:r>
    </w:p>
    <w:p w:rsidR="0069081E" w:rsidRDefault="0069081E" w:rsidP="0069081E">
      <w:pPr>
        <w:ind w:left="720"/>
      </w:pPr>
      <w:r>
        <w:t xml:space="preserve">… Given that selective environments change through a complex cyclical process of several underlying patterns, extreme environmental conditions can return over time periods of decades or hundreds of years (Fig. 4a). The greater longevity of ancient trees increasingly bridges the temporal gap between the return of these environmental extremes (Fig. 4b–e). If individuals that establish during those extreme periods are more fit for these conditions, they can produce offspring that are likely to have advantageous alleles that facilitate establishment during those extreme conditions. As fecundity is generally maintained in ancient trees26, their contribution to regeneration during these </w:t>
      </w:r>
      <w:r>
        <w:lastRenderedPageBreak/>
        <w:t>extreme but rare climatic conditions can be disproportionate. Overall, despite the rarity of the ancient individuals, each ancient individual is connected to a unique historical circumstance (Fig. 4). They create a rich and deep genetic diversity within the community that can bridge the gaps between rare and extraordinary  environmental conditions. In particular, given predictions of global climate change, the baseline itself of cyclical environmental change is shifting and the amplitude of change is increasing, driving conditions towards more and more extreme values, further accentuating the importance of these ancient reservoirs of valuable adaptive capacity at the outer margins of genetic diversity.</w:t>
      </w:r>
    </w:p>
    <w:p w:rsidR="0069081E" w:rsidRDefault="0069081E" w:rsidP="0069081E">
      <w:pPr>
        <w:ind w:left="720"/>
      </w:pPr>
      <w:r>
        <w:t xml:space="preserve">… Several mechanisms have evolved in individual trees to enable extreme longevity and deal with negative effects of ageing (Fig. 5). In general, they can be grouped into two non-mutually exclusive categories: senescence avoidance and ageing tolerance. … </w:t>
      </w:r>
    </w:p>
    <w:p w:rsidR="0069081E" w:rsidRDefault="0069081E" w:rsidP="0069081E">
      <w:pPr>
        <w:ind w:left="720"/>
      </w:pPr>
      <w:r>
        <w:t xml:space="preserve">   Stress tolerance is indeed a mechanism of ageing tolerance, since it serves to delay death as trees age. In ancient trees, the ability to maintain pluripotent meristems is key for resistance (growth memory), resilience and stability of populations32,33. While shoot apical meristems lead directly to vegetative and reproductive growth, axillary meristems are particularly important for plant branching and regeneration after damage34. Ancient trees possess huge vegetative plasticity, even through epicormic shoots in consequence of severe disturbances3. … The cambial meristem continually renews the vascular system of the tree, responding to local conditions, both temporally and spatially, essentially creating a record of change and resilience in the tree wood. Meristematic tissues, both pluripotent and constantly renewing themselves, enable the tree to essentially be potentially immortal28, 29.</w:t>
      </w:r>
    </w:p>
    <w:p w:rsidR="0069081E" w:rsidRDefault="0069081E" w:rsidP="0069081E">
      <w:pPr>
        <w:ind w:left="720"/>
      </w:pPr>
      <w:r>
        <w:t>… Estimates that old-growth forest can be achieved in 150 years (ref. 46) neglects the impact of ancient trees. These ancient trees are indicators of the degree of development in old-growth processes47. Old and ancient trees are unique proxies for reconstructing past climate and environment48. Such old trees have survived multiple decadal (Atlantic Multidecadal Oscillation and Pacific Decadal Oscillation generally lasting between 30 and 70 years) and even longer contrasting climatic phases (Medieval Warm Period, Little Ice Age, global warming).</w:t>
      </w:r>
    </w:p>
    <w:p w:rsidR="0069081E" w:rsidRDefault="0069081E" w:rsidP="0069081E">
      <w:pPr>
        <w:ind w:left="720"/>
      </w:pPr>
      <w:r>
        <w:t xml:space="preserve">…Finally, ancient trees represent a major reservoir for deep genetic </w:t>
      </w:r>
    </w:p>
    <w:p w:rsidR="0069081E" w:rsidRDefault="0069081E" w:rsidP="0069081E">
      <w:pPr>
        <w:ind w:left="720"/>
      </w:pPr>
      <w:r>
        <w:t>diversity that can bridge long temporal gaps between extreme environmental conditions. While these ancient individuals are rare in the population, their existence can have profound impacts on population evolutionary dynamics, …</w:t>
      </w:r>
    </w:p>
    <w:p w:rsidR="0069081E" w:rsidRDefault="0069081E" w:rsidP="0069081E">
      <w:pPr>
        <w:ind w:left="720"/>
      </w:pPr>
      <w:r>
        <w:t xml:space="preserve">… For all of these reasons, old-growth forests with their unique stock of ancient trees are becoming increasingly important to protect. Losing these trees is like species extinction, in that an irreplaceable genetic resource is being lost. Ecologically, ancient trees are known to be unique biodiversity hubs56 that provide key or unique ecosystem functions unparalleled by managed forests. They contribute disproportionately to the forest rate of carbon sequestration, as this rate continuously increases with tree size57. But these ancient trees, perhaps most critically, are an irreplaceable evolutionary resource for the tree species themselves. The loss of these ancient trees can greatly reduce the evolutionary potential of the species. Preserving and restoring ancient trees everywhere in the world, from the heart of old-growth forests to tiny fragments in managed forest or along roadsides, is an urgent goal for a sustainable future. We strongly advocate research </w:t>
      </w:r>
      <w:r>
        <w:lastRenderedPageBreak/>
        <w:t>focused on these ancient trees and their contribution to the future adaptive capacity of our global forests.</w:t>
      </w:r>
    </w:p>
    <w:p w:rsidR="0069081E" w:rsidRDefault="0069081E" w:rsidP="0069081E">
      <w:r>
        <w:t xml:space="preserve">Charles H. Cannon, Gianluca Piovesan, and Sergi Munné-Bosch 2022. Old and ancient trees are life history lottery winners and vital evolutionary resources for long-term adaptive capacity. Nature Plants </w:t>
      </w:r>
      <w:r w:rsidRPr="00930B3C">
        <w:t>8, pages136–145 (2022)</w:t>
      </w:r>
      <w:r>
        <w:t xml:space="preserve">. </w:t>
      </w:r>
      <w:hyperlink r:id="rId97" w:history="1">
        <w:r w:rsidRPr="00017BDC">
          <w:rPr>
            <w:rStyle w:val="Hyperlink"/>
          </w:rPr>
          <w:t>https://doi.org/10.1038/s41477-021-01088-5</w:t>
        </w:r>
      </w:hyperlink>
      <w:r>
        <w:t xml:space="preserve">. </w:t>
      </w:r>
    </w:p>
    <w:p w:rsidR="0069081E" w:rsidRDefault="0069081E" w:rsidP="0069081E">
      <w:r>
        <w:t>See also, Lindenmayer, D. B., Laurance, W. F., Franklin, J. F., Likens, G. E., Banks, S. C., Blanchard, W., Gibbons, P., Ikin, K., Blair, D., McBurney, L., Manning, A. D. and Stein, J. A.R. (2013), New policies for old trees: averting a global crisis in a keystone ecological structure. Conservation Letters. doi: 10.1111/conl.12013. (Abstract: “Large old trees are critical organisms and ecological structures in forests ... They play many essential ecological roles ranging from the storage of large amounts of carbon to the provision of key habitats for wildlife. Some of these roles cannot be replaced by other structures. Large old trees are disproportionately vulnerable to loss in many ecosystems worldwide as a result of accelerated rates of mortality, impaired recruitment, or both…. we argue that new policies and practices are urgently needed to conserve existing large old trees and restore ecologically effective and viable populations of such trees by managing trees and forests on much longer time scales than is currently practiced, and by protecting places where they are most likely to develop.”)</w:t>
      </w:r>
    </w:p>
    <w:p w:rsidR="00660B47" w:rsidRDefault="00660B47" w:rsidP="0069081E"/>
    <w:p w:rsidR="0069081E" w:rsidRDefault="0069081E" w:rsidP="0069081E">
      <w:r>
        <w:t xml:space="preserve">George Monbiot (2021) extolled the virtues of old trees and </w:t>
      </w:r>
      <w:r w:rsidRPr="00B52864">
        <w:rPr>
          <w:i/>
        </w:rPr>
        <w:t>slow ecology</w:t>
      </w:r>
      <w:r>
        <w:t>:</w:t>
      </w:r>
    </w:p>
    <w:p w:rsidR="0069081E" w:rsidRDefault="0069081E" w:rsidP="0069081E">
      <w:pPr>
        <w:ind w:left="720"/>
      </w:pPr>
      <w:r w:rsidRPr="00D33515">
        <w:t>Healthy ecosystems depend to a great extent on old and gnarly places, that might take centuries to develop, and are rich in what ecologists call “spatial heterogeneity”: complex natural architecture. They need, for example, giant trees, whose knotty entrails are split and rotten; great reefs of coral or oysters or honeycomb worms; braiding, meandering rivers full of snags and beaver dams; undisturbed soils reamed by roots and holes. The loss of these ancient habitats is one of the factors driving the global shift from large, slow-growing creatures to the small, short-lived species able to survive our onslaughts. Slow ecology would protect and create our future ancient habitats.</w:t>
      </w:r>
    </w:p>
    <w:p w:rsidR="0069081E" w:rsidRDefault="0069081E" w:rsidP="0069081E">
      <w:pPr>
        <w:ind w:left="720"/>
      </w:pPr>
      <w:r>
        <w:t>…</w:t>
      </w:r>
      <w:r w:rsidRPr="00D33515">
        <w:t>there’s no substitute for an ancient tree, or an ancient anything else. Big old trees are the “keystone structures” of forests, on which many other species depend. The very trees that foresters have tended to weed out – forked, twisted, lightning-struck, rotten, dead – are those that harbour the most life.</w:t>
      </w:r>
      <w:r>
        <w:t xml:space="preserve"> For example, a single species of bracket fungus, which grows on rotten branches (dryad’s saddle), harbours 246 species of beetle.</w:t>
      </w:r>
    </w:p>
    <w:p w:rsidR="0069081E" w:rsidRDefault="0069081E" w:rsidP="0069081E">
      <w:pPr>
        <w:ind w:left="720"/>
      </w:pPr>
      <w:r>
        <w:t>Bats shelter in splits in the trunk. Forks hold tiny pools of water or pockets of soil. Jagged wounds where limbs have sheared, burrs and excrescences, scrapes from which resin bubbles, ivy, vines, lichens and mosses, tangles of twigs and derelict nests, peeling bark and fire scars are all crucial wildlife habitats. But the most important features of ancient trees – and many other habitats – are holes.</w:t>
      </w:r>
    </w:p>
    <w:p w:rsidR="0069081E" w:rsidRDefault="0069081E" w:rsidP="0069081E">
      <w:pPr>
        <w:ind w:left="720"/>
      </w:pPr>
      <w:r>
        <w:t>Between 10% and 40% of the world’s forest birds and mammals need holes in trees in which to nest or roost. Many other animals – amphibians, reptiles, invertebrates – depend on them. But these species suffer from a void of voids, an absence of absences.</w:t>
      </w:r>
    </w:p>
    <w:p w:rsidR="0069081E" w:rsidRDefault="0069081E" w:rsidP="0069081E">
      <w:pPr>
        <w:ind w:left="720"/>
      </w:pPr>
      <w:r>
        <w:t>Holes take many forms: hollow trunks or branches, galleries mined by insects, cavities dug by woodpeckers. Woodpeckers are keystone species, whose tunneling makes homes for other nesting birds and mammals. They appear to spread fungal spores on their beaks in the same way that bees spread pollen, and this helps create the soft wood into which they can drill. The trees they need are big, old and rotten.</w:t>
      </w:r>
    </w:p>
    <w:p w:rsidR="0069081E" w:rsidRDefault="0069081E" w:rsidP="0069081E">
      <w:pPr>
        <w:ind w:left="720"/>
      </w:pPr>
      <w:r>
        <w:lastRenderedPageBreak/>
        <w:t>But almost everywhere, trees like this are disappearing. …</w:t>
      </w:r>
    </w:p>
    <w:p w:rsidR="0069081E" w:rsidRDefault="0069081E" w:rsidP="0069081E">
      <w:pPr>
        <w:ind w:left="720"/>
      </w:pPr>
      <w:r w:rsidRPr="00D33515">
        <w:t>Our tidy-minded forestry and our habit of treating trees as interchangeable are devastating to wildlife. “Replacing” an old tree is no more meaningful than replacing an old master.</w:t>
      </w:r>
      <w:r>
        <w:t xml:space="preserve"> …</w:t>
      </w:r>
    </w:p>
    <w:p w:rsidR="0069081E" w:rsidRDefault="0069081E" w:rsidP="0069081E">
      <w:pPr>
        <w:ind w:left="720"/>
      </w:pPr>
      <w:r w:rsidRPr="00D33515">
        <w:t>So what would a slow ecology movement look like? As Henry David Thoreau said, we are rich in proportion to the number of things we can afford to let alone. To the greatest extent possible, we should allow our complex natural architectures to recover.</w:t>
      </w:r>
      <w:r>
        <w:t xml:space="preserve"> …</w:t>
      </w:r>
    </w:p>
    <w:p w:rsidR="0069081E" w:rsidRDefault="0069081E" w:rsidP="0069081E">
      <w:pPr>
        <w:ind w:left="720"/>
      </w:pPr>
      <w:r>
        <w:t>Wherever possible, we should allow the trees killed by ash dieback and other diseases to remain standing. If one good thing arises from these plagues, it could be an increase in the amount of standing and fallen dead wood, both of which are crucial habitats. “Salvage logging” – removing dead or dying trees – is one of the most damaging human activities. Perhaps it also means a general preservation order for all trees, living or dead, greater than 100 years old: you would need express permission to fell one. It would mean a new and deeper respect for the entanglements of nature.</w:t>
      </w:r>
    </w:p>
    <w:p w:rsidR="0069081E" w:rsidRDefault="0069081E" w:rsidP="0069081E">
      <w:pPr>
        <w:ind w:left="720"/>
      </w:pPr>
      <w:r>
        <w:t>We need to create today the knurled and wizened ecosystems that only our grandchildren will see. Restoring the living world means restoring complexity, and complexity takes ages to develop. So it’s time we began.</w:t>
      </w:r>
    </w:p>
    <w:p w:rsidR="00660B47" w:rsidRDefault="0069081E" w:rsidP="0069081E">
      <w:r>
        <w:t xml:space="preserve">George Monbiot 2021. The gift we should give to the living world? Time, and lots of it. The Guardian, 8-8-2021. </w:t>
      </w:r>
      <w:hyperlink r:id="rId98" w:history="1">
        <w:r w:rsidRPr="00CB5332">
          <w:rPr>
            <w:rStyle w:val="Hyperlink"/>
          </w:rPr>
          <w:t>https://www.theguardian.com/commentisfree/2021/aug/08/living-world-time-saplings-oak-slow-ecology-habitats</w:t>
        </w:r>
      </w:hyperlink>
      <w:r w:rsidR="00660B47">
        <w:t>.</w:t>
      </w:r>
    </w:p>
    <w:p w:rsidR="00660B47" w:rsidRDefault="00660B47" w:rsidP="0069081E"/>
    <w:p w:rsidR="00660B47" w:rsidRDefault="00660B47" w:rsidP="00660B47">
      <w:pPr>
        <w:rPr>
          <w:szCs w:val="24"/>
        </w:rPr>
      </w:pPr>
      <w:r>
        <w:rPr>
          <w:szCs w:val="24"/>
        </w:rPr>
        <w:t>Bell et al (2021) conducted a study of trends in forest area supporting large trees and snags in Oregon and Washington using GNN [gradient nearest neighbor] tools and said -</w:t>
      </w:r>
    </w:p>
    <w:p w:rsidR="00660B47" w:rsidRDefault="00660B47" w:rsidP="00660B47">
      <w:pPr>
        <w:ind w:left="720"/>
        <w:rPr>
          <w:szCs w:val="24"/>
        </w:rPr>
      </w:pPr>
      <w:r w:rsidRPr="003F5AFA">
        <w:rPr>
          <w:szCs w:val="24"/>
        </w:rPr>
        <w:t>The presence of large live trees and standing dead trees, or snags, is</w:t>
      </w:r>
      <w:r>
        <w:rPr>
          <w:szCs w:val="24"/>
        </w:rPr>
        <w:t xml:space="preserve"> </w:t>
      </w:r>
      <w:r w:rsidRPr="003F5AFA">
        <w:rPr>
          <w:szCs w:val="24"/>
        </w:rPr>
        <w:t>a defining characteristic of old-growth forest ecosystems in western</w:t>
      </w:r>
      <w:r>
        <w:rPr>
          <w:szCs w:val="24"/>
        </w:rPr>
        <w:t xml:space="preserve"> </w:t>
      </w:r>
      <w:r w:rsidRPr="003F5AFA">
        <w:rPr>
          <w:szCs w:val="24"/>
        </w:rPr>
        <w:t>North America (Franklin et al. 1981, 2002, Kaufmann et al. 2007,</w:t>
      </w:r>
      <w:r>
        <w:rPr>
          <w:szCs w:val="24"/>
        </w:rPr>
        <w:t xml:space="preserve"> </w:t>
      </w:r>
      <w:r w:rsidRPr="003F5AFA">
        <w:rPr>
          <w:szCs w:val="24"/>
        </w:rPr>
        <w:t>Lindenmayer et al. 2012, Reilly and Spies 2015). They provide structural elements supporting high quality habitat for many wildlife species</w:t>
      </w:r>
      <w:r>
        <w:rPr>
          <w:szCs w:val="24"/>
        </w:rPr>
        <w:t xml:space="preserve"> </w:t>
      </w:r>
      <w:r w:rsidRPr="003F5AFA">
        <w:rPr>
          <w:szCs w:val="24"/>
        </w:rPr>
        <w:t>(Hunter and Bond 2001). Since the mid-20th century, anthropogenic</w:t>
      </w:r>
      <w:r>
        <w:rPr>
          <w:szCs w:val="24"/>
        </w:rPr>
        <w:t xml:space="preserve"> </w:t>
      </w:r>
      <w:r w:rsidRPr="003F5AFA">
        <w:rPr>
          <w:szCs w:val="24"/>
        </w:rPr>
        <w:t>stressors, such as timber harvesting, land conversion, and wildfire, have</w:t>
      </w:r>
      <w:r>
        <w:rPr>
          <w:szCs w:val="24"/>
        </w:rPr>
        <w:t xml:space="preserve"> </w:t>
      </w:r>
      <w:r w:rsidRPr="003F5AFA">
        <w:rPr>
          <w:szCs w:val="24"/>
        </w:rPr>
        <w:t>greatly reduced the extent of old-growth forests in Oregon and</w:t>
      </w:r>
      <w:r>
        <w:rPr>
          <w:szCs w:val="24"/>
        </w:rPr>
        <w:t xml:space="preserve"> </w:t>
      </w:r>
      <w:r w:rsidRPr="003F5AFA">
        <w:rPr>
          <w:szCs w:val="24"/>
        </w:rPr>
        <w:t>Washington (Bolsinger and Waddell 1993). Many wildlife species in this</w:t>
      </w:r>
      <w:r>
        <w:rPr>
          <w:szCs w:val="24"/>
        </w:rPr>
        <w:t xml:space="preserve"> </w:t>
      </w:r>
      <w:r w:rsidRPr="003F5AFA">
        <w:rPr>
          <w:szCs w:val="24"/>
        </w:rPr>
        <w:t>region rely entirely or in part on the availability of large live and dead</w:t>
      </w:r>
      <w:r>
        <w:rPr>
          <w:szCs w:val="24"/>
        </w:rPr>
        <w:t xml:space="preserve"> </w:t>
      </w:r>
      <w:r w:rsidRPr="003F5AFA">
        <w:rPr>
          <w:szCs w:val="24"/>
        </w:rPr>
        <w:t>trees</w:t>
      </w:r>
      <w:r>
        <w:rPr>
          <w:szCs w:val="24"/>
        </w:rPr>
        <w:t xml:space="preserve"> …</w:t>
      </w:r>
    </w:p>
    <w:p w:rsidR="00660B47" w:rsidRDefault="00660B47" w:rsidP="00660B47">
      <w:pPr>
        <w:ind w:left="720"/>
        <w:rPr>
          <w:szCs w:val="24"/>
        </w:rPr>
      </w:pPr>
      <w:r w:rsidRPr="003F5AFA">
        <w:rPr>
          <w:szCs w:val="24"/>
        </w:rPr>
        <w:t>Succession and management also affect snag densities, with a</w:t>
      </w:r>
      <w:r>
        <w:rPr>
          <w:szCs w:val="24"/>
        </w:rPr>
        <w:t xml:space="preserve"> </w:t>
      </w:r>
      <w:r w:rsidRPr="003F5AFA">
        <w:rPr>
          <w:szCs w:val="24"/>
        </w:rPr>
        <w:t>greater frequency in older, unmanaged stands or for several years following moderate or high severity wildfire. Recent (i.e., following the</w:t>
      </w:r>
      <w:r>
        <w:rPr>
          <w:szCs w:val="24"/>
        </w:rPr>
        <w:t xml:space="preserve"> </w:t>
      </w:r>
      <w:r w:rsidRPr="003F5AFA">
        <w:rPr>
          <w:szCs w:val="24"/>
        </w:rPr>
        <w:t>Northwest Forest Plan [1994] and Eastside Screens [1995]) management of federal forests in Oregon and Washington have emphasized</w:t>
      </w:r>
      <w:r>
        <w:rPr>
          <w:szCs w:val="24"/>
        </w:rPr>
        <w:t xml:space="preserve"> </w:t>
      </w:r>
      <w:r w:rsidRPr="003F5AFA">
        <w:rPr>
          <w:szCs w:val="24"/>
        </w:rPr>
        <w:t>promotion of late succession and old-forest attributes, including large</w:t>
      </w:r>
      <w:r>
        <w:rPr>
          <w:szCs w:val="24"/>
        </w:rPr>
        <w:t xml:space="preserve"> </w:t>
      </w:r>
      <w:r w:rsidRPr="003F5AFA">
        <w:rPr>
          <w:szCs w:val="24"/>
        </w:rPr>
        <w:t>snags (e.g.; Davis et al. 2015). Other management goals can conflict</w:t>
      </w:r>
      <w:r>
        <w:rPr>
          <w:szCs w:val="24"/>
        </w:rPr>
        <w:t xml:space="preserve"> </w:t>
      </w:r>
      <w:r w:rsidRPr="003F5AFA">
        <w:rPr>
          <w:szCs w:val="24"/>
        </w:rPr>
        <w:t>with the aim to increase snag densities, such as thinning to accelerate</w:t>
      </w:r>
      <w:r>
        <w:rPr>
          <w:szCs w:val="24"/>
        </w:rPr>
        <w:t xml:space="preserve"> </w:t>
      </w:r>
      <w:r w:rsidRPr="003F5AFA">
        <w:rPr>
          <w:szCs w:val="24"/>
        </w:rPr>
        <w:t>old forest conditions in moister forests (northwestern OR, western WA),</w:t>
      </w:r>
      <w:r>
        <w:rPr>
          <w:szCs w:val="24"/>
        </w:rPr>
        <w:t xml:space="preserve"> </w:t>
      </w:r>
      <w:r w:rsidRPr="003F5AFA">
        <w:rPr>
          <w:szCs w:val="24"/>
        </w:rPr>
        <w:t>and fuel reduction treatments in drier forests (southwestern OR, eastern</w:t>
      </w:r>
      <w:r>
        <w:rPr>
          <w:szCs w:val="24"/>
        </w:rPr>
        <w:t xml:space="preserve"> </w:t>
      </w:r>
      <w:r w:rsidRPr="003F5AFA">
        <w:rPr>
          <w:szCs w:val="24"/>
        </w:rPr>
        <w:t>OR and WA)</w:t>
      </w:r>
      <w:r>
        <w:rPr>
          <w:szCs w:val="24"/>
        </w:rPr>
        <w:t>.</w:t>
      </w:r>
    </w:p>
    <w:p w:rsidR="00660B47" w:rsidRDefault="00660B47" w:rsidP="00660B47">
      <w:pPr>
        <w:ind w:left="720"/>
        <w:rPr>
          <w:szCs w:val="24"/>
        </w:rPr>
      </w:pPr>
      <w:r>
        <w:rPr>
          <w:szCs w:val="24"/>
        </w:rPr>
        <w:t xml:space="preserve">… </w:t>
      </w:r>
      <w:r w:rsidRPr="003F5AFA">
        <w:rPr>
          <w:szCs w:val="24"/>
        </w:rPr>
        <w:t>As the diameter threshold for large live trees and snags increased, the</w:t>
      </w:r>
      <w:r>
        <w:rPr>
          <w:szCs w:val="24"/>
        </w:rPr>
        <w:t xml:space="preserve"> </w:t>
      </w:r>
      <w:r w:rsidRPr="003F5AFA">
        <w:rPr>
          <w:szCs w:val="24"/>
        </w:rPr>
        <w:t>frequency of reference plots with no such trees increased and the</w:t>
      </w:r>
      <w:r>
        <w:rPr>
          <w:szCs w:val="24"/>
        </w:rPr>
        <w:t xml:space="preserve"> </w:t>
      </w:r>
      <w:r w:rsidRPr="003F5AFA">
        <w:rPr>
          <w:szCs w:val="24"/>
        </w:rPr>
        <w:t>maximum densities decreased, reflecting increasing scarcity of large</w:t>
      </w:r>
      <w:r>
        <w:rPr>
          <w:szCs w:val="24"/>
        </w:rPr>
        <w:t xml:space="preserve"> </w:t>
      </w:r>
      <w:r w:rsidRPr="003F5AFA">
        <w:rPr>
          <w:szCs w:val="24"/>
        </w:rPr>
        <w:t>live trees and snags.</w:t>
      </w:r>
      <w:r>
        <w:rPr>
          <w:szCs w:val="24"/>
        </w:rPr>
        <w:t xml:space="preserve"> </w:t>
      </w:r>
    </w:p>
    <w:p w:rsidR="00660B47" w:rsidRDefault="00660B47" w:rsidP="00660B47">
      <w:pPr>
        <w:ind w:left="720"/>
        <w:rPr>
          <w:szCs w:val="24"/>
        </w:rPr>
      </w:pPr>
      <w:r>
        <w:rPr>
          <w:szCs w:val="24"/>
        </w:rPr>
        <w:lastRenderedPageBreak/>
        <w:t xml:space="preserve">… [as of 2011] </w:t>
      </w:r>
      <w:r w:rsidRPr="003F5AFA">
        <w:rPr>
          <w:szCs w:val="24"/>
        </w:rPr>
        <w:t xml:space="preserve">current forest area </w:t>
      </w:r>
      <w:r>
        <w:rPr>
          <w:szCs w:val="24"/>
        </w:rPr>
        <w:t xml:space="preserve">[in Oregon and Washington] </w:t>
      </w:r>
      <w:r w:rsidRPr="003F5AFA">
        <w:rPr>
          <w:szCs w:val="24"/>
        </w:rPr>
        <w:t>supporting large live trees and snags was less</w:t>
      </w:r>
      <w:r>
        <w:rPr>
          <w:szCs w:val="24"/>
        </w:rPr>
        <w:t xml:space="preserve"> </w:t>
      </w:r>
      <w:r w:rsidRPr="003F5AFA">
        <w:rPr>
          <w:szCs w:val="24"/>
        </w:rPr>
        <w:t>than historical reference conditions (Fig. 4, Table 3). The differences</w:t>
      </w:r>
      <w:r>
        <w:rPr>
          <w:szCs w:val="24"/>
        </w:rPr>
        <w:t xml:space="preserve"> </w:t>
      </w:r>
      <w:r w:rsidRPr="003F5AFA">
        <w:rPr>
          <w:szCs w:val="24"/>
        </w:rPr>
        <w:t>between historical and current forest area supporting large live trees or</w:t>
      </w:r>
      <w:r>
        <w:rPr>
          <w:szCs w:val="24"/>
        </w:rPr>
        <w:t xml:space="preserve"> </w:t>
      </w:r>
      <w:r w:rsidRPr="003F5AFA">
        <w:rPr>
          <w:szCs w:val="24"/>
        </w:rPr>
        <w:t>snags were generally greater for forests in the western portion of the</w:t>
      </w:r>
      <w:r>
        <w:rPr>
          <w:szCs w:val="24"/>
        </w:rPr>
        <w:t xml:space="preserve"> </w:t>
      </w:r>
      <w:r w:rsidRPr="003F5AFA">
        <w:rPr>
          <w:szCs w:val="24"/>
        </w:rPr>
        <w:t>study area (WLCH_OCA, WLCH_WCA, WLCH_OCO, WLCH_OCO, MMC,</w:t>
      </w:r>
      <w:r>
        <w:rPr>
          <w:szCs w:val="24"/>
        </w:rPr>
        <w:t xml:space="preserve"> </w:t>
      </w:r>
      <w:r w:rsidRPr="003F5AFA">
        <w:rPr>
          <w:szCs w:val="24"/>
        </w:rPr>
        <w:t xml:space="preserve">and SWOMC) compared to eastern WHTs </w:t>
      </w:r>
      <w:r>
        <w:rPr>
          <w:szCs w:val="24"/>
        </w:rPr>
        <w:t xml:space="preserve">[wildlife habitat types] </w:t>
      </w:r>
      <w:r w:rsidRPr="003F5AFA">
        <w:rPr>
          <w:szCs w:val="24"/>
        </w:rPr>
        <w:t>(EMB_ECB, EMC_NCR, LP,</w:t>
      </w:r>
      <w:r>
        <w:rPr>
          <w:szCs w:val="24"/>
        </w:rPr>
        <w:t xml:space="preserve"> </w:t>
      </w:r>
      <w:r w:rsidRPr="003F5AFA">
        <w:rPr>
          <w:szCs w:val="24"/>
        </w:rPr>
        <w:t>and PPDF).</w:t>
      </w:r>
      <w:r>
        <w:rPr>
          <w:szCs w:val="24"/>
        </w:rPr>
        <w:t xml:space="preserve"> … </w:t>
      </w:r>
      <w:r w:rsidRPr="003F5AFA">
        <w:rPr>
          <w:szCs w:val="24"/>
        </w:rPr>
        <w:t>Federal lands had a greater</w:t>
      </w:r>
      <w:r>
        <w:rPr>
          <w:szCs w:val="24"/>
        </w:rPr>
        <w:t xml:space="preserve"> </w:t>
      </w:r>
      <w:r w:rsidRPr="003F5AFA">
        <w:rPr>
          <w:szCs w:val="24"/>
        </w:rPr>
        <w:t>percentage of forest area supporting large live trees and snags compared to nonfederal lands.</w:t>
      </w:r>
      <w:r>
        <w:rPr>
          <w:szCs w:val="24"/>
        </w:rPr>
        <w:t xml:space="preserve"> </w:t>
      </w:r>
    </w:p>
    <w:p w:rsidR="00660B47" w:rsidRDefault="00660B47" w:rsidP="00660B47">
      <w:pPr>
        <w:ind w:left="720"/>
        <w:rPr>
          <w:szCs w:val="24"/>
        </w:rPr>
      </w:pPr>
      <w:r>
        <w:rPr>
          <w:szCs w:val="24"/>
        </w:rPr>
        <w:t xml:space="preserve">… </w:t>
      </w:r>
      <w:r w:rsidRPr="003F5AFA">
        <w:rPr>
          <w:szCs w:val="24"/>
        </w:rPr>
        <w:t>Federal lands showed increases (95% confidence</w:t>
      </w:r>
      <w:r>
        <w:rPr>
          <w:szCs w:val="24"/>
        </w:rPr>
        <w:t xml:space="preserve"> </w:t>
      </w:r>
      <w:r w:rsidRPr="003F5AFA">
        <w:rPr>
          <w:szCs w:val="24"/>
        </w:rPr>
        <w:t>intervals greater than zero) for all classes except forest with live</w:t>
      </w:r>
      <w:r>
        <w:rPr>
          <w:szCs w:val="24"/>
        </w:rPr>
        <w:t xml:space="preserve"> </w:t>
      </w:r>
      <w:r w:rsidRPr="003F5AFA">
        <w:rPr>
          <w:szCs w:val="24"/>
        </w:rPr>
        <w:t>trees ≥ 100 cm (only 68% confidence intervals greater than zero). In</w:t>
      </w:r>
      <w:r>
        <w:rPr>
          <w:szCs w:val="24"/>
        </w:rPr>
        <w:t xml:space="preserve"> </w:t>
      </w:r>
      <w:r w:rsidRPr="003F5AFA">
        <w:rPr>
          <w:szCs w:val="24"/>
        </w:rPr>
        <w:t xml:space="preserve">contrast, chnage </w:t>
      </w:r>
      <w:r>
        <w:rPr>
          <w:szCs w:val="24"/>
        </w:rPr>
        <w:t xml:space="preserve">[sic] </w:t>
      </w:r>
      <w:r w:rsidRPr="003F5AFA">
        <w:rPr>
          <w:szCs w:val="24"/>
        </w:rPr>
        <w:t>on non-federal lands were not different from zero</w:t>
      </w:r>
      <w:r>
        <w:rPr>
          <w:szCs w:val="24"/>
        </w:rPr>
        <w:t xml:space="preserve"> … </w:t>
      </w:r>
      <w:r w:rsidRPr="003F5AFA">
        <w:rPr>
          <w:szCs w:val="24"/>
        </w:rPr>
        <w:t>Thus, federal forestlands during</w:t>
      </w:r>
      <w:r>
        <w:rPr>
          <w:szCs w:val="24"/>
        </w:rPr>
        <w:t xml:space="preserve"> </w:t>
      </w:r>
      <w:r w:rsidRPr="003F5AFA">
        <w:rPr>
          <w:szCs w:val="24"/>
        </w:rPr>
        <w:t>recent decades account for much of the regional trends in forest area</w:t>
      </w:r>
      <w:r>
        <w:rPr>
          <w:szCs w:val="24"/>
        </w:rPr>
        <w:t xml:space="preserve"> </w:t>
      </w:r>
      <w:r w:rsidRPr="003F5AFA">
        <w:rPr>
          <w:szCs w:val="24"/>
        </w:rPr>
        <w:t>supporting large live trees and snags.</w:t>
      </w:r>
      <w:r>
        <w:rPr>
          <w:szCs w:val="24"/>
        </w:rPr>
        <w:t xml:space="preserve"> …</w:t>
      </w:r>
    </w:p>
    <w:p w:rsidR="00660B47" w:rsidRDefault="00660B47" w:rsidP="00660B47">
      <w:pPr>
        <w:ind w:left="720"/>
        <w:rPr>
          <w:szCs w:val="24"/>
        </w:rPr>
      </w:pPr>
      <w:r w:rsidRPr="003F5AFA">
        <w:rPr>
          <w:szCs w:val="24"/>
        </w:rPr>
        <w:t>While we observed increases in areas supporting large live trees and</w:t>
      </w:r>
      <w:r>
        <w:rPr>
          <w:szCs w:val="24"/>
        </w:rPr>
        <w:t xml:space="preserve"> </w:t>
      </w:r>
      <w:r w:rsidRPr="003F5AFA">
        <w:rPr>
          <w:szCs w:val="24"/>
        </w:rPr>
        <w:t>snags during recent decades (Fig. 6), these changes in area were relatively small (Fig. 5) and are therefore unlikely to offset past losses for</w:t>
      </w:r>
      <w:r>
        <w:rPr>
          <w:szCs w:val="24"/>
        </w:rPr>
        <w:t xml:space="preserve"> </w:t>
      </w:r>
      <w:r w:rsidRPr="003F5AFA">
        <w:rPr>
          <w:szCs w:val="24"/>
        </w:rPr>
        <w:t>the region as a whole. We observed increases in area with large live</w:t>
      </w:r>
      <w:r>
        <w:rPr>
          <w:szCs w:val="24"/>
        </w:rPr>
        <w:t xml:space="preserve"> </w:t>
      </w:r>
      <w:r w:rsidRPr="003F5AFA">
        <w:rPr>
          <w:szCs w:val="24"/>
        </w:rPr>
        <w:t>trees and snags on federal lands, but not on nonfederal lands, indicating</w:t>
      </w:r>
      <w:r>
        <w:rPr>
          <w:szCs w:val="24"/>
        </w:rPr>
        <w:t xml:space="preserve"> </w:t>
      </w:r>
      <w:r w:rsidRPr="003F5AFA">
        <w:rPr>
          <w:szCs w:val="24"/>
        </w:rPr>
        <w:t>that those federal lands drive most of the regional changes. The reduction of forest area supporting high densities of large live trees and</w:t>
      </w:r>
      <w:r>
        <w:rPr>
          <w:szCs w:val="24"/>
        </w:rPr>
        <w:t xml:space="preserve"> </w:t>
      </w:r>
      <w:r w:rsidRPr="003F5AFA">
        <w:rPr>
          <w:szCs w:val="24"/>
        </w:rPr>
        <w:t>snags since historical times and the lack of substantial increases during</w:t>
      </w:r>
      <w:r>
        <w:rPr>
          <w:szCs w:val="24"/>
        </w:rPr>
        <w:t xml:space="preserve"> </w:t>
      </w:r>
      <w:r w:rsidRPr="003F5AFA">
        <w:rPr>
          <w:szCs w:val="24"/>
        </w:rPr>
        <w:t>recent decades on all lands highlights major challenges to maintaining</w:t>
      </w:r>
      <w:r>
        <w:rPr>
          <w:szCs w:val="24"/>
        </w:rPr>
        <w:t xml:space="preserve"> </w:t>
      </w:r>
      <w:r w:rsidRPr="003F5AFA">
        <w:rPr>
          <w:szCs w:val="24"/>
        </w:rPr>
        <w:t>quality habitat for some wildlife species. Large, continuous tracts of</w:t>
      </w:r>
      <w:r>
        <w:rPr>
          <w:szCs w:val="24"/>
        </w:rPr>
        <w:t xml:space="preserve"> </w:t>
      </w:r>
      <w:r w:rsidRPr="003F5AFA">
        <w:rPr>
          <w:szCs w:val="24"/>
        </w:rPr>
        <w:t>suitable old-growth forest habitat are already restricted by historical</w:t>
      </w:r>
      <w:r>
        <w:rPr>
          <w:szCs w:val="24"/>
        </w:rPr>
        <w:t xml:space="preserve"> </w:t>
      </w:r>
      <w:r w:rsidRPr="003F5AFA">
        <w:rPr>
          <w:szCs w:val="24"/>
        </w:rPr>
        <w:t>land-use history and further endangered by emerging issues, like climate change and wildfire (Davis et al. 2015, 2016, Phalan et al. 2019).</w:t>
      </w:r>
    </w:p>
    <w:p w:rsidR="00660B47" w:rsidRDefault="00660B47" w:rsidP="00660B47">
      <w:pPr>
        <w:ind w:left="720"/>
        <w:rPr>
          <w:szCs w:val="24"/>
        </w:rPr>
      </w:pPr>
      <w:r>
        <w:rPr>
          <w:szCs w:val="24"/>
        </w:rPr>
        <w:t xml:space="preserve">… </w:t>
      </w:r>
    </w:p>
    <w:p w:rsidR="00660B47" w:rsidRPr="003F5AFA" w:rsidRDefault="00660B47" w:rsidP="00660B47">
      <w:pPr>
        <w:ind w:left="720"/>
        <w:rPr>
          <w:b/>
          <w:szCs w:val="24"/>
        </w:rPr>
      </w:pPr>
      <w:r w:rsidRPr="003F5AFA">
        <w:rPr>
          <w:b/>
          <w:szCs w:val="24"/>
        </w:rPr>
        <w:t>Conclusions</w:t>
      </w:r>
    </w:p>
    <w:p w:rsidR="00660B47" w:rsidRDefault="00660B47" w:rsidP="00660B47">
      <w:pPr>
        <w:ind w:left="720"/>
        <w:rPr>
          <w:szCs w:val="24"/>
        </w:rPr>
      </w:pPr>
      <w:r w:rsidRPr="003F5AFA">
        <w:rPr>
          <w:szCs w:val="24"/>
        </w:rPr>
        <w:t>In part, the maintenance of forest biodiversity depends on the retention of existing and restoration of late-successional and older forest</w:t>
      </w:r>
      <w:r>
        <w:rPr>
          <w:szCs w:val="24"/>
        </w:rPr>
        <w:t xml:space="preserve"> </w:t>
      </w:r>
      <w:r w:rsidRPr="003F5AFA">
        <w:rPr>
          <w:szCs w:val="24"/>
        </w:rPr>
        <w:t>habitat for wildlife species to within natural or desired ranges. Our</w:t>
      </w:r>
      <w:r>
        <w:rPr>
          <w:szCs w:val="24"/>
        </w:rPr>
        <w:t xml:space="preserve"> </w:t>
      </w:r>
      <w:r w:rsidRPr="003F5AFA">
        <w:rPr>
          <w:szCs w:val="24"/>
        </w:rPr>
        <w:t>results indicate that the forests of Oregon and Washington have lost a</w:t>
      </w:r>
      <w:r>
        <w:rPr>
          <w:szCs w:val="24"/>
        </w:rPr>
        <w:t xml:space="preserve"> </w:t>
      </w:r>
      <w:r w:rsidRPr="003F5AFA">
        <w:rPr>
          <w:szCs w:val="24"/>
        </w:rPr>
        <w:t>substantial proportion of forests supporting large live trees and snags</w:t>
      </w:r>
      <w:r>
        <w:rPr>
          <w:szCs w:val="24"/>
        </w:rPr>
        <w:t xml:space="preserve"> </w:t>
      </w:r>
      <w:r w:rsidRPr="003F5AFA">
        <w:rPr>
          <w:szCs w:val="24"/>
        </w:rPr>
        <w:t>compared to reference conditions and that recruitment of these structural elements of wildlife habitat at regional scales is a slow process</w:t>
      </w:r>
      <w:r>
        <w:rPr>
          <w:szCs w:val="24"/>
        </w:rPr>
        <w:t xml:space="preserve">. … </w:t>
      </w:r>
      <w:r w:rsidRPr="003F5AFA">
        <w:rPr>
          <w:szCs w:val="24"/>
        </w:rPr>
        <w:t>Large</w:t>
      </w:r>
      <w:r>
        <w:rPr>
          <w:szCs w:val="24"/>
        </w:rPr>
        <w:t xml:space="preserve"> </w:t>
      </w:r>
      <w:r w:rsidRPr="003F5AFA">
        <w:rPr>
          <w:szCs w:val="24"/>
        </w:rPr>
        <w:t>quantities and diversities of dead wood structures are needed to</w:t>
      </w:r>
      <w:r>
        <w:rPr>
          <w:szCs w:val="24"/>
        </w:rPr>
        <w:t xml:space="preserve"> </w:t>
      </w:r>
      <w:r w:rsidRPr="003F5AFA">
        <w:rPr>
          <w:szCs w:val="24"/>
        </w:rPr>
        <w:t>maintain biodiversity in forest ecosystems (Sandström et al. 2019).</w:t>
      </w:r>
      <w:r>
        <w:rPr>
          <w:szCs w:val="24"/>
        </w:rPr>
        <w:t xml:space="preserve"> </w:t>
      </w:r>
      <w:r w:rsidRPr="003F5AFA">
        <w:rPr>
          <w:szCs w:val="24"/>
        </w:rPr>
        <w:t>Given that most forests supporting large live trees and snags are federally managed, these federal lands will be central to the conservation</w:t>
      </w:r>
      <w:r>
        <w:rPr>
          <w:szCs w:val="24"/>
        </w:rPr>
        <w:t xml:space="preserve"> </w:t>
      </w:r>
      <w:r w:rsidRPr="003F5AFA">
        <w:rPr>
          <w:szCs w:val="24"/>
        </w:rPr>
        <w:t>and management of large live trees and snags in the Pacific Northwest</w:t>
      </w:r>
      <w:r>
        <w:rPr>
          <w:szCs w:val="24"/>
        </w:rPr>
        <w:t xml:space="preserve">. </w:t>
      </w:r>
    </w:p>
    <w:p w:rsidR="0069081E" w:rsidRPr="00280AA2" w:rsidRDefault="00660B47" w:rsidP="0069081E">
      <w:r w:rsidRPr="00280AA2">
        <w:t xml:space="preserve">David M. Bell et al 2021. Quantifying regional trends in large live tree and snag availability in support of forest management. Forest Ecology and Management 479 (2021). </w:t>
      </w:r>
      <w:hyperlink r:id="rId99" w:history="1">
        <w:r w:rsidRPr="00280AA2">
          <w:rPr>
            <w:rStyle w:val="Hyperlink"/>
          </w:rPr>
          <w:t>https://pdf.sciencedirectassets.com/271259/1-s2.0-S0378112720X0020X/1-s2.0-S0378112720313232/am.pdf</w:t>
        </w:r>
      </w:hyperlink>
      <w:r w:rsidRPr="00280AA2">
        <w:t xml:space="preserve">. </w:t>
      </w:r>
    </w:p>
    <w:p w:rsidR="00660B47" w:rsidRPr="00280AA2" w:rsidRDefault="00660B47" w:rsidP="0069081E"/>
    <w:p w:rsidR="00660B47" w:rsidRPr="00280AA2" w:rsidRDefault="00660B47" w:rsidP="00660B47">
      <w:pPr>
        <w:pStyle w:val="NormalWeb"/>
        <w:rPr>
          <w:rFonts w:ascii="Georgia" w:hAnsi="Georgia"/>
          <w:sz w:val="22"/>
          <w:szCs w:val="22"/>
        </w:rPr>
      </w:pPr>
      <w:r w:rsidRPr="00280AA2">
        <w:rPr>
          <w:rFonts w:ascii="Georgia" w:hAnsi="Georgia"/>
          <w:sz w:val="22"/>
          <w:szCs w:val="22"/>
        </w:rPr>
        <w:t xml:space="preserve">A recent study supports the retention of slow growing old trees because they are relatively more resilient. The study found that slower-growing older trees tend to channel their energy into structural support and defense compounds to “maximize durability while minimizing … damage”. Black, Colbert, &amp; Pederson. 2008. Relationship between radial growth rates and </w:t>
      </w:r>
      <w:r w:rsidRPr="00280AA2">
        <w:rPr>
          <w:rFonts w:ascii="Georgia" w:hAnsi="Georgia"/>
          <w:sz w:val="22"/>
          <w:szCs w:val="22"/>
        </w:rPr>
        <w:lastRenderedPageBreak/>
        <w:t xml:space="preserve">lifespan within North American tree species. Ecoscience 15(3), 349-357 (2008). </w:t>
      </w:r>
      <w:hyperlink r:id="rId100" w:history="1">
        <w:r w:rsidRPr="00280AA2">
          <w:rPr>
            <w:rStyle w:val="Hyperlink"/>
            <w:rFonts w:ascii="Georgia" w:hAnsi="Georgia"/>
            <w:sz w:val="22"/>
            <w:szCs w:val="22"/>
          </w:rPr>
          <w:t>http://fate.nmfs.noaa.gov/documents/Publications/Black_et_al_2008_Ecoscience.pdf</w:t>
        </w:r>
      </w:hyperlink>
      <w:r w:rsidRPr="00280AA2">
        <w:rPr>
          <w:rFonts w:ascii="Georgia" w:hAnsi="Georgia"/>
          <w:sz w:val="22"/>
          <w:szCs w:val="22"/>
        </w:rPr>
        <w:t xml:space="preserve">. Tobias Züst, Bindu Joseph, Kentaro K. Shimizu, Daniel J. Kliebenstein and Lindsay A. Turnbull, Using knockout mutants to reveal the growth costs of defensive traits, in: Proceedings of the Royal Society B, 2011, Jan. 26, doi:10.1098/rspb.2010.2475. See also, University of Montana. June 18, 2019. Cell structure linked to longevity of slow-growing Ponderosa Pines. </w:t>
      </w:r>
      <w:hyperlink r:id="rId101" w:history="1">
        <w:r w:rsidRPr="00280AA2">
          <w:rPr>
            <w:rStyle w:val="Hyperlink"/>
            <w:rFonts w:ascii="Georgia" w:hAnsi="Georgia"/>
            <w:sz w:val="22"/>
            <w:szCs w:val="22"/>
          </w:rPr>
          <w:t>https://www.sciencedaily.com/releases/2019/06/190618174358.htm</w:t>
        </w:r>
      </w:hyperlink>
      <w:r w:rsidRPr="00280AA2">
        <w:rPr>
          <w:rFonts w:ascii="Georgia" w:hAnsi="Georgia"/>
          <w:sz w:val="22"/>
          <w:szCs w:val="22"/>
        </w:rPr>
        <w:t xml:space="preserve"> (“Slow-growing ponderosa pines may have a better chance of surviving longer than fast-growing ones, especially as climate change increases the frequency and intensity of drought, according to new research from the University of Montana. ... [A] key difference between fast and slow growers resides in a microscopic valve-like structure between the cells that transport water in the wood, called the pit membrane. The unique shape of this valve in slow-growing trees provides greater safety against drought, but it slows down water transport, limiting growth rate.”) </w:t>
      </w:r>
      <w:r w:rsidRPr="00280AA2">
        <w:rPr>
          <w:rFonts w:ascii="Georgia" w:hAnsi="Georgia"/>
          <w:i/>
          <w:sz w:val="22"/>
          <w:szCs w:val="22"/>
        </w:rPr>
        <w:t>citing</w:t>
      </w:r>
      <w:r w:rsidRPr="00280AA2">
        <w:rPr>
          <w:rFonts w:ascii="Georgia" w:hAnsi="Georgia"/>
          <w:sz w:val="22"/>
          <w:szCs w:val="22"/>
        </w:rPr>
        <w:t xml:space="preserve"> Beth Roskilly, Eric Keeling, Sharon Hood, Arnaud Giuggiola, Anna Sala. Conflicting functional effects of xylem pit structure relate to the growth-longevity trade-off in a conifer species. Proceedings of the National Academy of Sciences, 2019; 201900734 DOI: 10.1073/pnas.1900734116. See also, University of Montana. June 18, 2019. Cell structure linked to longevity of slow-growing Ponderosa Pines. </w:t>
      </w:r>
      <w:hyperlink r:id="rId102" w:history="1">
        <w:r w:rsidRPr="00280AA2">
          <w:rPr>
            <w:rStyle w:val="Hyperlink"/>
            <w:rFonts w:ascii="Georgia" w:hAnsi="Georgia"/>
            <w:sz w:val="22"/>
            <w:szCs w:val="22"/>
          </w:rPr>
          <w:t>https://www.sciencedaily.com/releases/2019/06/190618174358.htm</w:t>
        </w:r>
      </w:hyperlink>
      <w:r w:rsidRPr="00280AA2">
        <w:rPr>
          <w:rFonts w:ascii="Georgia" w:hAnsi="Georgia"/>
          <w:sz w:val="22"/>
          <w:szCs w:val="22"/>
        </w:rPr>
        <w:t xml:space="preserve"> (“Slow-growing ponderosa pines may have a better chance of surviving longer than fast-growing ones, especially as climate change increases the frequency and intensity of drought, according to new research from the University of Montana. ... [A] key difference between fast and slow growers resides in a microscopic valve-like structure between the cells that transport water in the wood, called the pit membrane. The unique shape of this valve in slow-growing trees provides greater safety against drought, but it slows down water transport, limiting growth rate.”). </w:t>
      </w:r>
      <w:r w:rsidRPr="00280AA2">
        <w:rPr>
          <w:rFonts w:ascii="Georgia" w:hAnsi="Georgia"/>
          <w:i/>
          <w:sz w:val="22"/>
          <w:szCs w:val="22"/>
        </w:rPr>
        <w:t>citing</w:t>
      </w:r>
      <w:r w:rsidRPr="00280AA2">
        <w:rPr>
          <w:rFonts w:ascii="Georgia" w:hAnsi="Georgia"/>
          <w:sz w:val="22"/>
          <w:szCs w:val="22"/>
        </w:rPr>
        <w:t xml:space="preserve"> Beth Roskilly, Eric Keeling, Sharon Hood, Arnaud Giuggiola, Anna Sala. Conflicting functional effects of xylem pit structure relate to the growth-longevity trade-off in a conifer species. Proceedings of the National Academy of Sciences, 2019; 201900734 DOI: 10.1073/pnas.1900734116.</w:t>
      </w:r>
    </w:p>
    <w:p w:rsidR="00660B47" w:rsidRDefault="00660B47" w:rsidP="00660B47">
      <w:pPr>
        <w:pStyle w:val="NormalWeb"/>
      </w:pPr>
    </w:p>
    <w:p w:rsidR="00660B47" w:rsidRPr="00280AA2" w:rsidRDefault="00660B47" w:rsidP="00660B47">
      <w:pPr>
        <w:pStyle w:val="CommentText"/>
        <w:tabs>
          <w:tab w:val="left" w:pos="7830"/>
        </w:tabs>
        <w:rPr>
          <w:rFonts w:ascii="Georgia" w:hAnsi="Georgia"/>
          <w:sz w:val="22"/>
          <w:szCs w:val="22"/>
        </w:rPr>
      </w:pPr>
      <w:r w:rsidRPr="00280AA2">
        <w:rPr>
          <w:rFonts w:ascii="Georgia" w:hAnsi="Georgia"/>
          <w:sz w:val="22"/>
          <w:szCs w:val="22"/>
        </w:rPr>
        <w:t>De la Mata et al (2017) studied the variable survival of Ponderosa pine during a mountain pine beetle (MPB) outbreak and found that slow growing trees had an advantage -</w:t>
      </w:r>
    </w:p>
    <w:p w:rsidR="00660B47" w:rsidRPr="00280AA2" w:rsidRDefault="00660B47" w:rsidP="00660B47">
      <w:pPr>
        <w:pStyle w:val="CommentText"/>
        <w:tabs>
          <w:tab w:val="left" w:pos="7830"/>
        </w:tabs>
        <w:ind w:left="720"/>
        <w:rPr>
          <w:rFonts w:ascii="Georgia" w:hAnsi="Georgia" w:cs="Times New Roman"/>
          <w:sz w:val="22"/>
          <w:szCs w:val="22"/>
        </w:rPr>
      </w:pPr>
      <w:r w:rsidRPr="00280AA2">
        <w:rPr>
          <w:rFonts w:ascii="Georgia" w:hAnsi="Georgia" w:cs="Times New Roman"/>
          <w:sz w:val="22"/>
          <w:szCs w:val="22"/>
        </w:rPr>
        <w:t>Growth rates have fitness consequences and selection is expected (23). Indeed, we found significant genetic responses to selection on growth rates, but importantly, these responses changed in direction and strength over time (Fig. 2A). Fast growth was positively selected before the outbreak, but negatively selected during the outbreak, clearly showing that intense herbivory shifted selection patterns. Fast growth in trees under competitive environments is critical for light acquisition and resource capture, and slow growth is selected against and underrepresented at mature stages (27). Consistently, selection for fast growth was strongest during early seedling establishment when density-dependent mortality in trees typically occurs (38) and when the proportion of seeds that attain maturity is usually very small (6). The MPB outbreak, however, caused significant selection differentials in the opposite direction (positive selection for slow-growing phenotypes), which triggered a negative genetic response after the outbreak (Fig. 2A). Our results are consistent with studies showing that fast early growth within tree species correlates with decreased longevity (29) and increased herbivory at maturity (30), and provide strong empirical evidence of the conflicting effects of growth rates on fitness during ontogeny.</w:t>
      </w:r>
    </w:p>
    <w:p w:rsidR="00660B47" w:rsidRPr="00280AA2" w:rsidRDefault="00660B47" w:rsidP="00660B47">
      <w:pPr>
        <w:pStyle w:val="CommentText"/>
        <w:tabs>
          <w:tab w:val="left" w:pos="7830"/>
        </w:tabs>
        <w:ind w:left="720"/>
        <w:rPr>
          <w:rFonts w:ascii="Georgia" w:hAnsi="Georgia" w:cs="Times New Roman"/>
          <w:sz w:val="22"/>
          <w:szCs w:val="22"/>
        </w:rPr>
      </w:pPr>
      <w:r w:rsidRPr="00280AA2">
        <w:rPr>
          <w:rFonts w:ascii="Georgia" w:hAnsi="Georgia" w:cs="Times New Roman"/>
          <w:sz w:val="22"/>
          <w:szCs w:val="22"/>
        </w:rPr>
        <w:t>…</w:t>
      </w:r>
    </w:p>
    <w:p w:rsidR="00660B47" w:rsidRPr="00280AA2" w:rsidRDefault="00660B47" w:rsidP="00660B47">
      <w:pPr>
        <w:pStyle w:val="CommentText"/>
        <w:tabs>
          <w:tab w:val="left" w:pos="7830"/>
        </w:tabs>
        <w:ind w:left="720"/>
        <w:rPr>
          <w:rFonts w:ascii="Georgia" w:hAnsi="Georgia" w:cs="Times New Roman"/>
          <w:sz w:val="22"/>
          <w:szCs w:val="22"/>
        </w:rPr>
      </w:pPr>
      <w:r w:rsidRPr="00280AA2">
        <w:rPr>
          <w:rFonts w:ascii="Georgia" w:hAnsi="Georgia" w:cs="Times New Roman"/>
          <w:sz w:val="22"/>
          <w:szCs w:val="22"/>
        </w:rPr>
        <w:lastRenderedPageBreak/>
        <w:t>Our results also have important management implications. Tree improvement programs supply seed resources for managed tree plantations, and for restoration purposes after natural and human-caused disturbances (e.g., fire, severe drought, and reclamation). These programs have traditionally focused on selection on growth-related traits (52), although efforts to breed for tree resistance against insects and pathogens are currently in place (53). Our results indicate that the traditional focus on fast-growth by tree breeding programs may reduce survival under intense, unpredictable stress (54).</w:t>
      </w:r>
    </w:p>
    <w:p w:rsidR="00660B47" w:rsidRPr="00280AA2" w:rsidRDefault="00660B47" w:rsidP="00660B47">
      <w:pPr>
        <w:pStyle w:val="NormalWeb"/>
        <w:rPr>
          <w:rFonts w:ascii="Georgia" w:hAnsi="Georgia"/>
          <w:sz w:val="22"/>
          <w:szCs w:val="22"/>
        </w:rPr>
      </w:pPr>
      <w:r w:rsidRPr="00280AA2">
        <w:rPr>
          <w:rFonts w:ascii="Georgia" w:hAnsi="Georgia"/>
          <w:sz w:val="22"/>
          <w:szCs w:val="22"/>
        </w:rPr>
        <w:t xml:space="preserve">Raul de la Mata, Sharon Hood, and Anna Sala 2017. Insect outbreak shifts the direction of selection from fast to slow growth rates in the long-lived conifer Pinus ponderosa. PNAS. </w:t>
      </w:r>
      <w:hyperlink r:id="rId103" w:history="1">
        <w:r w:rsidRPr="00280AA2">
          <w:rPr>
            <w:rStyle w:val="Hyperlink"/>
            <w:rFonts w:ascii="Georgia" w:hAnsi="Georgia"/>
            <w:sz w:val="22"/>
            <w:szCs w:val="22"/>
          </w:rPr>
          <w:t>www.pnas.org/cgi/doi/10.1073/pnas.1700032114</w:t>
        </w:r>
      </w:hyperlink>
      <w:r w:rsidRPr="00280AA2">
        <w:rPr>
          <w:rFonts w:ascii="Georgia" w:hAnsi="Georgia"/>
          <w:sz w:val="22"/>
          <w:szCs w:val="22"/>
        </w:rPr>
        <w:t>.</w:t>
      </w:r>
    </w:p>
    <w:p w:rsidR="00660B47" w:rsidRDefault="00660B47" w:rsidP="00660B47">
      <w:pPr>
        <w:pStyle w:val="NormalWeb"/>
      </w:pPr>
    </w:p>
    <w:p w:rsidR="00660B47" w:rsidRDefault="00660B47" w:rsidP="00660B47">
      <w:pPr>
        <w:rPr>
          <w:szCs w:val="24"/>
        </w:rPr>
      </w:pPr>
      <w:r>
        <w:rPr>
          <w:szCs w:val="24"/>
        </w:rPr>
        <w:t>In order to conserve forest values that have been severely degraded over many decades of forest mismanagement on the eastside, the Forest Service must protect all available large AND old trees, especially those that are naturally fire tolerant such as Ponderosa pine, larch, sugar pine, white pine, lodgepole pine, and Douglas fir. Large trees also contribute to the canopy that helps retain moisture and shade and thereby reduces fuel desiccation and fire danger. Large trees also perform hydraulic lift whereby deep roots of large trees bring water up from deep soil horizons and during the night and make it available to plant communities with shallower root systems.</w:t>
      </w:r>
    </w:p>
    <w:p w:rsidR="00660B47" w:rsidRDefault="00660B47" w:rsidP="00660B47">
      <w:pPr>
        <w:rPr>
          <w:szCs w:val="24"/>
        </w:rPr>
      </w:pPr>
    </w:p>
    <w:p w:rsidR="00660B47" w:rsidRDefault="00660B47" w:rsidP="00660B47">
      <w:pPr>
        <w:rPr>
          <w:szCs w:val="24"/>
        </w:rPr>
      </w:pPr>
      <w:r>
        <w:rPr>
          <w:szCs w:val="24"/>
        </w:rPr>
        <w:t>Old growth is defined by ICBEMP as:</w:t>
      </w:r>
    </w:p>
    <w:p w:rsidR="00660B47" w:rsidRDefault="00660B47" w:rsidP="00660B47">
      <w:pPr>
        <w:numPr>
          <w:ilvl w:val="0"/>
          <w:numId w:val="16"/>
        </w:numPr>
        <w:suppressAutoHyphens/>
        <w:spacing w:line="240" w:lineRule="auto"/>
        <w:rPr>
          <w:szCs w:val="24"/>
        </w:rPr>
      </w:pPr>
      <w:r>
        <w:rPr>
          <w:szCs w:val="24"/>
        </w:rPr>
        <w:t>Large trees for species and site.</w:t>
      </w:r>
    </w:p>
    <w:p w:rsidR="00660B47" w:rsidRDefault="00660B47" w:rsidP="00660B47">
      <w:pPr>
        <w:numPr>
          <w:ilvl w:val="0"/>
          <w:numId w:val="16"/>
        </w:numPr>
        <w:suppressAutoHyphens/>
        <w:spacing w:line="240" w:lineRule="auto"/>
        <w:rPr>
          <w:szCs w:val="24"/>
        </w:rPr>
      </w:pPr>
      <w:r>
        <w:rPr>
          <w:szCs w:val="24"/>
        </w:rPr>
        <w:t>Wide variation in tree sizes and spacing.</w:t>
      </w:r>
    </w:p>
    <w:p w:rsidR="00660B47" w:rsidRDefault="00660B47" w:rsidP="00660B47">
      <w:pPr>
        <w:numPr>
          <w:ilvl w:val="0"/>
          <w:numId w:val="16"/>
        </w:numPr>
        <w:suppressAutoHyphens/>
        <w:spacing w:line="240" w:lineRule="auto"/>
        <w:rPr>
          <w:szCs w:val="24"/>
        </w:rPr>
      </w:pPr>
      <w:r>
        <w:rPr>
          <w:szCs w:val="24"/>
        </w:rPr>
        <w:t>Accumulations of large-size dead standing and fallen trees that are high relative to earlier stages.</w:t>
      </w:r>
    </w:p>
    <w:p w:rsidR="00660B47" w:rsidRDefault="00660B47" w:rsidP="00660B47">
      <w:pPr>
        <w:numPr>
          <w:ilvl w:val="0"/>
          <w:numId w:val="16"/>
        </w:numPr>
        <w:suppressAutoHyphens/>
        <w:spacing w:line="240" w:lineRule="auto"/>
        <w:rPr>
          <w:szCs w:val="24"/>
        </w:rPr>
      </w:pPr>
      <w:r>
        <w:rPr>
          <w:szCs w:val="24"/>
        </w:rPr>
        <w:t>Decadence in the form of broken or deformed tops or bole and root decay.</w:t>
      </w:r>
    </w:p>
    <w:p w:rsidR="00660B47" w:rsidRDefault="00660B47" w:rsidP="00660B47">
      <w:pPr>
        <w:numPr>
          <w:ilvl w:val="0"/>
          <w:numId w:val="16"/>
        </w:numPr>
        <w:suppressAutoHyphens/>
        <w:spacing w:line="240" w:lineRule="auto"/>
        <w:rPr>
          <w:szCs w:val="24"/>
        </w:rPr>
      </w:pPr>
      <w:r>
        <w:rPr>
          <w:szCs w:val="24"/>
        </w:rPr>
        <w:t>Multiple canopy layers.</w:t>
      </w:r>
    </w:p>
    <w:p w:rsidR="00660B47" w:rsidRDefault="00660B47" w:rsidP="00660B47">
      <w:pPr>
        <w:numPr>
          <w:ilvl w:val="0"/>
          <w:numId w:val="16"/>
        </w:numPr>
        <w:suppressAutoHyphens/>
        <w:spacing w:line="240" w:lineRule="auto"/>
      </w:pPr>
      <w:r>
        <w:rPr>
          <w:szCs w:val="24"/>
        </w:rPr>
        <w:t>Canopy gaps and understory patchiness.</w:t>
      </w:r>
    </w:p>
    <w:p w:rsidR="00660B47" w:rsidRDefault="00660B47" w:rsidP="00660B47">
      <w:r>
        <w:t xml:space="preserve">USDA/USDI. ICBEMP SDEIS. Appendix 17a – Definitions of Old Forest. </w:t>
      </w:r>
      <w:hyperlink r:id="rId104" w:history="1">
        <w:r w:rsidRPr="00C6188E">
          <w:rPr>
            <w:rStyle w:val="Hyperlink"/>
          </w:rPr>
          <w:t>https://web.archive.org/web/20161221104651/http://www.icbemp.gov/pdfs/sdeis/volume2/appendix17a.pdf</w:t>
        </w:r>
      </w:hyperlink>
      <w:r>
        <w:t>.</w:t>
      </w:r>
      <w:r w:rsidR="00AB5647">
        <w:t xml:space="preserve"> The Assessment should be inclusive in describing the character of old growth. It should not be predominantly “park-like” stands devoid of snags and understory. It should be much more complex.</w:t>
      </w:r>
    </w:p>
    <w:p w:rsidR="00660B47" w:rsidRDefault="00660B47" w:rsidP="00660B47">
      <w:r>
        <w:t xml:space="preserve"> </w:t>
      </w:r>
    </w:p>
    <w:p w:rsidR="00660B47" w:rsidRDefault="00660B47" w:rsidP="00660B47">
      <w:r>
        <w:t>Instead of striving for park-like single strata forests, the agency should consider working toward complex forests. Such an approach would retain all existing large and old trees, retain untreated patches at many scales, manipulate basal area as guided by PAGs, and generally tolerate more diversity in the stand. Norm Johnson and Jerry Franklin worked on a restoration plan for the Klamath Tribes former reservation wh</w:t>
      </w:r>
      <w:r w:rsidR="00AB5647">
        <w:t>ich defined “complex forests” —</w:t>
      </w:r>
    </w:p>
    <w:p w:rsidR="00660B47" w:rsidRDefault="00660B47" w:rsidP="00660B47">
      <w:pPr>
        <w:ind w:left="720"/>
      </w:pPr>
      <w:r>
        <w:t xml:space="preserve">The Interforest Report defines structurally complex forests as follows: “These are forests which retain much of the pre-management forest structure, including: 1) a large-diameter tree component (including ponderosa pine when appropriate to the site); 2) a spatially-complex pattern of stand structural units (e.g., large tree groves and open areas of dense regeneration); 3) coarse wood habitats (snags and logs); 4) a well-developed understory communities of herbs and shrubs; and 5) moderate tree stocking levels (Interforest Report 2000, p. 21).” The goal of restoration of healthy, diverse, structurally </w:t>
      </w:r>
      <w:r>
        <w:lastRenderedPageBreak/>
        <w:t>complex forest ecosystems” calls for the return of ponderosa pine and mixed-conifer forests of the Reservation to this structurally complex condition across the landscape.</w:t>
      </w:r>
    </w:p>
    <w:p w:rsidR="00660B47" w:rsidRDefault="00660B47" w:rsidP="00660B47">
      <w:pPr>
        <w:ind w:left="720"/>
      </w:pPr>
    </w:p>
    <w:p w:rsidR="00660B47" w:rsidRDefault="00660B47" w:rsidP="00660B47">
      <w:pPr>
        <w:ind w:left="720"/>
      </w:pPr>
      <w:r>
        <w:t>A complex ponderosa pine forest is illustrated in Figure 1 (from the Interforest Report). Individual patches can be relatively simple, i.e., all trees of similar size, but the mosaic of different sizes and ages creates the complexity. Thus, the structural complexity is achieved through a fine-scale mosaic of relatively simple patches along with scattered large trees, snags, and down logs.</w:t>
      </w:r>
    </w:p>
    <w:p w:rsidR="00660B47" w:rsidRDefault="00660B47" w:rsidP="00660B47"/>
    <w:p w:rsidR="00660B47" w:rsidRDefault="00660B47" w:rsidP="00660B47">
      <w:pPr>
        <w:jc w:val="center"/>
      </w:pPr>
      <w:r>
        <w:rPr>
          <w:noProof/>
          <w:lang w:val="en-US"/>
        </w:rPr>
        <w:drawing>
          <wp:inline distT="0" distB="0" distL="0" distR="0">
            <wp:extent cx="4483100" cy="13716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4483100" cy="1371600"/>
                    </a:xfrm>
                    <a:prstGeom prst="rect">
                      <a:avLst/>
                    </a:prstGeom>
                    <a:solidFill>
                      <a:srgbClr val="FFFFFF"/>
                    </a:solidFill>
                    <a:ln>
                      <a:noFill/>
                    </a:ln>
                  </pic:spPr>
                </pic:pic>
              </a:graphicData>
            </a:graphic>
          </wp:inline>
        </w:drawing>
      </w:r>
    </w:p>
    <w:p w:rsidR="00660B47" w:rsidRDefault="00660B47" w:rsidP="00660B47"/>
    <w:p w:rsidR="00660B47" w:rsidRDefault="00660B47" w:rsidP="00660B47">
      <w:pPr>
        <w:ind w:left="720"/>
      </w:pPr>
      <w:r>
        <w:rPr>
          <w:sz w:val="20"/>
        </w:rPr>
        <w:t xml:space="preserve">Figure 1. Canopy profile (150m x 20m) that shows the structural cross-section of a ponderosa pine forest at Bluejay Springs, Klamath Reservation Forest. Source: Interforest Report (2000). </w:t>
      </w:r>
      <w:hyperlink r:id="rId106" w:history="1">
        <w:r>
          <w:rPr>
            <w:rStyle w:val="Hyperlink"/>
            <w:sz w:val="20"/>
          </w:rPr>
          <w:t>http://web.archive.org/web/20040202102340/http://klamathtribes.org/forestplan.htm</w:t>
        </w:r>
      </w:hyperlink>
      <w:r>
        <w:rPr>
          <w:sz w:val="20"/>
        </w:rPr>
        <w:t xml:space="preserve"> [See page 49 of the report for pictures of a “superlative” ponderosa pine stand that needs only maintenance, not restoration.]</w:t>
      </w:r>
    </w:p>
    <w:p w:rsidR="00BA3D1A" w:rsidRDefault="00BA3D1A" w:rsidP="00145E60">
      <w:pPr>
        <w:pStyle w:val="Heading2"/>
      </w:pPr>
      <w:bookmarkStart w:id="7" w:name="_Toc167784200"/>
      <w:r>
        <w:t>Timber</w:t>
      </w:r>
      <w:r w:rsidR="006D1A3A">
        <w:t xml:space="preserve"> </w:t>
      </w:r>
      <w:r w:rsidR="00145E60">
        <w:t>(</w:t>
      </w:r>
      <w:r w:rsidR="006D1A3A">
        <w:t xml:space="preserve">and </w:t>
      </w:r>
      <w:r w:rsidR="00145E60">
        <w:t xml:space="preserve">the Required </w:t>
      </w:r>
      <w:r w:rsidR="006D1A3A">
        <w:t>Roads</w:t>
      </w:r>
      <w:r w:rsidR="00145E60">
        <w:t>)</w:t>
      </w:r>
      <w:bookmarkEnd w:id="7"/>
    </w:p>
    <w:p w:rsidR="00BA3D1A" w:rsidRDefault="00BA3D1A" w:rsidP="00BA3D1A">
      <w:r>
        <w:t>Timber should be a by-product of ecological integrity. Logging for the purpose of creating timber is not sustainable given the cumulative effects of past management</w:t>
      </w:r>
      <w:r w:rsidR="009E4333">
        <w:t>, private land management,</w:t>
      </w:r>
      <w:r>
        <w:t xml:space="preserve"> and the demands of the climate crisis</w:t>
      </w:r>
      <w:r w:rsidR="009E4333">
        <w:t xml:space="preserve"> (in terms of both carbon storage and resilience to change)</w:t>
      </w:r>
      <w:r>
        <w:t>.</w:t>
      </w:r>
    </w:p>
    <w:p w:rsidR="006D1A3A" w:rsidRDefault="006D1A3A" w:rsidP="00BA3D1A"/>
    <w:p w:rsidR="006D1A3A" w:rsidRDefault="006D1A3A" w:rsidP="006D1A3A">
      <w:r>
        <w:t>The Assessment of timber should also address the effects of roads which are often required for no other reason than to access timber, and roads have serious adverse effects. Problems with roads/culverts include:</w:t>
      </w:r>
    </w:p>
    <w:p w:rsidR="006D1A3A" w:rsidRDefault="006D1A3A" w:rsidP="006D1A3A">
      <w:pPr>
        <w:numPr>
          <w:ilvl w:val="0"/>
          <w:numId w:val="14"/>
        </w:numPr>
        <w:suppressAutoHyphens/>
        <w:spacing w:line="240" w:lineRule="auto"/>
      </w:pPr>
      <w:r>
        <w:t>Soil disturbance, erosion, compaction, loss of forest productivity</w:t>
      </w:r>
    </w:p>
    <w:p w:rsidR="006D1A3A" w:rsidRDefault="006D1A3A" w:rsidP="006D1A3A">
      <w:pPr>
        <w:numPr>
          <w:ilvl w:val="0"/>
          <w:numId w:val="14"/>
        </w:numPr>
        <w:suppressAutoHyphens/>
        <w:spacing w:line="240" w:lineRule="auto"/>
      </w:pPr>
      <w:r>
        <w:t>Pollution: sedimentation, thermal loading</w:t>
      </w:r>
    </w:p>
    <w:p w:rsidR="006D1A3A" w:rsidRDefault="006D1A3A" w:rsidP="006D1A3A">
      <w:pPr>
        <w:numPr>
          <w:ilvl w:val="0"/>
          <w:numId w:val="14"/>
        </w:numPr>
        <w:suppressAutoHyphens/>
        <w:spacing w:line="240" w:lineRule="auto"/>
      </w:pPr>
      <w:r>
        <w:t>Hydrologic modification: flow interception, accelerated run-off, peak flows</w:t>
      </w:r>
    </w:p>
    <w:p w:rsidR="006D1A3A" w:rsidRDefault="006D1A3A" w:rsidP="006D1A3A">
      <w:pPr>
        <w:numPr>
          <w:ilvl w:val="0"/>
          <w:numId w:val="14"/>
        </w:numPr>
        <w:suppressAutoHyphens/>
        <w:spacing w:line="240" w:lineRule="auto"/>
      </w:pPr>
      <w:r>
        <w:t>Impaired floodplain function</w:t>
      </w:r>
    </w:p>
    <w:p w:rsidR="006D1A3A" w:rsidRDefault="006D1A3A" w:rsidP="006D1A3A">
      <w:pPr>
        <w:numPr>
          <w:ilvl w:val="0"/>
          <w:numId w:val="14"/>
        </w:numPr>
        <w:suppressAutoHyphens/>
        <w:spacing w:line="240" w:lineRule="auto"/>
      </w:pPr>
      <w:r>
        <w:t>Barrier to movement of wood and spawning gravel</w:t>
      </w:r>
    </w:p>
    <w:p w:rsidR="006D1A3A" w:rsidRDefault="006D1A3A" w:rsidP="006D1A3A">
      <w:pPr>
        <w:numPr>
          <w:ilvl w:val="0"/>
          <w:numId w:val="14"/>
        </w:numPr>
        <w:suppressAutoHyphens/>
        <w:spacing w:line="240" w:lineRule="auto"/>
      </w:pPr>
      <w:r>
        <w:t>Habitat removal</w:t>
      </w:r>
    </w:p>
    <w:p w:rsidR="006D1A3A" w:rsidRDefault="006D1A3A" w:rsidP="006D1A3A">
      <w:pPr>
        <w:numPr>
          <w:ilvl w:val="0"/>
          <w:numId w:val="14"/>
        </w:numPr>
        <w:suppressAutoHyphens/>
        <w:spacing w:line="240" w:lineRule="auto"/>
      </w:pPr>
      <w:r>
        <w:t>Reduced recruitment of snags and down wood habitat</w:t>
      </w:r>
    </w:p>
    <w:p w:rsidR="006D1A3A" w:rsidRDefault="006D1A3A" w:rsidP="006D1A3A">
      <w:pPr>
        <w:numPr>
          <w:ilvl w:val="0"/>
          <w:numId w:val="14"/>
        </w:numPr>
        <w:suppressAutoHyphens/>
        <w:spacing w:line="240" w:lineRule="auto"/>
      </w:pPr>
      <w:r>
        <w:t>Fragmentation: wildlife dispersal barrier</w:t>
      </w:r>
    </w:p>
    <w:p w:rsidR="006D1A3A" w:rsidRDefault="006D1A3A" w:rsidP="006D1A3A">
      <w:pPr>
        <w:numPr>
          <w:ilvl w:val="0"/>
          <w:numId w:val="14"/>
        </w:numPr>
        <w:suppressAutoHyphens/>
        <w:spacing w:line="240" w:lineRule="auto"/>
      </w:pPr>
      <w:r>
        <w:t>Human disturbance, weed vector, hunting pressure, loss of snags, litter, marbled murrelet nest predation, human fire ignition, etc.</w:t>
      </w:r>
    </w:p>
    <w:p w:rsidR="006D1A3A" w:rsidRDefault="006D1A3A" w:rsidP="006D1A3A">
      <w:pPr>
        <w:numPr>
          <w:ilvl w:val="0"/>
          <w:numId w:val="14"/>
        </w:numPr>
        <w:suppressAutoHyphens/>
        <w:spacing w:line="240" w:lineRule="auto"/>
      </w:pPr>
      <w:r>
        <w:t>Reduced carbon storage in adjacent and nearby forests</w:t>
      </w:r>
    </w:p>
    <w:p w:rsidR="00170C8F" w:rsidRDefault="00170C8F" w:rsidP="00145E60"/>
    <w:p w:rsidR="006D1A3A" w:rsidRDefault="006D1A3A" w:rsidP="00145E60">
      <w:r>
        <w:t>Science tells us that</w:t>
      </w:r>
    </w:p>
    <w:p w:rsidR="006D1A3A" w:rsidRDefault="006D1A3A" w:rsidP="006D1A3A">
      <w:pPr>
        <w:ind w:left="720"/>
        <w:rPr>
          <w:szCs w:val="24"/>
        </w:rPr>
      </w:pPr>
      <w:r>
        <w:rPr>
          <w:szCs w:val="24"/>
        </w:rPr>
        <w:lastRenderedPageBreak/>
        <w:t xml:space="preserve">… </w:t>
      </w:r>
      <w:r w:rsidRPr="00EC0C4B">
        <w:rPr>
          <w:szCs w:val="24"/>
        </w:rPr>
        <w:t xml:space="preserve">no truly “safe” threshold road density exists, but rather negative impacts begin to accrue and be expressed with incursion of the very first road segment; and 2) highly significant impacts (e.g., threat of extirpation of sensitive species) are already apparent at road densities on the order of 0.6 km/km2 (1.0 mi/mi²) or less.  </w:t>
      </w:r>
    </w:p>
    <w:p w:rsidR="006D1A3A" w:rsidRDefault="006D1A3A" w:rsidP="00145E60">
      <w:pPr>
        <w:rPr>
          <w:szCs w:val="24"/>
        </w:rPr>
      </w:pPr>
      <w:r w:rsidRPr="00EC0C4B">
        <w:rPr>
          <w:szCs w:val="24"/>
        </w:rPr>
        <w:t>Carnefix, G. and C.A. Frissell. “Aquatic and Other Environmental Impacts of Roads: The Case for Road Density as Indicator of Human Disturbance and Road-Density Reduction as Restoration Target; A Concise Review.” Pacific Rivers Council Science Publication (2009) 09-001. Pacific Rivers Council, Portland, OR and Polson, MT</w:t>
      </w:r>
      <w:r>
        <w:rPr>
          <w:szCs w:val="24"/>
        </w:rPr>
        <w:t xml:space="preserve">. </w:t>
      </w:r>
      <w:hyperlink r:id="rId107" w:history="1">
        <w:r w:rsidRPr="005948BC">
          <w:rPr>
            <w:rStyle w:val="Hyperlink"/>
            <w:szCs w:val="24"/>
          </w:rPr>
          <w:t>http://pacificrivers.org/science-research/resources-publications/road-density-as-indicator</w:t>
        </w:r>
      </w:hyperlink>
      <w:r>
        <w:rPr>
          <w:szCs w:val="24"/>
        </w:rPr>
        <w:t xml:space="preserve"> </w:t>
      </w:r>
    </w:p>
    <w:p w:rsidR="006D1A3A" w:rsidRDefault="006D1A3A" w:rsidP="00BA3D1A"/>
    <w:p w:rsidR="006D1A3A" w:rsidRDefault="006D1A3A" w:rsidP="006D1A3A">
      <w:pPr>
        <w:rPr>
          <w:szCs w:val="24"/>
        </w:rPr>
      </w:pPr>
      <w:r>
        <w:rPr>
          <w:szCs w:val="24"/>
        </w:rPr>
        <w:t xml:space="preserve">Especially in light of climate change and its interactions with the transportation system, the </w:t>
      </w:r>
      <w:r w:rsidR="007C0A49">
        <w:rPr>
          <w:szCs w:val="24"/>
        </w:rPr>
        <w:t xml:space="preserve">assessment </w:t>
      </w:r>
      <w:r>
        <w:rPr>
          <w:szCs w:val="24"/>
        </w:rPr>
        <w:t>should review and consider the information and recommendations made in the scientific literature.</w:t>
      </w:r>
    </w:p>
    <w:p w:rsidR="006D1A3A" w:rsidRPr="004E7510" w:rsidRDefault="006D1A3A" w:rsidP="006D1A3A">
      <w:pPr>
        <w:ind w:left="720"/>
        <w:rPr>
          <w:szCs w:val="24"/>
        </w:rPr>
      </w:pPr>
      <w:r w:rsidRPr="004E7510">
        <w:rPr>
          <w:szCs w:val="24"/>
        </w:rPr>
        <w:t>The following literature review summarizes the most recent thinking related to the</w:t>
      </w:r>
    </w:p>
    <w:p w:rsidR="006D1A3A" w:rsidRPr="004E7510" w:rsidRDefault="006D1A3A" w:rsidP="006D1A3A">
      <w:pPr>
        <w:ind w:left="720"/>
        <w:rPr>
          <w:szCs w:val="24"/>
        </w:rPr>
      </w:pPr>
      <w:r w:rsidRPr="004E7510">
        <w:rPr>
          <w:szCs w:val="24"/>
        </w:rPr>
        <w:t>environmental impacts of forest roads and motorized routes and ways to address them. The</w:t>
      </w:r>
      <w:r>
        <w:rPr>
          <w:szCs w:val="24"/>
        </w:rPr>
        <w:t xml:space="preserve"> </w:t>
      </w:r>
      <w:r w:rsidRPr="004E7510">
        <w:rPr>
          <w:szCs w:val="24"/>
        </w:rPr>
        <w:t>literature review is divided into three sections that address the environmental effects of</w:t>
      </w:r>
      <w:r>
        <w:rPr>
          <w:szCs w:val="24"/>
        </w:rPr>
        <w:t xml:space="preserve"> </w:t>
      </w:r>
      <w:r w:rsidRPr="004E7510">
        <w:rPr>
          <w:szCs w:val="24"/>
        </w:rPr>
        <w:t>transportation infrastructure on forests, climate change and infrastructure, and creating</w:t>
      </w:r>
      <w:r>
        <w:rPr>
          <w:szCs w:val="24"/>
        </w:rPr>
        <w:t xml:space="preserve"> </w:t>
      </w:r>
      <w:r w:rsidRPr="004E7510">
        <w:rPr>
          <w:szCs w:val="24"/>
        </w:rPr>
        <w:t>sustainable forest transportation systems.</w:t>
      </w:r>
    </w:p>
    <w:p w:rsidR="006D1A3A" w:rsidRPr="004E7510" w:rsidRDefault="006D1A3A" w:rsidP="00170C8F">
      <w:pPr>
        <w:ind w:left="1260"/>
        <w:rPr>
          <w:szCs w:val="24"/>
        </w:rPr>
      </w:pPr>
      <w:r w:rsidRPr="004E7510">
        <w:rPr>
          <w:szCs w:val="24"/>
        </w:rPr>
        <w:t>I. Impacts of Transportation Infrastructure and Access to the Ecological Integrity of</w:t>
      </w:r>
      <w:r>
        <w:rPr>
          <w:szCs w:val="24"/>
        </w:rPr>
        <w:t xml:space="preserve"> </w:t>
      </w:r>
      <w:r w:rsidRPr="004E7510">
        <w:rPr>
          <w:szCs w:val="24"/>
        </w:rPr>
        <w:t>Terrestrial and Aquatic Ecosystems and Watersheds</w:t>
      </w:r>
    </w:p>
    <w:p w:rsidR="006D1A3A" w:rsidRPr="004E7510" w:rsidRDefault="006D1A3A" w:rsidP="00170C8F">
      <w:pPr>
        <w:ind w:left="1260"/>
        <w:rPr>
          <w:szCs w:val="24"/>
        </w:rPr>
      </w:pPr>
      <w:r w:rsidRPr="004E7510">
        <w:rPr>
          <w:szCs w:val="24"/>
        </w:rPr>
        <w:t>II. Climate Change and Transportation Infrastructure Including the Value of Roadless Areas</w:t>
      </w:r>
      <w:r>
        <w:rPr>
          <w:szCs w:val="24"/>
        </w:rPr>
        <w:t xml:space="preserve"> </w:t>
      </w:r>
      <w:r w:rsidRPr="004E7510">
        <w:rPr>
          <w:szCs w:val="24"/>
        </w:rPr>
        <w:t>for Climate Change Adaptation</w:t>
      </w:r>
    </w:p>
    <w:p w:rsidR="006D1A3A" w:rsidRDefault="006D1A3A" w:rsidP="00170C8F">
      <w:pPr>
        <w:ind w:left="1260"/>
        <w:rPr>
          <w:szCs w:val="24"/>
        </w:rPr>
      </w:pPr>
      <w:r w:rsidRPr="004E7510">
        <w:rPr>
          <w:szCs w:val="24"/>
        </w:rPr>
        <w:t>III. Sustainable Transportation Management in National Forests as Part of Ecological</w:t>
      </w:r>
      <w:r>
        <w:rPr>
          <w:szCs w:val="24"/>
        </w:rPr>
        <w:t xml:space="preserve"> </w:t>
      </w:r>
      <w:r w:rsidRPr="004E7510">
        <w:rPr>
          <w:szCs w:val="24"/>
        </w:rPr>
        <w:t>Restoration</w:t>
      </w:r>
    </w:p>
    <w:p w:rsidR="006D1A3A" w:rsidRDefault="006D1A3A" w:rsidP="006D1A3A">
      <w:pPr>
        <w:ind w:left="720"/>
        <w:rPr>
          <w:szCs w:val="24"/>
        </w:rPr>
      </w:pPr>
      <w:r>
        <w:rPr>
          <w:szCs w:val="24"/>
        </w:rPr>
        <w:t>...</w:t>
      </w:r>
    </w:p>
    <w:p w:rsidR="006D1A3A" w:rsidRDefault="006D1A3A" w:rsidP="006D1A3A">
      <w:pPr>
        <w:ind w:left="720"/>
        <w:rPr>
          <w:szCs w:val="24"/>
        </w:rPr>
      </w:pPr>
      <w:r w:rsidRPr="004B1E79">
        <w:rPr>
          <w:szCs w:val="24"/>
        </w:rPr>
        <w:t>As climate change impacts grow more profound, forest managers must consider the impacts on</w:t>
      </w:r>
      <w:r>
        <w:rPr>
          <w:szCs w:val="24"/>
        </w:rPr>
        <w:t xml:space="preserve"> </w:t>
      </w:r>
      <w:r w:rsidRPr="004B1E79">
        <w:rPr>
          <w:szCs w:val="24"/>
        </w:rPr>
        <w:t>the transportation system as well as from the transportation system. In terms of the former,</w:t>
      </w:r>
      <w:r>
        <w:rPr>
          <w:szCs w:val="24"/>
        </w:rPr>
        <w:t xml:space="preserve"> </w:t>
      </w:r>
      <w:r w:rsidRPr="004B1E79">
        <w:rPr>
          <w:szCs w:val="24"/>
        </w:rPr>
        <w:t>changes in precipitation and hydrologic patterns will strain infrastructure at times to the</w:t>
      </w:r>
      <w:r>
        <w:rPr>
          <w:szCs w:val="24"/>
        </w:rPr>
        <w:t xml:space="preserve"> </w:t>
      </w:r>
      <w:r w:rsidRPr="004B1E79">
        <w:rPr>
          <w:szCs w:val="24"/>
        </w:rPr>
        <w:t>breaking point resulting in damage to streams, fish habitat, and water quality as well as threats</w:t>
      </w:r>
      <w:r>
        <w:rPr>
          <w:szCs w:val="24"/>
        </w:rPr>
        <w:t xml:space="preserve"> </w:t>
      </w:r>
      <w:r w:rsidRPr="004B1E79">
        <w:rPr>
          <w:szCs w:val="24"/>
        </w:rPr>
        <w:t>to public safety. In terms of the latter, the fragmenting effect of roads on habitat will impede</w:t>
      </w:r>
      <w:r>
        <w:rPr>
          <w:szCs w:val="24"/>
        </w:rPr>
        <w:t xml:space="preserve"> </w:t>
      </w:r>
      <w:r w:rsidRPr="004B1E79">
        <w:rPr>
          <w:szCs w:val="24"/>
        </w:rPr>
        <w:t>the movement of species which is a fund</w:t>
      </w:r>
      <w:r>
        <w:rPr>
          <w:szCs w:val="24"/>
        </w:rPr>
        <w:t xml:space="preserve">amental element of adaptation. </w:t>
      </w:r>
    </w:p>
    <w:p w:rsidR="006D1A3A" w:rsidRDefault="006D1A3A" w:rsidP="006D1A3A">
      <w:pPr>
        <w:ind w:left="720"/>
        <w:rPr>
          <w:szCs w:val="24"/>
        </w:rPr>
      </w:pPr>
      <w:r>
        <w:rPr>
          <w:szCs w:val="24"/>
        </w:rPr>
        <w:t>...</w:t>
      </w:r>
    </w:p>
    <w:p w:rsidR="006D1A3A" w:rsidRPr="002E2CE8" w:rsidRDefault="006D1A3A" w:rsidP="006D1A3A">
      <w:pPr>
        <w:ind w:left="720"/>
        <w:rPr>
          <w:b/>
          <w:szCs w:val="24"/>
        </w:rPr>
      </w:pPr>
      <w:r w:rsidRPr="002E2CE8">
        <w:rPr>
          <w:b/>
          <w:szCs w:val="24"/>
        </w:rPr>
        <w:t>Transportation infrastructure and carbon sequestration</w:t>
      </w:r>
    </w:p>
    <w:p w:rsidR="006D1A3A" w:rsidRDefault="006D1A3A" w:rsidP="006D1A3A">
      <w:pPr>
        <w:ind w:left="720"/>
        <w:rPr>
          <w:szCs w:val="24"/>
        </w:rPr>
      </w:pPr>
      <w:r w:rsidRPr="002E2CE8">
        <w:rPr>
          <w:szCs w:val="24"/>
        </w:rPr>
        <w:t>The topic of the relationship of road restoration and carbon has only recently been explored.</w:t>
      </w:r>
      <w:r>
        <w:rPr>
          <w:szCs w:val="24"/>
        </w:rPr>
        <w:t xml:space="preserve"> </w:t>
      </w:r>
      <w:r w:rsidRPr="002E2CE8">
        <w:rPr>
          <w:szCs w:val="24"/>
        </w:rPr>
        <w:t>There is the potential for large amounts of carbon (C) to be sequestered by reclaiming roads. When roads are decompacted during reclamation, vegetation and soils can develop more</w:t>
      </w:r>
      <w:r>
        <w:rPr>
          <w:szCs w:val="24"/>
        </w:rPr>
        <w:t xml:space="preserve"> </w:t>
      </w:r>
      <w:r w:rsidRPr="002E2CE8">
        <w:rPr>
          <w:szCs w:val="24"/>
        </w:rPr>
        <w:t>rapidly and sequester large amounts of carbon. A recent study estimated total soil C storage</w:t>
      </w:r>
      <w:r>
        <w:rPr>
          <w:szCs w:val="24"/>
        </w:rPr>
        <w:t xml:space="preserve"> </w:t>
      </w:r>
      <w:r w:rsidRPr="002E2CE8">
        <w:rPr>
          <w:szCs w:val="24"/>
        </w:rPr>
        <w:t>increased 6 fold to 6.5 x 107g C/km (to 25 cm depth) in the northwestern US compared to</w:t>
      </w:r>
      <w:r>
        <w:rPr>
          <w:szCs w:val="24"/>
        </w:rPr>
        <w:t xml:space="preserve"> </w:t>
      </w:r>
      <w:r w:rsidRPr="002E2CE8">
        <w:rPr>
          <w:szCs w:val="24"/>
        </w:rPr>
        <w:t>untreated abandoned roads (Lloyd et al. 2013). Another recent study concluded that reclaiming</w:t>
      </w:r>
      <w:r>
        <w:rPr>
          <w:szCs w:val="24"/>
        </w:rPr>
        <w:t xml:space="preserve"> </w:t>
      </w:r>
      <w:r w:rsidRPr="002E2CE8">
        <w:rPr>
          <w:szCs w:val="24"/>
        </w:rPr>
        <w:t>425 km of logging roads over the last 30 years in Redwood National Park in Northern California</w:t>
      </w:r>
      <w:r>
        <w:rPr>
          <w:szCs w:val="24"/>
        </w:rPr>
        <w:t xml:space="preserve"> </w:t>
      </w:r>
      <w:r w:rsidRPr="002E2CE8">
        <w:rPr>
          <w:szCs w:val="24"/>
        </w:rPr>
        <w:t>resulted in net carbon savings of 49,000 Mg carbon to date (Madej et al. 2013, Table 5).</w:t>
      </w:r>
    </w:p>
    <w:p w:rsidR="00145E60" w:rsidRDefault="006D1A3A" w:rsidP="006D1A3A">
      <w:r>
        <w:rPr>
          <w:szCs w:val="24"/>
        </w:rPr>
        <w:t xml:space="preserve">The Wilderness Society. 2014. </w:t>
      </w:r>
      <w:r w:rsidRPr="004E7510">
        <w:rPr>
          <w:szCs w:val="24"/>
        </w:rPr>
        <w:t>Transportation Infrastructure and Access on National Forests and Grasslands</w:t>
      </w:r>
      <w:r>
        <w:rPr>
          <w:szCs w:val="24"/>
        </w:rPr>
        <w:t xml:space="preserve"> - A Literature Review. </w:t>
      </w:r>
      <w:r w:rsidRPr="004E7510">
        <w:rPr>
          <w:szCs w:val="24"/>
        </w:rPr>
        <w:t>May 2014</w:t>
      </w:r>
      <w:r>
        <w:rPr>
          <w:szCs w:val="24"/>
        </w:rPr>
        <w:t xml:space="preserve">. </w:t>
      </w:r>
      <w:hyperlink r:id="rId108" w:history="1">
        <w:r>
          <w:rPr>
            <w:rStyle w:val="Hyperlink"/>
          </w:rPr>
          <w:t>https://www.fs.usda.gov/nfs/11558/www/nepa/96158_FSPLT3_3989888.pdf</w:t>
        </w:r>
      </w:hyperlink>
      <w:r>
        <w:t xml:space="preserve">, </w:t>
      </w:r>
      <w:hyperlink r:id="rId109" w:history="1">
        <w:r>
          <w:rPr>
            <w:rStyle w:val="Hyperlink"/>
          </w:rPr>
          <w:t>https://www.sierraforestlegacy.org/Resources/Conservation/ProjectsPlans/ForestPlanRevisions/SFL%20et%20al.%20FPR%20comments%20part%205%20of%205.pdf</w:t>
        </w:r>
      </w:hyperlink>
      <w:r>
        <w:t xml:space="preserve">. </w:t>
      </w:r>
    </w:p>
    <w:p w:rsidR="00145E60" w:rsidRDefault="00145E60" w:rsidP="006D1A3A"/>
    <w:p w:rsidR="006D1A3A" w:rsidRDefault="006D1A3A" w:rsidP="006D1A3A">
      <w:pPr>
        <w:rPr>
          <w:szCs w:val="24"/>
        </w:rPr>
      </w:pPr>
      <w:r>
        <w:t xml:space="preserve">Road networks are also associated with reduced carbon storage in adjacent and nearby forests. </w:t>
      </w:r>
      <w:r w:rsidRPr="000F5122">
        <w:t>Hu, X., Zhang, L., Ye, L., Lin, Y. &amp; Qiu, R. Locating spatial variation in the association between road network and forest biomass carbon accumulation. Ecol. Indic. 73, 214–223 (2017).</w:t>
      </w:r>
      <w:r>
        <w:t xml:space="preserve"> </w:t>
      </w:r>
      <w:hyperlink r:id="rId110" w:history="1">
        <w:r w:rsidRPr="005B5455">
          <w:rPr>
            <w:rStyle w:val="Hyperlink"/>
          </w:rPr>
          <w:t>https://www.sciencedirect.com/science/article/abs/pii/S1470160X16305738</w:t>
        </w:r>
      </w:hyperlink>
      <w:r>
        <w:t xml:space="preserve">. </w:t>
      </w:r>
    </w:p>
    <w:p w:rsidR="006D1A3A" w:rsidRDefault="006D1A3A" w:rsidP="006D1A3A">
      <w:pPr>
        <w:rPr>
          <w:szCs w:val="24"/>
        </w:rPr>
      </w:pPr>
    </w:p>
    <w:p w:rsidR="006D1A3A" w:rsidRDefault="006D1A3A" w:rsidP="006D1A3A">
      <w:r>
        <w:rPr>
          <w:szCs w:val="24"/>
        </w:rPr>
        <w:t>Science indicates that the erosion from roads is far worse than that from severe fire.</w:t>
      </w:r>
    </w:p>
    <w:p w:rsidR="006D1A3A" w:rsidRDefault="006D1A3A" w:rsidP="006D1A3A">
      <w:pPr>
        <w:rPr>
          <w:szCs w:val="24"/>
        </w:rPr>
      </w:pPr>
      <w:bookmarkStart w:id="8" w:name="map1"/>
      <w:r>
        <w:t>Colombaroli, D. and D.G. Gavin. 2010. Highly episodic fire and erosion regime over the past 2000 years in the Siskiyou Mountains, Oregon. Proceedings of the National Academy of Sciences of the United States of America 107: 18909-18914.</w:t>
      </w:r>
      <w:bookmarkEnd w:id="8"/>
      <w:r>
        <w:t xml:space="preserve"> </w:t>
      </w:r>
      <w:hyperlink r:id="rId111" w:history="1">
        <w:r>
          <w:rPr>
            <w:rStyle w:val="Hyperlink"/>
          </w:rPr>
          <w:t>http://www.pnas.org/content/early/2010/10/13/1007692107.full.pdf</w:t>
        </w:r>
      </w:hyperlink>
      <w:r>
        <w:t xml:space="preserve">. </w:t>
      </w:r>
      <w:r>
        <w:rPr>
          <w:szCs w:val="24"/>
        </w:rPr>
        <w:t xml:space="preserve">This should be part of the </w:t>
      </w:r>
      <w:r w:rsidR="00145E60">
        <w:rPr>
          <w:szCs w:val="24"/>
        </w:rPr>
        <w:t xml:space="preserve">Assessment </w:t>
      </w:r>
      <w:r>
        <w:rPr>
          <w:szCs w:val="24"/>
        </w:rPr>
        <w:t xml:space="preserve">weighing the relative risks from fire vs the effects of logging and roads. </w:t>
      </w:r>
    </w:p>
    <w:p w:rsidR="006D1A3A" w:rsidRDefault="006D1A3A" w:rsidP="006D1A3A">
      <w:pPr>
        <w:rPr>
          <w:szCs w:val="24"/>
        </w:rPr>
      </w:pPr>
    </w:p>
    <w:p w:rsidR="006D1A3A" w:rsidRDefault="006D1A3A" w:rsidP="006D1A3A">
      <w:r>
        <w:t xml:space="preserve">The ICBEMP analysis found that roads have a disproportionate impacts on aquatic and terrestrial systems. </w:t>
      </w:r>
    </w:p>
    <w:p w:rsidR="006D1A3A" w:rsidRDefault="006D1A3A" w:rsidP="006D1A3A">
      <w:pPr>
        <w:ind w:left="720"/>
      </w:pPr>
      <w:r>
        <w:t xml:space="preserve">A good example of combined departures [from historic range of variability] is roads on BLM- and FS-administered lands. Road surface area in itself only accounts for 2 percent of the BLM- and FS-administered lands. However, because of the linear pattern across the contour and connected effects on aquatic and terrestrial systems the affected area is approximately 65 percent. … Road density was found to be indirectly correlated with: (1) the distribution and spread of exotic plants, (2) many forest composition and structural changes, (3) efficacy of fire suppression activities, and (4) the probability of fire occurrence due to human caused ignitions. In forest systems, roads were associated with timber-management practices and thus correlated with the transition of shade-intolerant to shade-tolerant species, the loss of late-seral structures, reduced densities of large trees and snags, and increased fuel loadings. In rangeland systems, roads appear to function as vectors for dispersing exotic species. Regardless of the biophysical setting, roads appear to increase the efficacy of fire-suppression activities. … Subbasins having the highest forest integrity values were largely unroaded … Conversely, subbasins … that had been intensively roaded, typically had the lowest forest integrity … </w:t>
      </w:r>
    </w:p>
    <w:p w:rsidR="006D1A3A" w:rsidRDefault="006D1A3A" w:rsidP="006D1A3A">
      <w:pPr>
        <w:ind w:left="720"/>
      </w:pPr>
      <w:r>
        <w:t>…</w:t>
      </w:r>
    </w:p>
    <w:p w:rsidR="006D1A3A" w:rsidRDefault="006D1A3A" w:rsidP="006D1A3A">
      <w:pPr>
        <w:ind w:left="720"/>
      </w:pPr>
      <w:r>
        <w:t>Major decreases in pool habitat have been caused by two factors: the loss of riparian vegetation, and road and highway construction accompanying human</w:t>
      </w:r>
    </w:p>
    <w:p w:rsidR="006D1A3A" w:rsidRDefault="006D1A3A" w:rsidP="006D1A3A">
      <w:pPr>
        <w:ind w:left="720"/>
      </w:pPr>
      <w:r>
        <w:t>activities (such as timber harvest, grazing, and farming). Most notably, pool frequency (large pools and all pools) is inversely correlated with road density and management intensity. … The amount of fine sediment (sediment less than</w:t>
      </w:r>
    </w:p>
    <w:p w:rsidR="006D1A3A" w:rsidRDefault="006D1A3A" w:rsidP="006D1A3A">
      <w:pPr>
        <w:ind w:left="720"/>
      </w:pPr>
      <w:r>
        <w:t>6 mm) on channel beds is another important aspect of habitat quality that apparently is influenced by management. The results of our analysis indicate</w:t>
      </w:r>
    </w:p>
    <w:p w:rsidR="006D1A3A" w:rsidRDefault="006D1A3A" w:rsidP="006D1A3A">
      <w:pPr>
        <w:ind w:left="720"/>
        <w:rPr>
          <w:b/>
          <w:bCs/>
          <w:sz w:val="21"/>
          <w:szCs w:val="21"/>
        </w:rPr>
      </w:pPr>
      <w:r>
        <w:t xml:space="preserve">road density significantly affects surface fines and corroborates the link between forest management practices and channel sediment characteristics. … [T]he proportion [of strong salmonid populations] declines with road density. … </w:t>
      </w:r>
    </w:p>
    <w:p w:rsidR="006D1A3A" w:rsidRDefault="006D1A3A" w:rsidP="006D1A3A">
      <w:pPr>
        <w:ind w:left="720"/>
        <w:rPr>
          <w:b/>
          <w:bCs/>
          <w:sz w:val="21"/>
          <w:szCs w:val="21"/>
        </w:rPr>
      </w:pPr>
    </w:p>
    <w:p w:rsidR="006D1A3A" w:rsidRDefault="006D1A3A" w:rsidP="006D1A3A">
      <w:pPr>
        <w:ind w:left="720"/>
      </w:pPr>
      <w:r>
        <w:rPr>
          <w:b/>
          <w:bCs/>
          <w:sz w:val="21"/>
          <w:szCs w:val="21"/>
        </w:rPr>
        <w:lastRenderedPageBreak/>
        <w:t>Roads and Associated Activity</w:t>
      </w:r>
    </w:p>
    <w:p w:rsidR="006D1A3A" w:rsidRDefault="006D1A3A" w:rsidP="006D1A3A">
      <w:pPr>
        <w:ind w:left="720"/>
      </w:pPr>
      <w:r>
        <w:t xml:space="preserve"> Roads contribute to the disruption of hydrologic function and increase sediment delivery to streams. Roads also provide access, and the activities that accompany access magnify their negative effects on aquatic habitats. Activities associated with roads include fishing, recreation, timber harvest, livestock grazing, and agriculture. Roads also provide avenues for stocking non-native fishes. Unfortunately, we do not have adequate broad-scale information on many of these attendant effects to accurately identify their component contributions. Thus we are forced to use roads as a catch-all indicator of human disturbance.</w:t>
      </w:r>
    </w:p>
    <w:p w:rsidR="006D1A3A" w:rsidRDefault="006D1A3A" w:rsidP="006D1A3A">
      <w:pPr>
        <w:ind w:left="720"/>
      </w:pPr>
      <w:r>
        <w:t xml:space="preserve"> The discussion of the relationship of roads to fishes often centers around three themes: 1) the belief that road-building practices have improved enough in the last decade that we should not worry about their effects on aquatic systems; 2) the legacy of past road building is so vast and road maintenance budgets so low that the problems will be with us for a long time; and 3) the belief that there is not a strong correlation between road density and fish habitat and population.</w:t>
      </w:r>
    </w:p>
    <w:p w:rsidR="006D1A3A" w:rsidRDefault="006D1A3A" w:rsidP="006D1A3A">
      <w:pPr>
        <w:pStyle w:val="BodyTextIndent"/>
        <w:ind w:left="720"/>
      </w:pPr>
      <w:r>
        <w:t xml:space="preserve"> From an intensive review of the literature, we conclude that increases in sedimentation are unavoidable even using the most cautious reading methods. Roads combined with wildfires accentuate the risk from sedimentation. The amount of sediment or hydrologic alteration from roads that streams can tolerate before there is a negative response is not well known. It is not fully known which causes greater risk to aquatic systems: building roads to reduce fire risk or realizing the potential risk of fire. More research is needed in this area.</w:t>
      </w:r>
    </w:p>
    <w:p w:rsidR="006D1A3A" w:rsidRDefault="006D1A3A" w:rsidP="006D1A3A">
      <w:pPr>
        <w:ind w:left="720"/>
      </w:pPr>
      <w:r>
        <w:t xml:space="preserve"> The ability of the Forest Service and Bureau of Land Management to conduct road maintenance has been sharply reduced because of declining budgets. This is resulting in progressive degradation of road drainage structures and a potential increase in erosion. Most problems are with older roads that are located in sensitive terrain and roads that have been essentially abandoned, but are not adequately configured for long-term drainage. Given the magnitude of the area of federal forests with moderate to high road densities, the job of road maintenance will be expensive. Most road networks have not been inventoried to determine influence on riparian or aquatic resource goals and objectives.</w:t>
      </w:r>
    </w:p>
    <w:p w:rsidR="006D1A3A" w:rsidRDefault="006D1A3A" w:rsidP="006D1A3A">
      <w:pPr>
        <w:ind w:left="720"/>
      </w:pPr>
      <w:r>
        <w:t xml:space="preserve"> We conducted two analyses examining the correlation of roads to habitat and fish population status. Each of these </w:t>
      </w:r>
      <w:r>
        <w:rPr>
          <w:b/>
        </w:rPr>
        <w:t>analyses support the general conclusion that increasing road density correlates with declining aquatic habitat conditions and aquatic integrity</w:t>
      </w:r>
      <w:r>
        <w:t>. Our results clearly show that increasing road densities (combined with the activities associated with roads) and their attendant effects are associated with declines in the status of four nonanadromous salmonid species. Those species are less likely to use moderate to highly roaded areas for spawning and rearing, and if found are less likely to be at strong population levels. There is a consistent and unmistakable pattern based on empirical analysis of thousands of combinations of known species status and subwatershed conditions. The analysis is limited primarily to forested lands managed by the Forest Service and Bureau of Land Management.</w:t>
      </w:r>
    </w:p>
    <w:p w:rsidR="006D1A3A" w:rsidRDefault="006D1A3A" w:rsidP="006D1A3A">
      <w:pPr>
        <w:ind w:left="720"/>
      </w:pPr>
      <w:r>
        <w:t>…</w:t>
      </w:r>
    </w:p>
    <w:p w:rsidR="006D1A3A" w:rsidRDefault="006D1A3A" w:rsidP="006D1A3A">
      <w:pPr>
        <w:ind w:left="720"/>
      </w:pPr>
      <w:r>
        <w:lastRenderedPageBreak/>
        <w:t>Designated wilderness and potentially unroaded areas are important anchors for [salmonid] strongholds throughout the Basin. More than 8 million hectares (27%) of Forest Service and BLM lands in the Basin contain strongholds (40% of Forest Service and 4% of BLM). These stronghold subwatersheds contain large areas of unroaded land (about 4.7 million hectares), averaging 58 percent of the area of an individual subwatershed.</w:t>
      </w:r>
    </w:p>
    <w:p w:rsidR="006D1A3A" w:rsidRDefault="006D1A3A" w:rsidP="006D1A3A">
      <w:r>
        <w:t xml:space="preserve">Quigley, Thomas M.; Arbelbide, Sylvia J., tech. eds. 1997. An assessment of ecosystem components in the interior Columbia basin and portions of the Klamath and Great Basins: volume 1. Gen. Tech. Rep. PNW-GTR-405. Portland, OR. </w:t>
      </w:r>
      <w:hyperlink r:id="rId112" w:history="1">
        <w:r>
          <w:rPr>
            <w:rStyle w:val="Hyperlink"/>
          </w:rPr>
          <w:t>http://www.fs.fed.us/pnw/publications/pnw_gtr405/pnw_gtr405_06.pdf</w:t>
        </w:r>
      </w:hyperlink>
      <w:r>
        <w:t xml:space="preserve"> </w:t>
      </w:r>
      <w:hyperlink r:id="rId113" w:history="1">
        <w:r>
          <w:rPr>
            <w:rStyle w:val="Hyperlink"/>
          </w:rPr>
          <w:t>http://www.fs.fed.us/pnw/publications/pnw_gtr405/pnw_gtr405_07.pdf</w:t>
        </w:r>
      </w:hyperlink>
      <w:r>
        <w:t>. We would be kidding ourselves to think that “modern road practices” avoid these problems, because the described effects seem to be mostly inherent and unavoidable outcomes of roads.</w:t>
      </w:r>
    </w:p>
    <w:p w:rsidR="006D1A3A" w:rsidRDefault="006D1A3A" w:rsidP="006D1A3A"/>
    <w:p w:rsidR="006D1A3A" w:rsidRDefault="006D1A3A" w:rsidP="006D1A3A">
      <w:r>
        <w:t>EPA describes the impacts of roads as follows:</w:t>
      </w:r>
    </w:p>
    <w:p w:rsidR="006D1A3A" w:rsidRDefault="006D1A3A" w:rsidP="006D1A3A">
      <w:pPr>
        <w:pStyle w:val="BodyTextIndent"/>
        <w:ind w:left="720"/>
      </w:pPr>
      <w:r>
        <w:t xml:space="preserve"> Stormwater discharges from logging roads, especially improperly constructed or maintained roads, may introduce significant amounts of sediment and other pollutants into surface waters and, consequently, cause a variety of water quality impacts. … [S]ilviculture sources contributed to impairment of 19,444 miles of rivers and streams [nationwide]. … forest roads can degrade aquatic ecosystems by increasing levels of fine sediment input to streams and by altering natural streamflow patterns. Forest road runoff from improperly designed or maintained forest roads can detrimentally affect stream health and aquatic habitat by increasing sediment delivery and stream turbidity. This can adversely affect the survival of dozens of sensitive aquatic biota (salmon, trout, </w:t>
      </w:r>
      <w:r>
        <w:rPr>
          <w:szCs w:val="24"/>
        </w:rPr>
        <w:t xml:space="preserve">other native fishes, amphibians and macroinvertebrates) where these species are located. Increased fine sediment deposition in streams and altered streamflows and channel morphology can result in increased adult and juvenile salmonid mortality where present (e.g., in the Northwest and parts of the East), a decrease in aquatic amphibian and invertebrate abundance or diversity, and decreased habitat complexity. </w:t>
      </w:r>
    </w:p>
    <w:p w:rsidR="006D1A3A" w:rsidRDefault="006D1A3A" w:rsidP="006D1A3A">
      <w:pPr>
        <w:pStyle w:val="TOC4"/>
      </w:pPr>
      <w:r>
        <w:t xml:space="preserve"> The physical impacts of forest roads on streams, rivers, downstream water bodies and watershed integrity have been well documented but vary depending on site-specific factors. Improperly designed or maintained forest roads can affect watershed integrity through three primary mechanisms: they can intercept, concentrate, and divert water (Williams, 1999).</w:t>
      </w:r>
    </w:p>
    <w:p w:rsidR="006D1A3A" w:rsidRDefault="006D1A3A" w:rsidP="006D1A3A">
      <w:pPr>
        <w:rPr>
          <w:szCs w:val="24"/>
        </w:rPr>
      </w:pPr>
      <w:r>
        <w:t xml:space="preserve">EPA 2012. Notice of Intent To Revise Stormwater Regulations … Federal Register. May 23, 2012. </w:t>
      </w:r>
      <w:hyperlink r:id="rId114" w:history="1">
        <w:r>
          <w:rPr>
            <w:rStyle w:val="Hyperlink"/>
          </w:rPr>
          <w:t>http://www.gpo.gov/fdsys/pkg/FR-2012-05-23/pdf/2012-12524.pdf</w:t>
        </w:r>
      </w:hyperlink>
      <w:r>
        <w:t>.</w:t>
      </w:r>
    </w:p>
    <w:p w:rsidR="006D1A3A" w:rsidRDefault="006D1A3A" w:rsidP="006D1A3A">
      <w:pPr>
        <w:rPr>
          <w:szCs w:val="24"/>
        </w:rPr>
      </w:pPr>
    </w:p>
    <w:p w:rsidR="00F52023" w:rsidRDefault="00503E77" w:rsidP="00BA3D1A">
      <w:r>
        <w:t xml:space="preserve">The Assessment says that timber suitability will be addressed later in the planning process. Why not now? The assessment phase seems like a good time.  </w:t>
      </w:r>
      <w:r w:rsidR="00EC3C72">
        <w:t xml:space="preserve">To help ensure that timber production is sustainable, the </w:t>
      </w:r>
      <w:r w:rsidR="00F52023">
        <w:t>Assessment should describe ecosystem character, provision of ecosystem services, diversity of species, carbon storage, etc in areas that have been logged versus those that have been unlogged.</w:t>
      </w:r>
      <w:r>
        <w:t xml:space="preserve"> The Suitability Analysis should exclude timber production where logging has (or is likely to) degrade conditions.</w:t>
      </w:r>
    </w:p>
    <w:p w:rsidR="00503E77" w:rsidRDefault="00503E77" w:rsidP="00BA3D1A"/>
    <w:p w:rsidR="009A5E60" w:rsidRDefault="009A5E60" w:rsidP="00BA3D1A">
      <w:r>
        <w:lastRenderedPageBreak/>
        <w:t xml:space="preserve">The Forest Management and Timber </w:t>
      </w:r>
      <w:r w:rsidR="00A060EE">
        <w:t xml:space="preserve">Assessment </w:t>
      </w:r>
      <w:r>
        <w:t>finds “</w:t>
      </w:r>
      <w:r w:rsidRPr="009A5E60">
        <w:t>High levels of net growth combined with low levels of harvest removals, non-commercial thinning, and forest fuels reduction increases the risk of high severity disturbance long-term to timber resource as well as ecosystem health.</w:t>
      </w:r>
      <w:r>
        <w:t>” This is misleading in several ways. Forest growth actually makes forests more resilient to fire and benefits forest health in a variety of ways, such as:</w:t>
      </w:r>
    </w:p>
    <w:p w:rsidR="007A33D5" w:rsidRDefault="007A33D5" w:rsidP="009A5E60">
      <w:pPr>
        <w:numPr>
          <w:ilvl w:val="0"/>
          <w:numId w:val="11"/>
        </w:numPr>
      </w:pPr>
      <w:r>
        <w:t>Not all fuels are created equal. Some might tend to increase fire hazard, while others actually tend to reduce fire hazard;</w:t>
      </w:r>
    </w:p>
    <w:p w:rsidR="00660F90" w:rsidRDefault="007A33D5" w:rsidP="00660F90">
      <w:pPr>
        <w:numPr>
          <w:ilvl w:val="0"/>
          <w:numId w:val="11"/>
        </w:numPr>
      </w:pPr>
      <w:r>
        <w:t xml:space="preserve">When trees grow it raises </w:t>
      </w:r>
      <w:r w:rsidR="00660F90">
        <w:t xml:space="preserve">tree height and </w:t>
      </w:r>
      <w:r w:rsidR="009A5E60">
        <w:t>canopy height, so the fine fuels are held above the ground where most fires occur</w:t>
      </w:r>
      <w:r w:rsidR="00660F90">
        <w:t xml:space="preserve">; </w:t>
      </w:r>
    </w:p>
    <w:p w:rsidR="00660F90" w:rsidRDefault="00660F90" w:rsidP="00660F90">
      <w:pPr>
        <w:numPr>
          <w:ilvl w:val="0"/>
          <w:numId w:val="11"/>
        </w:numPr>
      </w:pPr>
      <w:r>
        <w:t>Dense canopy also cause self-pruning that raises canopy base height</w:t>
      </w:r>
    </w:p>
    <w:p w:rsidR="009A5E60" w:rsidRDefault="009A5E60" w:rsidP="009A5E60">
      <w:pPr>
        <w:numPr>
          <w:ilvl w:val="0"/>
          <w:numId w:val="11"/>
        </w:numPr>
      </w:pPr>
      <w:r>
        <w:t>Increasing bark thickness adds fire resistance;</w:t>
      </w:r>
    </w:p>
    <w:p w:rsidR="009A5E60" w:rsidRDefault="009A5E60" w:rsidP="009A5E60">
      <w:pPr>
        <w:numPr>
          <w:ilvl w:val="0"/>
          <w:numId w:val="11"/>
        </w:numPr>
      </w:pPr>
      <w:r>
        <w:t>Increasing canopy densit</w:t>
      </w:r>
      <w:r w:rsidR="007A33D5">
        <w:t>y helps maintain a cool, moist</w:t>
      </w:r>
      <w:r>
        <w:t xml:space="preserve"> microclimate</w:t>
      </w:r>
      <w:r w:rsidR="007A33D5">
        <w:t xml:space="preserve"> that is less conducive to fire</w:t>
      </w:r>
      <w:r>
        <w:t xml:space="preserve">, </w:t>
      </w:r>
    </w:p>
    <w:p w:rsidR="009A5E60" w:rsidRDefault="009A5E60" w:rsidP="009A5E60">
      <w:pPr>
        <w:numPr>
          <w:ilvl w:val="0"/>
          <w:numId w:val="11"/>
        </w:numPr>
      </w:pPr>
      <w:r>
        <w:t>Dense canopy reduces wind speed under the canopy</w:t>
      </w:r>
      <w:r w:rsidR="007A33D5">
        <w:t xml:space="preserve"> which reduces fire rate of spread</w:t>
      </w:r>
      <w:r>
        <w:t>;</w:t>
      </w:r>
    </w:p>
    <w:p w:rsidR="00660F90" w:rsidRDefault="009A5E60" w:rsidP="00660F90">
      <w:pPr>
        <w:numPr>
          <w:ilvl w:val="0"/>
          <w:numId w:val="11"/>
        </w:numPr>
      </w:pPr>
      <w:r>
        <w:t>Dense canopy helps suppress the growth of surface and ladder fuels and reduces the cost of fuel maintenance;</w:t>
      </w:r>
    </w:p>
    <w:p w:rsidR="007A33D5" w:rsidRDefault="007A33D5" w:rsidP="009A5E60">
      <w:pPr>
        <w:numPr>
          <w:ilvl w:val="0"/>
          <w:numId w:val="11"/>
        </w:numPr>
      </w:pPr>
      <w:r>
        <w:t>Dense forest creates beneficial habitat for a variety of species that prefer dense forests or forests with more dead wood</w:t>
      </w:r>
    </w:p>
    <w:p w:rsidR="009A5E60" w:rsidRDefault="009A5E60" w:rsidP="009A5E60">
      <w:pPr>
        <w:numPr>
          <w:ilvl w:val="0"/>
          <w:numId w:val="11"/>
        </w:numPr>
      </w:pPr>
      <w:r>
        <w:t>Competitive mortality thins the forest for free without roads and with greater carbon retention;</w:t>
      </w:r>
    </w:p>
    <w:p w:rsidR="009A5E60" w:rsidRDefault="009A5E60" w:rsidP="009A5E60">
      <w:pPr>
        <w:numPr>
          <w:ilvl w:val="0"/>
          <w:numId w:val="11"/>
        </w:numPr>
      </w:pPr>
      <w:r>
        <w:t>Competitive mortality creates snag habitat that is in short supply;</w:t>
      </w:r>
    </w:p>
    <w:p w:rsidR="00EC3C72" w:rsidRDefault="00EC3C72" w:rsidP="00BA3D1A"/>
    <w:p w:rsidR="00EC3C72" w:rsidRDefault="00EC3C72" w:rsidP="00EC3C72">
      <w:pPr>
        <w:pStyle w:val="BodyTextIndent"/>
        <w:ind w:left="0"/>
      </w:pPr>
      <w:r>
        <w:t>Retaining and recruiting abundant dead wood is a natural process of critical important that is adversely affected by logging. The Assessment should describe this effect and it’s implications on the forests of the Blue Mountains.</w:t>
      </w:r>
    </w:p>
    <w:p w:rsidR="00EC3C72" w:rsidRDefault="00EC3C72" w:rsidP="00C20C66">
      <w:pPr>
        <w:pStyle w:val="BodyTextIndent"/>
        <w:ind w:left="540"/>
      </w:pPr>
      <w:r>
        <w:rPr>
          <w:szCs w:val="24"/>
        </w:rPr>
        <w:t>The presence of coarse woody debris is critical for biodiversity conservation. … In general, post-fire forest ecosystems include the presence of large numbers of snags and downed woody debris. This dead material provides important habitat elements for many species of plants and animals, while also storing a great deal of carbon (MacDonald 1993; Fleming and Freedman 1998; Freedman et al. 1996). Clearcut harvesting of natural forests results in the removal of most of the aboveground woody biomass from the site because trees are the commodity being harvested. … Because clearcut harvesting concentrates on the removal of biomass, it fails to produce large-dimension snags and coarse-woody debris in intensively managed forests, … Although both harvesting and wildfire kills trees, only fire leaves them as dead standing biomass. … The fire-killed snags and woody debris cast partial shade, which ameliorates the surface microclimate and may enhance the survival of pine seedlings (Fraser and Farrar 1953; Cayford and McRae 1983; Carleton and MacLellan 1994). … Some studies have suggested that the cover and richness of the understorey vegetation of a natural forest may never fully recover from clearcutting. … Wildfires reduce the presence of some hosts that assist the spread of pests and pathogens while clearcutting may promote them. … [E]xclusion of fire from such ecosystems, along with forestry practices that leaves young infected trees in the residual stand, leads to increased abundance of this parasite. In contrast, fire eliminates Dwarf mistletoe. … Numerous studies have determined the potential removals of nutrients with conventional and whole-</w:t>
      </w:r>
      <w:r>
        <w:rPr>
          <w:szCs w:val="24"/>
        </w:rPr>
        <w:lastRenderedPageBreak/>
        <w:t xml:space="preserve">tree clearcuts … The data show that clearcutting removes large amounts of biomass and nutrients from the site, and that these are equivalent to a substantial fraction of the site capita of these materials. … During a wildfire, biomass capital of the stand is lost by combustion, as is that of nitrogen through the oxidation of organic compounds and the release of gaseous NO and NH3. In intense wildfires these losses of biomass and nitrogen can be comparable in magnitude to what would be removed by the clearcutting of comparable stands. Unlike wildfire, however, clearcutting also removes large amounts of phosphorus, potassium, calcium, and magnesium contained in the tree biomass; these materials are mostly conserved </w:t>
      </w:r>
      <w:r>
        <w:rPr>
          <w:i/>
          <w:szCs w:val="24"/>
        </w:rPr>
        <w:t>in situ</w:t>
      </w:r>
      <w:r>
        <w:rPr>
          <w:szCs w:val="24"/>
        </w:rPr>
        <w:t xml:space="preserve"> during a wildfire. … Clearcut harvesting with heavy equipment can cause severe soil compaction along skidding lanes and it can also disrupt soil profiles by churning … Permanent roads are not generally associated with wildfire management or suppression (although temporary access routes may be constructed while fighting some wildfires). An extensive road network is, however, necessary for timber harvesting and subsequent stand management. Roads affect biodiversity in many ways. Roads directly remove natural habitat, alter drainage and stream dynamics, cause erosion, introduce edge effects, fragment contiguous ecosystems, alter species movements, and act as corridors for the introduction of non-native species …. Road density is a useful indicator of ecological threat … [I]t is erroneous to assume that forest harvesting plays the same ecological role as wildfire.</w:t>
      </w:r>
    </w:p>
    <w:p w:rsidR="00EC3C72" w:rsidRDefault="00EC3C72" w:rsidP="00EC3C72">
      <w:r>
        <w:t>D.J. McRae, L.C. Duchesne, B. Freedman, T.J. Lynham, and S. Woodley, 2001. Comparisons between wildfire and forest harvesting and their implications in forest management. Environ. Rev. 9. 223-260 (2001); DOI: 10.1139/er-9-4-223.</w:t>
      </w:r>
    </w:p>
    <w:p w:rsidR="00EC3C72" w:rsidRDefault="00EC3C72" w:rsidP="00BA3D1A"/>
    <w:p w:rsidR="00EC3C72" w:rsidRDefault="00EC3C72" w:rsidP="00EC3C72">
      <w:r>
        <w:t>Foresters like to think that regen logging mimics natural processes like fire, but this is far from the case, because logging removes so much more biomass than fire. Fire leaves abundant legacies that offer some late successional habitat value, even in the young stands that dominate in the decades after fire. This is not the case with regen logging which removes much more biomass and disproportionally removes the large legacy components. This causes  a much more abrupt spatial and temporal transition/ fragmentation between young and old forests. Logging also causes much more significant soil disturbance, especially compaction and displacement, from roads, landings, skidding and yarding logs, and unusually hot slash fires. This spreads weeds, harms the below-ground ecosystem, degrades site productivity, and causes erosion. Regen combined with replanting and roads also causes very atypical hydrologic disruption, including artificial peak flows immediately after the first several storms following logging, and artificial low flows during summer for several decades following establishment of dense tree plantations.</w:t>
      </w:r>
    </w:p>
    <w:p w:rsidR="00EC3C72" w:rsidRDefault="00EC3C72" w:rsidP="00EC3C72"/>
    <w:p w:rsidR="00EC3C72" w:rsidRDefault="00EC3C72" w:rsidP="00EC3C72">
      <w:r>
        <w:t xml:space="preserve">“Key attributes” of high quality early seral habitat include “exceptionally high quantities of large dead wood,” a condition that is not provided by commercial timber harvest that exports the vast majority of wood from the site. “[P]rompt reforestation and few legacies is unlikely to approximate the role of naturally generated early-seral conditions” </w:t>
      </w:r>
      <w:r w:rsidRPr="003E339D">
        <w:t xml:space="preserve">M.E. Swanson </w:t>
      </w:r>
      <w:r>
        <w:t xml:space="preserve">Mark E. Swanson, Nichole M. Studevant, John L. Campbell, Daniel C. Donato. 2014. Biological associates of early-seral pre-forest in the Pacific Northwest. </w:t>
      </w:r>
      <w:r w:rsidRPr="003E339D">
        <w:t>Forest Ecology and Management 324 (2014) 160–171</w:t>
      </w:r>
      <w:r>
        <w:t xml:space="preserve">. </w:t>
      </w:r>
      <w:hyperlink r:id="rId115" w:history="1">
        <w:r w:rsidRPr="00F2738B">
          <w:rPr>
            <w:rStyle w:val="Hyperlink"/>
          </w:rPr>
          <w:t>http://www.sierraforestlegacy.org/Resources/Conservation/Biodiversity/BD-Swanson-etal-EarlySeral2014.pdf</w:t>
        </w:r>
      </w:hyperlink>
      <w:r>
        <w:t xml:space="preserve">. </w:t>
      </w:r>
    </w:p>
    <w:p w:rsidR="00EC3C72" w:rsidRDefault="00EC3C72" w:rsidP="00EC3C72"/>
    <w:p w:rsidR="00257F7B" w:rsidRDefault="00257F7B" w:rsidP="00257F7B">
      <w:pPr>
        <w:pStyle w:val="BodyTextIndent"/>
      </w:pPr>
      <w:r>
        <w:t>Although many existing silvicultural systems have been designed to mimic stand-scale natural disturbances, McRae et al. (2001) and Palik et al. (2002) remind us that natural disturbances are inherently different from those of silviculture. One difference, of course, relates to the amount of carbon removed from the site when harvesting a forest. Removals tend to be much greater with harvesting than for fire, for example. Fire tends to create a complex mosaic of forest types and ages on the landscape. Forest harvesting, as commonly practiced, tends to simplify forest composition and structure.</w:t>
      </w:r>
    </w:p>
    <w:p w:rsidR="00257F7B" w:rsidRDefault="00257F7B" w:rsidP="00257F7B">
      <w:r>
        <w:t xml:space="preserve">Crow, T.R. and A.J. Perera. 2004. Emulating natural landscape disturbance in forest management – an introduction. Landscape Ecology 19: 231-233. </w:t>
      </w:r>
      <w:hyperlink r:id="rId116" w:history="1">
        <w:r>
          <w:rPr>
            <w:rStyle w:val="Hyperlink"/>
          </w:rPr>
          <w:t>http://www.firescience.gov/projects/01-1-3-43/project/01-1-3-43_01_1_3_43_Deliverable_02.pdf</w:t>
        </w:r>
      </w:hyperlink>
      <w:r>
        <w:t xml:space="preserve"> </w:t>
      </w:r>
    </w:p>
    <w:p w:rsidR="00B37059" w:rsidRDefault="00B37059" w:rsidP="00257F7B"/>
    <w:p w:rsidR="00B37059" w:rsidRDefault="00B37059" w:rsidP="00257F7B">
      <w:r>
        <w:t>The Assessment should disclose that timber production requires roads, which have serious adverse effects on soil, water, and wildlife.</w:t>
      </w:r>
    </w:p>
    <w:p w:rsidR="00B37059" w:rsidRDefault="00B37059" w:rsidP="00B37059">
      <w:pPr>
        <w:ind w:left="720"/>
      </w:pPr>
      <w:r>
        <w:t>In terms of sedimentation, it is the forest roads that may have the most signiﬁcant impact because of the constant source of sediment they can provide over the life time of the road network. When all attributes are considered it appears that [clearcutting] does not emulate wildﬁre and may have a more detrimental impact on headwater systems in both the short and long-term. … Overall, the results suggest that harvesting does not emulate wildﬁre, particularly [clearcutting]. … It is important for forest managers to consider the complex affects that harvest treatments can have on headwater systems if they are going to successfully practice ecosystem management and achieve sustainable forest management. It is also important for managers to understand that there are many other attributes to be considered. In particular, the ability of harvest treatments to emulate wildﬁre in regards to peak ﬂows, organic matter inputs, large woody debris recruitment, channel morphology, and stream biota response. Due to the inability to statistically analyse these attributes they were not incorporated into the scope of this paper.</w:t>
      </w:r>
    </w:p>
    <w:p w:rsidR="00B37059" w:rsidRDefault="00B37059" w:rsidP="00B37059">
      <w:r>
        <w:t xml:space="preserve">Nitschke C.R. 2005. Does forest harvesting emulate ﬁre disturbance? A comparison of effects on selected attributes in coniferous-dominated headwater systems. Forest Ecology and Management 214 (2005) 305–319. </w:t>
      </w:r>
      <w:hyperlink r:id="rId117" w:history="1">
        <w:r>
          <w:rPr>
            <w:rStyle w:val="Hyperlink"/>
          </w:rPr>
          <w:t>http://www.sierraforestlegacy.org/Resources/Conservation/FireForestEcology/FireScienceResearch/FuelsManagement/FM-Nitschke05.pdf</w:t>
        </w:r>
      </w:hyperlink>
    </w:p>
    <w:p w:rsidR="00B37059" w:rsidRDefault="00B37059" w:rsidP="00B37059"/>
    <w:p w:rsidR="00B37059" w:rsidRDefault="00B37059" w:rsidP="00B37059">
      <w:r>
        <w:t>The production of timber must mitigate for adverse effects to wildlife.</w:t>
      </w:r>
    </w:p>
    <w:p w:rsidR="00B37059" w:rsidRDefault="00B37059" w:rsidP="00B37059">
      <w:pPr>
        <w:ind w:left="720"/>
      </w:pPr>
      <w:r>
        <w:t xml:space="preserve">From a wildlife perspective, stand-replacing fires and timber harvesting both represent major disturbances which significantly alter habitats … Despite their similarities, fire and logging differ in several of the habitat conditions they procure for wildlife. Wildfires, especially when severe, generate large amounts of standing (eventually downed) dead trees including large ones which represent an important habitat and food source for many wildlife species (Drapeau et al. 2002; Pedlar et al. 2002). … [T]he spatial </w:t>
      </w:r>
      <w:r>
        <w:lastRenderedPageBreak/>
        <w:t xml:space="preserve">variability of fire severity creates various amounts of green or mixed-severity stands over the burned landscape (e.g., Kafka, Gauthier, and Bergeron 2001; Smyth et al. 2005), which represent important refuge sites for some wildlife species (Norton and Hannon 1997; Tittler and Hannon 2000; Lance and Phinney 2001; Tittler, Hannon, and Norton 2001). Contrarily, clearcut harvesting removes most of the large live trees, leaves few standing deadwood, and retains variable amounts of non-commercial trees and understory vegetation. … All studies directly comparing bird assemblages in burned and harvested stands reported an important divergence in bird assemblages, especially for the first years following disturbance (Hutto 1995; Schulte and Niemi 1998; Hobson and Schieck 1999; Imbeau, Savard, and Gagnon 1999; Schieck and Hobson 2000; Morissette et al. 2002; Simon, Schwab, and Otto 2002). One of the most striking differences lies in the abundance of the snag-associated guild in post-fire stands. … [H]igh snag densities are clearly missing in harvested stands (Schulte and Niemi 1998; Pedlar et al. 2002; Simon, Schwab, and Otto 2002). Concordantly, Imbeau, Savard, and Gagnon (1999) found no resident and cavity-nesting species in recent clearcuts, where little retention (green or dead trees) has been left on site. Similarly, Hobson and Schieck (1999) found very distinct assemblages between burned and harvested forests, a difference that was partly explained by the dominance of several snag-associated species. These major differences in the abundance of snag-associated species are of particular importance considering that several of these have been identified as the most sensitive to the long-term effects of forestry (Imbeau, Mönkkönen, and Desrochers 2001). … The magnitude of the initial divergence and eventual convergence in bird communities between fire and harvesting may greatly depend on the level of residual vegetation (Schieck and Hobson 2000). Schieck and Hobson (2000) found that bird assemblages from larger patches within disturbed stands supported more species from older forests than smaller ones. In contrast, bird communities from smaller patches (within cut blocks vs. burned stands) mainly reflected the surrounding post-disturbance communities, therefore showing the same initial divergence in bird assemblages between post-fire and post-harvest stands reported by Hobson and Schieck (1999). Nonetheless, over time these small patch communities also became more similar to those inhabiting mature fire origin forests and hence converged as succession proceeded (although some differences still persisted up to 60 years after disturbance). … Early after disturbance, most stand-level attributes differ between harvesting and wildfire. Structurally, young post-fire stands are characterized by more snags and less downed woody debris than young post-harvest stands. … Biodiversity elements significantly differ between burned and logged sites. Early after disturbance, significant differences in understory vascular and non-vascular community composition are commonly reported. Faunal assemblages, be they mammals, invertebrates, or birds, all seem to respond differently initially to harvesting- and wildfire-induced disturbances. … At the stand scale, while most forest attributes are different early after disturbance between burned and logged stands, the majority of these converge a few decades after fire. A few exceptions are to be noted, though. … [W]hile faunal communities do become less different as time passes, late in succession some species present in burned stands are either significantly less abundant or absent in similarly aged logged stands. … Post-fire salvage logging affects ecological processes, biological legacies, and the abundance of species commonly encountered only after fire. </w:t>
      </w:r>
      <w:r>
        <w:lastRenderedPageBreak/>
        <w:t>Removal of fire-killed trees can affect tree regeneration, understory composition, the abundance and distribution of dead wood, wildlife habitat, and soil properties. … At the landscape scale, the most important difference between fire and harvesting regimes is the distribution of stand age classes. The proportion of stands older than the rotation period (usually 100 yrs) tends toward zero under a fully regulated harvesting regime, while it is around 37% under a fire regime of similar rotation period. This results in a significant loss of over-mature forests in managed landscapes, potentially affecting organisms that are often associated with such stands.</w:t>
      </w:r>
    </w:p>
    <w:p w:rsidR="00B37059" w:rsidRDefault="00B37059" w:rsidP="00B37059">
      <w:r>
        <w:t xml:space="preserve">NCASI. 2006.  Similarities and differences between harvesting- and wildfire-induced disturbances in fire-mediated Canadian landscapes.  Technical Bulletin No. 924. Research Triangle Park, N.C.: National Council for Air and Stream Improvement, Inc. </w:t>
      </w:r>
      <w:hyperlink r:id="rId118" w:history="1">
        <w:r>
          <w:rPr>
            <w:rStyle w:val="Hyperlink"/>
          </w:rPr>
          <w:t>http://landscape.zoology.wisc.edu/People/Simard/NCASI924.pdf</w:t>
        </w:r>
      </w:hyperlink>
    </w:p>
    <w:p w:rsidR="00B37059" w:rsidRDefault="00B37059" w:rsidP="00257F7B"/>
    <w:p w:rsidR="00401892" w:rsidRDefault="00401892" w:rsidP="00257F7B">
      <w:r>
        <w:t>Salvage logging is particularly adverse impacts on species diversity and ecosystem services.</w:t>
      </w:r>
      <w:r w:rsidR="0006246F">
        <w:t xml:space="preserve"> There has been a lot of new science on the adverse effects of salvage logging since the last forest plan was adopted. </w:t>
      </w:r>
      <w:r>
        <w:t xml:space="preserve"> Natural forest recovery without salvage logging creates numerous desired effects, including complex early seral forest which provides diverse food for diverse wildlife, retention of old growth legacy </w:t>
      </w:r>
      <w:r w:rsidR="0006246F">
        <w:t>structures</w:t>
      </w:r>
      <w:r>
        <w:t xml:space="preserve"> which help old growth species persist in the burned landscape, carbon </w:t>
      </w:r>
      <w:r w:rsidR="0006246F">
        <w:t>retention</w:t>
      </w:r>
      <w:r>
        <w:t xml:space="preserve">, </w:t>
      </w:r>
      <w:r w:rsidR="0006246F">
        <w:t>etc. The Assessment should highlight the benefits of natural recovery after disturbance, and the adverse effects of salvage logging.</w:t>
      </w:r>
    </w:p>
    <w:p w:rsidR="00782EBF" w:rsidRPr="00782EBF" w:rsidRDefault="00F94A68" w:rsidP="00782EBF">
      <w:pPr>
        <w:pStyle w:val="Heading2"/>
      </w:pPr>
      <w:bookmarkStart w:id="9" w:name="_Toc167784201"/>
      <w:r w:rsidRPr="00782EBF">
        <w:t>Carbon</w:t>
      </w:r>
      <w:r w:rsidR="00991B3B" w:rsidRPr="00782EBF">
        <w:t xml:space="preserve"> </w:t>
      </w:r>
      <w:r w:rsidR="00217833">
        <w:t>Storage/Emissions</w:t>
      </w:r>
      <w:bookmarkEnd w:id="9"/>
    </w:p>
    <w:p w:rsidR="00F94A68" w:rsidRDefault="00BC367D" w:rsidP="00C13CE6">
      <w:r>
        <w:t>The Assessment should address carbon Stocks</w:t>
      </w:r>
      <w:r w:rsidR="00991B3B">
        <w:t>, Influences</w:t>
      </w:r>
      <w:r>
        <w:t xml:space="preserve"> on those stocks</w:t>
      </w:r>
      <w:r w:rsidR="00991B3B">
        <w:t>, Ecosystem Services</w:t>
      </w:r>
      <w:r>
        <w:t xml:space="preserve"> of carbon storage (e.g., climate stability)</w:t>
      </w:r>
      <w:r w:rsidR="00991B3B">
        <w:t xml:space="preserve">, </w:t>
      </w:r>
      <w:r>
        <w:t xml:space="preserve">and the </w:t>
      </w:r>
      <w:r w:rsidR="00991B3B" w:rsidRPr="00991B3B">
        <w:t>Influence of the Plan Area on Social, Cultural, and Economic Conditions in the Broader Landscape</w:t>
      </w:r>
      <w:r w:rsidR="00C97D86">
        <w:t>.</w:t>
      </w:r>
      <w:r>
        <w:t xml:space="preserve"> The Assessment of Air quality also needs to be addressed as a climate issue. Every ton of carbon emitted contributes to a “load exceedance” of the global airshed.</w:t>
      </w:r>
    </w:p>
    <w:p w:rsidR="00BC367D" w:rsidRDefault="00BC367D" w:rsidP="00BC367D"/>
    <w:p w:rsidR="00944C75" w:rsidRDefault="00C97D86" w:rsidP="00BC367D">
      <w:r w:rsidRPr="00944C75">
        <w:t>The carbon stocks assessment finds “Increasing the resilience of national forests and grasslands to disturbances is important in maintaining or improving their carbon stability over the long term.”</w:t>
      </w:r>
      <w:r w:rsidR="00944C75" w:rsidRPr="00944C75">
        <w:t xml:space="preserve"> This reveals that the Forest Service has created a new goal for forest carbon that is actually contrary to the paramount need for forest carbon storage and reduced logging related emissions. The fact is that</w:t>
      </w:r>
      <w:bookmarkStart w:id="10" w:name="_Toc160629055"/>
      <w:r w:rsidR="00944C75" w:rsidRPr="00944C75">
        <w:t xml:space="preserve"> </w:t>
      </w:r>
      <w:r w:rsidR="00944C75" w:rsidRPr="00944C75">
        <w:rPr>
          <w:i/>
        </w:rPr>
        <w:t>stabilizing</w:t>
      </w:r>
      <w:r w:rsidR="00944C75" w:rsidRPr="00944C75">
        <w:t xml:space="preserve"> forest carbon is not a climate solution.</w:t>
      </w:r>
      <w:bookmarkEnd w:id="10"/>
    </w:p>
    <w:p w:rsidR="00BC367D" w:rsidRPr="00944C75" w:rsidRDefault="00BC367D" w:rsidP="00BC367D"/>
    <w:p w:rsidR="00944C75" w:rsidRPr="004E19C7" w:rsidRDefault="00944C75" w:rsidP="00944C75">
      <w:pPr>
        <w:rPr>
          <w:rFonts w:eastAsia="Times New Roman" w:cs="Times New Roman"/>
          <w:color w:val="222222"/>
          <w:szCs w:val="24"/>
        </w:rPr>
      </w:pPr>
      <w:r w:rsidRPr="004E19C7">
        <w:rPr>
          <w:rFonts w:eastAsia="Times New Roman" w:cs="Times New Roman"/>
          <w:color w:val="222222"/>
          <w:szCs w:val="24"/>
        </w:rPr>
        <w:t xml:space="preserve">"Stabilizing" forest carbon is becoming a buzzword and a new goal for forest management, but it is NOT a climate solution. In order to address the global climate crisis, we need to </w:t>
      </w:r>
      <w:r w:rsidRPr="004E19C7">
        <w:rPr>
          <w:rFonts w:eastAsia="Times New Roman" w:cs="Times New Roman"/>
          <w:i/>
          <w:color w:val="222222"/>
          <w:szCs w:val="24"/>
        </w:rPr>
        <w:t>reduce</w:t>
      </w:r>
      <w:r w:rsidRPr="004E19C7">
        <w:rPr>
          <w:rFonts w:eastAsia="Times New Roman" w:cs="Times New Roman"/>
          <w:color w:val="222222"/>
          <w:szCs w:val="24"/>
        </w:rPr>
        <w:t xml:space="preserve"> atmospheric carbon at the </w:t>
      </w:r>
      <w:r w:rsidRPr="004E19C7">
        <w:rPr>
          <w:rFonts w:eastAsia="Times New Roman" w:cs="Times New Roman"/>
          <w:i/>
          <w:color w:val="222222"/>
          <w:szCs w:val="24"/>
        </w:rPr>
        <w:t>global</w:t>
      </w:r>
      <w:r w:rsidRPr="004E19C7">
        <w:rPr>
          <w:rFonts w:eastAsia="Times New Roman" w:cs="Times New Roman"/>
          <w:color w:val="222222"/>
          <w:szCs w:val="24"/>
        </w:rPr>
        <w:t xml:space="preserve"> scale, not </w:t>
      </w:r>
      <w:r w:rsidRPr="004E19C7">
        <w:rPr>
          <w:rFonts w:eastAsia="Times New Roman" w:cs="Times New Roman"/>
          <w:i/>
          <w:color w:val="222222"/>
          <w:szCs w:val="24"/>
        </w:rPr>
        <w:t>stabilize</w:t>
      </w:r>
      <w:r w:rsidRPr="004E19C7">
        <w:rPr>
          <w:rFonts w:eastAsia="Times New Roman" w:cs="Times New Roman"/>
          <w:color w:val="222222"/>
          <w:szCs w:val="24"/>
        </w:rPr>
        <w:t xml:space="preserve"> forest carbon at the </w:t>
      </w:r>
      <w:r w:rsidRPr="004E19C7">
        <w:rPr>
          <w:rFonts w:eastAsia="Times New Roman" w:cs="Times New Roman"/>
          <w:i/>
          <w:color w:val="222222"/>
          <w:szCs w:val="24"/>
        </w:rPr>
        <w:t>local</w:t>
      </w:r>
      <w:r w:rsidRPr="004E19C7">
        <w:rPr>
          <w:rFonts w:eastAsia="Times New Roman" w:cs="Times New Roman"/>
          <w:color w:val="222222"/>
          <w:szCs w:val="24"/>
        </w:rPr>
        <w:t xml:space="preserve"> scale. This is because Earth’s atmosphere is well-mixed. It does not matter if forest carbon booms and busts at the scale of stands or even landscapes. What matters is the total amount of carbon in the atmosphere, which is the net result of both carbon emissions in some locations, and carbon uptake in the rest of the living landscape that is still growing. From a climate perspective, it might make more sense to let forests grow and accumulate carbon in vegetation and soils (let forest carbon </w:t>
      </w:r>
      <w:r w:rsidRPr="004E19C7">
        <w:rPr>
          <w:rFonts w:eastAsia="Times New Roman" w:cs="Times New Roman"/>
          <w:i/>
          <w:color w:val="222222"/>
          <w:szCs w:val="24"/>
        </w:rPr>
        <w:t>boom</w:t>
      </w:r>
      <w:r w:rsidRPr="004E19C7">
        <w:rPr>
          <w:rFonts w:eastAsia="Times New Roman" w:cs="Times New Roman"/>
          <w:color w:val="222222"/>
          <w:szCs w:val="24"/>
        </w:rPr>
        <w:t xml:space="preserve">), even if it is not considered "sustainable" over the long term because it will </w:t>
      </w:r>
      <w:r w:rsidRPr="004E19C7">
        <w:rPr>
          <w:rFonts w:eastAsia="Times New Roman" w:cs="Times New Roman"/>
          <w:color w:val="222222"/>
          <w:szCs w:val="24"/>
        </w:rPr>
        <w:lastRenderedPageBreak/>
        <w:t xml:space="preserve">eventually burn (the carbon might go </w:t>
      </w:r>
      <w:r w:rsidRPr="004E19C7">
        <w:rPr>
          <w:rFonts w:eastAsia="Times New Roman" w:cs="Times New Roman"/>
          <w:i/>
          <w:color w:val="222222"/>
          <w:szCs w:val="24"/>
        </w:rPr>
        <w:t>bust</w:t>
      </w:r>
      <w:r w:rsidRPr="004E19C7">
        <w:rPr>
          <w:rFonts w:eastAsia="Times New Roman" w:cs="Times New Roman"/>
          <w:color w:val="222222"/>
          <w:szCs w:val="24"/>
        </w:rPr>
        <w:t xml:space="preserve">), because every day/week/month/year that carbon stays in forests and soils is a day/week/month/year with less solar forcing. </w:t>
      </w:r>
    </w:p>
    <w:p w:rsidR="00944C75" w:rsidRDefault="00944C75" w:rsidP="00944C75">
      <w:pPr>
        <w:rPr>
          <w:rFonts w:ascii="Times New Roman" w:eastAsia="Times New Roman" w:hAnsi="Times New Roman" w:cs="Times New Roman"/>
          <w:color w:val="222222"/>
          <w:szCs w:val="24"/>
        </w:rPr>
      </w:pPr>
    </w:p>
    <w:p w:rsidR="00944C75" w:rsidRPr="004E19C7" w:rsidRDefault="00944C75" w:rsidP="00944C75">
      <w:pPr>
        <w:rPr>
          <w:rFonts w:eastAsia="Times New Roman" w:cs="Times New Roman"/>
          <w:szCs w:val="24"/>
        </w:rPr>
      </w:pPr>
      <w:r w:rsidRPr="004E19C7">
        <w:rPr>
          <w:rFonts w:eastAsia="Times New Roman" w:cs="Times New Roman"/>
          <w:szCs w:val="24"/>
        </w:rPr>
        <w:t>The goal of stabilizing carbon is especially suspect when the proposed activities required to stabilize carbon themselves emit carbon. The first problem is that emissions come first and alleged carbon benefits from avoided disturbance are delayed. This time lag conflicts with the urgent need to avoid emissions and store carbon in the near term.</w:t>
      </w:r>
    </w:p>
    <w:p w:rsidR="00944C75" w:rsidRPr="004E19C7" w:rsidRDefault="00944C75" w:rsidP="00944C75">
      <w:pPr>
        <w:rPr>
          <w:rFonts w:eastAsia="Times New Roman" w:cs="Times New Roman"/>
          <w:color w:val="222222"/>
          <w:szCs w:val="24"/>
        </w:rPr>
      </w:pPr>
    </w:p>
    <w:p w:rsidR="00944C75" w:rsidRPr="004E19C7" w:rsidRDefault="00944C75" w:rsidP="00944C75">
      <w:pPr>
        <w:rPr>
          <w:rFonts w:eastAsia="Times New Roman" w:cs="Times New Roman"/>
          <w:szCs w:val="24"/>
        </w:rPr>
      </w:pPr>
      <w:r w:rsidRPr="004E19C7">
        <w:rPr>
          <w:rFonts w:eastAsia="Times New Roman" w:cs="Times New Roman"/>
          <w:szCs w:val="24"/>
        </w:rPr>
        <w:t>The second problem is that the carbon emissions from efforts to stabilize carbon very likely exceed the carbon “savings” from those stabilizing actions. This is because it is impossible to predict where or when natural destabilizing events such as wildfire might occur. Only a small fraction of deliberate actions taken to stabilize forest carbon will actually interact with natural disturbance events and provide carbon benefits. Most individual efforts to stabilize carbon will cause carbon emissions without any offsetting carbon benefits, so collectively, efforts to stabilize carbon will emit more carbon than just letting forest carbon accumulate, and eventually boom and bust.</w:t>
      </w:r>
    </w:p>
    <w:p w:rsidR="00944C75" w:rsidRPr="004E19C7" w:rsidRDefault="00944C75" w:rsidP="00944C75">
      <w:pPr>
        <w:rPr>
          <w:rFonts w:eastAsia="Times New Roman" w:cs="Times New Roman"/>
          <w:color w:val="222222"/>
          <w:szCs w:val="24"/>
        </w:rPr>
      </w:pPr>
    </w:p>
    <w:p w:rsidR="00944C75" w:rsidRPr="004E19C7" w:rsidRDefault="00944C75" w:rsidP="00944C75">
      <w:pPr>
        <w:rPr>
          <w:rFonts w:eastAsia="Times New Roman" w:cs="Times New Roman"/>
          <w:szCs w:val="24"/>
        </w:rPr>
      </w:pPr>
      <w:r w:rsidRPr="004E19C7">
        <w:rPr>
          <w:rFonts w:eastAsia="Times New Roman" w:cs="Times New Roman"/>
          <w:szCs w:val="24"/>
        </w:rPr>
        <w:t xml:space="preserve">Some forests may be storing more carbon than the carbon carrying capacity projected under climate change. Such forests are providing a great climate service to humanity (as well as great benefits to threatened &amp; endangered species that rely on such forests), especially in the short-term, while the global need to reduce GHG emissions is most urgent. </w:t>
      </w:r>
      <w:r w:rsidRPr="004E19C7">
        <w:rPr>
          <w:shd w:val="clear" w:color="auto" w:fill="FFFFFF"/>
        </w:rPr>
        <w:t>There are significant trade-offs related to a</w:t>
      </w:r>
      <w:r w:rsidRPr="004E19C7">
        <w:rPr>
          <w:rFonts w:eastAsia="Times New Roman" w:cs="Times New Roman"/>
          <w:szCs w:val="24"/>
        </w:rPr>
        <w:t>ny proposal to artificially remove medium and large trees from carbon-rich forests in order to help them match their projected carbon carrying capacity. We must carefully consider the cumulative effects of doing so across large areas, because it would cause tremendous additional and unneeded GHG emissions.</w:t>
      </w:r>
    </w:p>
    <w:p w:rsidR="00944C75" w:rsidRPr="004E19C7" w:rsidRDefault="00944C75" w:rsidP="00944C75">
      <w:pPr>
        <w:rPr>
          <w:rFonts w:eastAsia="Times New Roman" w:cs="Times New Roman"/>
          <w:color w:val="222222"/>
          <w:szCs w:val="24"/>
        </w:rPr>
      </w:pPr>
    </w:p>
    <w:p w:rsidR="00944C75" w:rsidRPr="004E19C7" w:rsidRDefault="00944C75" w:rsidP="00944C75">
      <w:pPr>
        <w:rPr>
          <w:szCs w:val="24"/>
        </w:rPr>
      </w:pPr>
      <w:r w:rsidRPr="004E19C7">
        <w:rPr>
          <w:rFonts w:cs="Times New Roman"/>
        </w:rPr>
        <w:t xml:space="preserve">Logging proponents often claim that logging will increase carbon storage </w:t>
      </w:r>
      <w:r w:rsidRPr="004E19C7">
        <w:t xml:space="preserve">in the forest by limiting </w:t>
      </w:r>
      <w:r w:rsidRPr="004E19C7">
        <w:rPr>
          <w:rFonts w:cs="Times New Roman"/>
        </w:rPr>
        <w:t>carbon emissions caused by natural processes such as fire and insect-induced mortality. This is</w:t>
      </w:r>
      <w:r w:rsidRPr="004E19C7">
        <w:rPr>
          <w:rFonts w:cs="Times New Roman"/>
          <w:shd w:val="clear" w:color="auto" w:fill="FFFFFF"/>
        </w:rPr>
        <w:t xml:space="preserve"> simply counter-factual. In most cases, managing forests in an effort to control natural processes that release carbon will only make things worse by releasing MORE carbon. This is mostly because no one can predict where fire or insects will occur, so the treatments must be applied to broad landscapes, yet the probability of fire or insects at any given location remains low, and only a small fraction of the treated areas will actually experience fire or insects. As a result, many acres will be treated "unnecessarily" and therefore the cumulative carbon emissions from logging to control fire and insects (plus the carbon emissions from fire and insects that occur in spite of control efforts) are greater than emissions from fire and insects alone. </w:t>
      </w:r>
      <w:r w:rsidRPr="004E19C7">
        <w:rPr>
          <w:szCs w:val="24"/>
        </w:rPr>
        <w:t>A careful analysis shows that logging to control fire and expecting to increase carbon storage is analogous to rolling a die and expecting to roll a six every time.</w:t>
      </w:r>
    </w:p>
    <w:p w:rsidR="00944C75" w:rsidRPr="004E19C7" w:rsidRDefault="00944C75" w:rsidP="00944C75">
      <w:pPr>
        <w:rPr>
          <w:rFonts w:cs="Times New Roman"/>
          <w:color w:val="222222"/>
          <w:shd w:val="clear" w:color="auto" w:fill="FFFFFF"/>
        </w:rPr>
      </w:pPr>
    </w:p>
    <w:p w:rsidR="00944C75" w:rsidRPr="004E19C7" w:rsidRDefault="00944C75" w:rsidP="00944C75">
      <w:pPr>
        <w:rPr>
          <w:szCs w:val="24"/>
        </w:rPr>
      </w:pPr>
      <w:r w:rsidRPr="004E19C7">
        <w:rPr>
          <w:szCs w:val="24"/>
        </w:rPr>
        <w:t xml:space="preserve">This is an example of the “base rate fallacy” or “neglecting priors” from Bayesian statistics. The probability of a forest NOT burning are far greater than the probability of a forest burning. Attempts to address a problem that is unlikely to occur, such as by thinning a forest that is unlikely to burn, runs a high risk that unintended negatives effects will overwhelm beneficial effects. </w:t>
      </w:r>
      <w:hyperlink r:id="rId119" w:history="1">
        <w:r w:rsidRPr="004E19C7">
          <w:rPr>
            <w:rStyle w:val="Hyperlink"/>
            <w:szCs w:val="24"/>
          </w:rPr>
          <w:t>https://en.wikipedia.org/wiki/Base_rate_fallacy</w:t>
        </w:r>
      </w:hyperlink>
      <w:r w:rsidRPr="004E19C7">
        <w:rPr>
          <w:szCs w:val="24"/>
        </w:rPr>
        <w:t xml:space="preserve"> </w:t>
      </w:r>
    </w:p>
    <w:p w:rsidR="00944C75" w:rsidRDefault="00944C75" w:rsidP="00944C75">
      <w:pPr>
        <w:rPr>
          <w:szCs w:val="24"/>
        </w:rPr>
      </w:pPr>
    </w:p>
    <w:p w:rsidR="00944C75" w:rsidRDefault="00944C75" w:rsidP="00944C75">
      <w:pPr>
        <w:ind w:left="720"/>
      </w:pPr>
      <w:r>
        <w:lastRenderedPageBreak/>
        <w:t>[T]here is no guarantee that thinning across vast landscapes will stabilize carbon stores. Rather the best available scientific study has shown that thinning reduces carbon stores more than fire itself and reduces carbon stores whether or not fire burns that particular forest.</w:t>
      </w:r>
    </w:p>
    <w:p w:rsidR="00944C75" w:rsidRDefault="00944C75" w:rsidP="00944C75">
      <w:r>
        <w:t xml:space="preserve">Law, B. 2021. Response to Questions for the Record, </w:t>
      </w:r>
      <w:r>
        <w:rPr>
          <w:i/>
        </w:rPr>
        <w:t>a</w:t>
      </w:r>
      <w:r w:rsidRPr="00D42916">
        <w:rPr>
          <w:i/>
        </w:rPr>
        <w:t>ttached to</w:t>
      </w:r>
      <w:r>
        <w:t xml:space="preserve"> Statement Of Dr. Beverly Law, Professor Emeritus, Oregon State University,  Before The United States House Of Representatives,  Subcommittee On National Parks, Forests And Public Lands,  April 29, 2021, Concerning “Wildfire In A Warming World: Opportunities To Improve Community Collaboration, Climate Resilience, And Workforce Capacity” </w:t>
      </w:r>
      <w:hyperlink r:id="rId120" w:history="1">
        <w:r w:rsidRPr="005517EB">
          <w:rPr>
            <w:rStyle w:val="Hyperlink"/>
          </w:rPr>
          <w:t>https://naturalresources.house.gov/imo/media/doc/Law,%20Beverly%20-%20Testimony%20-%20NPFPL%20Ov%20Hrg%2004.29.21.pdf</w:t>
        </w:r>
      </w:hyperlink>
      <w:r>
        <w:t xml:space="preserve"> (link to Statement, without Response to Questions).</w:t>
      </w:r>
    </w:p>
    <w:p w:rsidR="00944C75" w:rsidRDefault="00944C75" w:rsidP="00944C75">
      <w:pPr>
        <w:rPr>
          <w:szCs w:val="24"/>
        </w:rPr>
      </w:pPr>
    </w:p>
    <w:p w:rsidR="00944C75" w:rsidRDefault="00944C75" w:rsidP="00944C75">
      <w:pPr>
        <w:rPr>
          <w:szCs w:val="24"/>
        </w:rPr>
      </w:pPr>
      <w:r>
        <w:rPr>
          <w:szCs w:val="24"/>
        </w:rPr>
        <w:t>The 2018 US Forest Service Northwest Forest Plan Science Synthesis concluded that fuel reduction is unlikely to be an effective climate mitigation strategy.</w:t>
      </w:r>
    </w:p>
    <w:p w:rsidR="00944C75" w:rsidRDefault="00944C75" w:rsidP="00944C75">
      <w:pPr>
        <w:ind w:left="720"/>
      </w:pPr>
      <w:r>
        <w:t xml:space="preserve">Some studies from other regions in the Western United States (i.e., the Southwest and Sierra Nevada) suggest that thinning and fuel reduction can mitigate carbon loss from fire. Fuel reduction may reduce losses of carbon at stand levels compared with the consequences of high-severity wildfire burning in stands with high fuel loads (Finkral and Evans 2008; Hurteau and North 2009; Hurteau et al. 2008, 2011, 2016; North and Hurteau 2011; North et al. 2009, Stephens et al. 2009). However, </w:t>
      </w:r>
      <w:r w:rsidRPr="001B705C">
        <w:rPr>
          <w:u w:val="single"/>
        </w:rPr>
        <w:t>because the probability of treated areas burning is generally low</w:t>
      </w:r>
      <w:r>
        <w:t xml:space="preserve"> (Barnett et al. 2016), and most biomass is not consumed by fire, slight differences in losses resulting from combustion in fire compared with losses from fuel reduction are </w:t>
      </w:r>
      <w:r w:rsidRPr="001B705C">
        <w:rPr>
          <w:u w:val="single"/>
        </w:rPr>
        <w:t>unlikely to make fuel reduction a viable mitigation strategy</w:t>
      </w:r>
      <w:r>
        <w:t xml:space="preserve"> (Ager et al. 2010, Campbell et al. 2012, Kline et al. 2016, Mitchell et al. 2009, Restaino and Peterson 2013, Spies et al. 2017).</w:t>
      </w:r>
    </w:p>
    <w:p w:rsidR="00944C75" w:rsidRDefault="00944C75" w:rsidP="00944C75">
      <w:pPr>
        <w:rPr>
          <w:rFonts w:ascii="Times New Roman" w:eastAsia="Times New Roman" w:hAnsi="Times New Roman" w:cs="Times New Roman"/>
          <w:color w:val="222222"/>
          <w:szCs w:val="24"/>
        </w:rPr>
      </w:pPr>
      <w:r>
        <w:t xml:space="preserve">USDA 2018. Synthesis of Science to Inform Land Management Within the Northwest Forest Plan Area. General Technical Report. PNW-GTR-966 Vol. 1. June 2018. </w:t>
      </w:r>
      <w:hyperlink r:id="rId121" w:history="1">
        <w:r w:rsidRPr="004B2FE4">
          <w:rPr>
            <w:rStyle w:val="Hyperlink"/>
          </w:rPr>
          <w:t>https://www.fs.fed.us/pnw/pubs/pnw_gtr966_vol1.pdf</w:t>
        </w:r>
      </w:hyperlink>
      <w:r>
        <w:t>.</w:t>
      </w:r>
    </w:p>
    <w:p w:rsidR="00944C75" w:rsidRPr="00AA06D5" w:rsidRDefault="00944C75" w:rsidP="00944C75">
      <w:pPr>
        <w:rPr>
          <w:rFonts w:ascii="Times New Roman" w:eastAsia="Times New Roman" w:hAnsi="Times New Roman" w:cs="Times New Roman"/>
          <w:color w:val="222222"/>
          <w:szCs w:val="24"/>
        </w:rPr>
      </w:pPr>
    </w:p>
    <w:p w:rsidR="00944C75" w:rsidRDefault="00944C75" w:rsidP="00944C75">
      <w:r>
        <w:rPr>
          <w:szCs w:val="24"/>
        </w:rPr>
        <w:t>Law &amp; Harmon (2011) conducted a literature review and concluded …</w:t>
      </w:r>
    </w:p>
    <w:p w:rsidR="00944C75" w:rsidRDefault="00944C75" w:rsidP="00944C75">
      <w:pPr>
        <w:ind w:left="720"/>
      </w:pPr>
      <w:r>
        <w:t>Thinning forests to reduce potential carbon losses due to wildfire is in direct conflict with carbon sequestration goals, and, if implemented, would result in a net emission of CO2 to the atmosphere because the amount of carbon removed to change fire behavior is often far larger than that saved by changing fire behavior, and more area has to be harvested than will ultimately burn over the period of effectiveness of the thinning treatment.</w:t>
      </w:r>
    </w:p>
    <w:p w:rsidR="00944C75" w:rsidRDefault="00944C75" w:rsidP="00944C75">
      <w:r>
        <w:t xml:space="preserve">Law, B. &amp; M.E. Harmon 2011. Forest sector carbon management, measurement and verification, and discussion of policy related to mitigation and adaptation of forests to climate change. Carbon Management 2011 2(1). </w:t>
      </w:r>
      <w:hyperlink r:id="rId122" w:history="1">
        <w:r w:rsidRPr="008C46FE">
          <w:rPr>
            <w:rStyle w:val="Hyperlink"/>
          </w:rPr>
          <w:t>https://content.sierraclub.org/ourwildamerica/sites/content.sierraclub.org.ourwildamerica/files/documents/Law%20and%20Harmon%202011.pdf</w:t>
        </w:r>
      </w:hyperlink>
      <w:r>
        <w:t>.</w:t>
      </w:r>
    </w:p>
    <w:p w:rsidR="00944C75" w:rsidRDefault="00944C75" w:rsidP="00944C75"/>
    <w:p w:rsidR="00944C75" w:rsidRDefault="00944C75" w:rsidP="00944C75">
      <w:r>
        <w:t xml:space="preserve">Bartowitz et al (2022) found </w:t>
      </w:r>
    </w:p>
    <w:p w:rsidR="00944C75" w:rsidRDefault="00944C75" w:rsidP="00944C75">
      <w:pPr>
        <w:ind w:left="720"/>
      </w:pPr>
      <w:r>
        <w:lastRenderedPageBreak/>
        <w:t>… [S]ome recent policies have proposed diameter increases in fuel reduction strategies. While the primary goal is fire risk reduction, these policies have been interpreted as strategies that can be used to save trees from being killed by fire, thus preventing carbon emissions and feedbacks to climate warming. This interpretation has already resulted in cutting down trees that likely would have survived fire, resulting in forest carbon losses that are greater than if a wildfire had occurred.  … [H]arvest of mature trees releases a higher density of carbon emissions (e.g., per unit area) relative to wildfire (150–800%) because harvest causes a higher rate of  tree mortality than wildfire. Our results show that increasing harvest of mature trees to save them from fire increases emissions rather than preventing them. … On public lands, management aimed at less-intensive fuels reduction (such as removal of “ladder” fuels, i.e., shrubs and small-diameter trees) will help to balance reducing catastrophic fire and leave live mature trees on the landscape to continue carbon uptake.</w:t>
      </w:r>
    </w:p>
    <w:p w:rsidR="00944C75" w:rsidRDefault="00944C75" w:rsidP="00944C75">
      <w:pPr>
        <w:ind w:left="720"/>
      </w:pPr>
      <w:r>
        <w:t>…</w:t>
      </w:r>
    </w:p>
    <w:p w:rsidR="00944C75" w:rsidRDefault="00944C75" w:rsidP="00944C75">
      <w:pPr>
        <w:ind w:left="720"/>
      </w:pPr>
      <w:r>
        <w:t>Many new policy discussions on fire and forest management are being based upon the misconception that harvest will protect forests from mortality and carbon loss (Executive Order, 2018; Zinke, 2018; Infrastructure Investment and Jobs Act, 2021; Newhouse, 2021), and decrease fire risk (Forest Climate Action Team, 2018; Figure 1) despite substantial uncertainty over long-term impacts to forest climate resilience (i.e., forest treatments may decrease forest resilience in the era of climate change). Our results and the majority of full-carbon accounting studies conclude that any type of harvest (logging or commercial thinning) decreases forest carbon storage (Law et al., 2013), and this research shows harvest emits more carbon per unit area than fire at all scales …</w:t>
      </w:r>
    </w:p>
    <w:p w:rsidR="00944C75" w:rsidRDefault="00944C75" w:rsidP="00944C75">
      <w:pPr>
        <w:ind w:left="720"/>
      </w:pPr>
      <w:r>
        <w:t>… Locations with high-harvest rates and carbon dense forests, such as the Pacific Northwest United States, see higher carbon losses from harvest than fire compared to areas in the Southwest United States with low harvest rates and carbon sparse forests (e.g., Oregon versus Arizona). Forest management needs to be specific to forest type and region; old-growth and wet forests in the Northwest are best left preserved while dry, fire-prone forests or areas in the Wildland Urban Interface benefit from fire risk-reduction strategies like small-diameter thinning and prescribed fires (Law et al., 2018; Case et al., 2021). Inclusion of specific diameter limits in policy for public lands could help prevent large-diameter tree removal and subsequent unintended consequences.</w:t>
      </w:r>
    </w:p>
    <w:p w:rsidR="00944C75" w:rsidRDefault="00944C75" w:rsidP="00944C75">
      <w:pPr>
        <w:ind w:left="720"/>
      </w:pPr>
      <w:r>
        <w:t>… The most effective forest management strategy to protect forest carbon stocks on public lands is to preserve forests through decreased harvest and thinning, lengthened harvest rotations, increased proportion of long-term wood products, reduced harvest and mill waste, and working toward afforestation and reforestation (Hudiburg et al., 2013; Law et al., 2018; Buotte et al., 2020; Figure 1).</w:t>
      </w:r>
    </w:p>
    <w:p w:rsidR="00944C75" w:rsidRDefault="00944C75" w:rsidP="00944C75">
      <w:r>
        <w:t>Bartowitz KJ, Walsh ES, Stenzel JE, Kolden CA and Hudiburg TW (2022) Forest Carbon</w:t>
      </w:r>
    </w:p>
    <w:p w:rsidR="00C97D86" w:rsidRDefault="00944C75" w:rsidP="00C13CE6">
      <w:r>
        <w:t xml:space="preserve">Emission Sources Are Not Equal: Putting Fire, Harvest, and Fossil Fuel Emissions in Context. Front. For. Glob. Change 5:867112. doi: 10.3389/ffgc.2022.867112. </w:t>
      </w:r>
      <w:hyperlink r:id="rId123" w:history="1">
        <w:r w:rsidRPr="00676CC8">
          <w:rPr>
            <w:rStyle w:val="Hyperlink"/>
          </w:rPr>
          <w:t>https://www.frontiersin.org/articles/10.3389/ffgc.2022.867112/full</w:t>
        </w:r>
      </w:hyperlink>
      <w:r>
        <w:t xml:space="preserve"> </w:t>
      </w:r>
    </w:p>
    <w:p w:rsidR="00944C75" w:rsidRDefault="00944C75" w:rsidP="00C13CE6"/>
    <w:p w:rsidR="00944C75" w:rsidRDefault="00944C75" w:rsidP="00944C75">
      <w:r>
        <w:t>Campbell and Agar (2013) conducted a sensitivity analysis and found robust results indicating that fuel reduction does not increase forest carbon storage.</w:t>
      </w:r>
    </w:p>
    <w:p w:rsidR="00944C75" w:rsidRDefault="00944C75" w:rsidP="00944C75">
      <w:pPr>
        <w:ind w:left="720"/>
      </w:pPr>
      <w:r>
        <w:lastRenderedPageBreak/>
        <w:t>… we attempt to remove some of the confusion surrounding this subject by performing a sensitivity analysis wherein long-term, landscape-wide carbon stocks are simulated under a wide range of treatment efficacy, treatment lifespan, fire impacts, forest recovery rates, forest decay rates, and the longevity of wood products. Our results indicate a surprising insensitivity of long-term carbon stocks to both management and biological variables. After 80 years, … a 1600% change in either treatment application rate or efficacy in arresting fire spread resulted in only a 10% change in total system carbon. This insensitivity of long-term carbon stocks is due in part by the infrequency of treatment/wildfire interaction and in part by the controls imposed by maximum forest biomass. None of the fuel treatment simulation scenarios resulted in increased system carbon.</w:t>
      </w:r>
    </w:p>
    <w:p w:rsidR="00BC367D" w:rsidRDefault="00944C75" w:rsidP="00944C75">
      <w:r>
        <w:t xml:space="preserve">Campbell, J, Agar, A (2013) Forest wildfire, fuel reduction treatments, and landscape carbon stocks: A sensitivity analysis. </w:t>
      </w:r>
      <w:r w:rsidRPr="00FB7AF1">
        <w:t>Journal of Environm</w:t>
      </w:r>
      <w:r>
        <w:t>ental Management 121 (2013) 124-</w:t>
      </w:r>
      <w:r w:rsidRPr="00FB7AF1">
        <w:t>132</w:t>
      </w:r>
      <w:r>
        <w:t xml:space="preserve"> </w:t>
      </w:r>
      <w:hyperlink r:id="rId124" w:history="1">
        <w:r w:rsidRPr="002467C3">
          <w:rPr>
            <w:rStyle w:val="Hyperlink"/>
          </w:rPr>
          <w:t>http://fes.forestry.oregonstate.edu/sites/fes.forestry.oregonstate.edu/files/PDFs/Campbell_2013_JEM.pdf</w:t>
        </w:r>
      </w:hyperlink>
      <w:r w:rsidR="00BC367D">
        <w:t>.</w:t>
      </w:r>
    </w:p>
    <w:p w:rsidR="00C61A85" w:rsidRDefault="00C61A85" w:rsidP="00944C75"/>
    <w:p w:rsidR="00BC367D" w:rsidRDefault="00BC367D" w:rsidP="00BC367D">
      <w:r>
        <w:t>Before attributing carbon benefits to fuel reduction logging please consider the conclusions of:</w:t>
      </w:r>
    </w:p>
    <w:p w:rsidR="00BC367D" w:rsidRDefault="00BC367D" w:rsidP="00BC367D">
      <w:pPr>
        <w:numPr>
          <w:ilvl w:val="0"/>
          <w:numId w:val="7"/>
        </w:numPr>
        <w:suppressAutoHyphens/>
        <w:spacing w:line="240" w:lineRule="auto"/>
      </w:pPr>
      <w:r>
        <w:t xml:space="preserve">John L Campbell, Mark E Harmon, and Stephen R Mitchell. 2011. Can fuel-reduction treatments really increase forest carbon storage in the western US by reducing future fire emissions? Front Ecol Environ 2011; doi:10.1890/110057 </w:t>
      </w:r>
      <w:hyperlink r:id="rId125" w:history="1">
        <w:r w:rsidRPr="00526A93">
          <w:rPr>
            <w:rStyle w:val="Hyperlink"/>
          </w:rPr>
          <w:t>http://forestpolicypub.com/wp-content/uploads/2011/12/campbell-2011.pdf</w:t>
        </w:r>
      </w:hyperlink>
      <w:r w:rsidRPr="0005657D">
        <w:rPr>
          <w:color w:val="0000FF"/>
          <w:u w:val="single"/>
        </w:rPr>
        <w:t xml:space="preserve">. </w:t>
      </w:r>
      <w:r>
        <w:t xml:space="preserve"> (Results suggest that the protection of one unit of C from wildfire combustion comes at the cost of removing three units of C in fuel treatments.) </w:t>
      </w:r>
    </w:p>
    <w:p w:rsidR="00BC367D" w:rsidRDefault="00BC367D" w:rsidP="00BC367D">
      <w:pPr>
        <w:numPr>
          <w:ilvl w:val="0"/>
          <w:numId w:val="7"/>
        </w:numPr>
        <w:suppressAutoHyphens/>
        <w:spacing w:line="240" w:lineRule="auto"/>
      </w:pPr>
      <w:r>
        <w:t xml:space="preserve">Mitchell, Harmon, O’Connell. 2009. Forest fuel reduction alters fire severity and long-term carbon storage in three Pacific Northwest ecosystems. Ecological Applications. 19(3), 2009, pp. 643–655. </w:t>
      </w:r>
      <w:hyperlink r:id="rId126" w:history="1">
        <w:r>
          <w:rPr>
            <w:rStyle w:val="Hyperlink"/>
          </w:rPr>
          <w:t>http://www.fs.fed.us/pnw/pubs/journals/pnw_2009_mitchell001.pdf</w:t>
        </w:r>
      </w:hyperlink>
      <w:r>
        <w:t>. (“…reducing the fraction by which C is lost in a wildfire requires the removal of a much greater amount of C, since most of the C stored in forest biomass (stem wood, branches, coarse woody debris) remains unconsumed even by high-severity wildfires. For this reason, all of the fuel reduction treatments simulated for the west Cascades and Coast Range ecosystems as well as most of the treatments simulated for the east Cascades resulted in a reduced mean stand C storage…. We suggest that forest management plans aimed solely at ameliorating increases in atmospheric CO2 should forego fuel reduction treatments …”)</w:t>
      </w:r>
    </w:p>
    <w:p w:rsidR="00BC367D" w:rsidRDefault="00BC367D" w:rsidP="00BC367D">
      <w:pPr>
        <w:numPr>
          <w:ilvl w:val="0"/>
          <w:numId w:val="7"/>
        </w:numPr>
        <w:suppressAutoHyphens/>
        <w:spacing w:line="240" w:lineRule="auto"/>
      </w:pPr>
      <w:r>
        <w:t xml:space="preserve">Reinhardt, Elizabeth, and Lisa Holsinger 2010. Effects of fuel treatments on carbon-disturbance relationships in forests of the northern Rocky Mountains. Forest Ecology and Management 259 (2010) 1427–1435. </w:t>
      </w:r>
      <w:hyperlink r:id="rId127" w:history="1">
        <w:r w:rsidRPr="00C538AE">
          <w:rPr>
            <w:rStyle w:val="Hyperlink"/>
          </w:rPr>
          <w:t>http://www.fs.fed.us/rm/pubs_other/rmrs_2010_reinhardt_e002.pdf</w:t>
        </w:r>
      </w:hyperlink>
      <w:r>
        <w:t xml:space="preserve"> (“Although wildfire emissions were reduced by fuel treatment, the fuel treatments themselves produced [carbon] emissions, and the untreated stands stored more carbon than the treated stands even after wildfire. … </w:t>
      </w:r>
      <w:r w:rsidRPr="004A0DDD">
        <w:t>Our results show generally long recovery times</w:t>
      </w:r>
      <w:r>
        <w:t xml:space="preserve"> …”) </w:t>
      </w:r>
    </w:p>
    <w:p w:rsidR="00BC367D" w:rsidRDefault="00BC367D" w:rsidP="00BC367D">
      <w:pPr>
        <w:numPr>
          <w:ilvl w:val="0"/>
          <w:numId w:val="7"/>
        </w:numPr>
        <w:suppressAutoHyphens/>
        <w:spacing w:line="240" w:lineRule="auto"/>
        <w:rPr>
          <w:szCs w:val="24"/>
        </w:rPr>
      </w:pPr>
      <w:r>
        <w:t xml:space="preserve">Law, B. &amp; M.E. Harmon 2011. Forest sector carbon management, measurement and verification, and discussion of policy related to mitigation and adaptation of forests to climate change. Carbon Management 2011 2(1). </w:t>
      </w:r>
      <w:hyperlink r:id="rId128" w:history="1">
        <w:r w:rsidRPr="008C46FE">
          <w:rPr>
            <w:rStyle w:val="Hyperlink"/>
          </w:rPr>
          <w:t>https://content.sierraclub.org/ourwildamerica/sites/content.sierraclub.org.ourwildamerica/files/documents/Law%20and%20Harmon%202011.pdf</w:t>
        </w:r>
      </w:hyperlink>
      <w:r>
        <w:t xml:space="preserve"> (“Thinning forests to reduce potential carbon losses due to wildfire is in direct conflict with carbon sequestration goals, and, if implemented, would result in a net emission of CO2 to the atmosphere because the amount of carbon removed to change fire behavior is often far larger than that saved by </w:t>
      </w:r>
      <w:r>
        <w:lastRenderedPageBreak/>
        <w:t>changing fire behavior, and more area has to be harvested than will ultimately burn over the period of effectiveness of the thinning treatment.”)</w:t>
      </w:r>
    </w:p>
    <w:p w:rsidR="00BC367D" w:rsidRDefault="00BC367D" w:rsidP="00BC367D">
      <w:pPr>
        <w:numPr>
          <w:ilvl w:val="0"/>
          <w:numId w:val="7"/>
        </w:numPr>
        <w:suppressAutoHyphens/>
        <w:spacing w:line="240" w:lineRule="auto"/>
      </w:pPr>
      <w:r>
        <w:t>Restaino, Joseph C.; Peterson, David L. 2013. Wildfire and fuel treatment effects on forest carbon dynamics in the western United States. Forest Ecology and Management 303:46-60.</w:t>
      </w:r>
      <w:r w:rsidRPr="009D65D8">
        <w:t xml:space="preserve"> </w:t>
      </w:r>
      <w:hyperlink r:id="rId129" w:history="1">
        <w:r w:rsidRPr="00C538AE">
          <w:rPr>
            <w:rStyle w:val="Hyperlink"/>
          </w:rPr>
          <w:t>http://www.fs.fed.us/pnw/pubs/journals/pnw_2013_restiano001.pdf</w:t>
        </w:r>
      </w:hyperlink>
      <w:r>
        <w:t xml:space="preserve"> (“… C costs associated with fuel treatments have can exceed the magnitude of C reduction in wildfire emissions, because a large percentage of biomass stored in forests (i.e., stem wood, branches, coarse woody debris) remains unconsumed, even in high-severity fires (Campbell et al., 2007; Mitchell et al., 2009). … Wildfire occurrence in a given area is uncertain and may never interact with treated stands with reduced fire hazard, ostensibly negating expected C benefits from fuel treatments. Burn probabilities in treated stands in southern Oregon are less than 2%, so the probability that a treated stand encounters wildfire and creates C benefits is low (Ager et al., 2010).)”</w:t>
      </w:r>
    </w:p>
    <w:p w:rsidR="00BC367D" w:rsidRDefault="00BC367D" w:rsidP="00BC367D">
      <w:pPr>
        <w:numPr>
          <w:ilvl w:val="0"/>
          <w:numId w:val="7"/>
        </w:numPr>
        <w:suppressAutoHyphens/>
        <w:spacing w:line="240" w:lineRule="auto"/>
      </w:pPr>
      <w:r>
        <w:t xml:space="preserve">Goslee, K., Pearson, T., Grimland, S., Petrova, S., Walls, J., Brown, S., 2010. Final Report on WESTCARB Fuels Management Pilot Activities in Lake County, Oregon. California Energy Commission, PIER. </w:t>
      </w:r>
      <w:r w:rsidRPr="003C03A7">
        <w:t>DOE Contract No.: DE-FC26-05NT42593</w:t>
      </w:r>
      <w:r>
        <w:t xml:space="preserve">. </w:t>
      </w:r>
      <w:hyperlink r:id="rId130" w:history="1">
        <w:r w:rsidRPr="00526A93">
          <w:rPr>
            <w:rStyle w:val="Hyperlink"/>
          </w:rPr>
          <w:t>http://uc-ciee.org/downloads/Fuels_Management_LakeCo.pdf</w:t>
        </w:r>
      </w:hyperlink>
      <w:r>
        <w:t xml:space="preserve">; AND Pearson, T.R.H., Goslee, K., Brown, S., 2010. Emissions and Potential Emission Reductions from Hazardous Fuel Treatments in the WESTCARB Region. California Energy Commission, PIER. CEC-500-2014-046. </w:t>
      </w:r>
      <w:hyperlink r:id="rId131" w:history="1">
        <w:r w:rsidRPr="00526A93">
          <w:rPr>
            <w:rStyle w:val="Hyperlink"/>
          </w:rPr>
          <w:t>http://www.energy.ca.gov/2014publications/CEC-500-2014-046/CEC-500-2014-046-AP.pdf</w:t>
        </w:r>
      </w:hyperlink>
      <w:r>
        <w:t>. (Summarized by Restaino &amp; Peterson (2013) as follows: “Pearson et al. (2010) and Goslee et al. (2010) developed methodologies to evaluate C dynamics associated with fuel treatment projects in low to mid-elevation forest in northern California and Oregon. The authors, with consultation from teams of scientists, quantify C storage and release within the context of a six-point conceptual framework: annual fire risk, treatment emissions, fire emissions, forest growth and re-growth, re-treatment, and the shadow effect (i.e.,  treatment effect outside the treated area). Results indicate that the mean annual probability of wildfire for the study region is less than 0.76%/year, and treatments reduce C stocks by an average of 19%. Where timber is removed, 30% of extracted biomass is stored in long-lasting wood products. Wildfire emissions in treated stands, quantified with the Fuel Characteristic Classification System, are reduced by 6% relative to untreated stands. Growth estimates for a 60-year simulation horizon, derived from FVS, indicate that in the absence of wildfire, untreated stands sequester 17% more C than treated stands. However, in simulations that include wildfire, treated stands sequester 63% more C than untreated stands. The shadow effect is unlikely to be large enough to affect net GHG emissions. In summary, initial reductions in C stocks (e.g., thinning), combined with low annual probability of wildfire, preclude C benefits associated with fuel treatments, even if harvest residues are used for biomass energy.”)</w:t>
      </w:r>
    </w:p>
    <w:p w:rsidR="00BC367D" w:rsidRDefault="00BC367D" w:rsidP="00BC367D">
      <w:pPr>
        <w:numPr>
          <w:ilvl w:val="0"/>
          <w:numId w:val="7"/>
        </w:numPr>
        <w:suppressAutoHyphens/>
        <w:spacing w:line="240" w:lineRule="auto"/>
      </w:pPr>
      <w:r>
        <w:t xml:space="preserve">Chiono, Lindsay 2011. Balancing the Carbon Costs and Benefits of Fuels Management. </w:t>
      </w:r>
      <w:r w:rsidRPr="00730C34">
        <w:t>Research Synthesis for Resource Managers</w:t>
      </w:r>
      <w:r>
        <w:t xml:space="preserve">. </w:t>
      </w:r>
      <w:r w:rsidRPr="00730C34">
        <w:t>Joint Fire Science Program Knowledge Exchange</w:t>
      </w:r>
      <w:r>
        <w:t xml:space="preserve">. </w:t>
      </w:r>
      <w:hyperlink r:id="rId132" w:history="1">
        <w:r w:rsidRPr="00526A93">
          <w:rPr>
            <w:rStyle w:val="Hyperlink"/>
          </w:rPr>
          <w:t>http://static1.squarespace.com/static/545a90ede4b026480c02c5c7/t/5527ebd9e4b0f620d0cb5b58/1428679641640/CFSC_Chiono_Carbon_and_Fuel_Mngmt.pdf</w:t>
        </w:r>
      </w:hyperlink>
      <w:r>
        <w:t xml:space="preserve"> (“[T]he net carbon impact of fuel treatments is further complicated by the probabilistic nature of wildfire occurrence and the impermanence of post-treatment stand conditions … [T]reatment activities produce an immediate carbon emission while future wildfire emissions are uncertain … Depending on the intensity of treatment, the quantity of carbon removed may be substantial enough to negate gains from avoided wildfire emissions. … cumulative emissions from fuels reduction activities repeated in order to maintain low hazard conditions over time can overwhelm avoided wildfire emissions, resulting in a net carbon loss.”)</w:t>
      </w:r>
    </w:p>
    <w:p w:rsidR="00BC367D" w:rsidRDefault="00BC367D" w:rsidP="00BC367D">
      <w:pPr>
        <w:numPr>
          <w:ilvl w:val="0"/>
          <w:numId w:val="7"/>
        </w:numPr>
        <w:suppressAutoHyphens/>
        <w:spacing w:line="240" w:lineRule="auto"/>
      </w:pPr>
      <w:r>
        <w:rPr>
          <w:szCs w:val="24"/>
        </w:rPr>
        <w:lastRenderedPageBreak/>
        <w:t xml:space="preserve">Dina Fine Maron 2010. FORESTS: Researchers find carbon offsets aren't justified for removing understory (E&amp;E Report 08/19/2010, reporting on the WESTCARB Project) </w:t>
      </w:r>
      <w:hyperlink r:id="rId133" w:history="1">
        <w:r>
          <w:rPr>
            <w:rStyle w:val="Hyperlink"/>
          </w:rPr>
          <w:t>https://pacificforest.org/pft-in-the-media-2010-climatewire-8-19-10.html</w:t>
        </w:r>
      </w:hyperlink>
      <w:r>
        <w:rPr>
          <w:szCs w:val="24"/>
        </w:rPr>
        <w:t>. (“</w:t>
      </w:r>
      <w:r>
        <w:t>’The take-home message is we could not find a greenhouse gas benefit from treating forests to reduce the risk of fire,’ said John Kadyszewski, the principal investigator for the terrestrial sequestration projects of the West Coast Regional Carbon Sequestration Partnership. WESTCARB, ... Since there is a relatively low risk of fire at any one site, large areas need to be treated -- which release their own emissions in the treatment process. The researchers have concluded that the expected emissions from treatments to reduce fire risk exceed the projected emissions benefits of treatment for individual projects.”)</w:t>
      </w:r>
    </w:p>
    <w:p w:rsidR="00BC367D" w:rsidRPr="00D65B9D" w:rsidRDefault="00BC367D" w:rsidP="00BC367D">
      <w:pPr>
        <w:numPr>
          <w:ilvl w:val="0"/>
          <w:numId w:val="7"/>
        </w:numPr>
        <w:suppressAutoHyphens/>
        <w:spacing w:line="240" w:lineRule="auto"/>
      </w:pPr>
      <w:r>
        <w:t xml:space="preserve">Rachel A. Loehman, Elizabeth Reinhardt, Karin L. Riley 2014. Wildland fire emissions, carbon, and climate: Seeing the forest and the trees – A cross-scale assessment of wildfire and carbon dynamics in fire-prone, forested ecosystems. </w:t>
      </w:r>
      <w:r w:rsidRPr="007C74B2">
        <w:t>Forest Ecology and Management 317 (2014) 9–19</w:t>
      </w:r>
      <w:r>
        <w:t xml:space="preserve">. </w:t>
      </w:r>
      <w:hyperlink r:id="rId134" w:history="1">
        <w:r w:rsidRPr="00D27743">
          <w:rPr>
            <w:rStyle w:val="Hyperlink"/>
          </w:rPr>
          <w:t>http://www.fs.fed.us/rm/pubs_other/rmrs_2014_loehman_r001.pdf</w:t>
        </w:r>
      </w:hyperlink>
      <w:r>
        <w:t xml:space="preserve"> (“… management of carbon in fire-prone and fire-adapted forests is more complex than simply minimizing wildfire carbon emissions and maximizing stored carbon in individual stands. </w:t>
      </w:r>
      <w:r w:rsidRPr="00FF0FD8">
        <w:t>The stochastic and variable nature of fires, the relatively fine scale over which fuels treatments are implemented, and potentially high carbon costs to implement them suggest that fuel treatments are not an effective method for protecting carbon stocks at a stand level</w:t>
      </w:r>
      <w:r>
        <w:t xml:space="preserve"> (Reinhardt et al., 2008; Reinhardt and Holsinger, 2010).”)</w:t>
      </w:r>
    </w:p>
    <w:p w:rsidR="00BC367D" w:rsidRDefault="00BC367D" w:rsidP="00BC367D">
      <w:pPr>
        <w:numPr>
          <w:ilvl w:val="0"/>
          <w:numId w:val="7"/>
        </w:numPr>
        <w:suppressAutoHyphens/>
        <w:spacing w:line="240" w:lineRule="auto"/>
      </w:pPr>
      <w:r>
        <w:t>Jim Cathcart, Alan A. Ager, Andrew McMahan, Mark Finney, and Brian Watt 2009. Carbon Benefits from Fuel Treatments. USDA Forest Service Proceedings RMRS-P-61. 2010.</w:t>
      </w:r>
    </w:p>
    <w:p w:rsidR="00BC367D" w:rsidRDefault="00BC367D" w:rsidP="00BC367D">
      <w:pPr>
        <w:numPr>
          <w:ilvl w:val="0"/>
          <w:numId w:val="7"/>
        </w:numPr>
        <w:suppressAutoHyphens/>
        <w:spacing w:line="240" w:lineRule="auto"/>
      </w:pPr>
      <w:r w:rsidRPr="00827D0D">
        <w:t>Chiono, L. A., D. L. Fry, B. M. Collins, A. H. Chatfield, and S. L. Stephens. 2017. Landscape-scale fuel treatment and wildfire impacts on carbon stocks and fire hazard in California spotted owl habitat. Ecosphere 8(1):e01648. 10.1002/ecs2.1648</w:t>
      </w:r>
      <w:r>
        <w:t xml:space="preserve">. </w:t>
      </w:r>
      <w:hyperlink r:id="rId135" w:history="1">
        <w:r w:rsidRPr="00BB0BAD">
          <w:rPr>
            <w:rStyle w:val="Hyperlink"/>
          </w:rPr>
          <w:t>http://onlinelibrary.wiley.com/doi/10.1002/ecs2.1648/full</w:t>
        </w:r>
      </w:hyperlink>
      <w:r>
        <w:t xml:space="preserve"> (“</w:t>
      </w:r>
      <w:r w:rsidRPr="00827D0D">
        <w:t>We used a probabilistic framework of wildfire occurrence to (1) estimate the potential for fuel treatments to reduce fire risk and hazard across the landscape and within protected California spotted owl (Strix occidentalis occidentalis) habitat and (2) evaluate the consequences of treatments with respect to terrestrial C stocks and burning emissions. Silvicultural and prescribed fire treatments were simulated on 20% of a northern Sierra Nevada landscape in three treatment scenarios</w:t>
      </w:r>
      <w:r>
        <w:t xml:space="preserve"> … [A]</w:t>
      </w:r>
      <w:r w:rsidRPr="00827D0D">
        <w:t>ll treatment scenarios resulted in higher C emissions than the no-treatment scenarios.</w:t>
      </w:r>
      <w:r>
        <w:t>”)</w:t>
      </w:r>
    </w:p>
    <w:p w:rsidR="00BC367D" w:rsidRDefault="00BC367D" w:rsidP="00BC367D">
      <w:pPr>
        <w:numPr>
          <w:ilvl w:val="0"/>
          <w:numId w:val="7"/>
        </w:numPr>
        <w:suppressAutoHyphens/>
        <w:spacing w:line="240" w:lineRule="auto"/>
      </w:pPr>
      <w:r>
        <w:t xml:space="preserve">Stenzel, J. E., Berardi, D. B., Walsh, E. S., &amp; Hudiburg, T. W. (2021). Restoration thinning in a drought-prone Idaho forest creates a persistent carbon deficit. Journal of Geophysical Research: Biogeosciences, 126, e2020JG005815. </w:t>
      </w:r>
      <w:hyperlink r:id="rId136" w:history="1">
        <w:r w:rsidRPr="003F02BF">
          <w:rPr>
            <w:rStyle w:val="Hyperlink"/>
          </w:rPr>
          <w:t>https://doi.org/10.1029/2020JG005815</w:t>
        </w:r>
      </w:hyperlink>
      <w:r>
        <w:t xml:space="preserve"> (“Forest thinning in a young ponderosa pine plantation resulted in observed and modeled decreases in ecosystem and forest sector carbon storage over unmanaged control plots through the year 2050. Despite increased tree-level production and water use in a location characterized by growing season drought stress, this study affirms inherent site tradeoffs between individual tree vigor and stand carbon storage over time. We estimate that thinned plot carbon stocks will return to prethinned levels by 2035 (Figure 6), but forest sector carbon parity (Mitchell et al., 2012) with untreated plots will not occur by 2050 and therefore represents a relative carbon source to the atmosphere in the absence of disturbance. …[A] carbon deficit relative to control remained due to the removal of </w:t>
      </w:r>
      <w:r w:rsidRPr="0090649D">
        <w:rPr>
          <w:rFonts w:ascii="Cambria Math" w:hAnsi="Cambria Math" w:cs="Cambria Math"/>
        </w:rPr>
        <w:t>∼</w:t>
      </w:r>
      <w:r>
        <w:t xml:space="preserve">40% of live ecosystem carbon as well as the subsequent release of </w:t>
      </w:r>
      <w:r w:rsidRPr="0090649D">
        <w:rPr>
          <w:rFonts w:ascii="Cambria Math" w:hAnsi="Cambria Math" w:cs="Cambria Math"/>
        </w:rPr>
        <w:t>∼</w:t>
      </w:r>
      <w:r>
        <w:t xml:space="preserve">60% of removed biomass by 2050. Despite the continued storage of a portion of removed biomass in long-lived wood products, large immediate and short-term emissions were associated with slash combustion, on-site decomposition, and short-term product chain emissions (i.e., waste and paper), and do not represent avoided emissions through 2050. A multidecadal ecosystem biomass (i.e., </w:t>
      </w:r>
      <w:r>
        <w:lastRenderedPageBreak/>
        <w:t>carbon) deficit following moderate and heavy partial harvest is supported by most analyses of mid to long-term thinning structural impacts (James et al., 2018; Zhou et al., 2013), …”).</w:t>
      </w:r>
    </w:p>
    <w:p w:rsidR="00BC367D" w:rsidRDefault="00BC367D" w:rsidP="00BC367D">
      <w:pPr>
        <w:numPr>
          <w:ilvl w:val="0"/>
          <w:numId w:val="7"/>
        </w:numPr>
        <w:suppressAutoHyphens/>
        <w:spacing w:line="240" w:lineRule="auto"/>
      </w:pPr>
      <w:r>
        <w:t xml:space="preserve">Harmon, M.E.; Hanson, C.T.; DellaSala, D.A. Combustion of Aboveground Wood from Live Trees in Megafires, CA, USA. Forests 2022, 13, 391.  </w:t>
      </w:r>
      <w:hyperlink r:id="rId137" w:history="1">
        <w:r w:rsidRPr="001F147E">
          <w:rPr>
            <w:rStyle w:val="Hyperlink"/>
          </w:rPr>
          <w:t>https://doi.org/10.3390/f13030391</w:t>
        </w:r>
      </w:hyperlink>
      <w:r>
        <w:t xml:space="preserve">; </w:t>
      </w:r>
      <w:hyperlink r:id="rId138" w:history="1">
        <w:r w:rsidRPr="00EA7E53">
          <w:rPr>
            <w:rStyle w:val="Hyperlink"/>
          </w:rPr>
          <w:t>https://www.mdpi.com/1999-4907/13/3/391/pdf</w:t>
        </w:r>
      </w:hyperlink>
      <w:r>
        <w:t xml:space="preserve">  (“Biomass combustion is a major biogeochemical process, but uncertain in magnitude. We examined multiple levels of organization (twigs, branches, trees, stands, and landscapes) in large, severe forest fires … [C]ombustion rates are very low overall at the stand (0.1%–3.2%) and landscape level (0.6%–1.8%), because large trees with low combustion rates comprise the majority of biomass, and high severity fire patches are less than half of the area burned. Our findings of low live wood combustion rates have important implications for policies related to wildfire emissions and forest management.”).</w:t>
      </w:r>
    </w:p>
    <w:p w:rsidR="00BC367D" w:rsidRDefault="00BC367D" w:rsidP="00BC367D">
      <w:pPr>
        <w:numPr>
          <w:ilvl w:val="0"/>
          <w:numId w:val="7"/>
        </w:numPr>
        <w:suppressAutoHyphens/>
        <w:spacing w:line="240" w:lineRule="auto"/>
      </w:pPr>
      <w:r w:rsidRPr="00B6762B">
        <w:t>John W Coulston et al</w:t>
      </w:r>
      <w:r>
        <w:t xml:space="preserve"> 2023.</w:t>
      </w:r>
      <w:r w:rsidRPr="00B6762B">
        <w:t xml:space="preserve"> Near-term investments in forest management support long-term carbon sequestration capacity in forests of the United States, PNAS Nexus (2023). DOI: 10.1093/pnasnexus/pgad345</w:t>
      </w:r>
      <w:r>
        <w:t xml:space="preserve"> (</w:t>
      </w:r>
      <w:hyperlink r:id="rId139" w:history="1">
        <w:r w:rsidRPr="00B6762B">
          <w:rPr>
            <w:rStyle w:val="Hyperlink"/>
          </w:rPr>
          <w:t>pdf</w:t>
        </w:r>
      </w:hyperlink>
      <w:r>
        <w:t>). (“</w:t>
      </w:r>
      <w:r w:rsidRPr="00B6762B">
        <w:t xml:space="preserve">Fuel treatments are designed to temporarily reduce carbon from forests through thinning, prescribed fire, or other mechanical means, and under a fuel high-treatment (FHT) scenario </w:t>
      </w:r>
      <w:r>
        <w:t xml:space="preserve">[10-50% of basal area removed] </w:t>
      </w:r>
      <w:r w:rsidRPr="00B6762B">
        <w:t xml:space="preserve">(Fig. 1D), 288 MMT of aboveground carbon will be removed from western forests by 2032 (Fig. 2B). Under a fuel low-treatment (FLT) scenario </w:t>
      </w:r>
      <w:r>
        <w:t>[10-25% of basal area removed]</w:t>
      </w:r>
      <w:r w:rsidRPr="00B6762B">
        <w:t xml:space="preserve"> (Fig. 1D), 194 MMT of carbon will be removed (Fig. 2B). The fuel-treatment scenarios have two additional short-term (2022–2032) effects: (i) lost sequestration potential from live tree removal and (ii) decreased wildfire carbon emissions (Fig. 2B).</w:t>
      </w:r>
      <w:r>
        <w:t xml:space="preserve"> … </w:t>
      </w:r>
      <w:r>
        <w:rPr>
          <w:color w:val="2A2A2A"/>
          <w:sz w:val="23"/>
          <w:szCs w:val="23"/>
          <w:shd w:val="clear" w:color="auto" w:fill="FFFFFF"/>
        </w:rPr>
        <w:t xml:space="preserve">Results for the fuel-treatment scenarios suggest a negative mitigation potential in the near-term largely due to the removal of live trees. </w:t>
      </w:r>
      <w:r w:rsidRPr="00B6762B">
        <w:rPr>
          <w:color w:val="2A2A2A"/>
          <w:sz w:val="23"/>
          <w:szCs w:val="23"/>
          <w:shd w:val="clear" w:color="auto" w:fill="FFFFFF"/>
        </w:rPr>
        <w:t>In the longer term, projections suggest a positive, but small, mitigation potential largely due to increased growth of thinned stands and reduced fire mortality. Under the FHT scenario, in 2032, projections suggest a −31 MMT yr−1 mitigation potential, indicating that forests would have less net annual carbon accumulation with the fuel treatments. Conversely, by 2050, the FHT fuel treatments may lead to a +6 MMT yr−1 mitigation potential (about 4.5% of current flux). These results highlight that carbon accumulation through net forest growth is unlikely to offset carbon removal and loss of sequestration potential from fuel treatments in the near term. In the longer term, the treatments may lead to small increases in annual accumulation rates due to avoided wildfire emissions and improved growth in thinned forests. However, the projected cumulative 2022–2050 carbon sequestered under the FLT and FHT scenarios is 200 and 310 MMT less, respectively, than the baseline (Fig. 2D), indicating a reduced capacity of US forests to offset emissions from other sectors over the projection period.</w:t>
      </w:r>
      <w:r>
        <w:rPr>
          <w:color w:val="2A2A2A"/>
          <w:sz w:val="23"/>
          <w:szCs w:val="23"/>
          <w:shd w:val="clear" w:color="auto" w:fill="FFFFFF"/>
        </w:rPr>
        <w:t>”)</w:t>
      </w:r>
    </w:p>
    <w:p w:rsidR="00782EBF" w:rsidRPr="00782EBF" w:rsidRDefault="00F94A68" w:rsidP="00782EBF">
      <w:pPr>
        <w:pStyle w:val="Heading2"/>
      </w:pPr>
      <w:bookmarkStart w:id="11" w:name="_Toc167784202"/>
      <w:r w:rsidRPr="00782EBF">
        <w:t>Roadless/Wilderness</w:t>
      </w:r>
      <w:bookmarkEnd w:id="11"/>
      <w:r w:rsidR="00782EBF" w:rsidRPr="00782EBF">
        <w:t xml:space="preserve"> </w:t>
      </w:r>
    </w:p>
    <w:p w:rsidR="0069460F" w:rsidRDefault="00EB2B8E" w:rsidP="00C13CE6">
      <w:r>
        <w:t xml:space="preserve">Unroaded/unmanaged areas represent significant key ecosystem characteristics and are an important element of the natural range of variability that require special attention in the assessment. As required by the NFMA planning rules, the assessment must address wilderness potential, but it must also go beyond that to inventory </w:t>
      </w:r>
      <w:r w:rsidR="009A1AF6">
        <w:t xml:space="preserve">ecologically significant </w:t>
      </w:r>
      <w:r>
        <w:t xml:space="preserve">unroaded areas </w:t>
      </w:r>
      <w:r w:rsidR="009A1AF6">
        <w:t xml:space="preserve">smaller than 5,000 acres, and assess </w:t>
      </w:r>
      <w:r>
        <w:t>the wide range of ecosystem services provide</w:t>
      </w:r>
      <w:r w:rsidR="009A1AF6">
        <w:t>d by such areas.</w:t>
      </w:r>
      <w:r>
        <w:t xml:space="preserve"> </w:t>
      </w:r>
      <w:r w:rsidR="009A1AF6">
        <w:t>Best science indicates that unroaded areas 1,000 acres and larger are ecologically significant and there are compelling rationales supporting their protection.</w:t>
      </w:r>
    </w:p>
    <w:p w:rsidR="005F63E7" w:rsidRDefault="005F63E7" w:rsidP="00C13CE6"/>
    <w:p w:rsidR="005F63E7" w:rsidRDefault="005F63E7" w:rsidP="00C13CE6">
      <w:r>
        <w:t xml:space="preserve">The Designated Areas </w:t>
      </w:r>
      <w:r w:rsidR="00AB0887">
        <w:t>Report</w:t>
      </w:r>
      <w:r w:rsidR="00A060EE">
        <w:t xml:space="preserve"> </w:t>
      </w:r>
      <w:r>
        <w:t xml:space="preserve">identifies the problem of crowding in wilderness. One way to address that is to recommend more wilderness! It’s not rocket science. We are concerned that </w:t>
      </w:r>
      <w:r>
        <w:lastRenderedPageBreak/>
        <w:t>the Forest Service has been downplaying the wilderness inventory in recent public meetings. The Forest Service should also refrain from suggesting that there has been a lot of negative public reaction to wilderness when the agency has not completed its public review processes (barely started in in fact.) And finally, we must emphasize that these are NATIONAL forests, and the Forest Service must represent the interests of the entire nation, not just the noisy locals who often fail to operate in good faith from a factual basis.</w:t>
      </w:r>
    </w:p>
    <w:p w:rsidR="0069460F" w:rsidRDefault="0069460F" w:rsidP="00C13CE6"/>
    <w:p w:rsidR="0069460F" w:rsidRDefault="0069460F" w:rsidP="0069460F">
      <w:r>
        <w:t>It is important for the assessment to recognize and disclose impacts to wilderness values AS WELL AS other unique values provided disproportionately by large unroaded/unmanaged areas. The analysis of effects to wilderness values must not be blurred with effects on other roadless values, and the analysis of effects on roadless values must not be blurred with effects on the degraded values provide on previously managed areas.</w:t>
      </w:r>
    </w:p>
    <w:p w:rsidR="0069460F" w:rsidRDefault="0069460F" w:rsidP="0069460F"/>
    <w:p w:rsidR="0069460F" w:rsidRDefault="0069460F" w:rsidP="0069460F">
      <w:r>
        <w:t>Wilderness is just one among many reasons to protect unroaded areas. The FS needs to recognize that unroaded areas provide disproportionate public values such as clean water, biodiversity, carbon storage, resilience to climate change, recreation, and scenery. Watson et al (2018) –</w:t>
      </w:r>
    </w:p>
    <w:p w:rsidR="0069460F" w:rsidRDefault="005310DB" w:rsidP="0069460F">
      <w:pPr>
        <w:ind w:left="720"/>
        <w:rPr>
          <w:noProof/>
        </w:rPr>
      </w:pPr>
      <w:r>
        <w:rPr>
          <w:noProof/>
        </w:rPr>
        <w:t xml:space="preserve">… </w:t>
      </w:r>
      <w:r w:rsidR="0069460F">
        <w:rPr>
          <w:noProof/>
        </w:rPr>
        <w:t xml:space="preserve">summarize published evidence that intact forests support an exceptional confluence of globally significant environmental values relative to forests that have experienced those damaging human actions. We show that intact forests are indispensable not only for addressing rapid anthropogenic climate change, but also for confronting the planet’s biodiversity crisis, providing critical ecosystem services and supporting the maintenance of human health. We then show that the relative value of intact forests is likely to become magnified as already-degraded forests experience further intensified pressures (including anthropogenic climate change).  </w:t>
      </w:r>
    </w:p>
    <w:p w:rsidR="0069460F" w:rsidRDefault="0069460F" w:rsidP="0069460F">
      <w:pPr>
        <w:ind w:left="720"/>
        <w:rPr>
          <w:noProof/>
        </w:rPr>
      </w:pPr>
      <w:r>
        <w:rPr>
          <w:noProof/>
        </w:rPr>
        <w:t xml:space="preserve">… [I]ntact forest protection can typically secure very high environmental values with often relatively low implementation and opportunity costs, which serves to reinforce the need for their direct inclusion in global environmental accords. … </w:t>
      </w:r>
    </w:p>
    <w:p w:rsidR="0069460F" w:rsidRDefault="0069460F" w:rsidP="0069460F">
      <w:pPr>
        <w:ind w:left="720"/>
        <w:rPr>
          <w:noProof/>
        </w:rPr>
      </w:pPr>
      <w:r>
        <w:rPr>
          <w:noProof/>
        </w:rPr>
        <w:t xml:space="preserve">… </w:t>
      </w:r>
      <w:r w:rsidRPr="008B340A">
        <w:rPr>
          <w:b/>
          <w:noProof/>
        </w:rPr>
        <w:t>The increasing significance of intact forests</w:t>
      </w:r>
    </w:p>
    <w:p w:rsidR="0069460F" w:rsidRDefault="0069460F" w:rsidP="0069460F">
      <w:pPr>
        <w:ind w:left="720"/>
        <w:rPr>
          <w:noProof/>
        </w:rPr>
      </w:pPr>
      <w:r>
        <w:rPr>
          <w:noProof/>
        </w:rPr>
        <w:t>The differences in important environmental and social values of intact forests relative to degraded forests are likely to become magnified in the future due to two negative processes in degraded areas: progressive anthropogenic damage and reduced resilience to environmental change.</w:t>
      </w:r>
    </w:p>
    <w:p w:rsidR="0069460F" w:rsidRDefault="0069460F" w:rsidP="0069460F">
      <w:pPr>
        <w:ind w:left="720"/>
        <w:rPr>
          <w:noProof/>
        </w:rPr>
      </w:pPr>
      <w:r>
        <w:rPr>
          <w:noProof/>
        </w:rPr>
        <w:t xml:space="preserve">… </w:t>
      </w:r>
    </w:p>
    <w:p w:rsidR="0069460F" w:rsidRDefault="0069460F" w:rsidP="0069460F">
      <w:pPr>
        <w:ind w:left="720"/>
        <w:rPr>
          <w:noProof/>
        </w:rPr>
      </w:pPr>
      <w:r w:rsidRPr="001B3EEF">
        <w:rPr>
          <w:noProof/>
        </w:rPr>
        <w:t>Retaining the integrity of intact forest ecosystems should be a central component of proactive global and national environmental strategies, alongside current efforts aimed at halting deforestation and promoting reforestation.</w:t>
      </w:r>
    </w:p>
    <w:p w:rsidR="0069460F" w:rsidRDefault="0069460F" w:rsidP="0069460F">
      <w:pPr>
        <w:ind w:left="720"/>
        <w:rPr>
          <w:noProof/>
        </w:rPr>
      </w:pPr>
      <w:r>
        <w:rPr>
          <w:noProof/>
        </w:rPr>
        <w:t>… An essential first step towards greater success is achieving widespread recognition that rapid loss of forest intactness represents a major threat to sustainable development and human well-being. Policymakers need to understand the challenge that the loss of forest intactness represents for achieving strategic goals outlined in key multilateral environmental agreements, including the Convention of Biological Diversity, the UNFCCC and the UN Sustainable Development Goals139,143, and this recognition needs to be translated into meaningful changes on the ground.</w:t>
      </w:r>
    </w:p>
    <w:p w:rsidR="0069460F" w:rsidRDefault="0069460F" w:rsidP="0069460F">
      <w:pPr>
        <w:ind w:left="720"/>
        <w:rPr>
          <w:noProof/>
        </w:rPr>
      </w:pPr>
      <w:r>
        <w:rPr>
          <w:noProof/>
        </w:rPr>
        <w:lastRenderedPageBreak/>
        <w:t>A fundamental constraint to progress is the fact that international definitions of forests have not differentiated among types of forest and, in most policy settings, they treat all forests, regardless of their condition, as equivalent1,144. As such, international policy processes seldom acknowledge the special qualities and benefits that flow from intact ecosystems as compared with those that are</w:t>
      </w:r>
    </w:p>
    <w:p w:rsidR="0069460F" w:rsidRDefault="0069460F" w:rsidP="0069460F">
      <w:pPr>
        <w:ind w:left="720"/>
        <w:rPr>
          <w:noProof/>
        </w:rPr>
      </w:pPr>
      <w:r>
        <w:rPr>
          <w:noProof/>
        </w:rPr>
        <w:t>degraded.</w:t>
      </w:r>
    </w:p>
    <w:p w:rsidR="0069460F" w:rsidRDefault="0069460F" w:rsidP="0069460F">
      <w:pPr>
        <w:ind w:left="720"/>
        <w:rPr>
          <w:noProof/>
        </w:rPr>
      </w:pPr>
      <w:r>
        <w:rPr>
          <w:noProof/>
        </w:rPr>
        <w:t>… There is evidence that the designation of ‘roadless areas’ in the USA, for example, has led to an effective expansion in the degree of ecoregional representation under protection and increases in the number of areas big enough to provide refugia for species needing large tracts relatively undisturbed by people.</w:t>
      </w:r>
    </w:p>
    <w:p w:rsidR="0069460F" w:rsidRDefault="0069460F" w:rsidP="0069460F">
      <w:pPr>
        <w:ind w:left="720"/>
        <w:rPr>
          <w:noProof/>
        </w:rPr>
      </w:pPr>
      <w:r>
        <w:rPr>
          <w:noProof/>
        </w:rPr>
        <w:t>…</w:t>
      </w:r>
    </w:p>
    <w:p w:rsidR="0069460F" w:rsidRPr="00D366C0" w:rsidRDefault="0069460F" w:rsidP="0069460F">
      <w:pPr>
        <w:ind w:left="720"/>
        <w:rPr>
          <w:b/>
          <w:noProof/>
        </w:rPr>
      </w:pPr>
      <w:r w:rsidRPr="00D366C0">
        <w:rPr>
          <w:b/>
          <w:noProof/>
        </w:rPr>
        <w:t>Conclusion</w:t>
      </w:r>
    </w:p>
    <w:p w:rsidR="0069460F" w:rsidRDefault="0069460F" w:rsidP="0069460F">
      <w:pPr>
        <w:ind w:left="720"/>
        <w:rPr>
          <w:noProof/>
        </w:rPr>
      </w:pPr>
      <w:r>
        <w:rPr>
          <w:noProof/>
        </w:rPr>
        <w:t>There are still significant tracts of forest that are free from the damaging impacts of large-scale human activities. These intact forests typically provide more environmental and social values than forests that have been degraded by human activities. … The practical tools required to address this challenge are generally well understood and include well-located and managed protected areas, indigenous territories that exemplify sound stewardship regulatory controls and responsible behaviour by logging, mining, and agricultural companies and consumers, and targeted restoration. Currently these tools are insufficiently applied, and inadequately supported by governance, policy and financial arrangements designed to incentivize conservation. Losing the remaining intact forests would exacerbate climate change effects through huge carbon emissions and the decline of a crucial, under-appreciated carbon sink. It would also result in the extinction of many species, harm communities worldwide by disrupting regional weather and hydrology, and devastate the cultures of many indigenous communities. Increased awareness of the scale and urgency of this problem is a necessary pre-condition for more effective conservation efforts across a wide range of spatial scales.</w:t>
      </w:r>
    </w:p>
    <w:p w:rsidR="0069460F" w:rsidRDefault="0069460F" w:rsidP="0069460F">
      <w:r>
        <w:rPr>
          <w:noProof/>
        </w:rPr>
        <w:t xml:space="preserve">Watson, Evans, Venter et al 2018. </w:t>
      </w:r>
      <w:r w:rsidRPr="001B3EEF">
        <w:rPr>
          <w:noProof/>
        </w:rPr>
        <w:t>The exceptional value of intact forest ecosystems</w:t>
      </w:r>
      <w:r>
        <w:rPr>
          <w:noProof/>
        </w:rPr>
        <w:t xml:space="preserve">. </w:t>
      </w:r>
      <w:r w:rsidRPr="001B3EEF">
        <w:rPr>
          <w:noProof/>
        </w:rPr>
        <w:t>Nature Ecology &amp; Evolution (2018)</w:t>
      </w:r>
      <w:r>
        <w:rPr>
          <w:noProof/>
        </w:rPr>
        <w:t xml:space="preserve"> </w:t>
      </w:r>
      <w:hyperlink r:id="rId140" w:history="1">
        <w:r w:rsidRPr="00FA61C8">
          <w:rPr>
            <w:rStyle w:val="Hyperlink"/>
            <w:noProof/>
          </w:rPr>
          <w:t>https://www.nature.com/articles/s41559-018-0490-x</w:t>
        </w:r>
      </w:hyperlink>
    </w:p>
    <w:p w:rsidR="0069460F" w:rsidRDefault="0069460F" w:rsidP="0069460F"/>
    <w:p w:rsidR="00C4069C" w:rsidRDefault="00C4069C" w:rsidP="0069460F">
      <w:r>
        <w:t>/ / /</w:t>
      </w:r>
    </w:p>
    <w:p w:rsidR="00C4069C" w:rsidRDefault="00C4069C" w:rsidP="0069460F"/>
    <w:p w:rsidR="00C4069C" w:rsidRDefault="00C4069C" w:rsidP="0069460F">
      <w:r>
        <w:t>/ / /</w:t>
      </w:r>
    </w:p>
    <w:p w:rsidR="00C4069C" w:rsidRDefault="00C4069C" w:rsidP="0069460F"/>
    <w:p w:rsidR="00C4069C" w:rsidRDefault="00C4069C" w:rsidP="0069460F">
      <w:r>
        <w:t xml:space="preserve">/ / / </w:t>
      </w:r>
    </w:p>
    <w:p w:rsidR="0069460F" w:rsidRDefault="0069460F" w:rsidP="0069460F">
      <w:r w:rsidRPr="00B73BD9">
        <w:rPr>
          <w:noProof/>
          <w:lang w:val="en-US"/>
        </w:rPr>
        <w:lastRenderedPageBreak/>
        <w:drawing>
          <wp:inline distT="0" distB="0" distL="0" distR="0">
            <wp:extent cx="5943600" cy="58928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5943600" cy="5892800"/>
                    </a:xfrm>
                    <a:prstGeom prst="rect">
                      <a:avLst/>
                    </a:prstGeom>
                    <a:noFill/>
                    <a:ln>
                      <a:noFill/>
                    </a:ln>
                  </pic:spPr>
                </pic:pic>
              </a:graphicData>
            </a:graphic>
          </wp:inline>
        </w:drawing>
      </w:r>
    </w:p>
    <w:p w:rsidR="0069460F" w:rsidRDefault="0069460F" w:rsidP="0069460F">
      <w:r>
        <w:t xml:space="preserve">Watson et al (2018). </w:t>
      </w:r>
    </w:p>
    <w:p w:rsidR="0069460F" w:rsidRDefault="0069460F"/>
    <w:p w:rsidR="008E0589" w:rsidRDefault="00A60D10" w:rsidP="008E0589">
      <w:pPr>
        <w:rPr>
          <w:szCs w:val="24"/>
        </w:rPr>
      </w:pPr>
      <w:r>
        <w:t xml:space="preserve">Oregon Wild has conducted a citizen inventory of unroaded areas 1,000 acres and larger. </w:t>
      </w:r>
      <w:r w:rsidR="008E0589">
        <w:rPr>
          <w:szCs w:val="24"/>
        </w:rPr>
        <w:t xml:space="preserve">Oregon Wild conducted such an inventory as follows: </w:t>
      </w:r>
    </w:p>
    <w:p w:rsidR="008E0589" w:rsidRDefault="008E0589" w:rsidP="008E0589">
      <w:pPr>
        <w:ind w:left="720"/>
      </w:pPr>
      <w:r>
        <w:t xml:space="preserve">Oregon Wild’s Citizen Roadless Inventory is shown on interactive statewide map available at </w:t>
      </w:r>
      <w:r w:rsidRPr="00127766">
        <w:t xml:space="preserve"> </w:t>
      </w:r>
      <w:hyperlink r:id="rId142" w:history="1">
        <w:r w:rsidRPr="007B3B03">
          <w:rPr>
            <w:rStyle w:val="Hyperlink"/>
          </w:rPr>
          <w:t>http://www.oregonwild.org/explore-oregon/oregon-wild-map-gallery</w:t>
        </w:r>
      </w:hyperlink>
      <w:r>
        <w:t xml:space="preserve"> by following the link for “All Potential Forest Wilderness.” We generally define these areas as those that meet the criteria for inventoried roadless areas set forth by the USFS but based on new science showing the significant ecological values of unroaded areas &gt;1,000 acres, we applied the criteria to federal land areas over 1,000 acres. They are generally in fairly good shape with no substantial/obvious logging, development, or roads. </w:t>
      </w:r>
    </w:p>
    <w:p w:rsidR="008E0589" w:rsidRDefault="008E0589" w:rsidP="008E0589">
      <w:pPr>
        <w:ind w:left="720"/>
      </w:pPr>
    </w:p>
    <w:p w:rsidR="008E0589" w:rsidRDefault="008E0589" w:rsidP="008E0589">
      <w:pPr>
        <w:ind w:left="720"/>
      </w:pPr>
      <w:r>
        <w:lastRenderedPageBreak/>
        <w:t>These areas have wilderness qualities and may qualify for Wilderness protection. There are many other significant values that make these areas worthy of special attention including (but not limited to) their value as places where natural processes can do the ecological work and as a control to experiments (intentional and otherwise) being done across a landscape dominated by human activities including commercial logging, mining, grazing, road building, and other development.</w:t>
      </w:r>
    </w:p>
    <w:p w:rsidR="008E0589" w:rsidRDefault="008E0589" w:rsidP="008E0589">
      <w:pPr>
        <w:ind w:left="720"/>
      </w:pPr>
    </w:p>
    <w:p w:rsidR="008E0589" w:rsidRDefault="008E0589" w:rsidP="008E0589">
      <w:pPr>
        <w:ind w:left="720"/>
      </w:pPr>
      <w:r>
        <w:t xml:space="preserve">The Forest Service defines unroaded areas as any area without the presence of classified roads, and of a size and configuration sufficient to protect the inherent characteristics associated with its roadless condition. </w:t>
      </w:r>
      <w:hyperlink r:id="rId143" w:tgtFrame="_blank" w:history="1">
        <w:r>
          <w:rPr>
            <w:rStyle w:val="Hyperlink"/>
          </w:rPr>
          <w:t>http://web.archive.org/web/20010729111100/http://roadless.fs.fed.us/documents/feis/glossary.shtml</w:t>
        </w:r>
      </w:hyperlink>
      <w:r>
        <w:t xml:space="preserve">. While we refer to Forest Service guidelines in identifying these areas, FS inventories such as RARE II are not the final word. In addition to errors made during the inventory, there are a number of exclusionary biases in defining potential wilderness area's and the roadless inventory. Furthermore, science has evolved since that time to recognize significant ecological value in areas than 5,000 acres. </w:t>
      </w:r>
    </w:p>
    <w:p w:rsidR="008E0589" w:rsidRDefault="008E0589" w:rsidP="008E0589">
      <w:pPr>
        <w:ind w:left="720"/>
        <w:rPr>
          <w:szCs w:val="24"/>
        </w:rPr>
      </w:pPr>
      <w:r>
        <w:br/>
        <w:t>To identify these areas, Oregon Wild started with a GIS query. Using the most current data layers available for existing roads, we identified all polygons &gt;1,000 acres bounded by those roads. Using GIS layers, we excluded non-federal lands, clearcuts, and heavy thins. We then used aerial images to further refine boundaries based on obvious developments, roads, quarries, and other logging areas not previously identified. We then recruited volunteers to “adopt” candidate unroaded areas and ground-truth them to the extent possible by adding and subtracting areas based on ground reconnaissance. While not every area has been ground-truthed, we update the inventory as we receive information from individuals and agencies during project planning and at other times. Our inventory of unroaded areas is a work-in-progress with a fairly high level of accuracy.</w:t>
      </w:r>
    </w:p>
    <w:p w:rsidR="008E0589" w:rsidRDefault="006B32F3" w:rsidP="008E0589">
      <w:pPr>
        <w:rPr>
          <w:szCs w:val="24"/>
        </w:rPr>
      </w:pPr>
      <w:r>
        <w:rPr>
          <w:szCs w:val="24"/>
        </w:rPr>
        <w:t>The GIS files showing the results of our inventory are attached (or sent under separate cover, if the agency comment portal does not accept kmz files). Please consider our input in the Forest Service inventory of both potential wilderness, AND other unroaded areas.</w:t>
      </w:r>
    </w:p>
    <w:p w:rsidR="006B32F3" w:rsidRDefault="006B32F3" w:rsidP="008E0589">
      <w:pPr>
        <w:rPr>
          <w:szCs w:val="24"/>
        </w:rPr>
      </w:pPr>
    </w:p>
    <w:p w:rsidR="006B32F3" w:rsidRDefault="006B32F3" w:rsidP="006B32F3">
      <w:r>
        <w:t xml:space="preserve">Large intact expanses of unfragmented habitat were once quite common but are now rare. Species evolved in the context of the large habitat patches that result from the natural disturbance regime. As just one important example, big game need large patches of security cover which is best provided by large unroaded areas. New science confirms that roads and logging tend to be contagious on the landscape (managed areas beget more management until little remains unmanaged), so to conserve the habitat values associated with wild places we have to prevent the first intrusions. The purpose and need for this </w:t>
      </w:r>
      <w:r w:rsidR="00911611">
        <w:t xml:space="preserve">plan amendment </w:t>
      </w:r>
      <w:r>
        <w:t>should include protecting and restoring large unroaded areas consistent with the natural range of variability. This goal is just as important as goals related to tree density or species composition that the agency too often relies on to justify logging and road building.</w:t>
      </w:r>
    </w:p>
    <w:p w:rsidR="006B32F3" w:rsidRDefault="006B32F3" w:rsidP="006B32F3"/>
    <w:p w:rsidR="006B32F3" w:rsidRDefault="006B32F3" w:rsidP="006B32F3">
      <w:r>
        <w:t xml:space="preserve">Secretary of Agriculture Tom Vilsack recognizes the value of National Forest roadless areas: “Roadless areas preserve essential watersheds and help ensure an abundant supply of clean </w:t>
      </w:r>
      <w:r>
        <w:lastRenderedPageBreak/>
        <w:t>drinking water. These large areas of undisturbed forests provide diverse habitats for sensitive and endangered wildlife. In addition, roadless areas provide other critical ecological services, such as carbon storage, and operate as effective barriers to invasive species, while also providing social values such as scenic landscapes and a host of recreational opportunities. Let me assure you that USDA and the Forest Service will move forward to conserve and protect these lands and meet all legal obligations.” March 11, 2009 letter to Oregon Governor Ted Kulongoski.</w:t>
      </w:r>
    </w:p>
    <w:p w:rsidR="006B32F3" w:rsidRDefault="006B32F3"/>
    <w:p w:rsidR="008E0589" w:rsidRDefault="008E0589" w:rsidP="008E0589">
      <w:r>
        <w:t xml:space="preserve">The Assessment should discuss whether management actions have push the landscape toward or away from the natural range of variability for large-scale habitat patches. Landscape analysis based on historic disturbance patterns suggests that historically the majority of old forest occurred in large patches. See Wimberly, M. 2002. Spatial simulation of historical landscape patterns in coastal forests of the Pacific Northwest. Can. J. For. Res. 32:13-16-1328 (2002) </w:t>
      </w:r>
      <w:hyperlink r:id="rId144" w:history="1">
        <w:r>
          <w:rPr>
            <w:rStyle w:val="Hyperlink"/>
          </w:rPr>
          <w:t>http://andrewsforest.oregonstate.edu/pubs/pdf/pub2859.pdf</w:t>
        </w:r>
      </w:hyperlink>
      <w:r>
        <w:t xml:space="preserve"> (72% of the total mature forest in the Oregon Coast Range was concentrated in patches &gt;1,000 ha). These large patches of older forests that native fish and wildlife species evolved with are now severely underrepresented on the forest landscape and must be protected and restored.</w:t>
      </w:r>
    </w:p>
    <w:p w:rsidR="008E0589" w:rsidRDefault="008E0589" w:rsidP="008E0589"/>
    <w:p w:rsidR="008E0589" w:rsidRDefault="008E0589" w:rsidP="008E0589">
      <w:r>
        <w:t xml:space="preserve">In considering the natural range of variability for unroaded/unmanaged areas, the FS should conduct an analysis like the Northwest Forest Plan LSOG Effectiveness Monitoring Plan which says that “perhaps 80 percent or more [of the historic late-successional old-growth forest] would probably have occurred as relatively large (greater than 1,000 acres) areas of connected forest.” Miles Hemstrom, Thomas Spies, Craig Palmer, Ross Kiester, John Teply, Phil McDonald, and Ralph Warbington; Late-Successional and Old-Growth Forest Effectiveness Monitoring Plan for the Northwest Forest Plan, USFS General Technical Report PNW-GTR-438; December 1998; </w:t>
      </w:r>
      <w:hyperlink r:id="rId145" w:history="1">
        <w:r>
          <w:rPr>
            <w:rStyle w:val="Hyperlink"/>
          </w:rPr>
          <w:t>http://www.fs.fed.us/pnw/pubs/gtr_438.pdf</w:t>
        </w:r>
      </w:hyperlink>
      <w:r>
        <w:t>. Currently, these 1,000 acre and larger patches are rare on the landscape.</w:t>
      </w:r>
    </w:p>
    <w:p w:rsidR="008E0589" w:rsidRDefault="008E0589" w:rsidP="008E0589"/>
    <w:p w:rsidR="008E0589" w:rsidRDefault="008E0589" w:rsidP="008E0589">
      <w:r>
        <w:t>Also, consider the conclusions and recommendations of the interagency Road Density Analysis Task Team:</w:t>
      </w:r>
    </w:p>
    <w:p w:rsidR="008E0589" w:rsidRDefault="008E0589" w:rsidP="008E0589">
      <w:pPr>
        <w:ind w:left="540"/>
      </w:pPr>
      <w:r>
        <w:t>Unroaded and low road density areas potentially represent areas in which the aquatic ecosystems are still operating with minimal human disturbances. Areas like these that provide for high quality habitat and stable fish populations are important refugia and a cornerstone of most species conservation strategies.</w:t>
      </w:r>
    </w:p>
    <w:p w:rsidR="008E0589" w:rsidRDefault="008E0589" w:rsidP="008E0589">
      <w:pPr>
        <w:ind w:left="540"/>
      </w:pPr>
      <w:r>
        <w:t>…</w:t>
      </w:r>
    </w:p>
    <w:p w:rsidR="008E0589" w:rsidRDefault="008E0589" w:rsidP="008E0589">
      <w:pPr>
        <w:ind w:left="540"/>
      </w:pPr>
      <w:r>
        <w:t xml:space="preserve">Even well engineered roads act as conduits for sediment (Filipek 1993). Lee et al. (1997), also note that although improvements in road construction and logging methods can reduce sediment delivery to streams, sedimentation increases are unavoidable even when using the most cautious logging and construction methods. </w:t>
      </w:r>
    </w:p>
    <w:p w:rsidR="008E0589" w:rsidRDefault="008E0589" w:rsidP="008E0589">
      <w:pPr>
        <w:ind w:left="540"/>
      </w:pPr>
    </w:p>
    <w:p w:rsidR="008E0589" w:rsidRDefault="008E0589" w:rsidP="008E0589">
      <w:pPr>
        <w:ind w:left="540"/>
      </w:pPr>
      <w:r>
        <w:t>As stated in the Biological Opinion for bull trout (USFWS 1998), there is no positive contribution from roads to physical or biological characteristics of watersheds. Under present conditions, roads represent one of the most pervasive impacts of management activity to native aquatic communities and listed fish species.</w:t>
      </w:r>
    </w:p>
    <w:p w:rsidR="008E0589" w:rsidRDefault="008E0589" w:rsidP="008E0589">
      <w:pPr>
        <w:ind w:left="540"/>
        <w:rPr>
          <w:szCs w:val="24"/>
          <w:u w:val="single"/>
        </w:rPr>
      </w:pPr>
      <w:r>
        <w:t>…</w:t>
      </w:r>
    </w:p>
    <w:p w:rsidR="008E0589" w:rsidRDefault="008E0589" w:rsidP="008E0589">
      <w:pPr>
        <w:ind w:left="540"/>
        <w:rPr>
          <w:szCs w:val="24"/>
        </w:rPr>
      </w:pPr>
      <w:r>
        <w:rPr>
          <w:szCs w:val="24"/>
          <w:u w:val="single"/>
        </w:rPr>
        <w:lastRenderedPageBreak/>
        <w:t>RDAT Recommendation (4)</w:t>
      </w:r>
      <w:r>
        <w:rPr>
          <w:szCs w:val="24"/>
        </w:rPr>
        <w:t>: The Regional Executives provide direction to the field units that allow for road construction in undesignated low road density areas only after completion of the mid/fine scale analysis of these areas.</w:t>
      </w:r>
      <w:r>
        <w:rPr>
          <w:szCs w:val="24"/>
        </w:rPr>
        <w:br/>
      </w:r>
      <w:r>
        <w:rPr>
          <w:szCs w:val="24"/>
          <w:u w:val="single"/>
        </w:rPr>
        <w:br/>
        <w:t>Regional Executive Decision:</w:t>
      </w:r>
      <w:r>
        <w:rPr>
          <w:i/>
          <w:iCs/>
          <w:szCs w:val="24"/>
        </w:rPr>
        <w:t xml:space="preserve"> </w:t>
      </w:r>
      <w:r>
        <w:rPr>
          <w:szCs w:val="24"/>
        </w:rPr>
        <w:t>While we agree that avoiding road construction in low road density areas with high to very high fish values may be desirable, we also recognize that providing direction precluding such development could conflict in some instances with our legal obligations under laws such as the Alaska National Interest Lands Conservation Act (ANILCA) and the 1872 Mining Laws. Rather than totally precluding such development, the BLM State Directors and Regional Foresters, through this transmittal letter, direct field units as follows:</w:t>
      </w:r>
    </w:p>
    <w:p w:rsidR="008E0589" w:rsidRDefault="008E0589" w:rsidP="008E0589">
      <w:pPr>
        <w:spacing w:before="100" w:after="100"/>
        <w:ind w:left="900"/>
        <w:rPr>
          <w:szCs w:val="24"/>
        </w:rPr>
      </w:pPr>
      <w:r>
        <w:rPr>
          <w:szCs w:val="24"/>
        </w:rPr>
        <w:t>A. Avoid new road construction in low road density areas to the extent practical, consistent with existing authorities and LRMPs, but keep in mind that in some cases the need to remove hazardous fuels may be paramount for long term watershed restoration,</w:t>
      </w:r>
    </w:p>
    <w:p w:rsidR="008E0589" w:rsidRDefault="008E0589" w:rsidP="008E0589">
      <w:pPr>
        <w:spacing w:before="100" w:after="100"/>
        <w:ind w:left="900"/>
        <w:rPr>
          <w:szCs w:val="24"/>
        </w:rPr>
      </w:pPr>
      <w:r>
        <w:rPr>
          <w:szCs w:val="24"/>
        </w:rPr>
        <w:t>B. Decisions to allow new road construction in low road density areas should not be made without an assessment of environmental effects, including any changes to the value of the low road density area as a current or potential stronghold for listed aquatic species. This assessment and/or analysis should also consider the amount of acreage within the watershed already in Wilderness and inventoried roadless areas, and</w:t>
      </w:r>
    </w:p>
    <w:p w:rsidR="008E0589" w:rsidRDefault="008E0589" w:rsidP="008E0589">
      <w:pPr>
        <w:spacing w:before="100" w:after="100"/>
        <w:ind w:left="900"/>
      </w:pPr>
      <w:r>
        <w:rPr>
          <w:szCs w:val="24"/>
        </w:rPr>
        <w:t>C. Where new road development in low road density areas cannot be avoided, road location and design should minimize effects to aquatic resources and incorporate practical mitigation measures, including closure or decommissioning of the road if the need for the road is temporary.</w:t>
      </w:r>
    </w:p>
    <w:p w:rsidR="008E0589" w:rsidRDefault="008E0589" w:rsidP="008E0589">
      <w:r>
        <w:rPr>
          <w:bCs/>
          <w:i/>
          <w:szCs w:val="24"/>
        </w:rPr>
        <w:t xml:space="preserve">Land Management Recommendations Related to The Value of Low Road Density Areas </w:t>
      </w:r>
      <w:r>
        <w:rPr>
          <w:bCs/>
          <w:i/>
        </w:rPr>
        <w:t>In the Conservation of Listed Salmon, Steelhead, and Bull Trout</w:t>
      </w:r>
      <w:r>
        <w:rPr>
          <w:bCs/>
        </w:rPr>
        <w:t xml:space="preserve">: </w:t>
      </w:r>
      <w:r>
        <w:t xml:space="preserve">A Commitment made as part of the Biological Opinions For Chinook Salmon and Steelhead (Snake River and upper Columbia River) and Bull Trout (Columbia and Klamath Rivers-areas not covered by the Northwest Forest Plan); Final Report; </w:t>
      </w:r>
      <w:r>
        <w:rPr>
          <w:szCs w:val="24"/>
        </w:rPr>
        <w:t xml:space="preserve">January 30, 2002; </w:t>
      </w:r>
      <w:r>
        <w:t xml:space="preserve">Prepared by the: Road Density Analysis Task Team. </w:t>
      </w:r>
    </w:p>
    <w:p w:rsidR="008E0589" w:rsidRDefault="00F03224" w:rsidP="008E0589">
      <w:hyperlink r:id="rId146" w:history="1">
        <w:r w:rsidR="008E0589">
          <w:rPr>
            <w:rStyle w:val="Hyperlink"/>
          </w:rPr>
          <w:t>http://web.archive.org/web/20021123151942/http://www.blm.gov/nhp/efoia/or/FY2002/IB/ib-or-2002-134.htm</w:t>
        </w:r>
      </w:hyperlink>
      <w:r w:rsidR="008E0589">
        <w:t>.</w:t>
      </w:r>
    </w:p>
    <w:p w:rsidR="008E0589" w:rsidRDefault="008E0589" w:rsidP="00C13CE6"/>
    <w:p w:rsidR="008E0589" w:rsidRDefault="008E0589" w:rsidP="008E0589">
      <w:pPr>
        <w:rPr>
          <w:color w:val="000000"/>
        </w:rPr>
      </w:pPr>
      <w:r>
        <w:rPr>
          <w:color w:val="000000"/>
        </w:rPr>
        <w:t>The Forest Service should follow its internal guidance (effective 1/30/2015) for “broad and inclusive” identification of potential wilderness, and public involvement in that process. The FS Planning Handbook says:</w:t>
      </w:r>
    </w:p>
    <w:p w:rsidR="008E0589" w:rsidRDefault="008E0589" w:rsidP="006B32F3">
      <w:pPr>
        <w:ind w:left="720"/>
        <w:rPr>
          <w:sz w:val="20"/>
        </w:rPr>
      </w:pPr>
      <w:r>
        <w:t xml:space="preserve">The primary function of the inventory step is to efficiently, effectively, and transparently identify all lands in the plan area that may have wilderness characteristics as defined in the Wilderness Act.  </w:t>
      </w:r>
    </w:p>
    <w:p w:rsidR="008E0589" w:rsidRDefault="008E0589" w:rsidP="008E0589">
      <w:pPr>
        <w:ind w:left="720"/>
      </w:pPr>
    </w:p>
    <w:p w:rsidR="008E0589" w:rsidRDefault="008E0589" w:rsidP="008E0589">
      <w:pPr>
        <w:ind w:left="720"/>
      </w:pPr>
      <w:r>
        <w:t xml:space="preserve">The inventory is intended to be reasonably broad and inclusive, based on the inventory criteria set out in this section and additional information provided to the Responsible Official through the required opportunities for public and government participation (sec. </w:t>
      </w:r>
      <w:r>
        <w:lastRenderedPageBreak/>
        <w:t>70.61 of this Handbook).  The intent is to identify lands that may be suitable, so that they can be evaluated and to allow for public input and feedback …</w:t>
      </w:r>
    </w:p>
    <w:p w:rsidR="008E0589" w:rsidRDefault="008E0589" w:rsidP="008E0589">
      <w:pPr>
        <w:ind w:left="720"/>
      </w:pPr>
      <w:r>
        <w:t>…</w:t>
      </w:r>
    </w:p>
    <w:p w:rsidR="008E0589" w:rsidRDefault="008E0589" w:rsidP="008E0589">
      <w:pPr>
        <w:ind w:left="720"/>
      </w:pPr>
      <w:r>
        <w:t>Include in the inventory areas that contain the following road improvement attributes if the areas also meet the other inventory criteria…</w:t>
      </w:r>
    </w:p>
    <w:p w:rsidR="008E0589" w:rsidRDefault="008E0589" w:rsidP="008E0589">
      <w:pPr>
        <w:pStyle w:val="NumberLista"/>
        <w:numPr>
          <w:ilvl w:val="0"/>
          <w:numId w:val="13"/>
        </w:numPr>
        <w:spacing w:before="0"/>
      </w:pPr>
      <w:r>
        <w:t xml:space="preserve">Areas that contain forest roads maintained to level 1; </w:t>
      </w:r>
    </w:p>
    <w:p w:rsidR="008E0589" w:rsidRDefault="008E0589" w:rsidP="008E0589">
      <w:pPr>
        <w:pStyle w:val="NumberLista"/>
        <w:numPr>
          <w:ilvl w:val="0"/>
          <w:numId w:val="13"/>
        </w:numPr>
        <w:spacing w:before="0"/>
      </w:pPr>
      <w:r>
        <w:t>Areas with any routes that are decommissioned, unauthorized or temporary, or forest roads that are identified for decommissioning</w:t>
      </w:r>
      <w:r>
        <w:rPr>
          <w:rFonts w:ascii="Calibri" w:hAnsi="Calibri"/>
          <w:bCs/>
        </w:rPr>
        <w:t xml:space="preserve"> </w:t>
      </w:r>
      <w:r>
        <w:t>in a previous decision document, or identified as likely unneeded in a travel management plan …</w:t>
      </w:r>
    </w:p>
    <w:p w:rsidR="008E0589" w:rsidRDefault="008E0589" w:rsidP="008E0589">
      <w:pPr>
        <w:pStyle w:val="NumberLista"/>
        <w:spacing w:before="0"/>
      </w:pPr>
      <w:r>
        <w:t>…</w:t>
      </w:r>
    </w:p>
    <w:p w:rsidR="008E0589" w:rsidRDefault="008E0589" w:rsidP="008E0589">
      <w:pPr>
        <w:pStyle w:val="NumberLista"/>
        <w:spacing w:before="0"/>
      </w:pPr>
      <w:r>
        <w:t xml:space="preserve">f.  Areas with historical wagon routes, historical mining routes, or other settlement era transportation features considered part of the historical and cultural landscape of the area. </w:t>
      </w:r>
    </w:p>
    <w:p w:rsidR="008E0589" w:rsidRDefault="008E0589" w:rsidP="008E0589">
      <w:pPr>
        <w:pStyle w:val="NumberLista"/>
        <w:spacing w:before="0"/>
      </w:pPr>
      <w:r>
        <w:t>…</w:t>
      </w:r>
    </w:p>
    <w:p w:rsidR="008E0589" w:rsidRDefault="008E0589" w:rsidP="008E0589">
      <w:pPr>
        <w:pStyle w:val="NumberLista"/>
        <w:spacing w:before="0"/>
        <w:ind w:left="720"/>
      </w:pPr>
      <w:r>
        <w:t>[The following developments should also be included in the inventory]</w:t>
      </w:r>
    </w:p>
    <w:p w:rsidR="008E0589" w:rsidRDefault="008E0589" w:rsidP="008E0589">
      <w:pPr>
        <w:pStyle w:val="NumberList1"/>
        <w:spacing w:before="0"/>
        <w:ind w:left="1080"/>
      </w:pPr>
      <w:r>
        <w:t>2.  Vegetation treatments that are not substantially noticeable.</w:t>
      </w:r>
    </w:p>
    <w:p w:rsidR="008E0589" w:rsidRDefault="008E0589" w:rsidP="008E0589">
      <w:pPr>
        <w:pStyle w:val="NumberList1"/>
        <w:spacing w:before="0"/>
        <w:ind w:left="1080"/>
      </w:pPr>
      <w:r>
        <w:t xml:space="preserve">3.  Timber harvest areas where logging and prior road construction are not substantially noticeable. </w:t>
      </w:r>
    </w:p>
    <w:p w:rsidR="008E0589" w:rsidRDefault="008E0589" w:rsidP="008E0589">
      <w:pPr>
        <w:pStyle w:val="NumberList1"/>
        <w:spacing w:before="0"/>
        <w:ind w:left="1080"/>
      </w:pPr>
      <w:r>
        <w:t xml:space="preserve">4.  Permanently installed vertical structures, such as electronic installations that support television, radio, telephone, or cellular communications, provided their impacts, as well as their maintenance and access needs, are minimal.  </w:t>
      </w:r>
    </w:p>
    <w:p w:rsidR="008E0589" w:rsidRDefault="008E0589" w:rsidP="008E0589">
      <w:pPr>
        <w:pStyle w:val="NumberList1"/>
        <w:spacing w:before="0"/>
        <w:ind w:left="1080"/>
      </w:pPr>
      <w:r>
        <w:t>5.  Areas of mining activity where impacts are not substantially noticeable.</w:t>
      </w:r>
    </w:p>
    <w:p w:rsidR="008E0589" w:rsidRDefault="008E0589" w:rsidP="008E0589">
      <w:pPr>
        <w:pStyle w:val="NumberList1"/>
        <w:spacing w:before="0"/>
        <w:ind w:left="1080"/>
      </w:pPr>
      <w:r>
        <w:t>…</w:t>
      </w:r>
    </w:p>
    <w:p w:rsidR="008E0589" w:rsidRDefault="008E0589" w:rsidP="008E0589">
      <w:pPr>
        <w:pStyle w:val="NumberList1"/>
        <w:spacing w:before="0"/>
        <w:ind w:left="1080"/>
      </w:pPr>
      <w:r>
        <w:t>10.  Lands adjacent to development or activities that impact opportunities for solitude.  The fact that nonwilderness activities or uses can be seen or heard from within any portion of the area, must not, of itself, preclude inclusion in the inventory.  It is appropriate to extend boundaries to the edges of development for purposes of inclusion in the inventory.</w:t>
      </w:r>
    </w:p>
    <w:p w:rsidR="008E0589" w:rsidRDefault="008E0589" w:rsidP="008E0589">
      <w:pPr>
        <w:pStyle w:val="NumberLista"/>
        <w:spacing w:before="0"/>
        <w:ind w:left="720"/>
      </w:pPr>
      <w:r>
        <w:t>…</w:t>
      </w:r>
    </w:p>
    <w:p w:rsidR="008E0589" w:rsidRDefault="008E0589" w:rsidP="008E0589">
      <w:pPr>
        <w:pStyle w:val="NumberLista"/>
        <w:spacing w:before="0"/>
        <w:ind w:left="720"/>
      </w:pPr>
      <w:r>
        <w:t xml:space="preserve">The Responsible Official shall ensure that the Interdisciplinary Team documents the evaluation … The intent is to ensure that the process for inventory and evaluation is transparent and accessible to the public for input and feedback.  </w:t>
      </w:r>
    </w:p>
    <w:p w:rsidR="008E0589" w:rsidRDefault="008E0589" w:rsidP="008E0589">
      <w:pPr>
        <w:pStyle w:val="NumberLista"/>
        <w:spacing w:before="0"/>
        <w:ind w:left="720"/>
      </w:pPr>
      <w:r>
        <w:t>…</w:t>
      </w:r>
    </w:p>
    <w:p w:rsidR="008E0589" w:rsidRDefault="008E0589" w:rsidP="008E0589">
      <w:pPr>
        <w:pStyle w:val="NumberLista"/>
        <w:spacing w:before="0"/>
        <w:ind w:left="720"/>
        <w:rPr>
          <w:color w:val="000000"/>
        </w:rPr>
      </w:pPr>
      <w:r>
        <w:t xml:space="preserve">Evaluate the degree to which the area has outstanding opportunities for solitude or for a primitive and unconfined type of recreation.  The word “or” means that an area only has to possess one or the other.  The area does not have to possess outstanding opportunities for both elements, nor does it need to have outstanding opportunities on every acre.  </w:t>
      </w:r>
    </w:p>
    <w:p w:rsidR="008E0589" w:rsidRDefault="008E0589" w:rsidP="008E0589">
      <w:pPr>
        <w:rPr>
          <w:color w:val="000000"/>
        </w:rPr>
      </w:pPr>
      <w:r>
        <w:rPr>
          <w:color w:val="000000"/>
        </w:rPr>
        <w:t xml:space="preserve">2012 Planning Rule Directives.  </w:t>
      </w:r>
      <w:r w:rsidRPr="00B46402">
        <w:rPr>
          <w:color w:val="000000"/>
        </w:rPr>
        <w:t>FSH 1909.12- Chapter 70</w:t>
      </w:r>
      <w:r>
        <w:rPr>
          <w:color w:val="000000"/>
        </w:rPr>
        <w:t xml:space="preserve"> –</w:t>
      </w:r>
      <w:r w:rsidRPr="00B46402">
        <w:rPr>
          <w:color w:val="000000"/>
        </w:rPr>
        <w:t xml:space="preserve"> Wilderness</w:t>
      </w:r>
      <w:r>
        <w:rPr>
          <w:color w:val="000000"/>
        </w:rPr>
        <w:t xml:space="preserve">. </w:t>
      </w:r>
      <w:hyperlink r:id="rId147" w:history="1">
        <w:r w:rsidRPr="007C5B93">
          <w:rPr>
            <w:rStyle w:val="Hyperlink"/>
          </w:rPr>
          <w:t>http://www.fs.usda.gov/detail/planningrule/home/?cid=stelprd3828310</w:t>
        </w:r>
      </w:hyperlink>
    </w:p>
    <w:p w:rsidR="008E0589" w:rsidRDefault="008E0589" w:rsidP="00321760"/>
    <w:p w:rsidR="00321760" w:rsidRDefault="00321760" w:rsidP="00321760">
      <w:r>
        <w:t xml:space="preserve">The </w:t>
      </w:r>
      <w:r w:rsidRPr="00321760">
        <w:t>International Union for Conservation of Nature</w:t>
      </w:r>
      <w:r>
        <w:t xml:space="preserve"> (2020) recognizes “</w:t>
      </w:r>
      <w:r w:rsidRPr="000D35DA">
        <w:t xml:space="preserve">While primary forests of all extents have conservation value, areas of greater extent warrant particular attention where they persist, as they support more biodiversity, contain larger carbon stocks, provide more ecosystem services, encompass larger-scaled natural processes, and are more resilient to external stresses. The significance of large areas of primary forests has been highlighted by the global mapping of Intact Forest Landscapes (IFL) greater than 500 km2 in extent. While </w:t>
      </w:r>
      <w:r w:rsidRPr="000D35DA">
        <w:lastRenderedPageBreak/>
        <w:t xml:space="preserve">suitable for many purposes, other thresholds may be more suitable at regional and national levels that reflect local ecological factors.” IUCN Policy Statement on Primary Forests, </w:t>
      </w:r>
      <w:hyperlink r:id="rId148" w:history="1">
        <w:r w:rsidRPr="003213B8">
          <w:rPr>
            <w:rStyle w:val="Hyperlink"/>
          </w:rPr>
          <w:t>https://www.iucn.org/sites/dev/files/content/documents/iucn_pf-ifl_policy_2020_approved_version.pdf</w:t>
        </w:r>
      </w:hyperlink>
      <w:r>
        <w:t xml:space="preserve">. </w:t>
      </w:r>
    </w:p>
    <w:p w:rsidR="001E0E14" w:rsidRDefault="001E0E14" w:rsidP="001E0E14"/>
    <w:p w:rsidR="0069460F" w:rsidRDefault="0069460F" w:rsidP="0069460F">
      <w:r>
        <w:t xml:space="preserve">An international group of scientists has identified a diverse array of important values provided by roadless areas, including: </w:t>
      </w:r>
    </w:p>
    <w:p w:rsidR="0069460F" w:rsidRPr="008B4EA7" w:rsidRDefault="0069460F" w:rsidP="0069460F">
      <w:pPr>
        <w:ind w:left="720"/>
        <w:rPr>
          <w:b/>
        </w:rPr>
      </w:pPr>
      <w:r w:rsidRPr="008B4EA7">
        <w:rPr>
          <w:b/>
        </w:rPr>
        <w:t>ROADLESS AREAS - biodiversity conservation</w:t>
      </w:r>
    </w:p>
    <w:p w:rsidR="0069460F" w:rsidRDefault="0069460F" w:rsidP="0069460F">
      <w:pPr>
        <w:numPr>
          <w:ilvl w:val="0"/>
          <w:numId w:val="15"/>
        </w:numPr>
        <w:suppressAutoHyphens/>
        <w:spacing w:line="240" w:lineRule="auto"/>
      </w:pPr>
      <w:r>
        <w:t>Preservation of native biodiversity</w:t>
      </w:r>
    </w:p>
    <w:p w:rsidR="0069460F" w:rsidRDefault="0069460F" w:rsidP="0069460F">
      <w:pPr>
        <w:numPr>
          <w:ilvl w:val="0"/>
          <w:numId w:val="15"/>
        </w:numPr>
        <w:suppressAutoHyphens/>
        <w:spacing w:line="240" w:lineRule="auto"/>
      </w:pPr>
      <w:r>
        <w:t>Barrier against invasive species</w:t>
      </w:r>
    </w:p>
    <w:p w:rsidR="0069460F" w:rsidRDefault="0069460F" w:rsidP="0069460F">
      <w:pPr>
        <w:numPr>
          <w:ilvl w:val="0"/>
          <w:numId w:val="15"/>
        </w:numPr>
        <w:suppressAutoHyphens/>
        <w:spacing w:line="240" w:lineRule="auto"/>
      </w:pPr>
      <w:r>
        <w:t>Preservation of genetic resources</w:t>
      </w:r>
    </w:p>
    <w:p w:rsidR="0069460F" w:rsidRDefault="0069460F" w:rsidP="0069460F">
      <w:pPr>
        <w:numPr>
          <w:ilvl w:val="0"/>
          <w:numId w:val="15"/>
        </w:numPr>
        <w:suppressAutoHyphens/>
        <w:spacing w:line="240" w:lineRule="auto"/>
      </w:pPr>
      <w:r>
        <w:t>Maintenance of ecosystem connectivity and integrity</w:t>
      </w:r>
    </w:p>
    <w:p w:rsidR="0069460F" w:rsidRDefault="0069460F" w:rsidP="0069460F">
      <w:pPr>
        <w:numPr>
          <w:ilvl w:val="0"/>
          <w:numId w:val="15"/>
        </w:numPr>
        <w:suppressAutoHyphens/>
        <w:spacing w:line="240" w:lineRule="auto"/>
      </w:pPr>
      <w:r>
        <w:t>Ensure habitat for viability of populations</w:t>
      </w:r>
    </w:p>
    <w:p w:rsidR="0069460F" w:rsidRDefault="0069460F" w:rsidP="0069460F">
      <w:pPr>
        <w:numPr>
          <w:ilvl w:val="0"/>
          <w:numId w:val="15"/>
        </w:numPr>
        <w:suppressAutoHyphens/>
        <w:spacing w:line="240" w:lineRule="auto"/>
      </w:pPr>
      <w:r>
        <w:t>Provide migration corridors and stopovers</w:t>
      </w:r>
    </w:p>
    <w:p w:rsidR="0069460F" w:rsidRDefault="0069460F" w:rsidP="0069460F">
      <w:pPr>
        <w:ind w:left="720"/>
      </w:pPr>
    </w:p>
    <w:p w:rsidR="0069460F" w:rsidRPr="008B4EA7" w:rsidRDefault="0069460F" w:rsidP="0069460F">
      <w:pPr>
        <w:ind w:left="720"/>
        <w:rPr>
          <w:b/>
        </w:rPr>
      </w:pPr>
      <w:r w:rsidRPr="008B4EA7">
        <w:rPr>
          <w:b/>
        </w:rPr>
        <w:t>ROADLESS AREAS - ecosystem services</w:t>
      </w:r>
    </w:p>
    <w:p w:rsidR="0069460F" w:rsidRDefault="0069460F" w:rsidP="0069460F">
      <w:pPr>
        <w:numPr>
          <w:ilvl w:val="0"/>
          <w:numId w:val="15"/>
        </w:numPr>
        <w:suppressAutoHyphens/>
        <w:spacing w:line="240" w:lineRule="auto"/>
      </w:pPr>
      <w:r>
        <w:t>Water regulation and supply</w:t>
      </w:r>
    </w:p>
    <w:p w:rsidR="0069460F" w:rsidRDefault="0069460F" w:rsidP="0069460F">
      <w:pPr>
        <w:numPr>
          <w:ilvl w:val="0"/>
          <w:numId w:val="15"/>
        </w:numPr>
        <w:suppressAutoHyphens/>
        <w:spacing w:line="240" w:lineRule="auto"/>
      </w:pPr>
      <w:r>
        <w:t>Erosion control</w:t>
      </w:r>
    </w:p>
    <w:p w:rsidR="0069460F" w:rsidRDefault="0069460F" w:rsidP="0069460F">
      <w:pPr>
        <w:numPr>
          <w:ilvl w:val="0"/>
          <w:numId w:val="15"/>
        </w:numPr>
        <w:suppressAutoHyphens/>
        <w:spacing w:line="240" w:lineRule="auto"/>
      </w:pPr>
      <w:r>
        <w:t>Air quality</w:t>
      </w:r>
    </w:p>
    <w:p w:rsidR="0069460F" w:rsidRDefault="0069460F" w:rsidP="0069460F">
      <w:pPr>
        <w:numPr>
          <w:ilvl w:val="0"/>
          <w:numId w:val="15"/>
        </w:numPr>
        <w:suppressAutoHyphens/>
        <w:spacing w:line="240" w:lineRule="auto"/>
      </w:pPr>
      <w:r>
        <w:t>Climate regulation</w:t>
      </w:r>
    </w:p>
    <w:p w:rsidR="0069460F" w:rsidRDefault="0069460F" w:rsidP="0069460F">
      <w:pPr>
        <w:numPr>
          <w:ilvl w:val="0"/>
          <w:numId w:val="15"/>
        </w:numPr>
        <w:suppressAutoHyphens/>
        <w:spacing w:line="240" w:lineRule="auto"/>
      </w:pPr>
      <w:r>
        <w:t>Disease control (e.g. Lyme disease)</w:t>
      </w:r>
    </w:p>
    <w:p w:rsidR="0069460F" w:rsidRDefault="0069460F" w:rsidP="0069460F">
      <w:pPr>
        <w:numPr>
          <w:ilvl w:val="0"/>
          <w:numId w:val="15"/>
        </w:numPr>
        <w:suppressAutoHyphens/>
        <w:spacing w:line="240" w:lineRule="auto"/>
      </w:pPr>
      <w:r>
        <w:t>Pollination of crops</w:t>
      </w:r>
    </w:p>
    <w:p w:rsidR="0069460F" w:rsidRDefault="0069460F" w:rsidP="0069460F">
      <w:pPr>
        <w:numPr>
          <w:ilvl w:val="0"/>
          <w:numId w:val="15"/>
        </w:numPr>
        <w:suppressAutoHyphens/>
        <w:spacing w:line="240" w:lineRule="auto"/>
      </w:pPr>
      <w:r>
        <w:t>High resilience to pest outbreak</w:t>
      </w:r>
    </w:p>
    <w:p w:rsidR="0069460F" w:rsidRDefault="0069460F" w:rsidP="0069460F">
      <w:pPr>
        <w:numPr>
          <w:ilvl w:val="0"/>
          <w:numId w:val="15"/>
        </w:numPr>
        <w:suppressAutoHyphens/>
        <w:spacing w:line="240" w:lineRule="auto"/>
      </w:pPr>
      <w:r>
        <w:t>Recreation</w:t>
      </w:r>
    </w:p>
    <w:p w:rsidR="0069460F" w:rsidRDefault="0069460F" w:rsidP="0069460F">
      <w:pPr>
        <w:numPr>
          <w:ilvl w:val="0"/>
          <w:numId w:val="15"/>
        </w:numPr>
        <w:suppressAutoHyphens/>
        <w:spacing w:line="240" w:lineRule="auto"/>
      </w:pPr>
      <w:r>
        <w:t>Education and scientific value</w:t>
      </w:r>
    </w:p>
    <w:p w:rsidR="0069460F" w:rsidRDefault="0069460F" w:rsidP="0069460F">
      <w:pPr>
        <w:ind w:left="720"/>
      </w:pPr>
    </w:p>
    <w:p w:rsidR="0069460F" w:rsidRPr="008B4EA7" w:rsidRDefault="0069460F" w:rsidP="0069460F">
      <w:pPr>
        <w:ind w:left="720"/>
        <w:rPr>
          <w:b/>
        </w:rPr>
      </w:pPr>
      <w:r w:rsidRPr="008B4EA7">
        <w:rPr>
          <w:b/>
        </w:rPr>
        <w:t>ROADLESS AREAS - climate change</w:t>
      </w:r>
    </w:p>
    <w:p w:rsidR="0069460F" w:rsidRDefault="0069460F" w:rsidP="0069460F">
      <w:pPr>
        <w:numPr>
          <w:ilvl w:val="0"/>
          <w:numId w:val="15"/>
        </w:numPr>
        <w:suppressAutoHyphens/>
        <w:spacing w:line="240" w:lineRule="auto"/>
      </w:pPr>
      <w:r>
        <w:t>High resilience and buffering capacity</w:t>
      </w:r>
    </w:p>
    <w:p w:rsidR="0069460F" w:rsidRDefault="0069460F" w:rsidP="0069460F">
      <w:pPr>
        <w:numPr>
          <w:ilvl w:val="0"/>
          <w:numId w:val="15"/>
        </w:numPr>
        <w:suppressAutoHyphens/>
        <w:spacing w:line="240" w:lineRule="auto"/>
      </w:pPr>
      <w:r>
        <w:t>Protection against catastrophic events (e.g. fires, landslides, floods)</w:t>
      </w:r>
    </w:p>
    <w:p w:rsidR="0069460F" w:rsidRDefault="0069460F" w:rsidP="0069460F">
      <w:pPr>
        <w:numPr>
          <w:ilvl w:val="0"/>
          <w:numId w:val="15"/>
        </w:numPr>
        <w:suppressAutoHyphens/>
        <w:spacing w:line="240" w:lineRule="auto"/>
      </w:pPr>
      <w:r>
        <w:t>Carbon sequestration and decrease of greenhouse gases effects</w:t>
      </w:r>
    </w:p>
    <w:p w:rsidR="0069460F" w:rsidRDefault="0069460F" w:rsidP="0069460F">
      <w:pPr>
        <w:numPr>
          <w:ilvl w:val="0"/>
          <w:numId w:val="15"/>
        </w:numPr>
        <w:suppressAutoHyphens/>
        <w:spacing w:line="240" w:lineRule="auto"/>
      </w:pPr>
      <w:r>
        <w:t>Support species adaptation</w:t>
      </w:r>
    </w:p>
    <w:p w:rsidR="0069460F" w:rsidRDefault="0069460F" w:rsidP="0069460F">
      <w:r w:rsidRPr="00E92C48">
        <w:t>2016 Roadless Initiative / Centre for Economics and Ecosystem Man</w:t>
      </w:r>
      <w:r>
        <w:t>agement,</w:t>
      </w:r>
      <w:r w:rsidRPr="00E92C48">
        <w:t xml:space="preserve"> </w:t>
      </w:r>
      <w:r>
        <w:t xml:space="preserve"> </w:t>
      </w:r>
      <w:hyperlink r:id="rId149" w:history="1">
        <w:r w:rsidRPr="00685DEB">
          <w:rPr>
            <w:rStyle w:val="Hyperlink"/>
          </w:rPr>
          <w:t>http://www.roadless.online/roadless-areas/</w:t>
        </w:r>
      </w:hyperlink>
      <w:r>
        <w:t xml:space="preserve"> And conserving roadless areas is an efficient and economical way to meet many of these goals. </w:t>
      </w:r>
      <w:r w:rsidRPr="000F178D">
        <w:t>PRESS RELEASE, Hyderabad, India, 18 October 2012, Protecting Roadless Areas: Meeting the Nagoya targets in a cost efficient and effective way</w:t>
      </w:r>
      <w:r>
        <w:t xml:space="preserve"> </w:t>
      </w:r>
      <w:hyperlink r:id="rId150" w:history="1">
        <w:r w:rsidRPr="00685DEB">
          <w:rPr>
            <w:rStyle w:val="Hyperlink"/>
          </w:rPr>
          <w:t>http://www.roadless.online/wp-content/download/docs/Press%20Release%20Protecting%20Roadless%20Areas%20COP11%20CBD.pdf</w:t>
        </w:r>
      </w:hyperlink>
      <w:r>
        <w:t>. Impacts to these values should be carefully evaluated before logging, road building, or using heavy equipment in roadless areas.</w:t>
      </w:r>
    </w:p>
    <w:p w:rsidR="0069460F" w:rsidRPr="00170C8F" w:rsidRDefault="0069460F">
      <w:pPr>
        <w:rPr>
          <w:rFonts w:cs="Times New Roman"/>
          <w:szCs w:val="24"/>
        </w:rPr>
      </w:pPr>
    </w:p>
    <w:p w:rsidR="001E0E14" w:rsidRPr="00170C8F" w:rsidRDefault="001E0E14" w:rsidP="001E0E14">
      <w:pPr>
        <w:rPr>
          <w:rFonts w:cs="Times New Roman"/>
          <w:szCs w:val="24"/>
        </w:rPr>
      </w:pPr>
      <w:r w:rsidRPr="00170C8F">
        <w:rPr>
          <w:rFonts w:cs="Times New Roman"/>
          <w:szCs w:val="24"/>
        </w:rPr>
        <w:t>World Wildlife Fund and the Conservation Biology Institute summarized the important attributes of small roadless areas (1,000-5,000 acres).</w:t>
      </w:r>
    </w:p>
    <w:p w:rsidR="001E0E14" w:rsidRPr="00F07B56" w:rsidRDefault="001E0E14" w:rsidP="001E0E14">
      <w:pPr>
        <w:ind w:left="720"/>
        <w:rPr>
          <w:rFonts w:cs="Times New Roman"/>
          <w:szCs w:val="24"/>
        </w:rPr>
      </w:pPr>
      <w:r w:rsidRPr="00F07B56">
        <w:rPr>
          <w:rFonts w:cs="Times New Roman"/>
          <w:szCs w:val="24"/>
        </w:rPr>
        <w:t>Small roadless areas share many of attributes in common with larger ones, including:</w:t>
      </w:r>
    </w:p>
    <w:p w:rsidR="001E0E14" w:rsidRPr="00F07B56" w:rsidRDefault="001E0E14" w:rsidP="001E0E14">
      <w:pPr>
        <w:ind w:left="720"/>
        <w:rPr>
          <w:rFonts w:cs="Times New Roman"/>
          <w:szCs w:val="24"/>
        </w:rPr>
      </w:pPr>
      <w:r w:rsidRPr="00F07B56">
        <w:rPr>
          <w:rFonts w:cs="Times New Roman"/>
          <w:szCs w:val="24"/>
        </w:rPr>
        <w:t>• Essential habitat for species key to the recovery of forests following disturbance such as herbaceous plants, lichens, and mycorrhizal fungi</w:t>
      </w:r>
    </w:p>
    <w:p w:rsidR="001E0E14" w:rsidRPr="00F07B56" w:rsidRDefault="001E0E14" w:rsidP="001E0E14">
      <w:pPr>
        <w:ind w:left="720"/>
        <w:rPr>
          <w:rFonts w:cs="Times New Roman"/>
          <w:szCs w:val="24"/>
        </w:rPr>
      </w:pPr>
      <w:r w:rsidRPr="00F07B56">
        <w:rPr>
          <w:rFonts w:cs="Times New Roman"/>
          <w:szCs w:val="24"/>
        </w:rPr>
        <w:lastRenderedPageBreak/>
        <w:t>• Habitat refugia for threatened species and those with restricted distributions (endemics)</w:t>
      </w:r>
    </w:p>
    <w:p w:rsidR="001E0E14" w:rsidRPr="00F07B56" w:rsidRDefault="001E0E14" w:rsidP="001E0E14">
      <w:pPr>
        <w:ind w:left="720"/>
        <w:rPr>
          <w:rFonts w:cs="Times New Roman"/>
          <w:szCs w:val="24"/>
        </w:rPr>
      </w:pPr>
      <w:r w:rsidRPr="00F07B56">
        <w:rPr>
          <w:rFonts w:cs="Times New Roman"/>
          <w:szCs w:val="24"/>
        </w:rPr>
        <w:t>• Aquatic strongholds for salmonids</w:t>
      </w:r>
    </w:p>
    <w:p w:rsidR="001E0E14" w:rsidRPr="00F07B56" w:rsidRDefault="001E0E14" w:rsidP="001E0E14">
      <w:pPr>
        <w:ind w:left="720"/>
        <w:rPr>
          <w:rFonts w:cs="Times New Roman"/>
          <w:szCs w:val="24"/>
        </w:rPr>
      </w:pPr>
      <w:r w:rsidRPr="00F07B56">
        <w:rPr>
          <w:rFonts w:cs="Times New Roman"/>
          <w:szCs w:val="24"/>
        </w:rPr>
        <w:t>• Undisturbed habitats for mollusks and amphibians</w:t>
      </w:r>
    </w:p>
    <w:p w:rsidR="001E0E14" w:rsidRPr="00F07B56" w:rsidRDefault="001E0E14" w:rsidP="001E0E14">
      <w:pPr>
        <w:ind w:left="720"/>
        <w:rPr>
          <w:rFonts w:cs="Times New Roman"/>
          <w:szCs w:val="24"/>
        </w:rPr>
      </w:pPr>
      <w:r w:rsidRPr="00F07B56">
        <w:rPr>
          <w:rFonts w:cs="Times New Roman"/>
          <w:szCs w:val="24"/>
        </w:rPr>
        <w:t>• Remaining pockets of old-growth forests</w:t>
      </w:r>
    </w:p>
    <w:p w:rsidR="001E0E14" w:rsidRPr="00F07B56" w:rsidRDefault="001E0E14" w:rsidP="001E0E14">
      <w:pPr>
        <w:ind w:left="720"/>
        <w:rPr>
          <w:rFonts w:cs="Times New Roman"/>
          <w:szCs w:val="24"/>
        </w:rPr>
      </w:pPr>
      <w:r w:rsidRPr="00F07B56">
        <w:rPr>
          <w:rFonts w:cs="Times New Roman"/>
          <w:szCs w:val="24"/>
        </w:rPr>
        <w:t>• Overwintering habitat for resident birds and ungulates</w:t>
      </w:r>
    </w:p>
    <w:p w:rsidR="001E0E14" w:rsidRPr="00F07B56" w:rsidRDefault="001E0E14" w:rsidP="001E0E14">
      <w:pPr>
        <w:ind w:left="720"/>
        <w:rPr>
          <w:rFonts w:cs="Times New Roman"/>
          <w:szCs w:val="24"/>
        </w:rPr>
      </w:pPr>
      <w:r w:rsidRPr="00F07B56">
        <w:rPr>
          <w:rFonts w:cs="Times New Roman"/>
          <w:szCs w:val="24"/>
        </w:rPr>
        <w:t>• Dispersal “stepping stones” for wildlife movement across fragmented landscapes</w:t>
      </w:r>
    </w:p>
    <w:p w:rsidR="001E0E14" w:rsidRPr="00170C8F" w:rsidRDefault="001E0E14" w:rsidP="001E0E14">
      <w:pPr>
        <w:rPr>
          <w:rFonts w:cs="Times New Roman"/>
          <w:szCs w:val="24"/>
        </w:rPr>
      </w:pPr>
      <w:r w:rsidRPr="00170C8F">
        <w:rPr>
          <w:rFonts w:cs="Times New Roman"/>
          <w:szCs w:val="24"/>
        </w:rPr>
        <w:t xml:space="preserve">DellaSala, Dominick and James Strittholt. 2002. Scientific Basis For Roadless Area Conservation. World Wildlife Fund. Ashland, OR; Conservation Biology Institute. (June 2002 - Updated October 2003) </w:t>
      </w:r>
      <w:hyperlink r:id="rId151" w:history="1">
        <w:r w:rsidRPr="006A3808">
          <w:rPr>
            <w:rStyle w:val="Hyperlink"/>
            <w:rFonts w:ascii="Times New Roman" w:hAnsi="Times New Roman" w:cs="Times New Roman"/>
            <w:szCs w:val="24"/>
          </w:rPr>
          <w:t>https://d2k78bk4kdhbpr.cloudfront.net/media/reports/files/Scientific_Basis_For_Roadless_Area_Conservation.pdf</w:t>
        </w:r>
      </w:hyperlink>
      <w:r w:rsidRPr="00170C8F">
        <w:rPr>
          <w:rFonts w:cs="Times New Roman"/>
          <w:szCs w:val="24"/>
        </w:rPr>
        <w:t xml:space="preserve">. </w:t>
      </w:r>
    </w:p>
    <w:p w:rsidR="00321760" w:rsidRPr="00170C8F" w:rsidRDefault="00321760" w:rsidP="001E0E14">
      <w:pPr>
        <w:rPr>
          <w:rFonts w:cs="Times New Roman"/>
          <w:szCs w:val="24"/>
        </w:rPr>
      </w:pPr>
    </w:p>
    <w:p w:rsidR="00321760" w:rsidRPr="00170C8F" w:rsidRDefault="00321760" w:rsidP="00321760">
      <w:pPr>
        <w:rPr>
          <w:rFonts w:cs="Times New Roman"/>
          <w:szCs w:val="24"/>
        </w:rPr>
      </w:pPr>
      <w:r w:rsidRPr="00170C8F">
        <w:rPr>
          <w:rFonts w:cs="Times New Roman"/>
          <w:szCs w:val="24"/>
        </w:rPr>
        <w:t>Scientific recognition of the importance of “small” roadless areas in the Columbia Basin goes back at to 1994 when several scientific societies submitted a report to Congress and the President recommending conservation of roadless areas larger than 1,000 acres. This report is described by the Interior Columbia Ecosystem Management Project as a “Major Stud[y] of Eastside Ecosystems and Management.”</w:t>
      </w:r>
    </w:p>
    <w:p w:rsidR="00321760" w:rsidRPr="009569C2" w:rsidRDefault="00321760" w:rsidP="009569C2">
      <w:pPr>
        <w:autoSpaceDE w:val="0"/>
        <w:autoSpaceDN w:val="0"/>
        <w:adjustRightInd w:val="0"/>
        <w:ind w:left="720"/>
        <w:rPr>
          <w:rFonts w:cs="Times New Roman"/>
          <w:szCs w:val="24"/>
        </w:rPr>
      </w:pPr>
      <w:r w:rsidRPr="009569C2">
        <w:rPr>
          <w:rFonts w:cs="Times New Roman"/>
          <w:szCs w:val="24"/>
        </w:rPr>
        <w:t>Because roads crisscross so many forested areas on the Eastside, existing roadless regions have enormous ecological value. … Although roads were intended as innocuous corridors to ease the movement of humans and commodities across the landscape, they harm the water, soils, plants, and animals in those landscapes. [p 6]</w:t>
      </w:r>
    </w:p>
    <w:p w:rsidR="00321760" w:rsidRPr="009569C2" w:rsidRDefault="00321760" w:rsidP="009569C2">
      <w:pPr>
        <w:ind w:left="720"/>
        <w:rPr>
          <w:rFonts w:cs="Times New Roman"/>
          <w:color w:val="101010"/>
          <w:szCs w:val="24"/>
        </w:rPr>
      </w:pPr>
      <w:r w:rsidRPr="009569C2">
        <w:rPr>
          <w:rFonts w:cs="Times New Roman"/>
          <w:color w:val="101010"/>
          <w:szCs w:val="24"/>
        </w:rPr>
        <w:t>…</w:t>
      </w:r>
    </w:p>
    <w:p w:rsidR="00321760" w:rsidRPr="009569C2" w:rsidRDefault="00321760" w:rsidP="009569C2">
      <w:pPr>
        <w:autoSpaceDE w:val="0"/>
        <w:autoSpaceDN w:val="0"/>
        <w:adjustRightInd w:val="0"/>
        <w:ind w:left="720"/>
        <w:rPr>
          <w:rFonts w:cs="Times New Roman"/>
          <w:b/>
          <w:bCs/>
          <w:color w:val="060606"/>
          <w:szCs w:val="24"/>
        </w:rPr>
      </w:pPr>
      <w:r w:rsidRPr="009569C2">
        <w:rPr>
          <w:rFonts w:cs="Times New Roman"/>
          <w:b/>
          <w:bCs/>
          <w:color w:val="060606"/>
          <w:szCs w:val="24"/>
        </w:rPr>
        <w:t>4. Do not construct new roads or log within existing (1) roadless regions larger than 1000 acres or (2) roadless regions smaller than 1000 acres that are biologically significant.</w:t>
      </w:r>
    </w:p>
    <w:p w:rsidR="00321760" w:rsidRPr="009569C2" w:rsidRDefault="00321760" w:rsidP="009569C2">
      <w:pPr>
        <w:autoSpaceDE w:val="0"/>
        <w:autoSpaceDN w:val="0"/>
        <w:adjustRightInd w:val="0"/>
        <w:ind w:left="720"/>
        <w:rPr>
          <w:rFonts w:cs="Times New Roman"/>
          <w:color w:val="060606"/>
          <w:szCs w:val="24"/>
        </w:rPr>
      </w:pPr>
      <w:r w:rsidRPr="009569C2">
        <w:rPr>
          <w:rFonts w:cs="Times New Roman"/>
          <w:color w:val="060606"/>
          <w:szCs w:val="24"/>
        </w:rPr>
        <w:t>Roadles</w:t>
      </w:r>
      <w:r w:rsidRPr="009569C2">
        <w:rPr>
          <w:rFonts w:cs="Times New Roman"/>
          <w:color w:val="222222"/>
          <w:szCs w:val="24"/>
        </w:rPr>
        <w:t xml:space="preserve">s </w:t>
      </w:r>
      <w:r w:rsidRPr="009569C2">
        <w:rPr>
          <w:rFonts w:cs="Times New Roman"/>
          <w:color w:val="060606"/>
          <w:szCs w:val="24"/>
        </w:rPr>
        <w:t>regions constitute the least-human-disturbed fore</w:t>
      </w:r>
      <w:r w:rsidRPr="009569C2">
        <w:rPr>
          <w:rFonts w:cs="Times New Roman"/>
          <w:color w:val="222222"/>
          <w:szCs w:val="24"/>
        </w:rPr>
        <w:t>s</w:t>
      </w:r>
      <w:r w:rsidRPr="009569C2">
        <w:rPr>
          <w:rFonts w:cs="Times New Roman"/>
          <w:color w:val="060606"/>
          <w:szCs w:val="24"/>
        </w:rPr>
        <w:t xml:space="preserve">t and </w:t>
      </w:r>
      <w:r w:rsidRPr="009569C2">
        <w:rPr>
          <w:rFonts w:cs="Times New Roman"/>
          <w:color w:val="222222"/>
          <w:szCs w:val="24"/>
        </w:rPr>
        <w:t>s</w:t>
      </w:r>
      <w:r w:rsidRPr="009569C2">
        <w:rPr>
          <w:rFonts w:cs="Times New Roman"/>
          <w:color w:val="060606"/>
          <w:szCs w:val="24"/>
        </w:rPr>
        <w:t>tream system</w:t>
      </w:r>
      <w:r w:rsidRPr="009569C2">
        <w:rPr>
          <w:rFonts w:cs="Times New Roman"/>
          <w:color w:val="222222"/>
          <w:szCs w:val="24"/>
        </w:rPr>
        <w:t>s</w:t>
      </w:r>
      <w:r w:rsidRPr="009569C2">
        <w:rPr>
          <w:rFonts w:cs="Times New Roman"/>
          <w:color w:val="060606"/>
          <w:szCs w:val="24"/>
        </w:rPr>
        <w:t>, the last r</w:t>
      </w:r>
      <w:r w:rsidRPr="009569C2">
        <w:rPr>
          <w:rFonts w:cs="Times New Roman"/>
          <w:color w:val="222222"/>
          <w:szCs w:val="24"/>
        </w:rPr>
        <w:t>es</w:t>
      </w:r>
      <w:r w:rsidRPr="009569C2">
        <w:rPr>
          <w:rFonts w:cs="Times New Roman"/>
          <w:color w:val="060606"/>
          <w:szCs w:val="24"/>
        </w:rPr>
        <w:t>ervoir</w:t>
      </w:r>
      <w:r w:rsidRPr="009569C2">
        <w:rPr>
          <w:rFonts w:cs="Times New Roman"/>
          <w:color w:val="222222"/>
          <w:szCs w:val="24"/>
        </w:rPr>
        <w:t xml:space="preserve">s </w:t>
      </w:r>
      <w:r w:rsidRPr="009569C2">
        <w:rPr>
          <w:rFonts w:cs="Times New Roman"/>
          <w:color w:val="060606"/>
          <w:szCs w:val="24"/>
        </w:rPr>
        <w:t>of ecological diversity, and the primary benchmarks for restoring ecological health and integrity</w:t>
      </w:r>
      <w:r w:rsidRPr="009569C2">
        <w:rPr>
          <w:rFonts w:cs="Times New Roman"/>
          <w:color w:val="3C3C3C"/>
          <w:szCs w:val="24"/>
        </w:rPr>
        <w:t xml:space="preserve">. </w:t>
      </w:r>
      <w:r w:rsidRPr="009569C2">
        <w:rPr>
          <w:rFonts w:cs="Times New Roman"/>
          <w:color w:val="060606"/>
          <w:szCs w:val="24"/>
        </w:rPr>
        <w:t>Roads fragment habitat; alter the hydrological properties of watersheds; discharge excessive sediment to stream</w:t>
      </w:r>
      <w:r w:rsidRPr="009569C2">
        <w:rPr>
          <w:rFonts w:cs="Times New Roman"/>
          <w:color w:val="222222"/>
          <w:szCs w:val="24"/>
        </w:rPr>
        <w:t>s</w:t>
      </w:r>
      <w:r w:rsidRPr="009569C2">
        <w:rPr>
          <w:rFonts w:cs="Times New Roman"/>
          <w:color w:val="060606"/>
          <w:szCs w:val="24"/>
        </w:rPr>
        <w:t>; increase human acces</w:t>
      </w:r>
      <w:r w:rsidRPr="009569C2">
        <w:rPr>
          <w:rFonts w:cs="Times New Roman"/>
          <w:color w:val="222222"/>
          <w:szCs w:val="24"/>
        </w:rPr>
        <w:t xml:space="preserve">s </w:t>
      </w:r>
      <w:r w:rsidRPr="009569C2">
        <w:rPr>
          <w:rFonts w:cs="Times New Roman"/>
          <w:color w:val="060606"/>
          <w:szCs w:val="24"/>
        </w:rPr>
        <w:t>and thus disturbance to forest animals; and influence the dispersal of plant</w:t>
      </w:r>
      <w:r w:rsidRPr="009569C2">
        <w:rPr>
          <w:rFonts w:cs="Times New Roman"/>
          <w:color w:val="222222"/>
          <w:szCs w:val="24"/>
        </w:rPr>
        <w:t xml:space="preserve">s </w:t>
      </w:r>
      <w:r w:rsidRPr="009569C2">
        <w:rPr>
          <w:rFonts w:cs="Times New Roman"/>
          <w:color w:val="060606"/>
          <w:szCs w:val="24"/>
        </w:rPr>
        <w:t>and animals</w:t>
      </w:r>
      <w:r w:rsidRPr="009569C2">
        <w:rPr>
          <w:rFonts w:cs="Times New Roman"/>
          <w:color w:val="222222"/>
          <w:szCs w:val="24"/>
        </w:rPr>
        <w:t xml:space="preserve">, </w:t>
      </w:r>
      <w:r w:rsidRPr="009569C2">
        <w:rPr>
          <w:rFonts w:cs="Times New Roman"/>
          <w:color w:val="060606"/>
          <w:szCs w:val="24"/>
        </w:rPr>
        <w:t>especially exotic species, across th</w:t>
      </w:r>
      <w:r w:rsidRPr="009569C2">
        <w:rPr>
          <w:rFonts w:cs="Times New Roman"/>
          <w:color w:val="222222"/>
          <w:szCs w:val="24"/>
        </w:rPr>
        <w:t xml:space="preserve">e </w:t>
      </w:r>
      <w:r w:rsidRPr="009569C2">
        <w:rPr>
          <w:rFonts w:cs="Times New Roman"/>
          <w:color w:val="060606"/>
          <w:szCs w:val="24"/>
        </w:rPr>
        <w:t>landscape. Because many forested areas in eastern Oregon and Washington are heavily disse</w:t>
      </w:r>
      <w:r w:rsidRPr="009569C2">
        <w:rPr>
          <w:rFonts w:cs="Times New Roman"/>
          <w:color w:val="222222"/>
          <w:szCs w:val="24"/>
        </w:rPr>
        <w:t>c</w:t>
      </w:r>
      <w:r w:rsidRPr="009569C2">
        <w:rPr>
          <w:rFonts w:cs="Times New Roman"/>
          <w:color w:val="060606"/>
          <w:szCs w:val="24"/>
        </w:rPr>
        <w:t>ted by road</w:t>
      </w:r>
      <w:r w:rsidRPr="009569C2">
        <w:rPr>
          <w:rFonts w:cs="Times New Roman"/>
          <w:color w:val="222222"/>
          <w:szCs w:val="24"/>
        </w:rPr>
        <w:t xml:space="preserve">s, </w:t>
      </w:r>
      <w:r w:rsidRPr="009569C2">
        <w:rPr>
          <w:rFonts w:cs="Times New Roman"/>
          <w:color w:val="060606"/>
          <w:szCs w:val="24"/>
        </w:rPr>
        <w:t>the ecological value of existing roadless regions is e</w:t>
      </w:r>
      <w:r w:rsidRPr="009569C2">
        <w:rPr>
          <w:rFonts w:cs="Times New Roman"/>
          <w:color w:val="222222"/>
          <w:szCs w:val="24"/>
        </w:rPr>
        <w:t>s</w:t>
      </w:r>
      <w:r w:rsidRPr="009569C2">
        <w:rPr>
          <w:rFonts w:cs="Times New Roman"/>
          <w:color w:val="060606"/>
          <w:szCs w:val="24"/>
        </w:rPr>
        <w:t>pecially high. [pp 8, 202]</w:t>
      </w:r>
    </w:p>
    <w:p w:rsidR="00321760" w:rsidRPr="009569C2" w:rsidRDefault="00321760" w:rsidP="009569C2">
      <w:pPr>
        <w:ind w:left="720"/>
        <w:rPr>
          <w:rFonts w:cs="Times New Roman"/>
          <w:color w:val="060606"/>
          <w:szCs w:val="24"/>
        </w:rPr>
      </w:pPr>
      <w:r w:rsidRPr="009569C2">
        <w:rPr>
          <w:rFonts w:cs="Times New Roman"/>
          <w:color w:val="060606"/>
          <w:szCs w:val="24"/>
        </w:rPr>
        <w:t>…</w:t>
      </w:r>
    </w:p>
    <w:p w:rsidR="00321760" w:rsidRPr="009569C2" w:rsidRDefault="00321760" w:rsidP="009569C2">
      <w:pPr>
        <w:autoSpaceDE w:val="0"/>
        <w:autoSpaceDN w:val="0"/>
        <w:adjustRightInd w:val="0"/>
        <w:ind w:left="720"/>
        <w:rPr>
          <w:rFonts w:cs="Times New Roman"/>
          <w:color w:val="0F0F0F"/>
          <w:szCs w:val="24"/>
        </w:rPr>
      </w:pPr>
      <w:r w:rsidRPr="009569C2">
        <w:rPr>
          <w:rFonts w:cs="Times New Roman"/>
          <w:color w:val="212121"/>
          <w:szCs w:val="24"/>
        </w:rPr>
        <w:t xml:space="preserve">Our </w:t>
      </w:r>
      <w:r w:rsidRPr="009569C2">
        <w:rPr>
          <w:rFonts w:cs="Times New Roman"/>
          <w:color w:val="393939"/>
          <w:szCs w:val="24"/>
        </w:rPr>
        <w:t>ana</w:t>
      </w:r>
      <w:r w:rsidRPr="009569C2">
        <w:rPr>
          <w:rFonts w:cs="Times New Roman"/>
          <w:color w:val="0D0D0D"/>
          <w:szCs w:val="24"/>
        </w:rPr>
        <w:t>lysi</w:t>
      </w:r>
      <w:r w:rsidRPr="009569C2">
        <w:rPr>
          <w:rFonts w:cs="Times New Roman"/>
          <w:color w:val="393939"/>
          <w:szCs w:val="24"/>
        </w:rPr>
        <w:t xml:space="preserve">s </w:t>
      </w:r>
      <w:r w:rsidRPr="009569C2">
        <w:rPr>
          <w:rFonts w:cs="Times New Roman"/>
          <w:color w:val="212121"/>
          <w:szCs w:val="24"/>
        </w:rPr>
        <w:t xml:space="preserve">defined a roadless </w:t>
      </w:r>
      <w:r w:rsidRPr="009569C2">
        <w:rPr>
          <w:rFonts w:cs="Times New Roman"/>
          <w:color w:val="202020"/>
          <w:szCs w:val="24"/>
        </w:rPr>
        <w:t xml:space="preserve">region </w:t>
      </w:r>
      <w:r w:rsidRPr="009569C2">
        <w:rPr>
          <w:rFonts w:cs="Times New Roman"/>
          <w:color w:val="0F0F0F"/>
          <w:szCs w:val="24"/>
        </w:rPr>
        <w:t>a</w:t>
      </w:r>
      <w:r w:rsidRPr="009569C2">
        <w:rPr>
          <w:rFonts w:cs="Times New Roman"/>
          <w:color w:val="3E3E3E"/>
          <w:szCs w:val="24"/>
        </w:rPr>
        <w:t xml:space="preserve">s </w:t>
      </w:r>
      <w:r w:rsidRPr="009569C2">
        <w:rPr>
          <w:rFonts w:cs="Times New Roman"/>
          <w:color w:val="202020"/>
          <w:szCs w:val="24"/>
        </w:rPr>
        <w:t xml:space="preserve">any </w:t>
      </w:r>
      <w:r w:rsidRPr="009569C2">
        <w:rPr>
          <w:rFonts w:cs="Times New Roman"/>
          <w:color w:val="0F0F0F"/>
          <w:szCs w:val="24"/>
        </w:rPr>
        <w:t>region wh</w:t>
      </w:r>
      <w:r w:rsidRPr="009569C2">
        <w:rPr>
          <w:rFonts w:cs="Times New Roman"/>
          <w:color w:val="2F2F2F"/>
          <w:szCs w:val="24"/>
        </w:rPr>
        <w:t>er</w:t>
      </w:r>
      <w:r w:rsidRPr="009569C2">
        <w:rPr>
          <w:rFonts w:cs="Times New Roman"/>
          <w:color w:val="0F0F0F"/>
          <w:szCs w:val="24"/>
        </w:rPr>
        <w:t xml:space="preserve">e </w:t>
      </w:r>
      <w:r w:rsidRPr="009569C2">
        <w:rPr>
          <w:rFonts w:cs="Times New Roman"/>
          <w:color w:val="3E3E3E"/>
          <w:szCs w:val="24"/>
        </w:rPr>
        <w:t>a</w:t>
      </w:r>
      <w:r w:rsidRPr="009569C2">
        <w:rPr>
          <w:rFonts w:cs="Times New Roman"/>
          <w:color w:val="0F0F0F"/>
          <w:szCs w:val="24"/>
        </w:rPr>
        <w:t xml:space="preserve">ll </w:t>
      </w:r>
      <w:r w:rsidRPr="009569C2">
        <w:rPr>
          <w:rFonts w:cs="Times New Roman"/>
          <w:color w:val="202020"/>
          <w:szCs w:val="24"/>
        </w:rPr>
        <w:t>points w</w:t>
      </w:r>
      <w:r w:rsidRPr="009569C2">
        <w:rPr>
          <w:rFonts w:cs="Times New Roman"/>
          <w:color w:val="3E3E3E"/>
          <w:szCs w:val="24"/>
        </w:rPr>
        <w:t>i</w:t>
      </w:r>
      <w:r w:rsidRPr="009569C2">
        <w:rPr>
          <w:rFonts w:cs="Times New Roman"/>
          <w:color w:val="202020"/>
          <w:szCs w:val="24"/>
        </w:rPr>
        <w:t xml:space="preserve">thin an </w:t>
      </w:r>
      <w:r w:rsidRPr="009569C2">
        <w:rPr>
          <w:rFonts w:cs="Times New Roman"/>
          <w:color w:val="0F0F0F"/>
          <w:szCs w:val="24"/>
        </w:rPr>
        <w:t>L</w:t>
      </w:r>
      <w:r w:rsidRPr="009569C2">
        <w:rPr>
          <w:rFonts w:cs="Times New Roman"/>
          <w:color w:val="2F2F2F"/>
          <w:szCs w:val="24"/>
        </w:rPr>
        <w:t xml:space="preserve">S/OG </w:t>
      </w:r>
      <w:r w:rsidRPr="009569C2">
        <w:rPr>
          <w:rFonts w:cs="Times New Roman"/>
          <w:color w:val="3E3E3E"/>
          <w:szCs w:val="24"/>
        </w:rPr>
        <w:t>s</w:t>
      </w:r>
      <w:r w:rsidRPr="009569C2">
        <w:rPr>
          <w:rFonts w:cs="Times New Roman"/>
          <w:color w:val="0F0F0F"/>
          <w:szCs w:val="24"/>
        </w:rPr>
        <w:t>ta</w:t>
      </w:r>
      <w:r w:rsidRPr="009569C2">
        <w:rPr>
          <w:rFonts w:cs="Times New Roman"/>
          <w:color w:val="2F2F2F"/>
          <w:szCs w:val="24"/>
        </w:rPr>
        <w:t xml:space="preserve">nd </w:t>
      </w:r>
      <w:r w:rsidRPr="009569C2">
        <w:rPr>
          <w:rFonts w:cs="Times New Roman"/>
          <w:color w:val="3E3E3E"/>
          <w:szCs w:val="24"/>
        </w:rPr>
        <w:t>we</w:t>
      </w:r>
      <w:r w:rsidRPr="009569C2">
        <w:rPr>
          <w:rFonts w:cs="Times New Roman"/>
          <w:color w:val="0F0F0F"/>
          <w:szCs w:val="24"/>
        </w:rPr>
        <w:t xml:space="preserve">re </w:t>
      </w:r>
      <w:r w:rsidRPr="009569C2">
        <w:rPr>
          <w:rFonts w:cs="Times New Roman"/>
          <w:color w:val="202020"/>
          <w:szCs w:val="24"/>
        </w:rPr>
        <w:t xml:space="preserve">at </w:t>
      </w:r>
      <w:r w:rsidRPr="009569C2">
        <w:rPr>
          <w:rFonts w:cs="Times New Roman"/>
          <w:color w:val="0F0F0F"/>
          <w:szCs w:val="24"/>
        </w:rPr>
        <w:t>l</w:t>
      </w:r>
      <w:r w:rsidRPr="009569C2">
        <w:rPr>
          <w:rFonts w:cs="Times New Roman"/>
          <w:color w:val="3E3E3E"/>
          <w:szCs w:val="24"/>
        </w:rPr>
        <w:t>e</w:t>
      </w:r>
      <w:r w:rsidRPr="009569C2">
        <w:rPr>
          <w:rFonts w:cs="Times New Roman"/>
          <w:color w:val="202020"/>
          <w:szCs w:val="24"/>
        </w:rPr>
        <w:t>a</w:t>
      </w:r>
      <w:r w:rsidRPr="009569C2">
        <w:rPr>
          <w:rFonts w:cs="Times New Roman"/>
          <w:color w:val="3E3E3E"/>
          <w:szCs w:val="24"/>
        </w:rPr>
        <w:t xml:space="preserve">st </w:t>
      </w:r>
      <w:r w:rsidRPr="009569C2">
        <w:rPr>
          <w:rFonts w:cs="Times New Roman"/>
          <w:color w:val="202020"/>
          <w:szCs w:val="24"/>
        </w:rPr>
        <w:t xml:space="preserve">100 meters from a </w:t>
      </w:r>
      <w:r w:rsidRPr="009569C2">
        <w:rPr>
          <w:rFonts w:cs="Times New Roman"/>
          <w:color w:val="2F2F2F"/>
          <w:szCs w:val="24"/>
        </w:rPr>
        <w:t>ro</w:t>
      </w:r>
      <w:r w:rsidRPr="009569C2">
        <w:rPr>
          <w:rFonts w:cs="Times New Roman"/>
          <w:color w:val="0F0F0F"/>
          <w:szCs w:val="24"/>
        </w:rPr>
        <w:t xml:space="preserve">ad </w:t>
      </w:r>
      <w:r w:rsidRPr="009569C2">
        <w:rPr>
          <w:rFonts w:cs="Times New Roman"/>
          <w:color w:val="202020"/>
          <w:szCs w:val="24"/>
        </w:rPr>
        <w:t xml:space="preserve">or </w:t>
      </w:r>
      <w:r w:rsidRPr="009569C2">
        <w:rPr>
          <w:rFonts w:cs="Times New Roman"/>
          <w:color w:val="2F2F2F"/>
          <w:szCs w:val="24"/>
        </w:rPr>
        <w:t>tr</w:t>
      </w:r>
      <w:r w:rsidRPr="009569C2">
        <w:rPr>
          <w:rFonts w:cs="Times New Roman"/>
          <w:color w:val="0F0F0F"/>
          <w:szCs w:val="24"/>
        </w:rPr>
        <w:t>ail.</w:t>
      </w:r>
    </w:p>
    <w:p w:rsidR="00321760" w:rsidRPr="009569C2" w:rsidRDefault="00321760" w:rsidP="009569C2">
      <w:pPr>
        <w:ind w:left="720"/>
        <w:rPr>
          <w:rFonts w:cs="Times New Roman"/>
          <w:color w:val="0F0F0F"/>
          <w:szCs w:val="24"/>
        </w:rPr>
      </w:pPr>
      <w:r w:rsidRPr="009569C2">
        <w:rPr>
          <w:rFonts w:cs="Times New Roman"/>
          <w:color w:val="0F0F0F"/>
          <w:szCs w:val="24"/>
        </w:rPr>
        <w:t>…</w:t>
      </w:r>
    </w:p>
    <w:p w:rsidR="00321760" w:rsidRPr="009569C2" w:rsidRDefault="00321760" w:rsidP="009569C2">
      <w:pPr>
        <w:autoSpaceDE w:val="0"/>
        <w:autoSpaceDN w:val="0"/>
        <w:adjustRightInd w:val="0"/>
        <w:ind w:left="720"/>
        <w:rPr>
          <w:rFonts w:cs="Times New Roman"/>
          <w:color w:val="383838"/>
          <w:szCs w:val="24"/>
        </w:rPr>
      </w:pPr>
      <w:r w:rsidRPr="009569C2">
        <w:rPr>
          <w:rFonts w:cs="Times New Roman"/>
          <w:color w:val="262626"/>
          <w:szCs w:val="24"/>
        </w:rPr>
        <w:t xml:space="preserve">What </w:t>
      </w:r>
      <w:r w:rsidRPr="009569C2">
        <w:rPr>
          <w:rFonts w:cs="Times New Roman"/>
          <w:color w:val="141414"/>
          <w:szCs w:val="24"/>
        </w:rPr>
        <w:t>remain</w:t>
      </w:r>
      <w:r w:rsidRPr="009569C2">
        <w:rPr>
          <w:rFonts w:cs="Times New Roman"/>
          <w:color w:val="383838"/>
          <w:szCs w:val="24"/>
        </w:rPr>
        <w:t xml:space="preserve">s </w:t>
      </w:r>
      <w:r w:rsidRPr="009569C2">
        <w:rPr>
          <w:rFonts w:cs="Times New Roman"/>
          <w:color w:val="262626"/>
          <w:szCs w:val="24"/>
        </w:rPr>
        <w:t xml:space="preserve">of </w:t>
      </w:r>
      <w:r w:rsidRPr="009569C2">
        <w:rPr>
          <w:rFonts w:cs="Times New Roman"/>
          <w:color w:val="141414"/>
          <w:szCs w:val="24"/>
        </w:rPr>
        <w:t>pond</w:t>
      </w:r>
      <w:r w:rsidRPr="009569C2">
        <w:rPr>
          <w:rFonts w:cs="Times New Roman"/>
          <w:color w:val="383838"/>
          <w:szCs w:val="24"/>
        </w:rPr>
        <w:t xml:space="preserve">erosa </w:t>
      </w:r>
      <w:r w:rsidRPr="009569C2">
        <w:rPr>
          <w:rFonts w:cs="Times New Roman"/>
          <w:color w:val="141414"/>
          <w:szCs w:val="24"/>
        </w:rPr>
        <w:t>pin</w:t>
      </w:r>
      <w:r w:rsidRPr="009569C2">
        <w:rPr>
          <w:rFonts w:cs="Times New Roman"/>
          <w:color w:val="383838"/>
          <w:szCs w:val="24"/>
        </w:rPr>
        <w:t>e a</w:t>
      </w:r>
      <w:r w:rsidRPr="009569C2">
        <w:rPr>
          <w:rFonts w:cs="Times New Roman"/>
          <w:color w:val="141414"/>
          <w:szCs w:val="24"/>
        </w:rPr>
        <w:t>nd Douglas fir LS</w:t>
      </w:r>
      <w:r w:rsidRPr="009569C2">
        <w:rPr>
          <w:rFonts w:cs="Times New Roman"/>
          <w:color w:val="383838"/>
          <w:szCs w:val="24"/>
        </w:rPr>
        <w:t>/O</w:t>
      </w:r>
      <w:r w:rsidRPr="009569C2">
        <w:rPr>
          <w:rFonts w:cs="Times New Roman"/>
          <w:color w:val="141414"/>
          <w:szCs w:val="24"/>
        </w:rPr>
        <w:t>G i</w:t>
      </w:r>
      <w:r w:rsidRPr="009569C2">
        <w:rPr>
          <w:rFonts w:cs="Times New Roman"/>
          <w:color w:val="383838"/>
          <w:szCs w:val="24"/>
        </w:rPr>
        <w:t xml:space="preserve">s </w:t>
      </w:r>
      <w:r w:rsidRPr="009569C2">
        <w:rPr>
          <w:rFonts w:cs="Times New Roman"/>
          <w:color w:val="262626"/>
          <w:szCs w:val="24"/>
        </w:rPr>
        <w:t xml:space="preserve">the </w:t>
      </w:r>
      <w:r w:rsidRPr="009569C2">
        <w:rPr>
          <w:rFonts w:cs="Times New Roman"/>
          <w:color w:val="141414"/>
          <w:szCs w:val="24"/>
        </w:rPr>
        <w:t>l</w:t>
      </w:r>
      <w:r w:rsidRPr="009569C2">
        <w:rPr>
          <w:rFonts w:cs="Times New Roman"/>
          <w:color w:val="383838"/>
          <w:szCs w:val="24"/>
        </w:rPr>
        <w:t>eas</w:t>
      </w:r>
      <w:r w:rsidRPr="009569C2">
        <w:rPr>
          <w:rFonts w:cs="Times New Roman"/>
          <w:color w:val="141414"/>
          <w:szCs w:val="24"/>
        </w:rPr>
        <w:t xml:space="preserve">t </w:t>
      </w:r>
      <w:r w:rsidRPr="009569C2">
        <w:rPr>
          <w:rFonts w:cs="Times New Roman"/>
          <w:color w:val="262626"/>
          <w:szCs w:val="24"/>
        </w:rPr>
        <w:t xml:space="preserve">protected </w:t>
      </w:r>
      <w:r w:rsidRPr="009569C2">
        <w:rPr>
          <w:rFonts w:cs="Times New Roman"/>
          <w:color w:val="141414"/>
          <w:szCs w:val="24"/>
        </w:rPr>
        <w:t>toda</w:t>
      </w:r>
      <w:r w:rsidRPr="009569C2">
        <w:rPr>
          <w:rFonts w:cs="Times New Roman"/>
          <w:color w:val="383838"/>
          <w:szCs w:val="24"/>
        </w:rPr>
        <w:t>y</w:t>
      </w:r>
      <w:r w:rsidRPr="009569C2">
        <w:rPr>
          <w:rFonts w:cs="Times New Roman"/>
          <w:color w:val="141414"/>
          <w:szCs w:val="24"/>
        </w:rPr>
        <w:t>. In the four nati</w:t>
      </w:r>
      <w:r w:rsidRPr="009569C2">
        <w:rPr>
          <w:rFonts w:cs="Times New Roman"/>
          <w:color w:val="383838"/>
          <w:szCs w:val="24"/>
        </w:rPr>
        <w:t>o</w:t>
      </w:r>
      <w:r w:rsidRPr="009569C2">
        <w:rPr>
          <w:rFonts w:cs="Times New Roman"/>
          <w:color w:val="141414"/>
          <w:szCs w:val="24"/>
        </w:rPr>
        <w:t xml:space="preserve">nal </w:t>
      </w:r>
      <w:r w:rsidRPr="009569C2">
        <w:rPr>
          <w:rFonts w:cs="Times New Roman"/>
          <w:color w:val="262626"/>
          <w:szCs w:val="24"/>
        </w:rPr>
        <w:t xml:space="preserve">forests </w:t>
      </w:r>
      <w:r w:rsidRPr="009569C2">
        <w:rPr>
          <w:rFonts w:cs="Times New Roman"/>
          <w:color w:val="383838"/>
          <w:szCs w:val="24"/>
        </w:rPr>
        <w:t>w</w:t>
      </w:r>
      <w:r w:rsidRPr="009569C2">
        <w:rPr>
          <w:rFonts w:cs="Times New Roman"/>
          <w:color w:val="141414"/>
          <w:szCs w:val="24"/>
        </w:rPr>
        <w:t xml:space="preserve">ithin the Blue </w:t>
      </w:r>
      <w:r w:rsidRPr="009569C2">
        <w:rPr>
          <w:rFonts w:cs="Times New Roman"/>
          <w:color w:val="262626"/>
          <w:szCs w:val="24"/>
        </w:rPr>
        <w:t xml:space="preserve">Mountains, </w:t>
      </w:r>
      <w:r w:rsidRPr="009569C2">
        <w:rPr>
          <w:rFonts w:cs="Times New Roman"/>
          <w:color w:val="383838"/>
          <w:szCs w:val="24"/>
        </w:rPr>
        <w:t xml:space="preserve">48% of </w:t>
      </w:r>
      <w:r w:rsidRPr="009569C2">
        <w:rPr>
          <w:rFonts w:cs="Times New Roman"/>
          <w:color w:val="262626"/>
          <w:szCs w:val="24"/>
        </w:rPr>
        <w:t xml:space="preserve">the </w:t>
      </w:r>
      <w:r w:rsidRPr="009569C2">
        <w:rPr>
          <w:rFonts w:cs="Times New Roman"/>
          <w:color w:val="141414"/>
          <w:szCs w:val="24"/>
        </w:rPr>
        <w:t>land ba</w:t>
      </w:r>
      <w:r w:rsidRPr="009569C2">
        <w:rPr>
          <w:rFonts w:cs="Times New Roman"/>
          <w:color w:val="383838"/>
          <w:szCs w:val="24"/>
        </w:rPr>
        <w:t xml:space="preserve">se </w:t>
      </w:r>
      <w:r w:rsidRPr="009569C2">
        <w:rPr>
          <w:rFonts w:cs="Times New Roman"/>
          <w:color w:val="141414"/>
          <w:szCs w:val="24"/>
        </w:rPr>
        <w:t xml:space="preserve">above </w:t>
      </w:r>
      <w:r w:rsidRPr="009569C2">
        <w:rPr>
          <w:rFonts w:cs="Times New Roman"/>
          <w:color w:val="262626"/>
          <w:szCs w:val="24"/>
        </w:rPr>
        <w:t xml:space="preserve">6000 </w:t>
      </w:r>
      <w:r w:rsidRPr="009569C2">
        <w:rPr>
          <w:rFonts w:cs="Times New Roman"/>
          <w:color w:val="141414"/>
          <w:szCs w:val="24"/>
        </w:rPr>
        <w:t>f</w:t>
      </w:r>
      <w:r w:rsidRPr="009569C2">
        <w:rPr>
          <w:rFonts w:cs="Times New Roman"/>
          <w:color w:val="383838"/>
          <w:szCs w:val="24"/>
        </w:rPr>
        <w:t>ee</w:t>
      </w:r>
      <w:r w:rsidRPr="009569C2">
        <w:rPr>
          <w:rFonts w:cs="Times New Roman"/>
          <w:color w:val="141414"/>
          <w:szCs w:val="24"/>
        </w:rPr>
        <w:t>t li</w:t>
      </w:r>
      <w:r w:rsidRPr="009569C2">
        <w:rPr>
          <w:rFonts w:cs="Times New Roman"/>
          <w:color w:val="383838"/>
          <w:szCs w:val="24"/>
        </w:rPr>
        <w:t xml:space="preserve">es </w:t>
      </w:r>
      <w:r w:rsidRPr="009569C2">
        <w:rPr>
          <w:rFonts w:cs="Times New Roman"/>
          <w:color w:val="141414"/>
          <w:szCs w:val="24"/>
        </w:rPr>
        <w:t xml:space="preserve">in </w:t>
      </w:r>
      <w:r w:rsidRPr="009569C2">
        <w:rPr>
          <w:rFonts w:cs="Times New Roman"/>
          <w:color w:val="383838"/>
          <w:szCs w:val="24"/>
        </w:rPr>
        <w:t>w</w:t>
      </w:r>
      <w:r w:rsidRPr="009569C2">
        <w:rPr>
          <w:rFonts w:cs="Times New Roman"/>
          <w:color w:val="141414"/>
          <w:szCs w:val="24"/>
        </w:rPr>
        <w:t>ild</w:t>
      </w:r>
      <w:r w:rsidRPr="009569C2">
        <w:rPr>
          <w:rFonts w:cs="Times New Roman"/>
          <w:color w:val="383838"/>
          <w:szCs w:val="24"/>
        </w:rPr>
        <w:t>e</w:t>
      </w:r>
      <w:r w:rsidRPr="009569C2">
        <w:rPr>
          <w:rFonts w:cs="Times New Roman"/>
          <w:color w:val="141414"/>
          <w:szCs w:val="24"/>
        </w:rPr>
        <w:t>rn</w:t>
      </w:r>
      <w:r w:rsidRPr="009569C2">
        <w:rPr>
          <w:rFonts w:cs="Times New Roman"/>
          <w:color w:val="383838"/>
          <w:szCs w:val="24"/>
        </w:rPr>
        <w:t xml:space="preserve">ess </w:t>
      </w:r>
      <w:r w:rsidRPr="009569C2">
        <w:rPr>
          <w:rFonts w:cs="Times New Roman"/>
          <w:color w:val="262626"/>
          <w:szCs w:val="24"/>
        </w:rPr>
        <w:t xml:space="preserve">areas, whereas only </w:t>
      </w:r>
      <w:r w:rsidRPr="009569C2">
        <w:rPr>
          <w:rFonts w:cs="Times New Roman"/>
          <w:color w:val="141414"/>
          <w:szCs w:val="24"/>
        </w:rPr>
        <w:t>10%</w:t>
      </w:r>
      <w:r w:rsidRPr="009569C2">
        <w:rPr>
          <w:rFonts w:cs="Times New Roman"/>
          <w:color w:val="383838"/>
          <w:szCs w:val="24"/>
        </w:rPr>
        <w:t xml:space="preserve"> </w:t>
      </w:r>
      <w:r w:rsidRPr="009569C2">
        <w:rPr>
          <w:rFonts w:cs="Times New Roman"/>
          <w:color w:val="262626"/>
          <w:szCs w:val="24"/>
        </w:rPr>
        <w:t xml:space="preserve">of </w:t>
      </w:r>
      <w:r w:rsidRPr="009569C2">
        <w:rPr>
          <w:rFonts w:cs="Times New Roman"/>
          <w:color w:val="383838"/>
          <w:szCs w:val="24"/>
        </w:rPr>
        <w:t>t</w:t>
      </w:r>
      <w:r w:rsidRPr="009569C2">
        <w:rPr>
          <w:rFonts w:cs="Times New Roman"/>
          <w:color w:val="141414"/>
          <w:szCs w:val="24"/>
        </w:rPr>
        <w:t>h</w:t>
      </w:r>
      <w:r w:rsidRPr="009569C2">
        <w:rPr>
          <w:rFonts w:cs="Times New Roman"/>
          <w:color w:val="383838"/>
          <w:szCs w:val="24"/>
        </w:rPr>
        <w:t xml:space="preserve">e </w:t>
      </w:r>
      <w:r w:rsidRPr="009569C2">
        <w:rPr>
          <w:rFonts w:cs="Times New Roman"/>
          <w:color w:val="141414"/>
          <w:szCs w:val="24"/>
        </w:rPr>
        <w:t xml:space="preserve">land below 6000 feet, </w:t>
      </w:r>
      <w:r w:rsidRPr="009569C2">
        <w:rPr>
          <w:rFonts w:cs="Times New Roman"/>
          <w:color w:val="383838"/>
          <w:szCs w:val="24"/>
        </w:rPr>
        <w:t>whe</w:t>
      </w:r>
      <w:r w:rsidRPr="009569C2">
        <w:rPr>
          <w:rFonts w:cs="Times New Roman"/>
          <w:color w:val="141414"/>
          <w:szCs w:val="24"/>
        </w:rPr>
        <w:t>r</w:t>
      </w:r>
      <w:r w:rsidRPr="009569C2">
        <w:rPr>
          <w:rFonts w:cs="Times New Roman"/>
          <w:color w:val="383838"/>
          <w:szCs w:val="24"/>
        </w:rPr>
        <w:t xml:space="preserve">e </w:t>
      </w:r>
      <w:r w:rsidRPr="009569C2">
        <w:rPr>
          <w:rFonts w:cs="Times New Roman"/>
          <w:color w:val="262626"/>
          <w:szCs w:val="24"/>
        </w:rPr>
        <w:t xml:space="preserve">ponderosa </w:t>
      </w:r>
      <w:r w:rsidRPr="009569C2">
        <w:rPr>
          <w:rFonts w:cs="Times New Roman"/>
          <w:color w:val="383838"/>
          <w:szCs w:val="24"/>
        </w:rPr>
        <w:t xml:space="preserve">pine </w:t>
      </w:r>
      <w:r w:rsidRPr="009569C2">
        <w:rPr>
          <w:rFonts w:cs="Times New Roman"/>
          <w:color w:val="262626"/>
          <w:szCs w:val="24"/>
        </w:rPr>
        <w:t xml:space="preserve">occurs, </w:t>
      </w:r>
      <w:r w:rsidRPr="009569C2">
        <w:rPr>
          <w:rFonts w:cs="Times New Roman"/>
          <w:color w:val="141414"/>
          <w:szCs w:val="24"/>
        </w:rPr>
        <w:t>recei</w:t>
      </w:r>
      <w:r w:rsidRPr="009569C2">
        <w:rPr>
          <w:rFonts w:cs="Times New Roman"/>
          <w:color w:val="383838"/>
          <w:szCs w:val="24"/>
        </w:rPr>
        <w:t>ves s</w:t>
      </w:r>
      <w:r w:rsidRPr="009569C2">
        <w:rPr>
          <w:rFonts w:cs="Times New Roman"/>
          <w:color w:val="141414"/>
          <w:szCs w:val="24"/>
        </w:rPr>
        <w:t>u</w:t>
      </w:r>
      <w:r w:rsidRPr="009569C2">
        <w:rPr>
          <w:rFonts w:cs="Times New Roman"/>
          <w:color w:val="383838"/>
          <w:szCs w:val="24"/>
        </w:rPr>
        <w:t xml:space="preserve">ch </w:t>
      </w:r>
      <w:r w:rsidRPr="009569C2">
        <w:rPr>
          <w:rFonts w:cs="Times New Roman"/>
          <w:color w:val="141414"/>
          <w:szCs w:val="24"/>
        </w:rPr>
        <w:t>pr</w:t>
      </w:r>
      <w:r w:rsidRPr="009569C2">
        <w:rPr>
          <w:rFonts w:cs="Times New Roman"/>
          <w:color w:val="383838"/>
          <w:szCs w:val="24"/>
        </w:rPr>
        <w:t>otect</w:t>
      </w:r>
      <w:r w:rsidRPr="009569C2">
        <w:rPr>
          <w:rFonts w:cs="Times New Roman"/>
          <w:color w:val="141414"/>
          <w:szCs w:val="24"/>
        </w:rPr>
        <w:t>i</w:t>
      </w:r>
      <w:r w:rsidRPr="009569C2">
        <w:rPr>
          <w:rFonts w:cs="Times New Roman"/>
          <w:color w:val="383838"/>
          <w:szCs w:val="24"/>
        </w:rPr>
        <w:t>on … [p 110]</w:t>
      </w:r>
    </w:p>
    <w:p w:rsidR="00321760" w:rsidRPr="009569C2" w:rsidRDefault="00321760" w:rsidP="009569C2">
      <w:pPr>
        <w:autoSpaceDE w:val="0"/>
        <w:autoSpaceDN w:val="0"/>
        <w:adjustRightInd w:val="0"/>
        <w:ind w:left="720"/>
        <w:rPr>
          <w:rFonts w:cs="Times New Roman"/>
          <w:color w:val="383838"/>
          <w:szCs w:val="24"/>
        </w:rPr>
      </w:pPr>
    </w:p>
    <w:p w:rsidR="00321760" w:rsidRPr="009569C2" w:rsidRDefault="00321760" w:rsidP="009569C2">
      <w:pPr>
        <w:autoSpaceDE w:val="0"/>
        <w:autoSpaceDN w:val="0"/>
        <w:adjustRightInd w:val="0"/>
        <w:ind w:left="720"/>
        <w:rPr>
          <w:rFonts w:cs="Times New Roman"/>
          <w:color w:val="383838"/>
          <w:szCs w:val="24"/>
        </w:rPr>
      </w:pPr>
      <w:r w:rsidRPr="009569C2">
        <w:rPr>
          <w:rFonts w:cs="Times New Roman"/>
          <w:color w:val="383838"/>
          <w:szCs w:val="24"/>
        </w:rPr>
        <w:t xml:space="preserve">… </w:t>
      </w:r>
      <w:r w:rsidRPr="009569C2">
        <w:rPr>
          <w:rFonts w:cs="Times New Roman"/>
          <w:color w:val="262626"/>
          <w:szCs w:val="24"/>
        </w:rPr>
        <w:t xml:space="preserve">Fifth, </w:t>
      </w:r>
      <w:r w:rsidRPr="009569C2">
        <w:rPr>
          <w:rFonts w:cs="Times New Roman"/>
          <w:color w:val="141414"/>
          <w:szCs w:val="24"/>
        </w:rPr>
        <w:t>road</w:t>
      </w:r>
      <w:r w:rsidRPr="009569C2">
        <w:rPr>
          <w:rFonts w:cs="Times New Roman"/>
          <w:color w:val="383838"/>
          <w:szCs w:val="24"/>
        </w:rPr>
        <w:t>s</w:t>
      </w:r>
      <w:r w:rsidRPr="009569C2">
        <w:rPr>
          <w:rFonts w:cs="Times New Roman"/>
          <w:color w:val="141414"/>
          <w:szCs w:val="24"/>
        </w:rPr>
        <w:t xml:space="preserve">, </w:t>
      </w:r>
      <w:r w:rsidRPr="009569C2">
        <w:rPr>
          <w:rFonts w:cs="Times New Roman"/>
          <w:color w:val="383838"/>
          <w:szCs w:val="24"/>
        </w:rPr>
        <w:t>w</w:t>
      </w:r>
      <w:r w:rsidRPr="009569C2">
        <w:rPr>
          <w:rFonts w:cs="Times New Roman"/>
          <w:color w:val="141414"/>
          <w:szCs w:val="24"/>
        </w:rPr>
        <w:t>ho</w:t>
      </w:r>
      <w:r w:rsidRPr="009569C2">
        <w:rPr>
          <w:rFonts w:cs="Times New Roman"/>
          <w:color w:val="383838"/>
          <w:szCs w:val="24"/>
        </w:rPr>
        <w:t xml:space="preserve">se </w:t>
      </w:r>
      <w:r w:rsidRPr="009569C2">
        <w:rPr>
          <w:rFonts w:cs="Times New Roman"/>
          <w:color w:val="141414"/>
          <w:szCs w:val="24"/>
        </w:rPr>
        <w:t>im</w:t>
      </w:r>
      <w:r w:rsidRPr="009569C2">
        <w:rPr>
          <w:rFonts w:cs="Times New Roman"/>
          <w:color w:val="383838"/>
          <w:szCs w:val="24"/>
        </w:rPr>
        <w:t>pact o</w:t>
      </w:r>
      <w:r w:rsidRPr="009569C2">
        <w:rPr>
          <w:rFonts w:cs="Times New Roman"/>
          <w:color w:val="141414"/>
          <w:szCs w:val="24"/>
        </w:rPr>
        <w:t xml:space="preserve">n </w:t>
      </w:r>
      <w:r w:rsidRPr="009569C2">
        <w:rPr>
          <w:rFonts w:cs="Times New Roman"/>
          <w:color w:val="383838"/>
          <w:szCs w:val="24"/>
        </w:rPr>
        <w:t>a</w:t>
      </w:r>
      <w:r w:rsidRPr="009569C2">
        <w:rPr>
          <w:rFonts w:cs="Times New Roman"/>
          <w:color w:val="141414"/>
          <w:szCs w:val="24"/>
        </w:rPr>
        <w:t>qu</w:t>
      </w:r>
      <w:r w:rsidRPr="009569C2">
        <w:rPr>
          <w:rFonts w:cs="Times New Roman"/>
          <w:color w:val="383838"/>
          <w:szCs w:val="24"/>
        </w:rPr>
        <w:t>a</w:t>
      </w:r>
      <w:r w:rsidRPr="009569C2">
        <w:rPr>
          <w:rFonts w:cs="Times New Roman"/>
          <w:color w:val="141414"/>
          <w:szCs w:val="24"/>
        </w:rPr>
        <w:t xml:space="preserve">tic </w:t>
      </w:r>
      <w:r w:rsidRPr="009569C2">
        <w:rPr>
          <w:rFonts w:cs="Times New Roman"/>
          <w:color w:val="383838"/>
          <w:szCs w:val="24"/>
        </w:rPr>
        <w:t>a</w:t>
      </w:r>
      <w:r w:rsidRPr="009569C2">
        <w:rPr>
          <w:rFonts w:cs="Times New Roman"/>
          <w:color w:val="141414"/>
          <w:szCs w:val="24"/>
        </w:rPr>
        <w:t>nd terre</w:t>
      </w:r>
      <w:r w:rsidRPr="009569C2">
        <w:rPr>
          <w:rFonts w:cs="Times New Roman"/>
          <w:color w:val="383838"/>
          <w:szCs w:val="24"/>
        </w:rPr>
        <w:t>s</w:t>
      </w:r>
      <w:r w:rsidRPr="009569C2">
        <w:rPr>
          <w:rFonts w:cs="Times New Roman"/>
          <w:color w:val="141414"/>
          <w:szCs w:val="24"/>
        </w:rPr>
        <w:t>trial r</w:t>
      </w:r>
      <w:r w:rsidRPr="009569C2">
        <w:rPr>
          <w:rFonts w:cs="Times New Roman"/>
          <w:color w:val="383838"/>
          <w:szCs w:val="24"/>
        </w:rPr>
        <w:t>eso</w:t>
      </w:r>
      <w:r w:rsidRPr="009569C2">
        <w:rPr>
          <w:rFonts w:cs="Times New Roman"/>
          <w:color w:val="141414"/>
          <w:szCs w:val="24"/>
        </w:rPr>
        <w:t>ur</w:t>
      </w:r>
      <w:r w:rsidRPr="009569C2">
        <w:rPr>
          <w:rFonts w:cs="Times New Roman"/>
          <w:color w:val="383838"/>
          <w:szCs w:val="24"/>
        </w:rPr>
        <w:t xml:space="preserve">ces </w:t>
      </w:r>
      <w:r w:rsidRPr="009569C2">
        <w:rPr>
          <w:rFonts w:cs="Times New Roman"/>
          <w:color w:val="141414"/>
          <w:szCs w:val="24"/>
        </w:rPr>
        <w:t>i</w:t>
      </w:r>
      <w:r w:rsidRPr="009569C2">
        <w:rPr>
          <w:rFonts w:cs="Times New Roman"/>
          <w:color w:val="383838"/>
          <w:szCs w:val="24"/>
        </w:rPr>
        <w:t xml:space="preserve">s </w:t>
      </w:r>
      <w:r w:rsidRPr="009569C2">
        <w:rPr>
          <w:rFonts w:cs="Times New Roman"/>
          <w:color w:val="262626"/>
          <w:szCs w:val="24"/>
        </w:rPr>
        <w:t xml:space="preserve">well </w:t>
      </w:r>
      <w:r w:rsidRPr="009569C2">
        <w:rPr>
          <w:rFonts w:cs="Times New Roman"/>
          <w:color w:val="141414"/>
          <w:szCs w:val="24"/>
        </w:rPr>
        <w:t>do</w:t>
      </w:r>
      <w:r w:rsidRPr="009569C2">
        <w:rPr>
          <w:rFonts w:cs="Times New Roman"/>
          <w:color w:val="383838"/>
          <w:szCs w:val="24"/>
        </w:rPr>
        <w:t>c</w:t>
      </w:r>
      <w:r w:rsidRPr="009569C2">
        <w:rPr>
          <w:rFonts w:cs="Times New Roman"/>
          <w:color w:val="141414"/>
          <w:szCs w:val="24"/>
        </w:rPr>
        <w:t xml:space="preserve">umented, are </w:t>
      </w:r>
      <w:r w:rsidRPr="009569C2">
        <w:rPr>
          <w:rFonts w:cs="Times New Roman"/>
          <w:color w:val="262626"/>
          <w:szCs w:val="24"/>
        </w:rPr>
        <w:t xml:space="preserve">widely distributed </w:t>
      </w:r>
      <w:r w:rsidRPr="009569C2">
        <w:rPr>
          <w:rFonts w:cs="Times New Roman"/>
          <w:color w:val="141414"/>
          <w:szCs w:val="24"/>
        </w:rPr>
        <w:t xml:space="preserve">in </w:t>
      </w:r>
      <w:r w:rsidRPr="009569C2">
        <w:rPr>
          <w:rFonts w:cs="Times New Roman"/>
          <w:color w:val="262626"/>
          <w:szCs w:val="24"/>
        </w:rPr>
        <w:t xml:space="preserve">eastside </w:t>
      </w:r>
      <w:r w:rsidRPr="009569C2">
        <w:rPr>
          <w:rFonts w:cs="Times New Roman"/>
          <w:color w:val="141414"/>
          <w:szCs w:val="24"/>
        </w:rPr>
        <w:t>fore</w:t>
      </w:r>
      <w:r w:rsidRPr="009569C2">
        <w:rPr>
          <w:rFonts w:cs="Times New Roman"/>
          <w:color w:val="383838"/>
          <w:szCs w:val="24"/>
        </w:rPr>
        <w:t>s</w:t>
      </w:r>
      <w:r w:rsidRPr="009569C2">
        <w:rPr>
          <w:rFonts w:cs="Times New Roman"/>
          <w:color w:val="141414"/>
          <w:szCs w:val="24"/>
        </w:rPr>
        <w:t>t</w:t>
      </w:r>
      <w:r w:rsidRPr="009569C2">
        <w:rPr>
          <w:rFonts w:cs="Times New Roman"/>
          <w:color w:val="383838"/>
          <w:szCs w:val="24"/>
        </w:rPr>
        <w:t xml:space="preserve">s. </w:t>
      </w:r>
      <w:r w:rsidRPr="009569C2">
        <w:rPr>
          <w:rFonts w:cs="Times New Roman"/>
          <w:color w:val="141414"/>
          <w:szCs w:val="24"/>
        </w:rPr>
        <w:t>Ro</w:t>
      </w:r>
      <w:r w:rsidRPr="009569C2">
        <w:rPr>
          <w:rFonts w:cs="Times New Roman"/>
          <w:color w:val="383838"/>
          <w:szCs w:val="24"/>
        </w:rPr>
        <w:t xml:space="preserve">ad </w:t>
      </w:r>
      <w:r w:rsidRPr="009569C2">
        <w:rPr>
          <w:rFonts w:cs="Times New Roman"/>
          <w:color w:val="262626"/>
          <w:szCs w:val="24"/>
        </w:rPr>
        <w:t xml:space="preserve">densities </w:t>
      </w:r>
      <w:r w:rsidRPr="009569C2">
        <w:rPr>
          <w:rFonts w:cs="Times New Roman"/>
          <w:color w:val="141414"/>
          <w:szCs w:val="24"/>
        </w:rPr>
        <w:t xml:space="preserve">in </w:t>
      </w:r>
      <w:r w:rsidRPr="009569C2">
        <w:rPr>
          <w:rFonts w:cs="Times New Roman"/>
          <w:color w:val="383838"/>
          <w:szCs w:val="24"/>
        </w:rPr>
        <w:t>wes</w:t>
      </w:r>
      <w:r w:rsidRPr="009569C2">
        <w:rPr>
          <w:rFonts w:cs="Times New Roman"/>
          <w:color w:val="141414"/>
          <w:szCs w:val="24"/>
        </w:rPr>
        <w:t>tern Colville</w:t>
      </w:r>
      <w:r w:rsidRPr="009569C2">
        <w:rPr>
          <w:rFonts w:cs="Times New Roman"/>
          <w:color w:val="383838"/>
          <w:szCs w:val="24"/>
        </w:rPr>
        <w:t xml:space="preserve">, </w:t>
      </w:r>
      <w:r w:rsidRPr="009569C2">
        <w:rPr>
          <w:rFonts w:cs="Times New Roman"/>
          <w:color w:val="262626"/>
          <w:szCs w:val="24"/>
        </w:rPr>
        <w:t xml:space="preserve">Winema, </w:t>
      </w:r>
      <w:r w:rsidRPr="009569C2">
        <w:rPr>
          <w:rFonts w:cs="Times New Roman"/>
          <w:color w:val="383838"/>
          <w:szCs w:val="24"/>
        </w:rPr>
        <w:t xml:space="preserve">and </w:t>
      </w:r>
      <w:r w:rsidRPr="009569C2">
        <w:rPr>
          <w:rFonts w:cs="Times New Roman"/>
          <w:color w:val="262626"/>
          <w:szCs w:val="24"/>
        </w:rPr>
        <w:lastRenderedPageBreak/>
        <w:t xml:space="preserve">Ochoco </w:t>
      </w:r>
      <w:r w:rsidRPr="009569C2">
        <w:rPr>
          <w:rFonts w:cs="Times New Roman"/>
          <w:color w:val="141414"/>
          <w:szCs w:val="24"/>
        </w:rPr>
        <w:t>National Fore</w:t>
      </w:r>
      <w:r w:rsidRPr="009569C2">
        <w:rPr>
          <w:rFonts w:cs="Times New Roman"/>
          <w:color w:val="383838"/>
          <w:szCs w:val="24"/>
        </w:rPr>
        <w:t>s</w:t>
      </w:r>
      <w:r w:rsidRPr="009569C2">
        <w:rPr>
          <w:rFonts w:cs="Times New Roman"/>
          <w:color w:val="141414"/>
          <w:szCs w:val="24"/>
        </w:rPr>
        <w:t>t</w:t>
      </w:r>
      <w:r w:rsidRPr="009569C2">
        <w:rPr>
          <w:rFonts w:cs="Times New Roman"/>
          <w:color w:val="383838"/>
          <w:szCs w:val="24"/>
        </w:rPr>
        <w:t xml:space="preserve">s </w:t>
      </w:r>
      <w:r w:rsidRPr="009569C2">
        <w:rPr>
          <w:rFonts w:cs="Times New Roman"/>
          <w:color w:val="262626"/>
          <w:szCs w:val="24"/>
        </w:rPr>
        <w:t xml:space="preserve">average </w:t>
      </w:r>
      <w:r w:rsidRPr="009569C2">
        <w:rPr>
          <w:rFonts w:cs="Times New Roman"/>
          <w:color w:val="383838"/>
          <w:szCs w:val="24"/>
        </w:rPr>
        <w:t>2</w:t>
      </w:r>
      <w:r w:rsidRPr="009569C2">
        <w:rPr>
          <w:rFonts w:cs="Times New Roman"/>
          <w:color w:val="141414"/>
          <w:szCs w:val="24"/>
        </w:rPr>
        <w:t>.</w:t>
      </w:r>
      <w:r w:rsidRPr="009569C2">
        <w:rPr>
          <w:rFonts w:cs="Times New Roman"/>
          <w:color w:val="383838"/>
          <w:szCs w:val="24"/>
        </w:rPr>
        <w:t>5, 3</w:t>
      </w:r>
      <w:r w:rsidRPr="009569C2">
        <w:rPr>
          <w:rFonts w:cs="Times New Roman"/>
          <w:color w:val="141414"/>
          <w:szCs w:val="24"/>
        </w:rPr>
        <w:t>.5</w:t>
      </w:r>
      <w:r w:rsidRPr="009569C2">
        <w:rPr>
          <w:rFonts w:cs="Times New Roman"/>
          <w:color w:val="383838"/>
          <w:szCs w:val="24"/>
        </w:rPr>
        <w:t>, an</w:t>
      </w:r>
      <w:r w:rsidRPr="009569C2">
        <w:rPr>
          <w:rFonts w:cs="Times New Roman"/>
          <w:color w:val="141414"/>
          <w:szCs w:val="24"/>
        </w:rPr>
        <w:t>d 3.</w:t>
      </w:r>
      <w:r w:rsidRPr="009569C2">
        <w:rPr>
          <w:rFonts w:cs="Times New Roman"/>
          <w:color w:val="383838"/>
          <w:szCs w:val="24"/>
        </w:rPr>
        <w:t xml:space="preserve">7 </w:t>
      </w:r>
      <w:r w:rsidRPr="009569C2">
        <w:rPr>
          <w:rFonts w:cs="Times New Roman"/>
          <w:color w:val="141414"/>
          <w:szCs w:val="24"/>
        </w:rPr>
        <w:t xml:space="preserve">miles per </w:t>
      </w:r>
      <w:r w:rsidRPr="009569C2">
        <w:rPr>
          <w:rFonts w:cs="Times New Roman"/>
          <w:color w:val="262626"/>
          <w:szCs w:val="24"/>
        </w:rPr>
        <w:t xml:space="preserve">square </w:t>
      </w:r>
      <w:r w:rsidRPr="009569C2">
        <w:rPr>
          <w:rFonts w:cs="Times New Roman"/>
          <w:color w:val="141414"/>
          <w:szCs w:val="24"/>
        </w:rPr>
        <w:t>mil</w:t>
      </w:r>
      <w:r w:rsidRPr="009569C2">
        <w:rPr>
          <w:rFonts w:cs="Times New Roman"/>
          <w:color w:val="383838"/>
          <w:szCs w:val="24"/>
        </w:rPr>
        <w:t xml:space="preserve">e, </w:t>
      </w:r>
      <w:r w:rsidRPr="009569C2">
        <w:rPr>
          <w:rFonts w:cs="Times New Roman"/>
          <w:color w:val="262626"/>
          <w:szCs w:val="24"/>
        </w:rPr>
        <w:t xml:space="preserve">respectively. </w:t>
      </w:r>
      <w:r w:rsidRPr="009569C2">
        <w:rPr>
          <w:rFonts w:cs="Times New Roman"/>
          <w:color w:val="141414"/>
          <w:szCs w:val="24"/>
        </w:rPr>
        <w:t xml:space="preserve">Densities reach </w:t>
      </w:r>
      <w:r w:rsidRPr="009569C2">
        <w:rPr>
          <w:rFonts w:cs="Times New Roman"/>
          <w:color w:val="262626"/>
          <w:szCs w:val="24"/>
        </w:rPr>
        <w:t xml:space="preserve">8.8 </w:t>
      </w:r>
      <w:r w:rsidRPr="009569C2">
        <w:rPr>
          <w:rFonts w:cs="Times New Roman"/>
          <w:color w:val="383838"/>
          <w:szCs w:val="24"/>
        </w:rPr>
        <w:t>a</w:t>
      </w:r>
      <w:r w:rsidRPr="009569C2">
        <w:rPr>
          <w:rFonts w:cs="Times New Roman"/>
          <w:color w:val="141414"/>
          <w:szCs w:val="24"/>
        </w:rPr>
        <w:t>nd 11.</w:t>
      </w:r>
      <w:r w:rsidRPr="009569C2">
        <w:rPr>
          <w:rFonts w:cs="Times New Roman"/>
          <w:color w:val="383838"/>
          <w:szCs w:val="24"/>
        </w:rPr>
        <w:t xml:space="preserve">9 </w:t>
      </w:r>
      <w:r w:rsidRPr="009569C2">
        <w:rPr>
          <w:rFonts w:cs="Times New Roman"/>
          <w:color w:val="262626"/>
          <w:szCs w:val="24"/>
        </w:rPr>
        <w:t xml:space="preserve">miles </w:t>
      </w:r>
      <w:r w:rsidRPr="009569C2">
        <w:rPr>
          <w:rFonts w:cs="Times New Roman"/>
          <w:color w:val="141414"/>
          <w:szCs w:val="24"/>
        </w:rPr>
        <w:t>p</w:t>
      </w:r>
      <w:r w:rsidRPr="009569C2">
        <w:rPr>
          <w:rFonts w:cs="Times New Roman"/>
          <w:color w:val="383838"/>
          <w:szCs w:val="24"/>
        </w:rPr>
        <w:t>e</w:t>
      </w:r>
      <w:r w:rsidRPr="009569C2">
        <w:rPr>
          <w:rFonts w:cs="Times New Roman"/>
          <w:color w:val="141414"/>
          <w:szCs w:val="24"/>
        </w:rPr>
        <w:t xml:space="preserve">r </w:t>
      </w:r>
      <w:r w:rsidRPr="009569C2">
        <w:rPr>
          <w:rFonts w:cs="Times New Roman"/>
          <w:color w:val="383838"/>
          <w:szCs w:val="24"/>
        </w:rPr>
        <w:t>s</w:t>
      </w:r>
      <w:r w:rsidRPr="009569C2">
        <w:rPr>
          <w:rFonts w:cs="Times New Roman"/>
          <w:color w:val="141414"/>
          <w:szCs w:val="24"/>
        </w:rPr>
        <w:t xml:space="preserve">quare mile in </w:t>
      </w:r>
      <w:r w:rsidRPr="009569C2">
        <w:rPr>
          <w:rFonts w:cs="Times New Roman"/>
          <w:color w:val="262626"/>
          <w:szCs w:val="24"/>
        </w:rPr>
        <w:t xml:space="preserve">some watersheds. </w:t>
      </w:r>
      <w:r w:rsidRPr="009569C2">
        <w:rPr>
          <w:rFonts w:cs="Times New Roman"/>
          <w:color w:val="141414"/>
          <w:szCs w:val="24"/>
        </w:rPr>
        <w:t xml:space="preserve">In </w:t>
      </w:r>
      <w:r w:rsidRPr="009569C2">
        <w:rPr>
          <w:rFonts w:cs="Times New Roman"/>
          <w:color w:val="262626"/>
          <w:szCs w:val="24"/>
        </w:rPr>
        <w:t xml:space="preserve">the </w:t>
      </w:r>
      <w:r w:rsidRPr="009569C2">
        <w:rPr>
          <w:rFonts w:cs="Times New Roman"/>
          <w:color w:val="141414"/>
          <w:szCs w:val="24"/>
        </w:rPr>
        <w:t>national forests of Or</w:t>
      </w:r>
      <w:r w:rsidRPr="009569C2">
        <w:rPr>
          <w:rFonts w:cs="Times New Roman"/>
          <w:color w:val="383838"/>
          <w:szCs w:val="24"/>
        </w:rPr>
        <w:t xml:space="preserve">egon's </w:t>
      </w:r>
      <w:r w:rsidRPr="009569C2">
        <w:rPr>
          <w:rFonts w:cs="Times New Roman"/>
          <w:color w:val="262626"/>
          <w:szCs w:val="24"/>
        </w:rPr>
        <w:t xml:space="preserve">Blue </w:t>
      </w:r>
      <w:r w:rsidRPr="009569C2">
        <w:rPr>
          <w:rFonts w:cs="Times New Roman"/>
          <w:color w:val="141414"/>
          <w:szCs w:val="24"/>
        </w:rPr>
        <w:t xml:space="preserve">Mountains (Table </w:t>
      </w:r>
      <w:r w:rsidRPr="009569C2">
        <w:rPr>
          <w:rFonts w:cs="Times New Roman"/>
          <w:color w:val="262626"/>
          <w:szCs w:val="24"/>
        </w:rPr>
        <w:t xml:space="preserve">5.2), </w:t>
      </w:r>
      <w:r w:rsidRPr="009569C2">
        <w:rPr>
          <w:rFonts w:cs="Times New Roman"/>
          <w:color w:val="141414"/>
          <w:szCs w:val="24"/>
        </w:rPr>
        <w:t>l</w:t>
      </w:r>
      <w:r w:rsidRPr="009569C2">
        <w:rPr>
          <w:rFonts w:cs="Times New Roman"/>
          <w:color w:val="383838"/>
          <w:szCs w:val="24"/>
        </w:rPr>
        <w:t xml:space="preserve">ess </w:t>
      </w:r>
      <w:r w:rsidRPr="009569C2">
        <w:rPr>
          <w:rFonts w:cs="Times New Roman"/>
          <w:color w:val="141414"/>
          <w:szCs w:val="24"/>
        </w:rPr>
        <w:t>th</w:t>
      </w:r>
      <w:r w:rsidRPr="009569C2">
        <w:rPr>
          <w:rFonts w:cs="Times New Roman"/>
          <w:color w:val="383838"/>
          <w:szCs w:val="24"/>
        </w:rPr>
        <w:t xml:space="preserve">an </w:t>
      </w:r>
      <w:r w:rsidRPr="009569C2">
        <w:rPr>
          <w:rFonts w:cs="Times New Roman"/>
          <w:color w:val="141414"/>
          <w:szCs w:val="24"/>
        </w:rPr>
        <w:t xml:space="preserve">10% </w:t>
      </w:r>
      <w:r w:rsidRPr="009569C2">
        <w:rPr>
          <w:rFonts w:cs="Times New Roman"/>
          <w:color w:val="262626"/>
          <w:szCs w:val="24"/>
        </w:rPr>
        <w:t xml:space="preserve">of </w:t>
      </w:r>
      <w:r w:rsidRPr="009569C2">
        <w:rPr>
          <w:rFonts w:cs="Times New Roman"/>
          <w:color w:val="141414"/>
          <w:szCs w:val="24"/>
        </w:rPr>
        <w:t xml:space="preserve">roadless regions </w:t>
      </w:r>
      <w:r w:rsidRPr="009569C2">
        <w:rPr>
          <w:rFonts w:cs="Times New Roman"/>
          <w:color w:val="262626"/>
          <w:szCs w:val="24"/>
        </w:rPr>
        <w:t xml:space="preserve">on </w:t>
      </w:r>
      <w:r w:rsidRPr="009569C2">
        <w:rPr>
          <w:rFonts w:cs="Times New Roman"/>
          <w:color w:val="383838"/>
          <w:szCs w:val="24"/>
        </w:rPr>
        <w:t>s</w:t>
      </w:r>
      <w:r w:rsidRPr="009569C2">
        <w:rPr>
          <w:rFonts w:cs="Times New Roman"/>
          <w:color w:val="141414"/>
          <w:szCs w:val="24"/>
        </w:rPr>
        <w:t>lop</w:t>
      </w:r>
      <w:r w:rsidRPr="009569C2">
        <w:rPr>
          <w:rFonts w:cs="Times New Roman"/>
          <w:color w:val="383838"/>
          <w:szCs w:val="24"/>
        </w:rPr>
        <w:t xml:space="preserve">es steeper </w:t>
      </w:r>
      <w:r w:rsidRPr="009569C2">
        <w:rPr>
          <w:rFonts w:cs="Times New Roman"/>
          <w:color w:val="262626"/>
          <w:szCs w:val="24"/>
        </w:rPr>
        <w:t xml:space="preserve">than </w:t>
      </w:r>
      <w:r w:rsidRPr="009569C2">
        <w:rPr>
          <w:rFonts w:cs="Times New Roman"/>
          <w:color w:val="383838"/>
          <w:szCs w:val="24"/>
        </w:rPr>
        <w:t xml:space="preserve">60% </w:t>
      </w:r>
      <w:r w:rsidRPr="009569C2">
        <w:rPr>
          <w:rFonts w:cs="Times New Roman"/>
          <w:color w:val="262626"/>
          <w:szCs w:val="24"/>
        </w:rPr>
        <w:t xml:space="preserve">are </w:t>
      </w:r>
      <w:r w:rsidRPr="009569C2">
        <w:rPr>
          <w:rFonts w:cs="Times New Roman"/>
          <w:color w:val="141414"/>
          <w:szCs w:val="24"/>
        </w:rPr>
        <w:t>now prote</w:t>
      </w:r>
      <w:r w:rsidRPr="009569C2">
        <w:rPr>
          <w:rFonts w:cs="Times New Roman"/>
          <w:color w:val="383838"/>
          <w:szCs w:val="24"/>
        </w:rPr>
        <w:t>c</w:t>
      </w:r>
      <w:r w:rsidRPr="009569C2">
        <w:rPr>
          <w:rFonts w:cs="Times New Roman"/>
          <w:color w:val="141414"/>
          <w:szCs w:val="24"/>
        </w:rPr>
        <w:t>ted</w:t>
      </w:r>
      <w:r w:rsidRPr="009569C2">
        <w:rPr>
          <w:rFonts w:cs="Times New Roman"/>
          <w:color w:val="383838"/>
          <w:szCs w:val="24"/>
        </w:rPr>
        <w:t xml:space="preserve">, </w:t>
      </w:r>
      <w:r w:rsidRPr="009569C2">
        <w:rPr>
          <w:rFonts w:cs="Times New Roman"/>
          <w:color w:val="141414"/>
          <w:szCs w:val="24"/>
        </w:rPr>
        <w:t>l</w:t>
      </w:r>
      <w:r w:rsidRPr="009569C2">
        <w:rPr>
          <w:rFonts w:cs="Times New Roman"/>
          <w:color w:val="383838"/>
          <w:szCs w:val="24"/>
        </w:rPr>
        <w:t>ess t</w:t>
      </w:r>
      <w:r w:rsidRPr="009569C2">
        <w:rPr>
          <w:rFonts w:cs="Times New Roman"/>
          <w:color w:val="141414"/>
          <w:szCs w:val="24"/>
        </w:rPr>
        <w:t>h</w:t>
      </w:r>
      <w:r w:rsidRPr="009569C2">
        <w:rPr>
          <w:rFonts w:cs="Times New Roman"/>
          <w:color w:val="383838"/>
          <w:szCs w:val="24"/>
        </w:rPr>
        <w:t xml:space="preserve">an </w:t>
      </w:r>
      <w:r w:rsidRPr="009569C2">
        <w:rPr>
          <w:rFonts w:cs="Times New Roman"/>
          <w:color w:val="141414"/>
          <w:szCs w:val="24"/>
        </w:rPr>
        <w:t>1</w:t>
      </w:r>
      <w:r w:rsidRPr="009569C2">
        <w:rPr>
          <w:rFonts w:cs="Times New Roman"/>
          <w:color w:val="383838"/>
          <w:szCs w:val="24"/>
        </w:rPr>
        <w:t>5% o</w:t>
      </w:r>
      <w:r w:rsidRPr="009569C2">
        <w:rPr>
          <w:rFonts w:cs="Times New Roman"/>
          <w:color w:val="141414"/>
          <w:szCs w:val="24"/>
        </w:rPr>
        <w:t xml:space="preserve">n </w:t>
      </w:r>
      <w:r w:rsidRPr="009569C2">
        <w:rPr>
          <w:rFonts w:cs="Times New Roman"/>
          <w:color w:val="383838"/>
          <w:szCs w:val="24"/>
        </w:rPr>
        <w:t>s</w:t>
      </w:r>
      <w:r w:rsidRPr="009569C2">
        <w:rPr>
          <w:rFonts w:cs="Times New Roman"/>
          <w:color w:val="141414"/>
          <w:szCs w:val="24"/>
        </w:rPr>
        <w:t>lopes of 30-60</w:t>
      </w:r>
      <w:r w:rsidRPr="009569C2">
        <w:rPr>
          <w:rFonts w:cs="Times New Roman"/>
          <w:color w:val="383838"/>
          <w:szCs w:val="24"/>
        </w:rPr>
        <w:t xml:space="preserve">%. </w:t>
      </w:r>
      <w:r w:rsidRPr="009569C2">
        <w:rPr>
          <w:rFonts w:cs="Times New Roman"/>
          <w:color w:val="141414"/>
          <w:szCs w:val="24"/>
        </w:rPr>
        <w:t>Mor</w:t>
      </w:r>
      <w:r w:rsidRPr="009569C2">
        <w:rPr>
          <w:rFonts w:cs="Times New Roman"/>
          <w:color w:val="383838"/>
          <w:szCs w:val="24"/>
        </w:rPr>
        <w:t xml:space="preserve">eover, </w:t>
      </w:r>
      <w:r w:rsidRPr="009569C2">
        <w:rPr>
          <w:rFonts w:cs="Times New Roman"/>
          <w:color w:val="141414"/>
          <w:szCs w:val="24"/>
        </w:rPr>
        <w:t>ro</w:t>
      </w:r>
      <w:r w:rsidRPr="009569C2">
        <w:rPr>
          <w:rFonts w:cs="Times New Roman"/>
          <w:color w:val="383838"/>
          <w:szCs w:val="24"/>
        </w:rPr>
        <w:t>ad</w:t>
      </w:r>
      <w:r w:rsidRPr="009569C2">
        <w:rPr>
          <w:rFonts w:cs="Times New Roman"/>
          <w:color w:val="141414"/>
          <w:szCs w:val="24"/>
        </w:rPr>
        <w:t>l</w:t>
      </w:r>
      <w:r w:rsidRPr="009569C2">
        <w:rPr>
          <w:rFonts w:cs="Times New Roman"/>
          <w:color w:val="383838"/>
          <w:szCs w:val="24"/>
        </w:rPr>
        <w:t xml:space="preserve">ess </w:t>
      </w:r>
      <w:r w:rsidRPr="009569C2">
        <w:rPr>
          <w:rFonts w:cs="Times New Roman"/>
          <w:color w:val="262626"/>
          <w:szCs w:val="24"/>
        </w:rPr>
        <w:t xml:space="preserve">regions, </w:t>
      </w:r>
      <w:r w:rsidRPr="009569C2">
        <w:rPr>
          <w:rFonts w:cs="Times New Roman"/>
          <w:color w:val="141414"/>
          <w:szCs w:val="24"/>
        </w:rPr>
        <w:t>like L</w:t>
      </w:r>
      <w:r w:rsidRPr="009569C2">
        <w:rPr>
          <w:rFonts w:cs="Times New Roman"/>
          <w:color w:val="383838"/>
          <w:szCs w:val="24"/>
        </w:rPr>
        <w:t xml:space="preserve">S/OG </w:t>
      </w:r>
      <w:r w:rsidRPr="009569C2">
        <w:rPr>
          <w:rFonts w:cs="Times New Roman"/>
          <w:color w:val="262626"/>
          <w:szCs w:val="24"/>
        </w:rPr>
        <w:t xml:space="preserve">patches, </w:t>
      </w:r>
      <w:r w:rsidRPr="009569C2">
        <w:rPr>
          <w:rFonts w:cs="Times New Roman"/>
          <w:color w:val="383838"/>
          <w:szCs w:val="24"/>
        </w:rPr>
        <w:t>are exte</w:t>
      </w:r>
      <w:r w:rsidRPr="009569C2">
        <w:rPr>
          <w:rFonts w:cs="Times New Roman"/>
          <w:color w:val="141414"/>
          <w:szCs w:val="24"/>
        </w:rPr>
        <w:t xml:space="preserve">nsively </w:t>
      </w:r>
      <w:r w:rsidRPr="009569C2">
        <w:rPr>
          <w:rFonts w:cs="Times New Roman"/>
          <w:color w:val="262626"/>
          <w:szCs w:val="24"/>
        </w:rPr>
        <w:t xml:space="preserve">fragmented. In </w:t>
      </w:r>
      <w:r w:rsidRPr="009569C2">
        <w:rPr>
          <w:rFonts w:cs="Times New Roman"/>
          <w:color w:val="141414"/>
          <w:szCs w:val="24"/>
        </w:rPr>
        <w:t>north</w:t>
      </w:r>
      <w:r w:rsidRPr="009569C2">
        <w:rPr>
          <w:rFonts w:cs="Times New Roman"/>
          <w:color w:val="383838"/>
          <w:szCs w:val="24"/>
        </w:rPr>
        <w:t xml:space="preserve">ern </w:t>
      </w:r>
      <w:r w:rsidRPr="009569C2">
        <w:rPr>
          <w:rFonts w:cs="Times New Roman"/>
          <w:color w:val="262626"/>
          <w:szCs w:val="24"/>
        </w:rPr>
        <w:t xml:space="preserve">Ochoco </w:t>
      </w:r>
      <w:r w:rsidRPr="009569C2">
        <w:rPr>
          <w:rFonts w:cs="Times New Roman"/>
          <w:color w:val="141414"/>
          <w:szCs w:val="24"/>
        </w:rPr>
        <w:t>Nation</w:t>
      </w:r>
      <w:r w:rsidRPr="009569C2">
        <w:rPr>
          <w:rFonts w:cs="Times New Roman"/>
          <w:color w:val="383838"/>
          <w:szCs w:val="24"/>
        </w:rPr>
        <w:t xml:space="preserve">al </w:t>
      </w:r>
      <w:r w:rsidRPr="009569C2">
        <w:rPr>
          <w:rFonts w:cs="Times New Roman"/>
          <w:color w:val="141414"/>
          <w:szCs w:val="24"/>
        </w:rPr>
        <w:t>Fore</w:t>
      </w:r>
      <w:r w:rsidRPr="009569C2">
        <w:rPr>
          <w:rFonts w:cs="Times New Roman"/>
          <w:color w:val="383838"/>
          <w:szCs w:val="24"/>
        </w:rPr>
        <w:t>s</w:t>
      </w:r>
      <w:r w:rsidRPr="009569C2">
        <w:rPr>
          <w:rFonts w:cs="Times New Roman"/>
          <w:color w:val="141414"/>
          <w:szCs w:val="24"/>
        </w:rPr>
        <w:t>t</w:t>
      </w:r>
      <w:r w:rsidRPr="009569C2">
        <w:rPr>
          <w:rFonts w:cs="Times New Roman"/>
          <w:color w:val="383838"/>
          <w:szCs w:val="24"/>
        </w:rPr>
        <w:t xml:space="preserve">, </w:t>
      </w:r>
      <w:r w:rsidRPr="009569C2">
        <w:rPr>
          <w:rFonts w:cs="Times New Roman"/>
          <w:color w:val="141414"/>
          <w:szCs w:val="24"/>
        </w:rPr>
        <w:t>n</w:t>
      </w:r>
      <w:r w:rsidRPr="009569C2">
        <w:rPr>
          <w:rFonts w:cs="Times New Roman"/>
          <w:color w:val="383838"/>
          <w:szCs w:val="24"/>
        </w:rPr>
        <w:t>early one-t</w:t>
      </w:r>
      <w:r w:rsidRPr="009569C2">
        <w:rPr>
          <w:rFonts w:cs="Times New Roman"/>
          <w:color w:val="141414"/>
          <w:szCs w:val="24"/>
        </w:rPr>
        <w:t xml:space="preserve">hird </w:t>
      </w:r>
      <w:r w:rsidRPr="009569C2">
        <w:rPr>
          <w:rFonts w:cs="Times New Roman"/>
          <w:color w:val="262626"/>
          <w:szCs w:val="24"/>
        </w:rPr>
        <w:t>(38</w:t>
      </w:r>
      <w:r w:rsidRPr="009569C2">
        <w:rPr>
          <w:rFonts w:cs="Times New Roman"/>
          <w:color w:val="383838"/>
          <w:szCs w:val="24"/>
        </w:rPr>
        <w:t>,88</w:t>
      </w:r>
      <w:r w:rsidRPr="009569C2">
        <w:rPr>
          <w:rFonts w:cs="Times New Roman"/>
          <w:color w:val="141414"/>
          <w:szCs w:val="24"/>
        </w:rPr>
        <w:t xml:space="preserve">2 </w:t>
      </w:r>
      <w:r w:rsidRPr="009569C2">
        <w:rPr>
          <w:rFonts w:cs="Times New Roman"/>
          <w:color w:val="262626"/>
          <w:szCs w:val="24"/>
        </w:rPr>
        <w:t xml:space="preserve">acres) of </w:t>
      </w:r>
      <w:r w:rsidRPr="009569C2">
        <w:rPr>
          <w:rFonts w:cs="Times New Roman"/>
          <w:color w:val="141414"/>
          <w:szCs w:val="24"/>
        </w:rPr>
        <w:t>1</w:t>
      </w:r>
      <w:r w:rsidRPr="009569C2">
        <w:rPr>
          <w:rFonts w:cs="Times New Roman"/>
          <w:color w:val="383838"/>
          <w:szCs w:val="24"/>
        </w:rPr>
        <w:t>28,</w:t>
      </w:r>
      <w:r w:rsidRPr="009569C2">
        <w:rPr>
          <w:rFonts w:cs="Times New Roman"/>
          <w:color w:val="141414"/>
          <w:szCs w:val="24"/>
        </w:rPr>
        <w:t xml:space="preserve">140 </w:t>
      </w:r>
      <w:r w:rsidRPr="009569C2">
        <w:rPr>
          <w:rFonts w:cs="Times New Roman"/>
          <w:color w:val="383838"/>
          <w:szCs w:val="24"/>
        </w:rPr>
        <w:t xml:space="preserve">acres of </w:t>
      </w:r>
      <w:r w:rsidRPr="009569C2">
        <w:rPr>
          <w:rFonts w:cs="Times New Roman"/>
          <w:color w:val="262626"/>
          <w:szCs w:val="24"/>
        </w:rPr>
        <w:t>ro</w:t>
      </w:r>
      <w:r w:rsidRPr="009569C2">
        <w:rPr>
          <w:rFonts w:cs="Times New Roman"/>
          <w:color w:val="505050"/>
          <w:szCs w:val="24"/>
        </w:rPr>
        <w:t>a</w:t>
      </w:r>
      <w:r w:rsidRPr="009569C2">
        <w:rPr>
          <w:rFonts w:cs="Times New Roman"/>
          <w:color w:val="262626"/>
          <w:szCs w:val="24"/>
        </w:rPr>
        <w:t xml:space="preserve">dless </w:t>
      </w:r>
      <w:r w:rsidRPr="009569C2">
        <w:rPr>
          <w:rFonts w:cs="Times New Roman"/>
          <w:color w:val="141414"/>
          <w:szCs w:val="24"/>
        </w:rPr>
        <w:t>regi</w:t>
      </w:r>
      <w:r w:rsidRPr="009569C2">
        <w:rPr>
          <w:rFonts w:cs="Times New Roman"/>
          <w:color w:val="383838"/>
          <w:szCs w:val="24"/>
        </w:rPr>
        <w:t>o</w:t>
      </w:r>
      <w:r w:rsidRPr="009569C2">
        <w:rPr>
          <w:rFonts w:cs="Times New Roman"/>
          <w:color w:val="141414"/>
          <w:szCs w:val="24"/>
        </w:rPr>
        <w:t xml:space="preserve">n </w:t>
      </w:r>
      <w:r w:rsidRPr="009569C2">
        <w:rPr>
          <w:rFonts w:cs="Times New Roman"/>
          <w:color w:val="383838"/>
          <w:szCs w:val="24"/>
        </w:rPr>
        <w:t>consis</w:t>
      </w:r>
      <w:r w:rsidRPr="009569C2">
        <w:rPr>
          <w:rFonts w:cs="Times New Roman"/>
          <w:color w:val="141414"/>
          <w:szCs w:val="24"/>
        </w:rPr>
        <w:t>t</w:t>
      </w:r>
      <w:r w:rsidRPr="009569C2">
        <w:rPr>
          <w:rFonts w:cs="Times New Roman"/>
          <w:color w:val="383838"/>
          <w:szCs w:val="24"/>
        </w:rPr>
        <w:t xml:space="preserve">s of </w:t>
      </w:r>
      <w:r w:rsidRPr="009569C2">
        <w:rPr>
          <w:rFonts w:cs="Times New Roman"/>
          <w:color w:val="262626"/>
          <w:szCs w:val="24"/>
        </w:rPr>
        <w:t xml:space="preserve">patches </w:t>
      </w:r>
      <w:r w:rsidRPr="009569C2">
        <w:rPr>
          <w:rFonts w:cs="Times New Roman"/>
          <w:color w:val="383838"/>
          <w:szCs w:val="24"/>
        </w:rPr>
        <w:t>sma</w:t>
      </w:r>
      <w:r w:rsidRPr="009569C2">
        <w:rPr>
          <w:rFonts w:cs="Times New Roman"/>
          <w:color w:val="141414"/>
          <w:szCs w:val="24"/>
        </w:rPr>
        <w:t xml:space="preserve">ller </w:t>
      </w:r>
      <w:r w:rsidRPr="009569C2">
        <w:rPr>
          <w:rFonts w:cs="Times New Roman"/>
          <w:color w:val="262626"/>
          <w:szCs w:val="24"/>
        </w:rPr>
        <w:t xml:space="preserve">than </w:t>
      </w:r>
      <w:r w:rsidRPr="009569C2">
        <w:rPr>
          <w:rFonts w:cs="Times New Roman"/>
          <w:color w:val="141414"/>
          <w:szCs w:val="24"/>
        </w:rPr>
        <w:t xml:space="preserve">1000 </w:t>
      </w:r>
      <w:r w:rsidRPr="009569C2">
        <w:rPr>
          <w:rFonts w:cs="Times New Roman"/>
          <w:color w:val="262626"/>
          <w:szCs w:val="24"/>
        </w:rPr>
        <w:t xml:space="preserve">acres. (RARE II </w:t>
      </w:r>
      <w:r w:rsidRPr="009569C2">
        <w:rPr>
          <w:rFonts w:cs="Times New Roman"/>
          <w:color w:val="505050"/>
          <w:szCs w:val="24"/>
        </w:rPr>
        <w:t>s</w:t>
      </w:r>
      <w:r w:rsidRPr="009569C2">
        <w:rPr>
          <w:rFonts w:cs="Times New Roman"/>
          <w:color w:val="141414"/>
          <w:szCs w:val="24"/>
        </w:rPr>
        <w:t>u</w:t>
      </w:r>
      <w:r w:rsidRPr="009569C2">
        <w:rPr>
          <w:rFonts w:cs="Times New Roman"/>
          <w:color w:val="383838"/>
          <w:szCs w:val="24"/>
        </w:rPr>
        <w:t>rv</w:t>
      </w:r>
      <w:r w:rsidRPr="009569C2">
        <w:rPr>
          <w:rFonts w:cs="Times New Roman"/>
          <w:color w:val="141414"/>
          <w:szCs w:val="24"/>
        </w:rPr>
        <w:t>e</w:t>
      </w:r>
      <w:r w:rsidRPr="009569C2">
        <w:rPr>
          <w:rFonts w:cs="Times New Roman"/>
          <w:color w:val="383838"/>
          <w:szCs w:val="24"/>
        </w:rPr>
        <w:t xml:space="preserve">ys </w:t>
      </w:r>
      <w:r w:rsidRPr="009569C2">
        <w:rPr>
          <w:rFonts w:cs="Times New Roman"/>
          <w:color w:val="262626"/>
          <w:szCs w:val="24"/>
        </w:rPr>
        <w:t xml:space="preserve">underestimated </w:t>
      </w:r>
      <w:r w:rsidRPr="009569C2">
        <w:rPr>
          <w:rFonts w:cs="Times New Roman"/>
          <w:color w:val="383838"/>
          <w:szCs w:val="24"/>
        </w:rPr>
        <w:t>to</w:t>
      </w:r>
      <w:r w:rsidRPr="009569C2">
        <w:rPr>
          <w:rFonts w:cs="Times New Roman"/>
          <w:color w:val="141414"/>
          <w:szCs w:val="24"/>
        </w:rPr>
        <w:t xml:space="preserve">tal </w:t>
      </w:r>
      <w:r w:rsidRPr="009569C2">
        <w:rPr>
          <w:rFonts w:cs="Times New Roman"/>
          <w:color w:val="262626"/>
          <w:szCs w:val="24"/>
        </w:rPr>
        <w:t>roadle</w:t>
      </w:r>
      <w:r w:rsidRPr="009569C2">
        <w:rPr>
          <w:rFonts w:cs="Times New Roman"/>
          <w:color w:val="505050"/>
          <w:szCs w:val="24"/>
        </w:rPr>
        <w:t xml:space="preserve">ss </w:t>
      </w:r>
      <w:r w:rsidRPr="009569C2">
        <w:rPr>
          <w:rFonts w:cs="Times New Roman"/>
          <w:color w:val="383838"/>
          <w:szCs w:val="24"/>
        </w:rPr>
        <w:t>a</w:t>
      </w:r>
      <w:r w:rsidRPr="009569C2">
        <w:rPr>
          <w:rFonts w:cs="Times New Roman"/>
          <w:color w:val="141414"/>
          <w:szCs w:val="24"/>
        </w:rPr>
        <w:t>r</w:t>
      </w:r>
      <w:r w:rsidRPr="009569C2">
        <w:rPr>
          <w:rFonts w:cs="Times New Roman"/>
          <w:color w:val="505050"/>
          <w:szCs w:val="24"/>
        </w:rPr>
        <w:t xml:space="preserve">ea </w:t>
      </w:r>
      <w:r w:rsidRPr="009569C2">
        <w:rPr>
          <w:rFonts w:cs="Times New Roman"/>
          <w:color w:val="141414"/>
          <w:szCs w:val="24"/>
        </w:rPr>
        <w:t xml:space="preserve">in this </w:t>
      </w:r>
      <w:r w:rsidRPr="009569C2">
        <w:rPr>
          <w:rFonts w:cs="Times New Roman"/>
          <w:color w:val="383838"/>
          <w:szCs w:val="24"/>
        </w:rPr>
        <w:t>reg</w:t>
      </w:r>
      <w:r w:rsidRPr="009569C2">
        <w:rPr>
          <w:rFonts w:cs="Times New Roman"/>
          <w:color w:val="141414"/>
          <w:szCs w:val="24"/>
        </w:rPr>
        <w:t>ion [45</w:t>
      </w:r>
      <w:r w:rsidRPr="009569C2">
        <w:rPr>
          <w:rFonts w:cs="Times New Roman"/>
          <w:color w:val="383838"/>
          <w:szCs w:val="24"/>
        </w:rPr>
        <w:t>,70</w:t>
      </w:r>
      <w:r w:rsidRPr="009569C2">
        <w:rPr>
          <w:rFonts w:cs="Times New Roman"/>
          <w:color w:val="141414"/>
          <w:szCs w:val="24"/>
        </w:rPr>
        <w:t xml:space="preserve">0 </w:t>
      </w:r>
      <w:r w:rsidRPr="009569C2">
        <w:rPr>
          <w:rFonts w:cs="Times New Roman"/>
          <w:color w:val="383838"/>
          <w:szCs w:val="24"/>
        </w:rPr>
        <w:t>ac</w:t>
      </w:r>
      <w:r w:rsidRPr="009569C2">
        <w:rPr>
          <w:rFonts w:cs="Times New Roman"/>
          <w:color w:val="141414"/>
          <w:szCs w:val="24"/>
        </w:rPr>
        <w:t>re</w:t>
      </w:r>
      <w:r w:rsidRPr="009569C2">
        <w:rPr>
          <w:rFonts w:cs="Times New Roman"/>
          <w:color w:val="383838"/>
          <w:szCs w:val="24"/>
        </w:rPr>
        <w:t>s</w:t>
      </w:r>
      <w:r w:rsidRPr="009569C2">
        <w:rPr>
          <w:rFonts w:cs="Times New Roman"/>
          <w:color w:val="141414"/>
          <w:szCs w:val="24"/>
        </w:rPr>
        <w:t>] b</w:t>
      </w:r>
      <w:r w:rsidRPr="009569C2">
        <w:rPr>
          <w:rFonts w:cs="Times New Roman"/>
          <w:color w:val="383838"/>
          <w:szCs w:val="24"/>
        </w:rPr>
        <w:t xml:space="preserve">ecause </w:t>
      </w:r>
      <w:r w:rsidRPr="009569C2">
        <w:rPr>
          <w:rFonts w:cs="Times New Roman"/>
          <w:color w:val="141414"/>
          <w:szCs w:val="24"/>
        </w:rPr>
        <w:t>th</w:t>
      </w:r>
      <w:r w:rsidRPr="009569C2">
        <w:rPr>
          <w:rFonts w:cs="Times New Roman"/>
          <w:color w:val="383838"/>
          <w:szCs w:val="24"/>
        </w:rPr>
        <w:t>ey co</w:t>
      </w:r>
      <w:r w:rsidRPr="009569C2">
        <w:rPr>
          <w:rFonts w:cs="Times New Roman"/>
          <w:color w:val="141414"/>
          <w:szCs w:val="24"/>
        </w:rPr>
        <w:t>n</w:t>
      </w:r>
      <w:r w:rsidRPr="009569C2">
        <w:rPr>
          <w:rFonts w:cs="Times New Roman"/>
          <w:color w:val="383838"/>
          <w:szCs w:val="24"/>
        </w:rPr>
        <w:t>s</w:t>
      </w:r>
      <w:r w:rsidRPr="009569C2">
        <w:rPr>
          <w:rFonts w:cs="Times New Roman"/>
          <w:color w:val="141414"/>
          <w:szCs w:val="24"/>
        </w:rPr>
        <w:t>id</w:t>
      </w:r>
      <w:r w:rsidRPr="009569C2">
        <w:rPr>
          <w:rFonts w:cs="Times New Roman"/>
          <w:color w:val="383838"/>
          <w:szCs w:val="24"/>
        </w:rPr>
        <w:t xml:space="preserve">ered </w:t>
      </w:r>
      <w:r w:rsidRPr="009569C2">
        <w:rPr>
          <w:rFonts w:cs="Times New Roman"/>
          <w:color w:val="262626"/>
          <w:szCs w:val="24"/>
        </w:rPr>
        <w:t xml:space="preserve">only areas </w:t>
      </w:r>
      <w:r w:rsidRPr="009569C2">
        <w:rPr>
          <w:rFonts w:cs="Times New Roman"/>
          <w:color w:val="141414"/>
          <w:szCs w:val="24"/>
        </w:rPr>
        <w:t>lar</w:t>
      </w:r>
      <w:r w:rsidRPr="009569C2">
        <w:rPr>
          <w:rFonts w:cs="Times New Roman"/>
          <w:color w:val="383838"/>
          <w:szCs w:val="24"/>
        </w:rPr>
        <w:t xml:space="preserve">ger </w:t>
      </w:r>
      <w:r w:rsidRPr="009569C2">
        <w:rPr>
          <w:rFonts w:cs="Times New Roman"/>
          <w:color w:val="262626"/>
          <w:szCs w:val="24"/>
        </w:rPr>
        <w:t xml:space="preserve">than </w:t>
      </w:r>
      <w:r w:rsidRPr="009569C2">
        <w:rPr>
          <w:rFonts w:cs="Times New Roman"/>
          <w:color w:val="383838"/>
          <w:szCs w:val="24"/>
        </w:rPr>
        <w:t>5</w:t>
      </w:r>
      <w:r w:rsidRPr="009569C2">
        <w:rPr>
          <w:rFonts w:cs="Times New Roman"/>
          <w:color w:val="141414"/>
          <w:szCs w:val="24"/>
        </w:rPr>
        <w:t xml:space="preserve">000 </w:t>
      </w:r>
      <w:r w:rsidRPr="009569C2">
        <w:rPr>
          <w:rFonts w:cs="Times New Roman"/>
          <w:color w:val="383838"/>
          <w:szCs w:val="24"/>
        </w:rPr>
        <w:t>ac</w:t>
      </w:r>
      <w:r w:rsidRPr="009569C2">
        <w:rPr>
          <w:rFonts w:cs="Times New Roman"/>
          <w:color w:val="141414"/>
          <w:szCs w:val="24"/>
        </w:rPr>
        <w:t>r</w:t>
      </w:r>
      <w:r w:rsidRPr="009569C2">
        <w:rPr>
          <w:rFonts w:cs="Times New Roman"/>
          <w:color w:val="383838"/>
          <w:szCs w:val="24"/>
        </w:rPr>
        <w:t>es.) [p 110]</w:t>
      </w:r>
    </w:p>
    <w:p w:rsidR="00321760" w:rsidRPr="009569C2" w:rsidRDefault="00321760" w:rsidP="009569C2">
      <w:pPr>
        <w:ind w:left="720"/>
        <w:rPr>
          <w:rFonts w:cs="Times New Roman"/>
          <w:color w:val="383838"/>
          <w:szCs w:val="24"/>
        </w:rPr>
      </w:pPr>
      <w:r w:rsidRPr="009569C2">
        <w:rPr>
          <w:rFonts w:cs="Times New Roman"/>
          <w:color w:val="383838"/>
          <w:szCs w:val="24"/>
        </w:rPr>
        <w:t>…</w:t>
      </w:r>
    </w:p>
    <w:p w:rsidR="00321760" w:rsidRPr="009569C2" w:rsidRDefault="00321760" w:rsidP="009569C2">
      <w:pPr>
        <w:autoSpaceDE w:val="0"/>
        <w:autoSpaceDN w:val="0"/>
        <w:adjustRightInd w:val="0"/>
        <w:ind w:left="720"/>
        <w:rPr>
          <w:rFonts w:cs="Times New Roman"/>
          <w:color w:val="111111"/>
          <w:szCs w:val="24"/>
        </w:rPr>
      </w:pPr>
      <w:r w:rsidRPr="009569C2">
        <w:rPr>
          <w:rFonts w:cs="Times New Roman"/>
          <w:color w:val="111111"/>
          <w:szCs w:val="24"/>
        </w:rPr>
        <w:t>CONCLUSIONS</w:t>
      </w:r>
    </w:p>
    <w:p w:rsidR="00321760" w:rsidRPr="009569C2" w:rsidRDefault="00321760" w:rsidP="009569C2">
      <w:pPr>
        <w:autoSpaceDE w:val="0"/>
        <w:autoSpaceDN w:val="0"/>
        <w:adjustRightInd w:val="0"/>
        <w:ind w:left="720"/>
        <w:rPr>
          <w:rFonts w:cs="Times New Roman"/>
          <w:color w:val="111111"/>
          <w:szCs w:val="24"/>
        </w:rPr>
      </w:pPr>
      <w:r w:rsidRPr="009569C2">
        <w:rPr>
          <w:rFonts w:cs="Times New Roman"/>
          <w:color w:val="222222"/>
          <w:szCs w:val="24"/>
        </w:rPr>
        <w:t xml:space="preserve">Watersheds </w:t>
      </w:r>
      <w:r w:rsidRPr="009569C2">
        <w:rPr>
          <w:rFonts w:cs="Times New Roman"/>
          <w:color w:val="111111"/>
          <w:szCs w:val="24"/>
        </w:rPr>
        <w:t>out</w:t>
      </w:r>
      <w:r w:rsidRPr="009569C2">
        <w:rPr>
          <w:rFonts w:cs="Times New Roman"/>
          <w:color w:val="353535"/>
          <w:szCs w:val="24"/>
        </w:rPr>
        <w:t>si</w:t>
      </w:r>
      <w:r w:rsidRPr="009569C2">
        <w:rPr>
          <w:rFonts w:cs="Times New Roman"/>
          <w:color w:val="111111"/>
          <w:szCs w:val="24"/>
        </w:rPr>
        <w:t>d</w:t>
      </w:r>
      <w:r w:rsidRPr="009569C2">
        <w:rPr>
          <w:rFonts w:cs="Times New Roman"/>
          <w:color w:val="353535"/>
          <w:szCs w:val="24"/>
        </w:rPr>
        <w:t xml:space="preserve">e </w:t>
      </w:r>
      <w:r w:rsidRPr="009569C2">
        <w:rPr>
          <w:rFonts w:cs="Times New Roman"/>
          <w:color w:val="222222"/>
          <w:szCs w:val="24"/>
        </w:rPr>
        <w:t xml:space="preserve">wilderness and roadless </w:t>
      </w:r>
      <w:r w:rsidRPr="009569C2">
        <w:rPr>
          <w:rFonts w:cs="Times New Roman"/>
          <w:color w:val="111111"/>
          <w:szCs w:val="24"/>
        </w:rPr>
        <w:t>re</w:t>
      </w:r>
      <w:r w:rsidRPr="009569C2">
        <w:rPr>
          <w:rFonts w:cs="Times New Roman"/>
          <w:color w:val="353535"/>
          <w:szCs w:val="24"/>
        </w:rPr>
        <w:t>g</w:t>
      </w:r>
      <w:r w:rsidRPr="009569C2">
        <w:rPr>
          <w:rFonts w:cs="Times New Roman"/>
          <w:color w:val="111111"/>
          <w:szCs w:val="24"/>
        </w:rPr>
        <w:t>ion</w:t>
      </w:r>
      <w:r w:rsidRPr="009569C2">
        <w:rPr>
          <w:rFonts w:cs="Times New Roman"/>
          <w:color w:val="353535"/>
          <w:szCs w:val="24"/>
        </w:rPr>
        <w:t xml:space="preserve">s </w:t>
      </w:r>
      <w:r w:rsidRPr="009569C2">
        <w:rPr>
          <w:rFonts w:cs="Times New Roman"/>
          <w:color w:val="111111"/>
          <w:szCs w:val="24"/>
        </w:rPr>
        <w:t xml:space="preserve">in </w:t>
      </w:r>
      <w:r w:rsidRPr="009569C2">
        <w:rPr>
          <w:rFonts w:cs="Times New Roman"/>
          <w:color w:val="222222"/>
          <w:szCs w:val="24"/>
        </w:rPr>
        <w:t xml:space="preserve">eastern </w:t>
      </w:r>
      <w:r w:rsidRPr="009569C2">
        <w:rPr>
          <w:rFonts w:cs="Times New Roman"/>
          <w:color w:val="353535"/>
          <w:szCs w:val="24"/>
        </w:rPr>
        <w:t>Or</w:t>
      </w:r>
      <w:r w:rsidRPr="009569C2">
        <w:rPr>
          <w:rFonts w:cs="Times New Roman"/>
          <w:color w:val="111111"/>
          <w:szCs w:val="24"/>
        </w:rPr>
        <w:t>eg</w:t>
      </w:r>
      <w:r w:rsidRPr="009569C2">
        <w:rPr>
          <w:rFonts w:cs="Times New Roman"/>
          <w:color w:val="353535"/>
          <w:szCs w:val="24"/>
        </w:rPr>
        <w:t>o</w:t>
      </w:r>
      <w:r w:rsidRPr="009569C2">
        <w:rPr>
          <w:rFonts w:cs="Times New Roman"/>
          <w:color w:val="111111"/>
          <w:szCs w:val="24"/>
        </w:rPr>
        <w:t xml:space="preserve">n </w:t>
      </w:r>
      <w:r w:rsidRPr="009569C2">
        <w:rPr>
          <w:rFonts w:cs="Times New Roman"/>
          <w:color w:val="222222"/>
          <w:szCs w:val="24"/>
        </w:rPr>
        <w:t xml:space="preserve">and </w:t>
      </w:r>
      <w:r w:rsidRPr="009569C2">
        <w:rPr>
          <w:rFonts w:cs="Times New Roman"/>
          <w:color w:val="353535"/>
          <w:szCs w:val="24"/>
        </w:rPr>
        <w:t>Was</w:t>
      </w:r>
      <w:r w:rsidRPr="009569C2">
        <w:rPr>
          <w:rFonts w:cs="Times New Roman"/>
          <w:color w:val="111111"/>
          <w:szCs w:val="24"/>
        </w:rPr>
        <w:t>hi</w:t>
      </w:r>
      <w:r w:rsidRPr="009569C2">
        <w:rPr>
          <w:rFonts w:cs="Times New Roman"/>
          <w:color w:val="353535"/>
          <w:szCs w:val="24"/>
        </w:rPr>
        <w:t>ng</w:t>
      </w:r>
      <w:r w:rsidRPr="009569C2">
        <w:rPr>
          <w:rFonts w:cs="Times New Roman"/>
          <w:color w:val="111111"/>
          <w:szCs w:val="24"/>
        </w:rPr>
        <w:t>t</w:t>
      </w:r>
      <w:r w:rsidRPr="009569C2">
        <w:rPr>
          <w:rFonts w:cs="Times New Roman"/>
          <w:color w:val="353535"/>
          <w:szCs w:val="24"/>
        </w:rPr>
        <w:t xml:space="preserve">on </w:t>
      </w:r>
      <w:r w:rsidRPr="009569C2">
        <w:rPr>
          <w:rFonts w:cs="Times New Roman"/>
          <w:color w:val="222222"/>
          <w:szCs w:val="24"/>
        </w:rPr>
        <w:t xml:space="preserve">are highly degraded. Without an </w:t>
      </w:r>
      <w:r w:rsidRPr="009569C2">
        <w:rPr>
          <w:rFonts w:cs="Times New Roman"/>
          <w:color w:val="353535"/>
          <w:szCs w:val="24"/>
        </w:rPr>
        <w:t xml:space="preserve">intensive </w:t>
      </w:r>
      <w:r w:rsidRPr="009569C2">
        <w:rPr>
          <w:rFonts w:cs="Times New Roman"/>
          <w:color w:val="111111"/>
          <w:szCs w:val="24"/>
        </w:rPr>
        <w:t>re</w:t>
      </w:r>
      <w:r w:rsidRPr="009569C2">
        <w:rPr>
          <w:rFonts w:cs="Times New Roman"/>
          <w:color w:val="353535"/>
          <w:szCs w:val="24"/>
        </w:rPr>
        <w:t xml:space="preserve">storation </w:t>
      </w:r>
      <w:r w:rsidRPr="009569C2">
        <w:rPr>
          <w:rFonts w:cs="Times New Roman"/>
          <w:color w:val="4C4C4C"/>
          <w:szCs w:val="24"/>
        </w:rPr>
        <w:t>e</w:t>
      </w:r>
      <w:r w:rsidRPr="009569C2">
        <w:rPr>
          <w:rFonts w:cs="Times New Roman"/>
          <w:color w:val="222222"/>
          <w:szCs w:val="24"/>
        </w:rPr>
        <w:t xml:space="preserve">ffort on </w:t>
      </w:r>
      <w:r w:rsidRPr="009569C2">
        <w:rPr>
          <w:rFonts w:cs="Times New Roman"/>
          <w:color w:val="111111"/>
          <w:szCs w:val="24"/>
        </w:rPr>
        <w:t>f</w:t>
      </w:r>
      <w:r w:rsidRPr="009569C2">
        <w:rPr>
          <w:rFonts w:cs="Times New Roman"/>
          <w:color w:val="353535"/>
          <w:szCs w:val="24"/>
        </w:rPr>
        <w:t>edera</w:t>
      </w:r>
      <w:r w:rsidRPr="009569C2">
        <w:rPr>
          <w:rFonts w:cs="Times New Roman"/>
          <w:color w:val="111111"/>
          <w:szCs w:val="24"/>
        </w:rPr>
        <w:t xml:space="preserve">l </w:t>
      </w:r>
      <w:r w:rsidRPr="009569C2">
        <w:rPr>
          <w:rFonts w:cs="Times New Roman"/>
          <w:color w:val="353535"/>
          <w:szCs w:val="24"/>
        </w:rPr>
        <w:t xml:space="preserve">and </w:t>
      </w:r>
      <w:r w:rsidRPr="009569C2">
        <w:rPr>
          <w:rFonts w:cs="Times New Roman"/>
          <w:color w:val="222222"/>
          <w:szCs w:val="24"/>
        </w:rPr>
        <w:t xml:space="preserve">private </w:t>
      </w:r>
      <w:r w:rsidRPr="009569C2">
        <w:rPr>
          <w:rFonts w:cs="Times New Roman"/>
          <w:color w:val="111111"/>
          <w:szCs w:val="24"/>
        </w:rPr>
        <w:t>l</w:t>
      </w:r>
      <w:r w:rsidRPr="009569C2">
        <w:rPr>
          <w:rFonts w:cs="Times New Roman"/>
          <w:color w:val="353535"/>
          <w:szCs w:val="24"/>
        </w:rPr>
        <w:t xml:space="preserve">ands, </w:t>
      </w:r>
      <w:r w:rsidRPr="009569C2">
        <w:rPr>
          <w:rFonts w:cs="Times New Roman"/>
          <w:color w:val="222222"/>
          <w:szCs w:val="24"/>
        </w:rPr>
        <w:t xml:space="preserve">many native aquatic </w:t>
      </w:r>
      <w:r w:rsidRPr="009569C2">
        <w:rPr>
          <w:rFonts w:cs="Times New Roman"/>
          <w:color w:val="353535"/>
          <w:szCs w:val="24"/>
        </w:rPr>
        <w:t>s</w:t>
      </w:r>
      <w:r w:rsidRPr="009569C2">
        <w:rPr>
          <w:rFonts w:cs="Times New Roman"/>
          <w:color w:val="111111"/>
          <w:szCs w:val="24"/>
        </w:rPr>
        <w:t>t</w:t>
      </w:r>
      <w:r w:rsidRPr="009569C2">
        <w:rPr>
          <w:rFonts w:cs="Times New Roman"/>
          <w:color w:val="353535"/>
          <w:szCs w:val="24"/>
        </w:rPr>
        <w:t xml:space="preserve">ocks and species risk </w:t>
      </w:r>
      <w:r w:rsidRPr="009569C2">
        <w:rPr>
          <w:rFonts w:cs="Times New Roman"/>
          <w:color w:val="111111"/>
          <w:szCs w:val="24"/>
        </w:rPr>
        <w:t>e</w:t>
      </w:r>
      <w:r w:rsidRPr="009569C2">
        <w:rPr>
          <w:rFonts w:cs="Times New Roman"/>
          <w:color w:val="353535"/>
          <w:szCs w:val="24"/>
        </w:rPr>
        <w:t>x</w:t>
      </w:r>
      <w:r w:rsidRPr="009569C2">
        <w:rPr>
          <w:rFonts w:cs="Times New Roman"/>
          <w:color w:val="111111"/>
          <w:szCs w:val="24"/>
        </w:rPr>
        <w:t>t</w:t>
      </w:r>
      <w:r w:rsidRPr="009569C2">
        <w:rPr>
          <w:rFonts w:cs="Times New Roman"/>
          <w:color w:val="353535"/>
          <w:szCs w:val="24"/>
        </w:rPr>
        <w:t>i</w:t>
      </w:r>
      <w:r w:rsidRPr="009569C2">
        <w:rPr>
          <w:rFonts w:cs="Times New Roman"/>
          <w:color w:val="111111"/>
          <w:szCs w:val="24"/>
        </w:rPr>
        <w:t>nction. [p 160]</w:t>
      </w:r>
    </w:p>
    <w:p w:rsidR="00321760" w:rsidRPr="009569C2" w:rsidRDefault="00321760" w:rsidP="009569C2">
      <w:pPr>
        <w:ind w:left="720"/>
        <w:rPr>
          <w:rFonts w:cs="Times New Roman"/>
          <w:color w:val="111111"/>
          <w:szCs w:val="24"/>
        </w:rPr>
      </w:pPr>
      <w:r w:rsidRPr="009569C2">
        <w:rPr>
          <w:rFonts w:cs="Times New Roman"/>
          <w:color w:val="111111"/>
          <w:szCs w:val="24"/>
        </w:rPr>
        <w:t>…</w:t>
      </w:r>
    </w:p>
    <w:p w:rsidR="00321760" w:rsidRPr="009569C2" w:rsidRDefault="00321760" w:rsidP="009569C2">
      <w:pPr>
        <w:autoSpaceDE w:val="0"/>
        <w:autoSpaceDN w:val="0"/>
        <w:adjustRightInd w:val="0"/>
        <w:ind w:left="720"/>
        <w:rPr>
          <w:rFonts w:cs="Times New Roman"/>
          <w:color w:val="434343"/>
          <w:szCs w:val="24"/>
        </w:rPr>
      </w:pPr>
      <w:r w:rsidRPr="009569C2">
        <w:rPr>
          <w:rFonts w:cs="Times New Roman"/>
          <w:color w:val="171717"/>
          <w:szCs w:val="24"/>
        </w:rPr>
        <w:t>Becau</w:t>
      </w:r>
      <w:r w:rsidRPr="009569C2">
        <w:rPr>
          <w:rFonts w:cs="Times New Roman"/>
          <w:color w:val="434343"/>
          <w:szCs w:val="24"/>
        </w:rPr>
        <w:t xml:space="preserve">se </w:t>
      </w:r>
      <w:r w:rsidRPr="009569C2">
        <w:rPr>
          <w:rFonts w:cs="Times New Roman"/>
          <w:color w:val="2D2D2D"/>
          <w:szCs w:val="24"/>
        </w:rPr>
        <w:t xml:space="preserve">the </w:t>
      </w:r>
      <w:r w:rsidRPr="009569C2">
        <w:rPr>
          <w:rFonts w:cs="Times New Roman"/>
          <w:color w:val="171717"/>
          <w:szCs w:val="24"/>
        </w:rPr>
        <w:t xml:space="preserve">distribution of </w:t>
      </w:r>
      <w:r w:rsidRPr="009569C2">
        <w:rPr>
          <w:rFonts w:cs="Times New Roman"/>
          <w:color w:val="2D2D2D"/>
          <w:szCs w:val="24"/>
        </w:rPr>
        <w:t xml:space="preserve">many native </w:t>
      </w:r>
      <w:r w:rsidRPr="009569C2">
        <w:rPr>
          <w:rFonts w:cs="Times New Roman"/>
          <w:color w:val="171717"/>
          <w:szCs w:val="24"/>
        </w:rPr>
        <w:t>fish</w:t>
      </w:r>
      <w:r w:rsidRPr="009569C2">
        <w:rPr>
          <w:rFonts w:cs="Times New Roman"/>
          <w:color w:val="434343"/>
          <w:szCs w:val="24"/>
        </w:rPr>
        <w:t xml:space="preserve">es </w:t>
      </w:r>
      <w:r w:rsidRPr="009569C2">
        <w:rPr>
          <w:rFonts w:cs="Times New Roman"/>
          <w:color w:val="171717"/>
          <w:szCs w:val="24"/>
        </w:rPr>
        <w:t xml:space="preserve">in </w:t>
      </w:r>
      <w:r w:rsidRPr="009569C2">
        <w:rPr>
          <w:rFonts w:cs="Times New Roman"/>
          <w:color w:val="2D2D2D"/>
          <w:szCs w:val="24"/>
        </w:rPr>
        <w:t xml:space="preserve">Oregon's </w:t>
      </w:r>
      <w:r w:rsidRPr="009569C2">
        <w:rPr>
          <w:rFonts w:cs="Times New Roman"/>
          <w:color w:val="171717"/>
          <w:szCs w:val="24"/>
        </w:rPr>
        <w:t>nationa</w:t>
      </w:r>
      <w:r w:rsidRPr="009569C2">
        <w:rPr>
          <w:rFonts w:cs="Times New Roman"/>
          <w:color w:val="434343"/>
          <w:szCs w:val="24"/>
        </w:rPr>
        <w:t xml:space="preserve">l </w:t>
      </w:r>
      <w:r w:rsidRPr="009569C2">
        <w:rPr>
          <w:rFonts w:cs="Times New Roman"/>
          <w:color w:val="171717"/>
          <w:szCs w:val="24"/>
        </w:rPr>
        <w:t>forest</w:t>
      </w:r>
      <w:r w:rsidRPr="009569C2">
        <w:rPr>
          <w:rFonts w:cs="Times New Roman"/>
          <w:color w:val="434343"/>
          <w:szCs w:val="24"/>
        </w:rPr>
        <w:t xml:space="preserve">s </w:t>
      </w:r>
      <w:r w:rsidRPr="009569C2">
        <w:rPr>
          <w:rFonts w:cs="Times New Roman"/>
          <w:color w:val="171717"/>
          <w:szCs w:val="24"/>
        </w:rPr>
        <w:t xml:space="preserve">has </w:t>
      </w:r>
      <w:r w:rsidRPr="009569C2">
        <w:rPr>
          <w:rFonts w:cs="Times New Roman"/>
          <w:color w:val="434343"/>
          <w:szCs w:val="24"/>
        </w:rPr>
        <w:t>re</w:t>
      </w:r>
      <w:r w:rsidRPr="009569C2">
        <w:rPr>
          <w:rFonts w:cs="Times New Roman"/>
          <w:color w:val="171717"/>
          <w:szCs w:val="24"/>
        </w:rPr>
        <w:t>ceded into steep headwater areas</w:t>
      </w:r>
      <w:r w:rsidRPr="009569C2">
        <w:rPr>
          <w:rFonts w:cs="Times New Roman"/>
          <w:color w:val="434343"/>
          <w:szCs w:val="24"/>
        </w:rPr>
        <w:t xml:space="preserve">, </w:t>
      </w:r>
      <w:r w:rsidRPr="009569C2">
        <w:rPr>
          <w:rFonts w:cs="Times New Roman"/>
          <w:color w:val="171717"/>
          <w:szCs w:val="24"/>
        </w:rPr>
        <w:t xml:space="preserve">USPS has </w:t>
      </w:r>
      <w:r w:rsidRPr="009569C2">
        <w:rPr>
          <w:rFonts w:cs="Times New Roman"/>
          <w:color w:val="2D2D2D"/>
          <w:szCs w:val="24"/>
        </w:rPr>
        <w:t xml:space="preserve">a </w:t>
      </w:r>
      <w:r w:rsidRPr="009569C2">
        <w:rPr>
          <w:rFonts w:cs="Times New Roman"/>
          <w:color w:val="171717"/>
          <w:szCs w:val="24"/>
        </w:rPr>
        <w:t xml:space="preserve">vital role in </w:t>
      </w:r>
      <w:r w:rsidRPr="009569C2">
        <w:rPr>
          <w:rFonts w:cs="Times New Roman"/>
          <w:color w:val="2D2D2D"/>
          <w:szCs w:val="24"/>
        </w:rPr>
        <w:t xml:space="preserve">protecting </w:t>
      </w:r>
      <w:r w:rsidRPr="009569C2">
        <w:rPr>
          <w:rFonts w:cs="Times New Roman"/>
          <w:color w:val="171717"/>
          <w:szCs w:val="24"/>
        </w:rPr>
        <w:t xml:space="preserve">the few </w:t>
      </w:r>
      <w:r w:rsidRPr="009569C2">
        <w:rPr>
          <w:rFonts w:cs="Times New Roman"/>
          <w:color w:val="2D2D2D"/>
          <w:szCs w:val="24"/>
        </w:rPr>
        <w:t xml:space="preserve">remaining watershed refugia and preventing further damage to </w:t>
      </w:r>
      <w:r w:rsidRPr="009569C2">
        <w:rPr>
          <w:rFonts w:cs="Times New Roman"/>
          <w:color w:val="434343"/>
          <w:szCs w:val="24"/>
        </w:rPr>
        <w:t>a</w:t>
      </w:r>
      <w:r w:rsidRPr="009569C2">
        <w:rPr>
          <w:rFonts w:cs="Times New Roman"/>
          <w:color w:val="171717"/>
          <w:szCs w:val="24"/>
        </w:rPr>
        <w:t>lread</w:t>
      </w:r>
      <w:r w:rsidRPr="009569C2">
        <w:rPr>
          <w:rFonts w:cs="Times New Roman"/>
          <w:color w:val="434343"/>
          <w:szCs w:val="24"/>
        </w:rPr>
        <w:t xml:space="preserve">y </w:t>
      </w:r>
      <w:r w:rsidRPr="009569C2">
        <w:rPr>
          <w:rFonts w:cs="Times New Roman"/>
          <w:color w:val="2D2D2D"/>
          <w:szCs w:val="24"/>
        </w:rPr>
        <w:t xml:space="preserve">degraded </w:t>
      </w:r>
      <w:r w:rsidRPr="009569C2">
        <w:rPr>
          <w:rFonts w:cs="Times New Roman"/>
          <w:color w:val="171717"/>
          <w:szCs w:val="24"/>
        </w:rPr>
        <w:t>habitat</w:t>
      </w:r>
      <w:r w:rsidRPr="009569C2">
        <w:rPr>
          <w:rFonts w:cs="Times New Roman"/>
          <w:color w:val="434343"/>
          <w:szCs w:val="24"/>
        </w:rPr>
        <w:t xml:space="preserve">s </w:t>
      </w:r>
      <w:r w:rsidRPr="009569C2">
        <w:rPr>
          <w:rFonts w:cs="Times New Roman"/>
          <w:color w:val="171717"/>
          <w:szCs w:val="24"/>
        </w:rPr>
        <w:t xml:space="preserve">downstream. </w:t>
      </w:r>
      <w:r w:rsidRPr="009569C2">
        <w:rPr>
          <w:rFonts w:cs="Times New Roman"/>
          <w:color w:val="2D2D2D"/>
          <w:szCs w:val="24"/>
        </w:rPr>
        <w:t xml:space="preserve">Critical </w:t>
      </w:r>
      <w:r w:rsidRPr="009569C2">
        <w:rPr>
          <w:rFonts w:cs="Times New Roman"/>
          <w:color w:val="171717"/>
          <w:szCs w:val="24"/>
        </w:rPr>
        <w:t xml:space="preserve">to </w:t>
      </w:r>
      <w:r w:rsidRPr="009569C2">
        <w:rPr>
          <w:rFonts w:cs="Times New Roman"/>
          <w:color w:val="2D2D2D"/>
          <w:szCs w:val="24"/>
        </w:rPr>
        <w:t xml:space="preserve">securing eastside </w:t>
      </w:r>
      <w:r w:rsidRPr="009569C2">
        <w:rPr>
          <w:rFonts w:cs="Times New Roman"/>
          <w:color w:val="171717"/>
          <w:szCs w:val="24"/>
        </w:rPr>
        <w:t xml:space="preserve">[aquatic diversity areas] ADAs </w:t>
      </w:r>
      <w:r w:rsidRPr="009569C2">
        <w:rPr>
          <w:rFonts w:cs="Times New Roman"/>
          <w:color w:val="2D2D2D"/>
          <w:szCs w:val="24"/>
        </w:rPr>
        <w:t xml:space="preserve">as aquatic refugia are </w:t>
      </w:r>
      <w:r w:rsidRPr="009569C2">
        <w:rPr>
          <w:rFonts w:cs="Times New Roman"/>
          <w:color w:val="434343"/>
          <w:szCs w:val="24"/>
        </w:rPr>
        <w:t>t</w:t>
      </w:r>
      <w:r w:rsidRPr="009569C2">
        <w:rPr>
          <w:rFonts w:cs="Times New Roman"/>
          <w:color w:val="171717"/>
          <w:szCs w:val="24"/>
        </w:rPr>
        <w:t xml:space="preserve">he </w:t>
      </w:r>
      <w:r w:rsidRPr="009569C2">
        <w:rPr>
          <w:rFonts w:cs="Times New Roman"/>
          <w:color w:val="2D2D2D"/>
          <w:szCs w:val="24"/>
        </w:rPr>
        <w:t xml:space="preserve">remaining </w:t>
      </w:r>
      <w:r w:rsidRPr="009569C2">
        <w:rPr>
          <w:rFonts w:cs="Times New Roman"/>
          <w:color w:val="171717"/>
          <w:szCs w:val="24"/>
        </w:rPr>
        <w:t>ro</w:t>
      </w:r>
      <w:r w:rsidRPr="009569C2">
        <w:rPr>
          <w:rFonts w:cs="Times New Roman"/>
          <w:color w:val="434343"/>
          <w:szCs w:val="24"/>
        </w:rPr>
        <w:t>a</w:t>
      </w:r>
      <w:r w:rsidRPr="009569C2">
        <w:rPr>
          <w:rFonts w:cs="Times New Roman"/>
          <w:color w:val="171717"/>
          <w:szCs w:val="24"/>
        </w:rPr>
        <w:t xml:space="preserve">dless </w:t>
      </w:r>
      <w:r w:rsidRPr="009569C2">
        <w:rPr>
          <w:rFonts w:cs="Times New Roman"/>
          <w:color w:val="2D2D2D"/>
          <w:szCs w:val="24"/>
        </w:rPr>
        <w:t xml:space="preserve">regions, </w:t>
      </w:r>
      <w:r w:rsidRPr="009569C2">
        <w:rPr>
          <w:rFonts w:cs="Times New Roman"/>
          <w:color w:val="171717"/>
          <w:szCs w:val="24"/>
        </w:rPr>
        <w:t xml:space="preserve">sources </w:t>
      </w:r>
      <w:r w:rsidRPr="009569C2">
        <w:rPr>
          <w:rFonts w:cs="Times New Roman"/>
          <w:color w:val="2D2D2D"/>
          <w:szCs w:val="24"/>
        </w:rPr>
        <w:t xml:space="preserve">of </w:t>
      </w:r>
      <w:r w:rsidRPr="009569C2">
        <w:rPr>
          <w:rFonts w:cs="Times New Roman"/>
          <w:color w:val="171717"/>
          <w:szCs w:val="24"/>
        </w:rPr>
        <w:t>large wood from LS/OG forest</w:t>
      </w:r>
      <w:r w:rsidRPr="009569C2">
        <w:rPr>
          <w:rFonts w:cs="Times New Roman"/>
          <w:color w:val="434343"/>
          <w:szCs w:val="24"/>
        </w:rPr>
        <w:t>s</w:t>
      </w:r>
      <w:r w:rsidRPr="009569C2">
        <w:rPr>
          <w:rFonts w:cs="Times New Roman"/>
          <w:color w:val="171717"/>
          <w:szCs w:val="24"/>
        </w:rPr>
        <w:t xml:space="preserve">, and the </w:t>
      </w:r>
      <w:r w:rsidRPr="009569C2">
        <w:rPr>
          <w:rFonts w:cs="Times New Roman"/>
          <w:color w:val="2D2D2D"/>
          <w:szCs w:val="24"/>
        </w:rPr>
        <w:t xml:space="preserve">integrity </w:t>
      </w:r>
      <w:r w:rsidRPr="009569C2">
        <w:rPr>
          <w:rFonts w:cs="Times New Roman"/>
          <w:color w:val="171717"/>
          <w:szCs w:val="24"/>
        </w:rPr>
        <w:t xml:space="preserve">of riparian </w:t>
      </w:r>
      <w:r w:rsidRPr="009569C2">
        <w:rPr>
          <w:rFonts w:cs="Times New Roman"/>
          <w:color w:val="2D2D2D"/>
          <w:szCs w:val="24"/>
        </w:rPr>
        <w:t xml:space="preserve">corridors on </w:t>
      </w:r>
      <w:r w:rsidRPr="009569C2">
        <w:rPr>
          <w:rFonts w:cs="Times New Roman"/>
          <w:color w:val="171717"/>
          <w:szCs w:val="24"/>
        </w:rPr>
        <w:t>n</w:t>
      </w:r>
      <w:r w:rsidRPr="009569C2">
        <w:rPr>
          <w:rFonts w:cs="Times New Roman"/>
          <w:color w:val="434343"/>
          <w:szCs w:val="24"/>
        </w:rPr>
        <w:t>a</w:t>
      </w:r>
      <w:r w:rsidRPr="009569C2">
        <w:rPr>
          <w:rFonts w:cs="Times New Roman"/>
          <w:color w:val="171717"/>
          <w:szCs w:val="24"/>
        </w:rPr>
        <w:t>tion</w:t>
      </w:r>
      <w:r w:rsidRPr="009569C2">
        <w:rPr>
          <w:rFonts w:cs="Times New Roman"/>
          <w:color w:val="434343"/>
          <w:szCs w:val="24"/>
        </w:rPr>
        <w:t>a</w:t>
      </w:r>
      <w:r w:rsidRPr="009569C2">
        <w:rPr>
          <w:rFonts w:cs="Times New Roman"/>
          <w:color w:val="171717"/>
          <w:szCs w:val="24"/>
        </w:rPr>
        <w:t>l fore</w:t>
      </w:r>
      <w:r w:rsidRPr="009569C2">
        <w:rPr>
          <w:rFonts w:cs="Times New Roman"/>
          <w:color w:val="434343"/>
          <w:szCs w:val="24"/>
        </w:rPr>
        <w:t>s</w:t>
      </w:r>
      <w:r w:rsidRPr="009569C2">
        <w:rPr>
          <w:rFonts w:cs="Times New Roman"/>
          <w:color w:val="171717"/>
          <w:szCs w:val="24"/>
        </w:rPr>
        <w:t>tland</w:t>
      </w:r>
      <w:r w:rsidRPr="009569C2">
        <w:rPr>
          <w:rFonts w:cs="Times New Roman"/>
          <w:color w:val="434343"/>
          <w:szCs w:val="24"/>
        </w:rPr>
        <w:t>s. [p 168]</w:t>
      </w:r>
    </w:p>
    <w:p w:rsidR="00321760" w:rsidRPr="009569C2" w:rsidRDefault="00321760" w:rsidP="009569C2">
      <w:pPr>
        <w:ind w:left="720"/>
        <w:rPr>
          <w:rFonts w:cs="Times New Roman"/>
          <w:color w:val="434343"/>
          <w:szCs w:val="24"/>
        </w:rPr>
      </w:pPr>
      <w:r w:rsidRPr="009569C2">
        <w:rPr>
          <w:rFonts w:cs="Times New Roman"/>
          <w:color w:val="434343"/>
          <w:szCs w:val="24"/>
        </w:rPr>
        <w:t>…</w:t>
      </w:r>
    </w:p>
    <w:p w:rsidR="00321760" w:rsidRPr="009569C2" w:rsidRDefault="00321760" w:rsidP="009569C2">
      <w:pPr>
        <w:autoSpaceDE w:val="0"/>
        <w:autoSpaceDN w:val="0"/>
        <w:adjustRightInd w:val="0"/>
        <w:ind w:left="720"/>
        <w:rPr>
          <w:rFonts w:cs="Times New Roman"/>
          <w:color w:val="0D0D0D"/>
          <w:szCs w:val="24"/>
        </w:rPr>
      </w:pPr>
      <w:r w:rsidRPr="009569C2">
        <w:rPr>
          <w:rFonts w:cs="Times New Roman"/>
          <w:color w:val="0D0D0D"/>
          <w:szCs w:val="24"/>
        </w:rPr>
        <w:t>7. High road densities harm many forms of wildlife.</w:t>
      </w:r>
    </w:p>
    <w:p w:rsidR="00321760" w:rsidRPr="009569C2" w:rsidRDefault="00321760" w:rsidP="009569C2">
      <w:pPr>
        <w:autoSpaceDE w:val="0"/>
        <w:autoSpaceDN w:val="0"/>
        <w:adjustRightInd w:val="0"/>
        <w:ind w:left="720"/>
        <w:rPr>
          <w:rFonts w:cs="Times New Roman"/>
          <w:szCs w:val="24"/>
        </w:rPr>
      </w:pPr>
      <w:r w:rsidRPr="009569C2">
        <w:rPr>
          <w:rFonts w:cs="Times New Roman"/>
          <w:color w:val="0D0D0D"/>
          <w:szCs w:val="24"/>
        </w:rPr>
        <w:t xml:space="preserve">The </w:t>
      </w:r>
      <w:r w:rsidRPr="009569C2">
        <w:rPr>
          <w:rFonts w:cs="Times New Roman"/>
          <w:color w:val="1D1D1D"/>
          <w:szCs w:val="24"/>
        </w:rPr>
        <w:t xml:space="preserve">ecological integrity </w:t>
      </w:r>
      <w:r w:rsidRPr="009569C2">
        <w:rPr>
          <w:rFonts w:cs="Times New Roman"/>
          <w:color w:val="2E2E2E"/>
          <w:szCs w:val="24"/>
        </w:rPr>
        <w:t>of ex</w:t>
      </w:r>
      <w:r w:rsidRPr="009569C2">
        <w:rPr>
          <w:rFonts w:cs="Times New Roman"/>
          <w:color w:val="0D0D0D"/>
          <w:szCs w:val="24"/>
        </w:rPr>
        <w:t>i</w:t>
      </w:r>
      <w:r w:rsidRPr="009569C2">
        <w:rPr>
          <w:rFonts w:cs="Times New Roman"/>
          <w:color w:val="2E2E2E"/>
          <w:szCs w:val="24"/>
        </w:rPr>
        <w:t xml:space="preserve">sting </w:t>
      </w:r>
      <w:r w:rsidRPr="009569C2">
        <w:rPr>
          <w:rFonts w:cs="Times New Roman"/>
          <w:color w:val="1D1D1D"/>
          <w:szCs w:val="24"/>
        </w:rPr>
        <w:t xml:space="preserve">LS/OG </w:t>
      </w:r>
      <w:r w:rsidRPr="009569C2">
        <w:rPr>
          <w:rFonts w:cs="Times New Roman"/>
          <w:color w:val="2E2E2E"/>
          <w:szCs w:val="24"/>
        </w:rPr>
        <w:t>patc</w:t>
      </w:r>
      <w:r w:rsidRPr="009569C2">
        <w:rPr>
          <w:rFonts w:cs="Times New Roman"/>
          <w:color w:val="0D0D0D"/>
          <w:szCs w:val="24"/>
        </w:rPr>
        <w:t>h</w:t>
      </w:r>
      <w:r w:rsidRPr="009569C2">
        <w:rPr>
          <w:rFonts w:cs="Times New Roman"/>
          <w:color w:val="2E2E2E"/>
          <w:szCs w:val="24"/>
        </w:rPr>
        <w:t>es and oth</w:t>
      </w:r>
      <w:r w:rsidRPr="009569C2">
        <w:rPr>
          <w:rFonts w:cs="Times New Roman"/>
          <w:color w:val="0D0D0D"/>
          <w:szCs w:val="24"/>
        </w:rPr>
        <w:t>er r</w:t>
      </w:r>
      <w:r w:rsidRPr="009569C2">
        <w:rPr>
          <w:rFonts w:cs="Times New Roman"/>
          <w:color w:val="2E2E2E"/>
          <w:szCs w:val="24"/>
        </w:rPr>
        <w:t>oa</w:t>
      </w:r>
      <w:r w:rsidRPr="009569C2">
        <w:rPr>
          <w:rFonts w:cs="Times New Roman"/>
          <w:color w:val="0D0D0D"/>
          <w:szCs w:val="24"/>
        </w:rPr>
        <w:t>d</w:t>
      </w:r>
      <w:r w:rsidRPr="009569C2">
        <w:rPr>
          <w:rFonts w:cs="Times New Roman"/>
          <w:color w:val="2E2E2E"/>
          <w:szCs w:val="24"/>
        </w:rPr>
        <w:t xml:space="preserve">less </w:t>
      </w:r>
      <w:r w:rsidRPr="009569C2">
        <w:rPr>
          <w:rFonts w:cs="Times New Roman"/>
          <w:color w:val="1D1D1D"/>
          <w:szCs w:val="24"/>
        </w:rPr>
        <w:t xml:space="preserve">regions </w:t>
      </w:r>
      <w:r w:rsidRPr="009569C2">
        <w:rPr>
          <w:rFonts w:cs="Times New Roman"/>
          <w:color w:val="2E2E2E"/>
          <w:szCs w:val="24"/>
        </w:rPr>
        <w:t>ca</w:t>
      </w:r>
      <w:r w:rsidRPr="009569C2">
        <w:rPr>
          <w:rFonts w:cs="Times New Roman"/>
          <w:color w:val="0D0D0D"/>
          <w:szCs w:val="24"/>
        </w:rPr>
        <w:t xml:space="preserve">n </w:t>
      </w:r>
      <w:r w:rsidRPr="009569C2">
        <w:rPr>
          <w:rFonts w:cs="Times New Roman"/>
          <w:color w:val="1D1D1D"/>
          <w:szCs w:val="24"/>
        </w:rPr>
        <w:t xml:space="preserve">only </w:t>
      </w:r>
      <w:r w:rsidRPr="009569C2">
        <w:rPr>
          <w:rFonts w:cs="Times New Roman"/>
          <w:color w:val="0D0D0D"/>
          <w:szCs w:val="24"/>
        </w:rPr>
        <w:t xml:space="preserve">be </w:t>
      </w:r>
      <w:r w:rsidRPr="009569C2">
        <w:rPr>
          <w:rFonts w:cs="Times New Roman"/>
          <w:color w:val="1D1D1D"/>
          <w:szCs w:val="24"/>
        </w:rPr>
        <w:t xml:space="preserve">maintained </w:t>
      </w:r>
      <w:r w:rsidRPr="009569C2">
        <w:rPr>
          <w:rFonts w:cs="Times New Roman"/>
          <w:color w:val="0D0D0D"/>
          <w:szCs w:val="24"/>
        </w:rPr>
        <w:t>i</w:t>
      </w:r>
      <w:r w:rsidRPr="009569C2">
        <w:rPr>
          <w:rFonts w:cs="Times New Roman"/>
          <w:color w:val="2E2E2E"/>
          <w:szCs w:val="24"/>
        </w:rPr>
        <w:t xml:space="preserve">f </w:t>
      </w:r>
      <w:r w:rsidRPr="009569C2">
        <w:rPr>
          <w:rFonts w:cs="Times New Roman"/>
          <w:color w:val="1D1D1D"/>
          <w:szCs w:val="24"/>
        </w:rPr>
        <w:t xml:space="preserve">these </w:t>
      </w:r>
      <w:r w:rsidRPr="009569C2">
        <w:rPr>
          <w:rFonts w:cs="Times New Roman"/>
          <w:color w:val="2E2E2E"/>
          <w:szCs w:val="24"/>
        </w:rPr>
        <w:t>s</w:t>
      </w:r>
      <w:r w:rsidRPr="009569C2">
        <w:rPr>
          <w:rFonts w:cs="Times New Roman"/>
          <w:color w:val="0D0D0D"/>
          <w:szCs w:val="24"/>
        </w:rPr>
        <w:t xml:space="preserve">ites are not </w:t>
      </w:r>
      <w:r w:rsidRPr="009569C2">
        <w:rPr>
          <w:rFonts w:cs="Times New Roman"/>
          <w:color w:val="1D1D1D"/>
          <w:szCs w:val="24"/>
        </w:rPr>
        <w:t xml:space="preserve">disturbed </w:t>
      </w:r>
      <w:r w:rsidRPr="009569C2">
        <w:rPr>
          <w:rFonts w:cs="Times New Roman"/>
          <w:color w:val="0D0D0D"/>
          <w:szCs w:val="24"/>
        </w:rPr>
        <w:t>b</w:t>
      </w:r>
      <w:r w:rsidRPr="009569C2">
        <w:rPr>
          <w:rFonts w:cs="Times New Roman"/>
          <w:color w:val="2E2E2E"/>
          <w:szCs w:val="24"/>
        </w:rPr>
        <w:t xml:space="preserve">y </w:t>
      </w:r>
      <w:r w:rsidRPr="009569C2">
        <w:rPr>
          <w:rFonts w:cs="Times New Roman"/>
          <w:color w:val="0D0D0D"/>
          <w:szCs w:val="24"/>
        </w:rPr>
        <w:t xml:space="preserve">the </w:t>
      </w:r>
      <w:r w:rsidRPr="009569C2">
        <w:rPr>
          <w:rFonts w:cs="Times New Roman"/>
          <w:color w:val="1D1D1D"/>
          <w:szCs w:val="24"/>
        </w:rPr>
        <w:t xml:space="preserve">construction of roads. </w:t>
      </w:r>
      <w:r w:rsidRPr="009569C2">
        <w:rPr>
          <w:rFonts w:cs="Times New Roman"/>
          <w:color w:val="2E2E2E"/>
          <w:szCs w:val="24"/>
        </w:rPr>
        <w:t>Roadless regions serve as c</w:t>
      </w:r>
      <w:r w:rsidRPr="009569C2">
        <w:rPr>
          <w:rFonts w:cs="Times New Roman"/>
          <w:color w:val="0D0D0D"/>
          <w:szCs w:val="24"/>
        </w:rPr>
        <w:t>ri</w:t>
      </w:r>
      <w:r w:rsidRPr="009569C2">
        <w:rPr>
          <w:rFonts w:cs="Times New Roman"/>
          <w:color w:val="2E2E2E"/>
          <w:szCs w:val="24"/>
        </w:rPr>
        <w:t>tica</w:t>
      </w:r>
      <w:r w:rsidRPr="009569C2">
        <w:rPr>
          <w:rFonts w:cs="Times New Roman"/>
          <w:color w:val="0D0D0D"/>
          <w:szCs w:val="24"/>
        </w:rPr>
        <w:t>l re</w:t>
      </w:r>
      <w:r w:rsidRPr="009569C2">
        <w:rPr>
          <w:rFonts w:cs="Times New Roman"/>
          <w:color w:val="2E2E2E"/>
          <w:szCs w:val="24"/>
        </w:rPr>
        <w:t xml:space="preserve">fuges </w:t>
      </w:r>
      <w:r w:rsidRPr="009569C2">
        <w:rPr>
          <w:rFonts w:cs="Times New Roman"/>
          <w:color w:val="1D1D1D"/>
          <w:szCs w:val="24"/>
        </w:rPr>
        <w:t xml:space="preserve">for </w:t>
      </w:r>
      <w:r w:rsidRPr="009569C2">
        <w:rPr>
          <w:rFonts w:cs="Times New Roman"/>
          <w:color w:val="2E2E2E"/>
          <w:szCs w:val="24"/>
        </w:rPr>
        <w:t>terrestria</w:t>
      </w:r>
      <w:r w:rsidRPr="009569C2">
        <w:rPr>
          <w:rFonts w:cs="Times New Roman"/>
          <w:color w:val="0D0D0D"/>
          <w:szCs w:val="24"/>
        </w:rPr>
        <w:t xml:space="preserve">l </w:t>
      </w:r>
      <w:r w:rsidRPr="009569C2">
        <w:rPr>
          <w:rFonts w:cs="Times New Roman"/>
          <w:color w:val="2E2E2E"/>
          <w:szCs w:val="24"/>
        </w:rPr>
        <w:t>w</w:t>
      </w:r>
      <w:r w:rsidRPr="009569C2">
        <w:rPr>
          <w:rFonts w:cs="Times New Roman"/>
          <w:color w:val="0D0D0D"/>
          <w:szCs w:val="24"/>
        </w:rPr>
        <w:t>ildli</w:t>
      </w:r>
      <w:r w:rsidRPr="009569C2">
        <w:rPr>
          <w:rFonts w:cs="Times New Roman"/>
          <w:color w:val="2E2E2E"/>
          <w:szCs w:val="24"/>
        </w:rPr>
        <w:t>fe s</w:t>
      </w:r>
      <w:r w:rsidRPr="009569C2">
        <w:rPr>
          <w:rFonts w:cs="Times New Roman"/>
          <w:color w:val="0D0D0D"/>
          <w:szCs w:val="24"/>
        </w:rPr>
        <w:t>en</w:t>
      </w:r>
      <w:r w:rsidRPr="009569C2">
        <w:rPr>
          <w:rFonts w:cs="Times New Roman"/>
          <w:color w:val="2E2E2E"/>
          <w:szCs w:val="24"/>
        </w:rPr>
        <w:t xml:space="preserve">sitive </w:t>
      </w:r>
      <w:r w:rsidRPr="009569C2">
        <w:rPr>
          <w:rFonts w:cs="Times New Roman"/>
          <w:color w:val="1D1D1D"/>
          <w:szCs w:val="24"/>
        </w:rPr>
        <w:t xml:space="preserve">to </w:t>
      </w:r>
      <w:r w:rsidRPr="009569C2">
        <w:rPr>
          <w:rFonts w:cs="Times New Roman"/>
          <w:color w:val="0D0D0D"/>
          <w:szCs w:val="24"/>
        </w:rPr>
        <w:t>hum</w:t>
      </w:r>
      <w:r w:rsidRPr="009569C2">
        <w:rPr>
          <w:rFonts w:cs="Times New Roman"/>
          <w:color w:val="2E2E2E"/>
          <w:szCs w:val="24"/>
        </w:rPr>
        <w:t>a</w:t>
      </w:r>
      <w:r w:rsidRPr="009569C2">
        <w:rPr>
          <w:rFonts w:cs="Times New Roman"/>
          <w:color w:val="0D0D0D"/>
          <w:szCs w:val="24"/>
        </w:rPr>
        <w:t>n di</w:t>
      </w:r>
      <w:r w:rsidRPr="009569C2">
        <w:rPr>
          <w:rFonts w:cs="Times New Roman"/>
          <w:color w:val="2E2E2E"/>
          <w:szCs w:val="24"/>
        </w:rPr>
        <w:t>s</w:t>
      </w:r>
      <w:r w:rsidRPr="009569C2">
        <w:rPr>
          <w:rFonts w:cs="Times New Roman"/>
          <w:color w:val="0D0D0D"/>
          <w:szCs w:val="24"/>
        </w:rPr>
        <w:t>turban</w:t>
      </w:r>
      <w:r w:rsidRPr="009569C2">
        <w:rPr>
          <w:rFonts w:cs="Times New Roman"/>
          <w:color w:val="2E2E2E"/>
          <w:szCs w:val="24"/>
        </w:rPr>
        <w:t>ce</w:t>
      </w:r>
      <w:r w:rsidRPr="009569C2">
        <w:rPr>
          <w:rFonts w:cs="Times New Roman"/>
          <w:color w:val="0D0D0D"/>
          <w:szCs w:val="24"/>
        </w:rPr>
        <w:t>. R</w:t>
      </w:r>
      <w:r w:rsidRPr="009569C2">
        <w:rPr>
          <w:rFonts w:cs="Times New Roman"/>
          <w:color w:val="2E2E2E"/>
          <w:szCs w:val="24"/>
        </w:rPr>
        <w:t>oa</w:t>
      </w:r>
      <w:r w:rsidRPr="009569C2">
        <w:rPr>
          <w:rFonts w:cs="Times New Roman"/>
          <w:color w:val="0D0D0D"/>
          <w:szCs w:val="24"/>
        </w:rPr>
        <w:t>d d</w:t>
      </w:r>
      <w:r w:rsidRPr="009569C2">
        <w:rPr>
          <w:rFonts w:cs="Times New Roman"/>
          <w:color w:val="2E2E2E"/>
          <w:szCs w:val="24"/>
        </w:rPr>
        <w:t>ens</w:t>
      </w:r>
      <w:r w:rsidRPr="009569C2">
        <w:rPr>
          <w:rFonts w:cs="Times New Roman"/>
          <w:color w:val="0D0D0D"/>
          <w:szCs w:val="24"/>
        </w:rPr>
        <w:t xml:space="preserve">ities </w:t>
      </w:r>
      <w:r w:rsidRPr="009569C2">
        <w:rPr>
          <w:rFonts w:cs="Times New Roman"/>
          <w:color w:val="1D1D1D"/>
          <w:szCs w:val="24"/>
        </w:rPr>
        <w:t xml:space="preserve">in </w:t>
      </w:r>
      <w:r w:rsidRPr="009569C2">
        <w:rPr>
          <w:rFonts w:cs="Times New Roman"/>
          <w:color w:val="0D0D0D"/>
          <w:szCs w:val="24"/>
        </w:rPr>
        <w:t>L</w:t>
      </w:r>
      <w:r w:rsidRPr="009569C2">
        <w:rPr>
          <w:rFonts w:cs="Times New Roman"/>
          <w:color w:val="2E2E2E"/>
          <w:szCs w:val="24"/>
        </w:rPr>
        <w:t xml:space="preserve">S/OG </w:t>
      </w:r>
      <w:r w:rsidRPr="009569C2">
        <w:rPr>
          <w:rFonts w:cs="Times New Roman"/>
          <w:color w:val="1D1D1D"/>
          <w:szCs w:val="24"/>
        </w:rPr>
        <w:t>patches that already have road</w:t>
      </w:r>
      <w:r w:rsidRPr="009569C2">
        <w:rPr>
          <w:rFonts w:cs="Times New Roman"/>
          <w:color w:val="454545"/>
          <w:szCs w:val="24"/>
        </w:rPr>
        <w:t xml:space="preserve">s </w:t>
      </w:r>
      <w:r w:rsidRPr="009569C2">
        <w:rPr>
          <w:rFonts w:cs="Times New Roman"/>
          <w:color w:val="2E2E2E"/>
          <w:szCs w:val="24"/>
        </w:rPr>
        <w:t>s</w:t>
      </w:r>
      <w:r w:rsidRPr="009569C2">
        <w:rPr>
          <w:rFonts w:cs="Times New Roman"/>
          <w:color w:val="0D0D0D"/>
          <w:szCs w:val="24"/>
        </w:rPr>
        <w:t xml:space="preserve">hould </w:t>
      </w:r>
      <w:r w:rsidRPr="009569C2">
        <w:rPr>
          <w:rFonts w:cs="Times New Roman"/>
          <w:color w:val="1D1D1D"/>
          <w:szCs w:val="24"/>
        </w:rPr>
        <w:t xml:space="preserve">be </w:t>
      </w:r>
      <w:r w:rsidRPr="009569C2">
        <w:rPr>
          <w:rFonts w:cs="Times New Roman"/>
          <w:color w:val="2E2E2E"/>
          <w:szCs w:val="24"/>
        </w:rPr>
        <w:t xml:space="preserve">reduced </w:t>
      </w:r>
      <w:r w:rsidRPr="009569C2">
        <w:rPr>
          <w:rFonts w:cs="Times New Roman"/>
          <w:color w:val="1D1D1D"/>
          <w:szCs w:val="24"/>
        </w:rPr>
        <w:t xml:space="preserve">to </w:t>
      </w:r>
      <w:r w:rsidRPr="009569C2">
        <w:rPr>
          <w:rFonts w:cs="Times New Roman"/>
          <w:color w:val="0D0D0D"/>
          <w:szCs w:val="24"/>
        </w:rPr>
        <w:t>le</w:t>
      </w:r>
      <w:r w:rsidRPr="009569C2">
        <w:rPr>
          <w:rFonts w:cs="Times New Roman"/>
          <w:color w:val="2E2E2E"/>
          <w:szCs w:val="24"/>
        </w:rPr>
        <w:t>ss t</w:t>
      </w:r>
      <w:r w:rsidRPr="009569C2">
        <w:rPr>
          <w:rFonts w:cs="Times New Roman"/>
          <w:color w:val="0D0D0D"/>
          <w:szCs w:val="24"/>
        </w:rPr>
        <w:t xml:space="preserve">han </w:t>
      </w:r>
      <w:r w:rsidRPr="009569C2">
        <w:rPr>
          <w:rFonts w:cs="Times New Roman"/>
          <w:color w:val="1D1D1D"/>
          <w:szCs w:val="24"/>
        </w:rPr>
        <w:t>1 mi</w:t>
      </w:r>
      <w:r w:rsidRPr="009569C2">
        <w:rPr>
          <w:rFonts w:cs="Times New Roman"/>
          <w:color w:val="454545"/>
          <w:szCs w:val="24"/>
        </w:rPr>
        <w:t>/mi</w:t>
      </w:r>
      <w:r w:rsidRPr="009569C2">
        <w:rPr>
          <w:rFonts w:cs="Times New Roman"/>
          <w:color w:val="454545"/>
          <w:szCs w:val="24"/>
          <w:vertAlign w:val="superscript"/>
        </w:rPr>
        <w:t>2</w:t>
      </w:r>
      <w:r w:rsidRPr="009569C2">
        <w:rPr>
          <w:rFonts w:cs="Times New Roman"/>
          <w:color w:val="454545"/>
          <w:szCs w:val="24"/>
        </w:rPr>
        <w:t xml:space="preserve">. </w:t>
      </w:r>
      <w:r w:rsidRPr="009569C2">
        <w:rPr>
          <w:rFonts w:cs="Times New Roman"/>
          <w:color w:val="1D1D1D"/>
          <w:szCs w:val="24"/>
        </w:rPr>
        <w:t xml:space="preserve">Achieving this </w:t>
      </w:r>
      <w:r w:rsidRPr="009569C2">
        <w:rPr>
          <w:rFonts w:cs="Times New Roman"/>
          <w:color w:val="2E2E2E"/>
          <w:szCs w:val="24"/>
        </w:rPr>
        <w:t>goa</w:t>
      </w:r>
      <w:r w:rsidRPr="009569C2">
        <w:rPr>
          <w:rFonts w:cs="Times New Roman"/>
          <w:color w:val="0D0D0D"/>
          <w:szCs w:val="24"/>
        </w:rPr>
        <w:t>l i</w:t>
      </w:r>
      <w:r w:rsidRPr="009569C2">
        <w:rPr>
          <w:rFonts w:cs="Times New Roman"/>
          <w:color w:val="2E2E2E"/>
          <w:szCs w:val="24"/>
        </w:rPr>
        <w:t>s vita</w:t>
      </w:r>
      <w:r w:rsidRPr="009569C2">
        <w:rPr>
          <w:rFonts w:cs="Times New Roman"/>
          <w:color w:val="0D0D0D"/>
          <w:szCs w:val="24"/>
        </w:rPr>
        <w:t xml:space="preserve">l </w:t>
      </w:r>
      <w:r w:rsidRPr="009569C2">
        <w:rPr>
          <w:rFonts w:cs="Times New Roman"/>
          <w:color w:val="1D1D1D"/>
          <w:szCs w:val="24"/>
        </w:rPr>
        <w:t xml:space="preserve">to rehabilitation of eastside fisheries </w:t>
      </w:r>
      <w:r w:rsidRPr="009569C2">
        <w:rPr>
          <w:rFonts w:cs="Times New Roman"/>
          <w:color w:val="0D0D0D"/>
          <w:szCs w:val="24"/>
        </w:rPr>
        <w:t xml:space="preserve">and </w:t>
      </w:r>
      <w:r w:rsidRPr="009569C2">
        <w:rPr>
          <w:rFonts w:cs="Times New Roman"/>
          <w:color w:val="2E2E2E"/>
          <w:szCs w:val="24"/>
        </w:rPr>
        <w:t>te</w:t>
      </w:r>
      <w:r w:rsidRPr="009569C2">
        <w:rPr>
          <w:rFonts w:cs="Times New Roman"/>
          <w:color w:val="0D0D0D"/>
          <w:szCs w:val="24"/>
        </w:rPr>
        <w:t>rre</w:t>
      </w:r>
      <w:r w:rsidRPr="009569C2">
        <w:rPr>
          <w:rFonts w:cs="Times New Roman"/>
          <w:color w:val="2E2E2E"/>
          <w:szCs w:val="24"/>
        </w:rPr>
        <w:t>stria</w:t>
      </w:r>
      <w:r w:rsidRPr="009569C2">
        <w:rPr>
          <w:rFonts w:cs="Times New Roman"/>
          <w:color w:val="0D0D0D"/>
          <w:szCs w:val="24"/>
        </w:rPr>
        <w:t>l r</w:t>
      </w:r>
      <w:r w:rsidRPr="009569C2">
        <w:rPr>
          <w:rFonts w:cs="Times New Roman"/>
          <w:color w:val="2E2E2E"/>
          <w:szCs w:val="24"/>
        </w:rPr>
        <w:t>esources</w:t>
      </w:r>
      <w:r w:rsidRPr="009569C2">
        <w:rPr>
          <w:rFonts w:cs="Times New Roman"/>
          <w:color w:val="0D0D0D"/>
          <w:szCs w:val="24"/>
        </w:rPr>
        <w:t>. [p 197]</w:t>
      </w:r>
    </w:p>
    <w:p w:rsidR="00321760" w:rsidRPr="00170C8F" w:rsidRDefault="00321760" w:rsidP="00A1764B">
      <w:pPr>
        <w:contextualSpacing/>
        <w:rPr>
          <w:rFonts w:eastAsia="Times New Roman" w:cs="Times New Roman"/>
          <w:szCs w:val="24"/>
        </w:rPr>
      </w:pPr>
      <w:r w:rsidRPr="00170C8F">
        <w:rPr>
          <w:rFonts w:eastAsia="Times New Roman" w:cs="Times New Roman"/>
          <w:szCs w:val="24"/>
        </w:rPr>
        <w:t>Henjum, M.G., J.R. Karr, D.L. Bottom, D.A. Perry, J.C. Bednarz, S.G. Wright, S.A. Beckwitt and E. Beckwitt. 1994. Interim Protection for Late-Successional Forests, Fisheries, and Watersheds: National Forests East of the Cascade Crest, Oregon and Washington. A Report to the Congress and President of the United States. Eastside Forests Scientific Society Panel.</w:t>
      </w:r>
    </w:p>
    <w:p w:rsidR="00321760" w:rsidRPr="00170C8F" w:rsidRDefault="00321760" w:rsidP="001E0E14">
      <w:pPr>
        <w:rPr>
          <w:rFonts w:cs="Times New Roman"/>
          <w:szCs w:val="24"/>
        </w:rPr>
      </w:pPr>
    </w:p>
    <w:p w:rsidR="001E0E14" w:rsidRPr="00170C8F" w:rsidRDefault="00321760" w:rsidP="001E0E14">
      <w:pPr>
        <w:rPr>
          <w:rFonts w:cs="Times New Roman"/>
          <w:szCs w:val="24"/>
        </w:rPr>
      </w:pPr>
      <w:r w:rsidRPr="00170C8F">
        <w:rPr>
          <w:rFonts w:eastAsia="Times New Roman" w:cs="Times New Roman"/>
          <w:szCs w:val="24"/>
        </w:rPr>
        <w:t xml:space="preserve">A few years late, 136 scientists wrote to </w:t>
      </w:r>
      <w:r w:rsidR="001E0E14" w:rsidRPr="00170C8F">
        <w:rPr>
          <w:rFonts w:eastAsia="Times New Roman" w:cs="Times New Roman"/>
          <w:szCs w:val="24"/>
        </w:rPr>
        <w:t xml:space="preserve">President Clinton, </w:t>
      </w:r>
      <w:r w:rsidRPr="00170C8F">
        <w:rPr>
          <w:rFonts w:eastAsia="Times New Roman" w:cs="Times New Roman"/>
          <w:szCs w:val="24"/>
        </w:rPr>
        <w:t>saying</w:t>
      </w:r>
      <w:r w:rsidR="001E0E14" w:rsidRPr="00170C8F">
        <w:rPr>
          <w:rFonts w:eastAsia="Times New Roman" w:cs="Times New Roman"/>
          <w:szCs w:val="24"/>
        </w:rPr>
        <w:t>:</w:t>
      </w:r>
    </w:p>
    <w:p w:rsidR="001E0E14" w:rsidRPr="00F07B56" w:rsidRDefault="001E0E14" w:rsidP="001E0E14">
      <w:pPr>
        <w:ind w:left="720"/>
        <w:rPr>
          <w:rFonts w:cs="Times New Roman"/>
          <w:szCs w:val="24"/>
        </w:rPr>
      </w:pPr>
      <w:r w:rsidRPr="00F07B56">
        <w:rPr>
          <w:rFonts w:eastAsia="Times New Roman" w:cs="Times New Roman"/>
          <w:szCs w:val="24"/>
        </w:rPr>
        <w:t xml:space="preserve">There is a growing consensus among academic and agency scientists that existing roadless areas–irrespective of size–contribute substantially to maintaining biodiversity and ecological integrity on the national forests. The Eastside Forests Scientific Societies Panel, including representatives from the American Fisheries Society, American Ornithologists’ Union, Ecological Society of America, Society for Conservation Biology, and The Wildlife Society, recommended a prohibition on the construction of new roads and logging within existing (1) roadless regions larger than 1,000 acres, and (2) roadless regions smaller than 1,000 acres that are biologically significant…. Other scientists have also recommended protection of all roadless areas greater than 1,000 acres, at least until landscapes degraded by past management have recovered…. As you have acknowledged, </w:t>
      </w:r>
      <w:r w:rsidRPr="00F07B56">
        <w:rPr>
          <w:rFonts w:eastAsia="Times New Roman" w:cs="Times New Roman"/>
          <w:szCs w:val="24"/>
        </w:rPr>
        <w:lastRenderedPageBreak/>
        <w:t>a national policy prohibiting road building and other forms of development in roadless areas represents a major step towards balancing sustainable forest management with conserving environmental values on federal lands. In our view, a scientifically based policy for roadless areas on public lands should, at a minimum, protect from development all roadless areas larger than 1,000 acres and those smaller areas that have special ecological significance because of their contributions to regional landscapes.</w:t>
      </w:r>
    </w:p>
    <w:p w:rsidR="001E0E14" w:rsidRPr="00170C8F" w:rsidRDefault="001E0E14" w:rsidP="001E0E14">
      <w:pPr>
        <w:rPr>
          <w:rFonts w:cs="Times New Roman"/>
          <w:szCs w:val="24"/>
        </w:rPr>
      </w:pPr>
      <w:r w:rsidRPr="00170C8F">
        <w:rPr>
          <w:rFonts w:eastAsia="Times New Roman" w:cs="Times New Roman"/>
          <w:szCs w:val="24"/>
        </w:rPr>
        <w:t>Letter to President Clinton from 136 scientists (Dec. 10, 1997).</w:t>
      </w:r>
    </w:p>
    <w:p w:rsidR="001E0E14" w:rsidRPr="00170C8F" w:rsidRDefault="00F03224" w:rsidP="001E0E14">
      <w:pPr>
        <w:rPr>
          <w:rFonts w:cs="Times New Roman"/>
          <w:szCs w:val="24"/>
        </w:rPr>
      </w:pPr>
      <w:hyperlink r:id="rId152" w:history="1">
        <w:r w:rsidR="001E0E14" w:rsidRPr="009F6D5B">
          <w:rPr>
            <w:rStyle w:val="Hyperlink"/>
            <w:rFonts w:ascii="Times New Roman" w:hAnsi="Times New Roman" w:cs="Times New Roman"/>
            <w:szCs w:val="24"/>
          </w:rPr>
          <w:t>https://drive.google.com/file/d/0B4L_-RD-MJwrRzhFcm5QcFR0MHM/view?usp=sharing&amp;resourcekey=0-2-sbGMN3bOUBQGGMDBQM1Q</w:t>
        </w:r>
      </w:hyperlink>
      <w:r w:rsidR="001E0E14" w:rsidRPr="00170C8F">
        <w:rPr>
          <w:rFonts w:cs="Times New Roman"/>
          <w:szCs w:val="24"/>
        </w:rPr>
        <w:t xml:space="preserve"> </w:t>
      </w:r>
    </w:p>
    <w:p w:rsidR="002D7596" w:rsidRPr="00170C8F" w:rsidRDefault="002D7596" w:rsidP="001E0E14">
      <w:pPr>
        <w:rPr>
          <w:rFonts w:cs="Times New Roman"/>
          <w:szCs w:val="24"/>
        </w:rPr>
      </w:pPr>
    </w:p>
    <w:p w:rsidR="002D7596" w:rsidRDefault="002D7596" w:rsidP="002D7596">
      <w:r>
        <w:t>Kun et al (2020) highlight the importance of unmanaged forests as carbon sinks.</w:t>
      </w:r>
    </w:p>
    <w:p w:rsidR="002D7596" w:rsidRDefault="002D7596" w:rsidP="002D7596">
      <w:pPr>
        <w:ind w:left="720"/>
      </w:pPr>
      <w:r>
        <w:t>The most effective means for keeping carbon out of the atmosphere to meet climate goals is to protect primary forests (Mackey et al. 2020) and continue growing secondary forests to accumulate additional carbon (proforestation) (Moomaw et al. 2019) while reducing emissions from all sources including bioenergy. … The importance of primary (unlogged) forests lies in the magnitude and longevity of their carbon stock. In order to reverse the decreasing forest carbon stocks in Europe (EEA, 2019), the largest forest carbon stores must be protected and additional forests must be allowed to continue accumulating carbon (proforestation).</w:t>
      </w:r>
    </w:p>
    <w:p w:rsidR="002D7596" w:rsidRDefault="002D7596" w:rsidP="002D7596">
      <w:r w:rsidRPr="00DF058C">
        <w:t>Kun, Z., DellaSala, D., Keith, H., Kormos, C., Mercer, B., Moomaw, W.R. and Wiezik, M. (2020), Recognising the importance of unmanaged forests to mitigate climate change. GCB Bioenergy. Accepted Author Manuscript. doi:10.1111/gcbb.12714</w:t>
      </w:r>
      <w:r>
        <w:t xml:space="preserve"> </w:t>
      </w:r>
      <w:hyperlink r:id="rId153" w:history="1">
        <w:r>
          <w:rPr>
            <w:rStyle w:val="Hyperlink"/>
          </w:rPr>
          <w:t>https://onlinelibrary.wiley.com/doi/pdfdirect/10.1111/gcbb.12714</w:t>
        </w:r>
      </w:hyperlink>
      <w:r>
        <w:t xml:space="preserve">. See also, William R. Moomaw, Susan A. Masino, and Edward K. Faison. 2019. Intact Forests in the United States: Proforestation Mitigates Climate Change and Serves the Greatest Good Front. For. Glob. Change, 11 June 2019 | </w:t>
      </w:r>
      <w:hyperlink r:id="rId154" w:history="1">
        <w:r w:rsidRPr="00331BE1">
          <w:rPr>
            <w:rStyle w:val="Hyperlink"/>
          </w:rPr>
          <w:t>https://doi.org/10.3389/ffgc.2019.00027</w:t>
        </w:r>
      </w:hyperlink>
      <w:r>
        <w:t xml:space="preserve">;  </w:t>
      </w:r>
      <w:hyperlink r:id="rId155" w:history="1">
        <w:r w:rsidRPr="00331BE1">
          <w:rPr>
            <w:rStyle w:val="Hyperlink"/>
          </w:rPr>
          <w:t>https://www.frontiersin.org/articles/10.3389/ffgc.2019.00027/full</w:t>
        </w:r>
      </w:hyperlink>
      <w:r>
        <w:t xml:space="preserve">. </w:t>
      </w:r>
    </w:p>
    <w:p w:rsidR="00321760" w:rsidRDefault="00321760" w:rsidP="002D7596"/>
    <w:p w:rsidR="002D7596" w:rsidRDefault="00A1764B" w:rsidP="002D7596">
      <w:r>
        <w:t xml:space="preserve">Scientists recognize </w:t>
      </w:r>
      <w:r w:rsidR="002D7596">
        <w:t xml:space="preserve">tremendous co-benefits from conserving large blocks of unmanaged forests, such as climate mitigation and biodiversity conservation. </w:t>
      </w:r>
    </w:p>
    <w:p w:rsidR="002D7596" w:rsidRDefault="002D7596" w:rsidP="002D7596">
      <w:pPr>
        <w:ind w:left="720"/>
      </w:pPr>
      <w:r>
        <w:t xml:space="preserve">Based on the species–area relationship, regarded as one of ecology’s few universal laws, protection of [too] little habitat will condemn thousands of species to extinction if habitat outside them is converted, degraded or lost. It is this logic that underpins calls for ‘Nature Needs Half’ [26], together with an understanding that ecosystem processes and services of the scale needed to sustain the well-being of life on Earth require large wildlife populations and huge expanses of intact and restored habitat. ... Climate change adds a new dimension to the question of how much protected area coverage is needed to assure conservation of wild nature. Climate change is already reducing wildlife population sizes and forcing range shifts as conditions alter [28,29]. Protected areas counter such stresses by building up populations, and connectivity of populations and habitats is emerging as a key property in securing species persistence and resilience to rapid change [5]. Hence networked protected areas, especially where embedded within well-managed land or seascapes, provide crucial stepping stones to accommodate range shifts and, where no further movements are possible, refuges of last resort [5]. Analyses suggest that adequate levels of population viability and connectivity can be achieved only </w:t>
      </w:r>
      <w:r>
        <w:lastRenderedPageBreak/>
        <w:t>with marine protected area coverages of 30% or more [27]. ... [G]iven that many ecosystems are already degraded, ensuring continued provision of ecosystem services requires not only the precautionary protection of currently intact habitats, but also large-scale habitat restoration.</w:t>
      </w:r>
    </w:p>
    <w:p w:rsidR="002D7596" w:rsidRDefault="002D7596" w:rsidP="002D7596">
      <w:pPr>
        <w:ind w:left="720"/>
      </w:pPr>
      <w:r>
        <w:t>Providing greater space for recovery of intact, vibrant nature is not altruistic conservation, but is, we argue, an indispensable act of self- preservation,  producing a cascade of benefits that will help maintain the habitability of the biosphere as the climate changes, thereby securing the well-being of generations to come.</w:t>
      </w:r>
    </w:p>
    <w:p w:rsidR="002D7596" w:rsidRDefault="002D7596" w:rsidP="002D7596">
      <w:r>
        <w:t xml:space="preserve">Roberts CM, O’Leary BC, Hawkins JP. 2020 Climate change mitigation and nature conservation both require higher protected area targets. Phil. Trans. R. Soc. B 375: 20190121. </w:t>
      </w:r>
      <w:hyperlink r:id="rId156" w:history="1">
        <w:r w:rsidRPr="00C55D76">
          <w:rPr>
            <w:rStyle w:val="Hyperlink"/>
          </w:rPr>
          <w:t>http://dx.doi.org/10.1098/rstb.2019.0121</w:t>
        </w:r>
      </w:hyperlink>
      <w:r>
        <w:t xml:space="preserve">. See also, Soto-Navarro C et al. 2020 Mapping co-benefits for carbon storage and biodiversity to inform conservation policy and action. Phil. Trans. R. Soc. B 375: 20190128. </w:t>
      </w:r>
      <w:hyperlink r:id="rId157" w:history="1">
        <w:r w:rsidRPr="00C55D76">
          <w:rPr>
            <w:rStyle w:val="Hyperlink"/>
          </w:rPr>
          <w:t>http://dx.doi.org/10.1098/rstb.2019.0128</w:t>
        </w:r>
      </w:hyperlink>
      <w:r>
        <w:t xml:space="preserve"> showing the congruence of high carbon value and high biodiversity value in PNW forests. </w:t>
      </w:r>
    </w:p>
    <w:p w:rsidR="002D7596" w:rsidRDefault="002D7596" w:rsidP="002D7596"/>
    <w:p w:rsidR="002D7596" w:rsidRDefault="002D7596" w:rsidP="002D7596">
      <w:r>
        <w:t xml:space="preserve">Law et al (2022) make a strong case that conservation of intact forests advances the twin goals of protecting the climate and biodiversity, and that </w:t>
      </w:r>
      <w:r w:rsidRPr="000D35DA">
        <w:t xml:space="preserve">broad-scale thinning to reduce fire severity conflicts with climate </w:t>
      </w:r>
      <w:r>
        <w:t xml:space="preserve">and biodiversity </w:t>
      </w:r>
      <w:r w:rsidRPr="000D35DA">
        <w:t>goals</w:t>
      </w:r>
      <w:r>
        <w:t>.</w:t>
      </w:r>
    </w:p>
    <w:p w:rsidR="002D7596" w:rsidRDefault="002D7596" w:rsidP="002D7596">
      <w:pPr>
        <w:ind w:left="720"/>
      </w:pPr>
      <w:r>
        <w:t xml:space="preserve">“While primary forests of all extents have conservation value, areas of greater extent warrant particular attention where they persist, as they support more biodiversity, contain larger carbon stocks, provide more ecosystem services, encompass larger-scaled natural processes, and are more resilient to external stresses. The significance of large areas of primary forests has been highlighted by the global mapping of Intact Forest Landscapes (IFL) greater than 500 km2 in extent. While suitable for many purposes, other thresholds may be more suitable at regional and national levels that reflect local ecological factors.” (IUCN Policy Statement on Primary Forests, </w:t>
      </w:r>
      <w:hyperlink r:id="rId158" w:history="1">
        <w:r w:rsidRPr="003213B8">
          <w:rPr>
            <w:rStyle w:val="Hyperlink"/>
          </w:rPr>
          <w:t>https://www.iucn.org/sites/dev/files/content/documents/iucn_pf-ifl_policy_2020_approved_version.pdf</w:t>
        </w:r>
      </w:hyperlink>
      <w:r>
        <w:t xml:space="preserve">, accessed on 22 April 2020). </w:t>
      </w:r>
    </w:p>
    <w:p w:rsidR="002D7596" w:rsidRDefault="002D7596" w:rsidP="002D7596">
      <w:pPr>
        <w:ind w:left="720"/>
      </w:pPr>
      <w:r>
        <w:t xml:space="preserve">… </w:t>
      </w:r>
    </w:p>
    <w:p w:rsidR="002D7596" w:rsidRDefault="002D7596" w:rsidP="002D7596">
      <w:pPr>
        <w:ind w:left="720"/>
      </w:pPr>
      <w:r>
        <w:t>Instead of regularly harvesting on all of the 70% of U.S. forest land designated as “timberlands” by the U.S. Forest Service, setting aside sufficient areas as Strategic Reserves would significantly increase the amount of carbon accumulated between now, 2050 and 2100, and reestablish greater ecosystem integrity, helping to slow climate change and restore biodiversity. The 2022 IPCC AR6 report stated that “Recent analyses, drawing on a range of lines of evidence, suggest that maintaining the resilience of biodiversity and ecosystem services at a global scale depends on effective and equitable conservation of approximately 30% to 50% of Earth’s land, freshwater and ocean areas, including currently near-natural ecosystems (high confidence).” Continuing commercial timber harvest on a portion of the remaining public lands and tens of millions of hectares of private lands would continue to adequately supply a sustainable forestry sector.</w:t>
      </w:r>
    </w:p>
    <w:p w:rsidR="002D7596" w:rsidRDefault="002D7596" w:rsidP="002D7596">
      <w:pPr>
        <w:ind w:left="720"/>
      </w:pPr>
      <w:r>
        <w:t>Preserving and protecting mature and old forests would not only increase carbon stocks and growing carbon accumulation, they would slow and potentially reverse accelerating species loss and ecosystem deterioration, and provide greater resilience to increasingly severe weather events such as intense precipitation and flooding.</w:t>
      </w:r>
    </w:p>
    <w:p w:rsidR="002D7596" w:rsidRDefault="002D7596" w:rsidP="002D7596">
      <w:pPr>
        <w:ind w:left="720"/>
      </w:pPr>
      <w:r>
        <w:t>…</w:t>
      </w:r>
    </w:p>
    <w:p w:rsidR="002D7596" w:rsidRDefault="002D7596" w:rsidP="002D7596">
      <w:pPr>
        <w:ind w:left="720"/>
      </w:pPr>
      <w:r w:rsidRPr="000D35DA">
        <w:lastRenderedPageBreak/>
        <w:t>Many of the existing forest management practices allegedly protect forests and homes from wildfire and are having severe adverse effects on forest ecosystem integrity and resilience, and are worsening climate change and diminishing biodiversity.</w:t>
      </w:r>
    </w:p>
    <w:p w:rsidR="002D7596" w:rsidRDefault="002D7596" w:rsidP="002D7596">
      <w:pPr>
        <w:ind w:left="720"/>
      </w:pPr>
      <w:r>
        <w:t xml:space="preserve">… </w:t>
      </w:r>
    </w:p>
    <w:p w:rsidR="002D7596" w:rsidRDefault="002D7596" w:rsidP="002D7596">
      <w:pPr>
        <w:ind w:left="720"/>
      </w:pPr>
      <w:r w:rsidRPr="000D35DA">
        <w:t>To summarize, harvest-related emissions from thinning are much higher than potential reduction in fire emissions. In west coast states, overall harvest-related emissions were about 5 times fire emissions</w:t>
      </w:r>
      <w:r>
        <w:t xml:space="preserve"> …</w:t>
      </w:r>
    </w:p>
    <w:p w:rsidR="002D7596" w:rsidRDefault="002D7596" w:rsidP="002D7596">
      <w:r w:rsidRPr="000D35DA">
        <w:t xml:space="preserve">Law, Beverly E., William R. Moomaw, Tara W. Hudiburg, William H. Schlesinger, John D. Sterman, and George M. Woodwell. 2022. Creating Strategic Reserves to Protect Forest Carbon and Reduce Biodiversity Losses in the United States. Land Vol. 11, no. 5: 721. </w:t>
      </w:r>
      <w:hyperlink r:id="rId159" w:history="1">
        <w:r w:rsidRPr="003213B8">
          <w:rPr>
            <w:rStyle w:val="Hyperlink"/>
          </w:rPr>
          <w:t>https://doi.org/10.3390/land11050721</w:t>
        </w:r>
      </w:hyperlink>
      <w:r>
        <w:t xml:space="preserve">, </w:t>
      </w:r>
      <w:hyperlink r:id="rId160" w:history="1">
        <w:r w:rsidRPr="003213B8">
          <w:rPr>
            <w:rStyle w:val="Hyperlink"/>
          </w:rPr>
          <w:t>https://www.mdpi.com/2073-445X/11/5/721/htm</w:t>
        </w:r>
      </w:hyperlink>
      <w:r>
        <w:t xml:space="preserve">. </w:t>
      </w:r>
    </w:p>
    <w:p w:rsidR="002D7596" w:rsidRDefault="002D7596" w:rsidP="002D7596"/>
    <w:p w:rsidR="002D7596" w:rsidRDefault="002D7596" w:rsidP="002D7596">
      <w:r>
        <w:t xml:space="preserve">Law et al (2022) describe a strategic reserve approach to protect water, biodiversity, and carbon in Oregon’s forests. Existing unroaded areas could make a significant contribution to such an approach. </w:t>
      </w:r>
    </w:p>
    <w:p w:rsidR="002D7596" w:rsidRDefault="002D7596" w:rsidP="002D7596">
      <w:pPr>
        <w:ind w:left="720"/>
      </w:pPr>
      <w:r>
        <w:t xml:space="preserve">Our study demonstrated that Oregon has high carbon density forests that also have high biodiversity and connectivity for species movement. When these characteristics were prioritized within each ecoregion, it identified sufficient forestland to meet both the 30% protection by 2030 and 50% by 2050 targets that are important nationally and internationally. … the climate resilience rank highlights large areas within the ecoregions with larger landscape features that are important for resilience (Figure 2D), such as the topography of mountain ranges in southwest Oregon, the Coast Range, Cascades, and Blue Mountains in the  northeast. … Meeting the forest preservation targets would substantially increase protection of tree carbon stocks, animal and tree species’ habitat, and surface drinking water source areas. … Meeting these forest preservation targets would substantially increase forest habitat protection for threatened and endangered (T&amp;E) species and other species of interest … Mitigation strategies need to explicitly protect existing oldgrowth forests, and allow mature secondary forests to regrow to their carbon capacity. For climate mitigation using natural climate solutions, effectiveness is based on the time that a unit of biomass carbon is resident in a forest ecosystem stock and thus kept out of the atmosphere (Körner, 2017; Mackey et al., 2020). … We also found that limiting harvest to half of current levels on public lands and doubling harvest cycles to 80 years on private lands was three times more effective as a land use strategy than replanting and reforestation after cutting within current forest boundaries in Oregon (Law et al., 2018). … There is concern that protecting areas that are vulnerable to increased drought and fire will be ineffective, however, species diversity, and threatened and endangered species still need habitat, refugia and connectivity with other protected areas. Wildfires tend to be patchy, and a majority of trees survive low to mixed-severity fires (Halofsky et al., 2011) that can be critical habitat, and burned forests still retain the vast majority of their carbon (Hudiburg et al., 2009; Law et al., 2018). … Older forests in Oregon’s watersheds exhibit greater water retention and improved late summer stream flows compared to managed plantations (Segura et al., 2020). Intact forests also tend to harbor more large and old trees, bolstering carbon stores and biodiversity services that large trees provide (Lutz et al., 2018; Plumtre et al., 2021). … The most important action </w:t>
      </w:r>
      <w:r>
        <w:lastRenderedPageBreak/>
        <w:t>Oregon can take to mitigate climate change, reduce biodiversity losses, and protect watersheds for drinking water is to set aside existing forests.</w:t>
      </w:r>
    </w:p>
    <w:p w:rsidR="002D7596" w:rsidRDefault="002D7596" w:rsidP="002D7596">
      <w:r>
        <w:t xml:space="preserve">Law BE, Berner LT, Mildrexler DJ, Bloemers RO and Ripple WJ (2022) Strategic reserves in Oregon’s forests for biodiversity, water, and carbon to mitigate and adapt to climate change. Front. For. Glob. Change 5:1028401. doi: 10.3389/ffgc.2022.1028401. </w:t>
      </w:r>
      <w:hyperlink r:id="rId161" w:history="1">
        <w:r w:rsidRPr="00B068FE">
          <w:rPr>
            <w:rStyle w:val="Hyperlink"/>
          </w:rPr>
          <w:t>https://www.frontiersin.org/articles/10.3389/ffgc.2022.1028401/pdf</w:t>
        </w:r>
      </w:hyperlink>
      <w:r>
        <w:t>.</w:t>
      </w:r>
    </w:p>
    <w:p w:rsidR="00782EBF" w:rsidRDefault="00782EBF" w:rsidP="00C13CE6"/>
    <w:p w:rsidR="00260009" w:rsidRPr="00170C8F" w:rsidRDefault="00260009" w:rsidP="00260009">
      <w:pPr>
        <w:contextualSpacing/>
        <w:rPr>
          <w:rFonts w:eastAsia="Times New Roman" w:cs="Times New Roman"/>
          <w:szCs w:val="24"/>
        </w:rPr>
      </w:pPr>
      <w:r w:rsidRPr="00170C8F">
        <w:rPr>
          <w:rFonts w:eastAsia="Times New Roman" w:cs="Times New Roman"/>
          <w:szCs w:val="24"/>
        </w:rPr>
        <w:t xml:space="preserve">The importance of conserving unroaded areas is highlighted by the finding that forest fragmentation in the U.S. continues to increase. Riitters et al (2012) compared the decline in total forest area to the decline in interior forest conditions from 2001 to 2006 at 5 spatial scales and found that interior forest is declining faster than total forest at all spatial scales, with greater losses in the largest spatial scales. </w:t>
      </w:r>
    </w:p>
    <w:p w:rsidR="00260009" w:rsidRPr="00170C8F" w:rsidRDefault="00260009" w:rsidP="00260009">
      <w:pPr>
        <w:ind w:left="720"/>
        <w:contextualSpacing/>
        <w:rPr>
          <w:rFonts w:eastAsia="Times New Roman" w:cs="Times New Roman"/>
          <w:szCs w:val="24"/>
        </w:rPr>
      </w:pPr>
      <w:r w:rsidRPr="003C0C53">
        <w:rPr>
          <w:noProof/>
          <w:lang w:val="en-US"/>
        </w:rPr>
        <w:drawing>
          <wp:inline distT="0" distB="0" distL="0" distR="0">
            <wp:extent cx="4616450" cy="1270000"/>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4616450" cy="1270000"/>
                    </a:xfrm>
                    <a:prstGeom prst="rect">
                      <a:avLst/>
                    </a:prstGeom>
                    <a:noFill/>
                    <a:ln>
                      <a:noFill/>
                    </a:ln>
                  </pic:spPr>
                </pic:pic>
              </a:graphicData>
            </a:graphic>
          </wp:inline>
        </w:drawing>
      </w:r>
    </w:p>
    <w:p w:rsidR="00260009" w:rsidRDefault="00260009" w:rsidP="006A1EAA">
      <w:pPr>
        <w:contextualSpacing/>
      </w:pPr>
      <w:r w:rsidRPr="00170C8F">
        <w:rPr>
          <w:rFonts w:eastAsia="Times New Roman" w:cs="Times New Roman"/>
          <w:szCs w:val="24"/>
        </w:rPr>
        <w:t xml:space="preserve">Riitters, K.H. &amp; Wickham, J.D. (2012) Decline of forest interior conditions in the conterminous United States. Sci. Rep. 2, 653; DOI:10.1038/srep00653. </w:t>
      </w:r>
      <w:hyperlink r:id="rId163" w:history="1">
        <w:r>
          <w:rPr>
            <w:rStyle w:val="Hyperlink"/>
          </w:rPr>
          <w:t>https://www.srs.fs.fed.us/pubs/ja/2012/ja_2012_riitters_002.pdf</w:t>
        </w:r>
      </w:hyperlink>
      <w:r>
        <w:t>.</w:t>
      </w:r>
    </w:p>
    <w:p w:rsidR="00260009" w:rsidRDefault="00260009" w:rsidP="00260009">
      <w:pPr>
        <w:ind w:left="361"/>
        <w:contextualSpacing/>
      </w:pPr>
    </w:p>
    <w:p w:rsidR="00260009" w:rsidRPr="00170C8F" w:rsidRDefault="00260009" w:rsidP="006A1EAA">
      <w:pPr>
        <w:contextualSpacing/>
        <w:rPr>
          <w:rFonts w:eastAsia="Times New Roman" w:cs="Times New Roman"/>
          <w:szCs w:val="24"/>
        </w:rPr>
      </w:pPr>
      <w:r>
        <w:t xml:space="preserve">The Blue Mountains planning assessment should include an inventory of unroaded areas and their </w:t>
      </w:r>
      <w:r w:rsidR="00F52023">
        <w:t>ecosystem characteristics</w:t>
      </w:r>
      <w:r>
        <w:t>, an analysis showing whether unroaded areas are shrinking or growing toward the natural range of variability, and an assessment of fragmentation trends.</w:t>
      </w:r>
    </w:p>
    <w:p w:rsidR="00F94A68" w:rsidRPr="00782EBF" w:rsidRDefault="00F94A68" w:rsidP="00782EBF">
      <w:pPr>
        <w:pStyle w:val="Heading2"/>
      </w:pPr>
      <w:bookmarkStart w:id="12" w:name="_Toc167784203"/>
      <w:r w:rsidRPr="00782EBF">
        <w:t>Wild and Scenic River</w:t>
      </w:r>
      <w:r w:rsidR="00834143">
        <w:t>s</w:t>
      </w:r>
      <w:bookmarkEnd w:id="12"/>
      <w:r w:rsidRPr="00782EBF">
        <w:t xml:space="preserve"> </w:t>
      </w:r>
    </w:p>
    <w:p w:rsidR="004539F2" w:rsidRPr="006A1EAA" w:rsidRDefault="004539F2" w:rsidP="00C13CE6">
      <w:pPr>
        <w:rPr>
          <w:spacing w:val="3"/>
          <w:shd w:val="clear" w:color="auto" w:fill="FFFFFF"/>
        </w:rPr>
      </w:pPr>
      <w:r w:rsidRPr="006A1EAA">
        <w:rPr>
          <w:spacing w:val="3"/>
          <w:shd w:val="clear" w:color="auto" w:fill="FFFFFF"/>
        </w:rPr>
        <w:t xml:space="preserve">We are concerned that the Forest Service has not done a good job of inventorying potential Wild and Scenic Rivers. </w:t>
      </w:r>
      <w:r w:rsidRPr="006A1EAA">
        <w:rPr>
          <w:spacing w:val="3"/>
        </w:rPr>
        <w:t xml:space="preserve">Senator Wyden received a large number of Wild and Scenic River nominations using a citizen input process. The discrepancy between the Forest Service inventory and the proposed River Democracy Act raises concerns. </w:t>
      </w:r>
      <w:r w:rsidRPr="006A1EAA">
        <w:rPr>
          <w:spacing w:val="3"/>
          <w:shd w:val="clear" w:color="auto" w:fill="FFFFFF"/>
        </w:rPr>
        <w:t>The Forest Service is likely being too literal with their interpretation of only including "unique" streams."</w:t>
      </w:r>
    </w:p>
    <w:p w:rsidR="00F94A68" w:rsidRPr="00782EBF" w:rsidRDefault="00782EBF" w:rsidP="00782EBF">
      <w:pPr>
        <w:pStyle w:val="Heading2"/>
      </w:pPr>
      <w:bookmarkStart w:id="13" w:name="_Toc167784204"/>
      <w:r>
        <w:t>Watersheds/</w:t>
      </w:r>
      <w:r w:rsidR="00F94A68" w:rsidRPr="00782EBF">
        <w:t>Aquatics</w:t>
      </w:r>
      <w:r w:rsidR="001235B0">
        <w:t>/Water Quality</w:t>
      </w:r>
      <w:bookmarkEnd w:id="13"/>
    </w:p>
    <w:p w:rsidR="001F7159" w:rsidRDefault="00612645" w:rsidP="00612645">
      <w:r>
        <w:t xml:space="preserve">The </w:t>
      </w:r>
      <w:r w:rsidRPr="00612645">
        <w:t>Aquatic/</w:t>
      </w:r>
      <w:r w:rsidR="001F7159" w:rsidRPr="00612645">
        <w:t>Riparian</w:t>
      </w:r>
      <w:r w:rsidRPr="00612645">
        <w:t xml:space="preserve"> Assessment says climate change will increase extreme events. </w:t>
      </w:r>
      <w:r w:rsidR="001F7159">
        <w:t xml:space="preserve">We also know that more precipitation will fall as rain during winter, and these winter precipitation events are likely to be more intense with greater erosive power. </w:t>
      </w:r>
      <w:r w:rsidRPr="00612645">
        <w:t>This requires great</w:t>
      </w:r>
      <w:r w:rsidR="001F7159">
        <w:t>er</w:t>
      </w:r>
      <w:r w:rsidRPr="00612645">
        <w:t xml:space="preserve"> protection of watersheds and riparian areas, and wetlands, by reducing anthropogenic stresses such as logging, road density, grazing, mining, </w:t>
      </w:r>
      <w:r w:rsidR="001F7159">
        <w:t xml:space="preserve">OHVs, </w:t>
      </w:r>
      <w:r w:rsidRPr="00612645">
        <w:t xml:space="preserve">etc. </w:t>
      </w:r>
      <w:r>
        <w:t>This means that new forest plan stan</w:t>
      </w:r>
      <w:r w:rsidR="001F7159">
        <w:t>d</w:t>
      </w:r>
      <w:r>
        <w:t xml:space="preserve">ards need to be developed to </w:t>
      </w:r>
      <w:r w:rsidR="001F7159">
        <w:t xml:space="preserve">prevent soil disturbance and bare soil, protect streams banks and </w:t>
      </w:r>
      <w:r w:rsidR="001F7159">
        <w:lastRenderedPageBreak/>
        <w:t>riparian areas, protect steep slopes, maintain native vegetation cover, etc. A few obvious insights flow from these facts:</w:t>
      </w:r>
    </w:p>
    <w:p w:rsidR="00A154D7" w:rsidRDefault="00A154D7" w:rsidP="001F7159">
      <w:pPr>
        <w:numPr>
          <w:ilvl w:val="0"/>
          <w:numId w:val="1"/>
        </w:numPr>
      </w:pPr>
      <w:r>
        <w:t>Commercial logging in RHCAs should be prohibited. Stream shade and stream stability are more important than ever. Riparian forests provide important thermal refugia during climate change;</w:t>
      </w:r>
    </w:p>
    <w:p w:rsidR="001F7159" w:rsidRDefault="001F7159" w:rsidP="004C1E65">
      <w:pPr>
        <w:numPr>
          <w:ilvl w:val="0"/>
          <w:numId w:val="1"/>
        </w:numPr>
      </w:pPr>
      <w:r>
        <w:t>Tethered logging on steep slopes makes no sense given the increased risk of soil erosion and landslides</w:t>
      </w:r>
      <w:r w:rsidR="004C1E65">
        <w:t xml:space="preserve">. </w:t>
      </w:r>
      <w:r w:rsidR="004C1E65" w:rsidRPr="004C1E65">
        <w:rPr>
          <w:lang w:val="en-US"/>
        </w:rPr>
        <w:t>Mass failures from roads and logged areas are more frequent, larger, travel farther, contain less wood, and damage a far greater percentage of stream channels in a watershed than do those from mature forests. May, C.L., 2002. Debris flows through different forest age classes in the central Oregon Coast Range. J. Amer. Wate</w:t>
      </w:r>
      <w:r w:rsidR="004C1E65">
        <w:rPr>
          <w:lang w:val="en-US"/>
        </w:rPr>
        <w:t xml:space="preserve">r Resour. Assoc., 38: 1097-1113. </w:t>
      </w:r>
      <w:hyperlink r:id="rId164" w:history="1">
        <w:r w:rsidR="004C1E65" w:rsidRPr="007A4D60">
          <w:rPr>
            <w:rStyle w:val="Hyperlink"/>
            <w:lang w:val="en-US"/>
          </w:rPr>
          <w:t>https://www.fs.usda.gov/psw/publications/may/May_JAWRA.pdf</w:t>
        </w:r>
      </w:hyperlink>
      <w:r>
        <w:t>;</w:t>
      </w:r>
    </w:p>
    <w:p w:rsidR="001F7159" w:rsidRDefault="001F7159" w:rsidP="001F7159">
      <w:pPr>
        <w:numPr>
          <w:ilvl w:val="0"/>
          <w:numId w:val="1"/>
        </w:numPr>
      </w:pPr>
      <w:r>
        <w:t xml:space="preserve">Greater control of livestock is required to </w:t>
      </w:r>
      <w:r w:rsidR="007A1336">
        <w:t xml:space="preserve">maintain more vegetation cover in high impact sites, greater protection of stream banks to reduce the adverse effects of increased peak flows; </w:t>
      </w:r>
    </w:p>
    <w:p w:rsidR="001F7159" w:rsidRDefault="001F7159" w:rsidP="001F7159">
      <w:pPr>
        <w:numPr>
          <w:ilvl w:val="0"/>
          <w:numId w:val="1"/>
        </w:numPr>
      </w:pPr>
      <w:r>
        <w:t>Temporary roads should be obliterated before the winter</w:t>
      </w:r>
      <w:r w:rsidR="007A1336">
        <w:t>;</w:t>
      </w:r>
    </w:p>
    <w:p w:rsidR="007A1336" w:rsidRDefault="007A1336" w:rsidP="001F7159">
      <w:pPr>
        <w:numPr>
          <w:ilvl w:val="0"/>
          <w:numId w:val="1"/>
        </w:numPr>
      </w:pPr>
      <w:r>
        <w:t>Road density should be meaning fully reduced;</w:t>
      </w:r>
    </w:p>
    <w:p w:rsidR="007A1336" w:rsidRDefault="007A1336" w:rsidP="001F7159">
      <w:pPr>
        <w:numPr>
          <w:ilvl w:val="0"/>
          <w:numId w:val="1"/>
        </w:numPr>
      </w:pPr>
      <w:r>
        <w:t>Existing areas with intact watershed functions, such as areas with low road density, including unroaded areas &gt;1,000 acres, should be protected from roads and commercial logging;</w:t>
      </w:r>
    </w:p>
    <w:p w:rsidR="00A154D7" w:rsidRDefault="00A154D7" w:rsidP="00A154D7">
      <w:pPr>
        <w:numPr>
          <w:ilvl w:val="0"/>
          <w:numId w:val="1"/>
        </w:numPr>
      </w:pPr>
      <w:r>
        <w:t>Culverts should be designed to accommodate larger flows. 100-year storms mean something new under climate change;</w:t>
      </w:r>
    </w:p>
    <w:p w:rsidR="00DB62D4" w:rsidRDefault="00DB62D4" w:rsidP="00A154D7">
      <w:pPr>
        <w:numPr>
          <w:ilvl w:val="0"/>
          <w:numId w:val="1"/>
        </w:numPr>
      </w:pPr>
      <w:r>
        <w:t xml:space="preserve">Avoid </w:t>
      </w:r>
      <w:r w:rsidR="005E2920">
        <w:t xml:space="preserve">any </w:t>
      </w:r>
      <w:r>
        <w:t>log hauling</w:t>
      </w:r>
      <w:r w:rsidR="005E2920">
        <w:t xml:space="preserve"> during wet weather</w:t>
      </w:r>
      <w:r>
        <w:t>;</w:t>
      </w:r>
    </w:p>
    <w:p w:rsidR="00F86C06" w:rsidRDefault="00F86C06" w:rsidP="00A154D7">
      <w:pPr>
        <w:numPr>
          <w:ilvl w:val="0"/>
          <w:numId w:val="1"/>
        </w:numPr>
      </w:pPr>
      <w:r>
        <w:t>Large wood serves critically important watershed functions, among them capturing, s</w:t>
      </w:r>
      <w:r w:rsidR="00387091">
        <w:t>t</w:t>
      </w:r>
      <w:r>
        <w:t xml:space="preserve">oring, and releasing energy, water, sediment, </w:t>
      </w:r>
      <w:r w:rsidR="00387091">
        <w:t xml:space="preserve">nutrients, </w:t>
      </w:r>
      <w:r>
        <w:t xml:space="preserve">and other wood. </w:t>
      </w:r>
      <w:r w:rsidR="00387091">
        <w:t>These ecosystem are even more important given the hydrologic extremes anticipated under climate change. Riparian management objectives and plan s</w:t>
      </w:r>
      <w:r>
        <w:t xml:space="preserve">tandards for large wood need to be </w:t>
      </w:r>
      <w:r w:rsidR="00387091">
        <w:t xml:space="preserve">updated to be </w:t>
      </w:r>
      <w:r>
        <w:t>consistent with best available science and harmonized with other goals including carbon storage, snag habitat, g</w:t>
      </w:r>
      <w:r w:rsidR="00816071">
        <w:t>reen tree retention, fuels, etc</w:t>
      </w:r>
      <w:r w:rsidR="00387091">
        <w:t>. The revised plan must be consistent with the fact that wood placement in streams is merely a short-term mitigation. The real long-term solution requires retaining abundant green trees and the natural process that will grow and recruit wood to streams</w:t>
      </w:r>
      <w:r w:rsidR="00816071">
        <w:t>;</w:t>
      </w:r>
    </w:p>
    <w:p w:rsidR="00816071" w:rsidRPr="00A154D7" w:rsidRDefault="00816071" w:rsidP="00A154D7">
      <w:pPr>
        <w:numPr>
          <w:ilvl w:val="0"/>
          <w:numId w:val="1"/>
        </w:numPr>
      </w:pPr>
      <w:r>
        <w:t>Habitat connectivity is increasingly important during climate change, so the FS needs to do more to maintain riparian corridors; remove passage barriers (upstream and downstream, all species, all life stages); and reduce stresses such as sediment, warm water, low oxygen, etc.;</w:t>
      </w:r>
    </w:p>
    <w:p w:rsidR="007A1336" w:rsidRDefault="007A1336" w:rsidP="001F7159">
      <w:pPr>
        <w:numPr>
          <w:ilvl w:val="0"/>
          <w:numId w:val="1"/>
        </w:numPr>
      </w:pPr>
      <w:r>
        <w:t>The forest plan should adopt an explicit policy to avoid actions that will emit GHG and makes these climate change effects worse for this planning area and the world;</w:t>
      </w:r>
    </w:p>
    <w:p w:rsidR="00B365FD" w:rsidRDefault="00B365FD" w:rsidP="001F7159">
      <w:pPr>
        <w:numPr>
          <w:ilvl w:val="0"/>
          <w:numId w:val="1"/>
        </w:numPr>
      </w:pPr>
      <w:r w:rsidRPr="00612645">
        <w:t xml:space="preserve">The </w:t>
      </w:r>
      <w:r>
        <w:t xml:space="preserve">Assessment needs to recognize that </w:t>
      </w:r>
      <w:r w:rsidRPr="00612645">
        <w:t>combined effects of natural disturbance plus management disturbance is worse than natural disturbance alone.</w:t>
      </w:r>
    </w:p>
    <w:p w:rsidR="001F7159" w:rsidRDefault="001F7159" w:rsidP="00612645"/>
    <w:p w:rsidR="00B365FD" w:rsidRDefault="00B365FD" w:rsidP="00612645">
      <w:r>
        <w:t>The Assessment finds “</w:t>
      </w:r>
      <w:r w:rsidRPr="00B365FD">
        <w:t>Increased magnitude of peak streamflows</w:t>
      </w:r>
      <w:r>
        <w:t xml:space="preserve"> will damage roads near streams…” This is very incomplete assessment. Increasing peak flows will cause a variety of significant effects, including increased erosion at sites disturbed by livestock, logging, roads, </w:t>
      </w:r>
      <w:r>
        <w:lastRenderedPageBreak/>
        <w:t>OHVs; mobilization of instream sediment deposited in earlier events, etc. New standards are need to mitigate these effects by significantly reducing the allowable detrimental soil impacts.</w:t>
      </w:r>
    </w:p>
    <w:p w:rsidR="00A154D7" w:rsidRDefault="00B365FD" w:rsidP="00612645">
      <w:r>
        <w:t xml:space="preserve"> </w:t>
      </w:r>
    </w:p>
    <w:p w:rsidR="00A154D7" w:rsidRPr="00A154D7" w:rsidRDefault="00A154D7" w:rsidP="00A154D7">
      <w:r w:rsidRPr="00A154D7">
        <w:t>In a 2017 publication, Justice et al (2017) found that restoration of riparian vegetation and stream morphology (channel narrowing) would improve stream temperatures and help salmon populations recover even in the face of global climate change:</w:t>
      </w:r>
    </w:p>
    <w:p w:rsidR="00A154D7" w:rsidRPr="00A154D7" w:rsidRDefault="00A154D7" w:rsidP="00A154D7">
      <w:pPr>
        <w:ind w:left="720"/>
      </w:pPr>
      <w:r w:rsidRPr="00A154D7">
        <w:t>Understanding how stream temperature responds to restoration of riparian vegetation and channel morphology in context of future climate change is critical for prioritizing restoration actions and recovering imperiled salmon populations. We used a deterministic water temperature model to investigate potential thermal benefits of riparian reforestation and channel narrowing to Chinook Salmon populations in the Upper Grande Ronde River and Catherine Creek basins in Northeast Oregon, USA. A legacy of intensive land use practices in these basins has significantly reduced streamside vegetation and increased channel width across most of the stream network, resulting in water temperatures that far exceed the optimal range for salmon growth and survival. By combining restoration scenarios with climate change projections, we were able to evaluate whether future climate impacts could be offset by restoration actions. A combination of riparian restoration and channel narrowing was predicted to reduce peak summer water temperatures by 6.5 C on average in the Upper Grande Ronde River and 3.0 C in Catherine Creek in the absence of other perturbations. These results translated to increases in Chinook Salmon parr abundance of 590% and 67% respectively. Although projected climate change impacts on water temperature for the 2080s time period were substantial (i.e., median increase of 2.7 C in the Upper Grande Ronde and 1.5 C in Catherine Creek), we predicted that basin-wide restoration of riparian vegetation and channel width could offset these impacts, reducing peak summer water temperatures by about 3.5 C in the Upper Grande Ronde and 1.8 C in Catherine Creek. These results underscore the potential for riparian and stream channel restoration to mitigate climate change impacts to threatened salmon populations in the Pacific Northwest.</w:t>
      </w:r>
    </w:p>
    <w:p w:rsidR="0085701D" w:rsidRDefault="00A154D7" w:rsidP="00A154D7">
      <w:r w:rsidRPr="00A154D7">
        <w:t xml:space="preserve">Casey Justice, Seth M. White, Dale A. McCullough, David S. Graves, Monica R. Blanchard. 2017. Can stream and riparian restoration offset climate change impacts to salmon populations? Journal of Environmental Management 188 (2017) 212e227 </w:t>
      </w:r>
      <w:hyperlink r:id="rId165" w:history="1">
        <w:r w:rsidRPr="00A154D7">
          <w:rPr>
            <w:rStyle w:val="Hyperlink"/>
          </w:rPr>
          <w:t>https://www.critfc.org/wp-content/uploads/2017/01/JournalPost_Justice_etal2017.pdf</w:t>
        </w:r>
      </w:hyperlink>
      <w:r w:rsidR="0085701D">
        <w:t>.</w:t>
      </w:r>
    </w:p>
    <w:p w:rsidR="00B365FD" w:rsidRDefault="00B365FD" w:rsidP="00A154D7"/>
    <w:p w:rsidR="00AD13DF" w:rsidRDefault="00AD13DF" w:rsidP="00AD13DF">
      <w:pPr>
        <w:ind w:left="720"/>
      </w:pPr>
      <w:r>
        <w:t>Our results suggest that abundant wood plays a key role in moderating sediment flux from small basins following debris flow events. Debris flow events coincident with a lack of abundant wood, such as might occur following forest harvest, could lead to more episodic sediment flux to downstream, fish-bearing reaches.</w:t>
      </w:r>
    </w:p>
    <w:p w:rsidR="00AD13DF" w:rsidRDefault="00AD13DF" w:rsidP="00AD13DF">
      <w:r>
        <w:t xml:space="preserve">Modeling Sediment And Wood Storage And Dynamics In Small Mountainous Watersheds; LANCASTER, Stephen, HAYES, Shannon K., and GRANT, Gordon E. </w:t>
      </w:r>
      <w:hyperlink r:id="rId166" w:history="1">
        <w:r>
          <w:rPr>
            <w:rStyle w:val="Hyperlink"/>
          </w:rPr>
          <w:t>http://gsa.confex.com/gsa/2002CD/finalprogram/abstract_34646.htm</w:t>
        </w:r>
      </w:hyperlink>
      <w:r>
        <w:t>.</w:t>
      </w:r>
    </w:p>
    <w:p w:rsidR="00AD13DF" w:rsidRDefault="00AD13DF" w:rsidP="00AD13DF"/>
    <w:p w:rsidR="00AD13DF" w:rsidRDefault="00AD13DF" w:rsidP="00AD13DF">
      <w:pPr>
        <w:ind w:left="720"/>
        <w:rPr>
          <w:szCs w:val="24"/>
        </w:rPr>
      </w:pPr>
      <w:r>
        <w:t>Historical stand structure results suggest that conservation of old trees is as important on sideslopes as in riparian forest and there is connectivity both in disturbance and structure across the riparian-sideslope ecotone.</w:t>
      </w:r>
    </w:p>
    <w:p w:rsidR="00AD13DF" w:rsidRDefault="00AD13DF" w:rsidP="00AD13DF">
      <w:r>
        <w:rPr>
          <w:szCs w:val="24"/>
        </w:rPr>
        <w:lastRenderedPageBreak/>
        <w:t xml:space="preserve">Everett, Schellhaas, Ohlson, Spurbeck, Keenum; 2001; Continuity in Fire Regimes Between Riparian and Adjacent Sideslopes in the Douglas-fir Forest Series; </w:t>
      </w:r>
      <w:hyperlink r:id="rId167" w:history="1">
        <w:r>
          <w:rPr>
            <w:rStyle w:val="Hyperlink"/>
            <w:szCs w:val="24"/>
          </w:rPr>
          <w:t>http://www.srs.fs.usda.gov/pubs/viewpub.jsp?index=4740</w:t>
        </w:r>
      </w:hyperlink>
      <w:r>
        <w:rPr>
          <w:szCs w:val="24"/>
        </w:rPr>
        <w:t>.</w:t>
      </w:r>
    </w:p>
    <w:p w:rsidR="00AD13DF" w:rsidRDefault="00AD13DF" w:rsidP="00AD13DF"/>
    <w:p w:rsidR="00AD13DF" w:rsidRDefault="00AD13DF" w:rsidP="00AD13DF">
      <w:r>
        <w:t xml:space="preserve">In the BMNRI soil seminar Dr. Alan Harvey makes the unequivocal statement that underground wood is the main source of late season moisture and nitrogen fixing activity on warm dry sites and that capturing mortality from the above ground wood pool will eventually deprive the below-ground wood pool of a long term supply of large persistent wood. </w:t>
      </w:r>
      <w:hyperlink r:id="rId168" w:history="1">
        <w:r>
          <w:rPr>
            <w:rStyle w:val="Hyperlink"/>
          </w:rPr>
          <w:t>http://maps.wildrockies.org/ecosystem_defense/Resources_Species_Topics/Soils/Harvey%20on%20%20Soils.doc</w:t>
        </w:r>
      </w:hyperlink>
      <w:r>
        <w:t>.</w:t>
      </w:r>
    </w:p>
    <w:p w:rsidR="00AD13DF" w:rsidRDefault="00AD13DF" w:rsidP="00A154D7"/>
    <w:p w:rsidR="0085701D" w:rsidRDefault="0085701D" w:rsidP="0085701D">
      <w:pPr>
        <w:rPr>
          <w:szCs w:val="24"/>
        </w:rPr>
      </w:pPr>
      <w:r>
        <w:rPr>
          <w:szCs w:val="24"/>
        </w:rPr>
        <w:t>Logging within riparian reserves “captures mortality” likely depriving the stream of functionally valuable wood.</w:t>
      </w:r>
    </w:p>
    <w:p w:rsidR="0085701D" w:rsidRDefault="0085701D" w:rsidP="0085701D">
      <w:pPr>
        <w:autoSpaceDE w:val="0"/>
        <w:ind w:left="720"/>
        <w:rPr>
          <w:szCs w:val="24"/>
        </w:rPr>
      </w:pPr>
      <w:r>
        <w:rPr>
          <w:szCs w:val="24"/>
        </w:rPr>
        <w:t xml:space="preserve">Woody material is an important component of freshwater salmonid habitat. Wood regulates sediment and flow routing, influences stream channel complexity and stability, and provides hydraulic refugia and cover within stream systems (Bisson et al. 1987, Gregory et al. 1987, Hicks et al. 1991, Sedell and Beschta 1991). Wood also plays a key role in retaining salmon carcasses (Cederholm and Peterson 1985), a major source of nitrogen and carbon in stream ecosystems (Bilby et al. 1996). Small- and medium-diameter wood has functional value in small and medium streams (Beechie and Sibley 1997). This functionally sized wood provides many of the same habitat benefits as larger wood (≥24-inches dbh) in larger streams: (1) It increases sediment retention by forming depositional areas and dissipating energy; (2) it retains non-woody organic matter, allowing it to be biologically processed before downstream export as dissolved and particulate nutrients; and (3) it delays surface water passage, allowing it to be cooled by mixing with groundwater (Bisson </w:t>
      </w:r>
      <w:r>
        <w:rPr>
          <w:i/>
          <w:iCs/>
          <w:szCs w:val="24"/>
        </w:rPr>
        <w:t>et al</w:t>
      </w:r>
      <w:r>
        <w:rPr>
          <w:szCs w:val="24"/>
        </w:rPr>
        <w:t xml:space="preserve">. 1987, Sullivan </w:t>
      </w:r>
      <w:r>
        <w:rPr>
          <w:i/>
          <w:iCs/>
          <w:szCs w:val="24"/>
        </w:rPr>
        <w:t>et al</w:t>
      </w:r>
      <w:r>
        <w:rPr>
          <w:szCs w:val="24"/>
        </w:rPr>
        <w:t xml:space="preserve">. 1987, Murphy 1995, Spence </w:t>
      </w:r>
      <w:r>
        <w:rPr>
          <w:i/>
          <w:iCs/>
          <w:szCs w:val="24"/>
        </w:rPr>
        <w:t>et al</w:t>
      </w:r>
      <w:r>
        <w:rPr>
          <w:szCs w:val="24"/>
        </w:rPr>
        <w:t xml:space="preserve">. 1996). Logging within riparian stands has the potential to affect wood recruitment to stream channels from the streamside stand (FEMAT 1993, Spence </w:t>
      </w:r>
      <w:r>
        <w:rPr>
          <w:i/>
          <w:iCs/>
          <w:szCs w:val="24"/>
        </w:rPr>
        <w:t>et al</w:t>
      </w:r>
      <w:r>
        <w:rPr>
          <w:szCs w:val="24"/>
        </w:rPr>
        <w:t xml:space="preserve">. 1996, Beechie </w:t>
      </w:r>
      <w:r>
        <w:rPr>
          <w:i/>
          <w:iCs/>
          <w:szCs w:val="24"/>
        </w:rPr>
        <w:t>et al</w:t>
      </w:r>
      <w:r>
        <w:rPr>
          <w:szCs w:val="24"/>
        </w:rPr>
        <w:t>. 2000). The vast majority of wood recruited from these stands occurs within 1 SPTH where shallow, stable sideslopes exist (Spence et al. 1996, Beechie et al. 2000). … For example, modeling stand #502073 over a 100-year cycle [using ORGANON] predicts a total stand mortality of 202 trees (&gt;10 inches dbh) for the unthinned stand, while mortality for the thinned stand was two trees. Therefore, thinning will reduce density-dependent mortality within the stand by 99%. Furthermore, the subject stand is currently in a period of active density-dependent mortality. … based on the information provided, it appears likely that the riparian thinning proposed will degrade instream habitat at the reach scale by greatly reducing the amount of functional wood that could enter the stream.</w:t>
      </w:r>
    </w:p>
    <w:p w:rsidR="0085701D" w:rsidRDefault="0085701D" w:rsidP="0085701D">
      <w:pPr>
        <w:ind w:left="720"/>
        <w:rPr>
          <w:szCs w:val="24"/>
        </w:rPr>
      </w:pPr>
      <w:r>
        <w:rPr>
          <w:szCs w:val="24"/>
        </w:rPr>
        <w:t xml:space="preserve">In most cases in the Pacific Northwest, stream wood loads are at low levels due to human activities such as logging and instream log removal. The findings document submitted by Siuslaw NF indicated this was true of the subject action area. The baseline condition of instream wood was not properly functioning. To survive, instream biota need the riparian forest to provide important ecological goods and services (such as wood) to maintain and restore instream habitat. It is the opinion of NMFS that small- and </w:t>
      </w:r>
      <w:r>
        <w:rPr>
          <w:szCs w:val="24"/>
        </w:rPr>
        <w:lastRenderedPageBreak/>
        <w:t>medium-sized stream channels can achieve natural levels of in-channel wood more quickly without thinning of riparian stands.</w:t>
      </w:r>
    </w:p>
    <w:p w:rsidR="0085701D" w:rsidRDefault="0085701D" w:rsidP="0085701D">
      <w:r>
        <w:rPr>
          <w:szCs w:val="24"/>
        </w:rPr>
        <w:t>NOAA April 4, 2006 Magnuson Act consultation on Essential Fish Habitat and Response to Siuslaw NF Lobster Project BA. c</w:t>
      </w:r>
      <w:r>
        <w:rPr>
          <w:i/>
          <w:szCs w:val="24"/>
        </w:rPr>
        <w:t xml:space="preserve">iting </w:t>
      </w:r>
      <w:r>
        <w:rPr>
          <w:b/>
          <w:szCs w:val="24"/>
        </w:rPr>
        <w:t>Beechie</w:t>
      </w:r>
      <w:r>
        <w:rPr>
          <w:szCs w:val="24"/>
        </w:rPr>
        <w:t xml:space="preserve">, T.J., and T.H. Sibley. 1997. Relationships between channel characteristics, woody debris, and fish habitat in Northwestern Washington streams. Transactions of the American Fisheries Society, 126:217-229. </w:t>
      </w:r>
      <w:r>
        <w:rPr>
          <w:b/>
          <w:szCs w:val="24"/>
        </w:rPr>
        <w:t>Beechie</w:t>
      </w:r>
      <w:r>
        <w:rPr>
          <w:szCs w:val="24"/>
        </w:rPr>
        <w:t xml:space="preserve">, T.J., G. Pess, P. Kennard, R.E. Bilby, and S. Bolton. 2000. Modeling recovery rates and pathways for woody debris recruitment in northwestern Washington streams. North American Journal of Fisheries Management 20:436-452. </w:t>
      </w:r>
      <w:r>
        <w:rPr>
          <w:b/>
          <w:szCs w:val="24"/>
        </w:rPr>
        <w:t>Bilby</w:t>
      </w:r>
      <w:r>
        <w:rPr>
          <w:szCs w:val="24"/>
        </w:rPr>
        <w:t xml:space="preserve">, R.E., B.R. Franson, and P.A. Bisson. 1996. Incorporation of nitrogen and carbon from spawning coho salmon into the trophic system of small streams: evidence from stable isotopes. Can. J. Fish. Aquat. Sci. 50:164-173. </w:t>
      </w:r>
      <w:r>
        <w:rPr>
          <w:b/>
          <w:szCs w:val="24"/>
        </w:rPr>
        <w:t>Bisson</w:t>
      </w:r>
      <w:r>
        <w:rPr>
          <w:szCs w:val="24"/>
        </w:rPr>
        <w:t xml:space="preserve">, P.A., R.E. Bilby, M.D. Bryant, C.A. Dolloff, G. B. Grette, R.A. House, M.L. Murphy, K.V. Koski, and J.R. Sedell. 1987. Large woody debris in forested streams in the Pacific Northwest: past, present, and future. Pages 143-190 in E.O. Salo and T.W. Cundy, editors. Streamside management: forestry and fishery interactions. Contribution No. 57. Institute of Forest Resources, University of Washington, Seattle. </w:t>
      </w:r>
      <w:r>
        <w:rPr>
          <w:b/>
          <w:szCs w:val="24"/>
        </w:rPr>
        <w:t>Cederholm</w:t>
      </w:r>
      <w:r>
        <w:rPr>
          <w:szCs w:val="24"/>
        </w:rPr>
        <w:t>, C.J., and N.P. Peterson. 1985. The retention of coho salmon (</w:t>
      </w:r>
      <w:r>
        <w:rPr>
          <w:i/>
          <w:iCs/>
          <w:szCs w:val="24"/>
        </w:rPr>
        <w:t>Oncorhynchus kisutch</w:t>
      </w:r>
      <w:r>
        <w:rPr>
          <w:szCs w:val="24"/>
        </w:rPr>
        <w:t xml:space="preserve">) carcasses by organic debris in small streams. Can. J. Fish. Aquat. Sci. 42:1222-1225. </w:t>
      </w:r>
      <w:r>
        <w:rPr>
          <w:b/>
          <w:szCs w:val="24"/>
        </w:rPr>
        <w:t xml:space="preserve">FEMAT </w:t>
      </w:r>
      <w:r>
        <w:rPr>
          <w:szCs w:val="24"/>
        </w:rPr>
        <w:t xml:space="preserve">(Forest Ecosystem Management Assessment Team). 1993. Forest ecosystem management: an ecological, economic, and social assessment. Report of the Forest Ecosystem Management Assessment Team. U.S. Government Printing Office 1993-793- 071. </w:t>
      </w:r>
      <w:r>
        <w:rPr>
          <w:b/>
          <w:szCs w:val="24"/>
        </w:rPr>
        <w:t>Gregory</w:t>
      </w:r>
      <w:r>
        <w:rPr>
          <w:szCs w:val="24"/>
        </w:rPr>
        <w:t xml:space="preserve">, S.V., G.A. Lambertti, D.C. Erman, [and others]. 1987. Influence of forest practices on aquatic production. </w:t>
      </w:r>
      <w:r>
        <w:rPr>
          <w:i/>
          <w:iCs/>
          <w:szCs w:val="24"/>
        </w:rPr>
        <w:t>In</w:t>
      </w:r>
      <w:r>
        <w:rPr>
          <w:szCs w:val="24"/>
        </w:rPr>
        <w:t xml:space="preserve">: Streamside Management: Forestry and Fishery Interactions; E.O. Salo and T.W. Cundy (eds.), p. 233-256. Contribution no. 57, University of Washington, Institute of Forest Resources. Seattle, WA. </w:t>
      </w:r>
      <w:r>
        <w:rPr>
          <w:b/>
          <w:szCs w:val="24"/>
        </w:rPr>
        <w:t>Hicks</w:t>
      </w:r>
      <w:r>
        <w:rPr>
          <w:szCs w:val="24"/>
        </w:rPr>
        <w:t xml:space="preserve">, B.J., J.D. Hall, P.A. Bisson and J.R. Sedell. 1991. Responses of salmonids to habitat changes. P. 483-518 in: W.R. Meehan (ed.). Influences of Forest and Rangeland Management on Salmonid Fishes and Their Habitats. American Fisheries Society Special Publ. 19. </w:t>
      </w:r>
      <w:r>
        <w:rPr>
          <w:b/>
          <w:szCs w:val="24"/>
        </w:rPr>
        <w:t>Murphy</w:t>
      </w:r>
      <w:r>
        <w:rPr>
          <w:szCs w:val="24"/>
        </w:rPr>
        <w:t xml:space="preserve">, M.L. 1995. Forestry impacts on freshwater habitat of anadromous salmonids in the Pacific Northwest and Alaska -- requirements for protection and restoration. NOAA Coastal Ocean Program Decision Analysis Series No. 7. NOAA Coastal Ocean Office, Silver Spring, MD. 156 pp. </w:t>
      </w:r>
      <w:r>
        <w:rPr>
          <w:b/>
          <w:szCs w:val="24"/>
        </w:rPr>
        <w:t>Sedell</w:t>
      </w:r>
      <w:r>
        <w:rPr>
          <w:szCs w:val="24"/>
        </w:rPr>
        <w:t xml:space="preserve">, J.R., and R.L. Beschta. 1991. Bringing back the "bio" in bioengineering. </w:t>
      </w:r>
      <w:r>
        <w:rPr>
          <w:i/>
          <w:iCs/>
          <w:szCs w:val="24"/>
        </w:rPr>
        <w:t xml:space="preserve">In </w:t>
      </w:r>
      <w:r>
        <w:rPr>
          <w:szCs w:val="24"/>
        </w:rPr>
        <w:t xml:space="preserve">Fisheries Bioengineering: Proceedings of a Symposium, Bethesda, MD; J. Colt and S. Dendall (eds), p. 160-175. American Fisheries Society Publication 10. Bethesda, MD. </w:t>
      </w:r>
      <w:r>
        <w:rPr>
          <w:b/>
          <w:color w:val="000000"/>
          <w:szCs w:val="24"/>
        </w:rPr>
        <w:t>Spence</w:t>
      </w:r>
      <w:r>
        <w:rPr>
          <w:color w:val="000000"/>
          <w:szCs w:val="24"/>
        </w:rPr>
        <w:t xml:space="preserve">, B.C, G.A. Lomnicky, R.M. Hughes, R.P. Novitzki. 1996. An Ecosystem Approach to Salmonid Conservation. TR-4501-96-6057. ManTech Environmental Research Services Corp., Corvallis, Oregon. </w:t>
      </w:r>
      <w:hyperlink r:id="rId169" w:history="1">
        <w:r>
          <w:rPr>
            <w:rStyle w:val="Hyperlink"/>
            <w:szCs w:val="24"/>
          </w:rPr>
          <w:t>http://www.calwater.ca.gov/Admin_Record/D-051874.pdf</w:t>
        </w:r>
      </w:hyperlink>
      <w:r>
        <w:rPr>
          <w:color w:val="0000FF"/>
          <w:szCs w:val="24"/>
        </w:rPr>
        <w:t xml:space="preserve">. </w:t>
      </w:r>
      <w:r w:rsidRPr="00F45FDA">
        <w:rPr>
          <w:szCs w:val="24"/>
        </w:rPr>
        <w:t>Sullivan</w:t>
      </w:r>
      <w:r>
        <w:rPr>
          <w:szCs w:val="24"/>
        </w:rPr>
        <w:t xml:space="preserve">, K., T.E. Lisle, C.A. Dolloff, G.E. Grant, and L.M. Reid. 1987. Stream channels: the link between forests and fishes. In Streamside Management: Forestry and Fishery Interactions; E.O. Salo and T.W. Cundy, eds. Pgs. 191-232. Contribution 57, University of Washington, Institute of Forest Resources. Seattle, WA. </w:t>
      </w:r>
    </w:p>
    <w:p w:rsidR="00A154D7" w:rsidRPr="00A154D7" w:rsidRDefault="00A154D7" w:rsidP="00A154D7">
      <w:r w:rsidRPr="00A154D7">
        <w:t xml:space="preserve"> </w:t>
      </w:r>
    </w:p>
    <w:p w:rsidR="001235B0" w:rsidRDefault="001235B0" w:rsidP="001235B0">
      <w:pPr>
        <w:rPr>
          <w:szCs w:val="24"/>
        </w:rPr>
      </w:pPr>
      <w:r>
        <w:rPr>
          <w:szCs w:val="24"/>
        </w:rPr>
        <w:t xml:space="preserve">When conducting activities that could impact 303(d) listed streams, the land management agencies have agreed to validate impairment of listed streams, demonstrate that measures are in place to prevent further degradation, and develop </w:t>
      </w:r>
      <w:r>
        <w:rPr>
          <w:i/>
          <w:szCs w:val="24"/>
        </w:rPr>
        <w:t xml:space="preserve">water quality restoration </w:t>
      </w:r>
      <w:r>
        <w:rPr>
          <w:szCs w:val="24"/>
        </w:rPr>
        <w:t xml:space="preserve">plans before TMDL are developed. USDA Forest Service, USDI Bureau of Land Management, Environmental Protection Agency, 1999. Forest Service and Bureau of Land Management Protocol for </w:t>
      </w:r>
      <w:r>
        <w:rPr>
          <w:szCs w:val="24"/>
        </w:rPr>
        <w:lastRenderedPageBreak/>
        <w:t xml:space="preserve">Addressing Clean Water Act Section 303(d) Listed Waters </w:t>
      </w:r>
      <w:hyperlink r:id="rId170" w:history="1">
        <w:r>
          <w:rPr>
            <w:rStyle w:val="Hyperlink"/>
            <w:szCs w:val="24"/>
          </w:rPr>
          <w:t>http://www.fs.fed.us/r6/water/protocol.pdf</w:t>
        </w:r>
      </w:hyperlink>
      <w:r>
        <w:rPr>
          <w:szCs w:val="24"/>
        </w:rPr>
        <w:t>. The agency has not fulfilled its obligations under this interagency agreement.</w:t>
      </w:r>
    </w:p>
    <w:p w:rsidR="001235B0" w:rsidRDefault="001235B0" w:rsidP="001235B0">
      <w:pPr>
        <w:rPr>
          <w:szCs w:val="24"/>
        </w:rPr>
      </w:pPr>
    </w:p>
    <w:p w:rsidR="001235B0" w:rsidRDefault="001235B0" w:rsidP="001235B0">
      <w:pPr>
        <w:rPr>
          <w:szCs w:val="24"/>
        </w:rPr>
      </w:pPr>
      <w:r>
        <w:rPr>
          <w:szCs w:val="24"/>
        </w:rPr>
        <w:t>Anti-degradation provisions of the Oregon’s water quality standards apply to those water</w:t>
      </w:r>
    </w:p>
    <w:p w:rsidR="001235B0" w:rsidRDefault="001235B0" w:rsidP="001235B0">
      <w:pPr>
        <w:rPr>
          <w:szCs w:val="24"/>
        </w:rPr>
      </w:pPr>
      <w:r>
        <w:rPr>
          <w:szCs w:val="24"/>
        </w:rPr>
        <w:t xml:space="preserve">bodies that are </w:t>
      </w:r>
      <w:r>
        <w:rPr>
          <w:i/>
          <w:szCs w:val="24"/>
        </w:rPr>
        <w:t>currently meeting</w:t>
      </w:r>
      <w:r>
        <w:rPr>
          <w:szCs w:val="24"/>
        </w:rPr>
        <w:t xml:space="preserve"> water quality standards. The purpose of the anti-degradation provisions is to prevent the deterioration of existing levels of high water quality. The CWA provisions prohibit degrading the water quality unless an analysis shows that important economic and social development necessitates degrading water quality. The </w:t>
      </w:r>
      <w:r w:rsidR="007C0A49">
        <w:rPr>
          <w:szCs w:val="24"/>
        </w:rPr>
        <w:t xml:space="preserve">Assessment </w:t>
      </w:r>
      <w:r>
        <w:rPr>
          <w:szCs w:val="24"/>
        </w:rPr>
        <w:t xml:space="preserve">should explain how the antidegradation provisions of the State of Oregon’s water quality standards would be met by each </w:t>
      </w:r>
      <w:r w:rsidR="007C0A49">
        <w:rPr>
          <w:szCs w:val="24"/>
        </w:rPr>
        <w:t>plan a</w:t>
      </w:r>
      <w:r>
        <w:rPr>
          <w:szCs w:val="24"/>
        </w:rPr>
        <w:t>lternative.</w:t>
      </w:r>
    </w:p>
    <w:p w:rsidR="001235B0" w:rsidRDefault="001235B0" w:rsidP="001235B0">
      <w:pPr>
        <w:rPr>
          <w:szCs w:val="24"/>
        </w:rPr>
      </w:pPr>
    </w:p>
    <w:p w:rsidR="001235B0" w:rsidRDefault="001235B0" w:rsidP="001235B0">
      <w:pPr>
        <w:rPr>
          <w:szCs w:val="24"/>
        </w:rPr>
      </w:pPr>
      <w:r>
        <w:rPr>
          <w:szCs w:val="24"/>
        </w:rPr>
        <w:t>Where waters are 303(d) listed as non-compliant, Oregon water quality standards state: “Unless specifically allowed under a DEQ surface water temperature management plan (as required under (OAR 340-041-0026(3)(a)(D)) no measurable surface water temperature increases resulting from anthropogenic activities is allowed in State of Oregon Waters determined out of compliance with the temperature standard.”</w:t>
      </w:r>
    </w:p>
    <w:p w:rsidR="007D0FB1" w:rsidRDefault="007D0FB1" w:rsidP="001235B0">
      <w:pPr>
        <w:rPr>
          <w:szCs w:val="24"/>
        </w:rPr>
      </w:pPr>
    </w:p>
    <w:p w:rsidR="007D0FB1" w:rsidRDefault="007D0FB1" w:rsidP="007D0FB1">
      <w:pPr>
        <w:autoSpaceDE w:val="0"/>
        <w:rPr>
          <w:szCs w:val="24"/>
        </w:rPr>
      </w:pPr>
      <w:r>
        <w:rPr>
          <w:szCs w:val="24"/>
        </w:rPr>
        <w:t>The Assessment and the plan revision process needs to disclose the relationship between erosion and stream temperature and other stream health indicators. Accelerated or excess sedimentation contributes to temperature increases by reducing pool depth, filling interstitial space, altering substrate composition, causing channels to braid, increasing surface area and affects shading of the water surface. See EPA 2-18-04 comments on the Biscuit Fire Salvage Project.</w:t>
      </w:r>
    </w:p>
    <w:p w:rsidR="00BF5C62" w:rsidRDefault="00BF5C62" w:rsidP="00782EBF">
      <w:pPr>
        <w:pStyle w:val="Heading2"/>
      </w:pPr>
      <w:bookmarkStart w:id="14" w:name="_Toc167784205"/>
      <w:r>
        <w:t>Soil</w:t>
      </w:r>
      <w:r w:rsidR="007F1DA8">
        <w:t xml:space="preserve"> Conservation</w:t>
      </w:r>
      <w:bookmarkEnd w:id="14"/>
    </w:p>
    <w:p w:rsidR="00C958C4" w:rsidRDefault="00BF5C62" w:rsidP="00BF5C62">
      <w:pPr>
        <w:rPr>
          <w:szCs w:val="24"/>
        </w:rPr>
      </w:pPr>
      <w:r>
        <w:rPr>
          <w:szCs w:val="24"/>
        </w:rPr>
        <w:t xml:space="preserve">Soil is among the most valuable of forest resources since it is intimately involved in plant health, water quality, and primary production. </w:t>
      </w:r>
      <w:r w:rsidR="00A072FA">
        <w:rPr>
          <w:szCs w:val="24"/>
        </w:rPr>
        <w:t>The Assessment should better describe the adverse effects of loggin</w:t>
      </w:r>
      <w:r w:rsidR="006D5768">
        <w:rPr>
          <w:szCs w:val="24"/>
        </w:rPr>
        <w:t>g and roads and grazing</w:t>
      </w:r>
      <w:r w:rsidR="00A072FA">
        <w:rPr>
          <w:szCs w:val="24"/>
        </w:rPr>
        <w:t xml:space="preserve"> on soil </w:t>
      </w:r>
      <w:r w:rsidR="006D5768">
        <w:rPr>
          <w:szCs w:val="24"/>
        </w:rPr>
        <w:t xml:space="preserve">and the critical need to maintain healthy soil in light of climate change, and develop plan alternatives that reduce the adverse effects of management on soil. </w:t>
      </w:r>
    </w:p>
    <w:p w:rsidR="00C958C4" w:rsidRDefault="00C958C4" w:rsidP="00BF5C62">
      <w:pPr>
        <w:rPr>
          <w:szCs w:val="24"/>
        </w:rPr>
      </w:pPr>
    </w:p>
    <w:p w:rsidR="00C958C4" w:rsidRDefault="00C958C4" w:rsidP="00BF5C62">
      <w:pPr>
        <w:rPr>
          <w:szCs w:val="24"/>
        </w:rPr>
      </w:pPr>
      <w:r>
        <w:rPr>
          <w:szCs w:val="24"/>
        </w:rPr>
        <w:t>Key finding in the Assessment shows that “</w:t>
      </w:r>
      <w:r w:rsidRPr="00C958C4">
        <w:rPr>
          <w:szCs w:val="24"/>
        </w:rPr>
        <w:t>Current forest plans for the Malheur, Umatilla, and Wallowa-Whitman National Forests provide limited direction with respect to</w:t>
      </w:r>
      <w:r>
        <w:rPr>
          <w:szCs w:val="24"/>
        </w:rPr>
        <w:t xml:space="preserve"> soil quality and productivity. </w:t>
      </w:r>
      <w:r w:rsidRPr="00C958C4">
        <w:rPr>
          <w:szCs w:val="24"/>
        </w:rPr>
        <w:t>Greater direction in the Blue Mountains forest plans would maintain and improve soil productivity</w:t>
      </w:r>
      <w:r>
        <w:rPr>
          <w:szCs w:val="24"/>
        </w:rPr>
        <w:t xml:space="preserve">… [and] </w:t>
      </w:r>
      <w:r w:rsidRPr="00C958C4">
        <w:rPr>
          <w:szCs w:val="24"/>
        </w:rPr>
        <w:t>past detrimental soil disturbance data may need to be updated</w:t>
      </w:r>
      <w:r>
        <w:rPr>
          <w:szCs w:val="24"/>
        </w:rPr>
        <w:t xml:space="preserve"> …” </w:t>
      </w:r>
    </w:p>
    <w:p w:rsidR="00C958C4" w:rsidRDefault="00C958C4" w:rsidP="00BF5C62">
      <w:pPr>
        <w:rPr>
          <w:szCs w:val="24"/>
        </w:rPr>
      </w:pPr>
    </w:p>
    <w:p w:rsidR="00A072FA" w:rsidRDefault="00C958C4" w:rsidP="00BF5C62">
      <w:pPr>
        <w:rPr>
          <w:szCs w:val="24"/>
        </w:rPr>
      </w:pPr>
      <w:r>
        <w:rPr>
          <w:szCs w:val="24"/>
        </w:rPr>
        <w:t xml:space="preserve">The Assessment seems to acquiesce to expanded use of tethered logging. This is contrary to indications.  </w:t>
      </w:r>
      <w:r w:rsidR="006D5768">
        <w:rPr>
          <w:szCs w:val="24"/>
        </w:rPr>
        <w:t>Proposals such as tethered logging on steep slopes move things in the wrong direction by increasing adverse management impacts on soils that may be particularly vulnerable to erosion because they are not as deep and they experience greater risk of soil movement.</w:t>
      </w:r>
    </w:p>
    <w:p w:rsidR="00C958C4" w:rsidRDefault="00C958C4" w:rsidP="00BF5C62">
      <w:pPr>
        <w:rPr>
          <w:szCs w:val="24"/>
        </w:rPr>
      </w:pPr>
    </w:p>
    <w:p w:rsidR="00C958C4" w:rsidRDefault="00C958C4" w:rsidP="00BF5C62">
      <w:pPr>
        <w:rPr>
          <w:szCs w:val="24"/>
        </w:rPr>
      </w:pPr>
      <w:r>
        <w:rPr>
          <w:szCs w:val="24"/>
        </w:rPr>
        <w:lastRenderedPageBreak/>
        <w:t>The Assessment is vague but suggests that “</w:t>
      </w:r>
      <w:r w:rsidRPr="00C958C4">
        <w:rPr>
          <w:szCs w:val="24"/>
        </w:rPr>
        <w:t>pressure to conduct hazardous fuels reduction treatments</w:t>
      </w:r>
      <w:r w:rsidR="001F3CEF">
        <w:rPr>
          <w:szCs w:val="24"/>
        </w:rPr>
        <w:t>” is undermining</w:t>
      </w:r>
      <w:r>
        <w:rPr>
          <w:szCs w:val="24"/>
        </w:rPr>
        <w:t xml:space="preserve"> efforts to retain sufficient organic matter to </w:t>
      </w:r>
      <w:r w:rsidR="001F3CEF">
        <w:rPr>
          <w:szCs w:val="24"/>
        </w:rPr>
        <w:t>maintain soil productivity. This is unacceptable. Better harmony between fuels and soils can be achieved by thinning lightly and with non-commercial methods</w:t>
      </w:r>
      <w:r w:rsidR="00F37B33">
        <w:rPr>
          <w:szCs w:val="24"/>
        </w:rPr>
        <w:t>.</w:t>
      </w:r>
      <w:r w:rsidR="006F7B48">
        <w:rPr>
          <w:szCs w:val="24"/>
        </w:rPr>
        <w:t xml:space="preserve"> As a general rule, removing more trees causes more soil disturbance. The adverse effects of logging can be partially mitigated by retaining more trees.</w:t>
      </w:r>
    </w:p>
    <w:p w:rsidR="00F37B33" w:rsidRDefault="00F37B33" w:rsidP="00BF5C62">
      <w:pPr>
        <w:rPr>
          <w:szCs w:val="24"/>
        </w:rPr>
      </w:pPr>
    </w:p>
    <w:p w:rsidR="00BF5C62" w:rsidRDefault="00BF5C62" w:rsidP="00BF5C62">
      <w:pPr>
        <w:rPr>
          <w:szCs w:val="24"/>
        </w:rPr>
      </w:pPr>
      <w:r>
        <w:rPr>
          <w:szCs w:val="24"/>
        </w:rPr>
        <w:t>Logging and associated road building and fuel treatment can have serious adverse impacts on soil. See Jurgensen, M. F., A. E. Harvey, R. T. Graham, D. S. Page-Dumroese, J. R. Tonn, M. J. Larsen and T. B. Jain. 1997. Impacts of timber harvesting on soil organic matter, nitrogen, productivity, and health of inland Northwest forests. Forest Science 43: 234-251. (ABSTRACT: “The authors review scientific literature on the impact logging has on soil properties and site productivity (e.g. tree growth) in the Inland Northwest. Logging and site preparation result in soil compaction, displacement of surface mineral soil, and loss of organic matter (including woody residues and forest floor layers). Loss of soil organic matter also results in the loss of soil nitrogen and decreased ability of a site to fix new nitrogen. Soil organic matter is important for ectomycorrhizal development, which in turn plays a role in nutrient uptake and seedling survival. Studies on tree growth indicated that growth is reduced on soils affected by logging, and losses of soil organic matter and nutrients are estimated to last from 10 to 250 years, depending on site conditions.”)</w:t>
      </w:r>
    </w:p>
    <w:p w:rsidR="00A072FA" w:rsidRDefault="00A072FA" w:rsidP="00BF5C62">
      <w:pPr>
        <w:rPr>
          <w:szCs w:val="24"/>
        </w:rPr>
      </w:pPr>
    </w:p>
    <w:p w:rsidR="00A072FA" w:rsidRDefault="00F37B33" w:rsidP="009D3AFD">
      <w:r>
        <w:rPr>
          <w:szCs w:val="24"/>
        </w:rPr>
        <w:t xml:space="preserve">The </w:t>
      </w:r>
      <w:r w:rsidR="00A060EE">
        <w:rPr>
          <w:szCs w:val="24"/>
        </w:rPr>
        <w:t xml:space="preserve">Soils </w:t>
      </w:r>
      <w:r>
        <w:rPr>
          <w:szCs w:val="24"/>
        </w:rPr>
        <w:t>Assessment finds “</w:t>
      </w:r>
      <w:r w:rsidRPr="00F37B33">
        <w:rPr>
          <w:szCs w:val="24"/>
        </w:rPr>
        <w:t>Climate-based limitations to soil productivity, dry soils in the later part of the growing season, and slower warming soils in the spring, have important implications with respect to the management of coniferous forests.</w:t>
      </w:r>
      <w:r w:rsidR="009D3AFD">
        <w:rPr>
          <w:szCs w:val="24"/>
        </w:rPr>
        <w:t xml:space="preserve">” </w:t>
      </w:r>
      <w:r w:rsidR="00A072FA">
        <w:rPr>
          <w:szCs w:val="24"/>
        </w:rPr>
        <w:t xml:space="preserve">Logging </w:t>
      </w:r>
      <w:r>
        <w:rPr>
          <w:szCs w:val="24"/>
        </w:rPr>
        <w:t xml:space="preserve">and roads </w:t>
      </w:r>
      <w:r w:rsidR="00A072FA">
        <w:rPr>
          <w:szCs w:val="24"/>
        </w:rPr>
        <w:t xml:space="preserve">will adverse effect soil properties that beneficial soil organisms rely upon. Healthy soil and beneficial soil organisms, such as fungi can help plants survive the stress caused by climate change. </w:t>
      </w:r>
      <w:r w:rsidR="00A072FA" w:rsidRPr="00310B46">
        <w:rPr>
          <w:szCs w:val="24"/>
        </w:rPr>
        <w:t xml:space="preserve">Porter, SS, Bantay, R, Friel, CA, et al. Beneficial microbes ameliorate abiotic and biotic sources of stress on plants. Funct Ecol. 2020; 00: 1– 12. </w:t>
      </w:r>
      <w:hyperlink r:id="rId171" w:history="1">
        <w:r w:rsidR="00A072FA" w:rsidRPr="002346EF">
          <w:rPr>
            <w:rStyle w:val="Hyperlink"/>
            <w:szCs w:val="24"/>
          </w:rPr>
          <w:t>https://doi.org/10.1111/1365-2435.13499</w:t>
        </w:r>
      </w:hyperlink>
      <w:r w:rsidR="00A072FA">
        <w:rPr>
          <w:szCs w:val="24"/>
        </w:rPr>
        <w:t xml:space="preserve">; </w:t>
      </w:r>
      <w:hyperlink r:id="rId172" w:history="1">
        <w:r w:rsidR="00A072FA">
          <w:rPr>
            <w:rStyle w:val="Hyperlink"/>
          </w:rPr>
          <w:t>https://besjournals.onlinelibrary.wiley.com/doi/epdf/10.1111/1365-2435.13499</w:t>
        </w:r>
      </w:hyperlink>
      <w:r w:rsidR="00A072FA">
        <w:t>. (“</w:t>
      </w:r>
      <w:r w:rsidR="00A072FA" w:rsidRPr="00310B46">
        <w:t xml:space="preserve">Global climate change and shifting land-use are increasing plant stress </w:t>
      </w:r>
      <w:r w:rsidR="00A072FA">
        <w:t>..</w:t>
      </w:r>
      <w:r w:rsidR="00A072FA" w:rsidRPr="00310B46">
        <w:t>. The ability of plants to tolerate such stresses is modulated by the bacteria and fungi that live on or inside of plant tissues and comprise the plant microbiome.</w:t>
      </w:r>
      <w:r w:rsidR="00A072FA">
        <w:t xml:space="preserve"> ... [S]</w:t>
      </w:r>
      <w:r w:rsidR="00A072FA" w:rsidRPr="00310B46">
        <w:t>y</w:t>
      </w:r>
      <w:r w:rsidR="00A072FA">
        <w:t>mbiotic fungi, especially arbus</w:t>
      </w:r>
      <w:r w:rsidR="00A072FA" w:rsidRPr="00310B46">
        <w:t xml:space="preserve">cular mycorrhizal fungi, more strongly ameliorate plant stress than do bacteria. </w:t>
      </w:r>
      <w:r w:rsidR="00A072FA">
        <w:t>..</w:t>
      </w:r>
      <w:r w:rsidR="00A072FA" w:rsidRPr="00310B46">
        <w:t>. Furthermore, beneficial microbes are especially critical for plant health in stressful environments and thu</w:t>
      </w:r>
      <w:r w:rsidR="00A072FA">
        <w:t>s present opportunities to miti</w:t>
      </w:r>
      <w:r w:rsidR="00A072FA" w:rsidRPr="00310B46">
        <w:t>gate negative consequences of global change.</w:t>
      </w:r>
      <w:r w:rsidR="00A072FA">
        <w:t>”).</w:t>
      </w:r>
    </w:p>
    <w:p w:rsidR="00504DFC" w:rsidRDefault="00504DFC" w:rsidP="00A072FA"/>
    <w:p w:rsidR="009D3AFD" w:rsidRDefault="009D3AFD" w:rsidP="00A072FA">
      <w:r>
        <w:t>The Assessment says “</w:t>
      </w:r>
      <w:r w:rsidRPr="009D3AFD">
        <w:rPr>
          <w:szCs w:val="24"/>
        </w:rPr>
        <w:t>Climate change may place higher evaporative demand on soil and increase potential for soil</w:t>
      </w:r>
      <w:r>
        <w:rPr>
          <w:szCs w:val="24"/>
        </w:rPr>
        <w:t xml:space="preserve"> </w:t>
      </w:r>
      <w:r w:rsidRPr="009D3AFD">
        <w:rPr>
          <w:szCs w:val="24"/>
        </w:rPr>
        <w:t>loss due to heavy water flows during snowmelt or after wildfire</w:t>
      </w:r>
      <w:r>
        <w:rPr>
          <w:szCs w:val="24"/>
        </w:rPr>
        <w:t xml:space="preserve"> …” Climate change is also expected to increase the intensity of precipitation events, which will increase the risk of erosion of soils degraded by logging, grazing, OHVs, and roads. Soil standards need to reflect the need for greater limitations on soil disturbance.</w:t>
      </w:r>
    </w:p>
    <w:p w:rsidR="009D3AFD" w:rsidRDefault="009D3AFD" w:rsidP="00A072FA"/>
    <w:p w:rsidR="00504DFC" w:rsidRDefault="00504DFC" w:rsidP="00504DFC">
      <w:pPr>
        <w:ind w:left="720"/>
        <w:rPr>
          <w:szCs w:val="24"/>
        </w:rPr>
      </w:pPr>
      <w:r>
        <w:rPr>
          <w:szCs w:val="24"/>
        </w:rPr>
        <w:t xml:space="preserve">Soil is full of </w:t>
      </w:r>
      <w:r>
        <w:rPr>
          <w:b/>
          <w:bCs/>
          <w:szCs w:val="24"/>
        </w:rPr>
        <w:t xml:space="preserve">beneficial soil organisms </w:t>
      </w:r>
      <w:r>
        <w:rPr>
          <w:szCs w:val="24"/>
        </w:rPr>
        <w:t xml:space="preserve">profoundly affecting forest site productivity; for example, </w:t>
      </w:r>
      <w:r>
        <w:rPr>
          <w:b/>
          <w:bCs/>
          <w:szCs w:val="24"/>
        </w:rPr>
        <w:t>mycorrhizal fungi</w:t>
      </w:r>
      <w:r>
        <w:rPr>
          <w:szCs w:val="24"/>
        </w:rPr>
        <w:t xml:space="preserve"> (fungi that form a close and mutually beneficial relation with the roots of plants) and </w:t>
      </w:r>
      <w:r>
        <w:rPr>
          <w:b/>
          <w:bCs/>
          <w:szCs w:val="24"/>
        </w:rPr>
        <w:t xml:space="preserve">nitrogen-fixing organisms </w:t>
      </w:r>
      <w:r>
        <w:rPr>
          <w:szCs w:val="24"/>
        </w:rPr>
        <w:t xml:space="preserve">(specialized soil </w:t>
      </w:r>
      <w:r>
        <w:rPr>
          <w:szCs w:val="24"/>
        </w:rPr>
        <w:lastRenderedPageBreak/>
        <w:t>microbes that change atmospheric nitrogen into chemical forms usable by plants) These organisms capture and take in nutrients and water, protect roots against diseases, and promote soil structure. Severe disturbance, such as intense fire or the piling and removing of surface organic matter, can reduce or eliminate beneficial soil organisms (Amaranthus et al., 1990) Impacts on these beneficial organisms is minimized when forest practices emphasize retention of organic matter and rapid regeneration...Mycorrhizal fungi, essential for plant nutrient and water uptake, also are most prevalent near the soil surface. Site preparation activities...can displace surface soil and organic layers thereby decreasing tree growth between rows of slash."</w:t>
      </w:r>
    </w:p>
    <w:p w:rsidR="00504DFC" w:rsidRDefault="00504DFC" w:rsidP="00504DFC">
      <w:pPr>
        <w:ind w:left="720"/>
        <w:rPr>
          <w:szCs w:val="24"/>
        </w:rPr>
      </w:pPr>
      <w:r>
        <w:rPr>
          <w:szCs w:val="24"/>
        </w:rPr>
        <w:t xml:space="preserve">   Little is known about the effects of soil erosion from deforested areas, but the density and diversity of mycorrhizal inocula are reduced.</w:t>
      </w:r>
    </w:p>
    <w:p w:rsidR="00504DFC" w:rsidRDefault="00504DFC" w:rsidP="00504DFC">
      <w:r>
        <w:t xml:space="preserve">Amaranthus, M.P.; Molina R.; and Trappe J. M. 1990. Long-term forest productivity and the living soil. Chapter 3. </w:t>
      </w:r>
      <w:r>
        <w:rPr>
          <w:u w:val="single"/>
        </w:rPr>
        <w:t xml:space="preserve">In </w:t>
      </w:r>
      <w:r>
        <w:t>Perry D.A. ed. Maintaining Long-term Forest Productivity in the Pacific Northwest Forest Ecosystem. Timber Press. Portland, OR 97208.</w:t>
      </w:r>
    </w:p>
    <w:p w:rsidR="00504DFC" w:rsidRDefault="00504DFC" w:rsidP="00504DFC"/>
    <w:p w:rsidR="00504DFC" w:rsidRDefault="00504DFC" w:rsidP="00504DFC">
      <w:r>
        <w:t xml:space="preserve">Scientists urge greater emphasis on conserving soil biodiversity. </w:t>
      </w:r>
      <w:r w:rsidRPr="00056198">
        <w:t xml:space="preserve">Carlos A. Guerra, Richard D. Bardgett, </w:t>
      </w:r>
      <w:r>
        <w:t>et al</w:t>
      </w:r>
      <w:r w:rsidRPr="00056198">
        <w:t xml:space="preserve"> (2020): Tracking, targeting, and conserving soil biodiversity - A monitoring and indicator system can inform policy, Science, </w:t>
      </w:r>
      <w:hyperlink r:id="rId173" w:history="1">
        <w:r w:rsidRPr="00945162">
          <w:rPr>
            <w:rStyle w:val="Hyperlink"/>
          </w:rPr>
          <w:t>https://science.sciencemag.org/content/371/6526/239</w:t>
        </w:r>
      </w:hyperlink>
      <w:r>
        <w:t xml:space="preserve"> (“Soils not only are a main repository of terrestrial biodiversity, harboring roughly one-quarter of all species on Earth, but also provide a wide variety of functions (e.g., nutrient cycling, waste decomposition) and benefits (e.g., climate regulation, pathogen resistance); they regulate the diversity and  functioning of aboveground systems, including their contributions to human well-being (3). If we do not protect soils for the next generations, future aboveground biodiversity and food production cannot be guaranteed. Nonetheless, recent calls to expand nature protection (4), as well as many other initiatives aimed to shape future environmental policies (5), do not consider the specific requirements of soil biodiversity and associated ecosystem functions (6, 7). … Excluding soil biodiversity and associated ecosystem functions from nature conservation targets means that policies may fail to represent them and may render soil biodiversity and critical ecosystem functions more vulnerable to global change. … We aim for a future where the conservation value of giant earthworms [e.g., Rhinodrilus alatus (Righi 1971)] or endemic fungi [e.g., Lactarius indigo (Schwein 1822)] is recognized and their ecology is properly protected by nature conservation measures (e.g., establishing no-tillage areas or promoting environmental compensation schemes that explicitly include soil-related measures such as deadwood management plans that favor soil invertebrates and fungi). Local soil biodiversity should be considered when designing conservation areas and highlighted when implementing appropriate management efforts. To do this, we propose a complementary set of ecological indicators that considers the multiple facets of soil ecology (between biodiversity and key ecosystem functions) and provides a comprehensive overview of soil systems.”). </w:t>
      </w:r>
    </w:p>
    <w:p w:rsidR="00504DFC" w:rsidRDefault="00504DFC">
      <w:pPr>
        <w:rPr>
          <w:szCs w:val="24"/>
        </w:rPr>
      </w:pPr>
    </w:p>
    <w:p w:rsidR="000B0D11" w:rsidRDefault="000B0D11" w:rsidP="000B0D11">
      <w:pPr>
        <w:rPr>
          <w:szCs w:val="24"/>
        </w:rPr>
      </w:pPr>
      <w:r>
        <w:rPr>
          <w:szCs w:val="24"/>
        </w:rPr>
        <w:t xml:space="preserve">In modern forestry, soils are chronically impacted yet very slow to recover leading to cumulative impacts. Cumulative soil impacts caused by all past and future projects (including </w:t>
      </w:r>
      <w:r w:rsidR="0018301C">
        <w:rPr>
          <w:szCs w:val="24"/>
        </w:rPr>
        <w:t xml:space="preserve">logging, </w:t>
      </w:r>
      <w:r>
        <w:rPr>
          <w:szCs w:val="24"/>
        </w:rPr>
        <w:t>livestock grazing, roads, landings, fuel treatments, OHVs</w:t>
      </w:r>
      <w:r w:rsidR="0018301C">
        <w:rPr>
          <w:szCs w:val="24"/>
        </w:rPr>
        <w:t>,</w:t>
      </w:r>
      <w:r>
        <w:rPr>
          <w:szCs w:val="24"/>
        </w:rPr>
        <w:t xml:space="preserve"> etc.) is </w:t>
      </w:r>
      <w:r w:rsidR="0018301C">
        <w:rPr>
          <w:szCs w:val="24"/>
        </w:rPr>
        <w:t xml:space="preserve">a </w:t>
      </w:r>
      <w:r>
        <w:rPr>
          <w:szCs w:val="24"/>
        </w:rPr>
        <w:t xml:space="preserve">significant issue. </w:t>
      </w:r>
    </w:p>
    <w:p w:rsidR="000B0D11" w:rsidRDefault="000B0D11" w:rsidP="000B0D11">
      <w:pPr>
        <w:rPr>
          <w:szCs w:val="24"/>
        </w:rPr>
      </w:pPr>
    </w:p>
    <w:p w:rsidR="000B0D11" w:rsidRDefault="000B0D11" w:rsidP="000B0D11">
      <w:r>
        <w:lastRenderedPageBreak/>
        <w:t xml:space="preserve">Trees share their sun-source sugars with a vast, diverse, and tightly coupled below-ground ecosystem. Killing trees across large areas deprives the soil organisms of their food supply, so many of them die. This die-off decouples the below-ground food network, and mobilizes nutrients that can emit carbon to the atmosphere and pollute streams. Cindy E. Prescott, Sue J. Grayston, 2023. TAMM review: Continuous root forestry—Living roots sustain the belowground ecosystem and soil carbon in managed forests, Forest Ecology and Management, Volume 532, 2023, 120848, ISSN 0378-1127,  </w:t>
      </w:r>
      <w:hyperlink r:id="rId174" w:history="1">
        <w:r w:rsidRPr="000F07E9">
          <w:rPr>
            <w:rStyle w:val="Hyperlink"/>
          </w:rPr>
          <w:t>https://doi.org/10.1016/j.foreco.2023.120848</w:t>
        </w:r>
      </w:hyperlink>
    </w:p>
    <w:p w:rsidR="00A072FA" w:rsidRDefault="00A072FA" w:rsidP="00BF5C62">
      <w:pPr>
        <w:rPr>
          <w:szCs w:val="24"/>
        </w:rPr>
      </w:pPr>
    </w:p>
    <w:p w:rsidR="000B0D11" w:rsidRPr="009D3AFD" w:rsidRDefault="009D3AFD" w:rsidP="009D3AFD">
      <w:pPr>
        <w:rPr>
          <w:szCs w:val="24"/>
        </w:rPr>
      </w:pPr>
      <w:r>
        <w:rPr>
          <w:szCs w:val="24"/>
        </w:rPr>
        <w:t>The Assessment raises some concerns about NFMA requirements for non-impairment of productivity, finding “</w:t>
      </w:r>
      <w:r w:rsidRPr="00F37B33">
        <w:rPr>
          <w:szCs w:val="24"/>
        </w:rPr>
        <w:t>Some types of detrimental soil disturbance, such as excessive soil erosion or soil displacement on soils highly susceptible to degradation will not recover</w:t>
      </w:r>
      <w:r>
        <w:rPr>
          <w:szCs w:val="24"/>
        </w:rPr>
        <w:t xml:space="preserve"> …” Logging and roads that cause irreversible impacts should be prohibited. </w:t>
      </w:r>
      <w:r w:rsidR="000B0D11">
        <w:t xml:space="preserve">The National Forest Management Act and its implementing regulations mandate soil protection. NFMA requires the Forest Service to “ensure that timber will be harvested from National Forest System lands only where—soil, slope, or other watershed conditions will not be irreversibly damaged.” </w:t>
      </w:r>
      <w:r w:rsidR="000B0D11">
        <w:rPr>
          <w:i/>
          <w:iCs/>
        </w:rPr>
        <w:t>16 U.S.C. § 1604 (g)(3)(E)</w:t>
      </w:r>
      <w:r w:rsidR="000B0D11">
        <w:t xml:space="preserve">.  </w:t>
      </w:r>
      <w:r w:rsidR="000B0D11">
        <w:rPr>
          <w:szCs w:val="24"/>
        </w:rPr>
        <w:t>According to the regional guidelines soils in 80% of an activity area must be maintained in a non-detrimental condition (i.e., non-compacted, non-displaced, non-burned, and non-puddled). Soils must be “maintained,” not “mitigated” or “restored” to attain that objective. The revised plans must not use mitigation as an excuse for violation of the regional soil guidelines.</w:t>
      </w:r>
    </w:p>
    <w:p w:rsidR="000B0D11" w:rsidRDefault="000B0D11" w:rsidP="000B0D11">
      <w:pPr>
        <w:pStyle w:val="BodyText2"/>
        <w:ind w:right="0"/>
        <w:rPr>
          <w:szCs w:val="24"/>
        </w:rPr>
      </w:pPr>
    </w:p>
    <w:p w:rsidR="000B0D11" w:rsidRDefault="00AE3943" w:rsidP="000B0D11">
      <w:pPr>
        <w:pStyle w:val="BodyText2"/>
        <w:ind w:right="0"/>
        <w:rPr>
          <w:szCs w:val="24"/>
        </w:rPr>
      </w:pPr>
      <w:r>
        <w:t>The Assessment needs to accurately disclose the real effects of logging on soils. As described in the Deschutes National Forest, Eyerly Fire DEIS, a typical dendritic system of yarding corridors can cause detrimental soil conditions across 14% of an activity area. Compaction from off-trail travel adds 5% detrimental conditions. Burning fuel piles adds 2% (just the piles, not including machine use).</w:t>
      </w:r>
      <w:r>
        <w:rPr>
          <w:rStyle w:val="FootnoteCharacters"/>
        </w:rPr>
        <w:footnoteReference w:id="2"/>
      </w:r>
      <w:r>
        <w:t xml:space="preserve"> All these cumulative soil impacts add up to OVER 21% detrimental soil conditions, and this is WITHOUT considering the road system, landings (which typically add 5%), and the machines often used to pile fuels, not to mention the effects of past logging. On top of this, t</w:t>
      </w:r>
      <w:r w:rsidR="000B0D11">
        <w:rPr>
          <w:szCs w:val="24"/>
        </w:rPr>
        <w:t xml:space="preserve">he Forest Service policy to ignore detrimental effects to soil areas less than 5 feet wide and less than 100 square feet is arbitrary and capricious. Under this senseless policy many small areas could add up to significant detrimental soil conditions, yet not trigger any management concern whatsoever. </w:t>
      </w:r>
      <w:r>
        <w:rPr>
          <w:szCs w:val="24"/>
        </w:rPr>
        <w:t>The plan revision needs to constrain logging and other activities to reduce impacts on soil, not relax standards to allow more logging using more damaging effects in more sensitive areas, such as steep slopes.</w:t>
      </w:r>
    </w:p>
    <w:p w:rsidR="000B0D11" w:rsidRDefault="000B0D11" w:rsidP="000B0D11">
      <w:pPr>
        <w:pStyle w:val="BodyText"/>
        <w:rPr>
          <w:szCs w:val="24"/>
        </w:rPr>
      </w:pPr>
    </w:p>
    <w:p w:rsidR="000B0D11" w:rsidRDefault="000B0D11" w:rsidP="000B0D11">
      <w:pPr>
        <w:pStyle w:val="BodyText"/>
        <w:rPr>
          <w:szCs w:val="24"/>
        </w:rPr>
      </w:pPr>
      <w:r>
        <w:rPr>
          <w:szCs w:val="24"/>
        </w:rPr>
        <w:t>Scarification, ripping, and subsoiling does not alleviate the following negative impacts, leaving many ecosystem services impaired, and is therefore not effective mitigation:</w:t>
      </w:r>
    </w:p>
    <w:p w:rsidR="000B0D11" w:rsidRDefault="000B0D11" w:rsidP="000B0D11">
      <w:pPr>
        <w:pStyle w:val="BodyText"/>
        <w:numPr>
          <w:ilvl w:val="0"/>
          <w:numId w:val="3"/>
        </w:numPr>
        <w:rPr>
          <w:szCs w:val="24"/>
        </w:rPr>
      </w:pPr>
      <w:r>
        <w:rPr>
          <w:szCs w:val="24"/>
        </w:rPr>
        <w:t>compaction of soil and alteration of the soil ecosystem;</w:t>
      </w:r>
    </w:p>
    <w:p w:rsidR="000B0D11" w:rsidRDefault="000B0D11" w:rsidP="000B0D11">
      <w:pPr>
        <w:pStyle w:val="BodyText"/>
        <w:numPr>
          <w:ilvl w:val="0"/>
          <w:numId w:val="3"/>
        </w:numPr>
        <w:rPr>
          <w:szCs w:val="24"/>
        </w:rPr>
      </w:pPr>
      <w:r>
        <w:rPr>
          <w:szCs w:val="24"/>
        </w:rPr>
        <w:t>alteration of hydrology, water storage, flow, timing, from soil compaction;</w:t>
      </w:r>
    </w:p>
    <w:p w:rsidR="000B0D11" w:rsidRDefault="000B0D11" w:rsidP="000B0D11">
      <w:pPr>
        <w:pStyle w:val="BodyText"/>
        <w:numPr>
          <w:ilvl w:val="0"/>
          <w:numId w:val="3"/>
        </w:numPr>
        <w:rPr>
          <w:szCs w:val="24"/>
        </w:rPr>
      </w:pPr>
      <w:r>
        <w:rPr>
          <w:szCs w:val="24"/>
        </w:rPr>
        <w:t>alteration or loss of native plant communities, and tendency to create conditions which favor noxious weeds or other non-native plants;</w:t>
      </w:r>
    </w:p>
    <w:p w:rsidR="000B0D11" w:rsidRDefault="000B0D11" w:rsidP="000B0D11">
      <w:pPr>
        <w:pStyle w:val="BodyText"/>
        <w:numPr>
          <w:ilvl w:val="0"/>
          <w:numId w:val="3"/>
        </w:numPr>
        <w:rPr>
          <w:szCs w:val="24"/>
        </w:rPr>
      </w:pPr>
      <w:r>
        <w:rPr>
          <w:szCs w:val="24"/>
        </w:rPr>
        <w:t xml:space="preserve">disruption of soil foodweb and biotic communities that serve important soil functions and processes such as aeration, nutrient cycling, </w:t>
      </w:r>
    </w:p>
    <w:p w:rsidR="000B0D11" w:rsidRDefault="000B0D11" w:rsidP="000B0D11">
      <w:pPr>
        <w:pStyle w:val="BodyText"/>
        <w:rPr>
          <w:szCs w:val="24"/>
        </w:rPr>
      </w:pPr>
    </w:p>
    <w:p w:rsidR="000B0D11" w:rsidRDefault="000B0D11" w:rsidP="000C4D38">
      <w:pPr>
        <w:pStyle w:val="BodyText"/>
        <w:rPr>
          <w:szCs w:val="24"/>
        </w:rPr>
      </w:pPr>
      <w:r>
        <w:rPr>
          <w:szCs w:val="24"/>
        </w:rPr>
        <w:t>Ripping and tilling can in fact increase the risk of soil movement, so ripping and tilling are not really mitigation, so in many cases it’s just another cumulative harm to the soil resource.</w:t>
      </w:r>
    </w:p>
    <w:p w:rsidR="00F94A68" w:rsidRPr="00782EBF" w:rsidRDefault="00AA2EFE" w:rsidP="00782EBF">
      <w:pPr>
        <w:pStyle w:val="Heading2"/>
      </w:pPr>
      <w:bookmarkStart w:id="15" w:name="_Toc167784206"/>
      <w:r>
        <w:t xml:space="preserve">Livestock </w:t>
      </w:r>
      <w:r w:rsidR="00F94A68" w:rsidRPr="00782EBF">
        <w:t>Grazing</w:t>
      </w:r>
      <w:bookmarkEnd w:id="15"/>
    </w:p>
    <w:p w:rsidR="006227A0" w:rsidRDefault="00AA2EFE" w:rsidP="006227A0">
      <w:pPr>
        <w:pStyle w:val="BodyText"/>
        <w:rPr>
          <w:rFonts w:asciiTheme="minorHAnsi" w:hAnsiTheme="minorHAnsi"/>
          <w:sz w:val="22"/>
          <w:szCs w:val="22"/>
          <w:lang w:val="en"/>
        </w:rPr>
      </w:pPr>
      <w:r>
        <w:rPr>
          <w:rFonts w:asciiTheme="minorHAnsi" w:hAnsiTheme="minorHAnsi"/>
        </w:rPr>
        <w:t xml:space="preserve">The assessment should do more to describe the </w:t>
      </w:r>
      <w:r w:rsidR="00C14E41">
        <w:rPr>
          <w:rFonts w:asciiTheme="minorHAnsi" w:hAnsiTheme="minorHAnsi"/>
        </w:rPr>
        <w:t xml:space="preserve">enhanced ecosystem services in areas that are not grazed and the </w:t>
      </w:r>
      <w:r>
        <w:rPr>
          <w:rFonts w:asciiTheme="minorHAnsi" w:hAnsiTheme="minorHAnsi"/>
        </w:rPr>
        <w:t xml:space="preserve">adverse effects of livestock grazing and  identify a </w:t>
      </w:r>
      <w:r w:rsidR="006227A0" w:rsidRPr="006227A0">
        <w:rPr>
          <w:rFonts w:asciiTheme="minorHAnsi" w:hAnsiTheme="minorHAnsi"/>
        </w:rPr>
        <w:t>list of priority allotments with sensitive wildlife species and extensive damage</w:t>
      </w:r>
      <w:r>
        <w:rPr>
          <w:rFonts w:asciiTheme="minorHAnsi" w:hAnsiTheme="minorHAnsi"/>
        </w:rPr>
        <w:t xml:space="preserve"> to aquatic, riparian, meadow ecosystems.</w:t>
      </w:r>
    </w:p>
    <w:p w:rsidR="006227A0" w:rsidRDefault="006227A0" w:rsidP="006227A0">
      <w:pPr>
        <w:pStyle w:val="BodyText"/>
        <w:rPr>
          <w:rFonts w:asciiTheme="minorHAnsi" w:hAnsiTheme="minorHAnsi"/>
          <w:sz w:val="22"/>
          <w:szCs w:val="22"/>
          <w:lang w:val="en"/>
        </w:rPr>
      </w:pPr>
    </w:p>
    <w:p w:rsidR="006227A0" w:rsidRDefault="006227A0" w:rsidP="006227A0">
      <w:pPr>
        <w:pStyle w:val="BodyText"/>
        <w:rPr>
          <w:rFonts w:asciiTheme="minorHAnsi" w:hAnsiTheme="minorHAnsi"/>
          <w:sz w:val="22"/>
          <w:szCs w:val="22"/>
        </w:rPr>
      </w:pPr>
      <w:r w:rsidRPr="006227A0">
        <w:rPr>
          <w:rFonts w:asciiTheme="minorHAnsi" w:hAnsiTheme="minorHAnsi"/>
          <w:sz w:val="22"/>
          <w:szCs w:val="22"/>
        </w:rPr>
        <w:t>Detailed grazing Suitability, Capability, and Carrying Capacity Analyses should be</w:t>
      </w:r>
      <w:r w:rsidR="00AA2EFE">
        <w:rPr>
          <w:rFonts w:asciiTheme="minorHAnsi" w:hAnsiTheme="minorHAnsi"/>
          <w:sz w:val="22"/>
          <w:szCs w:val="22"/>
        </w:rPr>
        <w:t xml:space="preserve"> </w:t>
      </w:r>
      <w:r w:rsidRPr="006227A0">
        <w:rPr>
          <w:rFonts w:asciiTheme="minorHAnsi" w:hAnsiTheme="minorHAnsi"/>
          <w:sz w:val="22"/>
          <w:szCs w:val="22"/>
        </w:rPr>
        <w:t>carried out at the Forest Plan level to determine where, when, and how grazing is</w:t>
      </w:r>
      <w:r w:rsidR="00AA2EFE">
        <w:rPr>
          <w:rFonts w:asciiTheme="minorHAnsi" w:hAnsiTheme="minorHAnsi"/>
          <w:sz w:val="22"/>
          <w:szCs w:val="22"/>
        </w:rPr>
        <w:t xml:space="preserve"> </w:t>
      </w:r>
      <w:r w:rsidRPr="006227A0">
        <w:rPr>
          <w:rFonts w:asciiTheme="minorHAnsi" w:hAnsiTheme="minorHAnsi"/>
          <w:sz w:val="22"/>
          <w:szCs w:val="22"/>
        </w:rPr>
        <w:t xml:space="preserve">conducted. </w:t>
      </w:r>
      <w:r w:rsidR="00122F87">
        <w:rPr>
          <w:rFonts w:asciiTheme="minorHAnsi" w:hAnsiTheme="minorHAnsi"/>
          <w:sz w:val="22"/>
          <w:szCs w:val="22"/>
        </w:rPr>
        <w:t xml:space="preserve">The Forest Service needs to prepare a credible </w:t>
      </w:r>
      <w:r w:rsidR="00122F87">
        <w:rPr>
          <w:szCs w:val="24"/>
        </w:rPr>
        <w:t xml:space="preserve">grazing suitability analysis based on economic and environmental considerations as required by NFMA. Heiken D., 1995. RIGHT PLACE -- WRONG ANIMAL: Determining Grazing Suitability Based on Desired Ecosystem Outcomes for the Interior Columbia River Basin. Association of Forest Service Employees for Environmental Ethics. May 1995. </w:t>
      </w:r>
      <w:hyperlink r:id="rId175" w:history="1">
        <w:r w:rsidR="00122F87" w:rsidRPr="00F46137">
          <w:rPr>
            <w:rStyle w:val="Hyperlink"/>
            <w:szCs w:val="24"/>
          </w:rPr>
          <w:t>https://www.dropbox.com/s/ucw50hhs8xsiz2k/AFSEEE%20Grazing%20Suitability%20Report.doc?dl=0</w:t>
        </w:r>
      </w:hyperlink>
    </w:p>
    <w:p w:rsidR="00AA2EFE" w:rsidRDefault="00AA2EFE" w:rsidP="006227A0">
      <w:pPr>
        <w:pStyle w:val="BodyText"/>
        <w:rPr>
          <w:rFonts w:asciiTheme="minorHAnsi" w:hAnsiTheme="minorHAnsi"/>
          <w:sz w:val="22"/>
          <w:szCs w:val="22"/>
        </w:rPr>
      </w:pPr>
    </w:p>
    <w:p w:rsidR="00A60D10" w:rsidRDefault="00A60D10" w:rsidP="00A60D10">
      <w:r>
        <w:t>The Forest Service Organic Act establishes a duty to secure and maintain “favorable conditions of water flow.” This should mean stable stream banks, cool shaded streams, no loss of soil water holding capacity via erosion or compaction, high instream flows, connection of streams to floodplains, large wood instream, etc. Grazing will often degrade these favorable water conditions. The agency has a duty to fix it, by removing lives</w:t>
      </w:r>
      <w:r w:rsidR="00C61A85">
        <w:t xml:space="preserve">tock if necessary. </w:t>
      </w:r>
    </w:p>
    <w:p w:rsidR="00A60D10" w:rsidRDefault="00A60D10" w:rsidP="00A60D10"/>
    <w:p w:rsidR="00A60D10" w:rsidRDefault="00A60D10" w:rsidP="00A60D10">
      <w:r w:rsidRPr="000518E0">
        <w:t xml:space="preserve">A number of studies conclude that attempts to lure livestock to uplands and away from riparian areas generally fail to do so given livestock’s preference for moist, shady areas. See L.D. Bryant, Response of Livestock to Riparian Zone Exclusion, Journal of Range Management, Vol. 35, No. 6 (Nov. 1982), pp. 780-785 (concluding that “Neither salt placement nor alternate water location away from the riparian zone influenced livestock distribution appreciably.”). See also J. Carter et al. Upland Water and Deferred Rotation Effects on Cattle Use in Riparian and Upland Areas, Rangelands, Vol. 39 (2017), 112, 117 (concluding, based on a four year study of an allotment in Utah that “Upland water developments and supplements do not overcome the propensity of cattle to linger in riparian areas, resulting in overgrazing and stream damage, and therefore do not lead to recovery of these damaged systems.”); R.L. Gillen, Cattle Distribution on Mountain Rangeland in Northeastern Oregon, Journal Of Range Management 37(6), November 1964, pp. 549-53 (“Water distribution was not correlated with grazing patterns in uplan[d] plant communities.”). </w:t>
      </w:r>
    </w:p>
    <w:p w:rsidR="00A60D10" w:rsidRDefault="00A60D10" w:rsidP="00A60D10"/>
    <w:p w:rsidR="00A60D10" w:rsidRDefault="00A60D10" w:rsidP="00A60D10">
      <w:r>
        <w:t xml:space="preserve">The agency needs to plan for large storms, especially in light of climate change that will amplify the hydrologic cycle. Dense deeply rooted vegetation is needed to hold stream banks together during floods and high water events. Grazing tends to degrade the vigor of stream side vegetation and significantly increase the risk of bank damager during storms. </w:t>
      </w:r>
    </w:p>
    <w:p w:rsidR="00A60D10" w:rsidRDefault="00A60D10" w:rsidP="00A60D10"/>
    <w:p w:rsidR="00A60D10" w:rsidRDefault="00A60D10" w:rsidP="00A60D10">
      <w:r>
        <w:lastRenderedPageBreak/>
        <w:t>Storm flows should interact with floodplains and help store water on the floodplain, not send water downstream where it will cause even more erosion and damage.</w:t>
      </w:r>
    </w:p>
    <w:p w:rsidR="00A60D10" w:rsidRPr="00E46468" w:rsidRDefault="00A60D10" w:rsidP="00A60D10">
      <w:pPr>
        <w:rPr>
          <w:rFonts w:eastAsia="Times New Roman" w:cs="Times New Roman"/>
          <w:color w:val="000000"/>
          <w:szCs w:val="24"/>
        </w:rPr>
      </w:pPr>
    </w:p>
    <w:p w:rsidR="00A60D10" w:rsidRPr="00E46468" w:rsidRDefault="00A60D10" w:rsidP="00A60D10">
      <w:pPr>
        <w:rPr>
          <w:rFonts w:eastAsia="Times New Roman" w:cs="Times New Roman"/>
          <w:color w:val="000000"/>
          <w:szCs w:val="24"/>
        </w:rPr>
      </w:pPr>
      <w:r w:rsidRPr="00E46468">
        <w:rPr>
          <w:rFonts w:eastAsia="Times New Roman" w:cs="Times New Roman"/>
          <w:color w:val="000000"/>
          <w:szCs w:val="24"/>
        </w:rPr>
        <w:t>OAR 340-041-0011 Biocriteria says "Waters of the State must be of sufficient quality to support aquatic species without detrimental changes in the resident biological communities." Livestock grazing causes a variety of adverse effects on stream functions that support biological communities, including excess nutrient loads, increased stream temperature, bank erosion and sedimentation, lack of vegetation cover, lack of dead wood, etc.</w:t>
      </w:r>
    </w:p>
    <w:p w:rsidR="00A60D10" w:rsidRDefault="00A60D10" w:rsidP="00A60D10">
      <w:pPr>
        <w:pStyle w:val="BodyText"/>
        <w:rPr>
          <w:rFonts w:ascii="Times New Roman" w:eastAsia="Times New Roman" w:hAnsi="Times New Roman" w:cs="Times New Roman"/>
          <w:color w:val="000000"/>
          <w:szCs w:val="24"/>
        </w:rPr>
      </w:pPr>
    </w:p>
    <w:p w:rsidR="00A60D10" w:rsidRDefault="00A60D10" w:rsidP="00A60D10">
      <w:pPr>
        <w:pStyle w:val="BodyText"/>
        <w:rPr>
          <w:rFonts w:asciiTheme="minorHAnsi" w:hAnsiTheme="minorHAnsi"/>
          <w:sz w:val="22"/>
          <w:szCs w:val="22"/>
        </w:rPr>
      </w:pPr>
      <w:r>
        <w:rPr>
          <w:rFonts w:ascii="Times New Roman" w:eastAsia="Times New Roman" w:hAnsi="Times New Roman" w:cs="Times New Roman"/>
          <w:color w:val="000000"/>
          <w:szCs w:val="24"/>
        </w:rPr>
        <w:t xml:space="preserve">The adverse </w:t>
      </w:r>
      <w:r w:rsidRPr="004A6143">
        <w:rPr>
          <w:rFonts w:ascii="Times New Roman" w:eastAsia="Times New Roman" w:hAnsi="Times New Roman" w:cs="Times New Roman"/>
          <w:color w:val="000000"/>
          <w:szCs w:val="24"/>
        </w:rPr>
        <w:t xml:space="preserve">effects </w:t>
      </w:r>
      <w:r>
        <w:rPr>
          <w:rFonts w:ascii="Times New Roman" w:eastAsia="Times New Roman" w:hAnsi="Times New Roman" w:cs="Times New Roman"/>
          <w:color w:val="000000"/>
          <w:szCs w:val="24"/>
        </w:rPr>
        <w:t xml:space="preserve">of grazing </w:t>
      </w:r>
      <w:r w:rsidRPr="004A6143">
        <w:rPr>
          <w:rFonts w:ascii="Times New Roman" w:eastAsia="Times New Roman" w:hAnsi="Times New Roman" w:cs="Times New Roman"/>
          <w:color w:val="000000"/>
          <w:szCs w:val="24"/>
        </w:rPr>
        <w:t>are inconsistent with the biocrite</w:t>
      </w:r>
      <w:r>
        <w:rPr>
          <w:rFonts w:ascii="Times New Roman" w:eastAsia="Times New Roman" w:hAnsi="Times New Roman" w:cs="Times New Roman"/>
          <w:color w:val="000000"/>
          <w:szCs w:val="24"/>
        </w:rPr>
        <w:t>r</w:t>
      </w:r>
      <w:r w:rsidRPr="004A6143">
        <w:rPr>
          <w:rFonts w:ascii="Times New Roman" w:eastAsia="Times New Roman" w:hAnsi="Times New Roman" w:cs="Times New Roman"/>
          <w:color w:val="000000"/>
          <w:szCs w:val="24"/>
        </w:rPr>
        <w:t>ia</w:t>
      </w:r>
      <w:r>
        <w:rPr>
          <w:rFonts w:ascii="Times New Roman" w:eastAsia="Times New Roman" w:hAnsi="Times New Roman" w:cs="Times New Roman"/>
          <w:color w:val="000000"/>
          <w:szCs w:val="24"/>
        </w:rPr>
        <w:t xml:space="preserve"> and federal land managers have a duty under the Clean Water Act to prevent these adverse effects</w:t>
      </w:r>
      <w:r w:rsidRPr="004A6143">
        <w:rPr>
          <w:rFonts w:ascii="Times New Roman" w:eastAsia="Times New Roman" w:hAnsi="Times New Roman" w:cs="Times New Roman"/>
          <w:color w:val="000000"/>
          <w:szCs w:val="24"/>
        </w:rPr>
        <w:t xml:space="preserve">. Any proposal to </w:t>
      </w:r>
      <w:r>
        <w:rPr>
          <w:rFonts w:ascii="Times New Roman" w:eastAsia="Times New Roman" w:hAnsi="Times New Roman" w:cs="Times New Roman"/>
          <w:color w:val="000000"/>
          <w:szCs w:val="24"/>
        </w:rPr>
        <w:t xml:space="preserve">allow grazing in </w:t>
      </w:r>
      <w:r w:rsidRPr="004A6143">
        <w:rPr>
          <w:rFonts w:ascii="Times New Roman" w:eastAsia="Times New Roman" w:hAnsi="Times New Roman" w:cs="Times New Roman"/>
          <w:color w:val="000000"/>
          <w:szCs w:val="24"/>
        </w:rPr>
        <w:t xml:space="preserve">streamside areas must address these factors, develop clear goals, </w:t>
      </w:r>
      <w:r>
        <w:rPr>
          <w:rFonts w:ascii="Times New Roman" w:eastAsia="Times New Roman" w:hAnsi="Times New Roman" w:cs="Times New Roman"/>
          <w:color w:val="000000"/>
          <w:szCs w:val="24"/>
        </w:rPr>
        <w:t xml:space="preserve">and </w:t>
      </w:r>
      <w:r w:rsidRPr="004A6143">
        <w:rPr>
          <w:rFonts w:ascii="Times New Roman" w:eastAsia="Times New Roman" w:hAnsi="Times New Roman" w:cs="Times New Roman"/>
          <w:color w:val="000000"/>
          <w:szCs w:val="24"/>
        </w:rPr>
        <w:t>provide clear linkages between proposed actions and desired ou</w:t>
      </w:r>
      <w:r>
        <w:rPr>
          <w:rFonts w:ascii="Times New Roman" w:eastAsia="Times New Roman" w:hAnsi="Times New Roman" w:cs="Times New Roman"/>
          <w:color w:val="000000"/>
          <w:szCs w:val="24"/>
        </w:rPr>
        <w:t>tcomes. </w:t>
      </w:r>
    </w:p>
    <w:p w:rsidR="00C14E41" w:rsidRDefault="00AA2EFE" w:rsidP="00AA2EFE">
      <w:pPr>
        <w:rPr>
          <w:szCs w:val="24"/>
        </w:rPr>
      </w:pPr>
      <w:r>
        <w:t xml:space="preserve">Livestock grazing has a direct influence on the vegetation structure. The agency must analyze the effect of past and future grazing which will tend to reduce palatable fine fuels like grasses and shift the plant community toward less palatable shrubs and trees which are more hazardous as ladder fuels. Livestock grazing probably contributed to the development of plant communities where grass and forbs are underrepresented and small conifers are over-represented. </w:t>
      </w:r>
      <w:r>
        <w:rPr>
          <w:szCs w:val="24"/>
        </w:rPr>
        <w:t xml:space="preserve">Grazing reduces the density and vigor of grasses which usually outcompete tree seedlings, leading to dense stands of fire-prone small trees. Cows also decrease the abundance of fine fuels which are necessary to carry periodic, low intensity surface fires. This reduces the frequency of fires, but increases their severity. See Belsky, A.J., Blumenthal, D.M., “Effects of Livestock Grazing on Stand Dynamics and Soils in Upland Forest of the Interior West,” Conservation Biology, 11(2), April 1997. </w:t>
      </w:r>
      <w:hyperlink r:id="rId176" w:history="1">
        <w:r>
          <w:rPr>
            <w:rStyle w:val="Hyperlink"/>
            <w:szCs w:val="24"/>
          </w:rPr>
          <w:t>http://web.archive.org/web/20030409094020/http://www.onda.org/library/papers/standdynamics.pdf</w:t>
        </w:r>
      </w:hyperlink>
      <w:r>
        <w:rPr>
          <w:szCs w:val="24"/>
        </w:rPr>
        <w:t xml:space="preserve">. See also Wuerthner, George. Livestock Grazing and Fire. January, 2003. </w:t>
      </w:r>
      <w:hyperlink r:id="rId177" w:history="1">
        <w:r>
          <w:rPr>
            <w:rStyle w:val="Hyperlink"/>
            <w:szCs w:val="24"/>
          </w:rPr>
          <w:t>http://web.archive.org/web/20040107135236/http://www.onda.org/library/papers/Livestock_Grazing_and_Fire.pdf</w:t>
        </w:r>
      </w:hyperlink>
      <w:r>
        <w:rPr>
          <w:szCs w:val="24"/>
        </w:rPr>
        <w:t>.</w:t>
      </w:r>
    </w:p>
    <w:p w:rsidR="00C14E41" w:rsidRDefault="00C14E41" w:rsidP="00AA2EFE"/>
    <w:p w:rsidR="00C14E41" w:rsidRDefault="00C14E41" w:rsidP="00C14E41">
      <w:pPr>
        <w:suppressAutoHyphens/>
        <w:spacing w:after="120" w:line="240" w:lineRule="auto"/>
        <w:rPr>
          <w:rFonts w:cs="MS Mincho"/>
          <w:szCs w:val="24"/>
        </w:rPr>
      </w:pPr>
      <w:r>
        <w:t xml:space="preserve">Consider and avoid the effects of livestock grazing on the fire regime. Livestock grazing shifts the plant community composition from palatable grasses and forbs toward unpalatable conifers. This is contrary to current policy goals related to forest which urge us to avoid creating more ladder fuels. Livestock decrease the abundance of fine fuels which are necessary to carry periodic, low intensity surface fires. This reduces the frequency of fires, but increases their severity. See Kirsten Stade, MS, and Mark Salvo, JD. 2009. Ponderosa Pine in Peril: Assessing Public Lands Livestock Grazing in Ponderosa Pine Forests. Wild Earth Guardians. </w:t>
      </w:r>
      <w:hyperlink r:id="rId178" w:history="1">
        <w:r>
          <w:rPr>
            <w:rStyle w:val="Hyperlink"/>
          </w:rPr>
          <w:t>http://www.wildearthguardians.org/Portals/0/support_docs/report-ponderosa-pine-08-09.pdf</w:t>
        </w:r>
      </w:hyperlink>
      <w:r>
        <w:t>; Belsky, A.J., Blumenthal, D.M., “Effects of Livestock Grazing on Stand Dynamics and Soils in Upland Forest of the Interior West,” Conservation Biology, 11(2), April 1997.</w:t>
      </w:r>
      <w:r>
        <w:rPr>
          <w:szCs w:val="24"/>
        </w:rPr>
        <w:t xml:space="preserve"> </w:t>
      </w:r>
      <w:hyperlink r:id="rId179" w:anchor="_blank" w:history="1">
        <w:r>
          <w:rPr>
            <w:rStyle w:val="Hyperlink"/>
            <w:color w:val="1155CC"/>
            <w:szCs w:val="24"/>
          </w:rPr>
          <w:t>http://web.archive.org/web/20030409094020/http://www.onda.org/library/papers/standdynamics.pdf</w:t>
        </w:r>
      </w:hyperlink>
      <w:r>
        <w:rPr>
          <w:szCs w:val="24"/>
        </w:rPr>
        <w:t>.</w:t>
      </w:r>
      <w:r>
        <w:t xml:space="preserve"> See also Wuerthner, George. Livestock Grazing and Fire. January, 2003. </w:t>
      </w:r>
      <w:hyperlink r:id="rId180" w:history="1">
        <w:r>
          <w:rPr>
            <w:rStyle w:val="Hyperlink"/>
          </w:rPr>
          <w:t>http://web.archive.org/web/20040107135236/http://www.onda.org/library/papers/Livestock_Grazing_and_Fire.pdf</w:t>
        </w:r>
      </w:hyperlink>
      <w:r>
        <w:t xml:space="preserve">; and Michael H. Madany, and Niel E. West. Livestock Grazing-Fire Regime Interactions within Montane Forests of Zion National Park, Utah. Ecology: Vol. 64, No. 4, pp. 661-667. Comparing grazed and ungrazed areas of Zion National Park this study found “… the increased understory density of plateau stands should not be attributed primarily to </w:t>
      </w:r>
      <w:r>
        <w:lastRenderedPageBreak/>
        <w:t>cessation of fires. Instead, heavy grazing by livestock and associated reduction of the herbaceous groundlayer promoted the establishment of less palatable tree and shrub seedlings…”</w:t>
      </w:r>
    </w:p>
    <w:p w:rsidR="00C14E41" w:rsidRDefault="00C14E41"/>
    <w:p w:rsidR="00AA2EFE" w:rsidRDefault="00AA2EFE" w:rsidP="00AA2EFE">
      <w:r>
        <w:t>Further evidence of the adverse forest health effects of livestock are presented in Madany et al (1983):</w:t>
      </w:r>
    </w:p>
    <w:p w:rsidR="00AA2EFE" w:rsidRDefault="00AA2EFE" w:rsidP="00AA2EFE">
      <w:pPr>
        <w:ind w:left="720"/>
      </w:pPr>
      <w:r>
        <w:t>Abstract. Major differences were found between the vegetation structure of ponderosa pine-dominated communities on the Horse Pasture Plateau and those on the nearby but isolated Church and Greatheart Mesas in Zion National Park. The Horse Pasture Plateau was heavily grazed by livestock in the late 19th and early 20th centuries, while the mesas were never grazed. Conditions on the mesas now approximate the pre-European situation of the region as described in the earliest written accounts. Pine, oak, and juniper sapling density and cover were much higher on the formerly grazed plateau than on the relict mesas. Herbaceous species dominated the groundlayer in mesa ponderosa pine savanna stands, while grass and forb cover was low on analogous sites of the plateau. Age-class distributions of major tree species further substantiated that major physiognomic changes have occurred on the plateau since the arrival of European man. Analysis of fire scars showed that prior to 1881, the mean fire-free interval for ponderosa pine stands on the plateau was 4 to 7 yr, while the interval for Church Mesa was 69 yr. Since there were no recorded fires on Church Mesa between 1892 and 1964, and yet no corresponding increase in sapling density, the increased understory density of plateau stands should not be attributed primarily to cessation of fires. Instead, heavy grazing by livestock and associated reduction of the herbaceous groundlayer promoted the establishment of less palatable tree and shrub seedlings, Fire, however, played an important secondary role in maintaining savanna and woodland communities.</w:t>
      </w:r>
    </w:p>
    <w:p w:rsidR="00AA2EFE" w:rsidRDefault="00AA2EFE" w:rsidP="00AA2EFE">
      <w:r>
        <w:t>Michael H. Madany, and Niel E. West. 1983. Livestock Grazing-Fire Regime Interactions within Montane Forests of Zion National Park, Utah. Ecology: Vol. 64, No. 4, pp. 661-667.</w:t>
      </w:r>
    </w:p>
    <w:p w:rsidR="00AA2EFE" w:rsidRDefault="00AA2EFE" w:rsidP="00AA2EFE">
      <w:pPr>
        <w:pStyle w:val="HTMLPreformatted"/>
        <w:rPr>
          <w:rFonts w:ascii="Times New Roman" w:hAnsi="Times New Roman" w:cs="Times New Roman"/>
          <w:sz w:val="24"/>
          <w:szCs w:val="24"/>
        </w:rPr>
      </w:pPr>
    </w:p>
    <w:p w:rsidR="00122F87" w:rsidRDefault="00AA2EFE" w:rsidP="00C61A85">
      <w:pPr>
        <w:pStyle w:val="HTMLPreformatted"/>
        <w:rPr>
          <w:rFonts w:ascii="Times New Roman" w:hAnsi="Times New Roman" w:cs="Times New Roman"/>
          <w:sz w:val="24"/>
          <w:szCs w:val="24"/>
        </w:rPr>
      </w:pPr>
      <w:r>
        <w:rPr>
          <w:rFonts w:ascii="Times New Roman" w:hAnsi="Times New Roman" w:cs="Times New Roman"/>
          <w:sz w:val="24"/>
          <w:szCs w:val="24"/>
        </w:rPr>
        <w:t>Grazing is also known to have significant adverse impacts on ground nesting birds. Cattle Grazing in a National Forest Greatly Reduces Nesting Success in a Ground-nesting Sparrow. Glenn E. Walsberg. The Condor. Volume 107, No. 3. August, 2005.</w:t>
      </w:r>
    </w:p>
    <w:p w:rsidR="00122F87" w:rsidRDefault="00122F87" w:rsidP="00C61A85">
      <w:pPr>
        <w:pStyle w:val="HTMLPreformatted"/>
      </w:pPr>
    </w:p>
    <w:p w:rsidR="00122F87" w:rsidRDefault="00122F87" w:rsidP="00C61A85">
      <w:pPr>
        <w:suppressAutoHyphens/>
        <w:spacing w:line="240" w:lineRule="auto"/>
        <w:rPr>
          <w:szCs w:val="24"/>
        </w:rPr>
      </w:pPr>
      <w:r>
        <w:rPr>
          <w:szCs w:val="24"/>
        </w:rPr>
        <w:t xml:space="preserve">Climate change is a new and added stress on native ecosystems. Climate change is expected to increase winter storms, summer droughts, reduce snowpack and summer streamflows, and cause earlier spring snowmelt and run-off. This adds stress to plants, animals, and streams that are also stressed by grazing. To avoid cumulative impacts from the combination of climate stress and anthropogenic stresses such as grazing, the agency needs to reduce anthropogenic stress from livestock grazing. Here are a few concrete examples. First, livestock trample and destabilize streambanks and expose streambanks to erosion. Such streambanks are vulnerable to erosion during peak flows. Climate change is expected to bring bigger precipitation events which will increase the erosive power of peak flows resulting in adverse cumulative interactions between climate change and grazing. Second, plants are stressed by summer dry periods which limits their ability to set seed, set buds, and store nutrients in woody parts and roots. These life functions are directly related to their survival. Climate change is expected increase the intensity and duration of summer droughts resulting in another adverse cumulative interaction between grazing and climate change. In order to help ecosystems cope with climate stress, the agency should reduce or eliminate anthropogenic stresses such as livestock grazing. In the absence of livestock grazing streambanks will be better protected by plant roots and plants will be able to </w:t>
      </w:r>
      <w:r>
        <w:rPr>
          <w:szCs w:val="24"/>
        </w:rPr>
        <w:lastRenderedPageBreak/>
        <w:t>store more energy reserves which will help them be more resistant and resilient in the face of climate change.</w:t>
      </w:r>
    </w:p>
    <w:p w:rsidR="00C14E41" w:rsidRDefault="00C14E41" w:rsidP="00C61A85">
      <w:pPr>
        <w:suppressAutoHyphens/>
        <w:spacing w:line="240" w:lineRule="auto"/>
        <w:rPr>
          <w:szCs w:val="24"/>
        </w:rPr>
      </w:pPr>
      <w:r w:rsidRPr="005A28F1">
        <w:rPr>
          <w:szCs w:val="24"/>
        </w:rPr>
        <w:t xml:space="preserve">Consider and minimize adverse impacts </w:t>
      </w:r>
      <w:r>
        <w:rPr>
          <w:szCs w:val="24"/>
        </w:rPr>
        <w:t xml:space="preserve">of livestock grazing </w:t>
      </w:r>
      <w:r w:rsidRPr="005A28F1">
        <w:rPr>
          <w:szCs w:val="24"/>
        </w:rPr>
        <w:t>on pollinators. On June 20, 2014, the White House released a “Presidential Memorandum—Creating a Federal Strategy To Promote the Health of Honey Bees and Other Pollinators.”</w:t>
      </w:r>
      <w:r>
        <w:rPr>
          <w:szCs w:val="24"/>
        </w:rPr>
        <w:t xml:space="preserve"> </w:t>
      </w:r>
      <w:hyperlink r:id="rId181" w:history="1">
        <w:r w:rsidRPr="007A30D5">
          <w:rPr>
            <w:rStyle w:val="Hyperlink"/>
            <w:szCs w:val="24"/>
          </w:rPr>
          <w:t>https://www.fs.fed.us/wildflowers/pollinators/documents/PresMemoJune2014/PresidentialMemo-PromoteHealthPollinators.pdf</w:t>
        </w:r>
      </w:hyperlink>
      <w:r>
        <w:rPr>
          <w:szCs w:val="24"/>
        </w:rPr>
        <w:t xml:space="preserve">, which </w:t>
      </w:r>
      <w:r w:rsidRPr="005A28F1">
        <w:rPr>
          <w:szCs w:val="24"/>
        </w:rPr>
        <w:t>states “Over the past few decades, there has been a significant loss of pollinators, including honey bees, native bees, birds, bats, and butterflies, from the environment. The problem is serious and requires immediate attention to ensure the sustainability of our food production systems, avoid additional economic impact on the agricultural sector, and protect the health of the environment. … Given the breadth, severity, and persistence of pollinator losses, it is critical to expand Federal efforts and take new steps to reverse pollinator losses and help restore populations to healthy levels.” Further, Sec</w:t>
      </w:r>
      <w:r>
        <w:rPr>
          <w:szCs w:val="24"/>
        </w:rPr>
        <w:t>tion</w:t>
      </w:r>
      <w:r w:rsidRPr="005A28F1">
        <w:rPr>
          <w:szCs w:val="24"/>
        </w:rPr>
        <w:t xml:space="preserve"> 3</w:t>
      </w:r>
      <w:r>
        <w:rPr>
          <w:szCs w:val="24"/>
        </w:rPr>
        <w:t xml:space="preserve"> calls for</w:t>
      </w:r>
      <w:r w:rsidRPr="005A28F1">
        <w:rPr>
          <w:szCs w:val="24"/>
        </w:rPr>
        <w:t xml:space="preserve"> </w:t>
      </w:r>
      <w:r>
        <w:rPr>
          <w:szCs w:val="24"/>
        </w:rPr>
        <w:t>“</w:t>
      </w:r>
      <w:r w:rsidRPr="005A28F1">
        <w:rPr>
          <w:szCs w:val="24"/>
        </w:rPr>
        <w:t>Increasing and Improving Pollinator Habitat … (e) The Departments of Agriculture and the Interior shall… develop best management practices for executive departments and agencies to enhance pollinator habitat on Federal lands.” A statement released by Bob Periciasepe, Deputy Administrator, Environmental Protection Agency, and Krysta Harden, Deputy Secretary, U.S. Department of Agriculture (USDA), emphasized: “The memorandum also requires federal agencies to lead by example, taking specific measures to substantially expand pollinator habitat on federal lands and to build on feder­al efforts with public-private partnerships.”</w:t>
      </w:r>
      <w:r>
        <w:rPr>
          <w:szCs w:val="24"/>
        </w:rPr>
        <w:t xml:space="preserve"> </w:t>
      </w:r>
      <w:hyperlink r:id="rId182" w:history="1">
        <w:r w:rsidRPr="007A30D5">
          <w:rPr>
            <w:rStyle w:val="Hyperlink"/>
            <w:szCs w:val="24"/>
          </w:rPr>
          <w:t>https://www.fs.fed.us/wildflowers/pollinators/BMPs/</w:t>
        </w:r>
      </w:hyperlink>
      <w:r>
        <w:rPr>
          <w:szCs w:val="24"/>
        </w:rPr>
        <w:t>. W</w:t>
      </w:r>
      <w:r w:rsidRPr="005A28F1">
        <w:rPr>
          <w:szCs w:val="24"/>
        </w:rPr>
        <w:t xml:space="preserve">ith this direction, U.S. Department of Agriculture and U.S. Department of Interior, issue this timely and critically needed document, Pollinator-Friendly Best Management Practices for Federal Lands, May 11, 2015. </w:t>
      </w:r>
      <w:hyperlink r:id="rId183" w:history="1">
        <w:r w:rsidRPr="005A28F1">
          <w:rPr>
            <w:rStyle w:val="Hyperlink"/>
            <w:szCs w:val="24"/>
          </w:rPr>
          <w:t>https://www.fs.fed.us/wildflowers/pollinators/BMPs/documents/PollinatorFriendlyBMPsFederalLands05152015.pdf</w:t>
        </w:r>
      </w:hyperlink>
      <w:r w:rsidRPr="005A28F1">
        <w:rPr>
          <w:szCs w:val="24"/>
        </w:rPr>
        <w:t xml:space="preserve">. </w:t>
      </w:r>
      <w:r>
        <w:rPr>
          <w:szCs w:val="24"/>
        </w:rPr>
        <w:t>(</w:t>
      </w:r>
      <w:r w:rsidRPr="005A28F1">
        <w:rPr>
          <w:szCs w:val="24"/>
        </w:rPr>
        <w:t>“Objective: To reduce the impact to pollinators from livestock grazing. Explanation: Livestock grazing alters the structure, diversity, and growth pattern of vegetation, which affects the associated insect community. Grazing during a time when flowers are already scarce may result in insufficient forage for pollinators. Grazing when butterfly larvae are active on host plants can result in larval mortality and high intensity grazing can cause local loss of forb abundance and diversity. Implementation: The following actions should be considered in rangelands when livestock grazing is present: • Determine which types of pollinators and which pollinator habitat elements are affected by grazing livestock. • Assess if grazing is compatible with the specific needs of target pollinator species on site, including targeted butterfly species. • Prevent trampling ground-nesting sites by implementing practices to minimize hoof action of grazing animals, which causes soil compaction or erosion in pollinator nesting and shelter patches. • Minimize livestock concentrations in one area by rotating livestock grazing timing and location to help maintain open, herbaceous plant communities that are capable of supporting a wide diversity of butterflies and other pollinators. • Protect the current season’s growth in grazed areas by striving to retain at least 50% of the annual vegetative growth on all plants. • Enhance the growth of forbs to ensure their ability to reproduce and to provide nectar and pollen throughout the growing season by setting grazing levels to allow forbs to flower and set seed. • Leave nearby ungrazed areas to provide reserves for pollinator populations. • Prevent grazing during periods when flowers are already scarce (e.g., midsummer) to maintain forage for pollinators, especially for bumble bee species. • In important butterfly areas, avoid grazing when butterfly eggs, larvae, and in some cases pupae are on host plants. • Consider the needs of pollinators when placing range improvements and structures on the landscape. • Ensure that fencing is adequate and well maintained. • Include protection of pollinator species in grazing management plans.”</w:t>
      </w:r>
      <w:r>
        <w:rPr>
          <w:szCs w:val="24"/>
        </w:rPr>
        <w:t>)</w:t>
      </w:r>
    </w:p>
    <w:p w:rsidR="00C14E41" w:rsidRDefault="00C14E41" w:rsidP="00C61A85">
      <w:pPr>
        <w:suppressAutoHyphens/>
        <w:spacing w:line="240" w:lineRule="auto"/>
        <w:rPr>
          <w:szCs w:val="24"/>
        </w:rPr>
      </w:pPr>
    </w:p>
    <w:p w:rsidR="00C14E41" w:rsidRDefault="00C14E41" w:rsidP="00C61A85">
      <w:pPr>
        <w:suppressAutoHyphens/>
        <w:spacing w:line="240" w:lineRule="auto"/>
      </w:pPr>
      <w:r>
        <w:rPr>
          <w:szCs w:val="24"/>
        </w:rPr>
        <w:t xml:space="preserve">The Assessment should disclose that ecosystem will store more carbon and help mitigate climate change if they remain ungrazed. </w:t>
      </w:r>
      <w:r>
        <w:t xml:space="preserve">The agency needs to help mitigate climate change by managing </w:t>
      </w:r>
      <w:r>
        <w:lastRenderedPageBreak/>
        <w:t>all living systems to capture and storage optimal levels of carbon. Livestock grazing reduces carbon storage in vegetation and soil at an ecosystem scale and grazing must be reduced to help mitigate climate change.</w:t>
      </w:r>
    </w:p>
    <w:p w:rsidR="00C61A85" w:rsidRDefault="00C61A85" w:rsidP="00C61A85">
      <w:pPr>
        <w:suppressAutoHyphens/>
        <w:spacing w:line="240" w:lineRule="auto"/>
        <w:rPr>
          <w:szCs w:val="24"/>
        </w:rPr>
      </w:pPr>
    </w:p>
    <w:p w:rsidR="00C61A85" w:rsidRDefault="00C14E41" w:rsidP="00C61A85">
      <w:pPr>
        <w:suppressAutoHyphens/>
        <w:spacing w:line="240" w:lineRule="auto"/>
        <w:rPr>
          <w:szCs w:val="24"/>
        </w:rPr>
      </w:pPr>
      <w:r>
        <w:rPr>
          <w:szCs w:val="24"/>
        </w:rPr>
        <w:t>The agency should protect and restore biotic soil crusts that help prevent erosion, fix nitrogen, cycle nutrients, and increase site productivity. Livestock grazing conflicts with the maintenance and recovery of biotic soil crusts. “Comparison of grazed and long-ungrazed sites revealed lower cover of biotic crusts, nitrogen-fixing lichens, crust-dominated soil surface roughness, and lower species richness in the grazed transects. There was more bare ground in the grazed transects…” Jeanne M. Ponzetti and Bruce P. McCune. 2001. Biotic Soil Crusts of Oregon's Shrub Steppe: Community Composition in Relation to Soil Chemistry, Climate, and Livestock Activity. The Bryologist 104(2):212-225. 2001.</w:t>
      </w:r>
    </w:p>
    <w:p w:rsidR="00C61A85" w:rsidRDefault="00C61A85" w:rsidP="00C61A85">
      <w:pPr>
        <w:suppressAutoHyphens/>
        <w:spacing w:line="240" w:lineRule="auto"/>
        <w:rPr>
          <w:szCs w:val="24"/>
        </w:rPr>
      </w:pPr>
    </w:p>
    <w:p w:rsidR="00DA7B56" w:rsidRDefault="00DA7B56" w:rsidP="00C61A85">
      <w:pPr>
        <w:suppressAutoHyphens/>
        <w:spacing w:line="240" w:lineRule="auto"/>
      </w:pPr>
      <w:r w:rsidRPr="0031392E">
        <w:rPr>
          <w:szCs w:val="24"/>
        </w:rPr>
        <w:t>Grazing spreads weeds that alter vegetation structure, habitat, hydrology, and fire regimes. Weeds are a slow motion explosion that are adversely affecting native plant communities and entire ecosystems. By reducing the vigor of native plants, reducing soil cover, and exposing mineral soil, livestock grazing has a strong tendency to spread invasive weeds and exacerbate this problem. The agency should limit or exclude livestock in order to help prevent the spread of weeds. Michael D. Reisner, James B. Grace, David A. Pyke and Paul S. Doesche 201</w:t>
      </w:r>
      <w:r>
        <w:rPr>
          <w:szCs w:val="24"/>
        </w:rPr>
        <w:t>3</w:t>
      </w:r>
      <w:r w:rsidRPr="0031392E">
        <w:rPr>
          <w:szCs w:val="24"/>
        </w:rPr>
        <w:t xml:space="preserve">. Conditions favouring </w:t>
      </w:r>
      <w:r w:rsidRPr="0031392E">
        <w:rPr>
          <w:i/>
          <w:szCs w:val="24"/>
        </w:rPr>
        <w:t>Bromus tectorum</w:t>
      </w:r>
      <w:r w:rsidRPr="0031392E">
        <w:rPr>
          <w:szCs w:val="24"/>
        </w:rPr>
        <w:t xml:space="preserve"> dominance of endangered sagebrush steppe ecosystems. Journal of Applied Ecology 2013 doi: 10.1111/1365-2664.12097. </w:t>
      </w:r>
      <w:hyperlink r:id="rId184" w:history="1">
        <w:r w:rsidRPr="0031392E">
          <w:rPr>
            <w:rStyle w:val="Hyperlink"/>
            <w:szCs w:val="24"/>
          </w:rPr>
          <w:t>http://ir.library.oregonstate.edu/xmlui/bitstream/handle/1957/38539/jpe_12097_Rev_EV.pdf</w:t>
        </w:r>
      </w:hyperlink>
      <w:r w:rsidRPr="0031392E">
        <w:rPr>
          <w:szCs w:val="24"/>
        </w:rPr>
        <w:t xml:space="preserve">  (“Evidence suggests abundant bunchgrasses limit invasions by limiting the size and connectivity of gaps between vegetation, and [biological soil crusts] appear to limit invasions within gaps. Results also suggest that cattle grazing reduces invasion resistance by decreasing bunchgrass abundance, shifting bunchgrass composition, and thereby increasing connectivity of gaps between perennial plants while trampling further reduces resistance by reducing [biological soil crusts]. … Grazing exacerbates </w:t>
      </w:r>
      <w:r w:rsidRPr="000032E4">
        <w:rPr>
          <w:i/>
          <w:szCs w:val="24"/>
        </w:rPr>
        <w:t>Bromus tectorum</w:t>
      </w:r>
      <w:r w:rsidRPr="0031392E">
        <w:rPr>
          <w:szCs w:val="24"/>
        </w:rPr>
        <w:t xml:space="preserve"> dominance in one of North America’s most endangered ecosystems by adversely impacting key mechanisms mediating resistance to invasion. If the goal is to conserve and restore resistance of these systems, managers should consider maintaining or restoring: (i) high bunchgrass cover and structure characterized by spatially dispersed bunchgrasses and small gaps between them; (ii) a diverse assemblage of bunchgrass species to maximize competitive interactions with </w:t>
      </w:r>
      <w:r w:rsidRPr="000032E4">
        <w:rPr>
          <w:i/>
          <w:szCs w:val="24"/>
        </w:rPr>
        <w:t>B. tectorum</w:t>
      </w:r>
      <w:r w:rsidRPr="0031392E">
        <w:rPr>
          <w:szCs w:val="24"/>
        </w:rPr>
        <w:t xml:space="preserve"> in time and space; and (iii) biological soil crusts to limit B. tectorum establishment. Passive restoration by reducing cumulative cattle grazing may be one of the most effective means of</w:t>
      </w:r>
      <w:r>
        <w:rPr>
          <w:szCs w:val="24"/>
        </w:rPr>
        <w:t xml:space="preserve"> </w:t>
      </w:r>
      <w:r w:rsidRPr="0031392E">
        <w:rPr>
          <w:szCs w:val="24"/>
        </w:rPr>
        <w:t>achieving these three goals.”)</w:t>
      </w:r>
      <w:r>
        <w:rPr>
          <w:szCs w:val="24"/>
        </w:rPr>
        <w:t xml:space="preserve"> Consider reducing grazing and restoring native grasses and forbs. Gucker &amp; Shaw 2019. </w:t>
      </w:r>
      <w:r w:rsidRPr="000F2E8A">
        <w:rPr>
          <w:szCs w:val="24"/>
        </w:rPr>
        <w:t xml:space="preserve">Western Forbs: Biology, Ecology, and Use in Restoration, </w:t>
      </w:r>
      <w:hyperlink r:id="rId185" w:history="1">
        <w:r>
          <w:rPr>
            <w:rStyle w:val="Hyperlink"/>
          </w:rPr>
          <w:t>http://greatbasinfirescience.org/western-forbs-restoration/?_sf_s=western+forbs</w:t>
        </w:r>
      </w:hyperlink>
      <w:r>
        <w:t>.</w:t>
      </w:r>
    </w:p>
    <w:p w:rsidR="00C61A85" w:rsidRDefault="00C61A85" w:rsidP="00C61A85">
      <w:pPr>
        <w:suppressAutoHyphens/>
        <w:spacing w:line="240" w:lineRule="auto"/>
        <w:rPr>
          <w:color w:val="000000"/>
        </w:rPr>
      </w:pPr>
    </w:p>
    <w:p w:rsidR="00DA7B56" w:rsidRPr="00C73269" w:rsidRDefault="00DA7B56" w:rsidP="00C61A85">
      <w:pPr>
        <w:suppressAutoHyphens/>
        <w:spacing w:line="240" w:lineRule="auto"/>
        <w:rPr>
          <w:rFonts w:cs="MS Mincho"/>
          <w:szCs w:val="24"/>
        </w:rPr>
      </w:pPr>
      <w:r>
        <w:rPr>
          <w:color w:val="000000"/>
        </w:rPr>
        <w:t xml:space="preserve">The Assessment should consider the issues raised by George Wuerthner, including a variety of adverse effects from livestock grazing on public lands. The </w:t>
      </w:r>
      <w:r w:rsidR="007C0A49">
        <w:rPr>
          <w:szCs w:val="24"/>
        </w:rPr>
        <w:t xml:space="preserve">Assessment </w:t>
      </w:r>
      <w:r>
        <w:rPr>
          <w:color w:val="000000"/>
        </w:rPr>
        <w:t>should address each of these and propose alternative ways to avoid, minimize, and mitigate adverse effects.</w:t>
      </w:r>
    </w:p>
    <w:p w:rsidR="00DA7B56" w:rsidRPr="00C73269" w:rsidRDefault="00DA7B56" w:rsidP="000C4D38">
      <w:pPr>
        <w:spacing w:after="120"/>
        <w:ind w:left="720"/>
        <w:rPr>
          <w:rFonts w:cs="MS Mincho"/>
          <w:szCs w:val="24"/>
        </w:rPr>
      </w:pPr>
      <w:r w:rsidRPr="00C73269">
        <w:rPr>
          <w:rFonts w:cs="MS Mincho"/>
          <w:szCs w:val="24"/>
        </w:rPr>
        <w:t>1. Dewatering of streams to the detriment of aquatic ecosystems.</w:t>
      </w:r>
    </w:p>
    <w:p w:rsidR="00DA7B56" w:rsidRPr="00C73269" w:rsidRDefault="00DA7B56" w:rsidP="000C4D38">
      <w:pPr>
        <w:spacing w:after="120"/>
        <w:ind w:left="720"/>
        <w:rPr>
          <w:rFonts w:cs="MS Mincho"/>
          <w:szCs w:val="24"/>
        </w:rPr>
      </w:pPr>
      <w:r w:rsidRPr="00C73269">
        <w:rPr>
          <w:rFonts w:cs="MS Mincho"/>
          <w:szCs w:val="24"/>
        </w:rPr>
        <w:t>2. Conversion of native riparian habitat and sage brush steppe to hay pastures of exotic grasses.</w:t>
      </w:r>
    </w:p>
    <w:p w:rsidR="00DA7B56" w:rsidRPr="00C73269" w:rsidRDefault="00DA7B56" w:rsidP="000C4D38">
      <w:pPr>
        <w:spacing w:after="120"/>
        <w:ind w:left="720"/>
        <w:rPr>
          <w:rFonts w:cs="MS Mincho"/>
          <w:szCs w:val="24"/>
        </w:rPr>
      </w:pPr>
      <w:r w:rsidRPr="00C73269">
        <w:rPr>
          <w:rFonts w:cs="MS Mincho"/>
          <w:szCs w:val="24"/>
        </w:rPr>
        <w:t>3. Trampling of biological crusts and contribution to soil erosion.</w:t>
      </w:r>
    </w:p>
    <w:p w:rsidR="00DA7B56" w:rsidRPr="00C73269" w:rsidRDefault="00DA7B56" w:rsidP="000C4D38">
      <w:pPr>
        <w:spacing w:after="120"/>
        <w:ind w:left="720"/>
        <w:rPr>
          <w:rFonts w:cs="MS Mincho"/>
          <w:szCs w:val="24"/>
        </w:rPr>
      </w:pPr>
      <w:r w:rsidRPr="00C73269">
        <w:rPr>
          <w:rFonts w:cs="MS Mincho"/>
          <w:szCs w:val="24"/>
        </w:rPr>
        <w:t>4. Trampling of biocrusts which facilitate cheatgrass invasion.</w:t>
      </w:r>
    </w:p>
    <w:p w:rsidR="00DA7B56" w:rsidRPr="00C73269" w:rsidRDefault="00DA7B56" w:rsidP="000C4D38">
      <w:pPr>
        <w:spacing w:after="120"/>
        <w:ind w:left="720"/>
        <w:rPr>
          <w:rFonts w:cs="MS Mincho"/>
          <w:szCs w:val="24"/>
        </w:rPr>
      </w:pPr>
      <w:r w:rsidRPr="00C73269">
        <w:rPr>
          <w:rFonts w:cs="MS Mincho"/>
          <w:szCs w:val="24"/>
        </w:rPr>
        <w:t>5. Soil compaction which decreases water infiltration.</w:t>
      </w:r>
    </w:p>
    <w:p w:rsidR="00DA7B56" w:rsidRPr="00C73269" w:rsidRDefault="00DA7B56" w:rsidP="000C4D38">
      <w:pPr>
        <w:spacing w:after="120"/>
        <w:ind w:left="720"/>
        <w:rPr>
          <w:rFonts w:cs="MS Mincho"/>
          <w:szCs w:val="24"/>
        </w:rPr>
      </w:pPr>
      <w:r w:rsidRPr="00C73269">
        <w:rPr>
          <w:rFonts w:cs="MS Mincho"/>
          <w:szCs w:val="24"/>
        </w:rPr>
        <w:lastRenderedPageBreak/>
        <w:t>6. The trampling of ripari</w:t>
      </w:r>
      <w:r>
        <w:rPr>
          <w:rFonts w:cs="MS Mincho"/>
          <w:szCs w:val="24"/>
        </w:rPr>
        <w:t>an areas and springs reduces it</w:t>
      </w:r>
      <w:r w:rsidRPr="00C73269">
        <w:rPr>
          <w:rFonts w:cs="MS Mincho"/>
          <w:szCs w:val="24"/>
        </w:rPr>
        <w:t>s ability to soak up water and store for late season flows. It also destroys habitat for native mollusks.</w:t>
      </w:r>
    </w:p>
    <w:p w:rsidR="00DA7B56" w:rsidRPr="00C73269" w:rsidRDefault="00DA7B56" w:rsidP="000C4D38">
      <w:pPr>
        <w:spacing w:after="120"/>
        <w:ind w:left="720"/>
        <w:rPr>
          <w:rFonts w:cs="MS Mincho"/>
          <w:szCs w:val="24"/>
        </w:rPr>
      </w:pPr>
      <w:r w:rsidRPr="00C73269">
        <w:rPr>
          <w:rFonts w:cs="MS Mincho"/>
          <w:szCs w:val="24"/>
        </w:rPr>
        <w:t xml:space="preserve">7. Water troughs are breeding grounds for mosquitoes that carry </w:t>
      </w:r>
      <w:r>
        <w:rPr>
          <w:rFonts w:cs="MS Mincho"/>
          <w:szCs w:val="24"/>
        </w:rPr>
        <w:t>W</w:t>
      </w:r>
      <w:r w:rsidRPr="00C73269">
        <w:rPr>
          <w:rFonts w:cs="MS Mincho"/>
          <w:szCs w:val="24"/>
        </w:rPr>
        <w:t xml:space="preserve">est </w:t>
      </w:r>
      <w:r>
        <w:rPr>
          <w:rFonts w:cs="MS Mincho"/>
          <w:szCs w:val="24"/>
        </w:rPr>
        <w:t>N</w:t>
      </w:r>
      <w:r w:rsidRPr="00C73269">
        <w:rPr>
          <w:rFonts w:cs="MS Mincho"/>
          <w:szCs w:val="24"/>
        </w:rPr>
        <w:t>ile virus (and harm sage grouse).</w:t>
      </w:r>
    </w:p>
    <w:p w:rsidR="00DA7B56" w:rsidRPr="00C73269" w:rsidRDefault="00DA7B56" w:rsidP="000C4D38">
      <w:pPr>
        <w:spacing w:after="120"/>
        <w:ind w:left="720"/>
        <w:rPr>
          <w:rFonts w:cs="MS Mincho"/>
          <w:szCs w:val="24"/>
        </w:rPr>
      </w:pPr>
      <w:r w:rsidRPr="00C73269">
        <w:rPr>
          <w:rFonts w:cs="MS Mincho"/>
          <w:szCs w:val="24"/>
        </w:rPr>
        <w:t>8. Fences block migration and are a major source of mortality for sage grouse.</w:t>
      </w:r>
    </w:p>
    <w:p w:rsidR="00DA7B56" w:rsidRPr="00C73269" w:rsidRDefault="00DA7B56" w:rsidP="000C4D38">
      <w:pPr>
        <w:spacing w:after="120"/>
        <w:ind w:left="720"/>
        <w:rPr>
          <w:rFonts w:cs="MS Mincho"/>
          <w:szCs w:val="24"/>
        </w:rPr>
      </w:pPr>
      <w:r w:rsidRPr="00C73269">
        <w:rPr>
          <w:rFonts w:cs="MS Mincho"/>
          <w:szCs w:val="24"/>
        </w:rPr>
        <w:t>9. We kill all kill all kinds of predators and other wildlife (like prairie dogs) as pests and “varmints”.</w:t>
      </w:r>
    </w:p>
    <w:p w:rsidR="00DA7B56" w:rsidRPr="00C73269" w:rsidRDefault="00DA7B56" w:rsidP="000C4D38">
      <w:pPr>
        <w:spacing w:after="120"/>
        <w:ind w:left="720"/>
        <w:rPr>
          <w:rFonts w:cs="MS Mincho"/>
          <w:szCs w:val="24"/>
        </w:rPr>
      </w:pPr>
      <w:r w:rsidRPr="00C73269">
        <w:rPr>
          <w:rFonts w:cs="MS Mincho"/>
          <w:szCs w:val="24"/>
        </w:rPr>
        <w:t>10. The eating of riparian vegetation eliminates hiding cover and habitat for many species from songbirds to sage grouse chicks.</w:t>
      </w:r>
    </w:p>
    <w:p w:rsidR="00DA7B56" w:rsidRPr="00C73269" w:rsidRDefault="00DA7B56" w:rsidP="000C4D38">
      <w:pPr>
        <w:spacing w:after="120"/>
        <w:ind w:left="720"/>
        <w:rPr>
          <w:rFonts w:cs="MS Mincho"/>
          <w:szCs w:val="24"/>
        </w:rPr>
      </w:pPr>
      <w:r w:rsidRPr="00C73269">
        <w:rPr>
          <w:rFonts w:cs="MS Mincho"/>
          <w:szCs w:val="24"/>
        </w:rPr>
        <w:t>11. Forage competition. On many public lands, the vast majority of forage is allotted to domestic livestock. Many wet meadows, etc. are grazed to golf course height to the detriment of native wildlife.</w:t>
      </w:r>
    </w:p>
    <w:p w:rsidR="00DA7B56" w:rsidRPr="00C73269" w:rsidRDefault="00DA7B56" w:rsidP="000C4D38">
      <w:pPr>
        <w:spacing w:after="120"/>
        <w:ind w:left="720"/>
        <w:rPr>
          <w:rFonts w:cs="MS Mincho"/>
          <w:szCs w:val="24"/>
        </w:rPr>
      </w:pPr>
      <w:r w:rsidRPr="00C73269">
        <w:rPr>
          <w:rFonts w:cs="MS Mincho"/>
          <w:szCs w:val="24"/>
        </w:rPr>
        <w:t>12. Disease transfer such as occurs with domestic sheep and wild bighorns.</w:t>
      </w:r>
    </w:p>
    <w:p w:rsidR="00DA7B56" w:rsidRPr="00C73269" w:rsidRDefault="00DA7B56" w:rsidP="000C4D38">
      <w:pPr>
        <w:spacing w:after="120"/>
        <w:ind w:left="720"/>
        <w:rPr>
          <w:rFonts w:cs="MS Mincho"/>
          <w:szCs w:val="24"/>
        </w:rPr>
      </w:pPr>
      <w:r w:rsidRPr="00C73269">
        <w:rPr>
          <w:rFonts w:cs="MS Mincho"/>
          <w:szCs w:val="24"/>
        </w:rPr>
        <w:t>13. Weed invasion–grazing of native perennials and trampling and disturbance of soils favors weedy invasions.</w:t>
      </w:r>
    </w:p>
    <w:p w:rsidR="00DA7B56" w:rsidRPr="00C73269" w:rsidRDefault="00DA7B56" w:rsidP="000C4D38">
      <w:pPr>
        <w:spacing w:after="120"/>
        <w:ind w:left="720"/>
        <w:rPr>
          <w:rFonts w:cs="MS Mincho"/>
          <w:szCs w:val="24"/>
        </w:rPr>
      </w:pPr>
      <w:r w:rsidRPr="00C73269">
        <w:rPr>
          <w:rFonts w:cs="MS Mincho"/>
          <w:szCs w:val="24"/>
        </w:rPr>
        <w:t>14. Even where grasses are meeting “objectives” like 4 inch stubble height that is not enough to hide ground nesting birds. For instance, grouse require at least 10 inches of stubble height which you seldom see where there is significant grazing.</w:t>
      </w:r>
    </w:p>
    <w:p w:rsidR="00DA7B56" w:rsidRPr="00C73269" w:rsidRDefault="00DA7B56" w:rsidP="000C4D38">
      <w:pPr>
        <w:spacing w:after="120"/>
        <w:ind w:left="720"/>
        <w:rPr>
          <w:rFonts w:cs="MS Mincho"/>
          <w:szCs w:val="24"/>
        </w:rPr>
      </w:pPr>
      <w:r w:rsidRPr="00C73269">
        <w:rPr>
          <w:rFonts w:cs="MS Mincho"/>
          <w:szCs w:val="24"/>
        </w:rPr>
        <w:t>15. Effects on fire regimes. The invasion of cheatgrass, created by livestock disturbance, is a major factor in the burnout of sage brush habitat. Similarly, grazing can enhance conifer establishment in the ponderosa zone, including stand densities, again affecting fire regimes.</w:t>
      </w:r>
    </w:p>
    <w:p w:rsidR="00DA7B56" w:rsidRPr="00C73269" w:rsidRDefault="00DA7B56" w:rsidP="000C4D38">
      <w:pPr>
        <w:spacing w:after="120"/>
        <w:ind w:left="720"/>
        <w:rPr>
          <w:rFonts w:cs="MS Mincho"/>
          <w:szCs w:val="24"/>
        </w:rPr>
      </w:pPr>
      <w:r w:rsidRPr="00C73269">
        <w:rPr>
          <w:rFonts w:cs="MS Mincho"/>
          <w:szCs w:val="24"/>
        </w:rPr>
        <w:t>16, Cows are a major source of methane and thus GHG emissions contributing to global warming. Worse than all the transportation put together.</w:t>
      </w:r>
    </w:p>
    <w:p w:rsidR="00DA7B56" w:rsidRPr="00C73269" w:rsidRDefault="00DA7B56" w:rsidP="000C4D38">
      <w:pPr>
        <w:spacing w:after="120"/>
        <w:ind w:left="720"/>
        <w:rPr>
          <w:rFonts w:cs="MS Mincho"/>
          <w:szCs w:val="24"/>
        </w:rPr>
      </w:pPr>
      <w:r w:rsidRPr="00C73269">
        <w:rPr>
          <w:rFonts w:cs="MS Mincho"/>
          <w:szCs w:val="24"/>
        </w:rPr>
        <w:t>17. Most of the dams built-in the West are for water storage to provide for irrigation. These dams change the water characteristics of rivers and block migration (think of salmon). While you might say a few situations where dams have created trout habitat below them as “good”, this doesn’t account for the numerous losses imposed by dams.</w:t>
      </w:r>
    </w:p>
    <w:p w:rsidR="00DA7B56" w:rsidRDefault="00DA7B56" w:rsidP="000C4D38">
      <w:pPr>
        <w:spacing w:after="120"/>
        <w:ind w:left="720"/>
        <w:rPr>
          <w:rFonts w:cs="MS Mincho"/>
          <w:szCs w:val="24"/>
        </w:rPr>
      </w:pPr>
      <w:r w:rsidRPr="00C73269">
        <w:rPr>
          <w:rFonts w:cs="MS Mincho"/>
          <w:szCs w:val="24"/>
        </w:rPr>
        <w:t>18. Grazing favors invasives and exotics over native plants. Grazing has dramatically altered many native plant communities.</w:t>
      </w:r>
    </w:p>
    <w:p w:rsidR="00DA7B56" w:rsidRDefault="00DA7B56" w:rsidP="000C4D38">
      <w:pPr>
        <w:spacing w:after="120"/>
        <w:rPr>
          <w:rFonts w:cs="MS Mincho"/>
          <w:szCs w:val="24"/>
        </w:rPr>
      </w:pPr>
      <w:r>
        <w:rPr>
          <w:rFonts w:cs="MS Mincho"/>
          <w:szCs w:val="24"/>
        </w:rPr>
        <w:t xml:space="preserve">GEORGE WUERTHNER, </w:t>
      </w:r>
      <w:r w:rsidRPr="00C73269">
        <w:rPr>
          <w:rFonts w:cs="MS Mincho"/>
          <w:szCs w:val="24"/>
        </w:rPr>
        <w:t>Critique of Montana Outdoors proposed “Green” Grazing article</w:t>
      </w:r>
      <w:r>
        <w:rPr>
          <w:rFonts w:cs="MS Mincho"/>
          <w:szCs w:val="24"/>
        </w:rPr>
        <w:t xml:space="preserve">. The Wildlife News. </w:t>
      </w:r>
      <w:r w:rsidRPr="00C73269">
        <w:rPr>
          <w:rFonts w:cs="MS Mincho"/>
          <w:szCs w:val="24"/>
        </w:rPr>
        <w:t>AUGUST 14, 2017</w:t>
      </w:r>
      <w:r>
        <w:rPr>
          <w:rFonts w:cs="MS Mincho"/>
          <w:szCs w:val="24"/>
        </w:rPr>
        <w:t xml:space="preserve"> </w:t>
      </w:r>
      <w:hyperlink r:id="rId186" w:history="1">
        <w:r w:rsidRPr="00984F7E">
          <w:rPr>
            <w:rStyle w:val="Hyperlink"/>
            <w:rFonts w:cs="MS Mincho"/>
            <w:szCs w:val="24"/>
          </w:rPr>
          <w:t>http://www.thewildlifenews.com/2017/08/14/critique-of-montana-outdoors-proposed-green-grazing-article/</w:t>
        </w:r>
      </w:hyperlink>
      <w:r>
        <w:rPr>
          <w:rFonts w:cs="MS Mincho"/>
          <w:szCs w:val="24"/>
        </w:rPr>
        <w:t xml:space="preserve"> </w:t>
      </w:r>
    </w:p>
    <w:p w:rsidR="00C14E41" w:rsidRPr="005A28F1" w:rsidRDefault="00C14E41" w:rsidP="00C14E41">
      <w:pPr>
        <w:suppressAutoHyphens/>
        <w:spacing w:after="120" w:line="240" w:lineRule="auto"/>
        <w:rPr>
          <w:rFonts w:cs="MS Mincho"/>
          <w:szCs w:val="24"/>
        </w:rPr>
      </w:pPr>
    </w:p>
    <w:p w:rsidR="00C14E41" w:rsidRDefault="00C14E41" w:rsidP="00122F87">
      <w:pPr>
        <w:suppressAutoHyphens/>
        <w:spacing w:after="120" w:line="240" w:lineRule="auto"/>
        <w:rPr>
          <w:rFonts w:cs="MS Mincho"/>
          <w:szCs w:val="24"/>
        </w:rPr>
      </w:pPr>
    </w:p>
    <w:p w:rsidR="00AA2EFE" w:rsidRPr="006227A0" w:rsidRDefault="00AA2EFE" w:rsidP="006227A0">
      <w:pPr>
        <w:pStyle w:val="BodyText"/>
        <w:rPr>
          <w:rFonts w:asciiTheme="minorHAnsi" w:hAnsiTheme="minorHAnsi"/>
          <w:sz w:val="22"/>
          <w:szCs w:val="22"/>
        </w:rPr>
      </w:pPr>
    </w:p>
    <w:p w:rsidR="00F94A68" w:rsidRPr="00782EBF" w:rsidRDefault="004462DD" w:rsidP="00782EBF">
      <w:pPr>
        <w:pStyle w:val="Heading2"/>
      </w:pPr>
      <w:bookmarkStart w:id="16" w:name="_Toc167784207"/>
      <w:r>
        <w:lastRenderedPageBreak/>
        <w:t>Wildlife</w:t>
      </w:r>
      <w:bookmarkEnd w:id="16"/>
      <w:r w:rsidR="00782EBF" w:rsidRPr="00782EBF">
        <w:t xml:space="preserve"> </w:t>
      </w:r>
    </w:p>
    <w:p w:rsidR="00D72440" w:rsidRDefault="00412246" w:rsidP="00C13CE6">
      <w:r>
        <w:t xml:space="preserve">Wildlife serve a variety of important ecosystem services, and are an important cultural legacy of our public lands. </w:t>
      </w:r>
      <w:r w:rsidR="00D72440">
        <w:t xml:space="preserve">There are many wildlife that are barely hanging on as a result of the cumulative effects of past and present management on both public and private lands. </w:t>
      </w:r>
    </w:p>
    <w:p w:rsidR="00BF202B" w:rsidRDefault="00BF202B" w:rsidP="00C13CE6"/>
    <w:p w:rsidR="0068536D" w:rsidRDefault="00BF202B" w:rsidP="00C13CE6">
      <w:r>
        <w:t xml:space="preserve">The key findings in the </w:t>
      </w:r>
      <w:r w:rsidR="00412246">
        <w:t>terrestrial ecosystems</w:t>
      </w:r>
      <w:r>
        <w:t xml:space="preserve"> </w:t>
      </w:r>
      <w:r w:rsidR="00A82CC5">
        <w:t xml:space="preserve">Assessment </w:t>
      </w:r>
      <w:r>
        <w:t xml:space="preserve">are more about trees and animals. This is a sadly incomplete analysis. </w:t>
      </w:r>
      <w:r w:rsidR="00412246">
        <w:t>There is so much more to ecosystems than trees.</w:t>
      </w:r>
    </w:p>
    <w:p w:rsidR="0068536D" w:rsidRDefault="0068536D" w:rsidP="00C13CE6"/>
    <w:p w:rsidR="00BF202B" w:rsidRDefault="0068536D" w:rsidP="00C13CE6">
      <w:r>
        <w:t>T</w:t>
      </w:r>
      <w:r w:rsidR="00BF202B">
        <w:t xml:space="preserve">he </w:t>
      </w:r>
      <w:r w:rsidR="00412246">
        <w:t>terrestrial ecosystems</w:t>
      </w:r>
      <w:r>
        <w:t xml:space="preserve"> </w:t>
      </w:r>
      <w:r w:rsidR="00A82CC5">
        <w:t xml:space="preserve">Assessment </w:t>
      </w:r>
      <w:r w:rsidR="00BF202B">
        <w:t>findings about trees include references to competitive mortality, fire and insect mortality, etc. These are solutions, not problems. These natural processes are thinning the forest without roads, and without extracting the valuable snag habitat, as logging would do.</w:t>
      </w:r>
      <w:r>
        <w:t xml:space="preserve"> The assessment gives misleading impression that managers need to intervene to control mortality, which reflects outdated agricultural models of forestry, instead of the promised ecosystem management.</w:t>
      </w:r>
    </w:p>
    <w:p w:rsidR="00DD007F" w:rsidRDefault="00DD007F" w:rsidP="00C13CE6"/>
    <w:p w:rsidR="00D72440" w:rsidRDefault="00DD007F" w:rsidP="00C13CE6">
      <w:r>
        <w:t xml:space="preserve">The </w:t>
      </w:r>
      <w:r w:rsidR="00412246">
        <w:t xml:space="preserve">terrestrial ecosystems </w:t>
      </w:r>
      <w:r w:rsidR="00A82CC5">
        <w:t xml:space="preserve">Assessment </w:t>
      </w:r>
      <w:r w:rsidR="002B4687">
        <w:t>repeatedly</w:t>
      </w:r>
      <w:r>
        <w:t xml:space="preserve"> talks about stand density as a problem, </w:t>
      </w:r>
      <w:r w:rsidR="002B4687">
        <w:t>(that will presumably be fixed with aggressive logging in the forthcoming forest plan). This obsession with tree density is unwarranted</w:t>
      </w:r>
      <w:r>
        <w:t>.</w:t>
      </w:r>
      <w:r w:rsidR="002B4687">
        <w:t xml:space="preserve"> Many at-risk wildlife prefer dense forests. Natural processes are thinning (some) dense forests. Commercial logging has serious trade-offs that harm wildlife. The assessment fails to provide a clear picture of these issues or even acknowledge these trade-offs.</w:t>
      </w:r>
    </w:p>
    <w:p w:rsidR="00B616C9" w:rsidRDefault="00B616C9" w:rsidP="00C13CE6"/>
    <w:p w:rsidR="00B616C9" w:rsidRDefault="00B616C9" w:rsidP="00C13CE6">
      <w:r>
        <w:t xml:space="preserve">The </w:t>
      </w:r>
      <w:r w:rsidRPr="002D4C1B">
        <w:t>Wildlife Species and Habitats of Interest</w:t>
      </w:r>
      <w:r>
        <w:t xml:space="preserve"> </w:t>
      </w:r>
      <w:r w:rsidR="00A82CC5">
        <w:t xml:space="preserve">Assessment </w:t>
      </w:r>
      <w:r>
        <w:t xml:space="preserve">should address species like marten </w:t>
      </w:r>
      <w:r w:rsidR="00E60165">
        <w:t xml:space="preserve">and pileated woodpecker </w:t>
      </w:r>
      <w:r>
        <w:t xml:space="preserve">that play an important role in the trophic relations of the ecosystem and are dependent on </w:t>
      </w:r>
      <w:r w:rsidR="008D2DDE">
        <w:t xml:space="preserve">complex mature and old-growth forests and </w:t>
      </w:r>
      <w:r>
        <w:t xml:space="preserve">abundant </w:t>
      </w:r>
      <w:r w:rsidR="008D2DDE">
        <w:t xml:space="preserve">dead </w:t>
      </w:r>
      <w:r>
        <w:t>wood that is often unavailable due to logging.</w:t>
      </w:r>
    </w:p>
    <w:p w:rsidR="00BF202B" w:rsidRDefault="00BF202B" w:rsidP="00514441">
      <w:pPr>
        <w:pStyle w:val="Heading3"/>
      </w:pPr>
      <w:bookmarkStart w:id="17" w:name="_Toc167784208"/>
      <w:r>
        <w:t>Snags</w:t>
      </w:r>
      <w:r w:rsidR="00C61A85">
        <w:t xml:space="preserve"> and Dead Wood Habitat (and Other Values)</w:t>
      </w:r>
      <w:bookmarkEnd w:id="17"/>
    </w:p>
    <w:p w:rsidR="00E50D6B" w:rsidRDefault="00E50D6B" w:rsidP="00C13CE6">
      <w:r>
        <w:t xml:space="preserve">A huge gap in the </w:t>
      </w:r>
      <w:r w:rsidR="002D4C1B">
        <w:t>terrestrial ecosystems</w:t>
      </w:r>
      <w:r>
        <w:t xml:space="preserve"> assessment is the treatment of snags and dead wood which gets almost no mention, let alone analysis. Snags and dead wood serve a wide variety of wildlife benefits. </w:t>
      </w:r>
      <w:r w:rsidR="00AD13DF" w:rsidRPr="00AD13DF">
        <w:rPr>
          <w:lang w:val="en-US"/>
        </w:rPr>
        <w:t xml:space="preserve">Current plan direction for protecting and providing snags and down wood tends to be focused on a small subset of the full spectrum of values provided by dead wood and does not ensure the continued operation of these ecosystem functions or meet the complete lifecycle needs of the many species associated with this unique and valuable habitat component. Please consider all the many values of snags and down wood presented in </w:t>
      </w:r>
      <w:r>
        <w:t xml:space="preserve">Rose, C.L., Marcot, B.G., Mellen, T.K., Ohmann, J.L., Waddell, K.L., Lindely, D.L., and B. Schrieber. 2001. Decaying Wood in Pacific Northwest Forests: Concepts and Tools for Habitat Management, Chapter 24 in Wildlife-Habitat Relationships in Oregon and Washington (Johnson, D. H. and T. A. O’Neil. OSU Press. 2001) </w:t>
      </w:r>
      <w:hyperlink r:id="rId187" w:history="1">
        <w:r w:rsidRPr="007A4D60">
          <w:rPr>
            <w:rStyle w:val="Hyperlink"/>
          </w:rPr>
          <w:t>http://web.archive.org/web/20060708035905/http://www.nwhi.org/inc/data/GISdata/docs/chapter24.pdf</w:t>
        </w:r>
      </w:hyperlink>
      <w:r>
        <w:t xml:space="preserve">. </w:t>
      </w:r>
    </w:p>
    <w:p w:rsidR="00E50D6B" w:rsidRDefault="00E50D6B" w:rsidP="00C13CE6"/>
    <w:p w:rsidR="002D4C1B" w:rsidRDefault="00BF4F42" w:rsidP="00E50D6B">
      <w:r>
        <w:lastRenderedPageBreak/>
        <w:t xml:space="preserve">Most of the </w:t>
      </w:r>
      <w:r w:rsidR="00E50D6B">
        <w:t xml:space="preserve">assessment </w:t>
      </w:r>
      <w:r>
        <w:t>reports fail</w:t>
      </w:r>
      <w:r w:rsidR="00E50D6B">
        <w:t xml:space="preserve"> to disclose the significant shortage of snags and dead wood </w:t>
      </w:r>
      <w:r w:rsidR="007373B2">
        <w:t xml:space="preserve">as well as the important ecosystem </w:t>
      </w:r>
      <w:r w:rsidR="002D4C1B">
        <w:t xml:space="preserve">services provided by dead wood, though the </w:t>
      </w:r>
      <w:r w:rsidR="002D4C1B" w:rsidRPr="002D4C1B">
        <w:t>Wildlife Species and Habitats of Interest</w:t>
      </w:r>
      <w:r w:rsidR="002D4C1B">
        <w:t xml:space="preserve"> </w:t>
      </w:r>
      <w:r w:rsidR="00A82CC5">
        <w:t xml:space="preserve">Assessment </w:t>
      </w:r>
      <w:r w:rsidR="002D4C1B">
        <w:t>gives a little</w:t>
      </w:r>
      <w:r>
        <w:t xml:space="preserve"> information saying “</w:t>
      </w:r>
      <w:r w:rsidRPr="00BF4F42">
        <w:t>Snags and down wood are deficient across most of the Forest Service managed watersheds, in particular snags over 20 inches dbh</w:t>
      </w:r>
      <w:r>
        <w:t xml:space="preserve"> … </w:t>
      </w:r>
      <w:r w:rsidRPr="00BF4F42">
        <w:t>Where timber harvest occurs, maintaining sufficient snags and down wood is difficult to achieve where there are not enough snags to begin with and hazard trees snags are removed from timber sale units and along roads. Post-harvest prescribed burning and public fuelwood cutting also reduce the number of snags (Wisdom et al. 2000, Bate et al. 2007).</w:t>
      </w:r>
      <w:r>
        <w:t>”</w:t>
      </w:r>
    </w:p>
    <w:p w:rsidR="00BF4F42" w:rsidRDefault="00BF4F42" w:rsidP="00E50D6B"/>
    <w:p w:rsidR="00BF4F42" w:rsidRDefault="00BF4F42" w:rsidP="00E50D6B">
      <w:r>
        <w:t xml:space="preserve">The </w:t>
      </w:r>
      <w:r w:rsidRPr="002D4C1B">
        <w:t>Wildlife Species and Habitats of Interest</w:t>
      </w:r>
      <w:r>
        <w:t xml:space="preserve"> </w:t>
      </w:r>
      <w:r w:rsidR="00A82CC5">
        <w:t xml:space="preserve">Assessment </w:t>
      </w:r>
      <w:r>
        <w:t xml:space="preserve">also says that density of cavities is affected by timber harvest because it influences fungal heart rot. This overlooks other much greater concerns, such as the fact that logging greatly reduces the population of green trees available for snag recruitment. </w:t>
      </w:r>
    </w:p>
    <w:p w:rsidR="00BF4F42" w:rsidRDefault="00BF4F42" w:rsidP="00E50D6B"/>
    <w:p w:rsidR="00BF4F42" w:rsidRDefault="00BF4F42" w:rsidP="00E50D6B">
      <w:r>
        <w:t xml:space="preserve">The </w:t>
      </w:r>
      <w:r w:rsidRPr="002D4C1B">
        <w:t>Wildlife Species and Habitats of Interest</w:t>
      </w:r>
      <w:r>
        <w:t xml:space="preserve"> </w:t>
      </w:r>
      <w:r w:rsidR="00A82CC5">
        <w:t xml:space="preserve">Assessment </w:t>
      </w:r>
      <w:r>
        <w:t xml:space="preserve">says that recent projects are using best available science such as DecAID, but we find that </w:t>
      </w:r>
      <w:r w:rsidR="0031683D">
        <w:t>the agencies are not really using or interpreting DecAID appropriately.</w:t>
      </w:r>
      <w:r w:rsidR="00756B8E">
        <w:t xml:space="preserve"> The report fails to mention that the Trump administration’s Large Tree Plan Amendment altered requirement for snags and green tree retention, but those standards are vague and essentially standardless, boiling down to “save some snags for some species.”</w:t>
      </w:r>
    </w:p>
    <w:p w:rsidR="00BF4F42" w:rsidRDefault="00BF4F42" w:rsidP="00E50D6B"/>
    <w:p w:rsidR="00E50D6B" w:rsidRDefault="00E50D6B" w:rsidP="00E50D6B">
      <w:r>
        <w:t>Bell et al (2021) confirm the long-term deficit of snag habitat, the critical role of federal lands in providing snag habitat, and note that federal management goals often conflict with efforts to reduce the snag deficit.</w:t>
      </w:r>
    </w:p>
    <w:p w:rsidR="00E50D6B" w:rsidRPr="003F5AFA" w:rsidRDefault="00E50D6B" w:rsidP="00E50D6B">
      <w:pPr>
        <w:ind w:left="720"/>
        <w:rPr>
          <w:szCs w:val="24"/>
        </w:rPr>
      </w:pPr>
    </w:p>
    <w:p w:rsidR="00E50D6B" w:rsidRDefault="00E50D6B" w:rsidP="00E50D6B">
      <w:pPr>
        <w:ind w:left="720"/>
        <w:rPr>
          <w:szCs w:val="24"/>
        </w:rPr>
      </w:pPr>
      <w:r w:rsidRPr="003F5AFA">
        <w:rPr>
          <w:szCs w:val="24"/>
        </w:rPr>
        <w:t>Since the mid-20th century, anthropogenic</w:t>
      </w:r>
      <w:r>
        <w:rPr>
          <w:szCs w:val="24"/>
        </w:rPr>
        <w:t xml:space="preserve"> </w:t>
      </w:r>
      <w:r w:rsidRPr="003F5AFA">
        <w:rPr>
          <w:szCs w:val="24"/>
        </w:rPr>
        <w:t>stressors, such as timber harvesting, land conversion, and wildfire, have</w:t>
      </w:r>
      <w:r>
        <w:rPr>
          <w:szCs w:val="24"/>
        </w:rPr>
        <w:t xml:space="preserve"> </w:t>
      </w:r>
      <w:r w:rsidRPr="003F5AFA">
        <w:rPr>
          <w:szCs w:val="24"/>
        </w:rPr>
        <w:t>greatly reduced the extent of old-growth forests in Oregon and</w:t>
      </w:r>
      <w:r>
        <w:rPr>
          <w:szCs w:val="24"/>
        </w:rPr>
        <w:t xml:space="preserve"> </w:t>
      </w:r>
      <w:r w:rsidRPr="003F5AFA">
        <w:rPr>
          <w:szCs w:val="24"/>
        </w:rPr>
        <w:t>Washington (Bolsinger and Waddell 1993). Many wildlife species in this</w:t>
      </w:r>
      <w:r>
        <w:rPr>
          <w:szCs w:val="24"/>
        </w:rPr>
        <w:t xml:space="preserve"> </w:t>
      </w:r>
      <w:r w:rsidRPr="003F5AFA">
        <w:rPr>
          <w:szCs w:val="24"/>
        </w:rPr>
        <w:t>region rely entirely or in part on the availability of large live and dead</w:t>
      </w:r>
      <w:r>
        <w:rPr>
          <w:szCs w:val="24"/>
        </w:rPr>
        <w:t xml:space="preserve"> </w:t>
      </w:r>
      <w:r w:rsidRPr="003F5AFA">
        <w:rPr>
          <w:szCs w:val="24"/>
        </w:rPr>
        <w:t>trees</w:t>
      </w:r>
      <w:r>
        <w:rPr>
          <w:szCs w:val="24"/>
        </w:rPr>
        <w:t xml:space="preserve"> …</w:t>
      </w:r>
    </w:p>
    <w:p w:rsidR="00E50D6B" w:rsidRDefault="00E50D6B" w:rsidP="00E50D6B">
      <w:pPr>
        <w:ind w:left="720"/>
        <w:rPr>
          <w:szCs w:val="24"/>
        </w:rPr>
      </w:pPr>
      <w:r>
        <w:rPr>
          <w:szCs w:val="24"/>
        </w:rPr>
        <w:t xml:space="preserve">… </w:t>
      </w:r>
      <w:r w:rsidRPr="003F5AFA">
        <w:rPr>
          <w:szCs w:val="24"/>
        </w:rPr>
        <w:t>Other management goals can conflict</w:t>
      </w:r>
      <w:r>
        <w:rPr>
          <w:szCs w:val="24"/>
        </w:rPr>
        <w:t xml:space="preserve"> </w:t>
      </w:r>
      <w:r w:rsidRPr="003F5AFA">
        <w:rPr>
          <w:szCs w:val="24"/>
        </w:rPr>
        <w:t>with the aim to increase snag densities, such as thinning to accelerate</w:t>
      </w:r>
      <w:r>
        <w:rPr>
          <w:szCs w:val="24"/>
        </w:rPr>
        <w:t xml:space="preserve"> </w:t>
      </w:r>
      <w:r w:rsidRPr="003F5AFA">
        <w:rPr>
          <w:szCs w:val="24"/>
        </w:rPr>
        <w:t>old forest conditions in moister forests (northwestern OR, western WA),</w:t>
      </w:r>
      <w:r>
        <w:rPr>
          <w:szCs w:val="24"/>
        </w:rPr>
        <w:t xml:space="preserve"> </w:t>
      </w:r>
      <w:r w:rsidRPr="003F5AFA">
        <w:rPr>
          <w:szCs w:val="24"/>
        </w:rPr>
        <w:t>and fuel reduction treatments in drier forests (southwestern OR, eastern</w:t>
      </w:r>
      <w:r>
        <w:rPr>
          <w:szCs w:val="24"/>
        </w:rPr>
        <w:t xml:space="preserve"> </w:t>
      </w:r>
      <w:r w:rsidRPr="003F5AFA">
        <w:rPr>
          <w:szCs w:val="24"/>
        </w:rPr>
        <w:t>OR and WA)</w:t>
      </w:r>
      <w:r>
        <w:rPr>
          <w:szCs w:val="24"/>
        </w:rPr>
        <w:t>.</w:t>
      </w:r>
    </w:p>
    <w:p w:rsidR="00E50D6B" w:rsidRDefault="00E50D6B" w:rsidP="00E50D6B">
      <w:pPr>
        <w:ind w:left="720"/>
        <w:rPr>
          <w:szCs w:val="24"/>
        </w:rPr>
      </w:pPr>
      <w:r>
        <w:rPr>
          <w:szCs w:val="24"/>
        </w:rPr>
        <w:t>…</w:t>
      </w:r>
    </w:p>
    <w:p w:rsidR="00E50D6B" w:rsidRDefault="00E50D6B" w:rsidP="00E50D6B">
      <w:pPr>
        <w:ind w:left="720"/>
        <w:rPr>
          <w:szCs w:val="24"/>
        </w:rPr>
      </w:pPr>
      <w:r w:rsidRPr="003F5AFA">
        <w:rPr>
          <w:szCs w:val="24"/>
        </w:rPr>
        <w:t>While we observed increases in areas supporting large live trees and</w:t>
      </w:r>
      <w:r>
        <w:rPr>
          <w:szCs w:val="24"/>
        </w:rPr>
        <w:t xml:space="preserve"> </w:t>
      </w:r>
      <w:r w:rsidRPr="003F5AFA">
        <w:rPr>
          <w:szCs w:val="24"/>
        </w:rPr>
        <w:t>snags during recent decades (Fig. 6), these changes in area were relatively small (Fig. 5) and are therefore unlikely to offset past losses for</w:t>
      </w:r>
      <w:r>
        <w:rPr>
          <w:szCs w:val="24"/>
        </w:rPr>
        <w:t xml:space="preserve"> </w:t>
      </w:r>
      <w:r w:rsidRPr="003F5AFA">
        <w:rPr>
          <w:szCs w:val="24"/>
        </w:rPr>
        <w:t>the region as a whole. We observed increases in area with large live</w:t>
      </w:r>
      <w:r>
        <w:rPr>
          <w:szCs w:val="24"/>
        </w:rPr>
        <w:t xml:space="preserve"> </w:t>
      </w:r>
      <w:r w:rsidRPr="003F5AFA">
        <w:rPr>
          <w:szCs w:val="24"/>
        </w:rPr>
        <w:t>trees and snags on federal lands, but not on nonfederal lands, indicating</w:t>
      </w:r>
      <w:r>
        <w:rPr>
          <w:szCs w:val="24"/>
        </w:rPr>
        <w:t xml:space="preserve"> </w:t>
      </w:r>
      <w:r w:rsidRPr="003F5AFA">
        <w:rPr>
          <w:szCs w:val="24"/>
        </w:rPr>
        <w:t>that those federal lands drive most of the regional changes. The reduction of forest area supporting high densities of large live trees and</w:t>
      </w:r>
      <w:r>
        <w:rPr>
          <w:szCs w:val="24"/>
        </w:rPr>
        <w:t xml:space="preserve"> </w:t>
      </w:r>
      <w:r w:rsidRPr="003F5AFA">
        <w:rPr>
          <w:szCs w:val="24"/>
        </w:rPr>
        <w:t>snags since historical times and the lack of substantial increases during</w:t>
      </w:r>
      <w:r>
        <w:rPr>
          <w:szCs w:val="24"/>
        </w:rPr>
        <w:t xml:space="preserve"> </w:t>
      </w:r>
      <w:r w:rsidRPr="003F5AFA">
        <w:rPr>
          <w:szCs w:val="24"/>
        </w:rPr>
        <w:t>recent decades on all lands highlights major challenges to maintaining</w:t>
      </w:r>
      <w:r>
        <w:rPr>
          <w:szCs w:val="24"/>
        </w:rPr>
        <w:t xml:space="preserve"> </w:t>
      </w:r>
      <w:r w:rsidRPr="003F5AFA">
        <w:rPr>
          <w:szCs w:val="24"/>
        </w:rPr>
        <w:t>quality habitat for some wildlife species.</w:t>
      </w:r>
    </w:p>
    <w:p w:rsidR="00E50D6B" w:rsidRDefault="00E50D6B" w:rsidP="00E50D6B">
      <w:pPr>
        <w:ind w:left="720"/>
        <w:rPr>
          <w:b/>
          <w:szCs w:val="24"/>
        </w:rPr>
      </w:pPr>
      <w:r>
        <w:rPr>
          <w:szCs w:val="24"/>
        </w:rPr>
        <w:t>…</w:t>
      </w:r>
    </w:p>
    <w:p w:rsidR="00E50D6B" w:rsidRPr="003F5AFA" w:rsidRDefault="00E50D6B" w:rsidP="00E50D6B">
      <w:pPr>
        <w:ind w:left="720"/>
        <w:rPr>
          <w:b/>
          <w:szCs w:val="24"/>
        </w:rPr>
      </w:pPr>
      <w:r w:rsidRPr="003F5AFA">
        <w:rPr>
          <w:b/>
          <w:szCs w:val="24"/>
        </w:rPr>
        <w:t>Conclusions</w:t>
      </w:r>
    </w:p>
    <w:p w:rsidR="00E50D6B" w:rsidRDefault="00E50D6B" w:rsidP="00E50D6B">
      <w:pPr>
        <w:ind w:left="720"/>
        <w:rPr>
          <w:szCs w:val="24"/>
        </w:rPr>
      </w:pPr>
      <w:r w:rsidRPr="003F5AFA">
        <w:rPr>
          <w:szCs w:val="24"/>
        </w:rPr>
        <w:lastRenderedPageBreak/>
        <w:t>In part, the maintenance of forest biodiversity depends on the retention of existing and restoration of late-successional and older forest</w:t>
      </w:r>
      <w:r>
        <w:rPr>
          <w:szCs w:val="24"/>
        </w:rPr>
        <w:t xml:space="preserve"> </w:t>
      </w:r>
      <w:r w:rsidRPr="003F5AFA">
        <w:rPr>
          <w:szCs w:val="24"/>
        </w:rPr>
        <w:t>habitat for wildlife species to within natural or desired ranges. Our</w:t>
      </w:r>
      <w:r>
        <w:rPr>
          <w:szCs w:val="24"/>
        </w:rPr>
        <w:t xml:space="preserve"> </w:t>
      </w:r>
      <w:r w:rsidRPr="003F5AFA">
        <w:rPr>
          <w:szCs w:val="24"/>
        </w:rPr>
        <w:t>results indicate that the forests of Oregon and Washington have lost a</w:t>
      </w:r>
      <w:r>
        <w:rPr>
          <w:szCs w:val="24"/>
        </w:rPr>
        <w:t xml:space="preserve"> </w:t>
      </w:r>
      <w:r w:rsidRPr="003F5AFA">
        <w:rPr>
          <w:szCs w:val="24"/>
        </w:rPr>
        <w:t>substantial proportion of forests supporting large live trees and snags</w:t>
      </w:r>
      <w:r>
        <w:rPr>
          <w:szCs w:val="24"/>
        </w:rPr>
        <w:t xml:space="preserve"> </w:t>
      </w:r>
      <w:r w:rsidRPr="003F5AFA">
        <w:rPr>
          <w:szCs w:val="24"/>
        </w:rPr>
        <w:t>compared to reference conditions and that recruitment of these structural elements of wildlife habitat at regional scales is a slow process</w:t>
      </w:r>
      <w:r>
        <w:rPr>
          <w:szCs w:val="24"/>
        </w:rPr>
        <w:t xml:space="preserve">. … </w:t>
      </w:r>
      <w:r w:rsidRPr="003F5AFA">
        <w:rPr>
          <w:szCs w:val="24"/>
        </w:rPr>
        <w:t>Large</w:t>
      </w:r>
      <w:r>
        <w:rPr>
          <w:szCs w:val="24"/>
        </w:rPr>
        <w:t xml:space="preserve"> </w:t>
      </w:r>
      <w:r w:rsidRPr="003F5AFA">
        <w:rPr>
          <w:szCs w:val="24"/>
        </w:rPr>
        <w:t>quantities and diversities of dead wood structures are needed to</w:t>
      </w:r>
      <w:r>
        <w:rPr>
          <w:szCs w:val="24"/>
        </w:rPr>
        <w:t xml:space="preserve"> </w:t>
      </w:r>
      <w:r w:rsidRPr="003F5AFA">
        <w:rPr>
          <w:szCs w:val="24"/>
        </w:rPr>
        <w:t>maintain biodiversity in forest ecosystems (Sandström et al. 2019).</w:t>
      </w:r>
      <w:r>
        <w:rPr>
          <w:szCs w:val="24"/>
        </w:rPr>
        <w:t xml:space="preserve"> </w:t>
      </w:r>
      <w:r w:rsidRPr="003F5AFA">
        <w:rPr>
          <w:szCs w:val="24"/>
        </w:rPr>
        <w:t>Given that most forests supporting large live trees and snags are federally managed, these federal lands will be central to the conservation</w:t>
      </w:r>
      <w:r>
        <w:rPr>
          <w:szCs w:val="24"/>
        </w:rPr>
        <w:t xml:space="preserve"> </w:t>
      </w:r>
      <w:r w:rsidRPr="003F5AFA">
        <w:rPr>
          <w:szCs w:val="24"/>
        </w:rPr>
        <w:t>and management of large live trees and snags in the Pacific Northwest</w:t>
      </w:r>
      <w:r>
        <w:rPr>
          <w:szCs w:val="24"/>
        </w:rPr>
        <w:t xml:space="preserve">. </w:t>
      </w:r>
    </w:p>
    <w:p w:rsidR="00E50D6B" w:rsidRDefault="00E50D6B" w:rsidP="00E50D6B">
      <w:pPr>
        <w:rPr>
          <w:szCs w:val="24"/>
        </w:rPr>
      </w:pPr>
      <w:r w:rsidRPr="008F711D">
        <w:rPr>
          <w:szCs w:val="24"/>
        </w:rPr>
        <w:t>David M. Bel</w:t>
      </w:r>
      <w:r>
        <w:rPr>
          <w:szCs w:val="24"/>
        </w:rPr>
        <w:t xml:space="preserve">l et al 2021. </w:t>
      </w:r>
      <w:r w:rsidRPr="008F711D">
        <w:rPr>
          <w:szCs w:val="24"/>
        </w:rPr>
        <w:t>Quantifying regional trends in large live tree and snag availability in support</w:t>
      </w:r>
      <w:r>
        <w:rPr>
          <w:szCs w:val="24"/>
        </w:rPr>
        <w:t xml:space="preserve"> </w:t>
      </w:r>
      <w:r w:rsidRPr="008F711D">
        <w:rPr>
          <w:szCs w:val="24"/>
        </w:rPr>
        <w:t>of forest management</w:t>
      </w:r>
      <w:r>
        <w:rPr>
          <w:szCs w:val="24"/>
        </w:rPr>
        <w:t xml:space="preserve">. </w:t>
      </w:r>
      <w:r w:rsidRPr="008F711D">
        <w:rPr>
          <w:szCs w:val="24"/>
        </w:rPr>
        <w:t>Forest Ecology and Management 479 (2021)</w:t>
      </w:r>
      <w:r>
        <w:rPr>
          <w:szCs w:val="24"/>
        </w:rPr>
        <w:t xml:space="preserve">. </w:t>
      </w:r>
      <w:hyperlink r:id="rId188" w:history="1">
        <w:r w:rsidRPr="0057238E">
          <w:rPr>
            <w:rStyle w:val="Hyperlink"/>
            <w:szCs w:val="24"/>
          </w:rPr>
          <w:t>https://pdf.sciencedirectassets.com/271259/1-s2.0-S0378112720X0020X/1-s2.0-S0378112720313232/am.pdf</w:t>
        </w:r>
      </w:hyperlink>
      <w:r>
        <w:rPr>
          <w:szCs w:val="24"/>
        </w:rPr>
        <w:t xml:space="preserve">. </w:t>
      </w:r>
    </w:p>
    <w:p w:rsidR="007373B2" w:rsidRDefault="007373B2" w:rsidP="00E50D6B">
      <w:pPr>
        <w:rPr>
          <w:szCs w:val="24"/>
        </w:rPr>
      </w:pPr>
    </w:p>
    <w:p w:rsidR="007373B2" w:rsidRDefault="007373B2" w:rsidP="008E1B10">
      <w:pPr>
        <w:pStyle w:val="BodyTextIndent"/>
        <w:ind w:left="720"/>
      </w:pPr>
      <w:r>
        <w:rPr>
          <w:b/>
        </w:rPr>
        <w:t>What’s so important about snags and down logs?</w:t>
      </w:r>
    </w:p>
    <w:p w:rsidR="007373B2" w:rsidRDefault="007373B2" w:rsidP="008E1B10">
      <w:pPr>
        <w:pStyle w:val="BodyTextIndent"/>
        <w:ind w:left="720"/>
      </w:pPr>
      <w:r>
        <w:t>Snags provide homes to owls, woodpeckers, bats, squirrels, bluebirds, wood ducks, swallows, mergansers, weasels, raccoons and many other animals. More than 50 species of birds and mammals use snags for nesting, feeding and shelter. A lack of snag cavities for nesting can limit populations of some bird species. Snags larger than 20 inches DBH are in short supply on private lands. Snags can be created from live trees, and wildlife respond quickly to their availability.</w:t>
      </w:r>
    </w:p>
    <w:p w:rsidR="007373B2" w:rsidRDefault="007373B2" w:rsidP="008E1B10">
      <w:pPr>
        <w:pStyle w:val="BodyTextIndent"/>
        <w:ind w:left="720"/>
      </w:pPr>
      <w:r>
        <w:t>You can reduce the cost of leaving snags by selecting rotting or deformed trees. In eastern Oregon, down logs are used by 150 species of wildlife, including amphibians, reptiles, birds and mammals. Logs are also important to certain insects, fungi and plants. … [A] forest without down logs may have fewer species of plants and animals.</w:t>
      </w:r>
    </w:p>
    <w:p w:rsidR="007373B2" w:rsidRDefault="007373B2" w:rsidP="007373B2">
      <w:r>
        <w:t xml:space="preserve">Oregon Forest Resources Institute 2011. Oregon’ Forest Protection Laws – An Illustrated Manual, Revised Second Edition. </w:t>
      </w:r>
      <w:hyperlink r:id="rId189" w:history="1">
        <w:r>
          <w:rPr>
            <w:rStyle w:val="Hyperlink"/>
          </w:rPr>
          <w:t>http://www.forestresourceinstitute.com/images/or_for_protect_laws_2011.pdf</w:t>
        </w:r>
      </w:hyperlink>
      <w:r>
        <w:t>.</w:t>
      </w:r>
    </w:p>
    <w:p w:rsidR="007373B2" w:rsidRDefault="007373B2"/>
    <w:p w:rsidR="007373B2" w:rsidRDefault="007373B2" w:rsidP="007373B2">
      <w:r>
        <w:t xml:space="preserve">Snags are not just nice to have, they are an essential feature of old forests. A stand of big trees without snags is not a healthy forest. The ICBEMP Scientific Analysis Group (SAG) review of selected terrestrial vertebrate populations used “large snag density as a proxy for the structural quality of old-forest habitats.” and the SAG found that </w:t>
      </w:r>
    </w:p>
    <w:p w:rsidR="007373B2" w:rsidRDefault="007373B2" w:rsidP="007373B2">
      <w:pPr>
        <w:ind w:left="720"/>
        <w:rPr>
          <w:i/>
        </w:rPr>
      </w:pPr>
      <w:r>
        <w:t>Key model factors contributing most strongly to low environmental index values and low population outcomes—</w:t>
      </w:r>
    </w:p>
    <w:p w:rsidR="007373B2" w:rsidRDefault="007373B2" w:rsidP="007373B2">
      <w:pPr>
        <w:ind w:left="720"/>
      </w:pPr>
      <w:r>
        <w:rPr>
          <w:i/>
        </w:rPr>
        <w:t>Families 1 and 2 (Old-forest families)—</w:t>
      </w:r>
    </w:p>
    <w:p w:rsidR="007373B2" w:rsidRDefault="007373B2" w:rsidP="007373B2">
      <w:pPr>
        <w:ind w:left="1080"/>
      </w:pPr>
      <w:r>
        <w:t xml:space="preserve">• Low recruitment of large snags composed of shade-intolerant tree species, such as ponderosa pine, western larch, and western white pine, as indexed by moderate and high HRV (Lewis’ woodpecker (migrant), pygmy nuthatch, flammulated owl), are the key factors contributing to low environmental index and low population outcomes. </w:t>
      </w:r>
    </w:p>
    <w:p w:rsidR="007373B2" w:rsidRDefault="007373B2" w:rsidP="007373B2">
      <w:pPr>
        <w:ind w:left="1080"/>
        <w:rPr>
          <w:i/>
        </w:rPr>
      </w:pPr>
      <w:r>
        <w:t xml:space="preserve">• Low quality of old-forest structural conditions (lack of diversity of size and decadence of large trees, large snags, and large logs), as indexed by declining large </w:t>
      </w:r>
      <w:r>
        <w:lastRenderedPageBreak/>
        <w:t xml:space="preserve">snag and/or large log trends (northern goshawk [summer], American marten, hoary bat), are the key factors. … </w:t>
      </w:r>
    </w:p>
    <w:p w:rsidR="007373B2" w:rsidRDefault="007373B2" w:rsidP="007373B2">
      <w:pPr>
        <w:ind w:left="720"/>
      </w:pPr>
      <w:r>
        <w:rPr>
          <w:i/>
        </w:rPr>
        <w:t>Long-eared myotis (Family 7)—</w:t>
      </w:r>
    </w:p>
    <w:p w:rsidR="007373B2" w:rsidRDefault="007373B2" w:rsidP="007373B2">
      <w:pPr>
        <w:ind w:left="1080"/>
        <w:rPr>
          <w:rFonts w:ascii="Cambria Math" w:hAnsi="Cambria Math" w:cs="Cambria Math"/>
          <w:i/>
          <w:iCs/>
          <w:szCs w:val="24"/>
        </w:rPr>
      </w:pPr>
      <w:r>
        <w:t xml:space="preserve">• … decreasing snag trends (indexing low availability of roost sites) contribute to low environmental index and low population outcomes. … </w:t>
      </w:r>
    </w:p>
    <w:p w:rsidR="007373B2" w:rsidRDefault="007373B2" w:rsidP="007373B2">
      <w:pPr>
        <w:ind w:left="720"/>
        <w:rPr>
          <w:rFonts w:ascii="Cambria Math" w:hAnsi="Cambria Math" w:cs="Cambria Math"/>
          <w:szCs w:val="24"/>
        </w:rPr>
      </w:pPr>
      <w:r>
        <w:rPr>
          <w:rFonts w:ascii="Cambria Math" w:hAnsi="Cambria Math" w:cs="Cambria Math"/>
          <w:i/>
          <w:iCs/>
          <w:szCs w:val="24"/>
        </w:rPr>
        <w:t>Western bluebird (Family 8)</w:t>
      </w:r>
      <w:r>
        <w:rPr>
          <w:rFonts w:ascii="Cambria Math" w:hAnsi="Cambria Math" w:cs="Cambria Math"/>
          <w:szCs w:val="24"/>
        </w:rPr>
        <w:t>—</w:t>
      </w:r>
    </w:p>
    <w:p w:rsidR="007373B2" w:rsidRDefault="007373B2" w:rsidP="007373B2">
      <w:pPr>
        <w:ind w:left="1080"/>
        <w:rPr>
          <w:szCs w:val="24"/>
        </w:rPr>
      </w:pPr>
      <w:r>
        <w:rPr>
          <w:rFonts w:ascii="Cambria Math" w:hAnsi="Cambria Math" w:cs="Cambria Math"/>
          <w:szCs w:val="24"/>
        </w:rPr>
        <w:t xml:space="preserve">• High HRV departure and declining large snag density (indexing a lack of </w:t>
      </w:r>
      <w:r>
        <w:t>shade</w:t>
      </w:r>
      <w:r>
        <w:rPr>
          <w:rFonts w:ascii="Cambria Math" w:hAnsi="Cambria Math" w:cs="Cambria Math"/>
          <w:szCs w:val="24"/>
        </w:rPr>
        <w:t>-</w:t>
      </w:r>
      <w:r>
        <w:t>intolerant</w:t>
      </w:r>
      <w:r>
        <w:rPr>
          <w:rFonts w:ascii="Cambria Math" w:hAnsi="Cambria Math" w:cs="Cambria Math"/>
          <w:szCs w:val="24"/>
        </w:rPr>
        <w:t xml:space="preserve"> tree species recruited as snags) contribute to the low environmental index and low population outcomes.</w:t>
      </w:r>
    </w:p>
    <w:p w:rsidR="007373B2" w:rsidRDefault="007373B2" w:rsidP="007373B2">
      <w:r>
        <w:rPr>
          <w:szCs w:val="24"/>
        </w:rPr>
        <w:t>Martin G. Raphael, Richard S. Holthausen, Bruce G. Marcot, Terrell D. Rich, Mary M. Rowland, Barbara C. Wales, Michael J. Wisdom, 2000. DRAFT Effects of SDEIS Alternatives on Selected Terrestrial Vertebrates of Conservation Concern within the Interior Columbia River Basin Ecosystem Management Project, March 2000, revised June 23 , 2000 and November 14, 2000.</w:t>
      </w:r>
    </w:p>
    <w:p w:rsidR="007373B2" w:rsidRDefault="007373B2"/>
    <w:p w:rsidR="00D72440" w:rsidRDefault="00D72440" w:rsidP="00C13CE6">
      <w:r>
        <w:t>The draft wildlife assessment Figure 2 purports to shows stand structural stages, but it is virtually devoid of snags and dead wood. This is highly inaccurate and misleading. Virtually every form of n</w:t>
      </w:r>
      <w:r w:rsidR="0065450F">
        <w:t>at</w:t>
      </w:r>
      <w:r>
        <w:t>u</w:t>
      </w:r>
      <w:r w:rsidR="0065450F">
        <w:t>r</w:t>
      </w:r>
      <w:r>
        <w:t>al distu</w:t>
      </w:r>
      <w:r w:rsidR="0065450F">
        <w:t>r</w:t>
      </w:r>
      <w:r>
        <w:t xml:space="preserve">bance retains </w:t>
      </w:r>
      <w:r w:rsidR="0065450F">
        <w:t xml:space="preserve">all or most of the large woody material that persists on sites for decades (and sometimes centuries). This woods serves valuable ecosystem services, especially for wildlife. Keep in mind that virtually every tree that grows in a forest dies in the forest and stays in the forest. This is the system that wildlife evolved under. Dead wood is in short supply, and many management activities, especially logging and roads, reduces dead wood recruitment. </w:t>
      </w:r>
      <w:r w:rsidR="0065450F" w:rsidRPr="0065450F">
        <w:t xml:space="preserve">Korol et al (2002) estimated that even if we apply enlightened forest management on federal lands in the Interior Columbia Basin for the next 100 years, we will still reach only 75% of the historic large snag abundance, and most of the increase in large snags will occur in roadless and wilderness areas. Jerome J. Korol, Miles A. Hemstrom, Wendel J. Hann, and Rebecca A. Gravenmier. 2002. Snags and Down Wood in the Interior Columbia Basin Ecosystem Management Project. PNW-GTR-181. </w:t>
      </w:r>
      <w:hyperlink r:id="rId190" w:history="1">
        <w:r w:rsidR="0065450F" w:rsidRPr="007A4D60">
          <w:rPr>
            <w:rStyle w:val="Hyperlink"/>
          </w:rPr>
          <w:t>http://www.fs.fed.us/psw/publications/documents/gtr-181/049_Korol.pdf</w:t>
        </w:r>
      </w:hyperlink>
      <w:r w:rsidR="0065450F" w:rsidRPr="0065450F">
        <w:t>.</w:t>
      </w:r>
      <w:r w:rsidR="0065450F">
        <w:t xml:space="preserve"> </w:t>
      </w:r>
    </w:p>
    <w:p w:rsidR="00D72440" w:rsidRDefault="00D72440" w:rsidP="00C13CE6"/>
    <w:p w:rsidR="00AD13DF" w:rsidRDefault="00BF202B" w:rsidP="00C13CE6">
      <w:pPr>
        <w:rPr>
          <w:lang w:val="en-US"/>
        </w:rPr>
      </w:pPr>
      <w:r>
        <w:rPr>
          <w:lang w:val="en-US"/>
        </w:rPr>
        <w:t xml:space="preserve">The adverse effects of logging must be acknowledged and disclosed. </w:t>
      </w:r>
    </w:p>
    <w:p w:rsidR="00A150D6" w:rsidRDefault="00A150D6" w:rsidP="00A150D6">
      <w:pPr>
        <w:ind w:left="720"/>
      </w:pPr>
      <w:r>
        <w:t>“Two common consequences of conventional thinning practices have been increased uniformity of forest structure and composition, and removal or delay in the development of dead wood as snags or down wood to meet decadence and habitat functions. … Over the past several decades our ecological understanding of decadence and its importance to habitat and biogeochemical processes has increased substantially, but translation of the fundamental knowledge into coherent goals is lagging.”</w:t>
      </w:r>
    </w:p>
    <w:p w:rsidR="00A150D6" w:rsidRDefault="00A150D6" w:rsidP="00A150D6">
      <w:r>
        <w:t xml:space="preserve">Paul D. Anderson 2013. </w:t>
      </w:r>
      <w:r>
        <w:rPr>
          <w:szCs w:val="20"/>
        </w:rPr>
        <w:t xml:space="preserve">Two Decades of Learning about Thinning in the Ecosystem Management Era. </w:t>
      </w:r>
      <w:hyperlink r:id="rId191" w:history="1">
        <w:r>
          <w:rPr>
            <w:rStyle w:val="Hyperlink"/>
          </w:rPr>
          <w:t>http://www.fs.fed.us/pnw/pubs/pnw_gtr880/pnw_gtr880_001.pdf</w:t>
        </w:r>
      </w:hyperlink>
      <w:r>
        <w:t xml:space="preserve"> in Density Management in the 21st Century: West Side Story PNW-GTR-880. </w:t>
      </w:r>
      <w:hyperlink r:id="rId192" w:history="1">
        <w:r>
          <w:rPr>
            <w:rStyle w:val="Hyperlink"/>
            <w:szCs w:val="20"/>
          </w:rPr>
          <w:t>http://www.treesearch.fs.fed.us/pubs/44695</w:t>
        </w:r>
      </w:hyperlink>
    </w:p>
    <w:p w:rsidR="00A150D6" w:rsidRDefault="00A150D6" w:rsidP="00A150D6">
      <w:pPr>
        <w:rPr>
          <w:lang w:val="en-US"/>
        </w:rPr>
      </w:pPr>
    </w:p>
    <w:p w:rsidR="00BF202B" w:rsidRDefault="00BF202B" w:rsidP="00C13CE6">
      <w:pPr>
        <w:rPr>
          <w:lang w:val="en-US"/>
        </w:rPr>
      </w:pPr>
      <w:r w:rsidRPr="00BF202B">
        <w:rPr>
          <w:lang w:val="en-US"/>
        </w:rPr>
        <w:t>The 2017 Science Synthesis for the NW Forest Plan says partial cutting in older forests will “strongly impact dead wood amounts, and the accompanying road and harvest system will add additional impacts.”</w:t>
      </w:r>
    </w:p>
    <w:p w:rsidR="00A150D6" w:rsidRDefault="00A150D6" w:rsidP="00C13CE6">
      <w:pPr>
        <w:rPr>
          <w:lang w:val="en-US"/>
        </w:rPr>
      </w:pPr>
    </w:p>
    <w:p w:rsidR="00A150D6" w:rsidRDefault="00A150D6" w:rsidP="00A150D6">
      <w:r>
        <w:lastRenderedPageBreak/>
        <w:t xml:space="preserve">There is a widely held belief that growing big trees faster by thinning, also benefits snag associated wildlife and fish because if there are bigger trees, there must also be bigger snags faster. This assumption does not hold up under scrutiny. Thinning captures mortality and removes it from the forest to the mill. It also increases the vigor of trees and delays mortality. BLM says “Thinning ‘captures’ much of the snag recruitment that results from inter-tree competition and very little density mortality … is expected to occur for 25 years after treatment.” Salem BLM, South Scappoose EA. </w:t>
      </w:r>
      <w:hyperlink r:id="rId193" w:history="1">
        <w:r w:rsidRPr="00E70B6A">
          <w:rPr>
            <w:rStyle w:val="Hyperlink"/>
          </w:rPr>
          <w:t>http://www.blm.gov/or/districts/salem/plans/files/SSC_EA.pdf</w:t>
        </w:r>
      </w:hyperlink>
      <w:r>
        <w:t xml:space="preserve">.  See this online slideshow which shows the modeled effects of thinning on dead wood habitat. </w:t>
      </w:r>
      <w:hyperlink r:id="rId194" w:history="1">
        <w:r>
          <w:rPr>
            <w:rStyle w:val="Hyperlink"/>
          </w:rPr>
          <w:t>http://www.slideshare.net/dougoh/effects-of-logging-on-dead-wood-habitat</w:t>
        </w:r>
      </w:hyperlink>
      <w:r>
        <w:t>. Stand simulation models clearly show that we need to count the effects of thinning on dead wood as a “cost” instead of the “benefit”, so we need to consider appropriate methods to avoid and mitigate impacts. Avoidance is just to leave stands unthinned and let them naturally grow and recruit mortality over time. Mitigation can come in several forms. Here are a few ideas:</w:t>
      </w:r>
    </w:p>
    <w:p w:rsidR="00A150D6" w:rsidRDefault="00A150D6" w:rsidP="00E60165">
      <w:pPr>
        <w:ind w:left="540"/>
      </w:pPr>
      <w:r>
        <w:t xml:space="preserve"> a) truly mimic natural disturbance by thinning with prescribed fire that creates a pulse of dead trees and does not build roads. This could be combined with light thinning;</w:t>
      </w:r>
    </w:p>
    <w:p w:rsidR="00A150D6" w:rsidRDefault="00A150D6" w:rsidP="00E60165">
      <w:pPr>
        <w:ind w:left="540"/>
      </w:pPr>
      <w:r>
        <w:t xml:space="preserve"> b) retain abundant untreated areas such as riparian areas and other “skips” within thinning areas where natural mortality can proceed without interference, and make sure these areas do not get salvaged or thinned in subsequent entries so that mortality gets recruited to the stands, not to the mill;</w:t>
      </w:r>
    </w:p>
    <w:p w:rsidR="00A150D6" w:rsidRDefault="00A150D6" w:rsidP="00E60165">
      <w:pPr>
        <w:ind w:left="540"/>
      </w:pPr>
      <w:r>
        <w:t xml:space="preserve"> c) identify which portions of the landscape will remain unthinned in perpetuity and keep the loggers out. Use tools like DecAID determine the appropriate portion of the landscape must be managed to meet the each different tolerance levels in order to attain desired objectives over time for viable populations, carbon storage, soil stability/sediment storage and routing, nutrient cycling, site productivity, water storage, and other ecological services.</w:t>
      </w:r>
    </w:p>
    <w:p w:rsidR="00A150D6" w:rsidRDefault="00A150D6" w:rsidP="00A150D6">
      <w:pPr>
        <w:rPr>
          <w:szCs w:val="24"/>
        </w:rPr>
      </w:pPr>
      <w:r>
        <w:t>NOTE: simply protecting existing snags or artificially creating a few snags during logging has a very short-term effect that does not address the more fundamental issue of continuous snag recruitment over time.</w:t>
      </w:r>
    </w:p>
    <w:p w:rsidR="00A150D6" w:rsidRDefault="00A150D6" w:rsidP="00A150D6"/>
    <w:p w:rsidR="00A150D6" w:rsidRDefault="00A150D6" w:rsidP="00A150D6">
      <w:pPr>
        <w:rPr>
          <w:szCs w:val="24"/>
        </w:rPr>
      </w:pPr>
      <w:r>
        <w:t>One of the big challenges of any restoration thinning regime, is that virtually all logging tends to “capture mortality,” yet the trees that are removed represent future snags and down logs and are valuable (even essential) components of any complex forest</w:t>
      </w:r>
      <w:r>
        <w:rPr>
          <w:szCs w:val="24"/>
        </w:rPr>
        <w:t>. “Carey et al. (1999) found that coarse woody debris amounts declined significantly as a result of variable density thinning, especially the higher decay classes, despite the intent of the treatment to leave all existing debris in place.”</w:t>
      </w:r>
      <w:r>
        <w:rPr>
          <w:rStyle w:val="FootnoteCharacters"/>
          <w:szCs w:val="24"/>
        </w:rPr>
        <w:footnoteReference w:id="3"/>
      </w:r>
      <w:r>
        <w:rPr>
          <w:szCs w:val="24"/>
        </w:rPr>
        <w:t xml:space="preserve"> </w:t>
      </w:r>
      <w:r>
        <w:t xml:space="preserve">The agency cannot use “average” snag levels as a management objective within treatment areas, because treatments are essentially displacing natural disturbance events which would normally create and retain large numbers of snags, so disturbance areas should have abundant snags, not average levels of snags. Managing for decadence in young stands is not a trivial issue because among the many other valuable attributes of dead wood, it is strongly </w:t>
      </w:r>
      <w:r>
        <w:lastRenderedPageBreak/>
        <w:t>associated with healthy populations of many small animals species that in turn help support populations of at-risk predators such as spotted owls, goshawk, fisher, marten, etc.</w:t>
      </w:r>
    </w:p>
    <w:p w:rsidR="00A150D6" w:rsidRDefault="00A150D6"/>
    <w:p w:rsidR="002B4687" w:rsidRDefault="002B4687" w:rsidP="002B4687">
      <w:pPr>
        <w:rPr>
          <w:szCs w:val="24"/>
        </w:rPr>
      </w:pPr>
      <w:r>
        <w:rPr>
          <w:szCs w:val="24"/>
        </w:rPr>
        <w:t>Harmon (1999) said:</w:t>
      </w:r>
    </w:p>
    <w:p w:rsidR="002B4687" w:rsidRDefault="002B4687" w:rsidP="002B4687">
      <w:pPr>
        <w:ind w:left="720"/>
        <w:rPr>
          <w:szCs w:val="24"/>
        </w:rPr>
      </w:pPr>
      <w:r w:rsidRPr="00920671">
        <w:rPr>
          <w:b/>
        </w:rPr>
        <w:t>Linking Live and Dead Trees</w:t>
      </w:r>
      <w:r>
        <w:rPr>
          <w:b/>
        </w:rPr>
        <w:t xml:space="preserve"> - </w:t>
      </w:r>
      <w:r>
        <w:t>Although developing a viable morticulture will require new knowledge, in many cases it will require that we apply what we already know. For example, we already know that live trees eventually form dead trees, but it is amazing that this dynamic is often missing from current forest management thinking. … Forest management in the past century has focused on how to lower mortality rates via thinning, fire protection, etc. Ironically, the next century of forest management may be occupied with how to increase mortality when and where we want it. … [H]ow might this new paradigm of morticulture work? It would probably start by answering the question of which species or processes are to be maintained, restored, or otherwise managed (fig. 5). Then the target levels for these functions should be determined. Before assessing the amount of woody detritus to be maintained or added to meet this functional target, the landscape context for the management action should be assessed. Are there limitations of populations or processes that would limit the desired response? If not, a plan to add wood would be designed to maintain the desired level. But if there are landscape limitations, then these should be addressed before planning at the stand-level proceeds.”)</w:t>
      </w:r>
    </w:p>
    <w:p w:rsidR="002B4687" w:rsidRDefault="002B4687" w:rsidP="002B4687">
      <w:pPr>
        <w:ind w:left="720"/>
        <w:rPr>
          <w:szCs w:val="24"/>
        </w:rPr>
      </w:pPr>
      <w:r w:rsidRPr="0044375E">
        <w:rPr>
          <w:noProof/>
          <w:lang w:val="en-US"/>
        </w:rPr>
        <w:drawing>
          <wp:inline distT="0" distB="0" distL="0" distR="0">
            <wp:extent cx="4927600" cy="3587750"/>
            <wp:effectExtent l="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4927600" cy="3587750"/>
                    </a:xfrm>
                    <a:prstGeom prst="rect">
                      <a:avLst/>
                    </a:prstGeom>
                    <a:noFill/>
                    <a:ln>
                      <a:noFill/>
                    </a:ln>
                  </pic:spPr>
                </pic:pic>
              </a:graphicData>
            </a:graphic>
          </wp:inline>
        </w:drawing>
      </w:r>
    </w:p>
    <w:p w:rsidR="002B4687" w:rsidRDefault="002B4687" w:rsidP="002B4687">
      <w:r>
        <w:t xml:space="preserve">See Harmon, Mark 1999. Moving towards a New Paradigm for Woody Detritus Management. </w:t>
      </w:r>
      <w:r w:rsidRPr="00A4184F">
        <w:rPr>
          <w:i/>
        </w:rPr>
        <w:t>in</w:t>
      </w:r>
      <w:r>
        <w:t xml:space="preserve"> </w:t>
      </w:r>
      <w:r w:rsidRPr="00A4184F">
        <w:t>Proceedings of the Symposium on the Ecology and Management of Dead Wood in Western Forests.</w:t>
      </w:r>
      <w:r>
        <w:t xml:space="preserve"> PSW-GTR-181. </w:t>
      </w:r>
      <w:hyperlink r:id="rId196" w:history="1">
        <w:r>
          <w:rPr>
            <w:rStyle w:val="Hyperlink"/>
          </w:rPr>
          <w:t>http://www.fs.fed.us/psw/publications/documents/gtr-181/</w:t>
        </w:r>
      </w:hyperlink>
    </w:p>
    <w:p w:rsidR="002B4687" w:rsidRDefault="00F03224" w:rsidP="002B4687">
      <w:hyperlink r:id="rId197" w:history="1">
        <w:r w:rsidR="002B4687" w:rsidRPr="00187B8E">
          <w:rPr>
            <w:rStyle w:val="Hyperlink"/>
            <w:szCs w:val="24"/>
          </w:rPr>
          <w:t>https://www.fs.fed.us/psw/publications/documents/gtr-181/071_Harm.pdf</w:t>
        </w:r>
      </w:hyperlink>
      <w:r w:rsidR="002B4687">
        <w:rPr>
          <w:szCs w:val="24"/>
        </w:rPr>
        <w:t xml:space="preserve">. Using </w:t>
      </w:r>
      <w:r w:rsidR="002B4687">
        <w:t xml:space="preserve">DecAID or other tools, the agency needs to identify appropriate goals for snags and dead wood habitat </w:t>
      </w:r>
      <w:r w:rsidR="002B4687">
        <w:lastRenderedPageBreak/>
        <w:t>based on the needs of wildlife that are most sensitive to the absence of such habitat features. The agency needs to analyze how to achieve those goals by retaining an adequate population of green trees and maintaining natural mortality processes that can act on those trees.</w:t>
      </w:r>
    </w:p>
    <w:p w:rsidR="002B4687" w:rsidRDefault="002B4687" w:rsidP="002B4687"/>
    <w:p w:rsidR="002B4687" w:rsidRDefault="002B4687" w:rsidP="002B4687">
      <w:r>
        <w:t>This graphic from the Microsoft Teams public meeting held Feb 1, 2023 to discuss the draft report of the “</w:t>
      </w:r>
      <w:r w:rsidRPr="004C17C4">
        <w:t>2nd Annual Adaptive Management Workgroup: Management Direction for Large Diameter Trees</w:t>
      </w:r>
      <w:r>
        <w:t xml:space="preserve">” clearly shows the close association between the abundance of large live trees and large snags. This makes perfect sense because all snags are a product of large live trees. The </w:t>
      </w:r>
      <w:r w:rsidR="007C0A49">
        <w:rPr>
          <w:szCs w:val="24"/>
        </w:rPr>
        <w:t xml:space="preserve">Assessment </w:t>
      </w:r>
      <w:r w:rsidR="007C0A49">
        <w:t>should</w:t>
      </w:r>
      <w:r>
        <w:t xml:space="preserve"> provide an honest and accurate disclosure of the adverse effects of commercial removal of medium and large trees on the future recruitment of large snags.</w:t>
      </w:r>
    </w:p>
    <w:p w:rsidR="002B4687" w:rsidRDefault="002B4687" w:rsidP="002B4687"/>
    <w:p w:rsidR="002B4687" w:rsidRDefault="002B4687" w:rsidP="002B4687">
      <w:pPr>
        <w:ind w:left="720"/>
      </w:pPr>
      <w:r>
        <w:rPr>
          <w:noProof/>
          <w:lang w:val="en-US"/>
        </w:rPr>
        <w:drawing>
          <wp:inline distT="0" distB="0" distL="0" distR="0">
            <wp:extent cx="5054600" cy="2908447"/>
            <wp:effectExtent l="0" t="0" r="0" b="6350"/>
            <wp:docPr id="7" name="Picture 7" descr="green trees connected to snag abund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reen trees connected to snag abundance"/>
                    <pic:cNvPicPr>
                      <a:picLocks noChangeAspect="1" noChangeArrowheads="1"/>
                    </pic:cNvPicPr>
                  </pic:nvPicPr>
                  <pic:blipFill>
                    <a:blip r:embed="rId198" cstate="print">
                      <a:extLst>
                        <a:ext uri="{28A0092B-C50C-407E-A947-70E740481C1C}">
                          <a14:useLocalDpi xmlns:a14="http://schemas.microsoft.com/office/drawing/2010/main" val="0"/>
                        </a:ext>
                      </a:extLst>
                    </a:blip>
                    <a:srcRect t="7779" b="15956"/>
                    <a:stretch>
                      <a:fillRect/>
                    </a:stretch>
                  </pic:blipFill>
                  <pic:spPr bwMode="auto">
                    <a:xfrm>
                      <a:off x="0" y="0"/>
                      <a:ext cx="5060853" cy="2912045"/>
                    </a:xfrm>
                    <a:prstGeom prst="rect">
                      <a:avLst/>
                    </a:prstGeom>
                    <a:noFill/>
                    <a:ln>
                      <a:noFill/>
                    </a:ln>
                  </pic:spPr>
                </pic:pic>
              </a:graphicData>
            </a:graphic>
          </wp:inline>
        </w:drawing>
      </w:r>
    </w:p>
    <w:p w:rsidR="002B4687" w:rsidRDefault="00F03224" w:rsidP="002B4687">
      <w:hyperlink r:id="rId199" w:history="1">
        <w:r w:rsidR="002B4687" w:rsidRPr="0044000D">
          <w:rPr>
            <w:rStyle w:val="Hyperlink"/>
          </w:rPr>
          <w:t>https://www.fs.usda.gov/project/?project=58050</w:t>
        </w:r>
      </w:hyperlink>
      <w:r w:rsidR="002B4687">
        <w:t xml:space="preserve"> </w:t>
      </w:r>
    </w:p>
    <w:p w:rsidR="002B4687" w:rsidRDefault="002B4687" w:rsidP="002B4687">
      <w:pPr>
        <w:rPr>
          <w:szCs w:val="24"/>
        </w:rPr>
      </w:pPr>
    </w:p>
    <w:p w:rsidR="00BF202B" w:rsidRDefault="00BF202B" w:rsidP="00BF202B">
      <w:pPr>
        <w:rPr>
          <w:szCs w:val="24"/>
        </w:rPr>
      </w:pPr>
      <w:r>
        <w:t xml:space="preserve">Federal forest management also needs to mitigate for conditions on non-federal lands where dead wood is highly under-represented. PNW Research reported that “Large snags and logs decreased on forest industry lands as legacy dead wood derived from historical natural disturbance events was not replaced through management. Conservation oriented policies designed to maintain or increase dead wood may have strong positive influence on large dead wood abundance and related biodiversity in parts of a region also under intensive management.” Kennedy, R. 2010. Large dead wood in coastal forests projected to increase on federal land, decrease on private. </w:t>
      </w:r>
      <w:r>
        <w:rPr>
          <w:i/>
        </w:rPr>
        <w:t>In</w:t>
      </w:r>
      <w:r>
        <w:t xml:space="preserve"> Mazza, Rhonda 2010. 2010 Science Accomplishments Report of the Pacific Northwest Research Station. Portland, OR: U.S. Department of Agriculture, Forest Service, Pacific Northwest Research Station. 88 p. </w:t>
      </w:r>
      <w:hyperlink r:id="rId200" w:history="1">
        <w:r>
          <w:rPr>
            <w:rStyle w:val="Hyperlink"/>
          </w:rPr>
          <w:t>http://www.treesearch.fs.fed.us/pubs/37383</w:t>
        </w:r>
      </w:hyperlink>
      <w:r>
        <w:t>.</w:t>
      </w:r>
    </w:p>
    <w:p w:rsidR="00BF202B" w:rsidRDefault="00BF202B" w:rsidP="00C13CE6"/>
    <w:p w:rsidR="004462DD" w:rsidRDefault="004462DD" w:rsidP="004462DD">
      <w:r>
        <w:t xml:space="preserve">We urge the Forest Service to recognize that under natural conditions, a forest hands down a large legacy of living and dead material from one stand to another even after an intense disturbance. Even non-stand-replacing disturbance creates pulses of dead material that are critical for forest ecosystems. The Assessment should incorporate the best available science on the values of dead wood, including: </w:t>
      </w:r>
    </w:p>
    <w:p w:rsidR="004462DD" w:rsidRDefault="004462DD" w:rsidP="004462DD">
      <w:pPr>
        <w:numPr>
          <w:ilvl w:val="0"/>
          <w:numId w:val="6"/>
        </w:numPr>
        <w:suppressAutoHyphens/>
        <w:spacing w:line="240" w:lineRule="auto"/>
        <w:ind w:right="-180"/>
      </w:pPr>
      <w:r>
        <w:lastRenderedPageBreak/>
        <w:t xml:space="preserve">Franklin, J.F., Lindenmayer, D., MacMahon, J.A., McKee, A., Magnuson, J., Perry, D.A., Waide, R., and Foster, D. 2000. Threads of Continuity. Conservation Biology in Practice. [Malden, MA] Blackwell Science, Inc. 1(1) pp9-16. </w:t>
      </w:r>
      <w:hyperlink r:id="rId201" w:history="1">
        <w:r w:rsidRPr="00284A1A">
          <w:rPr>
            <w:rStyle w:val="Hyperlink"/>
          </w:rPr>
          <w:t>https://andrewsforest.oregonstate.edu/sites/default/files/lter/pubs/pdf/pub2815.pdf</w:t>
        </w:r>
      </w:hyperlink>
      <w:r>
        <w:t xml:space="preserve">; </w:t>
      </w:r>
    </w:p>
    <w:p w:rsidR="004462DD" w:rsidRDefault="004462DD" w:rsidP="004462DD">
      <w:pPr>
        <w:numPr>
          <w:ilvl w:val="0"/>
          <w:numId w:val="6"/>
        </w:numPr>
        <w:suppressAutoHyphens/>
        <w:spacing w:line="240" w:lineRule="auto"/>
        <w:ind w:right="-180"/>
      </w:pPr>
      <w:r>
        <w:t xml:space="preserve">William F. Laudenslayer, Jr., Patrick J. Shea, Bradley E. Valentine, C. Phillip Weatherspoon, and Thomas E. Lisle </w:t>
      </w:r>
      <w:r w:rsidRPr="00710FFA">
        <w:rPr>
          <w:i/>
          <w:iCs/>
        </w:rPr>
        <w:t xml:space="preserve">Technical Coordinators. </w:t>
      </w:r>
      <w:r w:rsidRPr="00710FFA">
        <w:rPr>
          <w:u w:val="single"/>
        </w:rPr>
        <w:t>Proceedings of the Symposium on the Ecology and Management of Dead Wood in Western Forests.</w:t>
      </w:r>
      <w:r>
        <w:t xml:space="preserve"> PSW-GTR-181. </w:t>
      </w:r>
      <w:hyperlink r:id="rId202" w:history="1">
        <w:r>
          <w:rPr>
            <w:rStyle w:val="Hyperlink"/>
          </w:rPr>
          <w:t>http://www.fs.fed.us/psw/publications/documents/gtr-181/</w:t>
        </w:r>
      </w:hyperlink>
      <w:r>
        <w:t>.</w:t>
      </w:r>
    </w:p>
    <w:p w:rsidR="004462DD" w:rsidRDefault="004462DD" w:rsidP="004462DD">
      <w:pPr>
        <w:numPr>
          <w:ilvl w:val="0"/>
          <w:numId w:val="6"/>
        </w:numPr>
        <w:suppressAutoHyphens/>
        <w:spacing w:line="240" w:lineRule="auto"/>
      </w:pPr>
      <w:r>
        <w:t xml:space="preserve">Lofroth, Eric. 1998. The dead wood cycle. In: Conservation biology principles for forested landscapes. Edited by J. Voller and S. Harrison. UBC Press, Vancouver, B.C. pp. 185-214. 243 p. </w:t>
      </w:r>
      <w:hyperlink r:id="rId203" w:history="1">
        <w:r>
          <w:rPr>
            <w:rStyle w:val="Hyperlink"/>
          </w:rPr>
          <w:t>http://www.for.gov.bc.ca/hre/deadwood/DTrol.htm</w:t>
        </w:r>
      </w:hyperlink>
      <w:r>
        <w:t>.</w:t>
      </w:r>
    </w:p>
    <w:p w:rsidR="004462DD" w:rsidRPr="00710FFA" w:rsidRDefault="004462DD" w:rsidP="004462DD">
      <w:pPr>
        <w:numPr>
          <w:ilvl w:val="0"/>
          <w:numId w:val="6"/>
        </w:numPr>
        <w:suppressAutoHyphens/>
        <w:spacing w:line="240" w:lineRule="auto"/>
      </w:pPr>
      <w:r w:rsidRPr="00710FFA">
        <w:rPr>
          <w:szCs w:val="24"/>
        </w:rPr>
        <w:t xml:space="preserve">Rose, C.L., Marcot, B.G., Mellen, T.K., Ohmann, J.L., Waddell, K.L., Lindely, D.L., and B. Schrieber. 2001. Decaying Wood in Pacific Northwest Forests: Concepts and Tools for Habitat Management, Chapter 24 </w:t>
      </w:r>
      <w:r w:rsidRPr="00710FFA">
        <w:rPr>
          <w:i/>
          <w:szCs w:val="24"/>
        </w:rPr>
        <w:t>in</w:t>
      </w:r>
      <w:r w:rsidRPr="00710FFA">
        <w:rPr>
          <w:szCs w:val="24"/>
        </w:rPr>
        <w:t xml:space="preserve"> </w:t>
      </w:r>
      <w:r w:rsidRPr="00675A33">
        <w:rPr>
          <w:bCs/>
          <w:i/>
          <w:iCs/>
        </w:rPr>
        <w:t>Wildlife-Habitat Relationships in Oregon and Washington</w:t>
      </w:r>
      <w:r w:rsidRPr="00675A33">
        <w:t xml:space="preserve"> </w:t>
      </w:r>
      <w:r>
        <w:t>(Johnson, D. H. and T. A. O'Neil. OSU Press. 2001)</w:t>
      </w:r>
      <w:r w:rsidRPr="00710FFA">
        <w:rPr>
          <w:szCs w:val="24"/>
        </w:rPr>
        <w:t xml:space="preserve"> </w:t>
      </w:r>
      <w:hyperlink r:id="rId204" w:history="1">
        <w:r w:rsidRPr="00710FFA">
          <w:rPr>
            <w:rStyle w:val="Hyperlink"/>
            <w:szCs w:val="24"/>
          </w:rPr>
          <w:t>http://www.fs.fed.us/wildecology/decaid/decaid_background/chapter24cwb.pdf</w:t>
        </w:r>
      </w:hyperlink>
    </w:p>
    <w:p w:rsidR="004462DD" w:rsidRDefault="004462DD" w:rsidP="004462DD">
      <w:pPr>
        <w:numPr>
          <w:ilvl w:val="0"/>
          <w:numId w:val="6"/>
        </w:numPr>
        <w:suppressAutoHyphens/>
        <w:spacing w:line="240" w:lineRule="auto"/>
      </w:pPr>
      <w:r>
        <w:t xml:space="preserve">Stevens, Victoria. 1997. The ecological role of coarse woody debris: an overview of the ecological importance of CWD in B.C. forests. Res. Br., B.C. Min. For., Victoria, B.C. Work. Pap. 30/1997. </w:t>
      </w:r>
      <w:hyperlink r:id="rId205" w:history="1">
        <w:r>
          <w:rPr>
            <w:rStyle w:val="Hyperlink"/>
          </w:rPr>
          <w:t>http://www.for.gov.bc.ca/hfd/pubs/docs/Wp/Wp30.pdf</w:t>
        </w:r>
      </w:hyperlink>
      <w:r>
        <w:t>.</w:t>
      </w:r>
    </w:p>
    <w:p w:rsidR="004462DD" w:rsidRDefault="004462DD" w:rsidP="004462DD">
      <w:pPr>
        <w:numPr>
          <w:ilvl w:val="0"/>
          <w:numId w:val="6"/>
        </w:numPr>
        <w:suppressAutoHyphens/>
        <w:spacing w:line="240" w:lineRule="auto"/>
      </w:pPr>
      <w:r>
        <w:t xml:space="preserve">Hagar, Joan, 2007, Assessment and management of dead-wood habitat: USGS Administrative Report 20071054, pp. 1-32. </w:t>
      </w:r>
      <w:hyperlink r:id="rId206" w:history="1">
        <w:r>
          <w:rPr>
            <w:rStyle w:val="Hyperlink"/>
          </w:rPr>
          <w:t>http://pubs.usgs.gov/of/2007/1054/pdf/ofr20071054.pdf</w:t>
        </w:r>
      </w:hyperlink>
      <w:r>
        <w:t xml:space="preserve"> </w:t>
      </w:r>
    </w:p>
    <w:p w:rsidR="004462DD" w:rsidRDefault="004462DD" w:rsidP="004462DD">
      <w:pPr>
        <w:numPr>
          <w:ilvl w:val="0"/>
          <w:numId w:val="6"/>
        </w:numPr>
        <w:suppressAutoHyphens/>
        <w:spacing w:line="240" w:lineRule="auto"/>
      </w:pPr>
      <w:r>
        <w:t xml:space="preserve">Bruce G. Marcot; 2002. An Ecological Functional Basis for Managing Wood Decay Elements for Wildlife; USDA Forest Service Gen. Tech. Rep. PSW-GTR-181. </w:t>
      </w:r>
      <w:hyperlink r:id="rId207" w:history="1">
        <w:r w:rsidRPr="00761717">
          <w:rPr>
            <w:rStyle w:val="Hyperlink"/>
          </w:rPr>
          <w:t>https://web.archive.org/web/20121024180652/http://www.fs.fed.us/psw/publications/documents/gtr-181/068_Marcot.pdf</w:t>
        </w:r>
      </w:hyperlink>
      <w:r>
        <w:t xml:space="preserve">. </w:t>
      </w:r>
    </w:p>
    <w:p w:rsidR="004462DD" w:rsidRDefault="004462DD" w:rsidP="004462DD">
      <w:pPr>
        <w:numPr>
          <w:ilvl w:val="0"/>
          <w:numId w:val="6"/>
        </w:numPr>
        <w:suppressAutoHyphens/>
        <w:spacing w:line="240" w:lineRule="auto"/>
      </w:pPr>
      <w:r>
        <w:t xml:space="preserve">Bruce G. Marcot 2017. Ecosystem Processes Related to Wood Decay. PNW Research Note 576. </w:t>
      </w:r>
      <w:hyperlink r:id="rId208" w:history="1">
        <w:r w:rsidRPr="00761717">
          <w:rPr>
            <w:rStyle w:val="Hyperlink"/>
          </w:rPr>
          <w:t>https://web.archive.org/web/20190701221558/https://www.fs.fed.us/pnw/pubs/pnw_rn576.pdf</w:t>
        </w:r>
      </w:hyperlink>
      <w:r>
        <w:t xml:space="preserve">; </w:t>
      </w:r>
    </w:p>
    <w:p w:rsidR="004462DD" w:rsidRDefault="004462DD" w:rsidP="004462DD">
      <w:pPr>
        <w:numPr>
          <w:ilvl w:val="0"/>
          <w:numId w:val="6"/>
        </w:numPr>
        <w:suppressAutoHyphens/>
        <w:spacing w:line="240" w:lineRule="auto"/>
      </w:pPr>
      <w:r w:rsidRPr="005325D0">
        <w:t xml:space="preserve">Jennie Sandström et al. </w:t>
      </w:r>
      <w:r>
        <w:t xml:space="preserve">2019. </w:t>
      </w:r>
      <w:r w:rsidRPr="005325D0">
        <w:t>Impacts of dead wood manipulation on the biodiversity of temperate and boreal forests. A systematic review, Journal of Applied Ecology (2019). DOI: 10.1111/1365-2664.13395</w:t>
      </w:r>
      <w:r>
        <w:t xml:space="preserve">. </w:t>
      </w:r>
      <w:hyperlink r:id="rId209" w:history="1">
        <w:r>
          <w:rPr>
            <w:rStyle w:val="Hyperlink"/>
          </w:rPr>
          <w:t>https://besjournals.onlinelibrary.wiley.com/doi/pdf/10.1111/1365-2664.13395</w:t>
        </w:r>
      </w:hyperlink>
      <w:r>
        <w:t>.</w:t>
      </w:r>
    </w:p>
    <w:p w:rsidR="004462DD" w:rsidRDefault="004462DD" w:rsidP="00C13CE6">
      <w:pPr>
        <w:numPr>
          <w:ilvl w:val="0"/>
          <w:numId w:val="6"/>
        </w:numPr>
        <w:suppressAutoHyphens/>
        <w:spacing w:line="240" w:lineRule="auto"/>
      </w:pPr>
      <w:r>
        <w:t xml:space="preserve">Blue Mountain Native Forest Alliance. 199x. Problems Related to the Loss of Dead Wood. </w:t>
      </w:r>
      <w:hyperlink r:id="rId210" w:history="1">
        <w:r w:rsidRPr="000F07E9">
          <w:rPr>
            <w:rStyle w:val="Hyperlink"/>
          </w:rPr>
          <w:t>http://www.subtleenergies.com/ormus/bmnfa/DEADWOOD.HTM</w:t>
        </w:r>
      </w:hyperlink>
      <w:r>
        <w:t>.</w:t>
      </w:r>
    </w:p>
    <w:p w:rsidR="004462DD" w:rsidRDefault="004462DD" w:rsidP="00514441">
      <w:pPr>
        <w:pStyle w:val="Heading3"/>
      </w:pPr>
      <w:bookmarkStart w:id="18" w:name="_Toc167784209"/>
      <w:r w:rsidRPr="00782EBF">
        <w:t>Species of Conservation Concern</w:t>
      </w:r>
      <w:bookmarkEnd w:id="18"/>
    </w:p>
    <w:p w:rsidR="00F94A68" w:rsidRPr="00C13CE6" w:rsidRDefault="004462DD" w:rsidP="00C13CE6">
      <w:r>
        <w:t xml:space="preserve">The selection of focal species and species of conservation concern should include </w:t>
      </w:r>
      <w:r w:rsidR="008B0416">
        <w:t>species that are most sensitive to the effects of particular widespread management actions, such as logging, roads, grazing, and climate change. This includes species such as cold water fish, species associated with abundant snags</w:t>
      </w:r>
      <w:r w:rsidR="00616827">
        <w:t xml:space="preserve"> (including marten, birds, and bats)</w:t>
      </w:r>
      <w:r w:rsidR="008B0416">
        <w:t xml:space="preserve">, species associated with dense forests, </w:t>
      </w:r>
      <w:r w:rsidR="00F30A15">
        <w:t xml:space="preserve">species sensitive to livestock grazing, </w:t>
      </w:r>
      <w:r w:rsidR="008B0416">
        <w:t xml:space="preserve">species that </w:t>
      </w:r>
      <w:r w:rsidR="005848A4">
        <w:t xml:space="preserve">are sensitive to road density and </w:t>
      </w:r>
      <w:r w:rsidR="008B0416">
        <w:t xml:space="preserve">tend to avoid roads and people, </w:t>
      </w:r>
      <w:r w:rsidR="00592963">
        <w:t xml:space="preserve">species that rely on the connectivity provided by the Blue Mountains </w:t>
      </w:r>
      <w:r w:rsidR="005848A4">
        <w:t xml:space="preserve">that </w:t>
      </w:r>
      <w:r w:rsidR="00592963">
        <w:t>connect</w:t>
      </w:r>
      <w:r w:rsidR="005848A4">
        <w:t xml:space="preserve"> </w:t>
      </w:r>
      <w:r w:rsidR="00592963">
        <w:t>the Cascades</w:t>
      </w:r>
      <w:r w:rsidR="005848A4">
        <w:t xml:space="preserve"> to the Rockies</w:t>
      </w:r>
      <w:r w:rsidR="00616827">
        <w:t xml:space="preserve"> (and other scales of connectivity)</w:t>
      </w:r>
      <w:r w:rsidR="005848A4">
        <w:t>,</w:t>
      </w:r>
      <w:r w:rsidR="00592963">
        <w:t xml:space="preserve"> </w:t>
      </w:r>
      <w:r w:rsidR="00F30A15">
        <w:t xml:space="preserve">species with important ecological functions such as pollinators, </w:t>
      </w:r>
      <w:r w:rsidR="008B0416">
        <w:t>etc.</w:t>
      </w:r>
    </w:p>
    <w:p w:rsidR="009F3A66" w:rsidRDefault="009F3A66" w:rsidP="00C13CE6">
      <w:pPr>
        <w:rPr>
          <w:color w:val="3C4043"/>
          <w:spacing w:val="3"/>
          <w:sz w:val="21"/>
          <w:szCs w:val="21"/>
        </w:rPr>
      </w:pPr>
    </w:p>
    <w:p w:rsidR="009F3A66" w:rsidRPr="00412246" w:rsidRDefault="00412246" w:rsidP="009F3A66">
      <w:pPr>
        <w:rPr>
          <w:spacing w:val="3"/>
          <w:sz w:val="21"/>
          <w:szCs w:val="21"/>
          <w:lang w:val="en-US"/>
        </w:rPr>
      </w:pPr>
      <w:r>
        <w:rPr>
          <w:spacing w:val="3"/>
          <w:sz w:val="21"/>
          <w:szCs w:val="21"/>
        </w:rPr>
        <w:t xml:space="preserve">Considerations for Species of Conservation Concern </w:t>
      </w:r>
      <w:r w:rsidR="009F3A66" w:rsidRPr="00412246">
        <w:rPr>
          <w:spacing w:val="3"/>
          <w:sz w:val="21"/>
          <w:szCs w:val="21"/>
          <w:lang w:val="en-US"/>
        </w:rPr>
        <w:t>should include species that:</w:t>
      </w:r>
    </w:p>
    <w:p w:rsidR="009F3A66" w:rsidRPr="00412246" w:rsidRDefault="009F3A66" w:rsidP="009F3A66">
      <w:pPr>
        <w:numPr>
          <w:ilvl w:val="0"/>
          <w:numId w:val="2"/>
        </w:numPr>
        <w:rPr>
          <w:spacing w:val="3"/>
          <w:sz w:val="21"/>
          <w:szCs w:val="21"/>
          <w:lang w:val="en-US"/>
        </w:rPr>
      </w:pPr>
      <w:r w:rsidRPr="00412246">
        <w:rPr>
          <w:spacing w:val="3"/>
          <w:sz w:val="21"/>
          <w:szCs w:val="21"/>
          <w:lang w:val="en-US"/>
        </w:rPr>
        <w:t>Require strong protections for their own merits,</w:t>
      </w:r>
    </w:p>
    <w:p w:rsidR="009F3A66" w:rsidRPr="00412246" w:rsidRDefault="009F3A66" w:rsidP="009F3A66">
      <w:pPr>
        <w:numPr>
          <w:ilvl w:val="0"/>
          <w:numId w:val="2"/>
        </w:numPr>
        <w:rPr>
          <w:spacing w:val="3"/>
          <w:sz w:val="21"/>
          <w:szCs w:val="21"/>
          <w:lang w:val="en-US"/>
        </w:rPr>
      </w:pPr>
      <w:r w:rsidRPr="00412246">
        <w:rPr>
          <w:spacing w:val="3"/>
          <w:sz w:val="21"/>
          <w:szCs w:val="21"/>
          <w:lang w:val="en-US"/>
        </w:rPr>
        <w:lastRenderedPageBreak/>
        <w:t>Are good umbrella/indicator species,</w:t>
      </w:r>
    </w:p>
    <w:p w:rsidR="009F3A66" w:rsidRPr="00412246" w:rsidRDefault="009F3A66" w:rsidP="009F3A66">
      <w:pPr>
        <w:numPr>
          <w:ilvl w:val="0"/>
          <w:numId w:val="2"/>
        </w:numPr>
        <w:rPr>
          <w:spacing w:val="3"/>
          <w:sz w:val="21"/>
          <w:szCs w:val="21"/>
          <w:lang w:val="en-US"/>
        </w:rPr>
      </w:pPr>
      <w:r w:rsidRPr="00412246">
        <w:rPr>
          <w:spacing w:val="3"/>
          <w:sz w:val="21"/>
          <w:szCs w:val="21"/>
          <w:lang w:val="en-US"/>
        </w:rPr>
        <w:t>Are keystone species (especially as it relates to policy),</w:t>
      </w:r>
    </w:p>
    <w:p w:rsidR="009F3A66" w:rsidRPr="00412246" w:rsidRDefault="009F3A66" w:rsidP="009F3A66">
      <w:pPr>
        <w:numPr>
          <w:ilvl w:val="0"/>
          <w:numId w:val="2"/>
        </w:numPr>
        <w:rPr>
          <w:spacing w:val="3"/>
          <w:sz w:val="21"/>
          <w:szCs w:val="21"/>
          <w:lang w:val="en-US"/>
        </w:rPr>
      </w:pPr>
      <w:r w:rsidRPr="00412246">
        <w:rPr>
          <w:spacing w:val="3"/>
          <w:sz w:val="21"/>
          <w:szCs w:val="21"/>
          <w:lang w:val="en-US"/>
        </w:rPr>
        <w:t>Are limited by values and functions that are limiting to other species or themselves at risk,</w:t>
      </w:r>
    </w:p>
    <w:p w:rsidR="009F3A66" w:rsidRPr="00412246" w:rsidRDefault="009F3A66" w:rsidP="009F3A66">
      <w:pPr>
        <w:numPr>
          <w:ilvl w:val="0"/>
          <w:numId w:val="2"/>
        </w:numPr>
        <w:rPr>
          <w:spacing w:val="3"/>
          <w:sz w:val="21"/>
          <w:szCs w:val="21"/>
          <w:lang w:val="en-US"/>
        </w:rPr>
      </w:pPr>
      <w:r w:rsidRPr="00412246">
        <w:rPr>
          <w:spacing w:val="3"/>
          <w:sz w:val="21"/>
          <w:szCs w:val="21"/>
          <w:lang w:val="en-US"/>
        </w:rPr>
        <w:t>Are currently extirpated, rare, and/or lack sufficient information, and/or,</w:t>
      </w:r>
    </w:p>
    <w:p w:rsidR="009F3A66" w:rsidRPr="00412246" w:rsidRDefault="009F3A66" w:rsidP="009F3A66">
      <w:pPr>
        <w:numPr>
          <w:ilvl w:val="0"/>
          <w:numId w:val="2"/>
        </w:numPr>
        <w:rPr>
          <w:spacing w:val="3"/>
          <w:sz w:val="21"/>
          <w:szCs w:val="21"/>
          <w:lang w:val="en-US"/>
        </w:rPr>
      </w:pPr>
      <w:r w:rsidRPr="00412246">
        <w:rPr>
          <w:spacing w:val="3"/>
          <w:sz w:val="21"/>
          <w:szCs w:val="21"/>
          <w:lang w:val="en-US"/>
        </w:rPr>
        <w:t>Are likely to affect management change, especially as it relates to:</w:t>
      </w:r>
    </w:p>
    <w:p w:rsidR="009F3A66" w:rsidRPr="00412246" w:rsidRDefault="009F3A66" w:rsidP="009F3A66">
      <w:pPr>
        <w:numPr>
          <w:ilvl w:val="1"/>
          <w:numId w:val="2"/>
        </w:numPr>
        <w:rPr>
          <w:spacing w:val="3"/>
          <w:sz w:val="21"/>
          <w:szCs w:val="21"/>
          <w:lang w:val="en-US"/>
        </w:rPr>
      </w:pPr>
      <w:r w:rsidRPr="00412246">
        <w:rPr>
          <w:spacing w:val="3"/>
          <w:sz w:val="21"/>
          <w:szCs w:val="21"/>
          <w:lang w:val="en-US"/>
        </w:rPr>
        <w:t>Grazing</w:t>
      </w:r>
    </w:p>
    <w:p w:rsidR="009F3A66" w:rsidRDefault="009F3A66" w:rsidP="009F3A66">
      <w:pPr>
        <w:numPr>
          <w:ilvl w:val="1"/>
          <w:numId w:val="2"/>
        </w:numPr>
        <w:rPr>
          <w:spacing w:val="3"/>
          <w:sz w:val="21"/>
          <w:szCs w:val="21"/>
          <w:lang w:val="en-US"/>
        </w:rPr>
      </w:pPr>
      <w:r w:rsidRPr="00412246">
        <w:rPr>
          <w:spacing w:val="3"/>
          <w:sz w:val="21"/>
          <w:szCs w:val="21"/>
          <w:lang w:val="en-US"/>
        </w:rPr>
        <w:t>Logging (Especially conversion from closed canopy, decadent, and moist/wet forests where it is not appropriate</w:t>
      </w:r>
      <w:r w:rsidR="002D4C1B">
        <w:rPr>
          <w:spacing w:val="3"/>
          <w:sz w:val="21"/>
          <w:szCs w:val="21"/>
          <w:lang w:val="en-US"/>
        </w:rPr>
        <w:t>. It is critical to include species that are most sensitive to the absence of abundant snags and dead wood</w:t>
      </w:r>
      <w:r w:rsidRPr="00412246">
        <w:rPr>
          <w:spacing w:val="3"/>
          <w:sz w:val="21"/>
          <w:szCs w:val="21"/>
          <w:lang w:val="en-US"/>
        </w:rPr>
        <w:t>)</w:t>
      </w:r>
    </w:p>
    <w:p w:rsidR="00412246" w:rsidRPr="00412246" w:rsidRDefault="00412246" w:rsidP="009F3A66">
      <w:pPr>
        <w:numPr>
          <w:ilvl w:val="1"/>
          <w:numId w:val="2"/>
        </w:numPr>
        <w:rPr>
          <w:spacing w:val="3"/>
          <w:sz w:val="21"/>
          <w:szCs w:val="21"/>
          <w:lang w:val="en-US"/>
        </w:rPr>
      </w:pPr>
      <w:r>
        <w:rPr>
          <w:spacing w:val="3"/>
          <w:sz w:val="21"/>
          <w:szCs w:val="21"/>
          <w:lang w:val="en-US"/>
        </w:rPr>
        <w:t>Road building and OHV trail building</w:t>
      </w:r>
    </w:p>
    <w:p w:rsidR="009F3A66" w:rsidRPr="00412246" w:rsidRDefault="009F3A66" w:rsidP="009F3A66">
      <w:pPr>
        <w:numPr>
          <w:ilvl w:val="1"/>
          <w:numId w:val="2"/>
        </w:numPr>
        <w:rPr>
          <w:spacing w:val="3"/>
          <w:sz w:val="21"/>
          <w:szCs w:val="21"/>
          <w:lang w:val="en-US"/>
        </w:rPr>
      </w:pPr>
      <w:r w:rsidRPr="00412246">
        <w:rPr>
          <w:spacing w:val="3"/>
          <w:sz w:val="21"/>
          <w:szCs w:val="21"/>
          <w:lang w:val="en-US"/>
        </w:rPr>
        <w:t>Wet meadows, streams (especially small streams), riparian areas, intact seeps and springs</w:t>
      </w:r>
    </w:p>
    <w:p w:rsidR="009F3A66" w:rsidRPr="00412246" w:rsidRDefault="009F3A66" w:rsidP="009F3A66">
      <w:pPr>
        <w:numPr>
          <w:ilvl w:val="1"/>
          <w:numId w:val="2"/>
        </w:numPr>
        <w:rPr>
          <w:spacing w:val="3"/>
          <w:sz w:val="21"/>
          <w:szCs w:val="21"/>
          <w:lang w:val="en-US"/>
        </w:rPr>
      </w:pPr>
      <w:r w:rsidRPr="00412246">
        <w:rPr>
          <w:spacing w:val="3"/>
          <w:sz w:val="21"/>
          <w:szCs w:val="21"/>
          <w:lang w:val="en-US"/>
        </w:rPr>
        <w:t>Healthy water tables</w:t>
      </w:r>
      <w:r w:rsidR="002D4C1B">
        <w:rPr>
          <w:spacing w:val="3"/>
          <w:sz w:val="21"/>
          <w:szCs w:val="21"/>
          <w:lang w:val="en-US"/>
        </w:rPr>
        <w:t>, ground water dependent ecosystems</w:t>
      </w:r>
    </w:p>
    <w:p w:rsidR="009F3A66" w:rsidRPr="00412246" w:rsidRDefault="009F3A66" w:rsidP="009F3A66">
      <w:pPr>
        <w:numPr>
          <w:ilvl w:val="1"/>
          <w:numId w:val="2"/>
        </w:numPr>
        <w:rPr>
          <w:spacing w:val="3"/>
          <w:sz w:val="21"/>
          <w:szCs w:val="21"/>
          <w:lang w:val="en-US"/>
        </w:rPr>
      </w:pPr>
      <w:r w:rsidRPr="00412246">
        <w:rPr>
          <w:spacing w:val="3"/>
          <w:sz w:val="21"/>
          <w:szCs w:val="21"/>
          <w:lang w:val="en-US"/>
        </w:rPr>
        <w:t>Habitat connectivity and fragmentation/roads</w:t>
      </w:r>
    </w:p>
    <w:p w:rsidR="009F3A66" w:rsidRPr="00412246" w:rsidRDefault="009F3A66" w:rsidP="009F3A66">
      <w:pPr>
        <w:numPr>
          <w:ilvl w:val="1"/>
          <w:numId w:val="2"/>
        </w:numPr>
        <w:rPr>
          <w:spacing w:val="3"/>
          <w:sz w:val="21"/>
          <w:szCs w:val="21"/>
          <w:lang w:val="en-US"/>
        </w:rPr>
      </w:pPr>
      <w:r w:rsidRPr="00412246">
        <w:rPr>
          <w:spacing w:val="3"/>
          <w:sz w:val="21"/>
          <w:szCs w:val="21"/>
          <w:lang w:val="en-US"/>
        </w:rPr>
        <w:t>Motorized use</w:t>
      </w:r>
    </w:p>
    <w:p w:rsidR="009F3A66" w:rsidRPr="00412246" w:rsidRDefault="009F3A66" w:rsidP="009F3A66">
      <w:pPr>
        <w:numPr>
          <w:ilvl w:val="1"/>
          <w:numId w:val="2"/>
        </w:numPr>
        <w:rPr>
          <w:spacing w:val="3"/>
          <w:sz w:val="21"/>
          <w:szCs w:val="21"/>
          <w:lang w:val="en-US"/>
        </w:rPr>
      </w:pPr>
      <w:r w:rsidRPr="00412246">
        <w:rPr>
          <w:spacing w:val="3"/>
          <w:sz w:val="21"/>
          <w:szCs w:val="21"/>
          <w:lang w:val="en-US"/>
        </w:rPr>
        <w:t>Heavy human impact/presence</w:t>
      </w:r>
    </w:p>
    <w:p w:rsidR="00412246" w:rsidRPr="00412246" w:rsidRDefault="00412246" w:rsidP="00C13CE6">
      <w:pPr>
        <w:rPr>
          <w:spacing w:val="3"/>
          <w:sz w:val="21"/>
          <w:szCs w:val="21"/>
        </w:rPr>
      </w:pPr>
    </w:p>
    <w:p w:rsidR="00514441" w:rsidRDefault="00412246" w:rsidP="00C13CE6">
      <w:pPr>
        <w:rPr>
          <w:spacing w:val="3"/>
          <w:sz w:val="21"/>
          <w:szCs w:val="21"/>
        </w:rPr>
      </w:pPr>
      <w:r w:rsidRPr="00412246">
        <w:rPr>
          <w:spacing w:val="3"/>
          <w:sz w:val="21"/>
          <w:szCs w:val="21"/>
        </w:rPr>
        <w:t xml:space="preserve">We incorporate by reference the Species of Conservation Concern – Addendum submitted by the Eastside Forest Coalition. </w:t>
      </w:r>
    </w:p>
    <w:p w:rsidR="00514441" w:rsidRDefault="00514441" w:rsidP="00514441">
      <w:pPr>
        <w:pStyle w:val="Heading3"/>
      </w:pPr>
      <w:bookmarkStart w:id="19" w:name="_Toc167784210"/>
      <w:r>
        <w:t>Connectivity</w:t>
      </w:r>
      <w:bookmarkEnd w:id="19"/>
    </w:p>
    <w:p w:rsidR="00514441" w:rsidRDefault="00514441" w:rsidP="00514441">
      <w:r>
        <w:t>Connectivity corridors must be carefully considered, in part because a lot of species disperse randomly.  Narrow corridors are better than nothing; wider corridors are better than narrow corridors; but the best approach to connectivity is to create a "permeable landscapes."</w:t>
      </w:r>
    </w:p>
    <w:p w:rsidR="00514441" w:rsidRDefault="00514441" w:rsidP="00514441"/>
    <w:p w:rsidR="00514441" w:rsidRDefault="00514441" w:rsidP="00514441">
      <w:r>
        <w:t xml:space="preserve">The Northwest Forest Plan provides a potentially useful point of reference. It addressed connectivity, (at least for Threatened spotted owls) as follows ... </w:t>
      </w:r>
    </w:p>
    <w:p w:rsidR="00514441" w:rsidRDefault="00514441" w:rsidP="00514441">
      <w:r>
        <w:t xml:space="preserve">-- large reserves with connections to at least two other reserves, </w:t>
      </w:r>
    </w:p>
    <w:p w:rsidR="00514441" w:rsidRDefault="00514441" w:rsidP="00514441">
      <w:r>
        <w:t xml:space="preserve">-- reserves spaced close enough to allow dispersal, </w:t>
      </w:r>
    </w:p>
    <w:p w:rsidR="00514441" w:rsidRDefault="00514441" w:rsidP="00514441">
      <w:r>
        <w:t>-- maintain some level of habitat suitability in the "matrix" (between the reserves).</w:t>
      </w:r>
    </w:p>
    <w:p w:rsidR="00514441" w:rsidRDefault="00E60165" w:rsidP="00514441">
      <w:r>
        <w:t>-- For all the species that can</w:t>
      </w:r>
      <w:r w:rsidR="00514441">
        <w:t>not disperse 10-12 miles like a flying owls, the NWFP relies on the network of riparian reserves and the survey and manage program.</w:t>
      </w:r>
    </w:p>
    <w:p w:rsidR="00514441" w:rsidRDefault="00514441" w:rsidP="00514441"/>
    <w:p w:rsidR="00514441" w:rsidRDefault="00514441" w:rsidP="00514441">
      <w:r>
        <w:t xml:space="preserve">This kind of approach also represents (more by accident than by intent) a pretty good climate adaptation strategy, especially in a topographically complex landscape, where reserves encompass elevational gradients, and the reserve network encompasses latitudinal diversity. </w:t>
      </w:r>
    </w:p>
    <w:p w:rsidR="00514441" w:rsidRDefault="00514441" w:rsidP="00514441"/>
    <w:p w:rsidR="00514441" w:rsidRDefault="00514441" w:rsidP="00514441">
      <w:r>
        <w:t>The CEQ recently adopted guidance on connectivity</w:t>
      </w:r>
      <w:r w:rsidR="00BC5EAA">
        <w:t xml:space="preserve"> (Mallory (2023), link below).</w:t>
      </w:r>
      <w:r>
        <w:t xml:space="preserve"> The CEQ connectivity policy talks about “movement of species between </w:t>
      </w:r>
      <w:r w:rsidRPr="00816519">
        <w:rPr>
          <w:i/>
        </w:rPr>
        <w:t>blocks of intact habitat</w:t>
      </w:r>
      <w:r>
        <w:t xml:space="preserve">.” This is crucial. Connectivity requires not only connections but also high quality habitat source habitats. The </w:t>
      </w:r>
      <w:r w:rsidR="00BC5EAA">
        <w:t xml:space="preserve">assessment </w:t>
      </w:r>
      <w:r>
        <w:t xml:space="preserve">should address how the </w:t>
      </w:r>
      <w:r w:rsidR="00BC5EAA">
        <w:t xml:space="preserve">forest management </w:t>
      </w:r>
      <w:r>
        <w:t>affects both the connective functions and the integrity of blocks of intact habitat that are being connected.</w:t>
      </w:r>
    </w:p>
    <w:p w:rsidR="00514441" w:rsidRDefault="00514441" w:rsidP="00514441"/>
    <w:p w:rsidR="00514441" w:rsidRDefault="00514441" w:rsidP="00514441">
      <w:r>
        <w:t xml:space="preserve">The CEQ connectivity policy mentions free movement of wildlife, as well as “unimpeded … ecological processes.” This is important. For instance, fuel breaks should be designed to </w:t>
      </w:r>
      <w:r>
        <w:lastRenderedPageBreak/>
        <w:t>facilitate fire as a natural process, not to stop fire and exacerbate the serious problems of fuel building, and disrupted of natural fire regimes. Roads also disrupt connectivity, not only making it harder for wildlife to cross, roads, but also natural hillslope processes such as the natural movement of water, wood, and substrate downslope and downstream. This is especially true where roads cross streams or roads located in floodplains or midslope where lots of dynamics happens.</w:t>
      </w:r>
    </w:p>
    <w:p w:rsidR="00514441" w:rsidRDefault="00514441" w:rsidP="00514441">
      <w:pPr>
        <w:widowControl w:val="0"/>
        <w:autoSpaceDE w:val="0"/>
        <w:autoSpaceDN w:val="0"/>
        <w:adjustRightInd w:val="0"/>
      </w:pPr>
    </w:p>
    <w:p w:rsidR="00514441" w:rsidRDefault="00514441" w:rsidP="007C0A49">
      <w:pPr>
        <w:widowControl w:val="0"/>
        <w:autoSpaceDE w:val="0"/>
        <w:autoSpaceDN w:val="0"/>
        <w:adjustRightInd w:val="0"/>
        <w:rPr>
          <w:rFonts w:cs="Times New Roman"/>
          <w:color w:val="000000"/>
          <w:shd w:val="clear" w:color="auto" w:fill="FFFFFF"/>
        </w:rPr>
      </w:pPr>
      <w:r w:rsidRPr="00BC5EAA">
        <w:rPr>
          <w:rFonts w:cs="Times New Roman"/>
          <w:color w:val="222222"/>
          <w:szCs w:val="24"/>
        </w:rPr>
        <w:t>Agencies have a duty to consider connectivity in their NEPA analyses.</w:t>
      </w:r>
      <w:r w:rsidR="007C0A49">
        <w:rPr>
          <w:rFonts w:cs="Times New Roman"/>
          <w:color w:val="222222"/>
          <w:szCs w:val="24"/>
        </w:rPr>
        <w:t xml:space="preserve"> </w:t>
      </w:r>
      <w:r w:rsidR="00F21BFF">
        <w:rPr>
          <w:rFonts w:cs="Times New Roman"/>
          <w:color w:val="222222"/>
          <w:szCs w:val="24"/>
        </w:rPr>
        <w:t>We are not in NEPA yet, but t</w:t>
      </w:r>
      <w:r w:rsidR="007C0A49">
        <w:rPr>
          <w:rFonts w:cs="Times New Roman"/>
          <w:color w:val="222222"/>
          <w:szCs w:val="24"/>
        </w:rPr>
        <w:t xml:space="preserve">his Assessment is a good place to get that process started. </w:t>
      </w:r>
      <w:r w:rsidRPr="00BC5EAA">
        <w:rPr>
          <w:rFonts w:cs="Times New Roman"/>
          <w:color w:val="222222"/>
          <w:szCs w:val="24"/>
        </w:rPr>
        <w:t xml:space="preserve"> In 2023 CEQ issued guidance saying “… </w:t>
      </w:r>
      <w:r w:rsidRPr="00BC5EAA">
        <w:rPr>
          <w:rFonts w:cs="Times New Roman"/>
          <w:color w:val="000000"/>
          <w:shd w:val="clear" w:color="auto" w:fill="FFFFFF"/>
        </w:rPr>
        <w:t xml:space="preserve">agencies should consider and be transparent about the positive or negative impacts of proposed actions and alternatives on connectivity and corridors. Through </w:t>
      </w:r>
      <w:r w:rsidR="007C0A49">
        <w:rPr>
          <w:rFonts w:cs="Times New Roman"/>
          <w:color w:val="000000"/>
          <w:shd w:val="clear" w:color="auto" w:fill="FFFFFF"/>
        </w:rPr>
        <w:t xml:space="preserve">this Assessment and </w:t>
      </w:r>
      <w:r w:rsidRPr="00BC5EAA">
        <w:rPr>
          <w:rFonts w:cs="Times New Roman"/>
          <w:color w:val="000000"/>
          <w:shd w:val="clear" w:color="auto" w:fill="FFFFFF"/>
        </w:rPr>
        <w:t>the NEPA review process, Federal agencies can consider measures to advance corridors and connectivity as components of proposed actions, alternatives to proposed actions, or mitigation for proposed actions’ effects.”</w:t>
      </w:r>
    </w:p>
    <w:p w:rsidR="007C0A49" w:rsidRPr="007C0A49" w:rsidRDefault="007C0A49" w:rsidP="007C0A49">
      <w:pPr>
        <w:widowControl w:val="0"/>
        <w:autoSpaceDE w:val="0"/>
        <w:autoSpaceDN w:val="0"/>
        <w:adjustRightInd w:val="0"/>
        <w:rPr>
          <w:rFonts w:cs="Times New Roman"/>
          <w:color w:val="000000"/>
          <w:shd w:val="clear" w:color="auto" w:fill="FFFFFF"/>
        </w:rPr>
      </w:pPr>
    </w:p>
    <w:p w:rsidR="00BC5EAA" w:rsidRDefault="00BC5EAA" w:rsidP="00514441">
      <w:pPr>
        <w:widowControl w:val="0"/>
        <w:autoSpaceDE w:val="0"/>
        <w:autoSpaceDN w:val="0"/>
        <w:adjustRightInd w:val="0"/>
      </w:pPr>
      <w:r>
        <w:t>CEQ says:</w:t>
      </w:r>
    </w:p>
    <w:p w:rsidR="00514441" w:rsidRDefault="00514441" w:rsidP="00514441">
      <w:pPr>
        <w:widowControl w:val="0"/>
        <w:autoSpaceDE w:val="0"/>
        <w:autoSpaceDN w:val="0"/>
        <w:adjustRightInd w:val="0"/>
        <w:ind w:left="720"/>
      </w:pPr>
      <w:r>
        <w:t>“Connectivity is the degree to which landscapes, waterscapes, and seascapes allow species to move freely and ecological processes to function unimpeded. Corridors are distinct components of a landscape, waterscape, or seascape that provide connectivity. Corridors have policy relevance because they facilitate movement of species between blocks of intact habitat, notably during seasonal migrations or in response to changing conditions… Increasing connectivity is one of the most frequently recommended climate adaptation strategies for biodiversity management.”</w:t>
      </w:r>
    </w:p>
    <w:p w:rsidR="00514441" w:rsidRDefault="00514441" w:rsidP="00514441">
      <w:pPr>
        <w:widowControl w:val="0"/>
        <w:autoSpaceDE w:val="0"/>
        <w:autoSpaceDN w:val="0"/>
        <w:adjustRightInd w:val="0"/>
        <w:ind w:left="720"/>
      </w:pPr>
    </w:p>
    <w:p w:rsidR="00514441" w:rsidRDefault="00514441" w:rsidP="00514441">
      <w:pPr>
        <w:widowControl w:val="0"/>
        <w:autoSpaceDE w:val="0"/>
        <w:autoSpaceDN w:val="0"/>
        <w:adjustRightInd w:val="0"/>
        <w:ind w:left="720"/>
      </w:pPr>
      <w:r>
        <w:t>“To the maximum extent practicable, Federal agencies are expected to advance the objectives of this guidance by developing policies, through regulations, guidance, or other means, to consider how to conserve, enhance, protect, and restore corridors and connectivity during planning and decision-making, and to encourage collaborative processes across management and ownership boundaries. Any existing corridor and connectivity policies or related policies should be updated as needed to align with the objectives in this guidance. Federal agencies should have new or updated policies ready to implement by the first quarter of 2024 and make their policies publicly available. Federal agencies should also actively identify and prioritize actions that advance the objectives set forth in this guidance.”</w:t>
      </w:r>
    </w:p>
    <w:p w:rsidR="00514441" w:rsidRDefault="00514441" w:rsidP="00514441">
      <w:pPr>
        <w:widowControl w:val="0"/>
        <w:autoSpaceDE w:val="0"/>
        <w:autoSpaceDN w:val="0"/>
        <w:adjustRightInd w:val="0"/>
        <w:ind w:left="720"/>
      </w:pPr>
    </w:p>
    <w:p w:rsidR="00514441" w:rsidRDefault="00514441" w:rsidP="00514441">
      <w:pPr>
        <w:widowControl w:val="0"/>
        <w:autoSpaceDE w:val="0"/>
        <w:autoSpaceDN w:val="0"/>
        <w:adjustRightInd w:val="0"/>
        <w:ind w:left="720"/>
      </w:pPr>
      <w:r>
        <w:t>“Federal agencies should not limit engagement in restoration activities only to circumstances when restoration serves as a mitigation strategy to compensate for adverse impacts from projects or actions. Instead, Federal agencies should consider where there are opportunities in their programs and policies to carry out restoration with the objective of promoting greater connectivity.”</w:t>
      </w:r>
    </w:p>
    <w:p w:rsidR="00514441" w:rsidRDefault="00514441" w:rsidP="00514441">
      <w:r w:rsidRPr="000C2E8F">
        <w:rPr>
          <w:rFonts w:ascii="Times New Roman" w:hAnsi="Times New Roman" w:cs="Times New Roman"/>
          <w:color w:val="222222"/>
          <w:szCs w:val="24"/>
        </w:rPr>
        <w:t>Mallory, B. 202</w:t>
      </w:r>
      <w:r>
        <w:rPr>
          <w:rFonts w:ascii="Times New Roman" w:hAnsi="Times New Roman" w:cs="Times New Roman"/>
          <w:color w:val="222222"/>
          <w:szCs w:val="24"/>
        </w:rPr>
        <w:t>3</w:t>
      </w:r>
      <w:r w:rsidRPr="000C2E8F">
        <w:rPr>
          <w:rFonts w:ascii="Times New Roman" w:hAnsi="Times New Roman" w:cs="Times New Roman"/>
          <w:color w:val="222222"/>
          <w:szCs w:val="24"/>
        </w:rPr>
        <w:t xml:space="preserve">. CEQ </w:t>
      </w:r>
      <w:r>
        <w:t xml:space="preserve">Guidance for Federal Departments and Agencies on Ecological Connectivity and Wildlife Corridors. </w:t>
      </w:r>
      <w:hyperlink r:id="rId211" w:history="1">
        <w:r w:rsidRPr="00177A84">
          <w:rPr>
            <w:rStyle w:val="Hyperlink"/>
          </w:rPr>
          <w:t>https://www.whitehouse.gov/wp-content/uploads/2023/03/230318-Corridors-connectivity-guidance-memo-final-draft-formatted.pdf</w:t>
        </w:r>
      </w:hyperlink>
      <w:r>
        <w:t>.</w:t>
      </w:r>
    </w:p>
    <w:p w:rsidR="00514441" w:rsidRDefault="00514441" w:rsidP="00514441"/>
    <w:p w:rsidR="00514441" w:rsidRDefault="00514441" w:rsidP="00514441">
      <w:r>
        <w:lastRenderedPageBreak/>
        <w:t>The agency’s analysis of connectivity should consider the State of Oregon’s Priority Wildlife Connectivity Areas (PWCAs) developed by ODFW’s</w:t>
      </w:r>
      <w:r w:rsidRPr="006B4759">
        <w:t xml:space="preserve"> </w:t>
      </w:r>
      <w:hyperlink r:id="rId212" w:tgtFrame="_blank" w:history="1">
        <w:r w:rsidRPr="006B4759">
          <w:t> Oregon Connectivity Assessment and Mapping Project (OCAMP)</w:t>
        </w:r>
      </w:hyperlink>
      <w:r w:rsidRPr="006B4759">
        <w:t xml:space="preserve">  </w:t>
      </w:r>
      <w:r>
        <w:t xml:space="preserve">described here: </w:t>
      </w:r>
      <w:hyperlink r:id="rId213" w:history="1">
        <w:r w:rsidRPr="00452710">
          <w:rPr>
            <w:rStyle w:val="Hyperlink"/>
          </w:rPr>
          <w:t>https://oregonconservationstrategy.org/success-story/priority-wildlife-connectivity-areas-pwcas/</w:t>
        </w:r>
      </w:hyperlink>
      <w:r>
        <w:t xml:space="preserve">; </w:t>
      </w:r>
      <w:r>
        <w:rPr>
          <w:noProof/>
        </w:rPr>
        <w:t xml:space="preserve">and displayed here: </w:t>
      </w:r>
      <w:hyperlink r:id="rId214" w:history="1">
        <w:r w:rsidRPr="00452710">
          <w:rPr>
            <w:rStyle w:val="Hyperlink"/>
          </w:rPr>
          <w:t>https://experience.arcgis.com/experience/6979b6598f904951bd0af1821e1595f1/</w:t>
        </w:r>
      </w:hyperlink>
      <w:r>
        <w:t xml:space="preserve">  (Note: the habitat thresholds in OCAMP are set to minimize the extent of connectivity areas. These thresholds should be adjusted, especially on federal lands, to recognize wildlife’s broader use of the landscape for movement and connectivity.)</w:t>
      </w:r>
    </w:p>
    <w:p w:rsidR="005562BB" w:rsidRDefault="005562BB" w:rsidP="005562BB">
      <w:pPr>
        <w:pStyle w:val="Heading2"/>
      </w:pPr>
      <w:bookmarkStart w:id="20" w:name="_Toc167784211"/>
      <w:r>
        <w:t>Economics</w:t>
      </w:r>
      <w:bookmarkEnd w:id="20"/>
    </w:p>
    <w:p w:rsidR="00173E87" w:rsidRDefault="00F168FD" w:rsidP="005562BB">
      <w:r>
        <w:t xml:space="preserve">The Assessment must </w:t>
      </w:r>
      <w:r w:rsidR="00173E87">
        <w:t>give fair consideration to the social and economic benefits of conservation AND the often uncounted costs of resource extraction.</w:t>
      </w:r>
    </w:p>
    <w:p w:rsidR="00173E87" w:rsidRDefault="00173E87" w:rsidP="005562BB"/>
    <w:p w:rsidR="00173E87" w:rsidRDefault="00173E87" w:rsidP="00173E87">
      <w:pPr>
        <w:ind w:left="-1" w:right="-1" w:hanging="1"/>
      </w:pPr>
      <w:r>
        <w:t>Even back in 1971, Oregon was looking forward. OSU Extension summarized the role of federal lands in Oregon’s future economy:</w:t>
      </w:r>
    </w:p>
    <w:p w:rsidR="00173E87" w:rsidRDefault="00173E87" w:rsidP="00173E87">
      <w:pPr>
        <w:ind w:left="721" w:right="-1" w:hanging="1"/>
      </w:pPr>
      <w:r>
        <w:t>Because of the heavy reliance on our natural resources as our industrial base in Oregon, we depend heavily on the export of our natural resource materials, such as forest products and livestock. In the future, however, the overall relative importance of these basic  resources is expected to fall as demonstrated by the recent decrease in allowable cut in Oregon's O &amp; C lands. Any significant increase in our national economy attributable to federal lands is expected to originate with recreation and wildlife enhancement. Resource-based recreation is expected to increase 40 times by the year 2,000. In Oregon, at the present time, visitors from other states bring in more than $250 million annually. By 1978 this figure is expected to reach $388 million.</w:t>
      </w:r>
    </w:p>
    <w:p w:rsidR="00173E87" w:rsidRDefault="00173E87" w:rsidP="00173E87">
      <w:pPr>
        <w:ind w:left="-1" w:right="-1" w:hanging="1"/>
      </w:pPr>
      <w:r>
        <w:t xml:space="preserve">OSU Cooperative Extension. 1971. The Public Land Law Commission Report and It’s Importance to Oregon. Special Report 328. </w:t>
      </w:r>
      <w:hyperlink r:id="rId215" w:history="1">
        <w:r w:rsidRPr="0037299D">
          <w:rPr>
            <w:rStyle w:val="Hyperlink"/>
          </w:rPr>
          <w:t>http://ir.library.oregonstate.edu/xmlui/bitstream/handle/1957/4390/SR%20no.%20328_ocr.pdf</w:t>
        </w:r>
      </w:hyperlink>
      <w:r>
        <w:rPr>
          <w:color w:val="0000FF"/>
          <w:u w:val="single"/>
        </w:rPr>
        <w:t xml:space="preserve">. </w:t>
      </w:r>
      <w:r>
        <w:t>These economic trends noted 50+ years ago remain strong today. Federal lands must be carefully protected to ensure that the economic benefits associated with Oregon’s quality of life are conserved.</w:t>
      </w:r>
    </w:p>
    <w:p w:rsidR="00173E87" w:rsidRDefault="00173E87" w:rsidP="00173E87">
      <w:pPr>
        <w:ind w:left="-1" w:right="-1" w:hanging="1"/>
      </w:pPr>
    </w:p>
    <w:p w:rsidR="00173E87" w:rsidRDefault="00173E87" w:rsidP="00173E87">
      <w:pPr>
        <w:ind w:left="4" w:right="-1" w:hanging="1"/>
      </w:pPr>
      <w:r>
        <w:t>The economic benefits of conservation vastly exceed the economic costs of conservation. The Campaign for Nature conducted a thorough analysis of the economic trade-offs of a proposed policy to conserve 30% of the earth’s surface.</w:t>
      </w:r>
    </w:p>
    <w:p w:rsidR="00173E87" w:rsidRDefault="00173E87" w:rsidP="00173E87">
      <w:pPr>
        <w:ind w:left="720" w:right="-1" w:hanging="1"/>
      </w:pPr>
      <w:r>
        <w:t xml:space="preserve">The report’s main </w:t>
      </w:r>
      <w:r>
        <w:softHyphen/>
        <w:t>finding is that protecting at least 30% of the world’s land and ocean provides greater benefi</w:t>
      </w:r>
      <w:r>
        <w:softHyphen/>
        <w:t>ts than the status quo, both in terms of fi</w:t>
      </w:r>
      <w:r>
        <w:softHyphen/>
        <w:t>nancial outcomes and non-monetary measures like ecosystem services.</w:t>
      </w:r>
    </w:p>
    <w:p w:rsidR="00173E87" w:rsidRDefault="00173E87" w:rsidP="00173E87">
      <w:pPr>
        <w:ind w:left="720" w:right="-1" w:hanging="1"/>
      </w:pPr>
      <w:r>
        <w:t>The fi</w:t>
      </w:r>
      <w:r>
        <w:softHyphen/>
        <w:t>nancial and economic benefi</w:t>
      </w:r>
      <w:r>
        <w:softHyphen/>
        <w:t>ts of 30% protection exceed the costs by a factor of at least 5:1.</w:t>
      </w:r>
    </w:p>
    <w:p w:rsidR="00173E87" w:rsidRDefault="00173E87" w:rsidP="00173E87">
      <w:pPr>
        <w:ind w:left="720" w:right="-1" w:hanging="1"/>
      </w:pPr>
      <w:r>
        <w:t>This is a conservative estimate because the report did not quantify all ecosystem services bene</w:t>
      </w:r>
      <w:r>
        <w:softHyphen/>
        <w:t>fits.</w:t>
      </w:r>
    </w:p>
    <w:p w:rsidR="00173E87" w:rsidRDefault="00173E87" w:rsidP="00173E87">
      <w:pPr>
        <w:ind w:left="720" w:right="-1" w:hanging="1"/>
      </w:pPr>
      <w:r>
        <w:t>Protected areas boost the global economy and deliver key non-monetary bene</w:t>
      </w:r>
      <w:r>
        <w:softHyphen/>
        <w:t>fits:</w:t>
      </w:r>
    </w:p>
    <w:p w:rsidR="00173E87" w:rsidRDefault="00173E87" w:rsidP="00173E87">
      <w:pPr>
        <w:ind w:left="720" w:right="-1" w:hanging="1"/>
      </w:pPr>
      <w:r>
        <w:t xml:space="preserve">30% protection leads to increased economic output (compared to the status quo, across all the sectors analyzed in the report) averaging $250 billion annually (the report </w:t>
      </w:r>
      <w:r>
        <w:lastRenderedPageBreak/>
        <w:t>estimates a range of $64-454 billion, as the costs and bene</w:t>
      </w:r>
      <w:r>
        <w:softHyphen/>
        <w:t>fits will vary depending on which areas are protected) and generates additional non-monetized economic benefi</w:t>
      </w:r>
      <w:r>
        <w:softHyphen/>
        <w:t>ts from ecosystem services averaging $350 billion annually (the report estimates a range of $170-534 billion) by 2050.</w:t>
      </w:r>
    </w:p>
    <w:p w:rsidR="00173E87" w:rsidRDefault="00173E87" w:rsidP="00173E87">
      <w:pPr>
        <w:ind w:left="720" w:right="-1" w:hanging="1"/>
      </w:pPr>
      <w:r>
        <w:t xml:space="preserve">The nature conservation sector is a net contributor to the global economy, not a drain. The economic growth of the nature sector, primarily driven by growth in nature-based tourism, outweighs the economic impacts of expanded protection on agriculture, timber and </w:t>
      </w:r>
      <w:r>
        <w:softHyphen/>
        <w:t>fisheries. In fact, after recovery from the COVID-19 pandemic, the nature sector is projected to grow 4-6% per year compared to less than 1% for agriculture, timber and fi</w:t>
      </w:r>
      <w:r>
        <w:softHyphen/>
        <w:t>sheries.</w:t>
      </w:r>
    </w:p>
    <w:p w:rsidR="00173E87" w:rsidRDefault="00173E87" w:rsidP="00173E87">
      <w:pPr>
        <w:ind w:left="720" w:right="-1" w:hanging="1"/>
      </w:pPr>
      <w:r>
        <w:t>The non-monetary economic bene</w:t>
      </w:r>
      <w:r>
        <w:softHyphen/>
        <w:t>fits of 30% protection, which are typically considered “public goods” and currently outside the market economy, include ecosystem services such as climate change mitigation, flood protection, clean water provision and soil conservation. While studies have estimated the total global value of nature’s ecosystem services to be up to $125 trillion per year, this new report only calculates the value of a subset of ecosystem services provided by forests and mangroves, the two ecosystems for which there is the most reliable data on a global scale.</w:t>
      </w:r>
    </w:p>
    <w:p w:rsidR="00173E87" w:rsidRDefault="00173E87" w:rsidP="00173E87">
      <w:pPr>
        <w:ind w:left="3" w:right="-1" w:hanging="1"/>
      </w:pPr>
      <w:r>
        <w:t>Campaign for Nature 2020. Highlights and policy implications of new economic report: “Protecting 30% of the planet for nature: costs, benefi</w:t>
      </w:r>
      <w:r>
        <w:softHyphen/>
        <w:t>ts and economic implications”</w:t>
      </w:r>
      <w:r>
        <w:cr/>
      </w:r>
      <w:hyperlink r:id="rId216" w:history="1">
        <w:r>
          <w:rPr>
            <w:rStyle w:val="Hyperlink"/>
          </w:rPr>
          <w:t>https://static1.squarespace.com/static/5c77fa240b77bd5a7ff401e5/t/5f05c366f5edb16b875b3964/1594213260537/Waldron+Report-Highlights.pdf</w:t>
        </w:r>
      </w:hyperlink>
      <w:r>
        <w:t xml:space="preserve"> </w:t>
      </w:r>
      <w:r w:rsidRPr="00346B60">
        <w:rPr>
          <w:i/>
        </w:rPr>
        <w:t>citing</w:t>
      </w:r>
      <w:r>
        <w:t xml:space="preserve"> Waldron, Anthony et al 2020. Protecting 30% of the planet for nature: costs, benefits and economic implications Working paper analysing the economic implications of the proposed 30% target for areal protection in the draft post-2020 Global Biodiversity Framework. </w:t>
      </w:r>
      <w:hyperlink r:id="rId217" w:history="1">
        <w:r w:rsidRPr="0077661C">
          <w:rPr>
            <w:rStyle w:val="Hyperlink"/>
          </w:rPr>
          <w:t>https://www.conservation.cam.ac.uk/files/waldron_report_30_by_30_publish.pdf</w:t>
        </w:r>
      </w:hyperlink>
      <w:r>
        <w:t xml:space="preserve">. </w:t>
      </w:r>
    </w:p>
    <w:p w:rsidR="00173E87" w:rsidRPr="00E56723" w:rsidRDefault="00F03224" w:rsidP="00173E87">
      <w:pPr>
        <w:ind w:left="-1" w:right="-1" w:hanging="1"/>
        <w:rPr>
          <w:rFonts w:eastAsia="Times New Roman" w:cs="Times New Roman"/>
          <w:color w:val="2F4237"/>
          <w:szCs w:val="24"/>
        </w:rPr>
      </w:pPr>
      <w:hyperlink r:id="rId218" w:history="1">
        <w:r w:rsidR="00173E87" w:rsidRPr="00E56723">
          <w:rPr>
            <w:rStyle w:val="Hyperlink"/>
          </w:rPr>
          <w:t>https://www.campaignfornature.org/protecting-30-of-the-planet-for-nature-economic-analysis</w:t>
        </w:r>
      </w:hyperlink>
      <w:r w:rsidR="00173E87" w:rsidRPr="00E56723">
        <w:t xml:space="preserve">. </w:t>
      </w:r>
      <w:r w:rsidR="00173E87" w:rsidRPr="00E56723">
        <w:rPr>
          <w:rFonts w:eastAsia="Times New Roman" w:cs="Times New Roman"/>
          <w:szCs w:val="24"/>
        </w:rPr>
        <w:t xml:space="preserve">Dr. Andrew Balmford, Professor of Conservation Science, University of Cambridge said of this report: </w:t>
      </w:r>
      <w:r w:rsidR="00173E87" w:rsidRPr="00E56723">
        <w:rPr>
          <w:rFonts w:eastAsia="Times New Roman" w:cs="Times New Roman"/>
          <w:iCs/>
          <w:szCs w:val="24"/>
        </w:rPr>
        <w:t>“This work is extraordinary, in scope, but particularly in its novel multi-sectoral reach. As a result it sheds critically important light on the apparent trade-offs between expanding nature conservation and mainstream economic activity — and shows that ambitious new proposals for safeguarding wild species and places are likely to enhance human prosperity too.”</w:t>
      </w:r>
      <w:r w:rsidR="00173E87" w:rsidRPr="00E56723">
        <w:rPr>
          <w:rFonts w:eastAsia="Times New Roman" w:cs="Times New Roman"/>
          <w:iCs/>
          <w:color w:val="2F4237"/>
          <w:szCs w:val="24"/>
        </w:rPr>
        <w:t xml:space="preserve"> </w:t>
      </w:r>
    </w:p>
    <w:p w:rsidR="00173E87" w:rsidRDefault="00173E87" w:rsidP="00173E87"/>
    <w:p w:rsidR="00173E87" w:rsidRDefault="00173E87" w:rsidP="00173E87">
      <w:r>
        <w:t xml:space="preserve">The proposition that natural resources are a source of wealth is disproven by the evidence that “Remoteness, as measured by urban influence code, has a negative effect on every measure of economic development indicator. It reduces income, employment, housing prices and total developed areas.” If natural resources were a source of wealth remoteness would enhance wealth but the evidence shows that it does just the opposite. Note however, that the negative effects of remoteness can be mitigated in part through natural amenities that attract people who are willing to trade lower wages for higher quality of life. These are important considerations in the analysis of community welfare related to federal land management. JunJie Wu, Munisamy Gopinath. 2005. How Do Location Decisions of Firms and Households Affect Economic Development in Rural America? Selected Paper prepared for presentation at the American Agricultural Economic Association Annual Meeting, Providence, Rhode Island, July 24-27, 2005. </w:t>
      </w:r>
      <w:hyperlink r:id="rId219" w:history="1">
        <w:r>
          <w:rPr>
            <w:rStyle w:val="Hyperlink"/>
          </w:rPr>
          <w:t>http://ageconsearch.umn.edu/bitstream/19229/1/sp05wu02.pdf</w:t>
        </w:r>
      </w:hyperlink>
      <w:r>
        <w:t xml:space="preserve">. </w:t>
      </w:r>
      <w:hyperlink r:id="rId220" w:history="1">
        <w:r>
          <w:rPr>
            <w:rStyle w:val="Hyperlink"/>
          </w:rPr>
          <w:t>http://web.archive.org/web/20090115192759/http://oregonstate.edu/dept/ncs/newsarch/2008/Aug08/remotecommunities.html</w:t>
        </w:r>
      </w:hyperlink>
      <w:r>
        <w:t xml:space="preserve"> </w:t>
      </w:r>
    </w:p>
    <w:p w:rsidR="00173E87" w:rsidRDefault="00173E87" w:rsidP="00173E87"/>
    <w:p w:rsidR="00173E87" w:rsidRDefault="00173E87" w:rsidP="00173E87">
      <w:r>
        <w:t>Forests are more valuable, and better serve to stabilize communities, when they are protected from logging than when they are logged. Well-conserved forests provide numerous valuable ecosystem services, such as water purification, climate stability, flood control, slope stability, nutrient cycling, habitat for fish &amp; wildlife, recovery of imperiled species, recreation, scenic views, and quality of life. Conserved forests contribute to our quality of life which is one of the most valuable economic development assets we have. Quality of life provided by forests and watersheds represent a “second paycheck” enjoyed by everyone who lives and visits the northwest. Logging cuts our second paycheck and makes us all poorer. Congrove, Niemi, Fifield. 2000. Seeing the Forest for Their Green: Economic Benefits of Forest Protection, Recreation and Restoration. ECONorthwest 2000. Prepared for the Sierra Club.</w:t>
      </w:r>
    </w:p>
    <w:p w:rsidR="00173E87" w:rsidRDefault="00F03224" w:rsidP="005562BB">
      <w:hyperlink r:id="rId221" w:history="1">
        <w:r w:rsidR="00173E87">
          <w:rPr>
            <w:rStyle w:val="Hyperlink"/>
          </w:rPr>
          <w:t>http://www.econw.com/media/ap_files/FR2-Seeing-Forests-For-Green_ECONorthwest.pdf</w:t>
        </w:r>
      </w:hyperlink>
      <w:r w:rsidR="00173E87">
        <w:t xml:space="preserve">. See also, Niemi, E. 2017. Memo to Oregon Board of Forestry on </w:t>
      </w:r>
      <w:r w:rsidR="00173E87" w:rsidRPr="00071A01">
        <w:t>Oregon's Forest Economy</w:t>
      </w:r>
      <w:r w:rsidR="00173E87">
        <w:t xml:space="preserve"> </w:t>
      </w:r>
      <w:r w:rsidR="00173E87" w:rsidRPr="00071A01">
        <w:t>-</w:t>
      </w:r>
      <w:r w:rsidR="00173E87">
        <w:t xml:space="preserve"> </w:t>
      </w:r>
      <w:r w:rsidR="00173E87" w:rsidRPr="00071A01">
        <w:t>Importance Of Unlogged Forests</w:t>
      </w:r>
      <w:r w:rsidR="00173E87">
        <w:t xml:space="preserve">.  July 25, 2017. </w:t>
      </w:r>
      <w:hyperlink r:id="rId222" w:history="1">
        <w:r w:rsidR="00173E87" w:rsidRPr="009A213C">
          <w:rPr>
            <w:rStyle w:val="Hyperlink"/>
          </w:rPr>
          <w:t>http://www.oregon.gov/ODF/Board/Documents/BOF/20170725/BOFMIN_20170725_ATTCH_02.pdf</w:t>
        </w:r>
      </w:hyperlink>
      <w:r w:rsidR="00173E87">
        <w:t xml:space="preserve">. This memo describes a compelling analytic framework for describing market and non-market values from consumptive and non-consumptive ecosystem services provided by forests. This analytic framework should be used in the </w:t>
      </w:r>
      <w:r w:rsidR="007C0A49">
        <w:rPr>
          <w:szCs w:val="24"/>
        </w:rPr>
        <w:t>Assessment</w:t>
      </w:r>
      <w:r w:rsidR="00173E87">
        <w:t>.</w:t>
      </w:r>
    </w:p>
    <w:p w:rsidR="00173E87" w:rsidRDefault="00173E87" w:rsidP="005562BB"/>
    <w:p w:rsidR="00173E87" w:rsidRPr="00F84F28" w:rsidRDefault="00173E87" w:rsidP="00173E87">
      <w:r>
        <w:t>There is significant new information indicating that the timber industry is inherently volatile, therefore providing timber from federal lands likely causes community instability rather than community stability as often assumed. BLM’s 2015 Western Oregon Plan Revision DEIS (p 472) said:</w:t>
      </w:r>
    </w:p>
    <w:p w:rsidR="00173E87" w:rsidRPr="0046574B" w:rsidRDefault="00173E87" w:rsidP="00173E87">
      <w:pPr>
        <w:ind w:left="720"/>
      </w:pPr>
      <w:r w:rsidRPr="0046574B">
        <w:rPr>
          <w:color w:val="252525"/>
        </w:rPr>
        <w:t>Over the long-term (1969-2007), timber-based industries nationally exhibited low or negative</w:t>
      </w:r>
      <w:r>
        <w:rPr>
          <w:color w:val="252525"/>
        </w:rPr>
        <w:t xml:space="preserve"> </w:t>
      </w:r>
      <w:r w:rsidRPr="0046574B">
        <w:rPr>
          <w:color w:val="252525"/>
        </w:rPr>
        <w:t>growth rates with high volatility compared with the United States economy as a whole, indicating</w:t>
      </w:r>
      <w:r>
        <w:rPr>
          <w:color w:val="252525"/>
        </w:rPr>
        <w:t xml:space="preserve"> </w:t>
      </w:r>
      <w:r w:rsidRPr="0046574B">
        <w:rPr>
          <w:color w:val="252525"/>
        </w:rPr>
        <w:t>that these industries tend to be inherently volatile. Increases in timber industry activity in the</w:t>
      </w:r>
      <w:r>
        <w:rPr>
          <w:color w:val="252525"/>
        </w:rPr>
        <w:t xml:space="preserve"> </w:t>
      </w:r>
      <w:r w:rsidRPr="0046574B">
        <w:rPr>
          <w:color w:val="252525"/>
        </w:rPr>
        <w:t>planning area could bring additional exposure to greater economic instability.</w:t>
      </w:r>
    </w:p>
    <w:p w:rsidR="00173E87" w:rsidRDefault="00F03224" w:rsidP="00173E87">
      <w:hyperlink r:id="rId223" w:history="1">
        <w:r w:rsidR="00173E87" w:rsidRPr="00DC6832">
          <w:rPr>
            <w:rStyle w:val="Hyperlink"/>
          </w:rPr>
          <w:t>http://www.blm.gov/or/plans/rmpswesternoregon/deis.php</w:t>
        </w:r>
      </w:hyperlink>
      <w:r w:rsidR="00173E87">
        <w:t xml:space="preserve">  BLM’s DEIS acknowledges that the timber industry is far more volatile than other industries so boosting timber jobs does not necessarily translate to community stability. This new information requires a fundamental shift in thinking about the value of federal lands for timber production versus provision of public benefits that do contribute to community stability, such as: clean water, carbon storage and stabilizes the climate, biodiversity, diverse recreation opportunities, scenic values, etc. </w:t>
      </w:r>
    </w:p>
    <w:p w:rsidR="00173E87" w:rsidRDefault="00173E87" w:rsidP="00173E87"/>
    <w:p w:rsidR="00173E87" w:rsidRDefault="00173E87" w:rsidP="00173E87">
      <w:r>
        <w:t>Niemi &amp; Talberth 2021, explain the destabilizing influence of the timber industry.</w:t>
      </w:r>
    </w:p>
    <w:p w:rsidR="00173E87" w:rsidRPr="005F64CB" w:rsidRDefault="00173E87" w:rsidP="00173E87">
      <w:pPr>
        <w:numPr>
          <w:ilvl w:val="2"/>
          <w:numId w:val="10"/>
        </w:numPr>
        <w:suppressAutoHyphens/>
        <w:spacing w:line="240" w:lineRule="auto"/>
        <w:rPr>
          <w:u w:val="single"/>
        </w:rPr>
      </w:pPr>
      <w:r w:rsidRPr="005F64CB">
        <w:rPr>
          <w:u w:val="single"/>
        </w:rPr>
        <w:t xml:space="preserve">More logging amplifies community instability and perpetuates the kind of custom and culture that breeds far right extremism. </w:t>
      </w:r>
    </w:p>
    <w:p w:rsidR="00173E87" w:rsidRDefault="00173E87" w:rsidP="00173E87">
      <w:pPr>
        <w:ind w:left="720"/>
      </w:pPr>
      <w:r>
        <w:t xml:space="preserve">  The Bureau of Land Management (BLM) itself has found that boosting logging levels over and above the current baseline would work to destabilize rather than stabilize the rural economy since the timber industry itself is among the world’s most volatile. As noted in the Final Environmental Impact Statement for the Western Oregon Resource Management Plan “[b]ecause the timber industry has a long, national history of high </w:t>
      </w:r>
      <w:r>
        <w:lastRenderedPageBreak/>
        <w:t xml:space="preserve">volatility, alternatives with harvest volumes that exceed current levels are likely to introduce greater instability into local economies, based on past business cycles.”5 </w:t>
      </w:r>
    </w:p>
    <w:p w:rsidR="00173E87" w:rsidRDefault="00173E87" w:rsidP="00173E87">
      <w:pPr>
        <w:ind w:left="720"/>
      </w:pPr>
      <w:r>
        <w:t xml:space="preserve">  Some of this instability is due to the timber industry’s exposure to the vagaries of international markets. But the timber industry’s own tactics amplify this effect. Jobs have declined as it busted unions, exported logs rather than sending them to local mills and replaced mill jobs with machinery. Communities have become weaker as it evaded taxes. Regional economic growth has sputtered as it replaces healthy forests with clearcuts that externalize billions of dollars in natural resource damages onto the backs of taxpayers. This instability, in turn, is a breeding ground for a host of social ills plaguing rural areas overly invested in extractive industries – a pattern known globally as the resource curse but one all too visible in rural America.</w:t>
      </w:r>
    </w:p>
    <w:p w:rsidR="00173E87" w:rsidRDefault="00173E87" w:rsidP="00173E87">
      <w:pPr>
        <w:ind w:left="720"/>
      </w:pPr>
      <w:r w:rsidRPr="005E6F6F">
        <w:rPr>
          <w:noProof/>
          <w:lang w:val="en-US"/>
        </w:rPr>
        <w:drawing>
          <wp:inline distT="0" distB="0" distL="0" distR="0">
            <wp:extent cx="3676650" cy="26670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3676650" cy="2667000"/>
                    </a:xfrm>
                    <a:prstGeom prst="rect">
                      <a:avLst/>
                    </a:prstGeom>
                    <a:noFill/>
                    <a:ln>
                      <a:noFill/>
                    </a:ln>
                  </pic:spPr>
                </pic:pic>
              </a:graphicData>
            </a:graphic>
          </wp:inline>
        </w:drawing>
      </w:r>
      <w:r>
        <w:t xml:space="preserve"> </w:t>
      </w:r>
    </w:p>
    <w:p w:rsidR="00173E87" w:rsidRDefault="00173E87" w:rsidP="00173E87">
      <w:pPr>
        <w:ind w:left="720"/>
      </w:pPr>
      <w:r>
        <w:t xml:space="preserve">  These ills include chronic unemployment and poverty, domestic violence, decaying community infrastructure, and a pattern of corruption by elected officials who provide favors to corporations in return for hefty campaign contributions, dark money advertising, and other forms of electoral support. </w:t>
      </w:r>
    </w:p>
    <w:p w:rsidR="00173E87" w:rsidRDefault="00173E87" w:rsidP="00173E87">
      <w:pPr>
        <w:ind w:left="720"/>
      </w:pPr>
      <w:r>
        <w:t xml:space="preserve">  Indeed, in a meta-analysis of published research, the National Research Council (NRCS) found that indicators of social well-being were markedly worse in communities where the timber industry has a greater presence (Figure 1).6 In Oregon, there is a strong statistical correlation between more logging and higher levels of poverty. In counties that devote more land to logging, more of the population lives at or below the official poverty line and workers take home lower median wages (Figure 2).7</w:t>
      </w:r>
    </w:p>
    <w:p w:rsidR="00173E87" w:rsidRDefault="00173E87" w:rsidP="00173E87">
      <w:pPr>
        <w:ind w:left="720"/>
        <w:rPr>
          <w:noProof/>
        </w:rPr>
      </w:pPr>
      <w:r w:rsidRPr="005E6F6F">
        <w:rPr>
          <w:noProof/>
          <w:lang w:val="en-US"/>
        </w:rPr>
        <w:lastRenderedPageBreak/>
        <w:drawing>
          <wp:inline distT="0" distB="0" distL="0" distR="0">
            <wp:extent cx="5486400" cy="24193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5486400" cy="2419350"/>
                    </a:xfrm>
                    <a:prstGeom prst="rect">
                      <a:avLst/>
                    </a:prstGeom>
                    <a:noFill/>
                    <a:ln>
                      <a:noFill/>
                    </a:ln>
                  </pic:spPr>
                </pic:pic>
              </a:graphicData>
            </a:graphic>
          </wp:inline>
        </w:drawing>
      </w:r>
    </w:p>
    <w:p w:rsidR="00173E87" w:rsidRDefault="00173E87" w:rsidP="00173E87">
      <w:pPr>
        <w:ind w:left="720"/>
        <w:rPr>
          <w:noProof/>
        </w:rPr>
      </w:pPr>
      <w:r>
        <w:rPr>
          <w:noProof/>
        </w:rPr>
        <w:t>…</w:t>
      </w:r>
    </w:p>
    <w:p w:rsidR="00173E87" w:rsidRPr="004934CE" w:rsidRDefault="00173E87" w:rsidP="00173E87">
      <w:pPr>
        <w:ind w:left="720"/>
        <w:rPr>
          <w:u w:val="single"/>
        </w:rPr>
      </w:pPr>
      <w:r>
        <w:t xml:space="preserve">2. </w:t>
      </w:r>
      <w:r w:rsidRPr="004934CE">
        <w:rPr>
          <w:u w:val="single"/>
        </w:rPr>
        <w:t>Conserving forests has positive impacts on local economic stability and on</w:t>
      </w:r>
    </w:p>
    <w:p w:rsidR="00173E87" w:rsidRDefault="00173E87" w:rsidP="00173E87">
      <w:pPr>
        <w:ind w:left="720"/>
      </w:pPr>
      <w:r w:rsidRPr="004934CE">
        <w:rPr>
          <w:u w:val="single"/>
        </w:rPr>
        <w:t>community custom and culture</w:t>
      </w:r>
      <w:r>
        <w:t>.</w:t>
      </w:r>
    </w:p>
    <w:p w:rsidR="00173E87" w:rsidRDefault="00173E87" w:rsidP="00173E87">
      <w:pPr>
        <w:ind w:left="720"/>
      </w:pPr>
      <w:r>
        <w:t xml:space="preserve">  Conservation increases economic stability for nearby communities; logging diminishes it. For example, communities within 10 miles of land designated for species protection “experienced higher growth in community wealth than communities more than 10 miles from…protected land, even among those that were dependent upon logging.”27 Related research corroborates that logging on federal lands typically has negative impacts, but conservation has positive impacts on local economies (Figure 7).</w:t>
      </w:r>
    </w:p>
    <w:p w:rsidR="00173E87" w:rsidRDefault="00173E87" w:rsidP="00173E87">
      <w:pPr>
        <w:ind w:left="720"/>
        <w:rPr>
          <w:noProof/>
        </w:rPr>
      </w:pPr>
      <w:r w:rsidRPr="005E6F6F">
        <w:rPr>
          <w:noProof/>
          <w:lang w:val="en-US"/>
        </w:rPr>
        <w:drawing>
          <wp:inline distT="0" distB="0" distL="0" distR="0">
            <wp:extent cx="4552950" cy="2432050"/>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4552950" cy="2432050"/>
                    </a:xfrm>
                    <a:prstGeom prst="rect">
                      <a:avLst/>
                    </a:prstGeom>
                    <a:noFill/>
                    <a:ln>
                      <a:noFill/>
                    </a:ln>
                  </pic:spPr>
                </pic:pic>
              </a:graphicData>
            </a:graphic>
          </wp:inline>
        </w:drawing>
      </w:r>
    </w:p>
    <w:p w:rsidR="00173E87" w:rsidRDefault="00173E87" w:rsidP="00173E87">
      <w:pPr>
        <w:ind w:left="720"/>
      </w:pPr>
      <w:r>
        <w:rPr>
          <w:noProof/>
        </w:rPr>
        <w:t xml:space="preserve">  </w:t>
      </w:r>
      <w:r>
        <w:t>Moreover, evidence from across the western states regarding the positive and negative impacts of logging on federal lands indicates that, if the BLM were to log an additional 10,000 acres in Douglas County, Oregon, activity in the timber industry would have a positive impact of about $18 on income per county resident, but the loss of protected lands would reduce income by about $436, for a net reduction of $418 per person.28</w:t>
      </w:r>
    </w:p>
    <w:p w:rsidR="00173E87" w:rsidRDefault="00173E87" w:rsidP="00173E87">
      <w:r>
        <w:t xml:space="preserve">Ernie Niemi and John Talberth. 2021. Why President Biden Must Reinstate Owl Habitat Protection as Quickly as Possible - Rural poverty, political corruption and far-right extremism are among economic and social ills that plague towns overly invested in Big Timber. </w:t>
      </w:r>
      <w:r w:rsidRPr="0027341C">
        <w:t>Center for Sustainable Economy</w:t>
      </w:r>
      <w:r>
        <w:t xml:space="preserve"> and Natural Resources Economics. </w:t>
      </w:r>
      <w:hyperlink r:id="rId227" w:history="1">
        <w:r w:rsidRPr="00B73654">
          <w:rPr>
            <w:rStyle w:val="Hyperlink"/>
          </w:rPr>
          <w:t>https://sustainable-economy.org/wp-</w:t>
        </w:r>
        <w:r w:rsidRPr="00B73654">
          <w:rPr>
            <w:rStyle w:val="Hyperlink"/>
          </w:rPr>
          <w:lastRenderedPageBreak/>
          <w:t>content/uploads/2021/02/Exhibit-A-Owl-rule-analysis.pdf</w:t>
        </w:r>
      </w:hyperlink>
      <w:r>
        <w:t xml:space="preserve"> </w:t>
      </w:r>
      <w:r w:rsidRPr="005F64CB">
        <w:rPr>
          <w:i/>
        </w:rPr>
        <w:t>citing</w:t>
      </w:r>
      <w:r>
        <w:t xml:space="preserve"> [5] Bureau of Land Management, 2014. Final Environmental Impact Statement for the Proposed Resource Management Plan for Western Oregon, page 702. Portland, OR: USDI Bureau of Land Management, Oregon State Office. [6] National Research Council. 2000. Environmental Issues in Pacific Northwest Forest Management. Washington, DC: The National Academies Press.  </w:t>
      </w:r>
      <w:hyperlink r:id="rId228" w:history="1">
        <w:r w:rsidRPr="00B73654">
          <w:rPr>
            <w:rStyle w:val="Hyperlink"/>
          </w:rPr>
          <w:t>https://doi.org/10.17226/4983</w:t>
        </w:r>
      </w:hyperlink>
      <w:r>
        <w:t xml:space="preserve">. [7] County harvest data courtesy of Oregon Department of Forestry. Poverty and median wage data are taken from the U.S. Census. See Talberth, J., 2017. Modernizing State Forest Practices Laws to Halt and Reverse Deforestation. West Linn, OR: Center for Sustainable Economy. [27] Weber, Bruce, and Yong Chen. 2012. “Federal forest policy and community prosperity in the Pacific Northwest.” Choices. 27(1). </w:t>
      </w:r>
      <w:hyperlink r:id="rId229" w:history="1">
        <w:r w:rsidRPr="00B73654">
          <w:rPr>
            <w:rStyle w:val="Hyperlink"/>
          </w:rPr>
          <w:t>http://www.choicesmagazine.org/choices-magazine/theme-articles/ruralwealth-creation/federal-forest-policy-and-community-prosperity-in-the-pacific-northwest-</w:t>
        </w:r>
      </w:hyperlink>
      <w:r>
        <w:t>. [28] 8 Impacts derived by applying the county’s estimated population, 107,667, to the findings of Rasker, R., Gude P.H., Delorey, M., 2013. The Effect of Protected Federal Lands on Economic Prosperity in the Non-Metropolitan West. Helena, MT: Headwaters Economics.</w:t>
      </w:r>
    </w:p>
    <w:p w:rsidR="00173E87" w:rsidRDefault="00173E87" w:rsidP="00173E87"/>
    <w:p w:rsidR="00173E87" w:rsidRDefault="00173E87" w:rsidP="008C2992">
      <w:pPr>
        <w:ind w:left="720"/>
      </w:pPr>
      <w:r>
        <w:fldChar w:fldCharType="begin"/>
      </w:r>
      <w:r>
        <w:instrText xml:space="preserve"> INCLUDEPICTURE "http://oregoneconomicanalysis.files.wordpress.com/2012/01/woodproducts_growth2.jpg" \* MERGEFORMATINET </w:instrText>
      </w:r>
      <w:r>
        <w:fldChar w:fldCharType="separate"/>
      </w:r>
      <w:r w:rsidR="00097A66">
        <w:fldChar w:fldCharType="begin"/>
      </w:r>
      <w:r w:rsidR="00097A66">
        <w:instrText xml:space="preserve"> INCLUDEPICTURE  "http://oregoneconomicanalysis.files.wordpress.com/2012/01/woodproducts_growth2.jpg" \* MERGEFORMATINET </w:instrText>
      </w:r>
      <w:r w:rsidR="00097A66">
        <w:fldChar w:fldCharType="separate"/>
      </w:r>
      <w:r w:rsidR="000854F4">
        <w:fldChar w:fldCharType="begin"/>
      </w:r>
      <w:r w:rsidR="000854F4">
        <w:instrText xml:space="preserve"> INCLUDEPICTURE  "http://oregoneconomicanalysis.files.wordpress.com/2012/01/woodproducts_growth2.jpg" \* MERGEFORMATINET </w:instrText>
      </w:r>
      <w:r w:rsidR="000854F4">
        <w:fldChar w:fldCharType="separate"/>
      </w:r>
      <w:r w:rsidR="004B28CE">
        <w:fldChar w:fldCharType="begin"/>
      </w:r>
      <w:r w:rsidR="004B28CE">
        <w:instrText xml:space="preserve"> INCLUDEPICTURE  "http://oregoneconomicanalysis.files.wordpress.com/2012/01/woodproducts_growth2.jpg" \* MERGEFORMATINET </w:instrText>
      </w:r>
      <w:r w:rsidR="004B28CE">
        <w:fldChar w:fldCharType="separate"/>
      </w:r>
      <w:r w:rsidR="00F03224">
        <w:fldChar w:fldCharType="begin"/>
      </w:r>
      <w:r w:rsidR="00F03224">
        <w:instrText xml:space="preserve"> INCLUDEPICTURE  "http://oregoneconomicanalysis.files.wordpress.com/2012/01/woodproducts_growth2.jpg" \* MERGEFORMATINET </w:instrText>
      </w:r>
      <w:r w:rsidR="00F03224">
        <w:fldChar w:fldCharType="separate"/>
      </w:r>
      <w:r w:rsidR="00D014DD">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4.8pt;height:273pt">
            <v:imagedata r:id="rId230" r:href="rId231"/>
          </v:shape>
        </w:pict>
      </w:r>
      <w:r w:rsidR="00F03224">
        <w:fldChar w:fldCharType="end"/>
      </w:r>
      <w:r w:rsidR="004B28CE">
        <w:fldChar w:fldCharType="end"/>
      </w:r>
      <w:r w:rsidR="000854F4">
        <w:fldChar w:fldCharType="end"/>
      </w:r>
      <w:r w:rsidR="00097A66">
        <w:fldChar w:fldCharType="end"/>
      </w:r>
      <w:r>
        <w:fldChar w:fldCharType="end"/>
      </w:r>
    </w:p>
    <w:p w:rsidR="00173E87" w:rsidRDefault="00173E87" w:rsidP="00173E87">
      <w:r>
        <w:t xml:space="preserve">Lehner, J. 2012. </w:t>
      </w:r>
      <w:r w:rsidRPr="00C54638">
        <w:t>Historical Look at Oregon’s Wood Product Industry</w:t>
      </w:r>
      <w:r>
        <w:t xml:space="preserve">. </w:t>
      </w:r>
      <w:hyperlink r:id="rId232" w:history="1">
        <w:r w:rsidRPr="004B208D">
          <w:rPr>
            <w:rStyle w:val="Hyperlink"/>
          </w:rPr>
          <w:t>http://oregoneconomicanalysis.com/2012/01/23/historical-look-at-oregons-wood-product-industry/</w:t>
        </w:r>
      </w:hyperlink>
      <w:r w:rsidR="00E56723">
        <w:t>.</w:t>
      </w:r>
      <w:r>
        <w:t xml:space="preserve"> </w:t>
      </w:r>
    </w:p>
    <w:p w:rsidR="00173E87" w:rsidRDefault="00173E87" w:rsidP="00173E87"/>
    <w:p w:rsidR="00173E87" w:rsidRDefault="00173E87" w:rsidP="00173E87">
      <w:r>
        <w:t xml:space="preserve">Timber industry volatility would have its greatest effect in local communities that have the lowest levels of economic diversity, the greatest dependence on commodity production, and would therefore see the greatest fluctuations in jobs and income. The gain and loss of jobs caused by timber industry volatility would cause a variety of social problems related to job insecurity, depression, substance abuse, health care insecurity, domestic abuse, etc. which would in turn cause an increase in the demand for social services that are not adequately </w:t>
      </w:r>
      <w:r>
        <w:lastRenderedPageBreak/>
        <w:t>funded. If the Forest Service and BLM would emphasize development of less volatile economic sectors through provision of amenities instead of commodities, the social problems described above would be diminished and the demand for social services would be reduced.</w:t>
      </w:r>
    </w:p>
    <w:p w:rsidR="00173E87" w:rsidRPr="00163C96" w:rsidRDefault="00173E87" w:rsidP="00173E87"/>
    <w:p w:rsidR="00173E87" w:rsidRDefault="00173E87" w:rsidP="00173E87">
      <w:r w:rsidRPr="00163C96">
        <w:t>A</w:t>
      </w:r>
      <w:r>
        <w:t>ll things being equal, a</w:t>
      </w:r>
      <w:r w:rsidRPr="00163C96">
        <w:t xml:space="preserve"> </w:t>
      </w:r>
      <w:r>
        <w:t xml:space="preserve">more </w:t>
      </w:r>
      <w:r w:rsidRPr="00163C96">
        <w:t xml:space="preserve">diversified economy is </w:t>
      </w:r>
      <w:r>
        <w:t xml:space="preserve">a more </w:t>
      </w:r>
      <w:r w:rsidRPr="00163C96">
        <w:t>stable ec</w:t>
      </w:r>
      <w:r>
        <w:t>onomy. Oregon will always have a timber industry based on non-federal forest lands. The highest and best use of public forest lands, in terms of community stability, is to conserve the resources on those lands to provide a stable flow of ecosystem services such as clean water, carbon storage and recreation opportunities, that will help diversify the economy, and mitigate the economic instability caused by logging on non-federal lands.</w:t>
      </w:r>
    </w:p>
    <w:p w:rsidR="00173E87" w:rsidRDefault="00173E87" w:rsidP="00173E87"/>
    <w:p w:rsidR="00173E87" w:rsidRDefault="00173E87" w:rsidP="00173E87">
      <w:r>
        <w:t>The agency should do more to diversify local economies, rather than deepen and perpetuate timber dependency. The National Research Council found that timber dependency is associated with a variety of social problems, including: unemployment, poverty, crime, infant mortality, lower educational attainment, lower access to healthcare, etc.</w:t>
      </w:r>
    </w:p>
    <w:p w:rsidR="00173E87" w:rsidRDefault="00173E87" w:rsidP="00173E87">
      <w:pPr>
        <w:ind w:left="720"/>
      </w:pPr>
      <w:r>
        <w:t>The majority of the relationships between increasing timber dependency as measured by the proportion of timber-related jobs and social and economic well-being indicated that well-being went up as timber dependency went down. In most cases, timber dependency seemed to hurt rather than help communities.</w:t>
      </w:r>
    </w:p>
    <w:p w:rsidR="00173E87" w:rsidRDefault="00173E87" w:rsidP="00173E87">
      <w:r>
        <w:t xml:space="preserve">National Research Council, Committee on Environmental Issues in Pacific Northwest Forest Management. 2000. Environmental Issues in Pacific Northwest Forest Management. National Academies Press. </w:t>
      </w:r>
      <w:hyperlink r:id="rId233" w:history="1">
        <w:r w:rsidRPr="00DA7353">
          <w:rPr>
            <w:rStyle w:val="Hyperlink"/>
          </w:rPr>
          <w:t>https://www.nap.edu/read/4983/chapter/1</w:t>
        </w:r>
      </w:hyperlink>
      <w:r>
        <w:t>.</w:t>
      </w:r>
    </w:p>
    <w:p w:rsidR="00173E87" w:rsidRDefault="00173E87" w:rsidP="00173E87"/>
    <w:p w:rsidR="00173E87" w:rsidRDefault="00173E87" w:rsidP="00173E87">
      <w:r>
        <w:t xml:space="preserve">The agency should not focus the economic analysis exclusively on local communities. Well-conserved natural landscapes provide important economic values to urban residents as well. Urban residents obtain drinking water, benefit from carbon storage, and importantly, they travel to remote areas to recreate and enjoy natural landscapes. </w:t>
      </w:r>
    </w:p>
    <w:p w:rsidR="00173E87" w:rsidRPr="00F07B56" w:rsidRDefault="00173E87" w:rsidP="00173E87">
      <w:pPr>
        <w:autoSpaceDE w:val="0"/>
        <w:autoSpaceDN w:val="0"/>
        <w:adjustRightInd w:val="0"/>
        <w:ind w:left="720"/>
        <w:rPr>
          <w:rFonts w:cs="Times New Roman"/>
          <w:szCs w:val="24"/>
        </w:rPr>
      </w:pPr>
      <w:r w:rsidRPr="00F07B56">
        <w:rPr>
          <w:rFonts w:cs="Times New Roman"/>
          <w:szCs w:val="24"/>
        </w:rPr>
        <w:t>Rapid growth in the Pacific Northwest over the 1980s and 1990s has been difficult to explain in the context of traditional economic models of regional growth. The input-output framework used by many economic development organizations predicted that reductions in logging due to environmental policy would have permanent negative effects on the economies of the affected areas. Instead, the region experienced strong economic growth over this time period. It has been suggested that this economic growth might have resulted in part because of the protection of natural resources in the area, rather than in spite of it.</w:t>
      </w:r>
    </w:p>
    <w:p w:rsidR="00173E87" w:rsidRPr="00F07B56" w:rsidRDefault="00173E87" w:rsidP="00173E87">
      <w:pPr>
        <w:autoSpaceDE w:val="0"/>
        <w:autoSpaceDN w:val="0"/>
        <w:adjustRightInd w:val="0"/>
        <w:ind w:left="720"/>
        <w:rPr>
          <w:rFonts w:cs="Times New Roman"/>
          <w:szCs w:val="24"/>
        </w:rPr>
      </w:pPr>
      <w:r w:rsidRPr="00F07B56">
        <w:rPr>
          <w:rFonts w:cs="Times New Roman"/>
          <w:szCs w:val="24"/>
        </w:rPr>
        <w:t>This possibility is consistent with a fairly extensive empirical literature showing that variations in region-specific amenities can account for persistent differences in real wages across regions. The presence of an amenity valued by workers generates negative compensating wage differentials, as a higher supply of workers drives down wages in that area. At the same time, the presence of an amenity increases demand for housing in the region, which generates positive rent differentials. Such amenities can generate sizeable effects on wages.</w:t>
      </w:r>
    </w:p>
    <w:p w:rsidR="00173E87" w:rsidRPr="00F07B56" w:rsidRDefault="00173E87" w:rsidP="00173E87">
      <w:pPr>
        <w:autoSpaceDE w:val="0"/>
        <w:autoSpaceDN w:val="0"/>
        <w:adjustRightInd w:val="0"/>
        <w:ind w:left="720"/>
        <w:rPr>
          <w:rFonts w:cs="Times New Roman"/>
          <w:szCs w:val="24"/>
        </w:rPr>
      </w:pPr>
      <w:r w:rsidRPr="00F07B56">
        <w:rPr>
          <w:rFonts w:cs="Times New Roman"/>
          <w:szCs w:val="24"/>
        </w:rPr>
        <w:t xml:space="preserve">…The empirical literature to date has considered only amenities that are in the same location (usually the county or the metropolitan statistical area) as the household. The argument tested here is that environmental amenities at some distance from but </w:t>
      </w:r>
      <w:r w:rsidRPr="00F07B56">
        <w:rPr>
          <w:rFonts w:cs="Times New Roman"/>
          <w:szCs w:val="24"/>
        </w:rPr>
        <w:lastRenderedPageBreak/>
        <w:t>accessible to urban areas may have a value to consumers that can lead to negative compensating wage differentials. These wage differentials, in turn, serve as production amenities, attracting industrial and commercial activity and generating economic growth.</w:t>
      </w:r>
    </w:p>
    <w:p w:rsidR="00173E87" w:rsidRPr="00F07B56" w:rsidRDefault="00173E87" w:rsidP="00173E87">
      <w:pPr>
        <w:autoSpaceDE w:val="0"/>
        <w:autoSpaceDN w:val="0"/>
        <w:adjustRightInd w:val="0"/>
        <w:ind w:left="720"/>
        <w:rPr>
          <w:rFonts w:cs="Times New Roman"/>
          <w:szCs w:val="24"/>
        </w:rPr>
      </w:pPr>
      <w:r w:rsidRPr="00F07B56">
        <w:rPr>
          <w:rFonts w:cs="Times New Roman"/>
          <w:szCs w:val="24"/>
        </w:rPr>
        <w:t>…Our results suggest that natural resource amenities outside the metropolitan area do generate compensating wage differentials, as workers are willing to accept lower wages to live in accessible proximity to “nice” places. This implies that “nice” places provide a positive externality to those communities that find them accessible. It will therefore generally be very difficult to assure optimal provision of the amenity, either through market or nonmarket means. It is difficult enough to organize local jurisdictions to produce amenities efficiently within their own borders. Here the problem is much more complicated, as the relevant amenities will generally be produced in jurisdictions that are distinct from those in which the affected employers and employees transact their business. The effects that we estimate are quantitatively important, suggesting that these externalities should be taken into account in the making of environmental and natural resource policy.</w:t>
      </w:r>
    </w:p>
    <w:p w:rsidR="00173E87" w:rsidRDefault="00173E87" w:rsidP="00173E87">
      <w:r>
        <w:t xml:space="preserve">Schmidt, L. and P. N. Courant (2006). "Sometimes Close is Good Enough: The Value of Nearby Environmental Amenities." Journal of Regional Science 46(5): 931-951. </w:t>
      </w:r>
      <w:hyperlink r:id="rId234" w:history="1">
        <w:r w:rsidRPr="00DA7353">
          <w:rPr>
            <w:rStyle w:val="Hyperlink"/>
          </w:rPr>
          <w:t>https://ideas.repec.org/p/wil/wileco/2003-07.html</w:t>
        </w:r>
      </w:hyperlink>
      <w:r>
        <w:t xml:space="preserve">. It should be noted that the economic benefits of conservation that accrue to urban areas spill-over to also benefit rural areas. These benefits include direct local tax revenue, income generated from visitors, public services that are funded from state tax revenues, and rural areas’ access to specialized urban services. Cortright, Joseph. 2011. Who Pays, Who Benefits? An Analysis of Taxes and Expenditures in Oregon. In Michael Hibbard, Ethan Seltzer, Bruce Weber, Beth Emshoff (eds) Toward One Oregon. </w:t>
      </w:r>
      <w:hyperlink r:id="rId235" w:history="1">
        <w:r w:rsidRPr="00DA7353">
          <w:rPr>
            <w:rStyle w:val="Hyperlink"/>
          </w:rPr>
          <w:t>https://muse.jhu.edu/book/2135</w:t>
        </w:r>
      </w:hyperlink>
      <w:r>
        <w:t>.</w:t>
      </w:r>
    </w:p>
    <w:p w:rsidR="00173E87" w:rsidRDefault="00173E87" w:rsidP="00173E87">
      <w:r>
        <w:t xml:space="preserve">(“It seems apparent that the availability of public services in much of nonmetropolitan Oregon hinges vitally on the economic health of the Portland metropolitan area.”) Castle, Emery N., JunJie Wu, and Bruce Weber. 2011. Place Orientation and Rural-Urban Interdependence. Applied Economic Perspectives and Policy. </w:t>
      </w:r>
      <w:hyperlink r:id="rId236" w:history="1">
        <w:r w:rsidRPr="00DA7353">
          <w:rPr>
            <w:rStyle w:val="Hyperlink"/>
          </w:rPr>
          <w:t>http://citeseerx.ist.psu.edu/viewdoc/download?doi=10.1.1.1009.3704&amp;rep=rep1&amp;type=pdf</w:t>
        </w:r>
      </w:hyperlink>
      <w:r>
        <w:t xml:space="preserve">. (“Overall, there is a substantial net flow of resources from the metropolitan area to the remainder of Oregon [about $500 million per year for schools alone]. Those whose primary interest is in rural development need to learn about the role of cities.”). Martin, Sheila. 2011.Critical Linkages: Strengthening Clusters in Urban and Rural Oregon. </w:t>
      </w:r>
      <w:r w:rsidRPr="00BE1582">
        <w:rPr>
          <w:i/>
        </w:rPr>
        <w:t>In</w:t>
      </w:r>
      <w:r>
        <w:t xml:space="preserve"> Michael Hibbard, Ethan Seltzer, Bruce Weber, Beth Emshoff (eds) Toward One Oregon. </w:t>
      </w:r>
      <w:hyperlink r:id="rId237" w:history="1">
        <w:r w:rsidRPr="00DA7353">
          <w:rPr>
            <w:rStyle w:val="Hyperlink"/>
          </w:rPr>
          <w:t>https://muse.jhu.edu/book/2135</w:t>
        </w:r>
      </w:hyperlink>
      <w:r>
        <w:t>. (“[U]rban and rural Oregonians are also linked by the state’s revenue-sharing system that is used to equalize the services available for the citizens of its state, especially for education and health care. This linkage is critical, because it means that economic vitality in one part of the state provides benefits to citizens in other parts. In effect, we all benefit from economic success in one part of the state because state tax revenues are shared statewide.”)</w:t>
      </w:r>
    </w:p>
    <w:p w:rsidR="005A1FFA" w:rsidRDefault="005A1FFA" w:rsidP="00173E87"/>
    <w:p w:rsidR="005A1FFA" w:rsidRDefault="005A1FFA" w:rsidP="005A1FFA">
      <w:pPr>
        <w:ind w:left="720"/>
      </w:pPr>
      <w:r>
        <w:t xml:space="preserve">Biodiversity is the diversity of life. We will find that the economics of biodiversity is the economics of the entire biosphere. So, when developing the subject, we will keep in mind that we are embedded in Nature. The Review shows (Chapter 4*) that although the difference in conception is analytically slight, it has profound implications for what we </w:t>
      </w:r>
      <w:r>
        <w:lastRenderedPageBreak/>
        <w:t>can legitimately expect of the human enterprise. The former viewpoint encourages the thought that human ingenuity, when it is directed at advancing the common good, can raise global output indefinitely without affecting the biosphere so adversely that it is tipped into a state far-removed from where it has been since long before human societies began to form; the latter is an expression of the thought that because the biosphere is bounded, the global economy is bounded.</w:t>
      </w:r>
      <w:r>
        <w:cr/>
        <w:t>…</w:t>
      </w:r>
    </w:p>
    <w:p w:rsidR="005A1FFA" w:rsidRDefault="005A1FFA" w:rsidP="005A1FFA">
      <w:pPr>
        <w:ind w:left="720"/>
      </w:pPr>
      <w:r>
        <w:t>The Review demonstrates that in order to judge whether the path of economic development we choose to follow is sustainable, nations need to adopt a system of economic accounts that records an inclusive measure of their wealth. The qualifier ‘inclusive’ says that wealth includes Nature as an asset. The contemporary practice of using Gross Domestic Product (GDP) to judge economic performance is based on a faulty application of economics. GDP is a flow (so many market dollars of output per year), in contrast to inclusive wealth, which is a stock (it is the social worth of the economy’s entire portfolio of assets). Relatedly, GDP does not include the depreciation of assets, for example the degradation of the natural environment (we should remember that ‘G’ in GDP stands for gross output of final goods and services, not output net of depreciation of assets). As a measure of economic activity, GDP is indispensable in short-run macroeconomic analysis and management, but it is wholly unsuitable for appraising investment projects and identifying sustainable development. Nor was GDP intended by economists who fashioned it to be used for those two purposes. An economy could record a high rate of growth of GDP by depreciating its assets, but one would not know that from national statistics. The chapters that follow show that in recent decades eroding natural capital has been precisely the means the world economy has deployed for enjoying what is routinely celebrated as ‘economic growth’. The founding father of economics asked after The Wealth of Nations, not the GDP of nations. The idea of wealth that is developed in the Review is, not surprisingly, a lot richer than the one Adam Smith was able to fashion, but his identification of assets as the objects of interest was exactly right.</w:t>
      </w:r>
    </w:p>
    <w:p w:rsidR="005A1FFA" w:rsidRDefault="005A1FFA" w:rsidP="005A1FFA">
      <w:pPr>
        <w:ind w:left="720"/>
      </w:pPr>
      <w:r>
        <w:t>…</w:t>
      </w:r>
    </w:p>
    <w:p w:rsidR="005A1FFA" w:rsidRDefault="005A1FFA" w:rsidP="005A1FFA">
      <w:r>
        <w:t xml:space="preserve">Dasgupta, P. (2021), The Economics of Biodiversity: The Dasgupta Review. (London: HM Treasury). </w:t>
      </w:r>
      <w:hyperlink r:id="rId238" w:history="1">
        <w:r w:rsidRPr="00207CBA">
          <w:rPr>
            <w:rStyle w:val="Hyperlink"/>
          </w:rPr>
          <w:t>https://assets.publishing.service.gov.uk/government/uploads/system/uploads/attachment_data/file/962785/The_Economics_of_Biodiversity_The_Dasgupta_Review_Full_Report.pdf</w:t>
        </w:r>
      </w:hyperlink>
      <w:r>
        <w:t xml:space="preserve">. </w:t>
      </w:r>
    </w:p>
    <w:p w:rsidR="00173E87" w:rsidRDefault="00173E87" w:rsidP="00173E87">
      <w:pPr>
        <w:pStyle w:val="Heading3"/>
      </w:pPr>
      <w:bookmarkStart w:id="21" w:name="_Toc167784212"/>
      <w:r>
        <w:t xml:space="preserve">Social </w:t>
      </w:r>
      <w:r w:rsidR="008B353B">
        <w:t>C</w:t>
      </w:r>
      <w:r>
        <w:t xml:space="preserve">ost of </w:t>
      </w:r>
      <w:r w:rsidR="008B353B">
        <w:t>C</w:t>
      </w:r>
      <w:r>
        <w:t xml:space="preserve">arbon </w:t>
      </w:r>
      <w:r w:rsidR="008B353B">
        <w:t>D</w:t>
      </w:r>
      <w:r>
        <w:t xml:space="preserve">ioxide </w:t>
      </w:r>
      <w:r w:rsidR="008B353B">
        <w:t>E</w:t>
      </w:r>
      <w:r>
        <w:t>missions</w:t>
      </w:r>
      <w:bookmarkEnd w:id="21"/>
      <w:r>
        <w:t xml:space="preserve"> </w:t>
      </w:r>
    </w:p>
    <w:p w:rsidR="005562BB" w:rsidRDefault="005562BB" w:rsidP="005562BB">
      <w:r>
        <w:t xml:space="preserve">The social, economic, and environmental costs of unmitigated climate change are astronomical. With a recognition that nature-based carbon storage can help mitigate those costs, it is becoming clear that conservation of nature, especially forests, creates far more value than natural resource extraction. </w:t>
      </w:r>
      <w:r w:rsidRPr="00E41390">
        <w:t xml:space="preserve">Bradbury, R.B., Butchart, S.H.M., Fisher, B. et al. The economic consequences of conserving or restoring sites for nature. Nat Sustain (2021). </w:t>
      </w:r>
      <w:hyperlink r:id="rId239" w:history="1">
        <w:r w:rsidRPr="00A80C7F">
          <w:rPr>
            <w:rStyle w:val="Hyperlink"/>
          </w:rPr>
          <w:t>https://doi.org/10.1038/s41893-021-00692-9</w:t>
        </w:r>
      </w:hyperlink>
      <w:r>
        <w:t xml:space="preserve">. </w:t>
      </w:r>
      <w:hyperlink r:id="rId240" w:history="1">
        <w:r w:rsidRPr="007154D1">
          <w:rPr>
            <w:rStyle w:val="Hyperlink"/>
          </w:rPr>
          <w:t>https://rdcu.be/cgpdK</w:t>
        </w:r>
      </w:hyperlink>
      <w:r>
        <w:t xml:space="preserve"> (“At $31/tonne [of carbon] the nature-focused state NPV was greater than the alternative state NPV at 100% of forest sites. … [W]</w:t>
      </w:r>
      <w:r w:rsidRPr="00547CB8">
        <w:t xml:space="preserve">hile these patterns hold for all goods combined and for non-excludable goods, </w:t>
      </w:r>
      <w:r w:rsidRPr="00547CB8">
        <w:lastRenderedPageBreak/>
        <w:t>the alternative state was often more valuable when only excludable goods were considered. Our findings thus provide a strong economic justification for incentives to encourage private landowners towards decisions that favour nature-focused land management to enhance overall social value.</w:t>
      </w:r>
      <w:r>
        <w:t>”).</w:t>
      </w:r>
    </w:p>
    <w:p w:rsidR="005562BB" w:rsidRDefault="005562BB" w:rsidP="005562BB"/>
    <w:p w:rsidR="005562BB" w:rsidRDefault="005562BB" w:rsidP="005562BB">
      <w:r>
        <w:t xml:space="preserve">It is important to quantify the total carbon emissions from logging then use proxies such as the social cost of carbon dioxide emissions to help explain the effects of those emissions. Another powerful proxy is provided by Bressler (2021) which shows that 4,434 tonnes of CO2e emissions is estimated to result in climate effects that cause one premature human death. Bressler, R.D. The mortality cost of carbon. Nat Commun 12, 4467 (2021). </w:t>
      </w:r>
      <w:hyperlink r:id="rId241" w:history="1">
        <w:r w:rsidRPr="00452859">
          <w:rPr>
            <w:rStyle w:val="Hyperlink"/>
          </w:rPr>
          <w:t>https://doi.org/10.1038/s41467-021-24487-w</w:t>
        </w:r>
      </w:hyperlink>
      <w:r>
        <w:t xml:space="preserve">. </w:t>
      </w:r>
      <w:hyperlink r:id="rId242" w:history="1">
        <w:r w:rsidRPr="00231837">
          <w:rPr>
            <w:rStyle w:val="Hyperlink"/>
          </w:rPr>
          <w:t>https://www.nature.com/articles/s41467-021-24487-w.pdf</w:t>
        </w:r>
      </w:hyperlink>
      <w:r>
        <w:t xml:space="preserve">. The agency should calculate and disclose how many people they are killing with their logging plans. </w:t>
      </w:r>
    </w:p>
    <w:p w:rsidR="005562BB" w:rsidRDefault="005562BB" w:rsidP="005562BB"/>
    <w:p w:rsidR="005562BB" w:rsidRDefault="005562BB" w:rsidP="005562BB">
      <w:r>
        <w:t xml:space="preserve">The Biden Administration says it is </w:t>
      </w:r>
      <w:r w:rsidRPr="007C3D46">
        <w:rPr>
          <w:i/>
        </w:rPr>
        <w:t>essential</w:t>
      </w:r>
      <w:r>
        <w:t xml:space="preserve"> that federal decision-making consider the full cost of agency actions that may harm the climate: </w:t>
      </w:r>
    </w:p>
    <w:p w:rsidR="005562BB" w:rsidRDefault="005562BB" w:rsidP="005562BB">
      <w:pPr>
        <w:ind w:left="720"/>
      </w:pPr>
      <w:r w:rsidRPr="002E68F1">
        <w:rPr>
          <w:b/>
        </w:rPr>
        <w:t>Sec. 5.  Accounting for the Benefits of Reducing Climate Pollution</w:t>
      </w:r>
      <w:r w:rsidRPr="002E68F1">
        <w:t>.  (a)  It is essential that agencies capture the full costs of greenhouse gas emissions as accurately as possible, including by taking global damages into account.  Doing so facilitates sound decision-making, recognizes the breadth of climate impacts, and supports the international leadership of the United States on climate issues.  The “social cost of carbon” (SCC), “social cost of nitrous oxide” (SCN), and “social cost of methane” (SCM) are estimates of the monetized damages associated with incremental increases in greenhouse gas emissions.  They are intended to include changes in net agricultural productivity, human health, property damage from increased flood risk, and the value of ecosystem services.  An accurate social cost is essential for agencies to accurately determine the social benefits of reducing greenhouse gas emissions when conducting cost-benefit analyses of regulatory and other actions.</w:t>
      </w:r>
      <w:r>
        <w:t xml:space="preserve"> … </w:t>
      </w:r>
    </w:p>
    <w:p w:rsidR="005562BB" w:rsidRDefault="005562BB" w:rsidP="005562BB">
      <w:pPr>
        <w:ind w:left="720"/>
      </w:pPr>
      <w:r w:rsidRPr="002E68F1">
        <w:t>(b)  There is hereby established an Interagency Working Group on the Social Cost of Greenhouse Gases</w:t>
      </w:r>
      <w:r>
        <w:t xml:space="preserve"> … </w:t>
      </w:r>
    </w:p>
    <w:p w:rsidR="005562BB" w:rsidRDefault="005562BB" w:rsidP="005562BB">
      <w:pPr>
        <w:ind w:left="720"/>
      </w:pPr>
      <w:r>
        <w:t xml:space="preserve">(ii)   Mission and Work.  The Working Group shall, as appropriate and consistent with applicable law: </w:t>
      </w:r>
    </w:p>
    <w:p w:rsidR="005562BB" w:rsidRDefault="005562BB" w:rsidP="005562BB">
      <w:pPr>
        <w:ind w:left="720"/>
      </w:pPr>
      <w:r>
        <w:t xml:space="preserve">(A)  publish an interim SCC, SCN, and SCM within 30 days of the date of this order, which agencies shall use when monetizing the value of changes in greenhouse gas emissions resulting from regulations and other relevant agency actions until final values are published; </w:t>
      </w:r>
    </w:p>
    <w:p w:rsidR="005562BB" w:rsidRDefault="005562BB" w:rsidP="005562BB">
      <w:pPr>
        <w:ind w:left="720"/>
      </w:pPr>
      <w:r>
        <w:t>(B)  publish a final SCC, SCN, and SCM by no later than January 2022;</w:t>
      </w:r>
    </w:p>
    <w:p w:rsidR="005562BB" w:rsidRDefault="005562BB" w:rsidP="005562BB">
      <w:r w:rsidRPr="007C3D46">
        <w:t xml:space="preserve">Biden Executive Order on Protecting Public Health and the Environment and Restoring Science to Tackle the Climate Crisis; JANUARY 20, 2021. </w:t>
      </w:r>
      <w:hyperlink r:id="rId243" w:history="1">
        <w:r w:rsidRPr="007C3D46">
          <w:rPr>
            <w:rStyle w:val="Hyperlink"/>
          </w:rPr>
          <w:t>https://www.whitehouse.gov/briefing-room/presidential-actions/2021/01/20/executive-order-protecting-public-health-and-environment-and-restoring-science-to-tackle-climate-crisis/</w:t>
        </w:r>
      </w:hyperlink>
      <w:r>
        <w:t xml:space="preserve">. Experts offered 8 steps to restating the social cost of carbon dioxide emissions. Gernot Wagner, David Anthoff, Maureen Cropper, Simon Dietz, Kenneth T. Gillingham, Ben Groom, J. Paul Kelleher, Frances C. Moore &amp; James H. Stock. 2021.  Eight priorities for calculating the social cost of carbon. </w:t>
      </w:r>
      <w:r w:rsidRPr="008D051C">
        <w:t xml:space="preserve">Nature | Vol 590 | </w:t>
      </w:r>
      <w:r>
        <w:t xml:space="preserve">pp 548-550 | </w:t>
      </w:r>
      <w:r w:rsidRPr="008D051C">
        <w:t>25 February 2021</w:t>
      </w:r>
      <w:r>
        <w:t xml:space="preserve">. </w:t>
      </w:r>
      <w:hyperlink r:id="rId244" w:history="1">
        <w:r w:rsidRPr="00BC7D75">
          <w:rPr>
            <w:rStyle w:val="Hyperlink"/>
          </w:rPr>
          <w:t>https://media.nature.com/original/magazine-assets/d41586-021-00441-0/d41586-021-00441-0.pdf</w:t>
        </w:r>
      </w:hyperlink>
      <w:r>
        <w:t xml:space="preserve">. (1. </w:t>
      </w:r>
      <w:r w:rsidRPr="008D051C">
        <w:t>Reverse Trump’s changes</w:t>
      </w:r>
      <w:r>
        <w:t xml:space="preserve">. 2. Seek broad input. 3. </w:t>
      </w:r>
      <w:r w:rsidRPr="00E46468">
        <w:lastRenderedPageBreak/>
        <w:t xml:space="preserve">Update damage functions. 4. Reappraise climate risks. 5. Address equity. 6. Review discount rates. 7. Update socio-economic pathways. 8. Clarify limitations.). See also, </w:t>
      </w:r>
      <w:r w:rsidRPr="00E46468">
        <w:rPr>
          <w:rFonts w:cs="Times New Roman"/>
          <w:color w:val="333333"/>
          <w:szCs w:val="24"/>
          <w:shd w:val="clear" w:color="auto" w:fill="FFFFFF"/>
        </w:rPr>
        <w:t>Wagner, Gernot. “</w:t>
      </w:r>
      <w:hyperlink r:id="rId245" w:tgtFrame="_blank" w:history="1">
        <w:r w:rsidRPr="00E46468">
          <w:rPr>
            <w:rStyle w:val="Hyperlink"/>
          </w:rPr>
          <w:t>Recalculate the social cost of carbon</w:t>
        </w:r>
      </w:hyperlink>
      <w:r w:rsidRPr="00E46468">
        <w:rPr>
          <w:rFonts w:cs="Times New Roman"/>
          <w:color w:val="333333"/>
          <w:szCs w:val="24"/>
          <w:shd w:val="clear" w:color="auto" w:fill="FFFFFF"/>
        </w:rPr>
        <w:t>,” </w:t>
      </w:r>
      <w:r w:rsidRPr="00E46468">
        <w:rPr>
          <w:rStyle w:val="Emphasis"/>
          <w:rFonts w:cs="Times New Roman"/>
          <w:color w:val="333333"/>
          <w:szCs w:val="24"/>
          <w:shd w:val="clear" w:color="auto" w:fill="FFFFFF"/>
        </w:rPr>
        <w:t>Nature Climate Change</w:t>
      </w:r>
      <w:r w:rsidRPr="00E46468">
        <w:rPr>
          <w:rFonts w:cs="Times New Roman"/>
          <w:color w:val="333333"/>
          <w:szCs w:val="24"/>
          <w:shd w:val="clear" w:color="auto" w:fill="FFFFFF"/>
        </w:rPr>
        <w:t> (29 March 2021). doi:10.1038/s41558-021-01018-5.</w:t>
      </w:r>
    </w:p>
    <w:p w:rsidR="005562BB" w:rsidRDefault="005562BB" w:rsidP="005562BB">
      <w:r>
        <w:t xml:space="preserve">  </w:t>
      </w:r>
    </w:p>
    <w:p w:rsidR="00950514" w:rsidRDefault="005562BB" w:rsidP="00C13CE6">
      <w:r>
        <w:t xml:space="preserve">Gifford Pinchot said </w:t>
      </w:r>
      <w:r w:rsidRPr="00C309F4">
        <w:t xml:space="preserve">"Where conflicting interests must be reconciled, the question shall always be answered from the standpoint of the greatest good of the greatest number in the long run." </w:t>
      </w:r>
      <w:r>
        <w:t>The social cost of carbon dioxide emissions is a useful yardstick for measuring “the greatest good to the greatest number” because it allows the agency to compare the centralized economic value of timber to the decentralized economic costs of greenhouse gases emissions from logging.</w:t>
      </w:r>
    </w:p>
    <w:p w:rsidR="00F21BFF" w:rsidRDefault="00F21BFF" w:rsidP="00C13CE6"/>
    <w:p w:rsidR="005C517E" w:rsidRDefault="005C517E" w:rsidP="00C13CE6"/>
    <w:p w:rsidR="00C13CE6" w:rsidRPr="00C13CE6" w:rsidRDefault="00C13CE6" w:rsidP="00C13CE6">
      <w:r w:rsidRPr="00C13CE6">
        <w:t xml:space="preserve">Each substantive issue discussed in these comments should be (i) incorporated into the purpose and need for the </w:t>
      </w:r>
      <w:r w:rsidR="00EA3E50">
        <w:t>plan amendment</w:t>
      </w:r>
      <w:r w:rsidRPr="00C13CE6">
        <w:t xml:space="preserve">, (ii) used to </w:t>
      </w:r>
      <w:r w:rsidR="00F21BFF">
        <w:t xml:space="preserve">improve </w:t>
      </w:r>
      <w:r w:rsidR="007C0A49">
        <w:t xml:space="preserve">the Assessment </w:t>
      </w:r>
      <w:r w:rsidR="00F21BFF">
        <w:t xml:space="preserve">and inform the </w:t>
      </w:r>
      <w:r w:rsidR="007C0A49">
        <w:t xml:space="preserve">NEPA </w:t>
      </w:r>
      <w:r w:rsidR="00F21BFF">
        <w:t xml:space="preserve">process, </w:t>
      </w:r>
      <w:r w:rsidR="007C0A49">
        <w:t xml:space="preserve">and </w:t>
      </w:r>
      <w:r w:rsidRPr="00C13CE6">
        <w:t>develop NEPA alternatives that balance tradeoffs in different ways</w:t>
      </w:r>
      <w:r w:rsidR="00EA3E50">
        <w:t>, as well as mitigation alternatives</w:t>
      </w:r>
      <w:r w:rsidRPr="00C13CE6">
        <w:t xml:space="preserve">, </w:t>
      </w:r>
      <w:r w:rsidR="00EA3E50">
        <w:t xml:space="preserve">and </w:t>
      </w:r>
      <w:r w:rsidRPr="00C13CE6">
        <w:t xml:space="preserve">(iii) carefully analyzed and documented </w:t>
      </w:r>
      <w:r w:rsidR="00EA3E50">
        <w:t xml:space="preserve">as part of the </w:t>
      </w:r>
      <w:r w:rsidR="007C0A49">
        <w:t xml:space="preserve">NEPA </w:t>
      </w:r>
      <w:r w:rsidR="00EA3E50">
        <w:t>effects analysis</w:t>
      </w:r>
      <w:r w:rsidRPr="00C13CE6">
        <w:t>.</w:t>
      </w:r>
    </w:p>
    <w:p w:rsidR="00C13CE6" w:rsidRPr="00C13CE6" w:rsidRDefault="00C13CE6" w:rsidP="00C13CE6"/>
    <w:p w:rsidR="00C13CE6" w:rsidRPr="00C13CE6" w:rsidRDefault="00C13CE6" w:rsidP="00C13CE6">
      <w:r w:rsidRPr="00C13CE6">
        <w:t xml:space="preserve">Note: If any of these web links in this document are dead, they may be resurrected using the Wayback Machine at Archive.org. </w:t>
      </w:r>
      <w:hyperlink r:id="rId246" w:history="1">
        <w:r w:rsidRPr="00C13CE6">
          <w:rPr>
            <w:color w:val="0000FF"/>
            <w:u w:val="single"/>
          </w:rPr>
          <w:t>http://wayback.archive.org/web/</w:t>
        </w:r>
      </w:hyperlink>
    </w:p>
    <w:p w:rsidR="00C13CE6" w:rsidRPr="00C13CE6" w:rsidRDefault="00C13CE6" w:rsidP="00C13CE6"/>
    <w:p w:rsidR="00C13CE6" w:rsidRPr="00C13CE6" w:rsidRDefault="00C13CE6" w:rsidP="00C13CE6"/>
    <w:p w:rsidR="00C13CE6" w:rsidRPr="00C13CE6" w:rsidRDefault="00C13CE6" w:rsidP="00C13CE6">
      <w:r w:rsidRPr="00C13CE6">
        <w:t>Sincerely,</w:t>
      </w:r>
    </w:p>
    <w:p w:rsidR="00C13CE6" w:rsidRPr="00C13CE6" w:rsidRDefault="00C13CE6" w:rsidP="00C13CE6">
      <w:r w:rsidRPr="00C13CE6">
        <w:rPr>
          <w:noProof/>
          <w:lang w:val="en-US"/>
        </w:rPr>
        <w:drawing>
          <wp:inline distT="0" distB="0" distL="0" distR="0" wp14:anchorId="31B2C7D4" wp14:editId="32A8E2BD">
            <wp:extent cx="1546860" cy="502920"/>
            <wp:effectExtent l="0" t="0" r="0" b="0"/>
            <wp:docPr id="4" name="Picture 4" descr="Doug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ugSignature"/>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1546860" cy="502920"/>
                    </a:xfrm>
                    <a:prstGeom prst="rect">
                      <a:avLst/>
                    </a:prstGeom>
                    <a:noFill/>
                    <a:ln>
                      <a:noFill/>
                    </a:ln>
                  </pic:spPr>
                </pic:pic>
              </a:graphicData>
            </a:graphic>
          </wp:inline>
        </w:drawing>
      </w:r>
    </w:p>
    <w:p w:rsidR="00496A6A" w:rsidRPr="00C13CE6" w:rsidRDefault="00C13CE6" w:rsidP="00C13CE6">
      <w:r w:rsidRPr="00C13CE6">
        <w:t>Doug Heiken</w:t>
      </w:r>
      <w:r w:rsidR="00496A6A">
        <w:t xml:space="preserve"> (he/him)</w:t>
      </w:r>
    </w:p>
    <w:p w:rsidR="00C13CE6" w:rsidRPr="00C13CE6" w:rsidRDefault="00F03224" w:rsidP="00C13CE6">
      <w:hyperlink r:id="rId248" w:history="1">
        <w:r w:rsidR="00C13CE6" w:rsidRPr="00C13CE6">
          <w:rPr>
            <w:rStyle w:val="Hyperlink"/>
          </w:rPr>
          <w:t>dh@oregonwild.org</w:t>
        </w:r>
      </w:hyperlink>
      <w:r w:rsidR="00C13CE6" w:rsidRPr="00C13CE6">
        <w:t xml:space="preserve"> </w:t>
      </w:r>
    </w:p>
    <w:p w:rsidR="00CE0F66" w:rsidRPr="00C13CE6" w:rsidRDefault="00CE0F66">
      <w:pPr>
        <w:rPr>
          <w:rFonts w:eastAsia="Georgia" w:cs="Georgia"/>
        </w:rPr>
      </w:pPr>
    </w:p>
    <w:p w:rsidR="00CE0F66" w:rsidRDefault="00CE0F66">
      <w:pPr>
        <w:rPr>
          <w:rFonts w:eastAsia="Georgia" w:cs="Georgia"/>
        </w:rPr>
      </w:pPr>
    </w:p>
    <w:p w:rsidR="00D34E90" w:rsidRPr="00D34E90" w:rsidRDefault="00D34E90" w:rsidP="00D34E90">
      <w:r w:rsidRPr="00D34E90">
        <w:t xml:space="preserve">Attached: </w:t>
      </w:r>
    </w:p>
    <w:p w:rsidR="00D34E90" w:rsidRPr="00D34E90" w:rsidRDefault="00D34E90" w:rsidP="00D34E90">
      <w:pPr>
        <w:numPr>
          <w:ilvl w:val="0"/>
          <w:numId w:val="18"/>
        </w:numPr>
      </w:pPr>
      <w:r w:rsidRPr="00D34E90">
        <w:t xml:space="preserve">Oregon Wild roadless data, </w:t>
      </w:r>
    </w:p>
    <w:p w:rsidR="00D34E90" w:rsidRPr="00C13CE6" w:rsidRDefault="00D34E90" w:rsidP="00D34E90">
      <w:pPr>
        <w:numPr>
          <w:ilvl w:val="0"/>
          <w:numId w:val="18"/>
        </w:numPr>
      </w:pPr>
      <w:r w:rsidRPr="00D34E90">
        <w:t>Special Status Species addenda,</w:t>
      </w:r>
      <w:r>
        <w:t xml:space="preserve"> </w:t>
      </w:r>
    </w:p>
    <w:p w:rsidR="00D34E90" w:rsidRPr="00C13CE6" w:rsidRDefault="00D34E90">
      <w:pPr>
        <w:rPr>
          <w:rFonts w:eastAsia="Georgia" w:cs="Georgia"/>
        </w:rPr>
      </w:pPr>
    </w:p>
    <w:sectPr w:rsidR="00D34E90" w:rsidRPr="00C13CE6">
      <w:headerReference w:type="default" r:id="rId249"/>
      <w:footerReference w:type="default" r:id="rId250"/>
      <w:headerReference w:type="first" r:id="rId251"/>
      <w:footerReference w:type="first" r:id="rId252"/>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B5E2E" w:rsidRDefault="001B5E2E">
      <w:pPr>
        <w:spacing w:line="240" w:lineRule="auto"/>
      </w:pPr>
      <w:r>
        <w:separator/>
      </w:r>
    </w:p>
  </w:endnote>
  <w:endnote w:type="continuationSeparator" w:id="0">
    <w:p w:rsidR="001B5E2E" w:rsidRDefault="001B5E2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oz-fixed">
    <w:altName w:val="Times New Roman"/>
    <w:charset w:val="00"/>
    <w:family w:val="roman"/>
    <w:pitch w:val="default"/>
  </w:font>
  <w:font w:name="Courier">
    <w:panose1 w:val="02070409020205020404"/>
    <w:charset w:val="00"/>
    <w:family w:val="modern"/>
    <w:notTrueType/>
    <w:pitch w:val="fixed"/>
    <w:sig w:usb0="00000003" w:usb1="00000000" w:usb2="00000000" w:usb3="00000000" w:csb0="00000001" w:csb1="00000000"/>
  </w:font>
  <w:font w:name="AdvGulliv-R">
    <w:altName w:val="Times New Roman"/>
    <w:panose1 w:val="00000000000000000000"/>
    <w:charset w:val="00"/>
    <w:family w:val="roman"/>
    <w:notTrueType/>
    <w:pitch w:val="default"/>
  </w:font>
  <w:font w:name="BookAntiqua">
    <w:altName w:val="Book Antiqua"/>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Times New  Roman">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 w:name="MS Mincho">
    <w:altName w:val="Yu Gothic UI"/>
    <w:panose1 w:val="02020609040205080304"/>
    <w:charset w:val="80"/>
    <w:family w:val="roman"/>
    <w:pitch w:val="fixed"/>
    <w:sig w:usb0="00000001" w:usb1="08070000" w:usb2="00000010" w:usb3="00000000" w:csb0="00020000" w:csb1="00000000"/>
  </w:font>
  <w:font w:name="Proxima Nova Rg">
    <w:panose1 w:val="02000506030000020004"/>
    <w:charset w:val="00"/>
    <w:family w:val="auto"/>
    <w:pitch w:val="variable"/>
    <w:sig w:usb0="A00002EF" w:usb1="5000E0FB" w:usb2="00000000" w:usb3="00000000" w:csb0="0000019F" w:csb1="00000000"/>
  </w:font>
  <w:font w:name="Proxima Nova Semibold">
    <w:altName w:val="Times New Roman"/>
    <w:panose1 w:val="02000506030000020004"/>
    <w:charset w:val="00"/>
    <w:family w:val="auto"/>
    <w:pitch w:val="default"/>
  </w:font>
  <w:font w:name="Proxima Nova Extrabold">
    <w:altName w:val="Times New Roman"/>
    <w:panose1 w:val="02000506030000020004"/>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75865226"/>
      <w:docPartObj>
        <w:docPartGallery w:val="Page Numbers (Bottom of Page)"/>
        <w:docPartUnique/>
      </w:docPartObj>
    </w:sdtPr>
    <w:sdtEndPr>
      <w:rPr>
        <w:noProof/>
      </w:rPr>
    </w:sdtEndPr>
    <w:sdtContent>
      <w:p w:rsidR="00F03224" w:rsidRPr="00BE0D21" w:rsidRDefault="00F03224">
        <w:pPr>
          <w:pStyle w:val="Footer"/>
          <w:jc w:val="right"/>
        </w:pPr>
        <w:r w:rsidRPr="00BE0D21">
          <w:fldChar w:fldCharType="begin"/>
        </w:r>
        <w:r w:rsidRPr="00BE0D21">
          <w:instrText xml:space="preserve"> PAGE   \* MERGEFORMAT </w:instrText>
        </w:r>
        <w:r w:rsidRPr="00BE0D21">
          <w:fldChar w:fldCharType="separate"/>
        </w:r>
        <w:r w:rsidR="00AB70C5">
          <w:rPr>
            <w:noProof/>
          </w:rPr>
          <w:t>21</w:t>
        </w:r>
        <w:r w:rsidRPr="00BE0D21">
          <w:rPr>
            <w:noProof/>
          </w:rPr>
          <w:fldChar w:fldCharType="end"/>
        </w:r>
      </w:p>
    </w:sdtContent>
  </w:sdt>
  <w:p w:rsidR="00F03224" w:rsidRDefault="00F03224" w:rsidP="00BE0D21">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3224" w:rsidRDefault="00F03224" w:rsidP="00BE0D21">
    <w:pPr>
      <w:tabs>
        <w:tab w:val="center" w:pos="4680"/>
      </w:tabs>
    </w:pPr>
    <w:r>
      <w:rPr>
        <w:noProof/>
        <w:lang w:val="en-US"/>
      </w:rPr>
      <mc:AlternateContent>
        <mc:Choice Requires="wps">
          <w:drawing>
            <wp:anchor distT="114300" distB="114300" distL="114300" distR="114300" simplePos="0" relativeHeight="251660288" behindDoc="0" locked="0" layoutInCell="1" hidden="0" allowOverlap="1">
              <wp:simplePos x="0" y="0"/>
              <wp:positionH relativeFrom="column">
                <wp:posOffset>-914399</wp:posOffset>
              </wp:positionH>
              <wp:positionV relativeFrom="paragraph">
                <wp:posOffset>390525</wp:posOffset>
              </wp:positionV>
              <wp:extent cx="7772400" cy="258175"/>
              <wp:effectExtent l="0" t="0" r="0" b="0"/>
              <wp:wrapNone/>
              <wp:docPr id="1" name="Rectangle 1"/>
              <wp:cNvGraphicFramePr/>
              <a:graphic xmlns:a="http://schemas.openxmlformats.org/drawingml/2006/main">
                <a:graphicData uri="http://schemas.microsoft.com/office/word/2010/wordprocessingShape">
                  <wps:wsp>
                    <wps:cNvSpPr/>
                    <wps:spPr>
                      <a:xfrm>
                        <a:off x="1224000" y="825950"/>
                        <a:ext cx="8955900" cy="298500"/>
                      </a:xfrm>
                      <a:prstGeom prst="rect">
                        <a:avLst/>
                      </a:prstGeom>
                      <a:solidFill>
                        <a:srgbClr val="067886"/>
                      </a:solidFill>
                      <a:ln>
                        <a:noFill/>
                      </a:ln>
                    </wps:spPr>
                    <wps:txbx>
                      <w:txbxContent>
                        <w:p w:rsidR="00F03224" w:rsidRDefault="00F03224">
                          <w:pPr>
                            <w:spacing w:line="240" w:lineRule="auto"/>
                            <w:jc w:val="center"/>
                            <w:textDirection w:val="btLr"/>
                          </w:pPr>
                        </w:p>
                      </w:txbxContent>
                    </wps:txbx>
                    <wps:bodyPr spcFirstLastPara="1" wrap="square" lIns="91425" tIns="91425" rIns="91425" bIns="91425" anchor="ctr" anchorCtr="0">
                      <a:noAutofit/>
                    </wps:bodyPr>
                  </wps:wsp>
                </a:graphicData>
              </a:graphic>
            </wp:anchor>
          </w:drawing>
        </mc:Choice>
        <mc:Fallback>
          <w:pict>
            <v:rect id="Rectangle 1" o:spid="_x0000_s1026" style="position:absolute;margin-left:-1in;margin-top:30.75pt;width:612pt;height:20.35pt;z-index:251660288;visibility:visible;mso-wrap-style:square;mso-wrap-distance-left:9pt;mso-wrap-distance-top:9pt;mso-wrap-distance-right:9pt;mso-wrap-distance-bottom:9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" fillcolor="#067886" stroked="f">
              <v:textbox inset="2.53958mm,2.53958mm,2.53958mm,2.53958mm">
                <w:txbxContent>
                  <w:p w:rsidR="000854F4" w:rsidRDefault="000854F4">
                    <w:pPr>
                      <w:spacing w:line="240" w:lineRule="auto"/>
                      <w:jc w:val="center"/>
                      <w:textDirection w:val="btLr"/>
                    </w:pPr>
                  </w:p>
                </w:txbxContent>
              </v:textbox>
            </v:rect>
          </w:pict>
        </mc:Fallback>
      </mc:AlternateContent>
    </w:r>
    <w: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B5E2E" w:rsidRDefault="001B5E2E">
      <w:pPr>
        <w:spacing w:line="240" w:lineRule="auto"/>
      </w:pPr>
      <w:r>
        <w:separator/>
      </w:r>
    </w:p>
  </w:footnote>
  <w:footnote w:type="continuationSeparator" w:id="0">
    <w:p w:rsidR="001B5E2E" w:rsidRDefault="001B5E2E">
      <w:pPr>
        <w:spacing w:line="240" w:lineRule="auto"/>
      </w:pPr>
      <w:r>
        <w:continuationSeparator/>
      </w:r>
    </w:p>
  </w:footnote>
  <w:footnote w:id="1">
    <w:p w:rsidR="00F03224" w:rsidRDefault="00F03224">
      <w:pPr>
        <w:pStyle w:val="FootnoteText"/>
      </w:pPr>
      <w:r>
        <w:rPr>
          <w:rStyle w:val="FootnoteReference"/>
        </w:rPr>
        <w:footnoteRef/>
      </w:r>
      <w:r>
        <w:t xml:space="preserve"> Logging results in only modest changes in the intensity and spatial extent of disturbance, and in many cases can result in effects counter to the intended effects, e.g. increase hazardous fuels and fire effects.</w:t>
      </w:r>
    </w:p>
  </w:footnote>
  <w:footnote w:id="2">
    <w:p w:rsidR="00F03224" w:rsidRDefault="00F03224" w:rsidP="00AE3943">
      <w:pPr>
        <w:pStyle w:val="FootnoteText"/>
      </w:pPr>
      <w:r>
        <w:rPr>
          <w:rStyle w:val="FootnoteCharacters"/>
        </w:rPr>
        <w:footnoteRef/>
      </w:r>
      <w:r>
        <w:tab/>
        <w:t xml:space="preserve"> BLM’s February 2006 Planning Criteria for the Western Oregon Plan Revision says, “All (100%) of the soil directly beneath burn piles is expected to have detrimental soil damage due to deep burning.” p 133.</w:t>
      </w:r>
    </w:p>
  </w:footnote>
  <w:footnote w:id="3">
    <w:p w:rsidR="00F03224" w:rsidRDefault="00F03224" w:rsidP="00A150D6">
      <w:pPr>
        <w:pStyle w:val="FootnoteText"/>
      </w:pPr>
      <w:r>
        <w:rPr>
          <w:rStyle w:val="FootnoteCharacters"/>
        </w:rPr>
        <w:footnoteRef/>
      </w:r>
      <w:r>
        <w:tab/>
        <w:t xml:space="preserve"> Jan 2004 SEIS for Removing Survey and Manage Mitigation, page 189. </w:t>
      </w:r>
      <w:r>
        <w:rPr>
          <w:i/>
        </w:rPr>
        <w:t>citing</w:t>
      </w:r>
      <w:r>
        <w:t xml:space="preserve"> Carey, A.B., D.R. Thysell, and A. Brodie. 1999. The forest ecosystem study: background, rationale, implementation, baseline conditions, and silvicultural assessment. USDA Forest Service. General Technical Report PNW-GTR-457. Pacific Northwest Research Station. Portland, Oregon. </w:t>
      </w:r>
      <w:hyperlink r:id="rId1" w:history="1">
        <w:r>
          <w:rPr>
            <w:rStyle w:val="Hyperlink"/>
          </w:rPr>
          <w:t>http://www.treesearch.fs.fed.us/pubs/2984</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3224" w:rsidRDefault="00F03224">
    <w:pPr>
      <w:ind w:right="-63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3224" w:rsidRPr="00D44BA7" w:rsidRDefault="00F03224">
    <w:pPr>
      <w:ind w:right="-630"/>
      <w:jc w:val="right"/>
      <w:rPr>
        <w:rFonts w:ascii="Proxima Nova Rg" w:eastAsia="Proxima Nova Semibold" w:hAnsi="Proxima Nova Rg"/>
        <w:color w:val="231F20"/>
      </w:rPr>
    </w:pPr>
    <w:r w:rsidRPr="00D44BA7">
      <w:rPr>
        <w:rFonts w:ascii="Proxima Nova Rg" w:hAnsi="Proxima Nova Rg"/>
        <w:noProof/>
        <w:lang w:val="en-US"/>
      </w:rPr>
      <w:drawing>
        <wp:anchor distT="114300" distB="114300" distL="114300" distR="114300" simplePos="0" relativeHeight="251658240" behindDoc="0" locked="0" layoutInCell="1" hidden="0" allowOverlap="1">
          <wp:simplePos x="0" y="0"/>
          <wp:positionH relativeFrom="column">
            <wp:posOffset>-504824</wp:posOffset>
          </wp:positionH>
          <wp:positionV relativeFrom="paragraph">
            <wp:posOffset>-200024</wp:posOffset>
          </wp:positionV>
          <wp:extent cx="1031624" cy="1357313"/>
          <wp:effectExtent l="0" t="0" r="0" b="0"/>
          <wp:wrapSquare wrapText="bothSides" distT="114300" distB="114300" distL="114300" distR="11430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031624" cy="1357313"/>
                  </a:xfrm>
                  <a:prstGeom prst="rect">
                    <a:avLst/>
                  </a:prstGeom>
                  <a:ln/>
                </pic:spPr>
              </pic:pic>
            </a:graphicData>
          </a:graphic>
        </wp:anchor>
      </w:drawing>
    </w:r>
    <w:r w:rsidRPr="00D44BA7">
      <w:rPr>
        <w:rFonts w:ascii="Proxima Nova Rg" w:eastAsia="Proxima Nova Semibold" w:hAnsi="Proxima Nova Rg"/>
        <w:color w:val="231F20"/>
      </w:rPr>
      <w:t>PO Box 11648</w:t>
    </w:r>
  </w:p>
  <w:p w:rsidR="00F03224" w:rsidRPr="00D44BA7" w:rsidRDefault="00F03224">
    <w:pPr>
      <w:ind w:right="-630"/>
      <w:jc w:val="right"/>
      <w:rPr>
        <w:rFonts w:ascii="Proxima Nova Rg" w:eastAsia="Proxima Nova Semibold" w:hAnsi="Proxima Nova Rg"/>
        <w:color w:val="231F20"/>
      </w:rPr>
    </w:pPr>
    <w:r w:rsidRPr="00D44BA7">
      <w:rPr>
        <w:rFonts w:ascii="Proxima Nova Rg" w:eastAsia="Proxima Nova Semibold" w:hAnsi="Proxima Nova Rg"/>
        <w:color w:val="231F20"/>
      </w:rPr>
      <w:t>Eugene, OR 97440</w:t>
    </w:r>
  </w:p>
  <w:p w:rsidR="00F03224" w:rsidRPr="00D44BA7" w:rsidRDefault="00F03224">
    <w:pPr>
      <w:ind w:right="-630"/>
      <w:jc w:val="right"/>
      <w:rPr>
        <w:rFonts w:ascii="Proxima Nova Rg" w:eastAsia="Proxima Nova Semibold" w:hAnsi="Proxima Nova Rg"/>
        <w:color w:val="231F20"/>
      </w:rPr>
    </w:pPr>
    <w:r w:rsidRPr="00D44BA7">
      <w:rPr>
        <w:rFonts w:ascii="Proxima Nova Rg" w:eastAsia="Proxima Nova Semibold" w:hAnsi="Proxima Nova Rg"/>
        <w:color w:val="231F20"/>
      </w:rPr>
      <w:t>(541) 344-0675</w:t>
    </w:r>
  </w:p>
  <w:p w:rsidR="00F03224" w:rsidRPr="00D44BA7" w:rsidRDefault="00F03224">
    <w:pPr>
      <w:ind w:right="-630"/>
      <w:jc w:val="right"/>
      <w:rPr>
        <w:rFonts w:ascii="Proxima Nova Rg" w:eastAsia="Proxima Nova Extrabold" w:hAnsi="Proxima Nova Rg"/>
        <w:color w:val="067886"/>
      </w:rPr>
    </w:pPr>
    <w:r w:rsidRPr="00D44BA7">
      <w:rPr>
        <w:rFonts w:ascii="Proxima Nova Rg" w:eastAsia="Proxima Nova Extrabold" w:hAnsi="Proxima Nova Rg"/>
        <w:color w:val="067886"/>
      </w:rPr>
      <w:t>WWW.OREGONWILD.ORG</w:t>
    </w:r>
  </w:p>
  <w:p w:rsidR="00F03224" w:rsidRPr="006C59F8" w:rsidRDefault="00F03224">
    <w:pPr>
      <w:ind w:right="-630"/>
      <w:jc w:val="right"/>
      <w:rPr>
        <w:rFonts w:eastAsia="Proxima Nova Semibold"/>
        <w:color w:val="141413"/>
      </w:rPr>
    </w:pPr>
    <w:r w:rsidRPr="00D44BA7">
      <w:rPr>
        <w:rFonts w:ascii="Proxima Nova Rg" w:eastAsia="Proxima Nova Semibold" w:hAnsi="Proxima Nova Rg"/>
        <w:color w:val="E47325"/>
      </w:rPr>
      <w:t>Portland     Eugene     Bend     Enterprise</w:t>
    </w:r>
  </w:p>
  <w:p w:rsidR="00F03224" w:rsidRDefault="00F03224"/>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4"/>
    <w:multiLevelType w:val="singleLevel"/>
    <w:tmpl w:val="00000004"/>
    <w:name w:val="WW8Num4"/>
    <w:lvl w:ilvl="0">
      <w:start w:val="1"/>
      <w:numFmt w:val="decimal"/>
      <w:lvlText w:val="%1."/>
      <w:lvlJc w:val="left"/>
      <w:pPr>
        <w:tabs>
          <w:tab w:val="num" w:pos="720"/>
        </w:tabs>
        <w:ind w:left="720" w:hanging="360"/>
      </w:pPr>
    </w:lvl>
  </w:abstractNum>
  <w:abstractNum w:abstractNumId="1" w15:restartNumberingAfterBreak="0">
    <w:nsid w:val="0000003D"/>
    <w:multiLevelType w:val="singleLevel"/>
    <w:tmpl w:val="04090001"/>
    <w:name w:val="WW8Num2"/>
    <w:lvl w:ilvl="0">
      <w:start w:val="1"/>
      <w:numFmt w:val="bullet"/>
      <w:lvlText w:val=""/>
      <w:lvlJc w:val="left"/>
      <w:pPr>
        <w:ind w:left="720" w:hanging="360"/>
      </w:pPr>
      <w:rPr>
        <w:rFonts w:ascii="Symbol" w:hAnsi="Symbol" w:hint="default"/>
        <w:szCs w:val="24"/>
      </w:rPr>
    </w:lvl>
  </w:abstractNum>
  <w:abstractNum w:abstractNumId="2" w15:restartNumberingAfterBreak="0">
    <w:nsid w:val="00000051"/>
    <w:multiLevelType w:val="multilevel"/>
    <w:tmpl w:val="6B76085A"/>
    <w:name w:val="WW8Num8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decimal"/>
      <w:lvlText w:val="%3."/>
      <w:lvlJc w:val="left"/>
      <w:pPr>
        <w:tabs>
          <w:tab w:val="num" w:pos="1080"/>
        </w:tabs>
        <w:ind w:left="1080" w:hanging="360"/>
      </w:pPr>
      <w:rPr>
        <w:szCs w:val="24"/>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 w15:restartNumberingAfterBreak="0">
    <w:nsid w:val="00000062"/>
    <w:multiLevelType w:val="singleLevel"/>
    <w:tmpl w:val="04090001"/>
    <w:name w:val="WW8Num98"/>
    <w:lvl w:ilvl="0">
      <w:start w:val="1"/>
      <w:numFmt w:val="bullet"/>
      <w:lvlText w:val=""/>
      <w:lvlJc w:val="left"/>
      <w:pPr>
        <w:ind w:left="720" w:hanging="360"/>
      </w:pPr>
      <w:rPr>
        <w:rFonts w:ascii="Symbol" w:hAnsi="Symbol" w:hint="default"/>
        <w:sz w:val="20"/>
      </w:rPr>
    </w:lvl>
  </w:abstractNum>
  <w:abstractNum w:abstractNumId="4" w15:restartNumberingAfterBreak="0">
    <w:nsid w:val="02CF7A6E"/>
    <w:multiLevelType w:val="hybridMultilevel"/>
    <w:tmpl w:val="5AC236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32F4A25"/>
    <w:multiLevelType w:val="singleLevel"/>
    <w:tmpl w:val="0000001F"/>
    <w:lvl w:ilvl="0">
      <w:start w:val="1"/>
      <w:numFmt w:val="decimal"/>
      <w:lvlText w:val="%1."/>
      <w:lvlJc w:val="left"/>
      <w:pPr>
        <w:tabs>
          <w:tab w:val="num" w:pos="720"/>
        </w:tabs>
        <w:ind w:left="720" w:hanging="360"/>
      </w:pPr>
      <w:rPr>
        <w:szCs w:val="24"/>
      </w:rPr>
    </w:lvl>
  </w:abstractNum>
  <w:abstractNum w:abstractNumId="6" w15:restartNumberingAfterBreak="0">
    <w:nsid w:val="17A41FD5"/>
    <w:multiLevelType w:val="hybridMultilevel"/>
    <w:tmpl w:val="E722C25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3CB81EE8"/>
    <w:multiLevelType w:val="hybridMultilevel"/>
    <w:tmpl w:val="E2BC087A"/>
    <w:name w:val="WW8Num23222222222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3E0048F7"/>
    <w:multiLevelType w:val="hybridMultilevel"/>
    <w:tmpl w:val="BB4857EA"/>
    <w:name w:val="WW8Num722222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F624294"/>
    <w:multiLevelType w:val="hybridMultilevel"/>
    <w:tmpl w:val="F7B2FECE"/>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0" w15:restartNumberingAfterBreak="0">
    <w:nsid w:val="3FAF4CE8"/>
    <w:multiLevelType w:val="hybridMultilevel"/>
    <w:tmpl w:val="395ABF42"/>
    <w:lvl w:ilvl="0" w:tplc="DA488A9C">
      <w:numFmt w:val="bullet"/>
      <w:lvlText w:val="–"/>
      <w:lvlJc w:val="left"/>
      <w:pPr>
        <w:ind w:left="770" w:hanging="360"/>
      </w:pPr>
      <w:rPr>
        <w:rFonts w:ascii="Georgia" w:eastAsia="Arial" w:hAnsi="Georgia" w:cs="Aria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11" w15:restartNumberingAfterBreak="0">
    <w:nsid w:val="40B64978"/>
    <w:multiLevelType w:val="hybridMultilevel"/>
    <w:tmpl w:val="B99E70B6"/>
    <w:lvl w:ilvl="0" w:tplc="A0821FDC">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15:restartNumberingAfterBreak="0">
    <w:nsid w:val="418B2D59"/>
    <w:multiLevelType w:val="hybridMultilevel"/>
    <w:tmpl w:val="B8008BB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439A2219"/>
    <w:multiLevelType w:val="hybridMultilevel"/>
    <w:tmpl w:val="8938B0D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451B4E1A"/>
    <w:multiLevelType w:val="hybridMultilevel"/>
    <w:tmpl w:val="1D8CF4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8BA4509"/>
    <w:multiLevelType w:val="hybridMultilevel"/>
    <w:tmpl w:val="277876EC"/>
    <w:lvl w:ilvl="0" w:tplc="DA488A9C">
      <w:numFmt w:val="bullet"/>
      <w:lvlText w:val="–"/>
      <w:lvlJc w:val="left"/>
      <w:pPr>
        <w:ind w:left="720" w:hanging="360"/>
      </w:pPr>
      <w:rPr>
        <w:rFonts w:ascii="Georgia" w:eastAsia="Arial" w:hAnsi="Georgia"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4E813BC"/>
    <w:multiLevelType w:val="hybridMultilevel"/>
    <w:tmpl w:val="58F0640E"/>
    <w:lvl w:ilvl="0" w:tplc="EC0AF1FE">
      <w:numFmt w:val="bullet"/>
      <w:lvlText w:val="•"/>
      <w:lvlJc w:val="left"/>
      <w:pPr>
        <w:ind w:left="720" w:hanging="720"/>
      </w:pPr>
      <w:rPr>
        <w:rFonts w:ascii="Georgia" w:eastAsia="Arial" w:hAnsi="Georgia"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63AF0E4A"/>
    <w:multiLevelType w:val="multilevel"/>
    <w:tmpl w:val="B0BCD1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7596D2B"/>
    <w:multiLevelType w:val="hybridMultilevel"/>
    <w:tmpl w:val="9378C7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D0B5401"/>
    <w:multiLevelType w:val="hybridMultilevel"/>
    <w:tmpl w:val="C61218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17"/>
  </w:num>
  <w:num w:numId="3">
    <w:abstractNumId w:val="1"/>
  </w:num>
  <w:num w:numId="4">
    <w:abstractNumId w:val="6"/>
  </w:num>
  <w:num w:numId="5">
    <w:abstractNumId w:val="4"/>
  </w:num>
  <w:num w:numId="6">
    <w:abstractNumId w:val="5"/>
  </w:num>
  <w:num w:numId="7">
    <w:abstractNumId w:val="7"/>
  </w:num>
  <w:num w:numId="8">
    <w:abstractNumId w:val="18"/>
  </w:num>
  <w:num w:numId="9">
    <w:abstractNumId w:val="15"/>
  </w:num>
  <w:num w:numId="10">
    <w:abstractNumId w:val="2"/>
  </w:num>
  <w:num w:numId="11">
    <w:abstractNumId w:val="10"/>
  </w:num>
  <w:num w:numId="12">
    <w:abstractNumId w:val="8"/>
  </w:num>
  <w:num w:numId="13">
    <w:abstractNumId w:val="11"/>
  </w:num>
  <w:num w:numId="14">
    <w:abstractNumId w:val="3"/>
  </w:num>
  <w:num w:numId="15">
    <w:abstractNumId w:val="12"/>
  </w:num>
  <w:num w:numId="16">
    <w:abstractNumId w:val="0"/>
  </w:num>
  <w:num w:numId="17">
    <w:abstractNumId w:val="9"/>
  </w:num>
  <w:num w:numId="18">
    <w:abstractNumId w:val="13"/>
  </w:num>
  <w:num w:numId="19">
    <w:abstractNumId w:val="19"/>
  </w:num>
  <w:num w:numId="2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59F8"/>
    <w:rsid w:val="00013C49"/>
    <w:rsid w:val="00025A30"/>
    <w:rsid w:val="0006246F"/>
    <w:rsid w:val="000747CB"/>
    <w:rsid w:val="000854F4"/>
    <w:rsid w:val="00097A66"/>
    <w:rsid w:val="000B0D11"/>
    <w:rsid w:val="000C4D38"/>
    <w:rsid w:val="00122F87"/>
    <w:rsid w:val="001235B0"/>
    <w:rsid w:val="001311C9"/>
    <w:rsid w:val="00145E60"/>
    <w:rsid w:val="00156333"/>
    <w:rsid w:val="00157BB3"/>
    <w:rsid w:val="00170C8F"/>
    <w:rsid w:val="00173E87"/>
    <w:rsid w:val="0018301C"/>
    <w:rsid w:val="00184FBD"/>
    <w:rsid w:val="001B5E2E"/>
    <w:rsid w:val="001E0E14"/>
    <w:rsid w:val="001F3CEF"/>
    <w:rsid w:val="001F7159"/>
    <w:rsid w:val="00211DCB"/>
    <w:rsid w:val="00217833"/>
    <w:rsid w:val="0022480C"/>
    <w:rsid w:val="0023050C"/>
    <w:rsid w:val="00235CD2"/>
    <w:rsid w:val="002362A1"/>
    <w:rsid w:val="00253B9A"/>
    <w:rsid w:val="00257186"/>
    <w:rsid w:val="00257F7B"/>
    <w:rsid w:val="00260009"/>
    <w:rsid w:val="00280AA2"/>
    <w:rsid w:val="002A6D8E"/>
    <w:rsid w:val="002B4687"/>
    <w:rsid w:val="002C0C18"/>
    <w:rsid w:val="002D4C1B"/>
    <w:rsid w:val="002D7596"/>
    <w:rsid w:val="0031609A"/>
    <w:rsid w:val="0031683D"/>
    <w:rsid w:val="00321760"/>
    <w:rsid w:val="003733FA"/>
    <w:rsid w:val="00387091"/>
    <w:rsid w:val="00401892"/>
    <w:rsid w:val="00410664"/>
    <w:rsid w:val="00412246"/>
    <w:rsid w:val="004462DD"/>
    <w:rsid w:val="004539F2"/>
    <w:rsid w:val="0046140A"/>
    <w:rsid w:val="004757F6"/>
    <w:rsid w:val="00496A6A"/>
    <w:rsid w:val="004B28CE"/>
    <w:rsid w:val="004B705B"/>
    <w:rsid w:val="004C1E65"/>
    <w:rsid w:val="004E19C7"/>
    <w:rsid w:val="00503E77"/>
    <w:rsid w:val="00504DFC"/>
    <w:rsid w:val="00514441"/>
    <w:rsid w:val="005310DB"/>
    <w:rsid w:val="005562BB"/>
    <w:rsid w:val="005848A4"/>
    <w:rsid w:val="00592963"/>
    <w:rsid w:val="005A1FFA"/>
    <w:rsid w:val="005C517E"/>
    <w:rsid w:val="005E2920"/>
    <w:rsid w:val="005E30FD"/>
    <w:rsid w:val="005E7D98"/>
    <w:rsid w:val="005F63E7"/>
    <w:rsid w:val="00612645"/>
    <w:rsid w:val="00616827"/>
    <w:rsid w:val="00616956"/>
    <w:rsid w:val="006227A0"/>
    <w:rsid w:val="0065450F"/>
    <w:rsid w:val="00660B47"/>
    <w:rsid w:val="00660F90"/>
    <w:rsid w:val="006741A8"/>
    <w:rsid w:val="00675A4A"/>
    <w:rsid w:val="0068536D"/>
    <w:rsid w:val="0069081E"/>
    <w:rsid w:val="0069460F"/>
    <w:rsid w:val="006A1EAA"/>
    <w:rsid w:val="006A4A12"/>
    <w:rsid w:val="006A568B"/>
    <w:rsid w:val="006A7C17"/>
    <w:rsid w:val="006B32F3"/>
    <w:rsid w:val="006B37FE"/>
    <w:rsid w:val="006C59F8"/>
    <w:rsid w:val="006D1A3A"/>
    <w:rsid w:val="006D5768"/>
    <w:rsid w:val="006F7B48"/>
    <w:rsid w:val="007373B2"/>
    <w:rsid w:val="00737A97"/>
    <w:rsid w:val="007550E3"/>
    <w:rsid w:val="00756B8E"/>
    <w:rsid w:val="00782EBF"/>
    <w:rsid w:val="007875C5"/>
    <w:rsid w:val="007A1336"/>
    <w:rsid w:val="007A33D5"/>
    <w:rsid w:val="007B6DF2"/>
    <w:rsid w:val="007C0A49"/>
    <w:rsid w:val="007D0FB1"/>
    <w:rsid w:val="007E68FC"/>
    <w:rsid w:val="007F1DA8"/>
    <w:rsid w:val="008010CE"/>
    <w:rsid w:val="00815C0F"/>
    <w:rsid w:val="00816071"/>
    <w:rsid w:val="00834143"/>
    <w:rsid w:val="008345F8"/>
    <w:rsid w:val="0084316B"/>
    <w:rsid w:val="0085701D"/>
    <w:rsid w:val="00863DCD"/>
    <w:rsid w:val="00875C8A"/>
    <w:rsid w:val="008768AE"/>
    <w:rsid w:val="008A2029"/>
    <w:rsid w:val="008B0416"/>
    <w:rsid w:val="008B048D"/>
    <w:rsid w:val="008B353B"/>
    <w:rsid w:val="008C2992"/>
    <w:rsid w:val="008D2DDE"/>
    <w:rsid w:val="008E0589"/>
    <w:rsid w:val="008E1B10"/>
    <w:rsid w:val="00911611"/>
    <w:rsid w:val="00944C75"/>
    <w:rsid w:val="00950514"/>
    <w:rsid w:val="00952510"/>
    <w:rsid w:val="009569C2"/>
    <w:rsid w:val="00971FBE"/>
    <w:rsid w:val="00985D9F"/>
    <w:rsid w:val="00991B3B"/>
    <w:rsid w:val="009A1AF6"/>
    <w:rsid w:val="009A5E60"/>
    <w:rsid w:val="009B67E7"/>
    <w:rsid w:val="009C3A9C"/>
    <w:rsid w:val="009D3AFD"/>
    <w:rsid w:val="009E4333"/>
    <w:rsid w:val="009F3A66"/>
    <w:rsid w:val="00A060EE"/>
    <w:rsid w:val="00A072FA"/>
    <w:rsid w:val="00A150D6"/>
    <w:rsid w:val="00A154D7"/>
    <w:rsid w:val="00A1764B"/>
    <w:rsid w:val="00A60D10"/>
    <w:rsid w:val="00A655D6"/>
    <w:rsid w:val="00A8009D"/>
    <w:rsid w:val="00A82CC5"/>
    <w:rsid w:val="00A93CC3"/>
    <w:rsid w:val="00AA2EFE"/>
    <w:rsid w:val="00AB0887"/>
    <w:rsid w:val="00AB5647"/>
    <w:rsid w:val="00AB70C5"/>
    <w:rsid w:val="00AD13DF"/>
    <w:rsid w:val="00AE3943"/>
    <w:rsid w:val="00B22FAD"/>
    <w:rsid w:val="00B365FD"/>
    <w:rsid w:val="00B37059"/>
    <w:rsid w:val="00B37863"/>
    <w:rsid w:val="00B616C9"/>
    <w:rsid w:val="00B95FB4"/>
    <w:rsid w:val="00BA3D1A"/>
    <w:rsid w:val="00BB3481"/>
    <w:rsid w:val="00BB517B"/>
    <w:rsid w:val="00BC367D"/>
    <w:rsid w:val="00BC5EAA"/>
    <w:rsid w:val="00BC6260"/>
    <w:rsid w:val="00BD5A58"/>
    <w:rsid w:val="00BE0853"/>
    <w:rsid w:val="00BE0D21"/>
    <w:rsid w:val="00BF202B"/>
    <w:rsid w:val="00BF4F42"/>
    <w:rsid w:val="00BF5C62"/>
    <w:rsid w:val="00C13CE6"/>
    <w:rsid w:val="00C14E41"/>
    <w:rsid w:val="00C20C66"/>
    <w:rsid w:val="00C21843"/>
    <w:rsid w:val="00C4069C"/>
    <w:rsid w:val="00C61A85"/>
    <w:rsid w:val="00C67818"/>
    <w:rsid w:val="00C867EF"/>
    <w:rsid w:val="00C958C4"/>
    <w:rsid w:val="00C97D86"/>
    <w:rsid w:val="00CC7DA5"/>
    <w:rsid w:val="00CE0F66"/>
    <w:rsid w:val="00D014DD"/>
    <w:rsid w:val="00D167F5"/>
    <w:rsid w:val="00D34E90"/>
    <w:rsid w:val="00D44BA7"/>
    <w:rsid w:val="00D61533"/>
    <w:rsid w:val="00D63236"/>
    <w:rsid w:val="00D72440"/>
    <w:rsid w:val="00D725F6"/>
    <w:rsid w:val="00D73407"/>
    <w:rsid w:val="00DA7B56"/>
    <w:rsid w:val="00DB62D4"/>
    <w:rsid w:val="00DD007F"/>
    <w:rsid w:val="00E441CE"/>
    <w:rsid w:val="00E46468"/>
    <w:rsid w:val="00E50D6B"/>
    <w:rsid w:val="00E56723"/>
    <w:rsid w:val="00E60165"/>
    <w:rsid w:val="00E67B1F"/>
    <w:rsid w:val="00EA3E50"/>
    <w:rsid w:val="00EB2B8E"/>
    <w:rsid w:val="00EC3C72"/>
    <w:rsid w:val="00EE3ACD"/>
    <w:rsid w:val="00EE687D"/>
    <w:rsid w:val="00F03224"/>
    <w:rsid w:val="00F07B56"/>
    <w:rsid w:val="00F168FD"/>
    <w:rsid w:val="00F21BFF"/>
    <w:rsid w:val="00F30A15"/>
    <w:rsid w:val="00F3418A"/>
    <w:rsid w:val="00F37B33"/>
    <w:rsid w:val="00F52023"/>
    <w:rsid w:val="00F86C06"/>
    <w:rsid w:val="00F94A68"/>
    <w:rsid w:val="00FD6B6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DFAB0BF"/>
  <w15:docId w15:val="{9839FA8D-543F-4B7F-9C4B-94D665ECF8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D34E90"/>
    <w:rPr>
      <w:rFonts w:ascii="Georgia" w:hAnsi="Georgia"/>
    </w:rPr>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link w:val="Heading2Char"/>
    <w:rsid w:val="00737A97"/>
    <w:pPr>
      <w:keepNext/>
      <w:keepLines/>
      <w:spacing w:before="360" w:after="120"/>
      <w:outlineLvl w:val="1"/>
    </w:pPr>
    <w:rPr>
      <w:rFonts w:ascii="Arial" w:hAnsi="Arial"/>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paragraph" w:styleId="Header">
    <w:name w:val="header"/>
    <w:basedOn w:val="Normal"/>
    <w:link w:val="HeaderChar"/>
    <w:uiPriority w:val="99"/>
    <w:unhideWhenUsed/>
    <w:rsid w:val="00CE0F66"/>
    <w:pPr>
      <w:tabs>
        <w:tab w:val="center" w:pos="4680"/>
        <w:tab w:val="right" w:pos="9360"/>
      </w:tabs>
      <w:spacing w:line="240" w:lineRule="auto"/>
    </w:pPr>
  </w:style>
  <w:style w:type="character" w:customStyle="1" w:styleId="HeaderChar">
    <w:name w:val="Header Char"/>
    <w:basedOn w:val="DefaultParagraphFont"/>
    <w:link w:val="Header"/>
    <w:uiPriority w:val="99"/>
    <w:rsid w:val="00CE0F66"/>
  </w:style>
  <w:style w:type="paragraph" w:styleId="Footer">
    <w:name w:val="footer"/>
    <w:basedOn w:val="Normal"/>
    <w:link w:val="FooterChar"/>
    <w:uiPriority w:val="99"/>
    <w:unhideWhenUsed/>
    <w:rsid w:val="00CE0F66"/>
    <w:pPr>
      <w:tabs>
        <w:tab w:val="center" w:pos="4680"/>
        <w:tab w:val="right" w:pos="9360"/>
      </w:tabs>
      <w:spacing w:line="240" w:lineRule="auto"/>
    </w:pPr>
  </w:style>
  <w:style w:type="character" w:customStyle="1" w:styleId="FooterChar">
    <w:name w:val="Footer Char"/>
    <w:basedOn w:val="DefaultParagraphFont"/>
    <w:link w:val="Footer"/>
    <w:uiPriority w:val="99"/>
    <w:rsid w:val="00CE0F66"/>
  </w:style>
  <w:style w:type="character" w:styleId="Hyperlink">
    <w:name w:val="Hyperlink"/>
    <w:basedOn w:val="DefaultParagraphFont"/>
    <w:uiPriority w:val="99"/>
    <w:unhideWhenUsed/>
    <w:rsid w:val="00C13CE6"/>
    <w:rPr>
      <w:color w:val="0000FF" w:themeColor="hyperlink"/>
      <w:u w:val="single"/>
    </w:rPr>
  </w:style>
  <w:style w:type="paragraph" w:styleId="NormalWeb">
    <w:name w:val="Normal (Web)"/>
    <w:basedOn w:val="Normal"/>
    <w:uiPriority w:val="99"/>
    <w:unhideWhenUsed/>
    <w:rsid w:val="009F3A66"/>
    <w:rPr>
      <w:rFonts w:ascii="Times New Roman" w:hAnsi="Times New Roman" w:cs="Times New Roman"/>
      <w:sz w:val="24"/>
      <w:szCs w:val="24"/>
    </w:rPr>
  </w:style>
  <w:style w:type="paragraph" w:styleId="BodyText">
    <w:name w:val="Body Text"/>
    <w:basedOn w:val="Normal"/>
    <w:link w:val="BodyTextChar"/>
    <w:rsid w:val="000B0D11"/>
    <w:pPr>
      <w:suppressAutoHyphens/>
      <w:spacing w:line="240" w:lineRule="auto"/>
    </w:pPr>
    <w:rPr>
      <w:rFonts w:ascii="-moz-fixed" w:eastAsia="-moz-fixed" w:hAnsi="-moz-fixed" w:cs="-moz-fixed"/>
      <w:sz w:val="24"/>
      <w:szCs w:val="20"/>
      <w:lang w:val="en-US" w:eastAsia="ar-SA"/>
    </w:rPr>
  </w:style>
  <w:style w:type="character" w:customStyle="1" w:styleId="BodyTextChar">
    <w:name w:val="Body Text Char"/>
    <w:basedOn w:val="DefaultParagraphFont"/>
    <w:link w:val="BodyText"/>
    <w:rsid w:val="000B0D11"/>
    <w:rPr>
      <w:rFonts w:ascii="-moz-fixed" w:eastAsia="-moz-fixed" w:hAnsi="-moz-fixed" w:cs="-moz-fixed"/>
      <w:sz w:val="24"/>
      <w:szCs w:val="20"/>
      <w:lang w:val="en-US" w:eastAsia="ar-SA"/>
    </w:rPr>
  </w:style>
  <w:style w:type="paragraph" w:styleId="BodyText2">
    <w:name w:val="Body Text 2"/>
    <w:basedOn w:val="Normal"/>
    <w:link w:val="BodyText2Char"/>
    <w:rsid w:val="000B0D11"/>
    <w:pPr>
      <w:suppressAutoHyphens/>
      <w:spacing w:line="240" w:lineRule="auto"/>
      <w:ind w:right="-720"/>
    </w:pPr>
    <w:rPr>
      <w:rFonts w:ascii="-moz-fixed" w:eastAsia="-moz-fixed" w:hAnsi="-moz-fixed" w:cs="-moz-fixed"/>
      <w:sz w:val="24"/>
      <w:szCs w:val="20"/>
      <w:lang w:val="en-US" w:eastAsia="ar-SA"/>
    </w:rPr>
  </w:style>
  <w:style w:type="character" w:customStyle="1" w:styleId="BodyText2Char">
    <w:name w:val="Body Text 2 Char"/>
    <w:basedOn w:val="DefaultParagraphFont"/>
    <w:link w:val="BodyText2"/>
    <w:rsid w:val="000B0D11"/>
    <w:rPr>
      <w:rFonts w:ascii="-moz-fixed" w:eastAsia="-moz-fixed" w:hAnsi="-moz-fixed" w:cs="-moz-fixed"/>
      <w:sz w:val="24"/>
      <w:szCs w:val="20"/>
      <w:lang w:val="en-US" w:eastAsia="ar-SA"/>
    </w:rPr>
  </w:style>
  <w:style w:type="paragraph" w:styleId="BodyTextIndent2">
    <w:name w:val="Body Text Indent 2"/>
    <w:basedOn w:val="Normal"/>
    <w:link w:val="BodyTextIndent2Char"/>
    <w:rsid w:val="000B0D11"/>
    <w:pPr>
      <w:suppressAutoHyphens/>
      <w:spacing w:line="240" w:lineRule="auto"/>
      <w:ind w:left="1440"/>
    </w:pPr>
    <w:rPr>
      <w:rFonts w:ascii="-moz-fixed" w:eastAsia="-moz-fixed" w:hAnsi="-moz-fixed" w:cs="-moz-fixed"/>
      <w:sz w:val="24"/>
      <w:szCs w:val="20"/>
      <w:lang w:val="en-US" w:eastAsia="ar-SA"/>
    </w:rPr>
  </w:style>
  <w:style w:type="character" w:customStyle="1" w:styleId="BodyTextIndent2Char">
    <w:name w:val="Body Text Indent 2 Char"/>
    <w:basedOn w:val="DefaultParagraphFont"/>
    <w:link w:val="BodyTextIndent2"/>
    <w:rsid w:val="000B0D11"/>
    <w:rPr>
      <w:rFonts w:ascii="-moz-fixed" w:eastAsia="-moz-fixed" w:hAnsi="-moz-fixed" w:cs="-moz-fixed"/>
      <w:sz w:val="24"/>
      <w:szCs w:val="20"/>
      <w:lang w:val="en-US" w:eastAsia="ar-SA"/>
    </w:rPr>
  </w:style>
  <w:style w:type="character" w:customStyle="1" w:styleId="FootnoteCharacters">
    <w:name w:val="Footnote Characters"/>
    <w:rsid w:val="00AE3943"/>
    <w:rPr>
      <w:vertAlign w:val="superscript"/>
    </w:rPr>
  </w:style>
  <w:style w:type="paragraph" w:styleId="FootnoteText">
    <w:name w:val="footnote text"/>
    <w:aliases w:val="Footnote ak,Footnote Text Char Char Char Char,FA,FA Fußnotentext,Footnote Text Char Char,Footnote Text Char Char Char Char Char Char,Footnote Text Char Char Char,Footnote Text Char4,Footnote Text Char1 Char,Char,Footnote Text Char2,FA1,FA2"/>
    <w:basedOn w:val="Normal"/>
    <w:link w:val="FootnoteTextChar"/>
    <w:qFormat/>
    <w:rsid w:val="00AE3943"/>
    <w:pPr>
      <w:suppressAutoHyphens/>
      <w:spacing w:line="240" w:lineRule="auto"/>
    </w:pPr>
    <w:rPr>
      <w:rFonts w:ascii="-moz-fixed" w:eastAsia="-moz-fixed" w:hAnsi="-moz-fixed" w:cs="Courier"/>
      <w:sz w:val="20"/>
      <w:szCs w:val="20"/>
      <w:lang w:val="en-US" w:eastAsia="ar-SA"/>
    </w:rPr>
  </w:style>
  <w:style w:type="character" w:customStyle="1" w:styleId="FootnoteTextChar">
    <w:name w:val="Footnote Text Char"/>
    <w:aliases w:val="Footnote ak Char,Footnote Text Char Char Char Char Char,FA Char,FA Fußnotentext Char,Footnote Text Char Char Char1,Footnote Text Char Char Char Char Char Char Char,Footnote Text Char Char Char Char1,Footnote Text Char4 Char,Char Char"/>
    <w:basedOn w:val="DefaultParagraphFont"/>
    <w:link w:val="FootnoteText"/>
    <w:rsid w:val="00AE3943"/>
    <w:rPr>
      <w:rFonts w:ascii="-moz-fixed" w:eastAsia="-moz-fixed" w:hAnsi="-moz-fixed" w:cs="Courier"/>
      <w:sz w:val="20"/>
      <w:szCs w:val="20"/>
      <w:lang w:val="en-US" w:eastAsia="ar-SA"/>
    </w:rPr>
  </w:style>
  <w:style w:type="character" w:styleId="FootnoteReference">
    <w:name w:val="footnote reference"/>
    <w:basedOn w:val="DefaultParagraphFont"/>
    <w:uiPriority w:val="99"/>
    <w:semiHidden/>
    <w:unhideWhenUsed/>
    <w:rsid w:val="007B6DF2"/>
    <w:rPr>
      <w:vertAlign w:val="superscript"/>
    </w:rPr>
  </w:style>
  <w:style w:type="character" w:customStyle="1" w:styleId="anchor-text">
    <w:name w:val="anchor-text"/>
    <w:rsid w:val="00410664"/>
  </w:style>
  <w:style w:type="character" w:customStyle="1" w:styleId="e">
    <w:name w:val="e"/>
    <w:basedOn w:val="DefaultParagraphFont"/>
    <w:rsid w:val="008768AE"/>
  </w:style>
  <w:style w:type="character" w:customStyle="1" w:styleId="fontstyle21">
    <w:name w:val="fontstyle21"/>
    <w:rsid w:val="008768AE"/>
    <w:rPr>
      <w:rFonts w:ascii="AdvGulliv-R" w:hAnsi="AdvGulliv-R" w:hint="default"/>
      <w:b w:val="0"/>
      <w:bCs w:val="0"/>
      <w:i w:val="0"/>
      <w:iCs w:val="0"/>
      <w:color w:val="000000"/>
      <w:sz w:val="14"/>
      <w:szCs w:val="14"/>
    </w:rPr>
  </w:style>
  <w:style w:type="character" w:customStyle="1" w:styleId="Heading2Char">
    <w:name w:val="Heading 2 Char"/>
    <w:basedOn w:val="DefaultParagraphFont"/>
    <w:link w:val="Heading2"/>
    <w:rsid w:val="00737A97"/>
    <w:rPr>
      <w:sz w:val="32"/>
      <w:szCs w:val="32"/>
    </w:rPr>
  </w:style>
  <w:style w:type="paragraph" w:styleId="BodyTextIndent">
    <w:name w:val="Body Text Indent"/>
    <w:basedOn w:val="Normal"/>
    <w:link w:val="BodyTextIndentChar"/>
    <w:uiPriority w:val="99"/>
    <w:semiHidden/>
    <w:unhideWhenUsed/>
    <w:rsid w:val="00EC3C72"/>
    <w:pPr>
      <w:spacing w:after="120"/>
      <w:ind w:left="360"/>
    </w:pPr>
  </w:style>
  <w:style w:type="character" w:customStyle="1" w:styleId="BodyTextIndentChar">
    <w:name w:val="Body Text Indent Char"/>
    <w:basedOn w:val="DefaultParagraphFont"/>
    <w:link w:val="BodyTextIndent"/>
    <w:uiPriority w:val="99"/>
    <w:semiHidden/>
    <w:rsid w:val="00EC3C72"/>
    <w:rPr>
      <w:rFonts w:ascii="Georgia" w:hAnsi="Georgia"/>
    </w:rPr>
  </w:style>
  <w:style w:type="character" w:styleId="FollowedHyperlink">
    <w:name w:val="FollowedHyperlink"/>
    <w:basedOn w:val="DefaultParagraphFont"/>
    <w:uiPriority w:val="99"/>
    <w:semiHidden/>
    <w:unhideWhenUsed/>
    <w:rsid w:val="00B365FD"/>
    <w:rPr>
      <w:color w:val="800080" w:themeColor="followedHyperlink"/>
      <w:u w:val="single"/>
    </w:rPr>
  </w:style>
  <w:style w:type="character" w:styleId="Emphasis">
    <w:name w:val="Emphasis"/>
    <w:uiPriority w:val="20"/>
    <w:qFormat/>
    <w:rsid w:val="005562BB"/>
    <w:rPr>
      <w:i/>
      <w:iCs/>
    </w:rPr>
  </w:style>
  <w:style w:type="paragraph" w:styleId="HTMLPreformatted">
    <w:name w:val="HTML Preformatted"/>
    <w:basedOn w:val="Normal"/>
    <w:link w:val="HTMLPreformattedChar"/>
    <w:rsid w:val="00AA2E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240" w:lineRule="auto"/>
    </w:pPr>
    <w:rPr>
      <w:rFonts w:ascii="BookAntiqua" w:eastAsia="-moz-fixed" w:hAnsi="BookAntiqua" w:cs="BookAntiqua"/>
      <w:sz w:val="20"/>
      <w:szCs w:val="20"/>
      <w:lang w:val="en-US" w:eastAsia="ar-SA"/>
    </w:rPr>
  </w:style>
  <w:style w:type="character" w:customStyle="1" w:styleId="HTMLPreformattedChar">
    <w:name w:val="HTML Preformatted Char"/>
    <w:basedOn w:val="DefaultParagraphFont"/>
    <w:link w:val="HTMLPreformatted"/>
    <w:rsid w:val="00AA2EFE"/>
    <w:rPr>
      <w:rFonts w:ascii="BookAntiqua" w:eastAsia="-moz-fixed" w:hAnsi="BookAntiqua" w:cs="BookAntiqua"/>
      <w:sz w:val="20"/>
      <w:szCs w:val="20"/>
      <w:lang w:val="en-US" w:eastAsia="ar-SA"/>
    </w:rPr>
  </w:style>
  <w:style w:type="paragraph" w:styleId="TOCHeading">
    <w:name w:val="TOC Heading"/>
    <w:basedOn w:val="Heading1"/>
    <w:next w:val="Normal"/>
    <w:uiPriority w:val="39"/>
    <w:unhideWhenUsed/>
    <w:qFormat/>
    <w:rsid w:val="00235CD2"/>
    <w:pPr>
      <w:spacing w:before="240" w:after="0" w:line="259" w:lineRule="auto"/>
      <w:outlineLvl w:val="9"/>
    </w:pPr>
    <w:rPr>
      <w:rFonts w:asciiTheme="majorHAnsi" w:eastAsiaTheme="majorEastAsia" w:hAnsiTheme="majorHAnsi" w:cstheme="majorBidi"/>
      <w:color w:val="365F91" w:themeColor="accent1" w:themeShade="BF"/>
      <w:sz w:val="32"/>
      <w:szCs w:val="32"/>
      <w:lang w:val="en-US"/>
    </w:rPr>
  </w:style>
  <w:style w:type="paragraph" w:styleId="TOC2">
    <w:name w:val="toc 2"/>
    <w:basedOn w:val="Normal"/>
    <w:next w:val="Normal"/>
    <w:autoRedefine/>
    <w:uiPriority w:val="39"/>
    <w:unhideWhenUsed/>
    <w:rsid w:val="00235CD2"/>
    <w:pPr>
      <w:spacing w:after="100"/>
      <w:ind w:left="220"/>
    </w:pPr>
  </w:style>
  <w:style w:type="paragraph" w:styleId="TOC3">
    <w:name w:val="toc 3"/>
    <w:basedOn w:val="Normal"/>
    <w:next w:val="Normal"/>
    <w:autoRedefine/>
    <w:uiPriority w:val="39"/>
    <w:unhideWhenUsed/>
    <w:rsid w:val="00235CD2"/>
    <w:pPr>
      <w:spacing w:after="100"/>
      <w:ind w:left="440"/>
    </w:pPr>
  </w:style>
  <w:style w:type="paragraph" w:customStyle="1" w:styleId="NumberLista">
    <w:name w:val="Number List a"/>
    <w:aliases w:val="(1),(a)"/>
    <w:basedOn w:val="Normal"/>
    <w:rsid w:val="008E0589"/>
    <w:pPr>
      <w:suppressAutoHyphens/>
      <w:spacing w:before="240" w:line="240" w:lineRule="auto"/>
      <w:ind w:left="1080"/>
    </w:pPr>
    <w:rPr>
      <w:rFonts w:ascii="-moz-fixed" w:eastAsia="-moz-fixed" w:hAnsi="-moz-fixed" w:cs="-moz-fixed"/>
      <w:sz w:val="24"/>
      <w:szCs w:val="24"/>
      <w:lang w:val="en-US" w:eastAsia="ar-SA"/>
    </w:rPr>
  </w:style>
  <w:style w:type="paragraph" w:customStyle="1" w:styleId="NumberList1">
    <w:name w:val="Number List 1"/>
    <w:aliases w:val="2,3"/>
    <w:basedOn w:val="Normal"/>
    <w:rsid w:val="008E0589"/>
    <w:pPr>
      <w:spacing w:before="240" w:line="240" w:lineRule="auto"/>
      <w:ind w:left="720"/>
    </w:pPr>
    <w:rPr>
      <w:rFonts w:ascii="Times New Roman" w:eastAsia="Times New Roman" w:hAnsi="Times New Roman" w:cs="Times New Roman"/>
      <w:sz w:val="24"/>
      <w:szCs w:val="24"/>
      <w:lang w:val="en-US"/>
    </w:rPr>
  </w:style>
  <w:style w:type="paragraph" w:styleId="TOC4">
    <w:name w:val="toc 4"/>
    <w:basedOn w:val="Normal"/>
    <w:next w:val="Normal"/>
    <w:autoRedefine/>
    <w:uiPriority w:val="39"/>
    <w:semiHidden/>
    <w:unhideWhenUsed/>
    <w:rsid w:val="006D1A3A"/>
    <w:pPr>
      <w:spacing w:after="100"/>
      <w:ind w:left="660"/>
    </w:pPr>
  </w:style>
  <w:style w:type="paragraph" w:styleId="CommentText">
    <w:name w:val="annotation text"/>
    <w:basedOn w:val="Normal"/>
    <w:link w:val="CommentTextChar"/>
    <w:rsid w:val="00660B47"/>
    <w:pPr>
      <w:suppressAutoHyphens/>
      <w:spacing w:line="240" w:lineRule="auto"/>
    </w:pPr>
    <w:rPr>
      <w:rFonts w:ascii="-moz-fixed" w:eastAsia="-moz-fixed" w:hAnsi="-moz-fixed" w:cs="-moz-fixed"/>
      <w:sz w:val="20"/>
      <w:szCs w:val="20"/>
      <w:lang w:val="en-US" w:eastAsia="ar-SA"/>
    </w:rPr>
  </w:style>
  <w:style w:type="character" w:customStyle="1" w:styleId="CommentTextChar">
    <w:name w:val="Comment Text Char"/>
    <w:basedOn w:val="DefaultParagraphFont"/>
    <w:link w:val="CommentText"/>
    <w:rsid w:val="00660B47"/>
    <w:rPr>
      <w:rFonts w:ascii="-moz-fixed" w:eastAsia="-moz-fixed" w:hAnsi="-moz-fixed" w:cs="-moz-fixed"/>
      <w:sz w:val="20"/>
      <w:szCs w:val="20"/>
      <w:lang w:val="en-US" w:eastAsia="ar-SA"/>
    </w:rPr>
  </w:style>
  <w:style w:type="paragraph" w:styleId="ListParagraph">
    <w:name w:val="List Paragraph"/>
    <w:basedOn w:val="Normal"/>
    <w:uiPriority w:val="34"/>
    <w:qFormat/>
    <w:rsid w:val="00660B47"/>
    <w:pPr>
      <w:suppressAutoHyphens/>
      <w:spacing w:after="200"/>
      <w:ind w:left="720"/>
    </w:pPr>
    <w:rPr>
      <w:rFonts w:ascii="Cambria Math" w:eastAsia="Cambria Math" w:hAnsi="Cambria Math" w:cs="Cambria Math"/>
      <w:lang w:val="en-US" w:eastAsia="ar-SA"/>
    </w:rPr>
  </w:style>
  <w:style w:type="character" w:customStyle="1" w:styleId="apple-converted-space">
    <w:name w:val="apple-converted-space"/>
    <w:basedOn w:val="DefaultParagraphFont"/>
    <w:rsid w:val="00AB564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88883891">
      <w:bodyDiv w:val="1"/>
      <w:marLeft w:val="0"/>
      <w:marRight w:val="0"/>
      <w:marTop w:val="0"/>
      <w:marBottom w:val="0"/>
      <w:divBdr>
        <w:top w:val="none" w:sz="0" w:space="0" w:color="auto"/>
        <w:left w:val="none" w:sz="0" w:space="0" w:color="auto"/>
        <w:bottom w:val="none" w:sz="0" w:space="0" w:color="auto"/>
        <w:right w:val="none" w:sz="0" w:space="0" w:color="auto"/>
      </w:divBdr>
    </w:div>
    <w:div w:id="187342005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hyperlink" Target="http://www.sierraforestlegacy.org/Resources/Conservation/FireForestEcology/FireScienceResearch/FuelsManagement/FM-Nitschke05.pdf" TargetMode="External"/><Relationship Id="rId21" Type="http://schemas.openxmlformats.org/officeDocument/2006/relationships/hyperlink" Target="https://www.pnas.org/doi/10.1073/pnas.2304411120" TargetMode="External"/><Relationship Id="rId42" Type="http://schemas.openxmlformats.org/officeDocument/2006/relationships/hyperlink" Target="https://www.sciencedirect.com/science/article/pii/S0378112723006060" TargetMode="External"/><Relationship Id="rId63" Type="http://schemas.openxmlformats.org/officeDocument/2006/relationships/hyperlink" Target="https://doi.org/10.1038/s41598-019-39284-1" TargetMode="External"/><Relationship Id="rId84" Type="http://schemas.openxmlformats.org/officeDocument/2006/relationships/hyperlink" Target="https://doi.org/10.1093/jofore/fvab026" TargetMode="External"/><Relationship Id="rId138" Type="http://schemas.openxmlformats.org/officeDocument/2006/relationships/hyperlink" Target="https://www.mdpi.com/1999-4907/13/3/391/pdf" TargetMode="External"/><Relationship Id="rId159" Type="http://schemas.openxmlformats.org/officeDocument/2006/relationships/hyperlink" Target="https://doi.org/10.3390/land11050721" TargetMode="External"/><Relationship Id="rId170" Type="http://schemas.openxmlformats.org/officeDocument/2006/relationships/hyperlink" Target="http://www.fs.fed.us/r6/water/protocol.pdf" TargetMode="External"/><Relationship Id="rId191" Type="http://schemas.openxmlformats.org/officeDocument/2006/relationships/hyperlink" Target="http://www.fs.fed.us/pnw/pubs/pnw_gtr880/pnw_gtr880_001.pdf" TargetMode="External"/><Relationship Id="rId205" Type="http://schemas.openxmlformats.org/officeDocument/2006/relationships/hyperlink" Target="http://www.for.gov.bc.ca/hfd/pubs/docs/Wp/Wp30.pdf" TargetMode="External"/><Relationship Id="rId226" Type="http://schemas.openxmlformats.org/officeDocument/2006/relationships/image" Target="media/image13.png"/><Relationship Id="rId247" Type="http://schemas.openxmlformats.org/officeDocument/2006/relationships/image" Target="media/image15.jpeg"/><Relationship Id="rId107" Type="http://schemas.openxmlformats.org/officeDocument/2006/relationships/hyperlink" Target="http://pacificrivers.org/science-research/resources-publications/road-density-as-indicator" TargetMode="External"/><Relationship Id="rId11" Type="http://schemas.openxmlformats.org/officeDocument/2006/relationships/image" Target="media/image2.png"/><Relationship Id="rId32" Type="http://schemas.openxmlformats.org/officeDocument/2006/relationships/hyperlink" Target="http://www.ca9.uscourts.gov/datastore/opinions/2010/11/23/08-36038.pdf" TargetMode="External"/><Relationship Id="rId53" Type="http://schemas.openxmlformats.org/officeDocument/2006/relationships/hyperlink" Target="https://agupubs.onlinelibrary.wiley.com/doi/pdf/10.1029/2018EF001006" TargetMode="External"/><Relationship Id="rId74" Type="http://schemas.openxmlformats.org/officeDocument/2006/relationships/image" Target="media/image4.png"/><Relationship Id="rId128" Type="http://schemas.openxmlformats.org/officeDocument/2006/relationships/hyperlink" Target="https://content.sierraclub.org/ourwildamerica/sites/content.sierraclub.org.ourwildamerica/files/documents/Law%20and%20Harmon%202011.pdf" TargetMode="External"/><Relationship Id="rId149" Type="http://schemas.openxmlformats.org/officeDocument/2006/relationships/hyperlink" Target="http://www.roadless.online/roadless-areas/" TargetMode="External"/><Relationship Id="rId5" Type="http://schemas.openxmlformats.org/officeDocument/2006/relationships/footnotes" Target="footnotes.xml"/><Relationship Id="rId95" Type="http://schemas.openxmlformats.org/officeDocument/2006/relationships/hyperlink" Target="https://andrewsforest.oregonstate.edu/sites/default/files/lter/pubs/pdf/pub4524.pdf" TargetMode="External"/><Relationship Id="rId160" Type="http://schemas.openxmlformats.org/officeDocument/2006/relationships/hyperlink" Target="https://www.mdpi.com/2073-445X/11/5/721/htm" TargetMode="External"/><Relationship Id="rId181" Type="http://schemas.openxmlformats.org/officeDocument/2006/relationships/hyperlink" Target="https://www.fs.fed.us/wildflowers/pollinators/documents/PresMemoJune2014/PresidentialMemo-PromoteHealthPollinators.pdf" TargetMode="External"/><Relationship Id="rId216" Type="http://schemas.openxmlformats.org/officeDocument/2006/relationships/hyperlink" Target="https://static1.squarespace.com/static/5c77fa240b77bd5a7ff401e5/t/5f05c366f5edb16b875b3964/1594213260537/Waldron+Report-Highlights.pdf" TargetMode="External"/><Relationship Id="rId237" Type="http://schemas.openxmlformats.org/officeDocument/2006/relationships/hyperlink" Target="https://muse.jhu.edu/book/2135" TargetMode="External"/><Relationship Id="rId22" Type="http://schemas.openxmlformats.org/officeDocument/2006/relationships/hyperlink" Target="https://www.pnas.org/doi/10.1073/pnas.2304411120" TargetMode="External"/><Relationship Id="rId43" Type="http://schemas.openxmlformats.org/officeDocument/2006/relationships/hyperlink" Target="https://naturalresources.house.gov/imo/media/doc/Law,%20Beverly%20-%20Testimony%20-%20NPFPL%20Ov%20Hrg%2004.29.21.pdf" TargetMode="External"/><Relationship Id="rId64" Type="http://schemas.openxmlformats.org/officeDocument/2006/relationships/hyperlink" Target="https://news.ucmerced.edu/news/2019/scientists-simulate-forest-fire-dynamics-understand-area-burn-future-wildfires" TargetMode="External"/><Relationship Id="rId118" Type="http://schemas.openxmlformats.org/officeDocument/2006/relationships/hyperlink" Target="http://landscape.zoology.wisc.edu/People/Simard/NCASI924.pdf" TargetMode="External"/><Relationship Id="rId139" Type="http://schemas.openxmlformats.org/officeDocument/2006/relationships/hyperlink" Target="https://watermark.silverchair.com/pgad345.pdf?token=AQECAHi208BE49Ooan9kkhW_Ercy7Dm3ZL_9Cf3qfKAc485ysgAAA2MwggNfBgkqhkiG9w0BBwagggNQMIIDTAIBADCCA0UGCSqGSIb3DQEHATAeBglghkgBZQMEAS4wEQQMuuL_JMZkHqag7BfbAgEQgIIDFhU3aBbRq5KBqz-OoTAmrNkBBkAj6v14YC9oOU6gH100jAEAYZhWfUAbqhnPwlFZAa8Rzij6Ig1EVbeXZIN2qNXwbk7OIk8ew1Ya2TfUK0zl5uxyKJjCoRsjS9q8rrrTzwdYeH8bp2lTW9-KjlP56JrQUv-lqj8KDu1THeMmPf-qqJeCnk6BmV1OtMPEEQ_0zZ4M5W_3cvb3FFKMUR2go5JGf73rBqkwTLFnuEyVNZnvv62oFQ4wkMpgMC2V0xUIGJ_-OUzzRkYeerRAWLRy-THcP1xUL0NBkgWWgK73rayOa2FF3zNMWiZWAqCahKtyoerj38A1OV_CAJOUs1lqyHhX_p5QyETZyU4d3Ryij-tw9NEf5nAIXFl-1UhF-yYlXLy0tOy4rIBmP4eNvh9FaMxsJtzh5_RmfKMWhP2JlJidFS2BFMO-5aUaHTD9yKGAFoIPPjoJ1nEK2-9z_sF8UA8XDsLZ7KaWY8KdvkJgULMR0tp6FZKvSGnGtwrqn7JS2T-eE3FxyDFF1FyjWzhKawlSfrwC077Nofrog20Tf0GtvsVyN8gam6Hny3Hu32fPfPGisuqVwLH16XJzhSmJUczdthL1YOWX4rQGjcJHvNUO-K5ToIOQzXkdy5LKm7q27ggl_PVJDssu90y4H6EB5n2s3sCoVBz3yfb_7DenuBawoFII6tgfth2IGX51zMwRMsGjNsa1LCpJxzGVtea_4fLc_N6nIScA5JlKOM5r3FdujXFMNwd76ziGn4YdGmlEMMxIJE8rkrKTGvTrPsSq9slJUhRdK6kF_8zjxCAb_y-mG55iBLwM6PrOSqNn-QJBu88R6ippraQut1sZkpCnmebEwbJIQS-R8AQnGleDSpqhOL3gyX2LVvVo9I8dcVqWQQhtvNZR4FoTgNHJXWhWE2KYxceeEyTBe0TrSOTZ5ILC1BbhZBrefZYK33Ak0rZPkmOm_V8AZtmwkJR8uINQEEUDG_U6xn_ZWR3JI7JP6ifLYbc67td-jrw-i1Aa7x5tAhJ5goAVNE-qD0Fd10hfLonef2qKduk" TargetMode="External"/><Relationship Id="rId85" Type="http://schemas.openxmlformats.org/officeDocument/2006/relationships/hyperlink" Target="http://www.fs.fed.us/pnw/pubs/journals/pnw_2008_wisdom001.pdf" TargetMode="External"/><Relationship Id="rId150" Type="http://schemas.openxmlformats.org/officeDocument/2006/relationships/hyperlink" Target="http://www.roadless.online/wp-content/download/docs/Press%20Release%20Protecting%20Roadless%20Areas%20COP11%20CBD.pdf" TargetMode="External"/><Relationship Id="rId171" Type="http://schemas.openxmlformats.org/officeDocument/2006/relationships/hyperlink" Target="https://doi.org/10.1111/1365-2435.13499" TargetMode="External"/><Relationship Id="rId192" Type="http://schemas.openxmlformats.org/officeDocument/2006/relationships/hyperlink" Target="http://www.treesearch.fs.fed.us/pubs/44695" TargetMode="External"/><Relationship Id="rId206" Type="http://schemas.openxmlformats.org/officeDocument/2006/relationships/hyperlink" Target="http://pubs.usgs.gov/of/2007/1054/pdf/ofr20071054.pdf" TargetMode="External"/><Relationship Id="rId227" Type="http://schemas.openxmlformats.org/officeDocument/2006/relationships/hyperlink" Target="https://sustainable-economy.org/wp-content/uploads/2021/02/Exhibit-A-Owl-rule-analysis.pdf" TargetMode="External"/><Relationship Id="rId248" Type="http://schemas.openxmlformats.org/officeDocument/2006/relationships/hyperlink" Target="mailto:dh@oregonwild.org" TargetMode="External"/><Relationship Id="rId12" Type="http://schemas.openxmlformats.org/officeDocument/2006/relationships/hyperlink" Target="http://www.fs.fed.us/psw/publications/documents/gtr-181/049_Korol.pdf" TargetMode="External"/><Relationship Id="rId33" Type="http://schemas.openxmlformats.org/officeDocument/2006/relationships/hyperlink" Target="https://doi.org/10.1111/csp2.12935" TargetMode="External"/><Relationship Id="rId108" Type="http://schemas.openxmlformats.org/officeDocument/2006/relationships/hyperlink" Target="https://www.fs.usda.gov/nfs/11558/www/nepa/96158_FSPLT3_3989888.pdf" TargetMode="External"/><Relationship Id="rId129" Type="http://schemas.openxmlformats.org/officeDocument/2006/relationships/hyperlink" Target="http://www.fs.fed.us/pnw/pubs/journals/pnw_2013_restiano001.pdf" TargetMode="External"/><Relationship Id="rId54" Type="http://schemas.openxmlformats.org/officeDocument/2006/relationships/hyperlink" Target="http://www.america.easybranches.com/montana/Experts--More-logging-and-thinning-to-battle-wildfires-might-just-burn-taxpayer-dollars-152776" TargetMode="External"/><Relationship Id="rId70" Type="http://schemas.openxmlformats.org/officeDocument/2006/relationships/hyperlink" Target="https://www.biogeosciences.net/10/3691/2013/bg-10-3691-2013.pdf" TargetMode="External"/><Relationship Id="rId75" Type="http://schemas.openxmlformats.org/officeDocument/2006/relationships/hyperlink" Target="http://www.fs.fed.us/pnw/pubs/pnw_gtr752.pdf" TargetMode="External"/><Relationship Id="rId91" Type="http://schemas.openxmlformats.org/officeDocument/2006/relationships/hyperlink" Target="http://link.springer.com/content/pdf/10.1007%2Fs10980-015-0218-0.pdf" TargetMode="External"/><Relationship Id="rId96" Type="http://schemas.openxmlformats.org/officeDocument/2006/relationships/hyperlink" Target="https://www.opb.org/article/2021/11/22/oregon-trees-cooked-by-summer-heat-waves/" TargetMode="External"/><Relationship Id="rId140" Type="http://schemas.openxmlformats.org/officeDocument/2006/relationships/hyperlink" Target="https://www.nature.com/articles/s41559-018-0490-x" TargetMode="External"/><Relationship Id="rId145" Type="http://schemas.openxmlformats.org/officeDocument/2006/relationships/hyperlink" Target="http://www.fs.fed.us/pnw/pubs/gtr_438.pdf" TargetMode="External"/><Relationship Id="rId161" Type="http://schemas.openxmlformats.org/officeDocument/2006/relationships/hyperlink" Target="https://www.frontiersin.org/articles/10.3389/ffgc.2022.1028401/pdf" TargetMode="External"/><Relationship Id="rId166" Type="http://schemas.openxmlformats.org/officeDocument/2006/relationships/hyperlink" Target="http://gsa.confex.com/gsa/2002CD/finalprogram/abstract_34646.htm" TargetMode="External"/><Relationship Id="rId182" Type="http://schemas.openxmlformats.org/officeDocument/2006/relationships/hyperlink" Target="https://www.fs.fed.us/wildflowers/pollinators/BMPs/" TargetMode="External"/><Relationship Id="rId187" Type="http://schemas.openxmlformats.org/officeDocument/2006/relationships/hyperlink" Target="http://web.archive.org/web/20060708035905/http://www.nwhi.org/inc/data/GISdata/docs/chapter24.pdf" TargetMode="External"/><Relationship Id="rId217" Type="http://schemas.openxmlformats.org/officeDocument/2006/relationships/hyperlink" Target="https://www.conservation.cam.ac.uk/files/waldron_report_30_by_30_publish.pdf" TargetMode="External"/><Relationship Id="rId1" Type="http://schemas.openxmlformats.org/officeDocument/2006/relationships/numbering" Target="numbering.xml"/><Relationship Id="rId6" Type="http://schemas.openxmlformats.org/officeDocument/2006/relationships/endnotes" Target="endnotes.xml"/><Relationship Id="rId212" Type="http://schemas.openxmlformats.org/officeDocument/2006/relationships/hyperlink" Target="https://oregonconservationstrategy.org/success-story/the-oregon-connectivity-assessment-and-mapping-project-ocamp/" TargetMode="External"/><Relationship Id="rId233" Type="http://schemas.openxmlformats.org/officeDocument/2006/relationships/hyperlink" Target="https://www.nap.edu/read/4983/chapter/1" TargetMode="External"/><Relationship Id="rId238" Type="http://schemas.openxmlformats.org/officeDocument/2006/relationships/hyperlink" Target="https://assets.publishing.service.gov.uk/government/uploads/system/uploads/attachment_data/file/962785/The_Economics_of_Biodiversity_The_Dasgupta_Review_Full_Report.pdf" TargetMode="External"/><Relationship Id="rId254" Type="http://schemas.openxmlformats.org/officeDocument/2006/relationships/theme" Target="theme/theme1.xml"/><Relationship Id="rId23" Type="http://schemas.openxmlformats.org/officeDocument/2006/relationships/hyperlink" Target="https://www.pnas.org/doi/10.1073/pnas.2304411120" TargetMode="External"/><Relationship Id="rId28" Type="http://schemas.openxmlformats.org/officeDocument/2006/relationships/image" Target="media/image3.png"/><Relationship Id="rId49" Type="http://schemas.openxmlformats.org/officeDocument/2006/relationships/hyperlink" Target="https://www.fs.fed.us/pnw/pubs/journals/pnw_2017_vaillant001.pdf" TargetMode="External"/><Relationship Id="rId114" Type="http://schemas.openxmlformats.org/officeDocument/2006/relationships/hyperlink" Target="http://www.gpo.gov/fdsys/pkg/FR-2012-05-23/pdf/2012-12524.pdf" TargetMode="External"/><Relationship Id="rId119" Type="http://schemas.openxmlformats.org/officeDocument/2006/relationships/hyperlink" Target="https://en.wikipedia.org/wiki/Base_rate_fallacy" TargetMode="External"/><Relationship Id="rId44" Type="http://schemas.openxmlformats.org/officeDocument/2006/relationships/hyperlink" Target="http://www.pnas.org/cgi/doi/10.1073/pnas.1617464114" TargetMode="External"/><Relationship Id="rId60" Type="http://schemas.openxmlformats.org/officeDocument/2006/relationships/hyperlink" Target="http://www.publish.csiro.au/?act=view_file&amp;file_id=WF11079.pdf" TargetMode="External"/><Relationship Id="rId65" Type="http://schemas.openxmlformats.org/officeDocument/2006/relationships/hyperlink" Target="http://www.latimes.com/opinion/op-ed/la-oe-miller-zinke-fire-memo-20171001-story.html" TargetMode="External"/><Relationship Id="rId81" Type="http://schemas.openxmlformats.org/officeDocument/2006/relationships/hyperlink" Target="https://www.fs.usda.gov/nfs/11558/www/nepa/101283_FSPLT3_4264365.pdf" TargetMode="External"/><Relationship Id="rId86" Type="http://schemas.openxmlformats.org/officeDocument/2006/relationships/hyperlink" Target="https://www.whitehouse.gov/briefing-room/presidential-actions/2022/04/22/executive-order-on-strengthening-the-nations-forests-communities-and-local-economies/" TargetMode="External"/><Relationship Id="rId130" Type="http://schemas.openxmlformats.org/officeDocument/2006/relationships/hyperlink" Target="http://uc-ciee.org/downloads/Fuels_Management_LakeCo.pdf" TargetMode="External"/><Relationship Id="rId135" Type="http://schemas.openxmlformats.org/officeDocument/2006/relationships/hyperlink" Target="http://onlinelibrary.wiley.com/doi/10.1002/ecs2.1648/full" TargetMode="External"/><Relationship Id="rId151" Type="http://schemas.openxmlformats.org/officeDocument/2006/relationships/hyperlink" Target="https://d2k78bk4kdhbpr.cloudfront.net/media/reports/files/Scientific_Basis_For_Roadless_Area_Conservation.pdf" TargetMode="External"/><Relationship Id="rId156" Type="http://schemas.openxmlformats.org/officeDocument/2006/relationships/hyperlink" Target="http://dx.doi.org/10.1098/rstb.2019.0121" TargetMode="External"/><Relationship Id="rId177" Type="http://schemas.openxmlformats.org/officeDocument/2006/relationships/hyperlink" Target="http://web.archive.org/web/20040107135236/http://www.onda.org/library/papers/Livestock_Grazing_and_Fire.pdf" TargetMode="External"/><Relationship Id="rId198" Type="http://schemas.openxmlformats.org/officeDocument/2006/relationships/image" Target="media/image10.png"/><Relationship Id="rId172" Type="http://schemas.openxmlformats.org/officeDocument/2006/relationships/hyperlink" Target="https://besjournals.onlinelibrary.wiley.com/doi/epdf/10.1111/1365-2435.13499" TargetMode="External"/><Relationship Id="rId193" Type="http://schemas.openxmlformats.org/officeDocument/2006/relationships/hyperlink" Target="http://www.blm.gov/or/districts/salem/plans/files/SSC_EA.pdf" TargetMode="External"/><Relationship Id="rId202" Type="http://schemas.openxmlformats.org/officeDocument/2006/relationships/hyperlink" Target="http://www.fs.fed.us/psw/publications/documents/gtr-181/" TargetMode="External"/><Relationship Id="rId207" Type="http://schemas.openxmlformats.org/officeDocument/2006/relationships/hyperlink" Target="https://web.archive.org/web/20121024180652/http://www.fs.fed.us/psw/publications/documents/gtr-181/068_Marcot.pdf" TargetMode="External"/><Relationship Id="rId223" Type="http://schemas.openxmlformats.org/officeDocument/2006/relationships/hyperlink" Target="http://www.blm.gov/or/plans/rmpswesternoregon/deis.php" TargetMode="External"/><Relationship Id="rId228" Type="http://schemas.openxmlformats.org/officeDocument/2006/relationships/hyperlink" Target="https://doi.org/10.17226/4983" TargetMode="External"/><Relationship Id="rId244" Type="http://schemas.openxmlformats.org/officeDocument/2006/relationships/hyperlink" Target="https://media.nature.com/original/magazine-assets/d41586-021-00441-0/d41586-021-00441-0.pdf" TargetMode="External"/><Relationship Id="rId249" Type="http://schemas.openxmlformats.org/officeDocument/2006/relationships/header" Target="header1.xml"/><Relationship Id="rId13" Type="http://schemas.openxmlformats.org/officeDocument/2006/relationships/hyperlink" Target="https://www.fs.usda.gov/r6/icbemp/" TargetMode="External"/><Relationship Id="rId18" Type="http://schemas.openxmlformats.org/officeDocument/2006/relationships/hyperlink" Target="https://www.pnas.org/doi/10.1073/pnas.2304411120" TargetMode="External"/><Relationship Id="rId39" Type="http://schemas.openxmlformats.org/officeDocument/2006/relationships/hyperlink" Target="https://www.sciencedirect.com/science/article/pii/S0378112723006060?dgcid=coauthor" TargetMode="External"/><Relationship Id="rId109" Type="http://schemas.openxmlformats.org/officeDocument/2006/relationships/hyperlink" Target="https://www.sierraforestlegacy.org/Resources/Conservation/ProjectsPlans/ForestPlanRevisions/SFL%20et%20al.%20FPR%20comments%20part%205%20of%205.pdf" TargetMode="External"/><Relationship Id="rId34" Type="http://schemas.openxmlformats.org/officeDocument/2006/relationships/hyperlink" Target="https://conbio.onlinelibrary.wiley.com/doi/pdf/10.1111/csp2.12935" TargetMode="External"/><Relationship Id="rId50" Type="http://schemas.openxmlformats.org/officeDocument/2006/relationships/hyperlink" Target="http://people.forestry.oregonstate.edu/richard-waring/sites/people.forestry.oregonstate.edu.richard-waring/files/publications/Law%20and%20Waring%202015.pdf" TargetMode="External"/><Relationship Id="rId55" Type="http://schemas.openxmlformats.org/officeDocument/2006/relationships/hyperlink" Target="http://www.mdpi.com/1999-4907/7/10/237" TargetMode="External"/><Relationship Id="rId76" Type="http://schemas.openxmlformats.org/officeDocument/2006/relationships/hyperlink" Target="https://doi.org/10.5849/jof.16-067" TargetMode="External"/><Relationship Id="rId97" Type="http://schemas.openxmlformats.org/officeDocument/2006/relationships/hyperlink" Target="https://doi.org/10.1038/s41477-021-01088-5" TargetMode="External"/><Relationship Id="rId104" Type="http://schemas.openxmlformats.org/officeDocument/2006/relationships/hyperlink" Target="https://web.archive.org/web/20161221104651/http://www.icbemp.gov/pdfs/sdeis/volume2/appendix17a.pdf" TargetMode="External"/><Relationship Id="rId120" Type="http://schemas.openxmlformats.org/officeDocument/2006/relationships/hyperlink" Target="https://naturalresources.house.gov/imo/media/doc/Law,%20Beverly%20-%20Testimony%20-%20NPFPL%20Ov%20Hrg%2004.29.21.pdf" TargetMode="External"/><Relationship Id="rId125" Type="http://schemas.openxmlformats.org/officeDocument/2006/relationships/hyperlink" Target="http://forestpolicypub.com/wp-content/uploads/2011/12/campbell-2011.pdf" TargetMode="External"/><Relationship Id="rId141" Type="http://schemas.openxmlformats.org/officeDocument/2006/relationships/image" Target="media/image7.png"/><Relationship Id="rId146" Type="http://schemas.openxmlformats.org/officeDocument/2006/relationships/hyperlink" Target="http://web.archive.org/web/20021123151942/http://www.blm.gov/nhp/efoia/or/FY2002/IB/ib-or-2002-134.htm" TargetMode="External"/><Relationship Id="rId167" Type="http://schemas.openxmlformats.org/officeDocument/2006/relationships/hyperlink" Target="http://www.srs.fs.usda.gov/pubs/viewpub.jsp?index=4740" TargetMode="External"/><Relationship Id="rId188" Type="http://schemas.openxmlformats.org/officeDocument/2006/relationships/hyperlink" Target="https://pdf.sciencedirectassets.com/271259/1-s2.0-S0378112720X0020X/1-s2.0-S0378112720313232/am.pdf" TargetMode="External"/><Relationship Id="rId7" Type="http://schemas.openxmlformats.org/officeDocument/2006/relationships/hyperlink" Target="https://cara.fs2c.usda.gov/Public/CommentInput?project=64157" TargetMode="External"/><Relationship Id="rId71" Type="http://schemas.openxmlformats.org/officeDocument/2006/relationships/hyperlink" Target="http://www.fs.fed.us/pnw/pubs/pnw_gtr779.pdf" TargetMode="External"/><Relationship Id="rId92" Type="http://schemas.openxmlformats.org/officeDocument/2006/relationships/hyperlink" Target="https://doi.org/10.1111/csp2.12944" TargetMode="External"/><Relationship Id="rId162" Type="http://schemas.openxmlformats.org/officeDocument/2006/relationships/image" Target="media/image8.png"/><Relationship Id="rId183" Type="http://schemas.openxmlformats.org/officeDocument/2006/relationships/hyperlink" Target="https://www.fs.fed.us/wildflowers/pollinators/BMPs/documents/PollinatorFriendlyBMPsFederalLands05152015.pdf" TargetMode="External"/><Relationship Id="rId213" Type="http://schemas.openxmlformats.org/officeDocument/2006/relationships/hyperlink" Target="https://oregonconservationstrategy.org/success-story/priority-wildlife-connectivity-areas-pwcas/" TargetMode="External"/><Relationship Id="rId218" Type="http://schemas.openxmlformats.org/officeDocument/2006/relationships/hyperlink" Target="https://www.campaignfornature.org/protecting-30-of-the-planet-for-nature-economic-analysis" TargetMode="External"/><Relationship Id="rId234" Type="http://schemas.openxmlformats.org/officeDocument/2006/relationships/hyperlink" Target="https://ideas.repec.org/p/wil/wileco/2003-07.html" TargetMode="External"/><Relationship Id="rId239" Type="http://schemas.openxmlformats.org/officeDocument/2006/relationships/hyperlink" Target="https://doi.org/10.1038/s41893-021-00692-9" TargetMode="External"/><Relationship Id="rId2" Type="http://schemas.openxmlformats.org/officeDocument/2006/relationships/styles" Target="styles.xml"/><Relationship Id="rId29" Type="http://schemas.openxmlformats.org/officeDocument/2006/relationships/hyperlink" Target="http://iopscience.iop.org/article/10.1088/1748-9326/aa6f94/meta" TargetMode="External"/><Relationship Id="rId250" Type="http://schemas.openxmlformats.org/officeDocument/2006/relationships/footer" Target="footer1.xml"/><Relationship Id="rId24" Type="http://schemas.openxmlformats.org/officeDocument/2006/relationships/hyperlink" Target="https://www.pnas.org/doi/10.1073/pnas.2304411120" TargetMode="External"/><Relationship Id="rId40" Type="http://schemas.openxmlformats.org/officeDocument/2006/relationships/hyperlink" Target="https://www.sciencedirect.com/science/article/pii/S0378112723006060?dgcid=coauthor" TargetMode="External"/><Relationship Id="rId45" Type="http://schemas.openxmlformats.org/officeDocument/2006/relationships/hyperlink" Target="https://headwaterseconomics.org/wp-content/uploads/Adapt_To_More_Wildfire.pdf" TargetMode="External"/><Relationship Id="rId66" Type="http://schemas.openxmlformats.org/officeDocument/2006/relationships/hyperlink" Target="http://www.firescience.gov/projects/09-2-01-16/project/09-2-01-16_09-2-01-16_rmrs_gtr292web.pdf" TargetMode="External"/><Relationship Id="rId87" Type="http://schemas.openxmlformats.org/officeDocument/2006/relationships/hyperlink" Target="https://www.dropbox.com/s/4s0825a7t6fq7zu/Mature%20Forests%2C%20Heiken%2C%20v%201.8.pdf?dl=0" TargetMode="External"/><Relationship Id="rId110" Type="http://schemas.openxmlformats.org/officeDocument/2006/relationships/hyperlink" Target="https://www.sciencedirect.com/science/article/abs/pii/S1470160X16305738" TargetMode="External"/><Relationship Id="rId115" Type="http://schemas.openxmlformats.org/officeDocument/2006/relationships/hyperlink" Target="http://www.sierraforestlegacy.org/Resources/Conservation/Biodiversity/BD-Swanson-etal-EarlySeral2014.pdf" TargetMode="External"/><Relationship Id="rId131" Type="http://schemas.openxmlformats.org/officeDocument/2006/relationships/hyperlink" Target="http://www.energy.ca.gov/2014publications/CEC-500-2014-046/CEC-500-2014-046-AP.pdf" TargetMode="External"/><Relationship Id="rId136" Type="http://schemas.openxmlformats.org/officeDocument/2006/relationships/hyperlink" Target="https://doi.org/10.1029/2020JG005815" TargetMode="External"/><Relationship Id="rId157" Type="http://schemas.openxmlformats.org/officeDocument/2006/relationships/hyperlink" Target="http://dx.doi.org/10.1098/rstb.2019.0128" TargetMode="External"/><Relationship Id="rId178" Type="http://schemas.openxmlformats.org/officeDocument/2006/relationships/hyperlink" Target="http://www.wildearthguardians.org/Portals/0/support_docs/report-ponderosa-pine-08-09.pdf" TargetMode="External"/><Relationship Id="rId61" Type="http://schemas.openxmlformats.org/officeDocument/2006/relationships/hyperlink" Target="http://mtpr.org/post/forest-ecologist-comments-senator-daines-fire-call" TargetMode="External"/><Relationship Id="rId82" Type="http://schemas.openxmlformats.org/officeDocument/2006/relationships/hyperlink" Target="http://www.pnas.org/cgi/doi/10.1073/pnas.1617464114" TargetMode="External"/><Relationship Id="rId152" Type="http://schemas.openxmlformats.org/officeDocument/2006/relationships/hyperlink" Target="https://drive.google.com/file/d/0B4L_-RD-MJwrRzhFcm5QcFR0MHM/view?usp=sharing&amp;resourcekey=0-2-sbGMN3bOUBQGGMDBQM1Q" TargetMode="External"/><Relationship Id="rId173" Type="http://schemas.openxmlformats.org/officeDocument/2006/relationships/hyperlink" Target="https://science.sciencemag.org/content/371/6526/239" TargetMode="External"/><Relationship Id="rId194" Type="http://schemas.openxmlformats.org/officeDocument/2006/relationships/hyperlink" Target="http://www.slideshare.net/dougoh/effects-of-logging-on-dead-wood-habitat" TargetMode="External"/><Relationship Id="rId199" Type="http://schemas.openxmlformats.org/officeDocument/2006/relationships/hyperlink" Target="https://www.fs.usda.gov/project/?project=58050" TargetMode="External"/><Relationship Id="rId203" Type="http://schemas.openxmlformats.org/officeDocument/2006/relationships/hyperlink" Target="http://www.for.gov.bc.ca/hre/deadwood/DTrol.htm" TargetMode="External"/><Relationship Id="rId208" Type="http://schemas.openxmlformats.org/officeDocument/2006/relationships/hyperlink" Target="https://web.archive.org/web/20190701221558/https://www.fs.fed.us/pnw/pubs/pnw_rn576.pdf" TargetMode="External"/><Relationship Id="rId229" Type="http://schemas.openxmlformats.org/officeDocument/2006/relationships/hyperlink" Target="http://www.choicesmagazine.org/choices-magazine/theme-articles/ruralwealth-creation/federal-forest-policy-and-community-prosperity-in-the-pacific-northwest-" TargetMode="External"/><Relationship Id="rId19" Type="http://schemas.openxmlformats.org/officeDocument/2006/relationships/hyperlink" Target="https://www.pnas.org/doi/10.1073/pnas.2304411120" TargetMode="External"/><Relationship Id="rId224" Type="http://schemas.openxmlformats.org/officeDocument/2006/relationships/image" Target="media/image11.png"/><Relationship Id="rId240" Type="http://schemas.openxmlformats.org/officeDocument/2006/relationships/hyperlink" Target="https://rdcu.be/cgpdK" TargetMode="External"/><Relationship Id="rId245" Type="http://schemas.openxmlformats.org/officeDocument/2006/relationships/hyperlink" Target="https://gwagner.com/recalculate-scc" TargetMode="External"/><Relationship Id="rId14" Type="http://schemas.openxmlformats.org/officeDocument/2006/relationships/hyperlink" Target="https://www.fs.usda.gov/detail/umatilla/home/?cid=fseprd1066821" TargetMode="External"/><Relationship Id="rId30" Type="http://schemas.openxmlformats.org/officeDocument/2006/relationships/hyperlink" Target="https://web.archive.org/web/20101130013757/http://www.ca9.uscourts.gov/opinions/view_subpage.php?pk_id=0000010986" TargetMode="External"/><Relationship Id="rId35" Type="http://schemas.openxmlformats.org/officeDocument/2006/relationships/hyperlink" Target="https://www.sciencedirect.com/science/article/pii/S0378112723006060?dgcid=coauthor" TargetMode="External"/><Relationship Id="rId56" Type="http://schemas.openxmlformats.org/officeDocument/2006/relationships/hyperlink" Target="http://api.ning.com/files/1kp0vDW*F1cqOeO4-GdXE1AHOATghmIAN2x9qLpH3aA_/FireandFuelTreatments.pdf" TargetMode="External"/><Relationship Id="rId77" Type="http://schemas.openxmlformats.org/officeDocument/2006/relationships/hyperlink" Target="https://www.fs.fed.us/pnw/pubs/journals/pnw_2017_vaillant001.pdf" TargetMode="External"/><Relationship Id="rId100" Type="http://schemas.openxmlformats.org/officeDocument/2006/relationships/hyperlink" Target="http://fate.nmfs.noaa.gov/documents/Publications/Black_et_al_2008_Ecoscience.pdf" TargetMode="External"/><Relationship Id="rId105" Type="http://schemas.openxmlformats.org/officeDocument/2006/relationships/image" Target="media/image6.emf"/><Relationship Id="rId126" Type="http://schemas.openxmlformats.org/officeDocument/2006/relationships/hyperlink" Target="http://www.fs.fed.us/pnw/pubs/journals/pnw_2009_mitchell001.pdf" TargetMode="External"/><Relationship Id="rId147" Type="http://schemas.openxmlformats.org/officeDocument/2006/relationships/hyperlink" Target="http://www.fs.usda.gov/detail/planningrule/home/?cid=stelprd3828310" TargetMode="External"/><Relationship Id="rId168" Type="http://schemas.openxmlformats.org/officeDocument/2006/relationships/hyperlink" Target="http://maps.wildrockies.org/ecosystem_defense/Resources_Species_Topics/Soils/Harvey%20on%20%20Soils.doc" TargetMode="External"/><Relationship Id="rId8" Type="http://schemas.openxmlformats.org/officeDocument/2006/relationships/hyperlink" Target="mailto:sm.fs.bluesforests@usda.gov" TargetMode="External"/><Relationship Id="rId51" Type="http://schemas.openxmlformats.org/officeDocument/2006/relationships/hyperlink" Target="http://www.blm.gov/or/plans/rmpswesternoregon/files/draft/RMP_EIS_Volume3_appd.pdf" TargetMode="External"/><Relationship Id="rId72" Type="http://schemas.openxmlformats.org/officeDocument/2006/relationships/hyperlink" Target="https://doi.org/10.1002/eap.1710" TargetMode="External"/><Relationship Id="rId93" Type="http://schemas.openxmlformats.org/officeDocument/2006/relationships/hyperlink" Target="https://doi.org/10.1007/s10980-022-01478-w" TargetMode="External"/><Relationship Id="rId98" Type="http://schemas.openxmlformats.org/officeDocument/2006/relationships/hyperlink" Target="https://www.theguardian.com/commentisfree/2021/aug/08/living-world-time-saplings-oak-slow-ecology-habitats" TargetMode="External"/><Relationship Id="rId121" Type="http://schemas.openxmlformats.org/officeDocument/2006/relationships/hyperlink" Target="https://www.fs.fed.us/pnw/pubs/pnw_gtr966_vol1.pdf" TargetMode="External"/><Relationship Id="rId142" Type="http://schemas.openxmlformats.org/officeDocument/2006/relationships/hyperlink" Target="http://www.oregonwild.org/explore-oregon/oregon-wild-map-gallery" TargetMode="External"/><Relationship Id="rId163" Type="http://schemas.openxmlformats.org/officeDocument/2006/relationships/hyperlink" Target="https://www.srs.fs.fed.us/pubs/ja/2012/ja_2012_riitters_002.pdf" TargetMode="External"/><Relationship Id="rId184" Type="http://schemas.openxmlformats.org/officeDocument/2006/relationships/hyperlink" Target="http://ir.library.oregonstate.edu/xmlui/bitstream/handle/1957/38539/jpe_12097_Rev_EV.pdf" TargetMode="External"/><Relationship Id="rId189" Type="http://schemas.openxmlformats.org/officeDocument/2006/relationships/hyperlink" Target="http://www.forestresourceinstitute.com/images/or_for_protect_laws_2011.pdf" TargetMode="External"/><Relationship Id="rId219" Type="http://schemas.openxmlformats.org/officeDocument/2006/relationships/hyperlink" Target="http://ageconsearch.umn.edu/bitstream/19229/1/sp05wu02.pdf" TargetMode="External"/><Relationship Id="rId3" Type="http://schemas.openxmlformats.org/officeDocument/2006/relationships/settings" Target="settings.xml"/><Relationship Id="rId214" Type="http://schemas.openxmlformats.org/officeDocument/2006/relationships/hyperlink" Target="https://experience.arcgis.com/experience/6979b6598f904951bd0af1821e1595f1/" TargetMode="External"/><Relationship Id="rId230" Type="http://schemas.openxmlformats.org/officeDocument/2006/relationships/image" Target="media/image14.jpeg"/><Relationship Id="rId235" Type="http://schemas.openxmlformats.org/officeDocument/2006/relationships/hyperlink" Target="https://muse.jhu.edu/book/2135" TargetMode="External"/><Relationship Id="rId251" Type="http://schemas.openxmlformats.org/officeDocument/2006/relationships/header" Target="header2.xml"/><Relationship Id="rId25" Type="http://schemas.openxmlformats.org/officeDocument/2006/relationships/hyperlink" Target="https://www.pnas.org/doi/10.1073/pnas.2304411120" TargetMode="External"/><Relationship Id="rId46" Type="http://schemas.openxmlformats.org/officeDocument/2006/relationships/hyperlink" Target="https://doi.org/10.1088/1748-9326/aa6b10" TargetMode="External"/><Relationship Id="rId67" Type="http://schemas.openxmlformats.org/officeDocument/2006/relationships/hyperlink" Target="https://www.biogeosciences.net/10/3691/2013/bg-10-3691-2013.pdf" TargetMode="External"/><Relationship Id="rId116" Type="http://schemas.openxmlformats.org/officeDocument/2006/relationships/hyperlink" Target="http://www.firescience.gov/projects/01-1-3-43/project/01-1-3-43_01_1_3_43_Deliverable_02.pdf" TargetMode="External"/><Relationship Id="rId137" Type="http://schemas.openxmlformats.org/officeDocument/2006/relationships/hyperlink" Target="https://doi.org/10.3390/f13030391" TargetMode="External"/><Relationship Id="rId158" Type="http://schemas.openxmlformats.org/officeDocument/2006/relationships/hyperlink" Target="https://www.iucn.org/sites/dev/files/content/documents/iucn_pf-ifl_policy_2020_approved_version.pdf" TargetMode="External"/><Relationship Id="rId20" Type="http://schemas.openxmlformats.org/officeDocument/2006/relationships/hyperlink" Target="https://www.pnas.org/doi/10.1073/pnas.2304411120" TargetMode="External"/><Relationship Id="rId41" Type="http://schemas.openxmlformats.org/officeDocument/2006/relationships/hyperlink" Target="https://doi.org/10.1016/j.foreco.2023.121372" TargetMode="External"/><Relationship Id="rId62" Type="http://schemas.openxmlformats.org/officeDocument/2006/relationships/hyperlink" Target="https://www.nature.com/articles/s41598-019-39284-1" TargetMode="External"/><Relationship Id="rId83" Type="http://schemas.openxmlformats.org/officeDocument/2006/relationships/hyperlink" Target="https://headwaterseconomics.org/wp-content/uploads/Adapt_To_More_Wildfire.pdf" TargetMode="External"/><Relationship Id="rId88" Type="http://schemas.openxmlformats.org/officeDocument/2006/relationships/hyperlink" Target="https://doi.org/10.1007/s10980-022-01478-w" TargetMode="External"/><Relationship Id="rId111" Type="http://schemas.openxmlformats.org/officeDocument/2006/relationships/hyperlink" Target="http://www.pnas.org/content/early/2010/10/13/1007692107.full.pdf" TargetMode="External"/><Relationship Id="rId132" Type="http://schemas.openxmlformats.org/officeDocument/2006/relationships/hyperlink" Target="http://static1.squarespace.com/static/545a90ede4b026480c02c5c7/t/5527ebd9e4b0f620d0cb5b58/1428679641640/CFSC_Chiono_Carbon_and_Fuel_Mngmt.pdf" TargetMode="External"/><Relationship Id="rId153" Type="http://schemas.openxmlformats.org/officeDocument/2006/relationships/hyperlink" Target="https://onlinelibrary.wiley.com/doi/pdfdirect/10.1111/gcbb.12714" TargetMode="External"/><Relationship Id="rId174" Type="http://schemas.openxmlformats.org/officeDocument/2006/relationships/hyperlink" Target="https://doi.org/10.1016/j.foreco.2023.120848" TargetMode="External"/><Relationship Id="rId179" Type="http://schemas.openxmlformats.org/officeDocument/2006/relationships/hyperlink" Target="http://web.archive.org/web/20030409094020/http:/www.onda.org/library/papers/standdynamics.pdf" TargetMode="External"/><Relationship Id="rId195" Type="http://schemas.openxmlformats.org/officeDocument/2006/relationships/image" Target="media/image9.png"/><Relationship Id="rId209" Type="http://schemas.openxmlformats.org/officeDocument/2006/relationships/hyperlink" Target="https://besjournals.onlinelibrary.wiley.com/doi/pdf/10.1111/1365-2664.13395" TargetMode="External"/><Relationship Id="rId190" Type="http://schemas.openxmlformats.org/officeDocument/2006/relationships/hyperlink" Target="http://www.fs.fed.us/psw/publications/documents/gtr-181/049_Korol.pdf" TargetMode="External"/><Relationship Id="rId204" Type="http://schemas.openxmlformats.org/officeDocument/2006/relationships/hyperlink" Target="http://www.fs.fed.us/wildecology/decaid/decaid_background/chapter24cwb.pdf" TargetMode="External"/><Relationship Id="rId220" Type="http://schemas.openxmlformats.org/officeDocument/2006/relationships/hyperlink" Target="http://web.archive.org/web/20090115192759/http://oregonstate.edu/dept/ncs/newsarch/2008/Aug08/remotecommunities.html" TargetMode="External"/><Relationship Id="rId225" Type="http://schemas.openxmlformats.org/officeDocument/2006/relationships/image" Target="media/image12.png"/><Relationship Id="rId241" Type="http://schemas.openxmlformats.org/officeDocument/2006/relationships/hyperlink" Target="https://doi.org/10.1038/s41467-021-24487-w" TargetMode="External"/><Relationship Id="rId246" Type="http://schemas.openxmlformats.org/officeDocument/2006/relationships/hyperlink" Target="http://wayback.archive.org/web/" TargetMode="External"/><Relationship Id="rId15" Type="http://schemas.openxmlformats.org/officeDocument/2006/relationships/hyperlink" Target="http://ac.els-cdn.com/S0959378017300134/1-s2.0-S0959378017300134-main.pdf?_tid=38eca4a8-081a-11e7-9f6d-00000aab0f02&amp;acdnat=1489429617_9efb667c50b0b4b3a3a03214472ba08d" TargetMode="External"/><Relationship Id="rId36" Type="http://schemas.openxmlformats.org/officeDocument/2006/relationships/hyperlink" Target="https://www.sciencedirect.com/science/article/pii/S0378112723006060?dgcid=coauthor" TargetMode="External"/><Relationship Id="rId57" Type="http://schemas.openxmlformats.org/officeDocument/2006/relationships/hyperlink" Target="https://headwaterseconomics.org/wildfire/solutions/land-use-planning-is-more-effective/" TargetMode="External"/><Relationship Id="rId106" Type="http://schemas.openxmlformats.org/officeDocument/2006/relationships/hyperlink" Target="http://web.archive.org/web/20040202102340/http://klamathtribes.org/forestplan.htm" TargetMode="External"/><Relationship Id="rId127" Type="http://schemas.openxmlformats.org/officeDocument/2006/relationships/hyperlink" Target="http://www.fs.fed.us/rm/pubs_other/rmrs_2010_reinhardt_e002.pdf" TargetMode="External"/><Relationship Id="rId10" Type="http://schemas.openxmlformats.org/officeDocument/2006/relationships/image" Target="media/image1.png"/><Relationship Id="rId31" Type="http://schemas.openxmlformats.org/officeDocument/2006/relationships/hyperlink" Target="https://eplanning.blm.gov/epl-front-office/projects/nepa/69610/91093/109561/2016_11_23_McKenzie_Landscape_EA__and_Preliminary_FONSI.pdf" TargetMode="External"/><Relationship Id="rId52" Type="http://schemas.openxmlformats.org/officeDocument/2006/relationships/hyperlink" Target="https://doi.org/10.1088/1748-9326/aa6b10" TargetMode="External"/><Relationship Id="rId73" Type="http://schemas.openxmlformats.org/officeDocument/2006/relationships/hyperlink" Target="https://phys.org/news/2018-04-high-wildfire-severity-young-plantation.html" TargetMode="External"/><Relationship Id="rId78" Type="http://schemas.openxmlformats.org/officeDocument/2006/relationships/hyperlink" Target="https://headwaterseconomics.org/wildfire/solutions/land-use-planning-is-more-effective/" TargetMode="External"/><Relationship Id="rId94" Type="http://schemas.openxmlformats.org/officeDocument/2006/relationships/hyperlink" Target="http://cms.oregon.gov/ODF/BOARD/docs/FFAC_020108_Beyond_Old_Growth_John_Gordon.pdf" TargetMode="External"/><Relationship Id="rId99" Type="http://schemas.openxmlformats.org/officeDocument/2006/relationships/hyperlink" Target="https://pdf.sciencedirectassets.com/271259/1-s2.0-S0378112720X0020X/1-s2.0-S0378112720313232/am.pdf" TargetMode="External"/><Relationship Id="rId101" Type="http://schemas.openxmlformats.org/officeDocument/2006/relationships/hyperlink" Target="https://www.sciencedaily.com/releases/2019/06/190618174358.htm" TargetMode="External"/><Relationship Id="rId122" Type="http://schemas.openxmlformats.org/officeDocument/2006/relationships/hyperlink" Target="https://content.sierraclub.org/ourwildamerica/sites/content.sierraclub.org.ourwildamerica/files/documents/Law%20and%20Harmon%202011.pdf" TargetMode="External"/><Relationship Id="rId143" Type="http://schemas.openxmlformats.org/officeDocument/2006/relationships/hyperlink" Target="http://web.archive.org/web/20010729111100/http:/roadless.fs.fed.us/documents/feis/glossary.shtml" TargetMode="External"/><Relationship Id="rId148" Type="http://schemas.openxmlformats.org/officeDocument/2006/relationships/hyperlink" Target="https://www.iucn.org/sites/dev/files/content/documents/iucn_pf-ifl_policy_2020_approved_version.pdf" TargetMode="External"/><Relationship Id="rId164" Type="http://schemas.openxmlformats.org/officeDocument/2006/relationships/hyperlink" Target="https://www.fs.usda.gov/psw/publications/may/May_JAWRA.pdf" TargetMode="External"/><Relationship Id="rId169" Type="http://schemas.openxmlformats.org/officeDocument/2006/relationships/hyperlink" Target="http://www.calwater.ca.gov/Admin_Record/D-051874.pdf" TargetMode="External"/><Relationship Id="rId185" Type="http://schemas.openxmlformats.org/officeDocument/2006/relationships/hyperlink" Target="http://greatbasinfirescience.org/western-forbs-restoration/?_sf_s=western+forbs" TargetMode="External"/><Relationship Id="rId4" Type="http://schemas.openxmlformats.org/officeDocument/2006/relationships/webSettings" Target="webSettings.xml"/><Relationship Id="rId9" Type="http://schemas.openxmlformats.org/officeDocument/2006/relationships/hyperlink" Target="https://www.fs.usda.gov/detail/umatilla/home/?cid=fseprd1066821" TargetMode="External"/><Relationship Id="rId180" Type="http://schemas.openxmlformats.org/officeDocument/2006/relationships/hyperlink" Target="http://web.archive.org/web/20040107135236/http://www.onda.org/library/papers/Livestock_Grazing_and_Fire.pdf" TargetMode="External"/><Relationship Id="rId210" Type="http://schemas.openxmlformats.org/officeDocument/2006/relationships/hyperlink" Target="http://www.subtleenergies.com/ormus/bmnfa/DEADWOOD.HTM" TargetMode="External"/><Relationship Id="rId215" Type="http://schemas.openxmlformats.org/officeDocument/2006/relationships/hyperlink" Target="http://ir.library.oregonstate.edu/xmlui/bitstream/handle/1957/4390/SR%20no.%20328_ocr.pdf" TargetMode="External"/><Relationship Id="rId236" Type="http://schemas.openxmlformats.org/officeDocument/2006/relationships/hyperlink" Target="http://citeseerx.ist.psu.edu/viewdoc/download?doi=10.1.1.1009.3704&amp;rep=rep1&amp;type=pdf" TargetMode="External"/><Relationship Id="rId26" Type="http://schemas.openxmlformats.org/officeDocument/2006/relationships/hyperlink" Target="https://www.pnas.org/doi/10.1073/pnas.2304411120" TargetMode="External"/><Relationship Id="rId231" Type="http://schemas.openxmlformats.org/officeDocument/2006/relationships/image" Target="http://oregoneconomicanalysis.files.wordpress.com/2012/01/woodproducts_growth2.jpg" TargetMode="External"/><Relationship Id="rId252" Type="http://schemas.openxmlformats.org/officeDocument/2006/relationships/footer" Target="footer2.xml"/><Relationship Id="rId47" Type="http://schemas.openxmlformats.org/officeDocument/2006/relationships/hyperlink" Target="https://web.archive.org/web/20130214220819/http://www.mtbs.gov/reports/MTBS_pnw-psw_final.pdf" TargetMode="External"/><Relationship Id="rId68" Type="http://schemas.openxmlformats.org/officeDocument/2006/relationships/hyperlink" Target="http://www.fs.fed.us/pnw/pubs/pnw_gtr915.pdf" TargetMode="External"/><Relationship Id="rId89" Type="http://schemas.openxmlformats.org/officeDocument/2006/relationships/hyperlink" Target="https://www.fs.usda.gov/rm/pubs_journals/2022/rmrs_2022_moris_j001.pdf" TargetMode="External"/><Relationship Id="rId112" Type="http://schemas.openxmlformats.org/officeDocument/2006/relationships/hyperlink" Target="http://www.fs.fed.us/pnw/publications/pnw_gtr405/pnw_gtr405_06.pdf" TargetMode="External"/><Relationship Id="rId133" Type="http://schemas.openxmlformats.org/officeDocument/2006/relationships/hyperlink" Target="https://pacificforest.org/pft-in-the-media-2010-climatewire-8-19-10.html" TargetMode="External"/><Relationship Id="rId154" Type="http://schemas.openxmlformats.org/officeDocument/2006/relationships/hyperlink" Target="https://doi.org/10.3389/ffgc.2019.00027" TargetMode="External"/><Relationship Id="rId175" Type="http://schemas.openxmlformats.org/officeDocument/2006/relationships/hyperlink" Target="https://www.dropbox.com/s/ucw50hhs8xsiz2k/AFSEEE%20Grazing%20Suitability%20Report.doc?dl=0" TargetMode="External"/><Relationship Id="rId196" Type="http://schemas.openxmlformats.org/officeDocument/2006/relationships/hyperlink" Target="http://www.fs.fed.us/psw/publications/documents/gtr-181/" TargetMode="External"/><Relationship Id="rId200" Type="http://schemas.openxmlformats.org/officeDocument/2006/relationships/hyperlink" Target="http://www.treesearch.fs.fed.us/pubs/37383" TargetMode="External"/><Relationship Id="rId16" Type="http://schemas.openxmlformats.org/officeDocument/2006/relationships/hyperlink" Target="https://doi.org/10.1073/pnas.23044111" TargetMode="External"/><Relationship Id="rId221" Type="http://schemas.openxmlformats.org/officeDocument/2006/relationships/hyperlink" Target="http://www.econw.com/media/ap_files/FR2-Seeing-Forests-For-Green_ECONorthwest.pdf" TargetMode="External"/><Relationship Id="rId242" Type="http://schemas.openxmlformats.org/officeDocument/2006/relationships/hyperlink" Target="https://www.nature.com/articles/s41467-021-24487-w.pdf" TargetMode="External"/><Relationship Id="rId37" Type="http://schemas.openxmlformats.org/officeDocument/2006/relationships/hyperlink" Target="https://www.sciencedirect.com/science/article/pii/S0378112723006060?dgcid=coauthor" TargetMode="External"/><Relationship Id="rId58" Type="http://schemas.openxmlformats.org/officeDocument/2006/relationships/hyperlink" Target="https://www.fs.fed.us/rm/pubs_journals/2019/rmrs_2019_barros_a001.pdf" TargetMode="External"/><Relationship Id="rId79" Type="http://schemas.openxmlformats.org/officeDocument/2006/relationships/hyperlink" Target="https://www.pnas.org/cgi/doi/10.1073/pnas.1718850115" TargetMode="External"/><Relationship Id="rId102" Type="http://schemas.openxmlformats.org/officeDocument/2006/relationships/hyperlink" Target="https://www.sciencedaily.com/releases/2019/06/190618174358.htm" TargetMode="External"/><Relationship Id="rId123" Type="http://schemas.openxmlformats.org/officeDocument/2006/relationships/hyperlink" Target="https://www.frontiersin.org/articles/10.3389/ffgc.2022.867112/full" TargetMode="External"/><Relationship Id="rId144" Type="http://schemas.openxmlformats.org/officeDocument/2006/relationships/hyperlink" Target="http://andrewsforest.oregonstate.edu/pubs/pdf/pub2859.pdf" TargetMode="External"/><Relationship Id="rId90" Type="http://schemas.openxmlformats.org/officeDocument/2006/relationships/image" Target="media/image5.png"/><Relationship Id="rId165" Type="http://schemas.openxmlformats.org/officeDocument/2006/relationships/hyperlink" Target="https://www.critfc.org/wp-content/uploads/2017/01/JournalPost_Justice_etal2017.pdf" TargetMode="External"/><Relationship Id="rId186" Type="http://schemas.openxmlformats.org/officeDocument/2006/relationships/hyperlink" Target="http://www.thewildlifenews.com/2017/08/14/critique-of-montana-outdoors-proposed-green-grazing-article/" TargetMode="External"/><Relationship Id="rId211" Type="http://schemas.openxmlformats.org/officeDocument/2006/relationships/hyperlink" Target="https://www.whitehouse.gov/wp-content/uploads/2023/03/230318-Corridors-connectivity-guidance-memo-final-draft-formatted.pdf" TargetMode="External"/><Relationship Id="rId232" Type="http://schemas.openxmlformats.org/officeDocument/2006/relationships/hyperlink" Target="http://oregoneconomicanalysis.com/2012/01/23/historical-look-at-oregons-wood-product-industry/" TargetMode="External"/><Relationship Id="rId253" Type="http://schemas.openxmlformats.org/officeDocument/2006/relationships/fontTable" Target="fontTable.xml"/><Relationship Id="rId27" Type="http://schemas.openxmlformats.org/officeDocument/2006/relationships/hyperlink" Target="https://www.pnas.org/doi/10.1073/pnas.2304411120" TargetMode="External"/><Relationship Id="rId48" Type="http://schemas.openxmlformats.org/officeDocument/2006/relationships/hyperlink" Target="https://doi.org/10.5849/jof.16-067" TargetMode="External"/><Relationship Id="rId69" Type="http://schemas.openxmlformats.org/officeDocument/2006/relationships/hyperlink" Target="http://mtpr.org/post/forest-ecologist-comments-senator-daines-fire-call" TargetMode="External"/><Relationship Id="rId113" Type="http://schemas.openxmlformats.org/officeDocument/2006/relationships/hyperlink" Target="http://www.fs.fed.us/pnw/publications/pnw_gtr405/pnw_gtr405_07.pdf" TargetMode="External"/><Relationship Id="rId134" Type="http://schemas.openxmlformats.org/officeDocument/2006/relationships/hyperlink" Target="http://www.fs.fed.us/rm/pubs_other/rmrs_2014_loehman_r001.pdf" TargetMode="External"/><Relationship Id="rId80" Type="http://schemas.openxmlformats.org/officeDocument/2006/relationships/hyperlink" Target="http://www.csp-inc.org/wp-content/uploads/2017/11/Zachmann_et_al_2017.pdf" TargetMode="External"/><Relationship Id="rId155" Type="http://schemas.openxmlformats.org/officeDocument/2006/relationships/hyperlink" Target="https://www.frontiersin.org/articles/10.3389/ffgc.2019.00027/full" TargetMode="External"/><Relationship Id="rId176" Type="http://schemas.openxmlformats.org/officeDocument/2006/relationships/hyperlink" Target="http://web.archive.org/web/20030409094020/http://www.onda.org/library/papers/standdynamics.pdf" TargetMode="External"/><Relationship Id="rId197" Type="http://schemas.openxmlformats.org/officeDocument/2006/relationships/hyperlink" Target="https://www.fs.fed.us/psw/publications/documents/gtr-181/071_Harm.pdf" TargetMode="External"/><Relationship Id="rId201" Type="http://schemas.openxmlformats.org/officeDocument/2006/relationships/hyperlink" Target="https://andrewsforest.oregonstate.edu/sites/default/files/lter/pubs/pdf/pub2815.pdf" TargetMode="External"/><Relationship Id="rId222" Type="http://schemas.openxmlformats.org/officeDocument/2006/relationships/hyperlink" Target="http://www.oregon.gov/ODF/Board/Documents/BOF/20170725/BOFMIN_20170725_ATTCH_02.pdf" TargetMode="External"/><Relationship Id="rId243" Type="http://schemas.openxmlformats.org/officeDocument/2006/relationships/hyperlink" Target="https://www.whitehouse.gov/briefing-room/presidential-actions/2021/01/20/executive-order-protecting-public-health-and-environment-and-restoring-science-to-tackle-climate-crisis/" TargetMode="External"/><Relationship Id="rId17" Type="http://schemas.openxmlformats.org/officeDocument/2006/relationships/hyperlink" Target="https://www.pnas.org/doi/pdf/10.1073/pnas.2304411120" TargetMode="External"/><Relationship Id="rId38" Type="http://schemas.openxmlformats.org/officeDocument/2006/relationships/hyperlink" Target="https://www.sciencedirect.com/topics/earth-and-planetary-sciences/ecosystem-resilience" TargetMode="External"/><Relationship Id="rId59" Type="http://schemas.openxmlformats.org/officeDocument/2006/relationships/hyperlink" Target="http://dx.doi.org/10.1071/WF11079" TargetMode="External"/><Relationship Id="rId103" Type="http://schemas.openxmlformats.org/officeDocument/2006/relationships/hyperlink" Target="http://www.pnas.org/cgi/doi/10.1073/pnas.1700032114" TargetMode="External"/><Relationship Id="rId124" Type="http://schemas.openxmlformats.org/officeDocument/2006/relationships/hyperlink" Target="http://fes.forestry.oregonstate.edu/sites/fes.forestry.oregonstate.edu/files/PDFs/Campbell_2013_JEM.pdf"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www.treesearch.fs.fed.us/pubs/2984"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oug\Dropbox\Forms\Comment%20Template%20(2024%20new%20logo).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Georgia">
      <a:majorFont>
        <a:latin typeface="Georgia" panose="02040502050405020303"/>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Georgia" panose="02040502050405020303"/>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Comment Template (2024 new logo).dotx</Template>
  <TotalTime>5222</TotalTime>
  <Pages>101</Pages>
  <Words>51315</Words>
  <Characters>292501</Characters>
  <Application>Microsoft Office Word</Application>
  <DocSecurity>0</DocSecurity>
  <Lines>2437</Lines>
  <Paragraphs>686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343130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Doug</dc:creator>
  <cp:lastModifiedBy>Doug</cp:lastModifiedBy>
  <cp:revision>128</cp:revision>
  <dcterms:created xsi:type="dcterms:W3CDTF">2024-05-23T17:06:00Z</dcterms:created>
  <dcterms:modified xsi:type="dcterms:W3CDTF">2024-05-28T17:58:00Z</dcterms:modified>
</cp:coreProperties>
</file>