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8489" w14:textId="77777777" w:rsidR="00121105" w:rsidRDefault="00121105"/>
    <w:p w14:paraId="36CBFB23" w14:textId="77777777" w:rsidR="0086190A" w:rsidRDefault="0086190A" w:rsidP="006D2ABA">
      <w:pPr>
        <w:rPr>
          <w:rFonts w:ascii="Times New Roman" w:hAnsi="Times New Roman"/>
          <w:sz w:val="24"/>
        </w:rPr>
      </w:pPr>
    </w:p>
    <w:p w14:paraId="461E35E3" w14:textId="1B841FFD" w:rsidR="00307789" w:rsidRDefault="000E4996" w:rsidP="0086190A">
      <w:pPr>
        <w:jc w:val="center"/>
        <w:rPr>
          <w:rFonts w:ascii="Times New Roman" w:hAnsi="Times New Roman"/>
          <w:sz w:val="24"/>
        </w:rPr>
      </w:pPr>
      <w:r>
        <w:rPr>
          <w:rFonts w:ascii="Times New Roman" w:hAnsi="Times New Roman"/>
          <w:sz w:val="24"/>
        </w:rPr>
        <w:t xml:space="preserve">September </w:t>
      </w:r>
      <w:r w:rsidR="0086190A">
        <w:rPr>
          <w:rFonts w:ascii="Times New Roman" w:hAnsi="Times New Roman"/>
          <w:sz w:val="24"/>
        </w:rPr>
        <w:t>15, 2025</w:t>
      </w:r>
    </w:p>
    <w:p w14:paraId="1191A56E" w14:textId="77777777" w:rsidR="0086190A" w:rsidRDefault="0086190A" w:rsidP="006D2ABA">
      <w:pPr>
        <w:rPr>
          <w:rFonts w:ascii="Times New Roman" w:hAnsi="Times New Roman"/>
          <w:sz w:val="24"/>
        </w:rPr>
      </w:pPr>
    </w:p>
    <w:p w14:paraId="7A000A81" w14:textId="02991744" w:rsidR="006A7CD1" w:rsidRDefault="006D2ABA" w:rsidP="006D2ABA">
      <w:pPr>
        <w:rPr>
          <w:rFonts w:ascii="Times New Roman" w:hAnsi="Times New Roman"/>
          <w:sz w:val="24"/>
        </w:rPr>
      </w:pPr>
      <w:r w:rsidRPr="006D2ABA">
        <w:rPr>
          <w:rFonts w:ascii="Times New Roman" w:hAnsi="Times New Roman"/>
          <w:sz w:val="24"/>
        </w:rPr>
        <w:t>Dan Morris</w:t>
      </w:r>
    </w:p>
    <w:p w14:paraId="6E1D5F9E" w14:textId="77777777" w:rsidR="006A7CD1" w:rsidRDefault="006D2ABA" w:rsidP="006D2ABA">
      <w:pPr>
        <w:rPr>
          <w:rFonts w:ascii="Times New Roman" w:hAnsi="Times New Roman"/>
          <w:sz w:val="24"/>
        </w:rPr>
      </w:pPr>
      <w:r w:rsidRPr="006D2ABA">
        <w:rPr>
          <w:rFonts w:ascii="Times New Roman" w:hAnsi="Times New Roman"/>
          <w:sz w:val="24"/>
        </w:rPr>
        <w:t>Dillon Ranger District Recreation</w:t>
      </w:r>
      <w:r w:rsidR="006A7CD1">
        <w:rPr>
          <w:rFonts w:ascii="Times New Roman" w:hAnsi="Times New Roman"/>
          <w:sz w:val="24"/>
        </w:rPr>
        <w:t xml:space="preserve"> </w:t>
      </w:r>
      <w:r w:rsidRPr="006D2ABA">
        <w:rPr>
          <w:rFonts w:ascii="Times New Roman" w:hAnsi="Times New Roman"/>
          <w:sz w:val="24"/>
        </w:rPr>
        <w:t>Staff Officer</w:t>
      </w:r>
    </w:p>
    <w:p w14:paraId="6491F166" w14:textId="77777777" w:rsidR="006A7CD1" w:rsidRDefault="006D2ABA" w:rsidP="006D2ABA">
      <w:pPr>
        <w:rPr>
          <w:rFonts w:ascii="Times New Roman" w:hAnsi="Times New Roman"/>
          <w:sz w:val="24"/>
        </w:rPr>
      </w:pPr>
      <w:r w:rsidRPr="006D2ABA">
        <w:rPr>
          <w:rFonts w:ascii="Times New Roman" w:hAnsi="Times New Roman"/>
          <w:sz w:val="24"/>
        </w:rPr>
        <w:t>680 Blue River Parkway</w:t>
      </w:r>
    </w:p>
    <w:p w14:paraId="08010C34" w14:textId="269D6E5D" w:rsidR="006874D5" w:rsidRDefault="006D2ABA" w:rsidP="006D2ABA">
      <w:r w:rsidRPr="006D2ABA">
        <w:rPr>
          <w:rFonts w:ascii="Times New Roman" w:hAnsi="Times New Roman"/>
          <w:sz w:val="24"/>
        </w:rPr>
        <w:t>Silverthorne, CO 80498</w:t>
      </w:r>
    </w:p>
    <w:p w14:paraId="2588CA23" w14:textId="77777777" w:rsidR="00183434" w:rsidRDefault="00183434" w:rsidP="00183434">
      <w:pPr>
        <w:rPr>
          <w:rFonts w:ascii="Times New Roman" w:hAnsi="Times New Roman"/>
          <w:sz w:val="24"/>
        </w:rPr>
      </w:pPr>
    </w:p>
    <w:p w14:paraId="0BBF70E4" w14:textId="77777777" w:rsidR="00183434" w:rsidRDefault="00183434" w:rsidP="00183434">
      <w:pPr>
        <w:rPr>
          <w:rFonts w:ascii="Times New Roman" w:hAnsi="Times New Roman"/>
          <w:sz w:val="24"/>
        </w:rPr>
      </w:pPr>
      <w:r>
        <w:rPr>
          <w:rFonts w:ascii="Times New Roman" w:hAnsi="Times New Roman"/>
          <w:sz w:val="24"/>
        </w:rPr>
        <w:t xml:space="preserve">Re: </w:t>
      </w:r>
      <w:r w:rsidRPr="009E5F89">
        <w:rPr>
          <w:rFonts w:ascii="Times New Roman" w:hAnsi="Times New Roman"/>
          <w:sz w:val="24"/>
        </w:rPr>
        <w:t xml:space="preserve">Southern Tenmile Recreation Access </w:t>
      </w:r>
      <w:proofErr w:type="gramStart"/>
      <w:r w:rsidRPr="009E5F89">
        <w:rPr>
          <w:rFonts w:ascii="Times New Roman" w:hAnsi="Times New Roman"/>
          <w:sz w:val="24"/>
        </w:rPr>
        <w:t xml:space="preserve">Project </w:t>
      </w:r>
      <w:r>
        <w:rPr>
          <w:rFonts w:ascii="Times New Roman" w:hAnsi="Times New Roman"/>
          <w:sz w:val="24"/>
        </w:rPr>
        <w:t>(</w:t>
      </w:r>
      <w:r w:rsidRPr="009E5F89">
        <w:rPr>
          <w:rFonts w:ascii="Times New Roman" w:hAnsi="Times New Roman"/>
          <w:sz w:val="24"/>
        </w:rPr>
        <w:t>#</w:t>
      </w:r>
      <w:proofErr w:type="gramEnd"/>
      <w:r w:rsidRPr="009E5F89">
        <w:rPr>
          <w:rFonts w:ascii="Times New Roman" w:hAnsi="Times New Roman"/>
          <w:sz w:val="24"/>
        </w:rPr>
        <w:t>68593</w:t>
      </w:r>
      <w:r>
        <w:rPr>
          <w:rFonts w:ascii="Times New Roman" w:hAnsi="Times New Roman"/>
          <w:sz w:val="24"/>
        </w:rPr>
        <w:t>)</w:t>
      </w:r>
    </w:p>
    <w:p w14:paraId="4A5A9BF1" w14:textId="269C0891" w:rsidR="00183434" w:rsidRDefault="00183434" w:rsidP="00183434">
      <w:pPr>
        <w:rPr>
          <w:rFonts w:ascii="Times New Roman" w:hAnsi="Times New Roman"/>
          <w:sz w:val="24"/>
        </w:rPr>
      </w:pPr>
    </w:p>
    <w:p w14:paraId="5D61A44D" w14:textId="7335A9A8" w:rsidR="00183434" w:rsidRDefault="00183434" w:rsidP="00183434">
      <w:pPr>
        <w:rPr>
          <w:rFonts w:ascii="Times New Roman" w:hAnsi="Times New Roman"/>
          <w:sz w:val="24"/>
        </w:rPr>
      </w:pPr>
      <w:r w:rsidRPr="002D1430">
        <w:rPr>
          <w:rFonts w:ascii="Times New Roman" w:hAnsi="Times New Roman"/>
          <w:sz w:val="24"/>
        </w:rPr>
        <w:t>The Wilderness Societ</w:t>
      </w:r>
      <w:r>
        <w:rPr>
          <w:rFonts w:ascii="Times New Roman" w:hAnsi="Times New Roman"/>
          <w:sz w:val="24"/>
        </w:rPr>
        <w:t>y</w:t>
      </w:r>
      <w:r w:rsidR="634D6D71" w:rsidRPr="634D6D71">
        <w:rPr>
          <w:rFonts w:ascii="Times New Roman" w:hAnsi="Times New Roman"/>
          <w:sz w:val="24"/>
        </w:rPr>
        <w:t xml:space="preserve"> (“TWS”)</w:t>
      </w:r>
      <w:r>
        <w:rPr>
          <w:rFonts w:ascii="Times New Roman" w:hAnsi="Times New Roman"/>
          <w:sz w:val="24"/>
        </w:rPr>
        <w:t xml:space="preserve"> appreciates the opportunity to submit these scoping comments on the </w:t>
      </w:r>
      <w:r w:rsidRPr="009E5F89">
        <w:rPr>
          <w:rFonts w:ascii="Times New Roman" w:hAnsi="Times New Roman"/>
          <w:sz w:val="24"/>
        </w:rPr>
        <w:t>proposed plan to improve management of</w:t>
      </w:r>
      <w:r>
        <w:rPr>
          <w:rFonts w:ascii="Times New Roman" w:hAnsi="Times New Roman"/>
          <w:sz w:val="24"/>
        </w:rPr>
        <w:t xml:space="preserve"> </w:t>
      </w:r>
      <w:r w:rsidRPr="009E5F89">
        <w:rPr>
          <w:rFonts w:ascii="Times New Roman" w:hAnsi="Times New Roman"/>
          <w:sz w:val="24"/>
        </w:rPr>
        <w:t>recreation access and use in the southern portion of the Tenmile Mountain Range in Summit</w:t>
      </w:r>
      <w:r>
        <w:rPr>
          <w:rFonts w:ascii="Times New Roman" w:hAnsi="Times New Roman"/>
          <w:sz w:val="24"/>
        </w:rPr>
        <w:t xml:space="preserve"> </w:t>
      </w:r>
      <w:r w:rsidRPr="009E5F89">
        <w:rPr>
          <w:rFonts w:ascii="Times New Roman" w:hAnsi="Times New Roman"/>
          <w:sz w:val="24"/>
        </w:rPr>
        <w:t>County, Colorado</w:t>
      </w:r>
      <w:r>
        <w:rPr>
          <w:rFonts w:ascii="Times New Roman" w:hAnsi="Times New Roman"/>
          <w:sz w:val="24"/>
        </w:rPr>
        <w:t xml:space="preserve">, knows as the </w:t>
      </w:r>
      <w:r w:rsidRPr="009E5F89">
        <w:rPr>
          <w:rFonts w:ascii="Times New Roman" w:hAnsi="Times New Roman"/>
          <w:sz w:val="24"/>
        </w:rPr>
        <w:t>Southern Tenmile Recreation Access Project #68593</w:t>
      </w:r>
      <w:r>
        <w:rPr>
          <w:rFonts w:ascii="Times New Roman" w:hAnsi="Times New Roman"/>
          <w:sz w:val="24"/>
        </w:rPr>
        <w:t xml:space="preserve"> (hereinafter “proposed project”)</w:t>
      </w:r>
      <w:r w:rsidRPr="009E5F89">
        <w:rPr>
          <w:rFonts w:ascii="Times New Roman" w:hAnsi="Times New Roman"/>
          <w:sz w:val="24"/>
        </w:rPr>
        <w:t>.</w:t>
      </w:r>
    </w:p>
    <w:p w14:paraId="671C4271" w14:textId="7A7281DC" w:rsidR="634D6D71" w:rsidRDefault="634D6D71" w:rsidP="634D6D71">
      <w:pPr>
        <w:spacing w:before="240" w:after="240" w:line="259" w:lineRule="auto"/>
      </w:pPr>
      <w:r w:rsidRPr="634D6D71">
        <w:rPr>
          <w:rFonts w:ascii="Times New Roman" w:hAnsi="Times New Roman"/>
          <w:color w:val="000000" w:themeColor="text1"/>
          <w:sz w:val="24"/>
        </w:rPr>
        <w:t xml:space="preserve">TWS is a not-for-profit conservation organization with members across Colorado.  TWS’ mission is to unite people to protect America’s wild places, and our vision is a future </w:t>
      </w:r>
      <w:proofErr w:type="gramStart"/>
      <w:r w:rsidRPr="634D6D71">
        <w:rPr>
          <w:rFonts w:ascii="Times New Roman" w:hAnsi="Times New Roman"/>
          <w:color w:val="000000" w:themeColor="text1"/>
          <w:sz w:val="24"/>
        </w:rPr>
        <w:t>where</w:t>
      </w:r>
      <w:proofErr w:type="gramEnd"/>
      <w:r w:rsidRPr="634D6D71">
        <w:rPr>
          <w:rFonts w:ascii="Times New Roman" w:hAnsi="Times New Roman"/>
          <w:color w:val="000000" w:themeColor="text1"/>
          <w:sz w:val="24"/>
        </w:rPr>
        <w:t xml:space="preserve"> people and wild nature flourish together, meeting the challenges of a rapidly changing planet. Our priorities are to make public lands a solution to the climate and extinction crises by securing a resilient, continental network of landscapes, eliminating climate-changing emissions, and transforming conservation policy and practice so all people benefit equitably from public lands.  In partnership with the local community, TWS has been deeply engaged in longstanding efforts to protect the important cultural, natural, and recreation values of the White River National Forest in the Tenmile Range, including the designation of the Camp Hale-Continental Divide National Monument and pending legislation to designate wilderness there.</w:t>
      </w:r>
    </w:p>
    <w:p w14:paraId="5ED51438" w14:textId="77777777" w:rsidR="00AA1669" w:rsidRDefault="00183434" w:rsidP="00183434">
      <w:pPr>
        <w:rPr>
          <w:rFonts w:ascii="Times New Roman" w:hAnsi="Times New Roman"/>
          <w:sz w:val="24"/>
        </w:rPr>
      </w:pPr>
      <w:r>
        <w:rPr>
          <w:rFonts w:ascii="Times New Roman" w:hAnsi="Times New Roman"/>
          <w:sz w:val="24"/>
        </w:rPr>
        <w:t>As the scoping materials recognize, much of the proposed project area is part of the Camp Hale-Continental Divide National Monument, which was established by presidential proclamation on October 12, 2022.</w:t>
      </w:r>
      <w:r w:rsidRPr="634D6D71">
        <w:rPr>
          <w:rStyle w:val="FootnoteReference"/>
          <w:rFonts w:ascii="Times New Roman" w:hAnsi="Times New Roman"/>
          <w:sz w:val="20"/>
          <w:szCs w:val="20"/>
        </w:rPr>
        <w:footnoteReference w:id="1"/>
      </w:r>
      <w:r>
        <w:rPr>
          <w:rFonts w:ascii="Times New Roman" w:hAnsi="Times New Roman"/>
          <w:sz w:val="24"/>
        </w:rPr>
        <w:t xml:space="preserve">  “</w:t>
      </w:r>
      <w:r w:rsidRPr="00C91D5F">
        <w:rPr>
          <w:rFonts w:ascii="Times New Roman" w:hAnsi="Times New Roman"/>
          <w:sz w:val="24"/>
        </w:rPr>
        <w:t xml:space="preserve">The Secretary of Agriculture (Secretary), through the Forest Service, shall manage the monument pursuant to applicable </w:t>
      </w:r>
    </w:p>
    <w:p w14:paraId="2A3F2638" w14:textId="7565D624" w:rsidR="00183434" w:rsidRPr="002D1430" w:rsidRDefault="00183434" w:rsidP="00183434">
      <w:pPr>
        <w:rPr>
          <w:rFonts w:ascii="Times New Roman" w:hAnsi="Times New Roman"/>
          <w:sz w:val="24"/>
        </w:rPr>
      </w:pPr>
      <w:r w:rsidRPr="00C91D5F">
        <w:rPr>
          <w:rFonts w:ascii="Times New Roman" w:hAnsi="Times New Roman"/>
          <w:sz w:val="24"/>
        </w:rPr>
        <w:t>legal authorities and in accordance with the terms, conditions, and management direction provided by this proclamation</w:t>
      </w:r>
      <w:r>
        <w:rPr>
          <w:rFonts w:ascii="Times New Roman" w:hAnsi="Times New Roman"/>
          <w:sz w:val="24"/>
        </w:rPr>
        <w:t>.”</w:t>
      </w:r>
      <w:r w:rsidRPr="634D6D71">
        <w:rPr>
          <w:rStyle w:val="FootnoteReference"/>
          <w:rFonts w:ascii="Times New Roman" w:hAnsi="Times New Roman"/>
          <w:sz w:val="20"/>
          <w:szCs w:val="20"/>
        </w:rPr>
        <w:footnoteReference w:id="2"/>
      </w:r>
      <w:r>
        <w:rPr>
          <w:rFonts w:ascii="Times New Roman" w:hAnsi="Times New Roman"/>
          <w:sz w:val="24"/>
        </w:rPr>
        <w:t xml:space="preserve">  </w:t>
      </w:r>
      <w:r w:rsidRPr="002D1430">
        <w:rPr>
          <w:rFonts w:ascii="Times New Roman" w:hAnsi="Times New Roman"/>
          <w:sz w:val="24"/>
        </w:rPr>
        <w:t>The proclamation summarizes the historic and scientific interest in the Tenmile Range, including the history and artifacts associated with Indigenous, 10</w:t>
      </w:r>
      <w:r w:rsidRPr="634D6D71">
        <w:rPr>
          <w:rFonts w:ascii="Times New Roman" w:hAnsi="Times New Roman"/>
          <w:sz w:val="20"/>
          <w:szCs w:val="20"/>
          <w:vertAlign w:val="superscript"/>
        </w:rPr>
        <w:t>th</w:t>
      </w:r>
      <w:r w:rsidRPr="002D1430">
        <w:rPr>
          <w:rFonts w:ascii="Times New Roman" w:hAnsi="Times New Roman"/>
          <w:sz w:val="24"/>
        </w:rPr>
        <w:t xml:space="preserve"> Mountain Division, and mining occupation and artifacts throughout the area, the significance of the Continental Divide, and the important ecological and geological resources found in the Tenmile Range.  </w:t>
      </w:r>
      <w:r w:rsidR="00E1723F">
        <w:rPr>
          <w:rFonts w:ascii="Times New Roman" w:hAnsi="Times New Roman"/>
          <w:sz w:val="24"/>
        </w:rPr>
        <w:t>M</w:t>
      </w:r>
      <w:r w:rsidRPr="002D1430">
        <w:rPr>
          <w:rFonts w:ascii="Times New Roman" w:hAnsi="Times New Roman"/>
          <w:sz w:val="24"/>
        </w:rPr>
        <w:t xml:space="preserve">any objects of historic and scientific interest that are—or potentially are—located within the proposed </w:t>
      </w:r>
      <w:r w:rsidR="009C6342">
        <w:rPr>
          <w:rFonts w:ascii="Times New Roman" w:hAnsi="Times New Roman"/>
          <w:sz w:val="24"/>
        </w:rPr>
        <w:t>project</w:t>
      </w:r>
      <w:r w:rsidRPr="002D1430">
        <w:rPr>
          <w:rFonts w:ascii="Times New Roman" w:hAnsi="Times New Roman"/>
          <w:sz w:val="24"/>
        </w:rPr>
        <w:t xml:space="preserve"> area</w:t>
      </w:r>
      <w:r w:rsidR="00E1723F">
        <w:rPr>
          <w:rFonts w:ascii="Times New Roman" w:hAnsi="Times New Roman"/>
          <w:sz w:val="24"/>
        </w:rPr>
        <w:t xml:space="preserve"> are </w:t>
      </w:r>
      <w:r w:rsidR="009C6342">
        <w:rPr>
          <w:rFonts w:ascii="Times New Roman" w:hAnsi="Times New Roman"/>
          <w:sz w:val="24"/>
        </w:rPr>
        <w:t>identified in the proclamation</w:t>
      </w:r>
      <w:r w:rsidRPr="002D1430">
        <w:rPr>
          <w:rFonts w:ascii="Times New Roman" w:hAnsi="Times New Roman"/>
          <w:sz w:val="24"/>
        </w:rPr>
        <w:t xml:space="preserve">.  As just a few examples, the proclamation identifies </w:t>
      </w:r>
      <w:proofErr w:type="gramStart"/>
      <w:r w:rsidRPr="002D1430">
        <w:rPr>
          <w:rFonts w:ascii="Times New Roman" w:hAnsi="Times New Roman"/>
          <w:sz w:val="24"/>
        </w:rPr>
        <w:t>a number of</w:t>
      </w:r>
      <w:proofErr w:type="gramEnd"/>
      <w:r w:rsidRPr="002D1430">
        <w:rPr>
          <w:rFonts w:ascii="Times New Roman" w:hAnsi="Times New Roman"/>
          <w:sz w:val="24"/>
        </w:rPr>
        <w:t xml:space="preserve"> endangered and sensitive species in and around the proposed project area—including the boreal toad, green lineage Colorado River cutthroat trout, and the Weber’s drab—and the important hydrology of Continental Falls, Mohawk Basin Falls, and McCullough Gulch Falls.</w:t>
      </w:r>
      <w:r w:rsidRPr="634D6D71">
        <w:rPr>
          <w:rStyle w:val="FootnoteReference"/>
          <w:rFonts w:ascii="Times New Roman" w:hAnsi="Times New Roman"/>
          <w:sz w:val="20"/>
          <w:szCs w:val="20"/>
        </w:rPr>
        <w:footnoteReference w:id="3"/>
      </w:r>
    </w:p>
    <w:p w14:paraId="53A9F807" w14:textId="6BEFAEEF" w:rsidR="00183434" w:rsidRPr="002D1430" w:rsidRDefault="00183434" w:rsidP="00183434">
      <w:pPr>
        <w:rPr>
          <w:rFonts w:ascii="Times New Roman" w:hAnsi="Times New Roman"/>
          <w:sz w:val="24"/>
        </w:rPr>
      </w:pPr>
      <w:r w:rsidRPr="002D1430">
        <w:rPr>
          <w:rFonts w:ascii="Times New Roman" w:hAnsi="Times New Roman"/>
          <w:sz w:val="24"/>
        </w:rPr>
        <w:t xml:space="preserve">Importantly, the proclamation also emphasizes that “In light of threats posed by vandalism, unmanaged recreation, and climate change, protecting the Camp Hale and Tenmile Range area of the continental divide will preserve its historic and prehistoric legacy and maintain its diverse array of natural and scientific resources, ensuring that the historic and scientific values of the area remain for the benefit of all Americans.  Reserving this area would also honor the valor and sacrifice of the 10th Mountain Division, secure ongoing opportunities for Tribal communities to continue spiritual and subsistence </w:t>
      </w:r>
      <w:proofErr w:type="gramStart"/>
      <w:r w:rsidRPr="002D1430">
        <w:rPr>
          <w:rFonts w:ascii="Times New Roman" w:hAnsi="Times New Roman"/>
          <w:sz w:val="24"/>
        </w:rPr>
        <w:t>practices, and</w:t>
      </w:r>
      <w:proofErr w:type="gramEnd"/>
      <w:r w:rsidRPr="002D1430">
        <w:rPr>
          <w:rFonts w:ascii="Times New Roman" w:hAnsi="Times New Roman"/>
          <w:sz w:val="24"/>
        </w:rPr>
        <w:t xml:space="preserve"> enable the region’s modern communities and the Nation to continue to benefit from the area’s world class outdoor recreation opportunities.”</w:t>
      </w:r>
      <w:r>
        <w:rPr>
          <w:rFonts w:ascii="Times New Roman" w:hAnsi="Times New Roman"/>
          <w:sz w:val="24"/>
        </w:rPr>
        <w:t xml:space="preserve">  Based on our initial review of the scoping materials, it</w:t>
      </w:r>
      <w:r w:rsidRPr="002D1430">
        <w:rPr>
          <w:rFonts w:ascii="Times New Roman" w:hAnsi="Times New Roman"/>
          <w:sz w:val="24"/>
        </w:rPr>
        <w:t xml:space="preserve"> generally appears that the proposed project is consistent with both the spirit and mandates of the proclamation</w:t>
      </w:r>
      <w:r>
        <w:rPr>
          <w:rFonts w:ascii="Times New Roman" w:hAnsi="Times New Roman"/>
          <w:sz w:val="24"/>
        </w:rPr>
        <w:t>; regardless, however, TWS urges the Forest Service to carefully evaluate every aspect of the project to ensure that it is consistent with both the mandates and spirit of the proclamation.</w:t>
      </w:r>
    </w:p>
    <w:p w14:paraId="2946073E" w14:textId="77777777" w:rsidR="00936902" w:rsidRDefault="00936902" w:rsidP="00183434">
      <w:pPr>
        <w:rPr>
          <w:rFonts w:ascii="Times New Roman" w:hAnsi="Times New Roman"/>
          <w:sz w:val="24"/>
        </w:rPr>
      </w:pPr>
    </w:p>
    <w:p w14:paraId="3261AEFC" w14:textId="499449BB" w:rsidR="00AA1669" w:rsidRDefault="63E934C3" w:rsidP="63E934C3">
      <w:pPr>
        <w:rPr>
          <w:rFonts w:ascii="Times New Roman" w:hAnsi="Times New Roman"/>
          <w:sz w:val="24"/>
        </w:rPr>
      </w:pPr>
      <w:r w:rsidRPr="63E934C3">
        <w:rPr>
          <w:rFonts w:ascii="Times New Roman" w:hAnsi="Times New Roman"/>
          <w:sz w:val="24"/>
        </w:rPr>
        <w:t>To implement the mandates and goals of the proclamation, the 2022 proclamation requires the Forest Service to develop a monument management plan</w:t>
      </w:r>
      <w:proofErr w:type="gramStart"/>
      <w:r w:rsidRPr="63E934C3">
        <w:rPr>
          <w:rFonts w:ascii="Times New Roman" w:hAnsi="Times New Roman"/>
          <w:sz w:val="24"/>
        </w:rPr>
        <w:t>:  “</w:t>
      </w:r>
      <w:proofErr w:type="gramEnd"/>
      <w:r w:rsidRPr="63E934C3">
        <w:rPr>
          <w:rFonts w:ascii="Times New Roman" w:hAnsi="Times New Roman"/>
          <w:sz w:val="24"/>
        </w:rPr>
        <w:t xml:space="preserve">The Secretary shall prepare, in </w:t>
      </w:r>
    </w:p>
    <w:p w14:paraId="336A8C30" w14:textId="6882D70E" w:rsidR="00183434" w:rsidRPr="002D1430" w:rsidRDefault="00183434" w:rsidP="06C95207">
      <w:pPr>
        <w:rPr>
          <w:rFonts w:ascii="Times New Roman" w:hAnsi="Times New Roman"/>
          <w:sz w:val="24"/>
        </w:rPr>
      </w:pPr>
      <w:r w:rsidRPr="06C95207">
        <w:rPr>
          <w:rFonts w:ascii="Times New Roman" w:hAnsi="Times New Roman"/>
          <w:sz w:val="24"/>
        </w:rPr>
        <w:t>consultation with the Secretary of the Interior, a management plan for the monument, which shall include provisions for continuing outdoor recreational opportunities consistent with the proper care and management of the objects identified above, and shall promulgate such regulations for its management as deemed appropriate.”</w:t>
      </w:r>
      <w:r w:rsidR="003A4641" w:rsidRPr="00FC0084">
        <w:rPr>
          <w:rStyle w:val="FootnoteReference"/>
          <w:rFonts w:ascii="Times New Roman" w:hAnsi="Times New Roman"/>
          <w:sz w:val="20"/>
          <w:szCs w:val="20"/>
        </w:rPr>
        <w:footnoteReference w:id="4"/>
      </w:r>
      <w:r w:rsidRPr="06C95207">
        <w:rPr>
          <w:rFonts w:ascii="Times New Roman" w:hAnsi="Times New Roman"/>
          <w:sz w:val="24"/>
        </w:rPr>
        <w:t xml:space="preserve">  As a complement to that mandate, the proclamation requires that, “For purposes of protecting and restoring the objects identified above, the Secretary shall prepare a travel management plan to ensure appropriate access for the management and use of the area, which shall provide for motorized and non-motorized mechanized vehicle uses . . . .”</w:t>
      </w:r>
      <w:r w:rsidRPr="634D6D71">
        <w:rPr>
          <w:rStyle w:val="FootnoteReference"/>
          <w:rFonts w:ascii="Times New Roman" w:hAnsi="Times New Roman"/>
          <w:sz w:val="20"/>
          <w:szCs w:val="20"/>
        </w:rPr>
        <w:footnoteReference w:id="5"/>
      </w:r>
    </w:p>
    <w:p w14:paraId="5A94F850" w14:textId="7D6FC916" w:rsidR="00183434" w:rsidRDefault="00183434" w:rsidP="06C95207">
      <w:pPr>
        <w:rPr>
          <w:rFonts w:ascii="Times New Roman" w:hAnsi="Times New Roman"/>
          <w:sz w:val="24"/>
        </w:rPr>
      </w:pPr>
    </w:p>
    <w:p w14:paraId="1990E9FA" w14:textId="5CC8CCA1" w:rsidR="00183434" w:rsidRDefault="06C95207" w:rsidP="06C95207">
      <w:pPr>
        <w:spacing w:line="259" w:lineRule="auto"/>
        <w:rPr>
          <w:rFonts w:ascii="Times New Roman" w:hAnsi="Times New Roman"/>
          <w:sz w:val="24"/>
        </w:rPr>
      </w:pPr>
      <w:r w:rsidRPr="06C95207">
        <w:rPr>
          <w:rFonts w:ascii="Times New Roman" w:hAnsi="Times New Roman"/>
          <w:sz w:val="24"/>
        </w:rPr>
        <w:t>Under normal circumstances, the proposed project should be carried out in accordance with a management plan, including a travel management plan, adopted in accordance with the requirements in the proclamation.  That would help to ensure that the proposed project is consistent with the proper care and management of the monument objects and fits within the overall management approach adopted by the management plan for the monument.  However, TWS appreciates that this project has long been in-development, that ongoing recreation impacts and shortcomings associated with the proposed project are acute, that the proclamation specifically recognizes that “unmanaged recreation” is one of the primary threats to monument objects, and that recent staff and budget cuts have severely impacted the agency’s capacity.  As a result, TWS is generally supportive of moving forward with the proposed project despite the shortcomings associated with not preparing a monument management and travel management plan prior to, or at least in conjunction with, the proposed project.  TWS nevertheless urges the Forest Service to consider how the broader monument context—as monument management and travel management plans would provide—might affect the proposed project, as well as how the proposed project may affect the broader context of monument management, as it advances the proposed project.</w:t>
      </w:r>
    </w:p>
    <w:p w14:paraId="3D3B6E9E" w14:textId="77777777" w:rsidR="00F830E5" w:rsidRDefault="00F830E5" w:rsidP="002E1384">
      <w:pPr>
        <w:rPr>
          <w:rFonts w:ascii="Times New Roman" w:hAnsi="Times New Roman"/>
          <w:sz w:val="24"/>
        </w:rPr>
      </w:pPr>
    </w:p>
    <w:p w14:paraId="27218293" w14:textId="038FC313" w:rsidR="002E1384" w:rsidRPr="002D1430" w:rsidRDefault="00DA6A39" w:rsidP="002E1384">
      <w:pPr>
        <w:rPr>
          <w:rFonts w:ascii="Times New Roman" w:hAnsi="Times New Roman"/>
          <w:sz w:val="24"/>
        </w:rPr>
      </w:pPr>
      <w:r>
        <w:rPr>
          <w:rFonts w:ascii="Times New Roman" w:hAnsi="Times New Roman"/>
          <w:sz w:val="24"/>
        </w:rPr>
        <w:t>Prior to the designation of the national monument. i</w:t>
      </w:r>
      <w:r w:rsidR="002E1384">
        <w:rPr>
          <w:rFonts w:ascii="Times New Roman" w:hAnsi="Times New Roman"/>
          <w:sz w:val="24"/>
        </w:rPr>
        <w:t xml:space="preserve">mproving recreation management in the proposed project area for the benefit of visitors and natural resources was recognized </w:t>
      </w:r>
      <w:r w:rsidR="0074203C">
        <w:rPr>
          <w:rFonts w:ascii="Times New Roman" w:hAnsi="Times New Roman"/>
          <w:sz w:val="24"/>
        </w:rPr>
        <w:t xml:space="preserve">as a priority </w:t>
      </w:r>
      <w:r w:rsidR="002E1384">
        <w:rPr>
          <w:rFonts w:ascii="Times New Roman" w:hAnsi="Times New Roman"/>
          <w:sz w:val="24"/>
        </w:rPr>
        <w:t xml:space="preserve">by the proposal to establish a Tenmile Recreation Management Area as part of the </w:t>
      </w:r>
      <w:r w:rsidR="002E1384" w:rsidRPr="002D1430">
        <w:rPr>
          <w:rFonts w:ascii="Times New Roman" w:hAnsi="Times New Roman"/>
          <w:sz w:val="24"/>
        </w:rPr>
        <w:t>Colorado Outdoor Recreation and Economy Act</w:t>
      </w:r>
      <w:r w:rsidR="002E1384">
        <w:rPr>
          <w:rFonts w:ascii="Times New Roman" w:hAnsi="Times New Roman"/>
          <w:sz w:val="24"/>
        </w:rPr>
        <w:t xml:space="preserve"> (“CORE Act”).</w:t>
      </w:r>
      <w:r w:rsidR="002E1384" w:rsidRPr="634D6D71">
        <w:rPr>
          <w:rStyle w:val="FootnoteReference"/>
          <w:rFonts w:ascii="Times New Roman" w:hAnsi="Times New Roman"/>
          <w:sz w:val="20"/>
          <w:szCs w:val="20"/>
        </w:rPr>
        <w:footnoteReference w:id="6"/>
      </w:r>
      <w:r w:rsidR="002E1384">
        <w:rPr>
          <w:rFonts w:ascii="Times New Roman" w:hAnsi="Times New Roman"/>
          <w:sz w:val="24"/>
        </w:rPr>
        <w:t xml:space="preserve">  That proposal—which was superseded by the designation of the national monument—garnered broad support from local governments, businesses, and outdoor recreation organizations.  Still, however, </w:t>
      </w:r>
      <w:r w:rsidR="002E1384" w:rsidRPr="002D1430">
        <w:rPr>
          <w:rFonts w:ascii="Times New Roman" w:hAnsi="Times New Roman"/>
          <w:sz w:val="24"/>
        </w:rPr>
        <w:t>the</w:t>
      </w:r>
      <w:r w:rsidR="002E1384">
        <w:rPr>
          <w:rFonts w:ascii="Times New Roman" w:hAnsi="Times New Roman"/>
          <w:sz w:val="24"/>
        </w:rPr>
        <w:t xml:space="preserve"> portion of the</w:t>
      </w:r>
      <w:r w:rsidR="002E1384" w:rsidRPr="002D1430">
        <w:rPr>
          <w:rFonts w:ascii="Times New Roman" w:hAnsi="Times New Roman"/>
          <w:sz w:val="24"/>
        </w:rPr>
        <w:t xml:space="preserve"> Camp Hale-Continental Divide National Monument </w:t>
      </w:r>
      <w:r w:rsidR="002E1384">
        <w:rPr>
          <w:rFonts w:ascii="Times New Roman" w:hAnsi="Times New Roman"/>
          <w:sz w:val="24"/>
        </w:rPr>
        <w:t xml:space="preserve">that is within the proposed project area </w:t>
      </w:r>
      <w:r w:rsidR="002E1384" w:rsidRPr="002D1430">
        <w:rPr>
          <w:rFonts w:ascii="Times New Roman" w:hAnsi="Times New Roman"/>
          <w:sz w:val="24"/>
        </w:rPr>
        <w:t xml:space="preserve">is complemented by </w:t>
      </w:r>
      <w:r w:rsidR="002E1384">
        <w:rPr>
          <w:rFonts w:ascii="Times New Roman" w:hAnsi="Times New Roman"/>
          <w:sz w:val="24"/>
        </w:rPr>
        <w:t>other</w:t>
      </w:r>
      <w:r w:rsidR="002E1384" w:rsidRPr="002D1430">
        <w:rPr>
          <w:rFonts w:ascii="Times New Roman" w:hAnsi="Times New Roman"/>
          <w:sz w:val="24"/>
        </w:rPr>
        <w:t xml:space="preserve"> proposed protections included in </w:t>
      </w:r>
      <w:r w:rsidR="006F779B">
        <w:rPr>
          <w:rFonts w:ascii="Times New Roman" w:hAnsi="Times New Roman"/>
          <w:sz w:val="24"/>
        </w:rPr>
        <w:t xml:space="preserve">the </w:t>
      </w:r>
      <w:r w:rsidR="002E1384">
        <w:rPr>
          <w:rFonts w:ascii="Times New Roman" w:hAnsi="Times New Roman"/>
          <w:sz w:val="24"/>
        </w:rPr>
        <w:t>CORE Act</w:t>
      </w:r>
      <w:r w:rsidR="002E1384" w:rsidRPr="002D1430">
        <w:rPr>
          <w:rFonts w:ascii="Times New Roman" w:hAnsi="Times New Roman"/>
          <w:sz w:val="24"/>
        </w:rPr>
        <w:t>,</w:t>
      </w:r>
      <w:r w:rsidR="002E1384" w:rsidRPr="634D6D71">
        <w:rPr>
          <w:rStyle w:val="FootnoteReference"/>
          <w:rFonts w:ascii="Times New Roman" w:hAnsi="Times New Roman"/>
          <w:sz w:val="20"/>
          <w:szCs w:val="20"/>
        </w:rPr>
        <w:footnoteReference w:id="7"/>
      </w:r>
      <w:r w:rsidR="002E1384" w:rsidRPr="002D1430">
        <w:rPr>
          <w:rFonts w:ascii="Times New Roman" w:hAnsi="Times New Roman"/>
          <w:sz w:val="24"/>
        </w:rPr>
        <w:t xml:space="preserve"> which </w:t>
      </w:r>
      <w:r w:rsidR="002E1384">
        <w:rPr>
          <w:rFonts w:ascii="Times New Roman" w:hAnsi="Times New Roman"/>
          <w:sz w:val="24"/>
        </w:rPr>
        <w:t xml:space="preserve">are similarly </w:t>
      </w:r>
      <w:r w:rsidR="002E1384" w:rsidRPr="002D1430">
        <w:rPr>
          <w:rFonts w:ascii="Times New Roman" w:hAnsi="Times New Roman"/>
          <w:sz w:val="24"/>
        </w:rPr>
        <w:t>broadly supported</w:t>
      </w:r>
      <w:r w:rsidR="002E1384">
        <w:rPr>
          <w:rFonts w:ascii="Times New Roman" w:hAnsi="Times New Roman"/>
          <w:sz w:val="24"/>
        </w:rPr>
        <w:t>, including</w:t>
      </w:r>
      <w:r w:rsidR="002E1384" w:rsidRPr="002D1430">
        <w:rPr>
          <w:rFonts w:ascii="Times New Roman" w:hAnsi="Times New Roman"/>
          <w:sz w:val="24"/>
        </w:rPr>
        <w:t xml:space="preserve"> by Members of Congress</w:t>
      </w:r>
      <w:r w:rsidR="002E1384">
        <w:rPr>
          <w:rFonts w:ascii="Times New Roman" w:hAnsi="Times New Roman"/>
          <w:sz w:val="24"/>
        </w:rPr>
        <w:t xml:space="preserve">, </w:t>
      </w:r>
      <w:r w:rsidR="002E1384" w:rsidRPr="002D1430">
        <w:rPr>
          <w:rFonts w:ascii="Times New Roman" w:hAnsi="Times New Roman"/>
          <w:sz w:val="24"/>
        </w:rPr>
        <w:t>Summit County</w:t>
      </w:r>
      <w:r w:rsidR="002E1384">
        <w:rPr>
          <w:rFonts w:ascii="Times New Roman" w:hAnsi="Times New Roman"/>
          <w:sz w:val="24"/>
        </w:rPr>
        <w:t xml:space="preserve">, </w:t>
      </w:r>
      <w:r w:rsidR="002E1384" w:rsidRPr="002D1430">
        <w:rPr>
          <w:rFonts w:ascii="Times New Roman" w:hAnsi="Times New Roman"/>
          <w:sz w:val="24"/>
        </w:rPr>
        <w:t>the Town of Breckenridge,</w:t>
      </w:r>
      <w:r w:rsidR="002E1384" w:rsidRPr="634D6D71">
        <w:rPr>
          <w:rStyle w:val="FootnoteReference"/>
          <w:rFonts w:ascii="Times New Roman" w:hAnsi="Times New Roman"/>
          <w:sz w:val="20"/>
          <w:szCs w:val="20"/>
        </w:rPr>
        <w:footnoteReference w:id="8"/>
      </w:r>
      <w:r w:rsidR="002E1384" w:rsidRPr="002D1430">
        <w:rPr>
          <w:rFonts w:ascii="Times New Roman" w:hAnsi="Times New Roman"/>
          <w:sz w:val="24"/>
        </w:rPr>
        <w:t xml:space="preserve"> </w:t>
      </w:r>
      <w:r w:rsidR="002E1384">
        <w:rPr>
          <w:rFonts w:ascii="Times New Roman" w:hAnsi="Times New Roman"/>
          <w:sz w:val="24"/>
        </w:rPr>
        <w:t>and</w:t>
      </w:r>
      <w:r w:rsidR="002E1384" w:rsidRPr="002D1430">
        <w:rPr>
          <w:rFonts w:ascii="Times New Roman" w:hAnsi="Times New Roman"/>
          <w:sz w:val="24"/>
        </w:rPr>
        <w:t xml:space="preserve"> the Forest Service itself.</w:t>
      </w:r>
      <w:r w:rsidR="002E1384" w:rsidRPr="634D6D71">
        <w:rPr>
          <w:rStyle w:val="FootnoteReference"/>
          <w:rFonts w:ascii="Times New Roman" w:hAnsi="Times New Roman"/>
          <w:sz w:val="20"/>
          <w:szCs w:val="20"/>
        </w:rPr>
        <w:footnoteReference w:id="9"/>
      </w:r>
      <w:r w:rsidR="002E1384">
        <w:rPr>
          <w:rFonts w:ascii="Times New Roman" w:hAnsi="Times New Roman"/>
          <w:sz w:val="24"/>
        </w:rPr>
        <w:t xml:space="preserve">  Of greatest relevance to the proposed project, the CORE Act would designate </w:t>
      </w:r>
      <w:r w:rsidR="002E1384" w:rsidRPr="00062688">
        <w:rPr>
          <w:rFonts w:ascii="Times New Roman" w:hAnsi="Times New Roman"/>
          <w:sz w:val="24"/>
        </w:rPr>
        <w:t>7,624 acres</w:t>
      </w:r>
      <w:r w:rsidR="002E1384">
        <w:rPr>
          <w:rFonts w:ascii="Times New Roman" w:hAnsi="Times New Roman"/>
          <w:sz w:val="24"/>
        </w:rPr>
        <w:t xml:space="preserve"> of the White River National Forest adjacent to the proposed project area as the Tenmile Wilderness, to be managed in accordance with the Wilderness Act.</w:t>
      </w:r>
      <w:r w:rsidR="002E1384" w:rsidRPr="634D6D71">
        <w:rPr>
          <w:rStyle w:val="FootnoteReference"/>
          <w:rFonts w:ascii="Times New Roman" w:hAnsi="Times New Roman"/>
          <w:sz w:val="20"/>
          <w:szCs w:val="20"/>
        </w:rPr>
        <w:footnoteReference w:id="10"/>
      </w:r>
      <w:r w:rsidR="002E1384">
        <w:rPr>
          <w:rFonts w:ascii="Times New Roman" w:hAnsi="Times New Roman"/>
          <w:sz w:val="24"/>
        </w:rPr>
        <w:t xml:space="preserve">  As with the </w:t>
      </w:r>
      <w:r w:rsidR="00E77EA8">
        <w:rPr>
          <w:rFonts w:ascii="Times New Roman" w:hAnsi="Times New Roman"/>
          <w:sz w:val="24"/>
        </w:rPr>
        <w:t>p</w:t>
      </w:r>
      <w:r w:rsidR="002E1384">
        <w:rPr>
          <w:rFonts w:ascii="Times New Roman" w:hAnsi="Times New Roman"/>
          <w:sz w:val="24"/>
        </w:rPr>
        <w:t xml:space="preserve">roclamation, as the Forest Service advances the proposed project, TWS urges it to carry out the project in a way that is consistent with, and complementary to, the designation of the proposed Tenmile Wilderness in the foreseeable future. </w:t>
      </w:r>
      <w:r w:rsidR="002E1384" w:rsidRPr="4661BB8B">
        <w:rPr>
          <w:rFonts w:ascii="Times New Roman" w:hAnsi="Times New Roman"/>
          <w:sz w:val="24"/>
        </w:rPr>
        <w:t xml:space="preserve"> </w:t>
      </w:r>
      <w:r w:rsidR="002E1384">
        <w:rPr>
          <w:rFonts w:ascii="Times New Roman" w:hAnsi="Times New Roman"/>
          <w:sz w:val="24"/>
        </w:rPr>
        <w:t>For example</w:t>
      </w:r>
      <w:r w:rsidR="002E1384" w:rsidRPr="4661BB8B">
        <w:rPr>
          <w:rFonts w:ascii="Times New Roman" w:hAnsi="Times New Roman"/>
          <w:sz w:val="24"/>
        </w:rPr>
        <w:t xml:space="preserve">, the proposed trail improvements </w:t>
      </w:r>
      <w:r w:rsidR="003A64AB">
        <w:rPr>
          <w:rFonts w:ascii="Times New Roman" w:hAnsi="Times New Roman"/>
          <w:sz w:val="24"/>
        </w:rPr>
        <w:t xml:space="preserve">for </w:t>
      </w:r>
      <w:r w:rsidR="000856DE">
        <w:rPr>
          <w:rFonts w:ascii="Times New Roman" w:hAnsi="Times New Roman"/>
          <w:sz w:val="24"/>
        </w:rPr>
        <w:t>any portion of</w:t>
      </w:r>
      <w:r w:rsidR="002E1384" w:rsidRPr="4661BB8B">
        <w:rPr>
          <w:rFonts w:ascii="Times New Roman" w:hAnsi="Times New Roman"/>
          <w:sz w:val="24"/>
        </w:rPr>
        <w:t xml:space="preserve"> the McCullough Gulch Trail </w:t>
      </w:r>
      <w:r w:rsidR="000856DE">
        <w:rPr>
          <w:rFonts w:ascii="Times New Roman" w:hAnsi="Times New Roman"/>
          <w:sz w:val="24"/>
        </w:rPr>
        <w:t xml:space="preserve">that is </w:t>
      </w:r>
      <w:r w:rsidR="001430B8">
        <w:rPr>
          <w:rFonts w:ascii="Times New Roman" w:hAnsi="Times New Roman"/>
          <w:sz w:val="24"/>
        </w:rPr>
        <w:t xml:space="preserve">within the proposed wilderness area </w:t>
      </w:r>
      <w:r w:rsidR="002E1384" w:rsidRPr="4661BB8B">
        <w:rPr>
          <w:rFonts w:ascii="Times New Roman" w:hAnsi="Times New Roman"/>
          <w:sz w:val="24"/>
        </w:rPr>
        <w:t xml:space="preserve">should be consistent with </w:t>
      </w:r>
      <w:r w:rsidR="00DC5D9B">
        <w:rPr>
          <w:rFonts w:ascii="Times New Roman" w:hAnsi="Times New Roman"/>
          <w:sz w:val="24"/>
        </w:rPr>
        <w:t xml:space="preserve">Wilderness Act </w:t>
      </w:r>
      <w:r w:rsidR="002E1384" w:rsidRPr="4661BB8B">
        <w:rPr>
          <w:rFonts w:ascii="Times New Roman" w:hAnsi="Times New Roman"/>
          <w:sz w:val="24"/>
        </w:rPr>
        <w:t>standards</w:t>
      </w:r>
      <w:r w:rsidR="00DC5D9B">
        <w:rPr>
          <w:rFonts w:ascii="Times New Roman" w:hAnsi="Times New Roman"/>
          <w:sz w:val="24"/>
        </w:rPr>
        <w:t>, including for installations and</w:t>
      </w:r>
      <w:r w:rsidR="002E1384" w:rsidRPr="4661BB8B">
        <w:rPr>
          <w:rFonts w:ascii="Times New Roman" w:hAnsi="Times New Roman"/>
          <w:sz w:val="24"/>
        </w:rPr>
        <w:t xml:space="preserve"> for </w:t>
      </w:r>
      <w:r w:rsidR="00A64EE9">
        <w:rPr>
          <w:rFonts w:ascii="Times New Roman" w:hAnsi="Times New Roman"/>
          <w:sz w:val="24"/>
        </w:rPr>
        <w:t xml:space="preserve">constructing and maintaining </w:t>
      </w:r>
      <w:r w:rsidR="002E1384" w:rsidRPr="4661BB8B">
        <w:rPr>
          <w:rFonts w:ascii="Times New Roman" w:hAnsi="Times New Roman"/>
          <w:sz w:val="24"/>
        </w:rPr>
        <w:t xml:space="preserve">wilderness trails. </w:t>
      </w:r>
    </w:p>
    <w:p w14:paraId="26B115D4" w14:textId="77777777" w:rsidR="0051278C" w:rsidRDefault="0051278C" w:rsidP="00183434">
      <w:pPr>
        <w:rPr>
          <w:rFonts w:ascii="Times New Roman" w:hAnsi="Times New Roman"/>
          <w:sz w:val="24"/>
        </w:rPr>
      </w:pPr>
    </w:p>
    <w:p w14:paraId="711125D0" w14:textId="127DDD76" w:rsidR="002767F6" w:rsidRDefault="0051278C" w:rsidP="63E934C3">
      <w:pPr>
        <w:rPr>
          <w:rFonts w:ascii="Times New Roman" w:hAnsi="Times New Roman"/>
          <w:sz w:val="24"/>
        </w:rPr>
      </w:pPr>
      <w:r w:rsidRPr="63E934C3">
        <w:rPr>
          <w:rFonts w:ascii="Times New Roman" w:hAnsi="Times New Roman"/>
          <w:sz w:val="24"/>
        </w:rPr>
        <w:t xml:space="preserve">Finally, we note that the </w:t>
      </w:r>
      <w:r w:rsidR="004F3E18" w:rsidRPr="63E934C3">
        <w:rPr>
          <w:rFonts w:ascii="Times New Roman" w:hAnsi="Times New Roman"/>
          <w:sz w:val="24"/>
        </w:rPr>
        <w:t>Department of Agriculture’s</w:t>
      </w:r>
      <w:r w:rsidRPr="63E934C3">
        <w:rPr>
          <w:rFonts w:ascii="Times New Roman" w:hAnsi="Times New Roman"/>
          <w:sz w:val="24"/>
        </w:rPr>
        <w:t xml:space="preserve"> NEPA </w:t>
      </w:r>
      <w:r w:rsidR="00A14455" w:rsidRPr="63E934C3">
        <w:rPr>
          <w:rFonts w:ascii="Times New Roman" w:hAnsi="Times New Roman"/>
          <w:sz w:val="24"/>
        </w:rPr>
        <w:t xml:space="preserve">regulations </w:t>
      </w:r>
      <w:r w:rsidR="00AA25FF" w:rsidRPr="63E934C3">
        <w:rPr>
          <w:rFonts w:ascii="Times New Roman" w:hAnsi="Times New Roman"/>
          <w:sz w:val="24"/>
        </w:rPr>
        <w:t xml:space="preserve">require </w:t>
      </w:r>
      <w:r w:rsidR="00F326E6" w:rsidRPr="63E934C3">
        <w:rPr>
          <w:rFonts w:ascii="Times New Roman" w:hAnsi="Times New Roman"/>
          <w:sz w:val="24"/>
        </w:rPr>
        <w:t>the Forest Service to “</w:t>
      </w:r>
      <w:r w:rsidR="00AA25FF" w:rsidRPr="63E934C3">
        <w:rPr>
          <w:rFonts w:ascii="Times New Roman" w:hAnsi="Times New Roman"/>
          <w:sz w:val="24"/>
        </w:rPr>
        <w:t>evaluate the action for extraordinary circumstances</w:t>
      </w:r>
      <w:r w:rsidR="00F326E6" w:rsidRPr="63E934C3">
        <w:rPr>
          <w:rFonts w:ascii="Times New Roman" w:hAnsi="Times New Roman"/>
          <w:sz w:val="24"/>
        </w:rPr>
        <w:t xml:space="preserve">” when considering </w:t>
      </w:r>
      <w:r w:rsidR="000249F3" w:rsidRPr="63E934C3">
        <w:rPr>
          <w:rFonts w:ascii="Times New Roman" w:hAnsi="Times New Roman"/>
          <w:sz w:val="24"/>
        </w:rPr>
        <w:t>using a categorical exclusion.</w:t>
      </w:r>
      <w:r w:rsidR="000249F3" w:rsidRPr="634D6D71">
        <w:rPr>
          <w:rStyle w:val="FootnoteReference"/>
          <w:rFonts w:ascii="Times New Roman" w:hAnsi="Times New Roman"/>
          <w:sz w:val="20"/>
          <w:szCs w:val="20"/>
        </w:rPr>
        <w:footnoteReference w:id="11"/>
      </w:r>
      <w:r w:rsidR="000249F3" w:rsidRPr="63E934C3">
        <w:rPr>
          <w:rFonts w:ascii="Times New Roman" w:hAnsi="Times New Roman"/>
          <w:sz w:val="24"/>
        </w:rPr>
        <w:t xml:space="preserve">  </w:t>
      </w:r>
      <w:r w:rsidR="004F3E18" w:rsidRPr="63E934C3">
        <w:rPr>
          <w:rFonts w:ascii="Times New Roman" w:hAnsi="Times New Roman"/>
          <w:sz w:val="24"/>
        </w:rPr>
        <w:t>“</w:t>
      </w:r>
      <w:r w:rsidR="009C4A56" w:rsidRPr="63E934C3">
        <w:rPr>
          <w:rFonts w:ascii="Times New Roman" w:hAnsi="Times New Roman"/>
          <w:sz w:val="24"/>
        </w:rPr>
        <w:t>When applying categorical exclusions, USDA subcomponents shall consider relevant resources in the potentially affected environment for which an extraordinary circumstance may exist that would require the action to instead be documented</w:t>
      </w:r>
      <w:r w:rsidR="005D06DA" w:rsidRPr="63E934C3">
        <w:rPr>
          <w:rFonts w:ascii="Times New Roman" w:hAnsi="Times New Roman"/>
          <w:sz w:val="24"/>
        </w:rPr>
        <w:t>” by an EA or EIS.</w:t>
      </w:r>
      <w:r w:rsidR="004F5110" w:rsidRPr="634D6D71">
        <w:rPr>
          <w:rStyle w:val="FootnoteReference"/>
          <w:rFonts w:ascii="Times New Roman" w:hAnsi="Times New Roman"/>
          <w:sz w:val="20"/>
          <w:szCs w:val="20"/>
        </w:rPr>
        <w:footnoteReference w:id="12"/>
      </w:r>
      <w:r w:rsidR="005D06DA" w:rsidRPr="63E934C3">
        <w:rPr>
          <w:rFonts w:ascii="Times New Roman" w:hAnsi="Times New Roman"/>
          <w:sz w:val="24"/>
        </w:rPr>
        <w:t xml:space="preserve">  </w:t>
      </w:r>
      <w:r w:rsidR="00755450" w:rsidRPr="63E934C3">
        <w:rPr>
          <w:rFonts w:ascii="Times New Roman" w:hAnsi="Times New Roman"/>
          <w:sz w:val="24"/>
        </w:rPr>
        <w:t xml:space="preserve">National monuments are </w:t>
      </w:r>
      <w:r w:rsidR="008D3FA5" w:rsidRPr="63E934C3">
        <w:rPr>
          <w:rFonts w:ascii="Times New Roman" w:hAnsi="Times New Roman"/>
          <w:sz w:val="24"/>
        </w:rPr>
        <w:t xml:space="preserve">“a </w:t>
      </w:r>
      <w:r w:rsidR="001B05FB" w:rsidRPr="63E934C3">
        <w:rPr>
          <w:rFonts w:ascii="Times New Roman" w:hAnsi="Times New Roman"/>
          <w:sz w:val="24"/>
        </w:rPr>
        <w:t>formal Federal or state designation</w:t>
      </w:r>
      <w:r w:rsidR="008D3FA5" w:rsidRPr="63E934C3">
        <w:rPr>
          <w:rFonts w:ascii="Times New Roman" w:hAnsi="Times New Roman"/>
          <w:sz w:val="24"/>
        </w:rPr>
        <w:t>[]</w:t>
      </w:r>
      <w:r w:rsidR="001B05FB" w:rsidRPr="63E934C3">
        <w:rPr>
          <w:rFonts w:ascii="Times New Roman" w:hAnsi="Times New Roman"/>
          <w:sz w:val="24"/>
        </w:rPr>
        <w:t>”</w:t>
      </w:r>
      <w:r w:rsidR="008D3FA5" w:rsidRPr="63E934C3">
        <w:rPr>
          <w:rFonts w:ascii="Times New Roman" w:hAnsi="Times New Roman"/>
          <w:sz w:val="24"/>
        </w:rPr>
        <w:t xml:space="preserve"> tha</w:t>
      </w:r>
      <w:r w:rsidR="000411FB" w:rsidRPr="63E934C3">
        <w:rPr>
          <w:rFonts w:ascii="Times New Roman" w:hAnsi="Times New Roman"/>
          <w:sz w:val="24"/>
        </w:rPr>
        <w:t>t should be “screen[ed] for in the potentially affected environment when considering extraordinary circumstances.”</w:t>
      </w:r>
      <w:r w:rsidR="00C57DB5" w:rsidRPr="634D6D71">
        <w:rPr>
          <w:rStyle w:val="FootnoteReference"/>
          <w:rFonts w:ascii="Times New Roman" w:hAnsi="Times New Roman"/>
          <w:sz w:val="20"/>
          <w:szCs w:val="20"/>
        </w:rPr>
        <w:footnoteReference w:id="13"/>
      </w:r>
      <w:r w:rsidR="008D73C8" w:rsidRPr="63E934C3">
        <w:rPr>
          <w:rFonts w:ascii="Times New Roman" w:hAnsi="Times New Roman"/>
          <w:sz w:val="24"/>
        </w:rPr>
        <w:t xml:space="preserve">  Doing so </w:t>
      </w:r>
      <w:r w:rsidR="00D7259F" w:rsidRPr="63E934C3">
        <w:rPr>
          <w:rFonts w:ascii="Times New Roman" w:hAnsi="Times New Roman"/>
          <w:sz w:val="24"/>
        </w:rPr>
        <w:t xml:space="preserve">also </w:t>
      </w:r>
      <w:r w:rsidR="008D73C8" w:rsidRPr="63E934C3">
        <w:rPr>
          <w:rFonts w:ascii="Times New Roman" w:hAnsi="Times New Roman"/>
          <w:sz w:val="24"/>
        </w:rPr>
        <w:t xml:space="preserve">is </w:t>
      </w:r>
      <w:r w:rsidR="00D03898" w:rsidRPr="63E934C3">
        <w:rPr>
          <w:rFonts w:ascii="Times New Roman" w:hAnsi="Times New Roman"/>
          <w:sz w:val="24"/>
        </w:rPr>
        <w:t xml:space="preserve">required by the proclamation and the agency’s duties </w:t>
      </w:r>
      <w:r w:rsidR="00D7259F" w:rsidRPr="63E934C3">
        <w:rPr>
          <w:rFonts w:ascii="Times New Roman" w:hAnsi="Times New Roman"/>
          <w:sz w:val="24"/>
        </w:rPr>
        <w:t xml:space="preserve">of proper care and management </w:t>
      </w:r>
      <w:r w:rsidR="00D03898" w:rsidRPr="63E934C3">
        <w:rPr>
          <w:rFonts w:ascii="Times New Roman" w:hAnsi="Times New Roman"/>
          <w:sz w:val="24"/>
        </w:rPr>
        <w:t>under the Antiquities Act.</w:t>
      </w:r>
      <w:r w:rsidR="00293A64" w:rsidRPr="634D6D71">
        <w:rPr>
          <w:rStyle w:val="FootnoteReference"/>
          <w:rFonts w:ascii="Times New Roman" w:hAnsi="Times New Roman"/>
          <w:sz w:val="20"/>
          <w:szCs w:val="20"/>
        </w:rPr>
        <w:footnoteReference w:id="14"/>
      </w:r>
    </w:p>
    <w:p w14:paraId="090B57C8" w14:textId="7B056138" w:rsidR="00936902" w:rsidRDefault="00936902" w:rsidP="00183434">
      <w:pPr>
        <w:rPr>
          <w:rFonts w:ascii="Times New Roman" w:hAnsi="Times New Roman"/>
          <w:sz w:val="24"/>
        </w:rPr>
      </w:pPr>
    </w:p>
    <w:p w14:paraId="551ED080" w14:textId="103374EC" w:rsidR="00183434" w:rsidRPr="002D1430" w:rsidRDefault="00183434" w:rsidP="00183434">
      <w:pPr>
        <w:rPr>
          <w:rFonts w:ascii="Times New Roman" w:hAnsi="Times New Roman"/>
          <w:sz w:val="24"/>
        </w:rPr>
      </w:pPr>
      <w:r w:rsidRPr="002D1430">
        <w:rPr>
          <w:rFonts w:ascii="Times New Roman" w:hAnsi="Times New Roman"/>
          <w:sz w:val="24"/>
        </w:rPr>
        <w:t xml:space="preserve">Thank you for </w:t>
      </w:r>
      <w:r>
        <w:rPr>
          <w:rFonts w:ascii="Times New Roman" w:hAnsi="Times New Roman"/>
          <w:sz w:val="24"/>
        </w:rPr>
        <w:t xml:space="preserve">your consideration of these comments, as well as for </w:t>
      </w:r>
      <w:r w:rsidRPr="002D1430">
        <w:rPr>
          <w:rFonts w:ascii="Times New Roman" w:hAnsi="Times New Roman"/>
          <w:sz w:val="24"/>
        </w:rPr>
        <w:t>your dedication and service.</w:t>
      </w:r>
    </w:p>
    <w:p w14:paraId="64F2124F" w14:textId="77777777" w:rsidR="002428EF" w:rsidRDefault="002428EF" w:rsidP="00183434">
      <w:pPr>
        <w:rPr>
          <w:rFonts w:ascii="Times New Roman" w:hAnsi="Times New Roman"/>
          <w:sz w:val="24"/>
        </w:rPr>
      </w:pPr>
    </w:p>
    <w:p w14:paraId="019F7C93" w14:textId="77777777" w:rsidR="0086190A" w:rsidRDefault="0086190A" w:rsidP="00183434">
      <w:pPr>
        <w:rPr>
          <w:rFonts w:ascii="Times New Roman" w:hAnsi="Times New Roman"/>
          <w:sz w:val="24"/>
        </w:rPr>
      </w:pPr>
    </w:p>
    <w:p w14:paraId="2DF42909" w14:textId="612509B3" w:rsidR="00535776" w:rsidRDefault="00183434" w:rsidP="00183434">
      <w:pPr>
        <w:rPr>
          <w:rFonts w:ascii="Times New Roman" w:hAnsi="Times New Roman"/>
          <w:sz w:val="24"/>
        </w:rPr>
      </w:pPr>
      <w:r w:rsidRPr="002D1430">
        <w:rPr>
          <w:rFonts w:ascii="Times New Roman" w:hAnsi="Times New Roman"/>
          <w:sz w:val="24"/>
        </w:rPr>
        <w:t>Sincerely,</w:t>
      </w:r>
    </w:p>
    <w:p w14:paraId="503EB2AC" w14:textId="56E75486" w:rsidR="00380A82" w:rsidRDefault="00380A82" w:rsidP="00183434">
      <w:pPr>
        <w:rPr>
          <w:rFonts w:ascii="Times New Roman" w:hAnsi="Times New Roman"/>
          <w:sz w:val="24"/>
        </w:rPr>
      </w:pPr>
      <w:r>
        <w:rPr>
          <w:noProof/>
        </w:rPr>
        <w:drawing>
          <wp:inline distT="0" distB="0" distL="0" distR="0" wp14:anchorId="1B76465F" wp14:editId="0FE7AEBA">
            <wp:extent cx="2819400" cy="485775"/>
            <wp:effectExtent l="0" t="0" r="0" b="0"/>
            <wp:docPr id="19630047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04766" name=""/>
                    <pic:cNvPicPr/>
                  </pic:nvPicPr>
                  <pic:blipFill>
                    <a:blip r:embed="rId11">
                      <a:extLst>
                        <a:ext uri="{28A0092B-C50C-407E-A947-70E740481C1C}">
                          <a14:useLocalDpi xmlns:a14="http://schemas.microsoft.com/office/drawing/2010/main" val="0"/>
                        </a:ext>
                      </a:extLst>
                    </a:blip>
                    <a:stretch>
                      <a:fillRect/>
                    </a:stretch>
                  </pic:blipFill>
                  <pic:spPr>
                    <a:xfrm>
                      <a:off x="0" y="0"/>
                      <a:ext cx="2819400" cy="485775"/>
                    </a:xfrm>
                    <a:prstGeom prst="rect">
                      <a:avLst/>
                    </a:prstGeom>
                  </pic:spPr>
                </pic:pic>
              </a:graphicData>
            </a:graphic>
          </wp:inline>
        </w:drawing>
      </w:r>
    </w:p>
    <w:p w14:paraId="352CCB4D" w14:textId="73B1EEB0" w:rsidR="00535776" w:rsidRDefault="00535776" w:rsidP="00183434">
      <w:pPr>
        <w:rPr>
          <w:rFonts w:ascii="Times New Roman" w:hAnsi="Times New Roman"/>
          <w:sz w:val="24"/>
        </w:rPr>
      </w:pPr>
      <w:r>
        <w:rPr>
          <w:rFonts w:ascii="Times New Roman" w:hAnsi="Times New Roman"/>
          <w:sz w:val="24"/>
        </w:rPr>
        <w:t>Jim Ramey</w:t>
      </w:r>
    </w:p>
    <w:p w14:paraId="119D67C8" w14:textId="427A99B2" w:rsidR="00535776" w:rsidRPr="002D1430" w:rsidRDefault="00535776" w:rsidP="00183434">
      <w:pPr>
        <w:rPr>
          <w:rFonts w:ascii="Times New Roman" w:hAnsi="Times New Roman"/>
          <w:sz w:val="24"/>
        </w:rPr>
      </w:pPr>
      <w:r>
        <w:rPr>
          <w:rFonts w:ascii="Times New Roman" w:hAnsi="Times New Roman"/>
          <w:sz w:val="24"/>
        </w:rPr>
        <w:t>Colorado State Director</w:t>
      </w:r>
    </w:p>
    <w:p w14:paraId="3ED778B1" w14:textId="77777777" w:rsidR="006C7097" w:rsidRDefault="006C7097" w:rsidP="006C7097">
      <w:pPr>
        <w:rPr>
          <w:rFonts w:ascii="Times New Roman" w:hAnsi="Times New Roman"/>
          <w:sz w:val="24"/>
        </w:rPr>
      </w:pPr>
      <w:r>
        <w:rPr>
          <w:rFonts w:ascii="Times New Roman" w:hAnsi="Times New Roman"/>
          <w:sz w:val="24"/>
        </w:rPr>
        <w:t>The Wilderness Society</w:t>
      </w:r>
    </w:p>
    <w:p w14:paraId="6B3E03FA" w14:textId="77777777" w:rsidR="006C7097" w:rsidRDefault="006C7097" w:rsidP="006C7097">
      <w:pPr>
        <w:rPr>
          <w:rFonts w:ascii="Times New Roman" w:hAnsi="Times New Roman"/>
          <w:sz w:val="24"/>
        </w:rPr>
      </w:pPr>
      <w:r>
        <w:rPr>
          <w:rFonts w:ascii="Times New Roman" w:hAnsi="Times New Roman"/>
          <w:sz w:val="24"/>
        </w:rPr>
        <w:t>1660 Wynkoop Street</w:t>
      </w:r>
    </w:p>
    <w:p w14:paraId="452B7A51" w14:textId="77777777" w:rsidR="006C7097" w:rsidRDefault="006C7097" w:rsidP="006C7097">
      <w:pPr>
        <w:rPr>
          <w:rFonts w:ascii="Times New Roman" w:hAnsi="Times New Roman"/>
          <w:sz w:val="24"/>
        </w:rPr>
      </w:pPr>
      <w:r>
        <w:rPr>
          <w:rFonts w:ascii="Times New Roman" w:hAnsi="Times New Roman"/>
          <w:sz w:val="24"/>
        </w:rPr>
        <w:t>Suite 1150</w:t>
      </w:r>
    </w:p>
    <w:p w14:paraId="30004FDE" w14:textId="77777777" w:rsidR="006C7097" w:rsidRDefault="006C7097" w:rsidP="006C7097">
      <w:pPr>
        <w:rPr>
          <w:rFonts w:ascii="Times New Roman" w:hAnsi="Times New Roman"/>
          <w:sz w:val="24"/>
        </w:rPr>
      </w:pPr>
      <w:r>
        <w:rPr>
          <w:rFonts w:ascii="Times New Roman" w:hAnsi="Times New Roman"/>
          <w:sz w:val="24"/>
        </w:rPr>
        <w:t>Denver, CO 80525</w:t>
      </w:r>
    </w:p>
    <w:p w14:paraId="1704B458" w14:textId="77777777" w:rsidR="006C7097" w:rsidRDefault="006C7097" w:rsidP="006C7097">
      <w:pPr>
        <w:rPr>
          <w:rFonts w:ascii="Times New Roman" w:hAnsi="Times New Roman"/>
          <w:sz w:val="24"/>
        </w:rPr>
      </w:pPr>
    </w:p>
    <w:p w14:paraId="2A874C64" w14:textId="77777777" w:rsidR="006C7097" w:rsidRDefault="006C7097" w:rsidP="006C7097">
      <w:pPr>
        <w:rPr>
          <w:rFonts w:ascii="Times New Roman" w:hAnsi="Times New Roman"/>
          <w:sz w:val="24"/>
        </w:rPr>
      </w:pPr>
      <w:r>
        <w:rPr>
          <w:rFonts w:ascii="Times New Roman" w:hAnsi="Times New Roman"/>
          <w:sz w:val="24"/>
        </w:rPr>
        <w:t xml:space="preserve">Ph: </w:t>
      </w:r>
      <w:r w:rsidRPr="00B43A44">
        <w:rPr>
          <w:rFonts w:ascii="Times New Roman" w:hAnsi="Times New Roman"/>
          <w:sz w:val="24"/>
        </w:rPr>
        <w:t>720-647-9667</w:t>
      </w:r>
    </w:p>
    <w:p w14:paraId="238A698D" w14:textId="77777777" w:rsidR="006C7097" w:rsidRPr="00B43A44" w:rsidRDefault="006C7097" w:rsidP="006C7097">
      <w:pPr>
        <w:spacing w:line="259" w:lineRule="auto"/>
        <w:rPr>
          <w:rFonts w:ascii="Times New Roman" w:hAnsi="Times New Roman"/>
          <w:sz w:val="24"/>
        </w:rPr>
      </w:pPr>
      <w:r>
        <w:rPr>
          <w:rFonts w:ascii="Times New Roman" w:hAnsi="Times New Roman"/>
          <w:sz w:val="24"/>
        </w:rPr>
        <w:t xml:space="preserve">Email: </w:t>
      </w:r>
      <w:r w:rsidRPr="00385496">
        <w:rPr>
          <w:rFonts w:ascii="Times New Roman" w:hAnsi="Times New Roman"/>
          <w:sz w:val="24"/>
        </w:rPr>
        <w:t>jramey@tws.org</w:t>
      </w:r>
    </w:p>
    <w:p w14:paraId="74F17F49" w14:textId="77777777" w:rsidR="00183434" w:rsidRPr="002D1430" w:rsidRDefault="00183434" w:rsidP="00183434">
      <w:pPr>
        <w:rPr>
          <w:rFonts w:ascii="Times New Roman" w:hAnsi="Times New Roman"/>
          <w:sz w:val="24"/>
        </w:rPr>
      </w:pPr>
    </w:p>
    <w:p w14:paraId="6FACF9F2" w14:textId="77777777" w:rsidR="00183434" w:rsidRPr="002D1430" w:rsidRDefault="00183434" w:rsidP="00183434">
      <w:pPr>
        <w:rPr>
          <w:rFonts w:ascii="Times New Roman" w:hAnsi="Times New Roman"/>
          <w:sz w:val="24"/>
        </w:rPr>
      </w:pPr>
      <w:r w:rsidRPr="002D1430">
        <w:rPr>
          <w:rFonts w:ascii="Times New Roman" w:hAnsi="Times New Roman"/>
          <w:sz w:val="24"/>
        </w:rPr>
        <w:t> </w:t>
      </w:r>
    </w:p>
    <w:p w14:paraId="08D98492" w14:textId="4309DF86" w:rsidR="00D53F86" w:rsidRDefault="00D53F86" w:rsidP="00AB42AE">
      <w:pPr>
        <w:ind w:left="4320" w:firstLine="720"/>
      </w:pPr>
    </w:p>
    <w:sectPr w:rsidR="00D53F86" w:rsidSect="00AA1669">
      <w:headerReference w:type="default" r:id="rId12"/>
      <w:footerReference w:type="default" r:id="rId13"/>
      <w:headerReference w:type="first" r:id="rId14"/>
      <w:footerReference w:type="first" r:id="rId15"/>
      <w:pgSz w:w="12240" w:h="15840" w:code="1"/>
      <w:pgMar w:top="1440" w:right="1440" w:bottom="1440" w:left="1440" w:header="720" w:footer="432"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5299" w14:textId="77777777" w:rsidR="00FE322E" w:rsidRDefault="00FE322E">
      <w:r>
        <w:separator/>
      </w:r>
    </w:p>
  </w:endnote>
  <w:endnote w:type="continuationSeparator" w:id="0">
    <w:p w14:paraId="6AEEF654" w14:textId="77777777" w:rsidR="00FE322E" w:rsidRDefault="00F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786119"/>
      <w:docPartObj>
        <w:docPartGallery w:val="Page Numbers (Bottom of Page)"/>
        <w:docPartUnique/>
      </w:docPartObj>
    </w:sdtPr>
    <w:sdtEndPr>
      <w:rPr>
        <w:noProof/>
      </w:rPr>
    </w:sdtEndPr>
    <w:sdtContent>
      <w:p w14:paraId="2C8E84F1" w14:textId="323ECEE6" w:rsidR="00AA1669" w:rsidRDefault="00AA16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98498" w14:textId="42279F76" w:rsidR="00265B6E" w:rsidRDefault="00265B6E" w:rsidP="00D53F8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849A" w14:textId="77777777" w:rsidR="00265B6E" w:rsidRPr="00A724CF" w:rsidRDefault="00267BF5" w:rsidP="00A724CF">
    <w:pPr>
      <w:rPr>
        <w:szCs w:val="18"/>
      </w:rPr>
    </w:pPr>
    <w:r>
      <w:rPr>
        <w:noProof/>
      </w:rPr>
      <mc:AlternateContent>
        <mc:Choice Requires="wps">
          <w:drawing>
            <wp:anchor distT="0" distB="0" distL="114300" distR="114300" simplePos="0" relativeHeight="251658240" behindDoc="0" locked="0" layoutInCell="1" allowOverlap="1" wp14:anchorId="08D984A0" wp14:editId="08D984A1">
              <wp:simplePos x="0" y="0"/>
              <wp:positionH relativeFrom="column">
                <wp:align>center</wp:align>
              </wp:positionH>
              <wp:positionV relativeFrom="paragraph">
                <wp:posOffset>64770</wp:posOffset>
              </wp:positionV>
              <wp:extent cx="5092065" cy="0"/>
              <wp:effectExtent l="9525" t="7620" r="1333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065" cy="0"/>
                      </a:xfrm>
                      <a:prstGeom prst="line">
                        <a:avLst/>
                      </a:prstGeom>
                      <a:noFill/>
                      <a:ln w="9525">
                        <a:solidFill>
                          <a:srgbClr val="0054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04A52" id="Line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pt" to="40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" strokecolor="#005480"/>
          </w:pict>
        </mc:Fallback>
      </mc:AlternateContent>
    </w:r>
  </w:p>
  <w:p w14:paraId="08D9849B" w14:textId="5F584747" w:rsidR="00265B6E" w:rsidRDefault="00265B6E" w:rsidP="00A724CF">
    <w:pPr>
      <w:jc w:val="center"/>
      <w:rPr>
        <w:b/>
        <w:color w:val="005480"/>
        <w:sz w:val="14"/>
        <w:szCs w:val="14"/>
      </w:rPr>
    </w:pPr>
    <w:r w:rsidRPr="00A724CF">
      <w:rPr>
        <w:color w:val="005480"/>
        <w:sz w:val="14"/>
        <w:szCs w:val="14"/>
      </w:rPr>
      <w:t xml:space="preserve">1660 Wynkoop Street, Suite </w:t>
    </w:r>
    <w:r w:rsidR="00796625">
      <w:rPr>
        <w:color w:val="005480"/>
        <w:sz w:val="14"/>
        <w:szCs w:val="14"/>
      </w:rPr>
      <w:t>11</w:t>
    </w:r>
    <w:r w:rsidRPr="00A724CF">
      <w:rPr>
        <w:color w:val="005480"/>
        <w:sz w:val="14"/>
        <w:szCs w:val="14"/>
      </w:rPr>
      <w:t xml:space="preserve">50, Denver, CO  </w:t>
    </w:r>
    <w:proofErr w:type="gramStart"/>
    <w:r w:rsidRPr="00A724CF">
      <w:rPr>
        <w:color w:val="005480"/>
        <w:sz w:val="14"/>
        <w:szCs w:val="14"/>
      </w:rPr>
      <w:t>80202  |</w:t>
    </w:r>
    <w:proofErr w:type="gramEnd"/>
    <w:r w:rsidRPr="00A724CF">
      <w:rPr>
        <w:color w:val="005480"/>
        <w:sz w:val="14"/>
        <w:szCs w:val="14"/>
      </w:rPr>
      <w:t xml:space="preserve">  </w:t>
    </w:r>
    <w:r w:rsidRPr="00A724CF">
      <w:rPr>
        <w:b/>
        <w:color w:val="005480"/>
        <w:sz w:val="14"/>
        <w:szCs w:val="14"/>
      </w:rPr>
      <w:t>wilderness.org</w:t>
    </w:r>
  </w:p>
  <w:p w14:paraId="08D9849C" w14:textId="77777777" w:rsidR="00265B6E" w:rsidRDefault="00265B6E" w:rsidP="00A724CF">
    <w:pPr>
      <w:jc w:val="center"/>
      <w:rPr>
        <w:b/>
        <w:color w:val="005480"/>
        <w:sz w:val="14"/>
        <w:szCs w:val="14"/>
      </w:rPr>
    </w:pPr>
  </w:p>
  <w:p w14:paraId="08D9849D" w14:textId="0A227602" w:rsidR="00265B6E" w:rsidRPr="00A724CF" w:rsidRDefault="00265B6E" w:rsidP="00A724CF">
    <w:pPr>
      <w:jc w:val="center"/>
      <w:rPr>
        <w:color w:val="005480"/>
        <w:sz w:val="10"/>
        <w:szCs w:val="10"/>
      </w:rPr>
    </w:pPr>
    <w:r w:rsidRPr="00A724CF">
      <w:rPr>
        <w:color w:val="005480"/>
        <w:sz w:val="10"/>
        <w:szCs w:val="10"/>
      </w:rPr>
      <w:t xml:space="preserve">100% </w:t>
    </w:r>
    <w:proofErr w:type="spellStart"/>
    <w:r w:rsidRPr="00A724CF">
      <w:rPr>
        <w:color w:val="005480"/>
        <w:sz w:val="10"/>
        <w:szCs w:val="10"/>
      </w:rPr>
      <w:t>post consumer</w:t>
    </w:r>
    <w:proofErr w:type="spellEnd"/>
    <w:r w:rsidRPr="00A724CF">
      <w:rPr>
        <w:color w:val="005480"/>
        <w:sz w:val="10"/>
        <w:szCs w:val="10"/>
      </w:rPr>
      <w:t xml:space="preserve"> fiber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970E" w14:textId="77777777" w:rsidR="00FE322E" w:rsidRDefault="00FE322E">
      <w:r>
        <w:separator/>
      </w:r>
    </w:p>
  </w:footnote>
  <w:footnote w:type="continuationSeparator" w:id="0">
    <w:p w14:paraId="148A3464" w14:textId="77777777" w:rsidR="00FE322E" w:rsidRDefault="00FE322E">
      <w:r>
        <w:continuationSeparator/>
      </w:r>
    </w:p>
  </w:footnote>
  <w:footnote w:id="1">
    <w:p w14:paraId="59FD9E71" w14:textId="64C5F4EE" w:rsidR="00183434" w:rsidRPr="00C91D5F" w:rsidRDefault="00183434" w:rsidP="00183434">
      <w:pPr>
        <w:pStyle w:val="FootnoteText"/>
      </w:pPr>
      <w:r w:rsidRPr="00C91D5F">
        <w:rPr>
          <w:rStyle w:val="FootnoteReference"/>
          <w:rFonts w:ascii="Times New Roman" w:hAnsi="Times New Roman" w:cs="Times New Roman"/>
        </w:rPr>
        <w:footnoteRef/>
      </w:r>
      <w:r w:rsidRPr="00C91D5F">
        <w:rPr>
          <w:rFonts w:ascii="Times New Roman" w:hAnsi="Times New Roman" w:cs="Times New Roman"/>
        </w:rPr>
        <w:t xml:space="preserve"> Establishment of the Camp Hale–Continental Divide National Monument (Oct. 12, 2022), 87 Fed. Reg. 63</w:t>
      </w:r>
      <w:r w:rsidR="003A4641">
        <w:rPr>
          <w:rFonts w:ascii="Times New Roman" w:hAnsi="Times New Roman" w:cs="Times New Roman"/>
        </w:rPr>
        <w:t>,</w:t>
      </w:r>
      <w:r w:rsidRPr="00C91D5F">
        <w:rPr>
          <w:rFonts w:ascii="Times New Roman" w:hAnsi="Times New Roman" w:cs="Times New Roman"/>
        </w:rPr>
        <w:t>381 (Oct. 19, 2022)</w:t>
      </w:r>
      <w:r>
        <w:rPr>
          <w:rFonts w:ascii="Times New Roman" w:hAnsi="Times New Roman" w:cs="Times New Roman"/>
        </w:rPr>
        <w:t>.</w:t>
      </w:r>
    </w:p>
  </w:footnote>
  <w:footnote w:id="2">
    <w:p w14:paraId="71B433AF" w14:textId="77777777" w:rsidR="00183434" w:rsidRPr="00C91D5F" w:rsidRDefault="00183434" w:rsidP="00183434">
      <w:pPr>
        <w:pStyle w:val="FootnoteText"/>
        <w:rPr>
          <w:rFonts w:ascii="Times New Roman" w:hAnsi="Times New Roman" w:cs="Times New Roman"/>
          <w:i/>
          <w:iCs/>
        </w:rPr>
      </w:pPr>
      <w:r w:rsidRPr="634D6D71">
        <w:rPr>
          <w:rStyle w:val="FootnoteReference"/>
          <w:rFonts w:ascii="Times New Roman" w:eastAsia="Times New Roman" w:hAnsi="Times New Roman" w:cs="Times New Roman"/>
        </w:rPr>
        <w:footnoteRef/>
      </w:r>
      <w:r w:rsidRPr="634D6D71">
        <w:rPr>
          <w:rFonts w:ascii="Times New Roman" w:eastAsia="Times New Roman" w:hAnsi="Times New Roman" w:cs="Times New Roman"/>
        </w:rPr>
        <w:t xml:space="preserve"> </w:t>
      </w:r>
      <w:r w:rsidRPr="634D6D71">
        <w:rPr>
          <w:rFonts w:ascii="Times New Roman" w:eastAsia="Times New Roman" w:hAnsi="Times New Roman" w:cs="Times New Roman"/>
          <w:i/>
        </w:rPr>
        <w:t xml:space="preserve">Id. </w:t>
      </w:r>
      <w:r w:rsidRPr="634D6D71">
        <w:rPr>
          <w:rFonts w:ascii="Times New Roman" w:eastAsia="Times New Roman" w:hAnsi="Times New Roman" w:cs="Times New Roman"/>
        </w:rPr>
        <w:t>at 63,386.</w:t>
      </w:r>
    </w:p>
  </w:footnote>
  <w:footnote w:id="3">
    <w:p w14:paraId="292FAA3A" w14:textId="77777777" w:rsidR="00183434" w:rsidRPr="00663C60" w:rsidRDefault="00183434" w:rsidP="00183434">
      <w:pPr>
        <w:pStyle w:val="FootnoteText"/>
        <w:rPr>
          <w:rFonts w:ascii="Times New Roman" w:hAnsi="Times New Roman" w:cs="Times New Roman"/>
        </w:rPr>
      </w:pPr>
      <w:r w:rsidRPr="00663C60">
        <w:rPr>
          <w:rStyle w:val="FootnoteReference"/>
          <w:rFonts w:ascii="Times New Roman" w:hAnsi="Times New Roman" w:cs="Times New Roman"/>
        </w:rPr>
        <w:footnoteRef/>
      </w:r>
      <w:r w:rsidRPr="00663C60">
        <w:rPr>
          <w:rFonts w:ascii="Times New Roman" w:hAnsi="Times New Roman" w:cs="Times New Roman"/>
        </w:rPr>
        <w:t xml:space="preserve"> </w:t>
      </w:r>
      <w:r w:rsidRPr="00663C60">
        <w:rPr>
          <w:rFonts w:ascii="Times New Roman" w:hAnsi="Times New Roman" w:cs="Times New Roman"/>
          <w:i/>
        </w:rPr>
        <w:t>Id</w:t>
      </w:r>
      <w:r w:rsidRPr="00663C60">
        <w:rPr>
          <w:rFonts w:ascii="Times New Roman" w:hAnsi="Times New Roman" w:cs="Times New Roman"/>
          <w:iCs/>
        </w:rPr>
        <w:t>. at</w:t>
      </w:r>
      <w:r w:rsidRPr="00663C60">
        <w:rPr>
          <w:rFonts w:ascii="Times New Roman" w:hAnsi="Times New Roman" w:cs="Times New Roman"/>
        </w:rPr>
        <w:t xml:space="preserve"> 63,384-85.</w:t>
      </w:r>
    </w:p>
  </w:footnote>
  <w:footnote w:id="4">
    <w:p w14:paraId="2A453004" w14:textId="512C4314" w:rsidR="003A4641" w:rsidRDefault="003A4641">
      <w:pPr>
        <w:pStyle w:val="FootnoteText"/>
      </w:pPr>
      <w:r>
        <w:rPr>
          <w:rStyle w:val="FootnoteReference"/>
        </w:rPr>
        <w:footnoteRef/>
      </w:r>
      <w:r>
        <w:t xml:space="preserve"> </w:t>
      </w:r>
      <w:r w:rsidRPr="00C91D5F">
        <w:rPr>
          <w:rFonts w:ascii="Times New Roman" w:hAnsi="Times New Roman" w:cs="Times New Roman"/>
        </w:rPr>
        <w:t>87 Fed. Reg. 63.38</w:t>
      </w:r>
      <w:r w:rsidR="00FC0084">
        <w:rPr>
          <w:rFonts w:ascii="Times New Roman" w:hAnsi="Times New Roman" w:cs="Times New Roman"/>
        </w:rPr>
        <w:t>6.</w:t>
      </w:r>
    </w:p>
  </w:footnote>
  <w:footnote w:id="5">
    <w:p w14:paraId="012E8CE5" w14:textId="77777777" w:rsidR="00183434" w:rsidRDefault="00183434" w:rsidP="00183434">
      <w:pPr>
        <w:pStyle w:val="FootnoteText"/>
      </w:pPr>
      <w:r w:rsidRPr="00663C60">
        <w:rPr>
          <w:rStyle w:val="FootnoteReference"/>
          <w:rFonts w:ascii="Times New Roman" w:hAnsi="Times New Roman" w:cs="Times New Roman"/>
        </w:rPr>
        <w:footnoteRef/>
      </w:r>
      <w:r w:rsidRPr="00663C60">
        <w:rPr>
          <w:rFonts w:ascii="Times New Roman" w:hAnsi="Times New Roman" w:cs="Times New Roman"/>
        </w:rPr>
        <w:t xml:space="preserve"> </w:t>
      </w:r>
      <w:r w:rsidRPr="00663C60">
        <w:rPr>
          <w:rFonts w:ascii="Times New Roman" w:hAnsi="Times New Roman" w:cs="Times New Roman"/>
          <w:i/>
          <w:iCs/>
        </w:rPr>
        <w:t>Id</w:t>
      </w:r>
      <w:r w:rsidRPr="00663C60">
        <w:rPr>
          <w:rFonts w:ascii="Times New Roman" w:hAnsi="Times New Roman" w:cs="Times New Roman"/>
        </w:rPr>
        <w:t>. at 63,386-87.</w:t>
      </w:r>
    </w:p>
  </w:footnote>
  <w:footnote w:id="6">
    <w:p w14:paraId="4B9B0C2E" w14:textId="77777777" w:rsidR="002E1384" w:rsidRPr="00062688" w:rsidRDefault="002E1384" w:rsidP="002E1384">
      <w:pPr>
        <w:pStyle w:val="FootnoteText"/>
        <w:rPr>
          <w:rFonts w:ascii="Times New Roman" w:hAnsi="Times New Roman" w:cs="Times New Roman"/>
        </w:rPr>
      </w:pPr>
      <w:r w:rsidRPr="00062688">
        <w:rPr>
          <w:rStyle w:val="FootnoteReference"/>
          <w:rFonts w:ascii="Times New Roman" w:hAnsi="Times New Roman" w:cs="Times New Roman"/>
        </w:rPr>
        <w:footnoteRef/>
      </w:r>
      <w:r w:rsidRPr="00062688">
        <w:rPr>
          <w:rFonts w:ascii="Times New Roman" w:hAnsi="Times New Roman" w:cs="Times New Roman"/>
        </w:rPr>
        <w:t xml:space="preserve"> </w:t>
      </w:r>
      <w:r w:rsidRPr="00F70F65">
        <w:rPr>
          <w:rFonts w:ascii="Times New Roman" w:hAnsi="Times New Roman" w:cs="Times New Roman"/>
          <w:i/>
          <w:iCs/>
        </w:rPr>
        <w:t>See, e.g.</w:t>
      </w:r>
      <w:r w:rsidRPr="00062688">
        <w:rPr>
          <w:rFonts w:ascii="Times New Roman" w:hAnsi="Times New Roman" w:cs="Times New Roman"/>
        </w:rPr>
        <w:t>, S. 173 and H.R. 577, as introduced in the 117</w:t>
      </w:r>
      <w:r w:rsidRPr="00062688">
        <w:rPr>
          <w:rFonts w:ascii="Times New Roman" w:hAnsi="Times New Roman" w:cs="Times New Roman"/>
          <w:vertAlign w:val="superscript"/>
        </w:rPr>
        <w:t>th</w:t>
      </w:r>
      <w:r w:rsidRPr="00062688">
        <w:rPr>
          <w:rFonts w:ascii="Times New Roman" w:hAnsi="Times New Roman" w:cs="Times New Roman"/>
        </w:rPr>
        <w:t xml:space="preserve"> Congress.</w:t>
      </w:r>
    </w:p>
  </w:footnote>
  <w:footnote w:id="7">
    <w:p w14:paraId="162F2531" w14:textId="77777777" w:rsidR="002E1384" w:rsidRPr="002D1430" w:rsidRDefault="002E1384" w:rsidP="002E1384">
      <w:pPr>
        <w:pStyle w:val="FootnoteText"/>
        <w:rPr>
          <w:rFonts w:ascii="Times New Roman" w:hAnsi="Times New Roman" w:cs="Times New Roman"/>
        </w:rPr>
      </w:pPr>
      <w:r w:rsidRPr="002D1430">
        <w:rPr>
          <w:rStyle w:val="FootnoteReference"/>
          <w:rFonts w:ascii="Times New Roman" w:hAnsi="Times New Roman" w:cs="Times New Roman"/>
        </w:rPr>
        <w:footnoteRef/>
      </w:r>
      <w:r w:rsidRPr="002D1430">
        <w:rPr>
          <w:rFonts w:ascii="Times New Roman" w:hAnsi="Times New Roman" w:cs="Times New Roman"/>
        </w:rPr>
        <w:t xml:space="preserve"> S. 764 and H.R. 1728.  The bill has passed the House of Representatives numerous times and has been favorably reported with bipartisan support from the Senate Energy and natural Resources Committee.</w:t>
      </w:r>
    </w:p>
  </w:footnote>
  <w:footnote w:id="8">
    <w:p w14:paraId="29B29288" w14:textId="77777777" w:rsidR="002E1384" w:rsidRPr="00F70F65" w:rsidRDefault="002E1384" w:rsidP="002E1384">
      <w:pPr>
        <w:pStyle w:val="FootnoteText"/>
        <w:rPr>
          <w:rFonts w:ascii="Times New Roman" w:hAnsi="Times New Roman" w:cs="Times New Roman"/>
        </w:rPr>
      </w:pPr>
      <w:r w:rsidRPr="00F70F65">
        <w:rPr>
          <w:rStyle w:val="FootnoteReference"/>
          <w:rFonts w:ascii="Times New Roman" w:hAnsi="Times New Roman" w:cs="Times New Roman"/>
        </w:rPr>
        <w:footnoteRef/>
      </w:r>
      <w:r w:rsidRPr="00F70F65">
        <w:rPr>
          <w:rFonts w:ascii="Times New Roman" w:hAnsi="Times New Roman" w:cs="Times New Roman"/>
        </w:rPr>
        <w:t xml:space="preserve"> </w:t>
      </w:r>
      <w:r w:rsidRPr="00F70F65">
        <w:rPr>
          <w:rFonts w:ascii="Times New Roman" w:hAnsi="Times New Roman" w:cs="Times New Roman"/>
          <w:i/>
          <w:iCs/>
        </w:rPr>
        <w:t>See</w:t>
      </w:r>
      <w:r w:rsidRPr="00F70F65">
        <w:rPr>
          <w:rFonts w:ascii="Times New Roman" w:hAnsi="Times New Roman" w:cs="Times New Roman"/>
        </w:rPr>
        <w:t xml:space="preserve"> </w:t>
      </w:r>
      <w:r>
        <w:rPr>
          <w:rFonts w:ascii="Times New Roman" w:hAnsi="Times New Roman" w:cs="Times New Roman"/>
        </w:rPr>
        <w:t xml:space="preserve">the sampling of support letters compiled at: </w:t>
      </w:r>
      <w:hyperlink r:id="rId1" w:history="1">
        <w:r w:rsidRPr="00C744E2">
          <w:rPr>
            <w:rStyle w:val="Hyperlink"/>
            <w:rFonts w:ascii="Times New Roman" w:hAnsi="Times New Roman" w:cs="Times New Roman"/>
          </w:rPr>
          <w:t>https://www.bennet.senate.gov/wp-content/uploads/2024/10/E10D7455F6BC9450AD5715EDB9E7673677C6CA80895ACB511298C353CA652425.core-support-letters-october.pdf</w:t>
        </w:r>
      </w:hyperlink>
      <w:r>
        <w:rPr>
          <w:rFonts w:ascii="Times New Roman" w:hAnsi="Times New Roman" w:cs="Times New Roman"/>
        </w:rPr>
        <w:t xml:space="preserve">. </w:t>
      </w:r>
    </w:p>
  </w:footnote>
  <w:footnote w:id="9">
    <w:p w14:paraId="42AC3B0E" w14:textId="77777777" w:rsidR="002E1384" w:rsidRPr="002D1430" w:rsidRDefault="002E1384" w:rsidP="002E1384">
      <w:pPr>
        <w:pStyle w:val="FootnoteText"/>
        <w:rPr>
          <w:rFonts w:ascii="Times New Roman" w:hAnsi="Times New Roman" w:cs="Times New Roman"/>
        </w:rPr>
      </w:pPr>
      <w:r w:rsidRPr="002D1430">
        <w:rPr>
          <w:rStyle w:val="FootnoteReference"/>
          <w:rFonts w:ascii="Times New Roman" w:hAnsi="Times New Roman" w:cs="Times New Roman"/>
        </w:rPr>
        <w:footnoteRef/>
      </w:r>
      <w:r w:rsidRPr="002D1430">
        <w:rPr>
          <w:rFonts w:ascii="Times New Roman" w:hAnsi="Times New Roman" w:cs="Times New Roman"/>
        </w:rPr>
        <w:t xml:space="preserve"> </w:t>
      </w:r>
      <w:hyperlink r:id="rId2" w:history="1">
        <w:r w:rsidRPr="00F70F65">
          <w:rPr>
            <w:rStyle w:val="Hyperlink"/>
            <w:rFonts w:ascii="Times New Roman" w:hAnsi="Times New Roman" w:cs="Times New Roman"/>
            <w:i/>
            <w:iCs/>
          </w:rPr>
          <w:t>See</w:t>
        </w:r>
      </w:hyperlink>
      <w:r w:rsidRPr="002D1430">
        <w:rPr>
          <w:rFonts w:ascii="Times New Roman" w:hAnsi="Times New Roman" w:cs="Times New Roman"/>
        </w:rPr>
        <w:t xml:space="preserve"> Testimony of Chris French, Deputy Chief, United States Department of Agriculture, Forest Service Before the United States Senate Committee on Energy and Natural Resources, Subcommittee on Public Lands, Forests, and Mining, July 12, 2023 (“USDA supports S.1634, the CORE Act”</w:t>
      </w:r>
      <w:r>
        <w:rPr>
          <w:rFonts w:ascii="Times New Roman" w:hAnsi="Times New Roman" w:cs="Times New Roman"/>
        </w:rPr>
        <w:t>).</w:t>
      </w:r>
    </w:p>
  </w:footnote>
  <w:footnote w:id="10">
    <w:p w14:paraId="64626525" w14:textId="77777777" w:rsidR="002E1384" w:rsidRPr="00F70F65" w:rsidRDefault="002E1384" w:rsidP="002E1384">
      <w:pPr>
        <w:pStyle w:val="FootnoteText"/>
        <w:rPr>
          <w:rFonts w:ascii="Times New Roman" w:hAnsi="Times New Roman" w:cs="Times New Roman"/>
        </w:rPr>
      </w:pPr>
      <w:r w:rsidRPr="00F70F65">
        <w:rPr>
          <w:rStyle w:val="FootnoteReference"/>
          <w:rFonts w:ascii="Times New Roman" w:hAnsi="Times New Roman" w:cs="Times New Roman"/>
        </w:rPr>
        <w:footnoteRef/>
      </w:r>
      <w:r w:rsidRPr="00F70F65">
        <w:rPr>
          <w:rFonts w:ascii="Times New Roman" w:hAnsi="Times New Roman" w:cs="Times New Roman"/>
        </w:rPr>
        <w:t xml:space="preserve"> A map of the proposed Tenmile Wilderness can be found at: </w:t>
      </w:r>
      <w:hyperlink r:id="rId3" w:history="1">
        <w:r w:rsidRPr="00F70F65">
          <w:rPr>
            <w:rStyle w:val="Hyperlink"/>
            <w:rFonts w:ascii="Times New Roman" w:hAnsi="Times New Roman" w:cs="Times New Roman"/>
          </w:rPr>
          <w:t>https://www.bennet.senate.gov/wp-content/uploads/2025/02/ContinentalDivide_01_LegislativeMap_POR-34x22_2025Feb26.pdf</w:t>
        </w:r>
      </w:hyperlink>
      <w:r w:rsidRPr="00F70F65">
        <w:rPr>
          <w:rFonts w:ascii="Times New Roman" w:hAnsi="Times New Roman" w:cs="Times New Roman"/>
        </w:rPr>
        <w:t xml:space="preserve">. </w:t>
      </w:r>
    </w:p>
  </w:footnote>
  <w:footnote w:id="11">
    <w:p w14:paraId="7B540409" w14:textId="606D03B4" w:rsidR="000249F3" w:rsidRPr="00672601" w:rsidRDefault="000249F3">
      <w:pPr>
        <w:pStyle w:val="FootnoteText"/>
        <w:rPr>
          <w:rFonts w:ascii="Times New Roman" w:hAnsi="Times New Roman" w:cs="Times New Roman"/>
        </w:rPr>
      </w:pPr>
      <w:r w:rsidRPr="00672601">
        <w:rPr>
          <w:rStyle w:val="FootnoteReference"/>
          <w:rFonts w:ascii="Times New Roman" w:hAnsi="Times New Roman" w:cs="Times New Roman"/>
        </w:rPr>
        <w:footnoteRef/>
      </w:r>
      <w:r w:rsidRPr="00672601">
        <w:rPr>
          <w:rFonts w:ascii="Times New Roman" w:hAnsi="Times New Roman" w:cs="Times New Roman"/>
        </w:rPr>
        <w:t xml:space="preserve"> 7 C.F.R. § 1.b.</w:t>
      </w:r>
      <w:r w:rsidR="007C23BA" w:rsidRPr="00672601">
        <w:rPr>
          <w:rFonts w:ascii="Times New Roman" w:hAnsi="Times New Roman" w:cs="Times New Roman"/>
        </w:rPr>
        <w:t>3.(</w:t>
      </w:r>
      <w:r w:rsidR="00C57DB5" w:rsidRPr="00672601">
        <w:rPr>
          <w:rFonts w:ascii="Times New Roman" w:hAnsi="Times New Roman" w:cs="Times New Roman"/>
        </w:rPr>
        <w:t>e</w:t>
      </w:r>
      <w:r w:rsidR="007C23BA" w:rsidRPr="00672601">
        <w:rPr>
          <w:rFonts w:ascii="Times New Roman" w:hAnsi="Times New Roman" w:cs="Times New Roman"/>
        </w:rPr>
        <w:t>)</w:t>
      </w:r>
      <w:r w:rsidR="00C57DB5" w:rsidRPr="00672601">
        <w:rPr>
          <w:rFonts w:ascii="Times New Roman" w:hAnsi="Times New Roman" w:cs="Times New Roman"/>
        </w:rPr>
        <w:t>.</w:t>
      </w:r>
    </w:p>
  </w:footnote>
  <w:footnote w:id="12">
    <w:p w14:paraId="6BF7D980" w14:textId="4C8F8BA8" w:rsidR="004F5110" w:rsidRPr="00672601" w:rsidRDefault="004F5110">
      <w:pPr>
        <w:pStyle w:val="FootnoteText"/>
        <w:rPr>
          <w:rFonts w:ascii="Times New Roman" w:hAnsi="Times New Roman" w:cs="Times New Roman"/>
        </w:rPr>
      </w:pPr>
      <w:r w:rsidRPr="00672601">
        <w:rPr>
          <w:rStyle w:val="FootnoteReference"/>
          <w:rFonts w:ascii="Times New Roman" w:hAnsi="Times New Roman" w:cs="Times New Roman"/>
        </w:rPr>
        <w:footnoteRef/>
      </w:r>
      <w:r w:rsidRPr="00672601">
        <w:rPr>
          <w:rFonts w:ascii="Times New Roman" w:hAnsi="Times New Roman" w:cs="Times New Roman"/>
        </w:rPr>
        <w:t xml:space="preserve"> 7 C.F.R. § 1.b.</w:t>
      </w:r>
      <w:r w:rsidR="009452A5" w:rsidRPr="00672601">
        <w:rPr>
          <w:rFonts w:ascii="Times New Roman" w:hAnsi="Times New Roman" w:cs="Times New Roman"/>
        </w:rPr>
        <w:t>3.(</w:t>
      </w:r>
      <w:r w:rsidR="00C57DB5" w:rsidRPr="00672601">
        <w:rPr>
          <w:rFonts w:ascii="Times New Roman" w:hAnsi="Times New Roman" w:cs="Times New Roman"/>
        </w:rPr>
        <w:t>f</w:t>
      </w:r>
      <w:r w:rsidR="009452A5" w:rsidRPr="00672601">
        <w:rPr>
          <w:rFonts w:ascii="Times New Roman" w:hAnsi="Times New Roman" w:cs="Times New Roman"/>
        </w:rPr>
        <w:t>)</w:t>
      </w:r>
      <w:r w:rsidR="00C57DB5" w:rsidRPr="00672601">
        <w:rPr>
          <w:rFonts w:ascii="Times New Roman" w:hAnsi="Times New Roman" w:cs="Times New Roman"/>
        </w:rPr>
        <w:t>.</w:t>
      </w:r>
    </w:p>
  </w:footnote>
  <w:footnote w:id="13">
    <w:p w14:paraId="6F42B6A8" w14:textId="6F8D157A" w:rsidR="00293A64" w:rsidRPr="00672601" w:rsidRDefault="00C57DB5">
      <w:pPr>
        <w:pStyle w:val="FootnoteText"/>
        <w:rPr>
          <w:rFonts w:ascii="Times New Roman" w:hAnsi="Times New Roman" w:cs="Times New Roman"/>
        </w:rPr>
      </w:pPr>
      <w:r w:rsidRPr="00672601">
        <w:rPr>
          <w:rStyle w:val="FootnoteReference"/>
          <w:rFonts w:ascii="Times New Roman" w:hAnsi="Times New Roman" w:cs="Times New Roman"/>
        </w:rPr>
        <w:footnoteRef/>
      </w:r>
      <w:r w:rsidRPr="00672601">
        <w:rPr>
          <w:rFonts w:ascii="Times New Roman" w:hAnsi="Times New Roman" w:cs="Times New Roman"/>
        </w:rPr>
        <w:t xml:space="preserve"> </w:t>
      </w:r>
      <w:r w:rsidRPr="00672601">
        <w:rPr>
          <w:rFonts w:ascii="Times New Roman" w:hAnsi="Times New Roman" w:cs="Times New Roman"/>
          <w:i/>
          <w:iCs/>
        </w:rPr>
        <w:t>Id.</w:t>
      </w:r>
    </w:p>
  </w:footnote>
  <w:footnote w:id="14">
    <w:p w14:paraId="01A5C054" w14:textId="18222B69" w:rsidR="00293A64" w:rsidRDefault="00293A64">
      <w:pPr>
        <w:pStyle w:val="FootnoteText"/>
      </w:pPr>
      <w:r w:rsidRPr="00672601">
        <w:rPr>
          <w:rStyle w:val="FootnoteReference"/>
          <w:rFonts w:ascii="Times New Roman" w:hAnsi="Times New Roman" w:cs="Times New Roman"/>
        </w:rPr>
        <w:footnoteRef/>
      </w:r>
      <w:r w:rsidRPr="00672601">
        <w:rPr>
          <w:rFonts w:ascii="Times New Roman" w:hAnsi="Times New Roman" w:cs="Times New Roman"/>
        </w:rPr>
        <w:t xml:space="preserve"> 54 U.S. Code § 320301</w:t>
      </w:r>
      <w:r w:rsidR="00672601" w:rsidRPr="00672601">
        <w:rPr>
          <w:rFonts w:ascii="Times New Roman" w:hAnsi="Times New Roman" w:cs="Times New Roman"/>
        </w:rPr>
        <w: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8497" w14:textId="77777777" w:rsidR="00265B6E" w:rsidRDefault="00265B6E" w:rsidP="00D53F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8499" w14:textId="1F0C8424" w:rsidR="00265B6E" w:rsidRDefault="00732CE5" w:rsidP="00732CE5">
    <w:pPr>
      <w:pStyle w:val="Header"/>
      <w:jc w:val="center"/>
    </w:pPr>
    <w:r>
      <w:rPr>
        <w:noProof/>
      </w:rPr>
      <w:drawing>
        <wp:inline distT="0" distB="0" distL="0" distR="0" wp14:anchorId="3E3621FC" wp14:editId="34D201F1">
          <wp:extent cx="2243497" cy="742509"/>
          <wp:effectExtent l="0" t="0" r="0" b="0"/>
          <wp:docPr id="476406983" name="drawing"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06983" name="drawing" descr="A blue logo with text&#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2243497" cy="7425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50">
      <o:colormru v:ext="edit" colors="#00548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14D"/>
    <w:rsid w:val="000249F3"/>
    <w:rsid w:val="00026AC8"/>
    <w:rsid w:val="000411FB"/>
    <w:rsid w:val="00074A26"/>
    <w:rsid w:val="00075CB8"/>
    <w:rsid w:val="000856DE"/>
    <w:rsid w:val="000D4E57"/>
    <w:rsid w:val="000E4996"/>
    <w:rsid w:val="000F49FD"/>
    <w:rsid w:val="00101055"/>
    <w:rsid w:val="00121105"/>
    <w:rsid w:val="00141001"/>
    <w:rsid w:val="001430B8"/>
    <w:rsid w:val="00154CE2"/>
    <w:rsid w:val="001676A9"/>
    <w:rsid w:val="00174C7A"/>
    <w:rsid w:val="00183434"/>
    <w:rsid w:val="001A61DA"/>
    <w:rsid w:val="001B05FB"/>
    <w:rsid w:val="001B1A9A"/>
    <w:rsid w:val="00203A11"/>
    <w:rsid w:val="002428EF"/>
    <w:rsid w:val="00245A22"/>
    <w:rsid w:val="002519DA"/>
    <w:rsid w:val="00265B6E"/>
    <w:rsid w:val="00267BF5"/>
    <w:rsid w:val="002767F6"/>
    <w:rsid w:val="00292DFC"/>
    <w:rsid w:val="00293A64"/>
    <w:rsid w:val="002B66B6"/>
    <w:rsid w:val="002D2A1F"/>
    <w:rsid w:val="002E1384"/>
    <w:rsid w:val="002F3343"/>
    <w:rsid w:val="00303994"/>
    <w:rsid w:val="00307789"/>
    <w:rsid w:val="0032253B"/>
    <w:rsid w:val="00324692"/>
    <w:rsid w:val="00341D91"/>
    <w:rsid w:val="00357773"/>
    <w:rsid w:val="003754FE"/>
    <w:rsid w:val="00375767"/>
    <w:rsid w:val="00380A82"/>
    <w:rsid w:val="003A4239"/>
    <w:rsid w:val="003A4641"/>
    <w:rsid w:val="003A4902"/>
    <w:rsid w:val="003A5A99"/>
    <w:rsid w:val="003A64AB"/>
    <w:rsid w:val="003C7985"/>
    <w:rsid w:val="003D017D"/>
    <w:rsid w:val="003D3D60"/>
    <w:rsid w:val="003D5EB4"/>
    <w:rsid w:val="00423D7D"/>
    <w:rsid w:val="00426136"/>
    <w:rsid w:val="00493AC7"/>
    <w:rsid w:val="004A627A"/>
    <w:rsid w:val="004B1063"/>
    <w:rsid w:val="004F267C"/>
    <w:rsid w:val="004F3E18"/>
    <w:rsid w:val="004F43A7"/>
    <w:rsid w:val="004F5110"/>
    <w:rsid w:val="0051278C"/>
    <w:rsid w:val="00514F84"/>
    <w:rsid w:val="00531215"/>
    <w:rsid w:val="00535776"/>
    <w:rsid w:val="00594E1F"/>
    <w:rsid w:val="005964DD"/>
    <w:rsid w:val="005A1166"/>
    <w:rsid w:val="005D06DA"/>
    <w:rsid w:val="005D49AD"/>
    <w:rsid w:val="005E4FED"/>
    <w:rsid w:val="0061714D"/>
    <w:rsid w:val="00653D33"/>
    <w:rsid w:val="0065413D"/>
    <w:rsid w:val="00655176"/>
    <w:rsid w:val="00672601"/>
    <w:rsid w:val="0067285E"/>
    <w:rsid w:val="00682F40"/>
    <w:rsid w:val="006874D5"/>
    <w:rsid w:val="00692A0A"/>
    <w:rsid w:val="006A01C8"/>
    <w:rsid w:val="006A7CD1"/>
    <w:rsid w:val="006C7097"/>
    <w:rsid w:val="006D2ABA"/>
    <w:rsid w:val="006D49B2"/>
    <w:rsid w:val="006E74CD"/>
    <w:rsid w:val="006F779B"/>
    <w:rsid w:val="00732818"/>
    <w:rsid w:val="00732CE5"/>
    <w:rsid w:val="007361B2"/>
    <w:rsid w:val="00740C8B"/>
    <w:rsid w:val="0074203C"/>
    <w:rsid w:val="00755450"/>
    <w:rsid w:val="007671B3"/>
    <w:rsid w:val="0079517C"/>
    <w:rsid w:val="00796625"/>
    <w:rsid w:val="007B3C11"/>
    <w:rsid w:val="007C23BA"/>
    <w:rsid w:val="007E70F9"/>
    <w:rsid w:val="007F4617"/>
    <w:rsid w:val="008408BB"/>
    <w:rsid w:val="0084230A"/>
    <w:rsid w:val="0086190A"/>
    <w:rsid w:val="00884E96"/>
    <w:rsid w:val="008B4120"/>
    <w:rsid w:val="008D3FA5"/>
    <w:rsid w:val="008D73C8"/>
    <w:rsid w:val="00936902"/>
    <w:rsid w:val="009452A5"/>
    <w:rsid w:val="00951821"/>
    <w:rsid w:val="00955CBB"/>
    <w:rsid w:val="00974D04"/>
    <w:rsid w:val="00996A5B"/>
    <w:rsid w:val="009B1DBA"/>
    <w:rsid w:val="009B3186"/>
    <w:rsid w:val="009B3256"/>
    <w:rsid w:val="009B53BA"/>
    <w:rsid w:val="009C4A56"/>
    <w:rsid w:val="009C6342"/>
    <w:rsid w:val="009E0C1F"/>
    <w:rsid w:val="00A14455"/>
    <w:rsid w:val="00A46497"/>
    <w:rsid w:val="00A64EE9"/>
    <w:rsid w:val="00A6562D"/>
    <w:rsid w:val="00A724CF"/>
    <w:rsid w:val="00A73726"/>
    <w:rsid w:val="00A976A3"/>
    <w:rsid w:val="00AA1669"/>
    <w:rsid w:val="00AA25FF"/>
    <w:rsid w:val="00AB42AE"/>
    <w:rsid w:val="00B047A8"/>
    <w:rsid w:val="00B21900"/>
    <w:rsid w:val="00B32815"/>
    <w:rsid w:val="00B37706"/>
    <w:rsid w:val="00B649CE"/>
    <w:rsid w:val="00BE0214"/>
    <w:rsid w:val="00BE507F"/>
    <w:rsid w:val="00C111B2"/>
    <w:rsid w:val="00C42064"/>
    <w:rsid w:val="00C57DB5"/>
    <w:rsid w:val="00C863A6"/>
    <w:rsid w:val="00CC4CD4"/>
    <w:rsid w:val="00D03898"/>
    <w:rsid w:val="00D15CD8"/>
    <w:rsid w:val="00D30ED9"/>
    <w:rsid w:val="00D312F1"/>
    <w:rsid w:val="00D36AF8"/>
    <w:rsid w:val="00D376DE"/>
    <w:rsid w:val="00D53F86"/>
    <w:rsid w:val="00D71C1E"/>
    <w:rsid w:val="00D7259F"/>
    <w:rsid w:val="00DA6A39"/>
    <w:rsid w:val="00DC5D9B"/>
    <w:rsid w:val="00E1723F"/>
    <w:rsid w:val="00E22DBA"/>
    <w:rsid w:val="00E23F69"/>
    <w:rsid w:val="00E5477C"/>
    <w:rsid w:val="00E77EA8"/>
    <w:rsid w:val="00ED415F"/>
    <w:rsid w:val="00ED7272"/>
    <w:rsid w:val="00EE7046"/>
    <w:rsid w:val="00EF3B95"/>
    <w:rsid w:val="00F20980"/>
    <w:rsid w:val="00F326E6"/>
    <w:rsid w:val="00F37B2B"/>
    <w:rsid w:val="00F830E5"/>
    <w:rsid w:val="00F947F1"/>
    <w:rsid w:val="00FB23D0"/>
    <w:rsid w:val="00FC0084"/>
    <w:rsid w:val="00FE2388"/>
    <w:rsid w:val="00FE322E"/>
    <w:rsid w:val="04C7878B"/>
    <w:rsid w:val="06C95207"/>
    <w:rsid w:val="2F56C219"/>
    <w:rsid w:val="4661BB8B"/>
    <w:rsid w:val="54B777D1"/>
    <w:rsid w:val="634D6D71"/>
    <w:rsid w:val="63E934C3"/>
    <w:rsid w:val="75A1FC32"/>
    <w:rsid w:val="7AA45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480"/>
    </o:shapedefaults>
    <o:shapelayout v:ext="edit">
      <o:idmap v:ext="edit" data="2"/>
    </o:shapelayout>
  </w:shapeDefaults>
  <w:doNotEmbedSmartTags/>
  <w:decimalSymbol w:val="."/>
  <w:listSeparator w:val=","/>
  <w14:docId w14:val="08D98486"/>
  <w15:docId w15:val="{A0E49181-F723-4BC1-ADEB-D1197074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WS_Letterhead"/>
    <w:qFormat/>
    <w:rsid w:val="00130BD2"/>
    <w:rPr>
      <w:rFonts w:ascii="Verdana" w:hAnsi="Verdana"/>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0BD2"/>
    <w:pPr>
      <w:tabs>
        <w:tab w:val="center" w:pos="4320"/>
        <w:tab w:val="right" w:pos="8640"/>
      </w:tabs>
    </w:pPr>
  </w:style>
  <w:style w:type="paragraph" w:styleId="Footer">
    <w:name w:val="footer"/>
    <w:basedOn w:val="Normal"/>
    <w:link w:val="FooterChar"/>
    <w:uiPriority w:val="99"/>
    <w:unhideWhenUsed/>
    <w:rsid w:val="002B66B6"/>
    <w:pPr>
      <w:tabs>
        <w:tab w:val="center" w:pos="4680"/>
        <w:tab w:val="right" w:pos="9360"/>
      </w:tabs>
    </w:pPr>
  </w:style>
  <w:style w:type="paragraph" w:styleId="NormalWeb">
    <w:name w:val="Normal (Web)"/>
    <w:basedOn w:val="Normal"/>
    <w:uiPriority w:val="99"/>
    <w:semiHidden/>
    <w:unhideWhenUsed/>
    <w:rsid w:val="00AB42AE"/>
    <w:pPr>
      <w:spacing w:before="100" w:beforeAutospacing="1" w:after="100" w:afterAutospacing="1"/>
    </w:pPr>
    <w:rPr>
      <w:rFonts w:ascii="Calibri" w:eastAsiaTheme="minorHAnsi" w:hAnsi="Calibri" w:cs="Calibri"/>
      <w:sz w:val="22"/>
      <w:szCs w:val="22"/>
    </w:rPr>
  </w:style>
  <w:style w:type="paragraph" w:styleId="NoSpacing">
    <w:name w:val="No Spacing"/>
    <w:basedOn w:val="Normal"/>
    <w:uiPriority w:val="1"/>
    <w:qFormat/>
    <w:rsid w:val="00AB42AE"/>
    <w:rPr>
      <w:rFonts w:ascii="Times New Roman" w:eastAsiaTheme="minorHAnsi" w:hAnsi="Times New Roman"/>
      <w:sz w:val="24"/>
    </w:rPr>
  </w:style>
  <w:style w:type="paragraph" w:styleId="FootnoteText">
    <w:name w:val="footnote text"/>
    <w:basedOn w:val="Normal"/>
    <w:link w:val="FootnoteTextChar"/>
    <w:uiPriority w:val="99"/>
    <w:unhideWhenUsed/>
    <w:rsid w:val="00183434"/>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183434"/>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183434"/>
    <w:rPr>
      <w:vertAlign w:val="superscript"/>
    </w:rPr>
  </w:style>
  <w:style w:type="character" w:styleId="Hyperlink">
    <w:name w:val="Hyperlink"/>
    <w:basedOn w:val="DefaultParagraphFont"/>
    <w:uiPriority w:val="99"/>
    <w:unhideWhenUsed/>
    <w:rsid w:val="00183434"/>
    <w:rPr>
      <w:color w:val="0000FF" w:themeColor="hyperlink"/>
      <w:u w:val="single"/>
    </w:rPr>
  </w:style>
  <w:style w:type="character" w:styleId="UnresolvedMention">
    <w:name w:val="Unresolved Mention"/>
    <w:basedOn w:val="DefaultParagraphFont"/>
    <w:uiPriority w:val="99"/>
    <w:semiHidden/>
    <w:unhideWhenUsed/>
    <w:rsid w:val="00A14455"/>
    <w:rPr>
      <w:color w:val="605E5C"/>
      <w:shd w:val="clear" w:color="auto" w:fill="E1DFDD"/>
    </w:rPr>
  </w:style>
  <w:style w:type="character" w:customStyle="1" w:styleId="FooterChar">
    <w:name w:val="Footer Char"/>
    <w:basedOn w:val="DefaultParagraphFont"/>
    <w:link w:val="Footer"/>
    <w:uiPriority w:val="99"/>
    <w:rsid w:val="002B66B6"/>
    <w:rPr>
      <w:rFonts w:ascii="Verdana" w:hAnsi="Verdana"/>
      <w:sz w:val="18"/>
      <w:szCs w:val="24"/>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Verdana" w:hAnsi="Verdana"/>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ennet.senate.gov/wp-content/uploads/2025/02/ContinentalDivide_01_LegislativeMap_POR-34x22_2025Feb26.pdf" TargetMode="External"/><Relationship Id="rId2" Type="http://schemas.openxmlformats.org/officeDocument/2006/relationships/hyperlink" Target="https://www.fs.usda.gov/sites/default/files/fs_media/fs_document/20230712-senr-testimony-chris-french.pdf" TargetMode="External"/><Relationship Id="rId1" Type="http://schemas.openxmlformats.org/officeDocument/2006/relationships/hyperlink" Target="https://www.bennet.senate.gov/wp-content/uploads/2024/10/E10D7455F6BC9450AD5715EDB9E7673677C6CA80895ACB511298C353CA652425.core-support-letters-octob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42AE4FAD2C5489680D4E77D9D3645" ma:contentTypeVersion="1" ma:contentTypeDescription="Create a new document." ma:contentTypeScope="" ma:versionID="e7663025eb347d79a7cce6ff40cfd6b3">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8FE192-B82A-4232-BCE0-7B8BB033AFBF}">
  <ds:schemaRefs>
    <ds:schemaRef ds:uri="http://schemas.openxmlformats.org/officeDocument/2006/bibliography"/>
  </ds:schemaRefs>
</ds:datastoreItem>
</file>

<file path=customXml/itemProps2.xml><?xml version="1.0" encoding="utf-8"?>
<ds:datastoreItem xmlns:ds="http://schemas.openxmlformats.org/officeDocument/2006/customXml" ds:itemID="{FA2F53C4-EB9C-4117-A197-AF4AF79FD3F0}">
  <ds:schemaRefs>
    <ds:schemaRef ds:uri="http://schemas.microsoft.com/sharepoint/v3/contenttype/forms"/>
  </ds:schemaRefs>
</ds:datastoreItem>
</file>

<file path=customXml/itemProps3.xml><?xml version="1.0" encoding="utf-8"?>
<ds:datastoreItem xmlns:ds="http://schemas.openxmlformats.org/officeDocument/2006/customXml" ds:itemID="{D4718BC6-FDF0-4E0C-BA31-F88EBE735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39F8D2-433E-4F5B-AC33-9906F2633E57}">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1307</Words>
  <Characters>7456</Characters>
  <Application>Microsoft Office Word</Application>
  <DocSecurity>4</DocSecurity>
  <Lines>62</Lines>
  <Paragraphs>17</Paragraphs>
  <ScaleCrop>false</ScaleCrop>
  <Company>TWS</Company>
  <LinksUpToDate>false</LinksUpToDate>
  <CharactersWithSpaces>8746</CharactersWithSpaces>
  <SharedDoc>false</SharedDoc>
  <HLinks>
    <vt:vector size="18" baseType="variant">
      <vt:variant>
        <vt:i4>7929971</vt:i4>
      </vt:variant>
      <vt:variant>
        <vt:i4>6</vt:i4>
      </vt:variant>
      <vt:variant>
        <vt:i4>0</vt:i4>
      </vt:variant>
      <vt:variant>
        <vt:i4>5</vt:i4>
      </vt:variant>
      <vt:variant>
        <vt:lpwstr>https://www.bennet.senate.gov/wp-content/uploads/2025/02/ContinentalDivide_01_LegislativeMap_POR-34x22_2025Feb26.pdf</vt:lpwstr>
      </vt:variant>
      <vt:variant>
        <vt:lpwstr/>
      </vt:variant>
      <vt:variant>
        <vt:i4>2162790</vt:i4>
      </vt:variant>
      <vt:variant>
        <vt:i4>3</vt:i4>
      </vt:variant>
      <vt:variant>
        <vt:i4>0</vt:i4>
      </vt:variant>
      <vt:variant>
        <vt:i4>5</vt:i4>
      </vt:variant>
      <vt:variant>
        <vt:lpwstr>https://www.fs.usda.gov/sites/default/files/fs_media/fs_document/20230712-senr-testimony-chris-french.pdf</vt:lpwstr>
      </vt:variant>
      <vt:variant>
        <vt:lpwstr/>
      </vt:variant>
      <vt:variant>
        <vt:i4>6619198</vt:i4>
      </vt:variant>
      <vt:variant>
        <vt:i4>0</vt:i4>
      </vt:variant>
      <vt:variant>
        <vt:i4>0</vt:i4>
      </vt:variant>
      <vt:variant>
        <vt:i4>5</vt:i4>
      </vt:variant>
      <vt:variant>
        <vt:lpwstr>https://www.bennet.senate.gov/wp-content/uploads/2024/10/E10D7455F6BC9450AD5715EDB9E7673677C6CA80895ACB511298C353CA652425.core-support-letters-october.pdf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Schmitz</dc:creator>
  <cp:keywords/>
  <cp:lastModifiedBy>Scott Miller</cp:lastModifiedBy>
  <cp:revision>99</cp:revision>
  <cp:lastPrinted>2008-09-22T21:44:00Z</cp:lastPrinted>
  <dcterms:created xsi:type="dcterms:W3CDTF">2025-09-12T02:15:00Z</dcterms:created>
  <dcterms:modified xsi:type="dcterms:W3CDTF">2025-09-15T18:58:00Z</dcterms:modified>
</cp:coreProperties>
</file>