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291"/>
        <w:gridCol w:w="2009"/>
      </w:tblGrid>
      <w:tr w:rsidR="00FB6D13" w:rsidTr="0024468A">
        <w:tblPrEx>
          <w:tblCellMar>
            <w:top w:w="0" w:type="dxa"/>
            <w:bottom w:w="0" w:type="dxa"/>
          </w:tblCellMar>
        </w:tblPrEx>
        <w:trPr>
          <w:gridAfter w:val="1"/>
          <w:wAfter w:w="2009" w:type="dxa"/>
        </w:trPr>
        <w:tc>
          <w:tcPr>
            <w:tcW w:w="7291" w:type="dxa"/>
          </w:tcPr>
          <w:p w:rsidR="00FB6D13" w:rsidRDefault="00FB6D13" w:rsidP="00A16254">
            <w:pPr>
              <w:pStyle w:val="Header"/>
              <w:ind w:right="360"/>
            </w:pPr>
            <w:bookmarkStart w:id="0" w:name="_Toc48704432"/>
            <w:bookmarkStart w:id="1" w:name="_Toc59495040"/>
            <w:bookmarkStart w:id="2" w:name="_Toc59411539"/>
            <w:bookmarkStart w:id="3" w:name="_Toc58997256"/>
            <w:bookmarkStart w:id="4" w:name="_Toc58200144"/>
            <w:bookmarkStart w:id="5" w:name="_Toc58136016"/>
            <w:bookmarkStart w:id="6" w:name="_Toc58134239"/>
            <w:bookmarkStart w:id="7" w:name="_Toc58125514"/>
            <w:bookmarkStart w:id="8" w:name="_Toc53051941"/>
            <w:bookmarkStart w:id="9" w:name="_Toc53051870"/>
            <w:bookmarkStart w:id="10" w:name="_Toc51117659"/>
            <w:bookmarkStart w:id="11" w:name="_Toc51117454"/>
            <w:bookmarkStart w:id="12" w:name="_Toc51117046"/>
            <w:bookmarkStart w:id="13" w:name="_Toc51061393"/>
            <w:bookmarkStart w:id="14" w:name="_Toc51061319"/>
            <w:bookmarkStart w:id="15" w:name="_Toc51061210"/>
            <w:bookmarkStart w:id="16" w:name="_Toc51061135"/>
            <w:bookmarkStart w:id="17" w:name="_Toc51061009"/>
            <w:bookmarkStart w:id="18" w:name="_Toc51060890"/>
            <w:bookmarkStart w:id="19" w:name="_Toc51060095"/>
            <w:bookmarkStart w:id="20" w:name="_Toc114018090"/>
            <w:r>
              <w:t>WO AMENDMENT 2209.13-2005-10</w:t>
            </w:r>
          </w:p>
          <w:p w:rsidR="00FB6D13" w:rsidRDefault="00FB6D13" w:rsidP="00A16254">
            <w:pPr>
              <w:pStyle w:val="Header"/>
            </w:pPr>
            <w:r>
              <w:t>EFFECTIVE DATE:  09/09/2005</w:t>
            </w:r>
            <w:r>
              <w:tab/>
            </w:r>
          </w:p>
          <w:p w:rsidR="00FB6D13" w:rsidRDefault="00FB6D13" w:rsidP="00A16254">
            <w:pPr>
              <w:pStyle w:val="Header"/>
            </w:pPr>
            <w:r>
              <w:t>DURATION:  This amendment is effective until superseded or removed.</w:t>
            </w:r>
          </w:p>
        </w:tc>
      </w:tr>
      <w:tr w:rsidR="00FB6D13" w:rsidTr="0024468A">
        <w:tblPrEx>
          <w:tblCellMar>
            <w:top w:w="0" w:type="dxa"/>
            <w:bottom w:w="0" w:type="dxa"/>
          </w:tblCellMar>
        </w:tblPrEx>
        <w:tc>
          <w:tcPr>
            <w:tcW w:w="9300" w:type="dxa"/>
            <w:gridSpan w:val="2"/>
          </w:tcPr>
          <w:p w:rsidR="00FB6D13" w:rsidRDefault="00FB6D13" w:rsidP="00A16254">
            <w:pPr>
              <w:pStyle w:val="Header2"/>
            </w:pPr>
          </w:p>
          <w:p w:rsidR="00FB6D13" w:rsidRDefault="00FB6D13" w:rsidP="00A16254">
            <w:pPr>
              <w:pStyle w:val="Header2"/>
            </w:pPr>
            <w:r>
              <w:t>FSH 2209.13 - grazing permit administration handbook</w:t>
            </w:r>
          </w:p>
          <w:p w:rsidR="00FB6D13" w:rsidRDefault="00FB6D13" w:rsidP="00A16254">
            <w:pPr>
              <w:pStyle w:val="Header2"/>
            </w:pPr>
            <w:r>
              <w:t>Chapter 90 - rangeland management decisionmaking</w:t>
            </w:r>
          </w:p>
        </w:tc>
      </w:tr>
    </w:tbl>
    <w:p w:rsidR="0024468A" w:rsidRDefault="0024468A" w:rsidP="0024468A">
      <w:pPr>
        <w:pStyle w:val="Heading3"/>
      </w:pPr>
      <w:bookmarkStart w:id="21" w:name="_Toc59495035"/>
      <w:bookmarkStart w:id="22" w:name="_Toc59411534"/>
      <w:bookmarkStart w:id="23" w:name="_Toc58997251"/>
      <w:bookmarkStart w:id="24" w:name="_Toc58200139"/>
      <w:bookmarkStart w:id="25" w:name="_Toc58136011"/>
      <w:bookmarkStart w:id="26" w:name="_Toc58134234"/>
      <w:bookmarkStart w:id="27" w:name="_Toc58125509"/>
      <w:bookmarkStart w:id="28" w:name="_Toc53051936"/>
      <w:bookmarkStart w:id="29" w:name="_Toc53051865"/>
      <w:bookmarkStart w:id="30" w:name="_Toc51117654"/>
      <w:bookmarkStart w:id="31" w:name="_Toc51117449"/>
      <w:bookmarkStart w:id="32" w:name="_Toc51117041"/>
      <w:bookmarkStart w:id="33" w:name="_Toc51061388"/>
      <w:bookmarkStart w:id="34" w:name="_Toc51061314"/>
      <w:bookmarkStart w:id="35" w:name="_Toc51061205"/>
      <w:bookmarkStart w:id="36" w:name="_Toc51061130"/>
      <w:bookmarkStart w:id="37" w:name="_Toc51061004"/>
      <w:bookmarkStart w:id="38" w:name="_Toc51060885"/>
      <w:bookmarkStart w:id="39" w:name="_Toc51060090"/>
      <w:bookmarkStart w:id="40" w:name="_Toc114018085"/>
    </w:p>
    <w:p w:rsidR="0024468A" w:rsidRDefault="0024468A" w:rsidP="0024468A">
      <w:pPr>
        <w:pStyle w:val="Heading3"/>
      </w:pPr>
      <w:r>
        <w:t>92.21 - Decision Framework</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 xml:space="preserve">  </w:t>
      </w:r>
    </w:p>
    <w:p w:rsidR="0024468A" w:rsidRDefault="0024468A" w:rsidP="0024468A"/>
    <w:p w:rsidR="0024468A" w:rsidRPr="0024468A" w:rsidRDefault="0024468A" w:rsidP="0024468A">
      <w:r w:rsidRPr="00F4145E">
        <w:t>Before characterizing the nature of a livestock grazing authorization decision, it is important to establish whether or not a valid decision already exists.  If a decision has already been made to authorize livestock grazing in a specific area, and resource conditions are at or moving toward desired conditions, a new decision may not be necessary.  Review the environmental analysis documentation and assess whether there is sufficient new information, technology, or changed conditions to warrant a new analysis and decision.  If a previous analysis and decision are still valid, document this finding and continue to implement the decision to authorize livestock grazing by issuing a new permit and continuing to apply management as prescr</w:t>
      </w:r>
      <w:r>
        <w:t>ibed in the decision (sec. 96).</w:t>
      </w:r>
    </w:p>
    <w:p w:rsidR="00506DF3" w:rsidRDefault="00506DF3" w:rsidP="00506DF3">
      <w:pPr>
        <w:pStyle w:val="Heading2"/>
      </w:pPr>
      <w:r>
        <w:t>92.3 - P</w:t>
      </w:r>
      <w:bookmarkEnd w:id="0"/>
      <w:r>
        <w:t>roject-Level Planning and NEPA Compliance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 xml:space="preserve">  </w:t>
      </w:r>
    </w:p>
    <w:p w:rsidR="00506DF3" w:rsidRDefault="00506DF3" w:rsidP="00506DF3">
      <w:pPr>
        <w:pStyle w:val="ruler0"/>
        <w:shd w:val="clear" w:color="auto" w:fill="FFFFFF"/>
        <w:tabs>
          <w:tab w:val="left" w:pos="6480"/>
          <w:tab w:val="left" w:pos="7200"/>
          <w:tab w:val="left" w:pos="7920"/>
          <w:tab w:val="left" w:pos="8640"/>
        </w:tabs>
        <w:spacing w:line="240" w:lineRule="auto"/>
        <w:rPr>
          <w:noProof w:val="0"/>
        </w:rPr>
      </w:pPr>
    </w:p>
    <w:p w:rsidR="00506DF3" w:rsidRPr="00F4145E" w:rsidRDefault="00506DF3" w:rsidP="00506DF3">
      <w:r w:rsidRPr="00F4145E">
        <w:t xml:space="preserve">Project-level </w:t>
      </w:r>
      <w:proofErr w:type="spellStart"/>
      <w:r w:rsidRPr="00F4145E">
        <w:t>decisionmaking</w:t>
      </w:r>
      <w:proofErr w:type="spellEnd"/>
      <w:r w:rsidRPr="00F4145E">
        <w:t xml:space="preserve"> is usually more expeditious and efficient when it is based upon the completion of large scale assessments, followed by site-specific analyses on allotments that share similar ecological conditions and resource issues.  </w:t>
      </w:r>
    </w:p>
    <w:p w:rsidR="00506DF3" w:rsidRPr="00F4145E" w:rsidRDefault="00506DF3" w:rsidP="00506DF3"/>
    <w:p w:rsidR="00506DF3" w:rsidRPr="00F4145E" w:rsidRDefault="00506DF3" w:rsidP="00506DF3">
      <w:r w:rsidRPr="009B577C">
        <w:rPr>
          <w:highlight w:val="yellow"/>
        </w:rPr>
        <w:t>Except where expressly provided for by law, a site-specific analysis of environmental effects of livestock grazing projects on affected National Forest System lands and resources must be completed pursuant to NEPA before the grazing activity can be authorized.</w:t>
      </w:r>
      <w:r w:rsidRPr="00F4145E">
        <w:t xml:space="preserve">  </w:t>
      </w:r>
    </w:p>
    <w:p w:rsidR="00506DF3" w:rsidRPr="00F4145E" w:rsidRDefault="00506DF3" w:rsidP="00506DF3"/>
    <w:p w:rsidR="00506DF3" w:rsidRPr="00F4145E" w:rsidRDefault="00506DF3" w:rsidP="00506DF3">
      <w:r w:rsidRPr="00F4145E">
        <w:t>General environmental analysis requirements are set forth in regulations adopted by the Council on En</w:t>
      </w:r>
      <w:r>
        <w:t>vironmental Quality at 40 CFR</w:t>
      </w:r>
      <w:r w:rsidRPr="00F4145E">
        <w:t xml:space="preserve"> 1500 et seq. and in the Forest Service Directive System at FSH 1909.15.  </w:t>
      </w:r>
    </w:p>
    <w:p w:rsidR="00893444" w:rsidRDefault="0040180A"/>
    <w:p w:rsidR="00506DF3" w:rsidRDefault="00506DF3" w:rsidP="00506DF3">
      <w:pPr>
        <w:pStyle w:val="Heading1"/>
      </w:pPr>
      <w:bookmarkStart w:id="41" w:name="_Toc59495048"/>
      <w:bookmarkStart w:id="42" w:name="_Toc59411547"/>
      <w:bookmarkStart w:id="43" w:name="_Toc58997264"/>
      <w:bookmarkStart w:id="44" w:name="_Toc58200152"/>
      <w:bookmarkStart w:id="45" w:name="_Toc58136024"/>
      <w:bookmarkStart w:id="46" w:name="_Toc58134247"/>
      <w:bookmarkStart w:id="47" w:name="_Toc58125522"/>
      <w:bookmarkStart w:id="48" w:name="_Toc53051949"/>
      <w:bookmarkStart w:id="49" w:name="_Toc53051878"/>
      <w:bookmarkStart w:id="50" w:name="_Toc51117668"/>
      <w:bookmarkStart w:id="51" w:name="_Toc51117463"/>
      <w:bookmarkStart w:id="52" w:name="_Toc51117055"/>
      <w:bookmarkStart w:id="53" w:name="_Toc51061402"/>
      <w:bookmarkStart w:id="54" w:name="_Toc51061328"/>
      <w:bookmarkStart w:id="55" w:name="_Toc51061219"/>
      <w:bookmarkStart w:id="56" w:name="_Toc51061144"/>
      <w:bookmarkStart w:id="57" w:name="_Toc51061018"/>
      <w:bookmarkStart w:id="58" w:name="_Toc51060899"/>
      <w:bookmarkStart w:id="59" w:name="_Toc51060104"/>
      <w:bookmarkStart w:id="60" w:name="_Toc48704441"/>
      <w:bookmarkStart w:id="61" w:name="_Toc114018098"/>
      <w:r>
        <w:t>94 - NEPA-BASED DECISIONS AND IMPLEMENTING ACTIONS THAT FOLLOW</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506DF3" w:rsidRDefault="00506DF3" w:rsidP="00506DF3">
      <w:pPr>
        <w:pStyle w:val="normal0"/>
        <w:shd w:val="clear" w:color="auto" w:fill="FFFFFF"/>
        <w:tabs>
          <w:tab w:val="left" w:pos="576"/>
          <w:tab w:val="left" w:pos="720"/>
          <w:tab w:val="left" w:pos="1296"/>
          <w:tab w:val="left" w:pos="1440"/>
          <w:tab w:val="left" w:pos="5616"/>
          <w:tab w:val="left" w:pos="5760"/>
          <w:tab w:val="left" w:pos="6480"/>
          <w:tab w:val="left" w:pos="7200"/>
          <w:tab w:val="left" w:pos="7920"/>
          <w:tab w:val="left" w:pos="8640"/>
        </w:tabs>
        <w:spacing w:line="240" w:lineRule="auto"/>
        <w:rPr>
          <w:rFonts w:ascii="Times New Roman" w:hAnsi="Times New Roman"/>
          <w:noProof w:val="0"/>
        </w:rPr>
      </w:pPr>
    </w:p>
    <w:p w:rsidR="00506DF3" w:rsidRDefault="00506DF3" w:rsidP="00506DF3">
      <w:r w:rsidRPr="00313170">
        <w:rPr>
          <w:highlight w:val="yellow"/>
        </w:rPr>
        <w:t>Except as authorized under section 504(a) of the Rescissions Act of 1995 (</w:t>
      </w:r>
      <w:proofErr w:type="spellStart"/>
      <w:r w:rsidRPr="00313170">
        <w:rPr>
          <w:highlight w:val="yellow"/>
        </w:rPr>
        <w:t>Pub.L</w:t>
      </w:r>
      <w:proofErr w:type="spellEnd"/>
      <w:r w:rsidRPr="00313170">
        <w:rPr>
          <w:highlight w:val="yellow"/>
        </w:rPr>
        <w:t>. 104-19) or the 2004 Omnibus Appropriations Resolution (</w:t>
      </w:r>
      <w:proofErr w:type="spellStart"/>
      <w:r w:rsidRPr="00313170">
        <w:rPr>
          <w:highlight w:val="yellow"/>
        </w:rPr>
        <w:t>Pub.L</w:t>
      </w:r>
      <w:proofErr w:type="spellEnd"/>
      <w:r w:rsidRPr="00313170">
        <w:rPr>
          <w:highlight w:val="yellow"/>
        </w:rPr>
        <w:t>. 108-108, Nov. 10, 2003), the project-level NEPA-based decision to authorize grazing on one or more allotments is made by the authorized officer upon completion of site-specific environmental analysis.</w:t>
      </w:r>
      <w:r w:rsidRPr="00D27B33">
        <w:t xml:space="preserve">  </w:t>
      </w:r>
      <w:r w:rsidRPr="002C3F07">
        <w:rPr>
          <w:highlight w:val="yellow"/>
        </w:rPr>
        <w:t>The decision to authorize</w:t>
      </w:r>
      <w:r w:rsidRPr="00D27B33">
        <w:t xml:space="preserve"> </w:t>
      </w:r>
      <w:r w:rsidRPr="002C3F07">
        <w:rPr>
          <w:highlight w:val="yellow"/>
        </w:rPr>
        <w:t>grazing is made in the NEPA-based decision document whose major focus is on maintaining or achieving the desired land condition.</w:t>
      </w:r>
      <w:r w:rsidRPr="00D27B33">
        <w:t xml:space="preserve">  The grazing permit, accompanying allotment management </w:t>
      </w:r>
    </w:p>
    <w:p w:rsidR="00506DF3" w:rsidRPr="00D27B33" w:rsidRDefault="00506DF3" w:rsidP="00506DF3">
      <w:r w:rsidRPr="00D27B33">
        <w:t>plan (AMP) (sec</w:t>
      </w:r>
      <w:r>
        <w:t>.</w:t>
      </w:r>
      <w:r w:rsidRPr="00D27B33">
        <w:t xml:space="preserve"> 94.1) as appropriate, and annual operating instructions (sec. 94.3) all serve to implement the project-level decision to authorize grazing (sec. 96).  The AMP becomes a part of the grazing permit.  </w:t>
      </w:r>
      <w:r w:rsidRPr="002C3F07">
        <w:rPr>
          <w:highlight w:val="yellow"/>
        </w:rPr>
        <w:t>If an AMP currently exists, it should be revised to reflect new information from the most recent project-level decision</w:t>
      </w:r>
      <w:r w:rsidRPr="00D27B33">
        <w:t xml:space="preserve">.  The grazing permit is then modified to include the </w:t>
      </w:r>
      <w:r w:rsidRPr="00D27B33">
        <w:lastRenderedPageBreak/>
        <w:t>revised AMP.  Subsequent modifications to grazing or related management activities may be made as long as those changes are within the scope of the project-level decision.</w:t>
      </w:r>
    </w:p>
    <w:p w:rsidR="00506DF3" w:rsidRDefault="00506DF3" w:rsidP="00506DF3"/>
    <w:p w:rsidR="00506DF3" w:rsidRPr="004C65F5" w:rsidRDefault="00506DF3" w:rsidP="00506DF3">
      <w:pPr>
        <w:pStyle w:val="Heading1"/>
      </w:pPr>
      <w:bookmarkStart w:id="62" w:name="_Toc59495056"/>
      <w:bookmarkStart w:id="63" w:name="_Toc59411555"/>
      <w:bookmarkStart w:id="64" w:name="_Toc58997272"/>
      <w:bookmarkStart w:id="65" w:name="_Toc58200160"/>
      <w:bookmarkStart w:id="66" w:name="_Toc58136032"/>
      <w:bookmarkStart w:id="67" w:name="_Toc58134255"/>
      <w:bookmarkStart w:id="68" w:name="_Toc58125530"/>
      <w:bookmarkStart w:id="69" w:name="_Toc53051957"/>
      <w:bookmarkStart w:id="70" w:name="_Toc53051886"/>
      <w:bookmarkStart w:id="71" w:name="_Toc51117676"/>
      <w:bookmarkStart w:id="72" w:name="_Toc51117471"/>
      <w:bookmarkStart w:id="73" w:name="_Toc51117063"/>
      <w:bookmarkStart w:id="74" w:name="_Toc51061410"/>
      <w:bookmarkStart w:id="75" w:name="_Toc51061336"/>
      <w:bookmarkStart w:id="76" w:name="_Toc51061227"/>
      <w:bookmarkStart w:id="77" w:name="_Toc51061152"/>
      <w:bookmarkStart w:id="78" w:name="_Toc51061026"/>
      <w:bookmarkStart w:id="79" w:name="_Toc51060907"/>
      <w:bookmarkStart w:id="80" w:name="_Toc51060112"/>
      <w:bookmarkStart w:id="81" w:name="_Toc114018106"/>
      <w:r w:rsidRPr="004C65F5">
        <w:t>96 - REVIEW OF EXISTING PROJECT-LEVEL NEPA-BASED DECISIONS</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506DF3" w:rsidRPr="00615165" w:rsidRDefault="00506DF3" w:rsidP="00506DF3">
      <w:pPr>
        <w:pStyle w:val="normal0"/>
        <w:shd w:val="clear" w:color="auto" w:fill="FFFFFF"/>
        <w:tabs>
          <w:tab w:val="left" w:pos="576"/>
          <w:tab w:val="left" w:pos="720"/>
          <w:tab w:val="left" w:pos="1296"/>
          <w:tab w:val="left" w:pos="1440"/>
          <w:tab w:val="left" w:pos="5616"/>
          <w:tab w:val="left" w:pos="5760"/>
          <w:tab w:val="left" w:pos="6480"/>
          <w:tab w:val="left" w:pos="7200"/>
          <w:tab w:val="left" w:pos="7920"/>
          <w:tab w:val="left" w:pos="8640"/>
        </w:tabs>
        <w:spacing w:line="240" w:lineRule="auto"/>
        <w:rPr>
          <w:rFonts w:ascii="Times New Roman" w:hAnsi="Times New Roman"/>
          <w:noProof w:val="0"/>
          <w:szCs w:val="24"/>
        </w:rPr>
      </w:pPr>
    </w:p>
    <w:p w:rsidR="00506DF3" w:rsidRPr="00A94F04" w:rsidRDefault="00506DF3" w:rsidP="00506DF3">
      <w:pPr>
        <w:rPr>
          <w:highlight w:val="yellow"/>
        </w:rPr>
      </w:pPr>
      <w:r w:rsidRPr="00A94F04">
        <w:t>Review of existing project-level NEPA-based decisions (sec. 94) must be conducted periodically to determine if the analysis and documentation remain valid or if new information exists that requires some further analysis and potential modification of the activity.  If the authorized officer determines that correction, supplementation, or revision is not necessary, implementation of existing decisions shall continue.  The findings of the review shall be documented in the project file.  See FSH 1909.15, section 18 for further direction on review and analysis requirements related to existing project-level NEPA-based decisions.</w:t>
      </w:r>
    </w:p>
    <w:p w:rsidR="00506DF3" w:rsidRDefault="00506DF3" w:rsidP="00506DF3">
      <w:pPr>
        <w:pStyle w:val="Heading2"/>
      </w:pPr>
      <w:bookmarkStart w:id="82" w:name="_Toc59495057"/>
      <w:bookmarkStart w:id="83" w:name="_Toc59411556"/>
      <w:bookmarkStart w:id="84" w:name="_Toc58997273"/>
      <w:bookmarkStart w:id="85" w:name="_Toc58200161"/>
      <w:bookmarkStart w:id="86" w:name="_Toc58136033"/>
      <w:bookmarkStart w:id="87" w:name="_Toc58134256"/>
      <w:bookmarkStart w:id="88" w:name="_Toc58125531"/>
      <w:bookmarkStart w:id="89" w:name="_Toc53051958"/>
      <w:bookmarkStart w:id="90" w:name="_Toc53051887"/>
      <w:bookmarkStart w:id="91" w:name="_Toc51117677"/>
      <w:bookmarkStart w:id="92" w:name="_Toc51117472"/>
      <w:bookmarkStart w:id="93" w:name="_Toc51117064"/>
      <w:bookmarkStart w:id="94" w:name="_Toc51061411"/>
      <w:bookmarkStart w:id="95" w:name="_Toc51061337"/>
      <w:bookmarkStart w:id="96" w:name="_Toc51061228"/>
      <w:bookmarkStart w:id="97" w:name="_Toc51061153"/>
      <w:bookmarkStart w:id="98" w:name="_Toc51061027"/>
      <w:bookmarkStart w:id="99" w:name="_Toc51060908"/>
      <w:bookmarkStart w:id="100" w:name="_Toc51060113"/>
      <w:bookmarkStart w:id="101" w:name="_Toc114018107"/>
      <w:r>
        <w:t>96.1 - Modifications Not Requiring New NEPA-Based Decisions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w:t>
      </w:r>
    </w:p>
    <w:p w:rsidR="00506DF3" w:rsidRPr="00615165" w:rsidRDefault="00506DF3" w:rsidP="00506DF3">
      <w:pPr>
        <w:pStyle w:val="normal0"/>
        <w:shd w:val="clear" w:color="auto" w:fill="FFFFFF"/>
        <w:tabs>
          <w:tab w:val="left" w:pos="576"/>
          <w:tab w:val="left" w:pos="720"/>
          <w:tab w:val="left" w:pos="1296"/>
          <w:tab w:val="left" w:pos="1440"/>
          <w:tab w:val="left" w:pos="5616"/>
          <w:tab w:val="left" w:pos="5760"/>
          <w:tab w:val="left" w:pos="6480"/>
          <w:tab w:val="left" w:pos="7200"/>
          <w:tab w:val="left" w:pos="7920"/>
          <w:tab w:val="left" w:pos="8640"/>
        </w:tabs>
        <w:spacing w:line="240" w:lineRule="auto"/>
        <w:rPr>
          <w:rFonts w:ascii="Times New Roman" w:hAnsi="Times New Roman"/>
          <w:noProof w:val="0"/>
          <w:szCs w:val="24"/>
        </w:rPr>
      </w:pPr>
    </w:p>
    <w:p w:rsidR="00506DF3" w:rsidRDefault="00506DF3" w:rsidP="00506DF3">
      <w:r w:rsidRPr="009B577C">
        <w:rPr>
          <w:highlight w:val="yellow"/>
        </w:rPr>
        <w:t>A project-level NEPA-based decision remains valid as long as the authorized activity complies with laws, regulations, LRMP, and is within the scope of the project-level NEPA-based decision. Therefore, it is not necessary to initiate a new site-specific analysis in order to undertake a modification that has already been analyzed, decided upon, and documented.  Management actions should be adjusted when monitoring indicates that those actions are not effective in reaching defined objectives.  This is the basic premise behind adaptive management (sec. 92.23b).</w:t>
      </w:r>
      <w:r w:rsidRPr="00A94F04">
        <w:t xml:space="preserve">  </w:t>
      </w:r>
    </w:p>
    <w:p w:rsidR="00FB6D13" w:rsidRDefault="00FB6D13" w:rsidP="00506DF3"/>
    <w:p w:rsidR="00FB6D13" w:rsidRDefault="00FB6D13" w:rsidP="00FB6D13">
      <w:pPr>
        <w:pStyle w:val="TitleChapter"/>
      </w:pPr>
      <w:smartTag w:uri="urn:schemas-microsoft-com:office:smarttags" w:element="stockticker">
        <w:r>
          <w:t>fsH</w:t>
        </w:r>
      </w:smartTag>
      <w:r>
        <w:t xml:space="preserve"> 1909.15 – National Environmental Policy Act handbook </w:t>
      </w:r>
    </w:p>
    <w:p w:rsidR="00FB6D13" w:rsidRDefault="00FB6D13" w:rsidP="00FB6D13">
      <w:pPr>
        <w:pStyle w:val="TitleChapter"/>
      </w:pPr>
    </w:p>
    <w:p w:rsidR="00FB6D13" w:rsidRDefault="00FB6D13" w:rsidP="00FB6D13">
      <w:pPr>
        <w:pStyle w:val="TitleChapter"/>
      </w:pPr>
      <w:r>
        <w:t>chapteR 10 – ENVIRONMENTAL ANALYSIS</w:t>
      </w:r>
    </w:p>
    <w:p w:rsidR="00FB6D13" w:rsidRDefault="00FB6D13" w:rsidP="00FB6D13">
      <w:pPr>
        <w:pStyle w:val="TitleChapter"/>
      </w:pPr>
    </w:p>
    <w:p w:rsidR="00FB6D13" w:rsidRDefault="00FB6D13" w:rsidP="00FB6D13">
      <w:pPr>
        <w:pStyle w:val="Categories"/>
        <w:rPr>
          <w:rFonts w:ascii="Times New Roman" w:hAnsi="Times New Roman"/>
          <w:b w:val="0"/>
          <w:color w:val="auto"/>
        </w:rPr>
      </w:pPr>
      <w:r>
        <w:t xml:space="preserve">Amendment No.:  </w:t>
      </w:r>
      <w:r>
        <w:rPr>
          <w:rFonts w:ascii="Times New Roman" w:hAnsi="Times New Roman"/>
          <w:b w:val="0"/>
          <w:color w:val="auto"/>
        </w:rPr>
        <w:t>1909.15-2012-3</w:t>
      </w:r>
    </w:p>
    <w:p w:rsidR="00FB6D13" w:rsidRDefault="00FB6D13" w:rsidP="00FB6D13">
      <w:pPr>
        <w:pStyle w:val="Categories"/>
      </w:pPr>
    </w:p>
    <w:p w:rsidR="00FB6D13" w:rsidRPr="00A94F04" w:rsidRDefault="00FB6D13" w:rsidP="00FB6D13">
      <w:r>
        <w:t xml:space="preserve">Effective Date:  </w:t>
      </w:r>
      <w:r>
        <w:rPr>
          <w:b/>
        </w:rPr>
        <w:t>June 25, 2012</w:t>
      </w:r>
    </w:p>
    <w:p w:rsidR="00506DF3" w:rsidRDefault="00506DF3" w:rsidP="00506DF3"/>
    <w:p w:rsidR="00FB6D13" w:rsidRPr="0038090B" w:rsidRDefault="00FB6D13" w:rsidP="00FB6D13">
      <w:pPr>
        <w:pStyle w:val="Heading3"/>
        <w:rPr>
          <w:highlight w:val="yellow"/>
        </w:rPr>
      </w:pPr>
      <w:bookmarkStart w:id="102" w:name="_Toc289325214"/>
      <w:r w:rsidRPr="0038090B">
        <w:rPr>
          <w:highlight w:val="yellow"/>
        </w:rPr>
        <w:t>11.23 - Review of Existing Decisions</w:t>
      </w:r>
      <w:bookmarkEnd w:id="102"/>
      <w:r w:rsidRPr="0038090B">
        <w:rPr>
          <w:highlight w:val="yellow"/>
        </w:rPr>
        <w:t xml:space="preserve">   </w:t>
      </w:r>
    </w:p>
    <w:p w:rsidR="00FB6D13" w:rsidRPr="0038090B" w:rsidRDefault="00FB6D13" w:rsidP="00FB6D13">
      <w:pPr>
        <w:rPr>
          <w:sz w:val="20"/>
          <w:szCs w:val="20"/>
          <w:highlight w:val="yellow"/>
        </w:rPr>
      </w:pPr>
    </w:p>
    <w:p w:rsidR="00FB6D13" w:rsidRDefault="00FB6D13" w:rsidP="00FB6D13">
      <w:r w:rsidRPr="0038090B">
        <w:rPr>
          <w:highlight w:val="yellow"/>
        </w:rPr>
        <w:t>It is important to establish whether or not a valid decision already exists.  If a decision has already been made to authorize an action in a specific area, such as livestock grazing or a special use, a new decision may not be necessary.  Review the environmental analysis documentation and assess whether there is sufficient new information, technology, or changed conditions to warrant a new analysis and decision.  If the previous analysis and decision are still valid, document this finding and continue to implement the decision.</w:t>
      </w:r>
    </w:p>
    <w:p w:rsidR="0024468A" w:rsidRDefault="0024468A" w:rsidP="00FB6D13"/>
    <w:p w:rsidR="0024468A" w:rsidRDefault="0024468A" w:rsidP="0024468A">
      <w:pPr>
        <w:pStyle w:val="Heading1"/>
      </w:pPr>
      <w:bookmarkStart w:id="103" w:name="_Toc204576345"/>
      <w:bookmarkStart w:id="104" w:name="_Toc204576187"/>
      <w:bookmarkStart w:id="105" w:name="_Toc204576109"/>
      <w:bookmarkStart w:id="106" w:name="_Toc196116532"/>
      <w:bookmarkStart w:id="107" w:name="_Toc195404680"/>
      <w:bookmarkStart w:id="108" w:name="_Toc194888402"/>
      <w:bookmarkStart w:id="109" w:name="_Toc509984799"/>
      <w:bookmarkStart w:id="110" w:name="_Toc73851508"/>
      <w:bookmarkStart w:id="111" w:name="_Toc289325264"/>
      <w:r>
        <w:lastRenderedPageBreak/>
        <w:t>18 - CORRECTION, SUPPLEMENTATION, OR REVISION OF ENVIRONMENTAL DOCUMENTS AND RECONSIDERATION OF DECISIONS TO TAKE ACTION</w:t>
      </w:r>
      <w:bookmarkEnd w:id="103"/>
      <w:bookmarkEnd w:id="104"/>
      <w:bookmarkEnd w:id="105"/>
      <w:bookmarkEnd w:id="106"/>
      <w:bookmarkEnd w:id="107"/>
      <w:bookmarkEnd w:id="108"/>
      <w:bookmarkEnd w:id="109"/>
      <w:bookmarkEnd w:id="110"/>
      <w:bookmarkEnd w:id="111"/>
    </w:p>
    <w:p w:rsidR="0024468A" w:rsidRDefault="0024468A" w:rsidP="0024468A">
      <w:pPr>
        <w:rPr>
          <w:sz w:val="20"/>
          <w:szCs w:val="20"/>
        </w:rPr>
      </w:pPr>
    </w:p>
    <w:p w:rsidR="0024468A" w:rsidRDefault="0024468A" w:rsidP="0024468A">
      <w:r>
        <w:t>Be alert for new information and changed circumstances that might affect decisions for actions that are awaiting implementation and for ongoing programs or projects to determine if the environmental analysis and documentation needs to be corrected, supplemented, or revised.</w:t>
      </w:r>
    </w:p>
    <w:p w:rsidR="0024468A" w:rsidRDefault="0024468A" w:rsidP="0024468A">
      <w:pPr>
        <w:rPr>
          <w:sz w:val="20"/>
          <w:szCs w:val="20"/>
        </w:rPr>
      </w:pPr>
    </w:p>
    <w:p w:rsidR="0024468A" w:rsidRDefault="0024468A" w:rsidP="0024468A">
      <w:r>
        <w:t>After a decision to implement a proposed action has been made and when the consideration of new information leads to the supplementation or revision of environmental documents, a new decision based on the supplemented or revised environmental documents must be consistent with the scope of the new environmental analysis.</w:t>
      </w:r>
    </w:p>
    <w:p w:rsidR="0024468A" w:rsidRDefault="0024468A" w:rsidP="00FB6D13">
      <w:bookmarkStart w:id="112" w:name="_GoBack"/>
      <w:bookmarkEnd w:id="112"/>
    </w:p>
    <w:p w:rsidR="00FB6D13" w:rsidRDefault="00FB6D13" w:rsidP="00FB6D13"/>
    <w:p w:rsidR="00FB6D13" w:rsidRDefault="00FB6D13" w:rsidP="00FB6D13">
      <w:pPr>
        <w:pStyle w:val="TitleChapter"/>
      </w:pPr>
      <w:r>
        <w:t xml:space="preserve">fsH 2209.13 – grazing permit administration handbook </w:t>
      </w:r>
      <w:r>
        <w:t>– Region 1</w:t>
      </w:r>
    </w:p>
    <w:p w:rsidR="00FB6D13" w:rsidRDefault="00FB6D13" w:rsidP="00FB6D13">
      <w:pPr>
        <w:pStyle w:val="TitleChapter"/>
      </w:pPr>
    </w:p>
    <w:p w:rsidR="00FB6D13" w:rsidRDefault="00FB6D13" w:rsidP="00FB6D13">
      <w:pPr>
        <w:pStyle w:val="TitleChapter"/>
      </w:pPr>
      <w:r>
        <w:t>chapteR 10 – permits with term status</w:t>
      </w:r>
    </w:p>
    <w:p w:rsidR="00FB6D13" w:rsidRDefault="00FB6D13" w:rsidP="00FB6D13">
      <w:pPr>
        <w:pStyle w:val="TitleChapter"/>
      </w:pPr>
    </w:p>
    <w:p w:rsidR="00FB6D13" w:rsidRDefault="00FB6D13" w:rsidP="00FB6D13">
      <w:pPr>
        <w:pStyle w:val="Categories"/>
        <w:rPr>
          <w:rFonts w:ascii="Times New Roman" w:hAnsi="Times New Roman"/>
          <w:b w:val="0"/>
          <w:color w:val="auto"/>
        </w:rPr>
      </w:pPr>
      <w:r>
        <w:t xml:space="preserve">Supplement No.:  </w:t>
      </w:r>
      <w:r>
        <w:rPr>
          <w:rFonts w:ascii="Times New Roman" w:hAnsi="Times New Roman"/>
          <w:b w:val="0"/>
          <w:color w:val="auto"/>
        </w:rPr>
        <w:t>2209.13-2014-2</w:t>
      </w:r>
    </w:p>
    <w:p w:rsidR="00FB6D13" w:rsidRPr="000108DE" w:rsidRDefault="00FB6D13" w:rsidP="00FB6D13">
      <w:pPr>
        <w:pStyle w:val="Categories"/>
        <w:rPr>
          <w:rFonts w:ascii="Times New Roman" w:hAnsi="Times New Roman"/>
          <w:b w:val="0"/>
          <w:color w:val="auto"/>
        </w:rPr>
      </w:pPr>
    </w:p>
    <w:p w:rsidR="00FB6D13" w:rsidRDefault="00FB6D13" w:rsidP="00FB6D13">
      <w:pPr>
        <w:pStyle w:val="Categories"/>
        <w:rPr>
          <w:rFonts w:ascii="Times New Roman" w:hAnsi="Times New Roman"/>
          <w:b w:val="0"/>
          <w:color w:val="auto"/>
        </w:rPr>
      </w:pPr>
      <w:r>
        <w:t xml:space="preserve">Effective Date: </w:t>
      </w:r>
      <w:r>
        <w:rPr>
          <w:rFonts w:ascii="Times New Roman" w:hAnsi="Times New Roman"/>
          <w:b w:val="0"/>
          <w:color w:val="auto"/>
        </w:rPr>
        <w:t>May 8</w:t>
      </w:r>
      <w:r w:rsidRPr="00D6489F">
        <w:rPr>
          <w:rFonts w:ascii="Times New Roman" w:hAnsi="Times New Roman"/>
          <w:b w:val="0"/>
          <w:color w:val="auto"/>
        </w:rPr>
        <w:t>, 2014</w:t>
      </w:r>
    </w:p>
    <w:p w:rsidR="00FB6D13" w:rsidRDefault="00FB6D13" w:rsidP="00FB6D13">
      <w:pPr>
        <w:pStyle w:val="Categories"/>
        <w:rPr>
          <w:rFonts w:ascii="Times New Roman" w:hAnsi="Times New Roman"/>
          <w:b w:val="0"/>
          <w:color w:val="auto"/>
        </w:rPr>
      </w:pPr>
    </w:p>
    <w:p w:rsidR="00FB6D13" w:rsidRDefault="00FB6D13" w:rsidP="00FB6D13">
      <w:pPr>
        <w:pStyle w:val="Heading3"/>
      </w:pPr>
      <w:bookmarkStart w:id="113" w:name="_Toc43716414"/>
      <w:bookmarkStart w:id="114" w:name="_Toc51140424"/>
      <w:bookmarkStart w:id="115" w:name="_Toc51140627"/>
      <w:bookmarkStart w:id="116" w:name="_Toc52164890"/>
      <w:bookmarkStart w:id="117" w:name="_Toc52165628"/>
      <w:bookmarkStart w:id="118" w:name="_Toc52251840"/>
      <w:bookmarkStart w:id="119" w:name="_Toc52935320"/>
      <w:bookmarkStart w:id="120" w:name="_Toc56833210"/>
      <w:bookmarkStart w:id="121" w:name="_Toc271872840"/>
      <w:r>
        <w:t>13.22 - Grant Priority</w:t>
      </w:r>
      <w:bookmarkEnd w:id="113"/>
      <w:bookmarkEnd w:id="114"/>
      <w:bookmarkEnd w:id="115"/>
      <w:bookmarkEnd w:id="116"/>
      <w:bookmarkEnd w:id="117"/>
      <w:bookmarkEnd w:id="118"/>
      <w:bookmarkEnd w:id="119"/>
      <w:bookmarkEnd w:id="120"/>
      <w:bookmarkEnd w:id="121"/>
      <w:r>
        <w:t xml:space="preserve"> (This is not as good as I thought it was – requires suspension or cancelation)</w:t>
      </w:r>
    </w:p>
    <w:p w:rsidR="00FB6D13" w:rsidRDefault="00FB6D13" w:rsidP="00FB6D13"/>
    <w:p w:rsidR="00FB6D13" w:rsidRDefault="00FB6D13" w:rsidP="00FB6D13">
      <w:r w:rsidRPr="00F17F8B">
        <w:rPr>
          <w:highlight w:val="yellow"/>
        </w:rPr>
        <w:t>Grants may be made to existing term grazing permit holders or to new applicants.  Normally preference will be given to existing term permit holders, especially where doing so may help to resolve other resource concerns.  When a decision to grant unobligated grazing capacity to an existing permittee is made, the authorized officer shall consider the permittee’s record of compliance over the previous 10 years and only make grants to those who have complied with the terms and conditions of their permit, including timely resolution of management concerns, and consistently demonstrated good livestock management and accountability practices.  Existing permittees with unsatisfactory permit compliance records as demonstrated by one or more suspension or cancellation action over the previous 10 years shall not be considered for grants of unobligated capacity.</w:t>
      </w:r>
    </w:p>
    <w:p w:rsidR="00FB6D13" w:rsidRDefault="00FB6D13" w:rsidP="00FB6D13"/>
    <w:p w:rsidR="00FB6D13" w:rsidRDefault="00FB6D13" w:rsidP="00FB6D13">
      <w:pPr>
        <w:pStyle w:val="Heading3"/>
      </w:pPr>
      <w:bookmarkStart w:id="122" w:name="_Toc43716416"/>
      <w:bookmarkStart w:id="123" w:name="_Toc51140426"/>
      <w:bookmarkStart w:id="124" w:name="_Toc51140629"/>
      <w:bookmarkStart w:id="125" w:name="_Toc52164892"/>
      <w:bookmarkStart w:id="126" w:name="_Toc52165630"/>
      <w:bookmarkStart w:id="127" w:name="_Toc52251842"/>
      <w:bookmarkStart w:id="128" w:name="_Toc52935322"/>
      <w:bookmarkStart w:id="129" w:name="_Toc56833212"/>
      <w:bookmarkStart w:id="130" w:name="_Toc271872842"/>
      <w:r>
        <w:t>13.31 - Designation of a Forage Reserve Allotment</w:t>
      </w:r>
      <w:bookmarkEnd w:id="122"/>
      <w:bookmarkEnd w:id="123"/>
      <w:bookmarkEnd w:id="124"/>
      <w:bookmarkEnd w:id="125"/>
      <w:bookmarkEnd w:id="126"/>
      <w:bookmarkEnd w:id="127"/>
      <w:bookmarkEnd w:id="128"/>
      <w:bookmarkEnd w:id="129"/>
      <w:bookmarkEnd w:id="130"/>
    </w:p>
    <w:p w:rsidR="00FB6D13" w:rsidRDefault="00FB6D13" w:rsidP="00FB6D13"/>
    <w:p w:rsidR="00FB6D13" w:rsidRDefault="00FB6D13" w:rsidP="00FB6D13">
      <w:r>
        <w:t>Most cattle and some sheep allotments that become vacant should be evaluated for designation as a forage reserve allotment.  Consider the following when evaluating:</w:t>
      </w:r>
    </w:p>
    <w:p w:rsidR="00FB6D13" w:rsidRDefault="00FB6D13" w:rsidP="00FB6D13">
      <w:pPr>
        <w:pStyle w:val="NumberList1"/>
      </w:pPr>
      <w:r>
        <w:t xml:space="preserve">1.  There must be an appropriate level of NEPA analysis and decision to allow for authorization of livestock use on the allotment, except in situations such as fire, drought, or other emergency displacement of permittees from normally assigned allotments.  The site-specific NEPA decision must tier to and be consistent with direction from the forest or grassland land and </w:t>
      </w:r>
      <w:r>
        <w:lastRenderedPageBreak/>
        <w:t>resource management plan, where capability and suitability will have been determined.  Forage reserve allotments should be included with the NEPA analysis conducted for other allotments in a watershed or landscape scale analysis and decision.</w:t>
      </w:r>
    </w:p>
    <w:p w:rsidR="00FB6D13" w:rsidRDefault="00FB6D13" w:rsidP="00FB6D13"/>
    <w:p w:rsidR="00FB6D13" w:rsidRDefault="00FB6D13" w:rsidP="00FB6D13"/>
    <w:p w:rsidR="00FB6D13" w:rsidRPr="007963AF" w:rsidRDefault="00FB6D13" w:rsidP="00FB6D13">
      <w:pPr>
        <w:pStyle w:val="Heading3"/>
      </w:pPr>
      <w:bookmarkStart w:id="131" w:name="_Toc271872916"/>
      <w:r w:rsidRPr="007963AF">
        <w:t>18.28 - Permit Waiver with No Preferred Applicant</w:t>
      </w:r>
      <w:bookmarkEnd w:id="131"/>
    </w:p>
    <w:p w:rsidR="00FB6D13" w:rsidRPr="007963AF" w:rsidRDefault="00FB6D13" w:rsidP="00FB6D13">
      <w:pPr>
        <w:rPr>
          <w:color w:val="FF0000"/>
        </w:rPr>
      </w:pPr>
    </w:p>
    <w:p w:rsidR="00FB6D13" w:rsidRPr="00BE3C7D" w:rsidRDefault="00FB6D13" w:rsidP="00FB6D13">
      <w:r w:rsidRPr="00BE3C7D">
        <w:t>Occasionally, a permittee may elect to waive his/her permit back to the government without sale of base property and/or permitted livestock – “in favor” of no other entity.</w:t>
      </w:r>
    </w:p>
    <w:p w:rsidR="00FB6D13" w:rsidRDefault="00FB6D13" w:rsidP="00FB6D13"/>
    <w:p w:rsidR="00FB6D13" w:rsidRPr="00BE3C7D" w:rsidRDefault="00FB6D13" w:rsidP="00FB6D13">
      <w:r w:rsidRPr="00BE3C7D">
        <w:t>In such cases, FS-2200-12 should be filled out as to the date the permit</w:t>
      </w:r>
      <w:r>
        <w:t xml:space="preserve"> was acquired (and numbers, and so forth</w:t>
      </w:r>
      <w:r w:rsidRPr="00BE3C7D">
        <w:t>) and the date waived, but the section on date sold and number sold should be entered as “N/A”.</w:t>
      </w:r>
    </w:p>
    <w:p w:rsidR="00FB6D13" w:rsidRPr="00BE3C7D" w:rsidRDefault="00FB6D13" w:rsidP="00FB6D13"/>
    <w:p w:rsidR="00FB6D13" w:rsidRPr="00BE3C7D" w:rsidRDefault="00FB6D13" w:rsidP="00FB6D13">
      <w:r w:rsidRPr="00BE3C7D">
        <w:t xml:space="preserve">This allotment then becomes vacant, or if this is a community allotment, the capacity becomes </w:t>
      </w:r>
      <w:r>
        <w:t>unobligated</w:t>
      </w:r>
      <w:r w:rsidRPr="00BE3C7D">
        <w:t xml:space="preserve"> and potentially subject to permit issuance through the grant process.  It can also be maintained as a forage reserve or retained in vacant status but available for occasional use as a swing pasture(s) as needed for drought, wildfire, prescribed fire, etc. The guiding document </w:t>
      </w:r>
      <w:r>
        <w:t>will be the project-level NEPA analysis and d</w:t>
      </w:r>
      <w:r w:rsidRPr="00BE3C7D">
        <w:t>ecision.</w:t>
      </w:r>
    </w:p>
    <w:p w:rsidR="00FB6D13" w:rsidRDefault="00FB6D13" w:rsidP="00FB6D13"/>
    <w:p w:rsidR="00FB6D13" w:rsidRPr="000108DE" w:rsidRDefault="00FB6D13" w:rsidP="00FB6D13">
      <w:pPr>
        <w:pStyle w:val="Categories"/>
        <w:rPr>
          <w:rFonts w:ascii="Times New Roman" w:hAnsi="Times New Roman"/>
          <w:b w:val="0"/>
          <w:color w:val="auto"/>
        </w:rPr>
      </w:pPr>
    </w:p>
    <w:p w:rsidR="00FB6D13" w:rsidRPr="000108DE" w:rsidRDefault="00FB6D13" w:rsidP="00FB6D13">
      <w:pPr>
        <w:pStyle w:val="Categories"/>
        <w:rPr>
          <w:rFonts w:ascii="Times New Roman" w:hAnsi="Times New Roman"/>
          <w:b w:val="0"/>
          <w:color w:val="auto"/>
          <w:u w:val="single"/>
        </w:rPr>
      </w:pPr>
    </w:p>
    <w:p w:rsidR="00FB6D13" w:rsidRDefault="00FB6D13" w:rsidP="00FB6D13"/>
    <w:p w:rsidR="00FB6D13" w:rsidRDefault="00FB6D13" w:rsidP="00506DF3"/>
    <w:p w:rsidR="00506DF3" w:rsidRDefault="00506DF3" w:rsidP="00506DF3"/>
    <w:p w:rsidR="00506DF3" w:rsidRDefault="00506DF3"/>
    <w:sectPr w:rsidR="0050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DF3"/>
    <w:rsid w:val="00052464"/>
    <w:rsid w:val="000E10FF"/>
    <w:rsid w:val="0024468A"/>
    <w:rsid w:val="0040180A"/>
    <w:rsid w:val="00506DF3"/>
    <w:rsid w:val="00FB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88B8CC6"/>
  <w15:chartTrackingRefBased/>
  <w15:docId w15:val="{E32C661F-49C3-4953-96BF-82CC0780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D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6D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06DF3"/>
    <w:pPr>
      <w:keepNext/>
      <w:spacing w:before="240"/>
      <w:outlineLvl w:val="1"/>
    </w:pPr>
    <w:rPr>
      <w:rFonts w:ascii="Arial" w:hAnsi="Arial" w:cs="Arial"/>
      <w:b/>
      <w:bCs/>
      <w:iCs/>
      <w:color w:val="0000FF"/>
      <w:szCs w:val="28"/>
    </w:rPr>
  </w:style>
  <w:style w:type="paragraph" w:styleId="Heading3">
    <w:name w:val="heading 3"/>
    <w:basedOn w:val="Normal"/>
    <w:next w:val="Normal"/>
    <w:link w:val="Heading3Char"/>
    <w:uiPriority w:val="9"/>
    <w:semiHidden/>
    <w:unhideWhenUsed/>
    <w:qFormat/>
    <w:rsid w:val="00FB6D1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6DF3"/>
    <w:rPr>
      <w:rFonts w:ascii="Arial" w:eastAsia="Times New Roman" w:hAnsi="Arial" w:cs="Arial"/>
      <w:b/>
      <w:bCs/>
      <w:iCs/>
      <w:color w:val="0000FF"/>
      <w:sz w:val="24"/>
      <w:szCs w:val="28"/>
    </w:rPr>
  </w:style>
  <w:style w:type="paragraph" w:customStyle="1" w:styleId="ruler0">
    <w:name w:val="ruler 0"/>
    <w:basedOn w:val="Normal"/>
    <w:rsid w:val="00506DF3"/>
    <w:pPr>
      <w:tabs>
        <w:tab w:val="left" w:pos="576"/>
        <w:tab w:val="left" w:pos="1296"/>
        <w:tab w:val="left" w:pos="6336"/>
      </w:tabs>
      <w:spacing w:line="239" w:lineRule="atLeast"/>
    </w:pPr>
    <w:rPr>
      <w:rFonts w:ascii="Times" w:hAnsi="Times"/>
      <w:noProof/>
      <w:color w:val="000000"/>
      <w:szCs w:val="20"/>
    </w:rPr>
  </w:style>
  <w:style w:type="character" w:customStyle="1" w:styleId="Heading1Char">
    <w:name w:val="Heading 1 Char"/>
    <w:basedOn w:val="DefaultParagraphFont"/>
    <w:link w:val="Heading1"/>
    <w:uiPriority w:val="9"/>
    <w:rsid w:val="00506DF3"/>
    <w:rPr>
      <w:rFonts w:asciiTheme="majorHAnsi" w:eastAsiaTheme="majorEastAsia" w:hAnsiTheme="majorHAnsi" w:cstheme="majorBidi"/>
      <w:color w:val="2E74B5" w:themeColor="accent1" w:themeShade="BF"/>
      <w:sz w:val="32"/>
      <w:szCs w:val="32"/>
    </w:rPr>
  </w:style>
  <w:style w:type="paragraph" w:customStyle="1" w:styleId="normal0">
    <w:name w:val="normal_"/>
    <w:basedOn w:val="Normal"/>
    <w:rsid w:val="00506DF3"/>
    <w:pPr>
      <w:spacing w:line="239" w:lineRule="atLeast"/>
    </w:pPr>
    <w:rPr>
      <w:rFonts w:ascii="Times" w:hAnsi="Times"/>
      <w:noProof/>
      <w:color w:val="000000"/>
      <w:szCs w:val="20"/>
    </w:rPr>
  </w:style>
  <w:style w:type="character" w:customStyle="1" w:styleId="Heading3Char">
    <w:name w:val="Heading 3 Char"/>
    <w:basedOn w:val="DefaultParagraphFont"/>
    <w:link w:val="Heading3"/>
    <w:uiPriority w:val="9"/>
    <w:semiHidden/>
    <w:rsid w:val="00FB6D13"/>
    <w:rPr>
      <w:rFonts w:asciiTheme="majorHAnsi" w:eastAsiaTheme="majorEastAsia" w:hAnsiTheme="majorHAnsi" w:cstheme="majorBidi"/>
      <w:color w:val="1F4D78" w:themeColor="accent1" w:themeShade="7F"/>
      <w:sz w:val="24"/>
      <w:szCs w:val="24"/>
    </w:rPr>
  </w:style>
  <w:style w:type="paragraph" w:customStyle="1" w:styleId="TitleChapter">
    <w:name w:val="Title_Chapter"/>
    <w:aliases w:val="or Part"/>
    <w:basedOn w:val="Normal"/>
    <w:rsid w:val="00FB6D13"/>
    <w:pPr>
      <w:jc w:val="center"/>
    </w:pPr>
    <w:rPr>
      <w:rFonts w:ascii="Arial" w:hAnsi="Arial"/>
      <w:b/>
      <w:caps/>
      <w:color w:val="0000FF"/>
    </w:rPr>
  </w:style>
  <w:style w:type="paragraph" w:customStyle="1" w:styleId="Categories">
    <w:name w:val="Categories"/>
    <w:basedOn w:val="Normal"/>
    <w:rsid w:val="00FB6D13"/>
    <w:rPr>
      <w:rFonts w:ascii="Arial" w:hAnsi="Arial"/>
      <w:b/>
      <w:color w:val="0000FF"/>
    </w:rPr>
  </w:style>
  <w:style w:type="paragraph" w:styleId="Header">
    <w:name w:val="header"/>
    <w:basedOn w:val="Normal"/>
    <w:link w:val="HeaderChar"/>
    <w:rsid w:val="00FB6D13"/>
    <w:pPr>
      <w:tabs>
        <w:tab w:val="center" w:pos="4320"/>
        <w:tab w:val="right" w:pos="8640"/>
      </w:tabs>
    </w:pPr>
    <w:rPr>
      <w:rFonts w:ascii="Arial" w:hAnsi="Arial"/>
      <w:sz w:val="16"/>
    </w:rPr>
  </w:style>
  <w:style w:type="character" w:customStyle="1" w:styleId="HeaderChar">
    <w:name w:val="Header Char"/>
    <w:basedOn w:val="DefaultParagraphFont"/>
    <w:link w:val="Header"/>
    <w:rsid w:val="00FB6D13"/>
    <w:rPr>
      <w:rFonts w:ascii="Arial" w:eastAsia="Times New Roman" w:hAnsi="Arial" w:cs="Times New Roman"/>
      <w:sz w:val="16"/>
      <w:szCs w:val="24"/>
    </w:rPr>
  </w:style>
  <w:style w:type="paragraph" w:customStyle="1" w:styleId="Header2">
    <w:name w:val="Header2"/>
    <w:basedOn w:val="Header"/>
    <w:rsid w:val="00FB6D13"/>
    <w:pPr>
      <w:jc w:val="center"/>
    </w:pPr>
    <w:rPr>
      <w:b/>
      <w:bCs/>
      <w:caps/>
      <w:sz w:val="20"/>
    </w:rPr>
  </w:style>
  <w:style w:type="paragraph" w:customStyle="1" w:styleId="NumberList1">
    <w:name w:val="Number List 1"/>
    <w:aliases w:val="2,3,Numbered List - 1,3..."/>
    <w:basedOn w:val="Normal"/>
    <w:rsid w:val="00FB6D13"/>
    <w:pPr>
      <w:spacing w:before="24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Osher</dc:creator>
  <cp:keywords/>
  <dc:description/>
  <cp:lastModifiedBy>Josh Osher</cp:lastModifiedBy>
  <cp:revision>1</cp:revision>
  <dcterms:created xsi:type="dcterms:W3CDTF">2019-06-14T15:32:00Z</dcterms:created>
  <dcterms:modified xsi:type="dcterms:W3CDTF">2019-06-14T16:33:00Z</dcterms:modified>
</cp:coreProperties>
</file>