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8302D" w14:textId="77777777" w:rsidR="0086443C" w:rsidRPr="0086443C" w:rsidRDefault="0086443C" w:rsidP="0086443C">
      <w:pPr>
        <w:rPr>
          <w:b/>
          <w:bCs/>
        </w:rPr>
      </w:pPr>
      <w:r w:rsidRPr="0086443C">
        <w:rPr>
          <w:b/>
          <w:bCs/>
        </w:rPr>
        <w:t>Exhibit D: Appendix of Relevant Laws and Regulations Supporting Objection Points</w:t>
      </w:r>
    </w:p>
    <w:p w14:paraId="574CF2D5" w14:textId="77777777" w:rsidR="0086443C" w:rsidRPr="0086443C" w:rsidRDefault="0086443C" w:rsidP="0086443C">
      <w:r w:rsidRPr="0086443C">
        <w:t>This appendix provides excerpts from key federal and state laws, regulations, policies, and case law supporting the objection’s points on access to private inholdings, fire risk mitigation (including liability), roadless area adjustments ensuring no loss of pre-existing access rights, prescribed burn coordination, watershed health, and infrastructure. Each entry includes the citation, relevance, and excerpt.</w:t>
      </w:r>
    </w:p>
    <w:p w14:paraId="3E0CAFF8" w14:textId="77777777" w:rsidR="0086443C" w:rsidRPr="0086443C" w:rsidRDefault="0086443C" w:rsidP="0086443C">
      <w:pPr>
        <w:numPr>
          <w:ilvl w:val="0"/>
          <w:numId w:val="17"/>
        </w:numPr>
      </w:pPr>
      <w:r w:rsidRPr="0086443C">
        <w:rPr>
          <w:b/>
          <w:bCs/>
        </w:rPr>
        <w:t>Alaska National Interest Lands Conservation Act (ANILCA), Section 1323 (16 U.S.C. § 3210) – Supporting Access to Inholdings</w:t>
      </w:r>
      <w:r w:rsidRPr="0086443C">
        <w:t xml:space="preserve"> </w:t>
      </w:r>
    </w:p>
    <w:p w14:paraId="07C787BA" w14:textId="77777777" w:rsidR="0086443C" w:rsidRPr="0086443C" w:rsidRDefault="0086443C" w:rsidP="0086443C">
      <w:pPr>
        <w:numPr>
          <w:ilvl w:val="1"/>
          <w:numId w:val="17"/>
        </w:numPr>
      </w:pPr>
      <w:r w:rsidRPr="0086443C">
        <w:rPr>
          <w:b/>
          <w:bCs/>
        </w:rPr>
        <w:t>Relevance</w:t>
      </w:r>
      <w:r w:rsidRPr="0086443C">
        <w:t>: Mandates “adequate and feasible” access to private inholdings, overriding roadless or wilderness restrictions to ensure reasonable use and enjoyment, supporting trail access or boundary adjustments for Triangle Lake properties.</w:t>
      </w:r>
    </w:p>
    <w:p w14:paraId="0CAE9AC1" w14:textId="77777777" w:rsidR="0086443C" w:rsidRPr="0086443C" w:rsidRDefault="0086443C" w:rsidP="0086443C">
      <w:pPr>
        <w:numPr>
          <w:ilvl w:val="1"/>
          <w:numId w:val="17"/>
        </w:numPr>
      </w:pPr>
      <w:r w:rsidRPr="0086443C">
        <w:rPr>
          <w:b/>
          <w:bCs/>
        </w:rPr>
        <w:t>Excerpt</w:t>
      </w:r>
      <w:r w:rsidRPr="0086443C">
        <w:t xml:space="preserve">: “(a) Notwithstanding any other provision of law, and subject to such terms and conditions as the Secretary of Agriculture may prescribe, the Secretary shall provide such access to </w:t>
      </w:r>
      <w:proofErr w:type="spellStart"/>
      <w:r w:rsidRPr="0086443C">
        <w:t>nonfederally</w:t>
      </w:r>
      <w:proofErr w:type="spellEnd"/>
      <w:r w:rsidRPr="0086443C">
        <w:t xml:space="preserve"> owned land within the boundaries of the National Forest System as the Secretary deems adequate to secure to the owner the reasonable use and enjoyment thereof: Provided, That such owner comply with rules and regulations applicable to ingress and egress to or from the National Forest System.”</w:t>
      </w:r>
    </w:p>
    <w:p w14:paraId="217389B9" w14:textId="77777777" w:rsidR="0086443C" w:rsidRPr="0086443C" w:rsidRDefault="0086443C" w:rsidP="0086443C">
      <w:pPr>
        <w:numPr>
          <w:ilvl w:val="0"/>
          <w:numId w:val="17"/>
        </w:numPr>
      </w:pPr>
      <w:r w:rsidRPr="0086443C">
        <w:rPr>
          <w:b/>
          <w:bCs/>
        </w:rPr>
        <w:t>National Forest Management Act (NFMA), 16 U.S.C. § 1604 – Supporting Balanced Multiple Uses and Roadless Adjustments</w:t>
      </w:r>
      <w:r w:rsidRPr="0086443C">
        <w:t xml:space="preserve"> </w:t>
      </w:r>
    </w:p>
    <w:p w14:paraId="68774D1B" w14:textId="77777777" w:rsidR="0086443C" w:rsidRPr="0086443C" w:rsidRDefault="0086443C" w:rsidP="0086443C">
      <w:pPr>
        <w:numPr>
          <w:ilvl w:val="1"/>
          <w:numId w:val="17"/>
        </w:numPr>
      </w:pPr>
      <w:r w:rsidRPr="0086443C">
        <w:rPr>
          <w:b/>
          <w:bCs/>
        </w:rPr>
        <w:t>Relevance</w:t>
      </w:r>
      <w:proofErr w:type="gramStart"/>
      <w:r w:rsidRPr="0086443C">
        <w:t>: Requires</w:t>
      </w:r>
      <w:proofErr w:type="gramEnd"/>
      <w:r w:rsidRPr="0086443C">
        <w:t xml:space="preserve"> Forest Plans to balance uses (recreation, watershed, wildfire), allowing amendments for roadless boundaries to enable access while protecting resources, ensuring designations like Greenstone Lake East don’t block pre-existing access rights.</w:t>
      </w:r>
    </w:p>
    <w:p w14:paraId="43D5E8EA" w14:textId="77777777" w:rsidR="0086443C" w:rsidRPr="0086443C" w:rsidRDefault="0086443C" w:rsidP="0086443C">
      <w:pPr>
        <w:numPr>
          <w:ilvl w:val="1"/>
          <w:numId w:val="17"/>
        </w:numPr>
      </w:pPr>
      <w:r w:rsidRPr="0086443C">
        <w:rPr>
          <w:b/>
          <w:bCs/>
        </w:rPr>
        <w:t>Excerpt</w:t>
      </w:r>
      <w:r w:rsidRPr="0086443C">
        <w:t>: “(e) In developing, maintaining, and revising plans for units of the National Forest System pursuant to this section, the Secretary shall assure that such plans—(1) provide for multiple use and sustained yield of the products and services obtained therefrom in accordance with the Multiple-Use Sustained-Yield Act of 1960, and, in particular, include coordination of outdoor recreation, range, timber, watershed, wildlife and fish, and wilderness…”</w:t>
      </w:r>
    </w:p>
    <w:p w14:paraId="00552643" w14:textId="77777777" w:rsidR="0086443C" w:rsidRPr="0086443C" w:rsidRDefault="0086443C" w:rsidP="0086443C">
      <w:pPr>
        <w:numPr>
          <w:ilvl w:val="0"/>
          <w:numId w:val="17"/>
        </w:numPr>
      </w:pPr>
      <w:r w:rsidRPr="0086443C">
        <w:rPr>
          <w:b/>
          <w:bCs/>
        </w:rPr>
        <w:t>National Environmental Policy Act (NEPA), 42 U.S.C. § 4332 – Supporting Analysis of Alternatives for Fire Mitigation and Access</w:t>
      </w:r>
      <w:r w:rsidRPr="0086443C">
        <w:t xml:space="preserve"> </w:t>
      </w:r>
    </w:p>
    <w:p w14:paraId="5DA9963B" w14:textId="77777777" w:rsidR="0086443C" w:rsidRPr="0086443C" w:rsidRDefault="0086443C" w:rsidP="0086443C">
      <w:pPr>
        <w:numPr>
          <w:ilvl w:val="1"/>
          <w:numId w:val="17"/>
        </w:numPr>
      </w:pPr>
      <w:r w:rsidRPr="0086443C">
        <w:rPr>
          <w:b/>
          <w:bCs/>
        </w:rPr>
        <w:lastRenderedPageBreak/>
        <w:t>Relevance</w:t>
      </w:r>
      <w:r w:rsidRPr="0086443C">
        <w:t>: Mandates analysis of alternatives, including access improvements for wildfire risks, which Alternative 2 fails to do, violating requirements to consider landowner needs.</w:t>
      </w:r>
    </w:p>
    <w:p w14:paraId="4DF5309F" w14:textId="77777777" w:rsidR="0086443C" w:rsidRPr="0086443C" w:rsidRDefault="0086443C" w:rsidP="0086443C">
      <w:pPr>
        <w:numPr>
          <w:ilvl w:val="1"/>
          <w:numId w:val="17"/>
        </w:numPr>
      </w:pPr>
      <w:r w:rsidRPr="0086443C">
        <w:rPr>
          <w:b/>
          <w:bCs/>
        </w:rPr>
        <w:t>Excerpt</w:t>
      </w:r>
      <w:r w:rsidRPr="0086443C">
        <w:t>: “(C) include in every recommendation or report on proposals for legislation and other major Federal actions significantly affecting the quality of the human environment, a detailed statement by the responsible official on—(</w:t>
      </w:r>
      <w:proofErr w:type="spellStart"/>
      <w:r w:rsidRPr="0086443C">
        <w:t>i</w:t>
      </w:r>
      <w:proofErr w:type="spellEnd"/>
      <w:r w:rsidRPr="0086443C">
        <w:t>) the environmental impact of the proposed action; (ii) any adverse environmental effects which cannot be avoided should the proposal be implemented; (iii) alternatives to the proposed action…”</w:t>
      </w:r>
    </w:p>
    <w:p w14:paraId="52572E29" w14:textId="77777777" w:rsidR="0086443C" w:rsidRPr="0086443C" w:rsidRDefault="0086443C" w:rsidP="0086443C">
      <w:pPr>
        <w:numPr>
          <w:ilvl w:val="0"/>
          <w:numId w:val="17"/>
        </w:numPr>
      </w:pPr>
      <w:r w:rsidRPr="0086443C">
        <w:rPr>
          <w:b/>
          <w:bCs/>
        </w:rPr>
        <w:t>Roadless Area Conservation Rule (RACR), 36 CFR § 294.12 – Supporting Exceptions for Access and Adjustments</w:t>
      </w:r>
      <w:r w:rsidRPr="0086443C">
        <w:t xml:space="preserve"> </w:t>
      </w:r>
    </w:p>
    <w:p w14:paraId="7592B208" w14:textId="77777777" w:rsidR="0086443C" w:rsidRPr="0086443C" w:rsidRDefault="0086443C" w:rsidP="0086443C">
      <w:pPr>
        <w:numPr>
          <w:ilvl w:val="1"/>
          <w:numId w:val="17"/>
        </w:numPr>
      </w:pPr>
      <w:r w:rsidRPr="0086443C">
        <w:rPr>
          <w:b/>
          <w:bCs/>
        </w:rPr>
        <w:t>Relevance</w:t>
      </w:r>
      <w:r w:rsidRPr="0086443C">
        <w:t>: Allows exceptions for inholding access or public safety (e.g., fire threats), supporting boundary adjustments in Greenstone Lake East and ensuring roadless rules don’t cut off access rights.</w:t>
      </w:r>
    </w:p>
    <w:p w14:paraId="17C4E6A1" w14:textId="77777777" w:rsidR="0086443C" w:rsidRPr="0086443C" w:rsidRDefault="0086443C" w:rsidP="0086443C">
      <w:pPr>
        <w:numPr>
          <w:ilvl w:val="1"/>
          <w:numId w:val="17"/>
        </w:numPr>
      </w:pPr>
      <w:r w:rsidRPr="0086443C">
        <w:rPr>
          <w:b/>
          <w:bCs/>
        </w:rPr>
        <w:t>Excerpt</w:t>
      </w:r>
      <w:r w:rsidRPr="0086443C">
        <w:t>: “(b) Notwithstanding the prohibition in paragraph (a) of this section, a road may be constructed or reconstructed in an inventoried roadless area if the Responsible Official determines that one of the following circumstances exists: …(2) A road is needed to protect public health and safety in cases of an imminent threat of flood, fire, or other catastrophic event that, without intervention, would cause the loss of life or property…”</w:t>
      </w:r>
    </w:p>
    <w:p w14:paraId="77D05C91" w14:textId="77777777" w:rsidR="0086443C" w:rsidRPr="0086443C" w:rsidRDefault="0086443C" w:rsidP="0086443C">
      <w:pPr>
        <w:numPr>
          <w:ilvl w:val="0"/>
          <w:numId w:val="17"/>
        </w:numPr>
      </w:pPr>
      <w:r w:rsidRPr="0086443C">
        <w:rPr>
          <w:b/>
          <w:bCs/>
        </w:rPr>
        <w:t>Healthy Forests Restoration Act (HFRA), 16 U.S.C. § 6501 et seq. – Supporting Wildfire Mitigation in WUI</w:t>
      </w:r>
      <w:r w:rsidRPr="0086443C">
        <w:t xml:space="preserve"> </w:t>
      </w:r>
    </w:p>
    <w:p w14:paraId="0F7C1BB8" w14:textId="77777777" w:rsidR="0086443C" w:rsidRPr="0086443C" w:rsidRDefault="0086443C" w:rsidP="0086443C">
      <w:pPr>
        <w:numPr>
          <w:ilvl w:val="1"/>
          <w:numId w:val="17"/>
        </w:numPr>
      </w:pPr>
      <w:r w:rsidRPr="0086443C">
        <w:rPr>
          <w:b/>
          <w:bCs/>
        </w:rPr>
        <w:t>Relevance</w:t>
      </w:r>
      <w:r w:rsidRPr="0086443C">
        <w:t>: Promotes fuel reduction in WUI, supporting access for private mitigation to prevent fire spread to public lands, reducing liability.</w:t>
      </w:r>
    </w:p>
    <w:p w14:paraId="27400AD5" w14:textId="77777777" w:rsidR="0086443C" w:rsidRPr="0086443C" w:rsidRDefault="0086443C" w:rsidP="0086443C">
      <w:pPr>
        <w:numPr>
          <w:ilvl w:val="1"/>
          <w:numId w:val="17"/>
        </w:numPr>
      </w:pPr>
      <w:r w:rsidRPr="0086443C">
        <w:rPr>
          <w:b/>
          <w:bCs/>
        </w:rPr>
        <w:t>Excerpt</w:t>
      </w:r>
      <w:r w:rsidRPr="0086443C">
        <w:t xml:space="preserve">: “Sec. 102. Authorized Hazardous Fuel Reduction Projects (a) Authorized </w:t>
      </w:r>
      <w:proofErr w:type="gramStart"/>
      <w:r w:rsidRPr="0086443C">
        <w:t>Projects.—</w:t>
      </w:r>
      <w:proofErr w:type="gramEnd"/>
      <w:r w:rsidRPr="0086443C">
        <w:t>As soon as practicable after the date of enactment of this Act, the Secretary shall implement authorized hazardous fuel reduction projects… (1) on Federal land in wildland-urban interface areas… to reduce the risk of wildfire to communities and municipal water supplies.”</w:t>
      </w:r>
    </w:p>
    <w:p w14:paraId="5EEC4E91" w14:textId="77777777" w:rsidR="0086443C" w:rsidRPr="0086443C" w:rsidRDefault="0086443C" w:rsidP="0086443C">
      <w:pPr>
        <w:numPr>
          <w:ilvl w:val="0"/>
          <w:numId w:val="17"/>
        </w:numPr>
      </w:pPr>
      <w:r w:rsidRPr="0086443C">
        <w:rPr>
          <w:b/>
          <w:bCs/>
        </w:rPr>
        <w:t>Minnesota Statutes § 88.16 – Supporting Liability Defenses for Restricted Mitigation</w:t>
      </w:r>
      <w:r w:rsidRPr="0086443C">
        <w:t xml:space="preserve"> </w:t>
      </w:r>
    </w:p>
    <w:p w14:paraId="2A8EEB91" w14:textId="77777777" w:rsidR="0086443C" w:rsidRPr="0086443C" w:rsidRDefault="0086443C" w:rsidP="0086443C">
      <w:pPr>
        <w:numPr>
          <w:ilvl w:val="1"/>
          <w:numId w:val="17"/>
        </w:numPr>
      </w:pPr>
      <w:r w:rsidRPr="0086443C">
        <w:rPr>
          <w:b/>
          <w:bCs/>
        </w:rPr>
        <w:t>Relevance</w:t>
      </w:r>
      <w:r w:rsidRPr="0086443C">
        <w:t>: Outlines fire prevention duties but allows defenses if federal restrictions prevent compliance, absolving landowners of liability for fire spread.</w:t>
      </w:r>
    </w:p>
    <w:p w14:paraId="47EFD9D0" w14:textId="77777777" w:rsidR="0086443C" w:rsidRPr="0086443C" w:rsidRDefault="0086443C" w:rsidP="0086443C">
      <w:pPr>
        <w:numPr>
          <w:ilvl w:val="1"/>
          <w:numId w:val="17"/>
        </w:numPr>
      </w:pPr>
      <w:r w:rsidRPr="0086443C">
        <w:rPr>
          <w:b/>
          <w:bCs/>
        </w:rPr>
        <w:lastRenderedPageBreak/>
        <w:t>Excerpt</w:t>
      </w:r>
      <w:r w:rsidRPr="0086443C">
        <w:t>: “Subdivision 1. Every person who willfully or negligently allows fire to escape… shall be liable for all damages caused thereby and all expenses incurred in extinguishing the fire… Subd. 2. No person shall be liable under this section if the fire is caused by an act of God or if the person proves that all reasonable precautions were taken to prevent the escape of fire.”</w:t>
      </w:r>
    </w:p>
    <w:p w14:paraId="5783ECFC" w14:textId="77777777" w:rsidR="0086443C" w:rsidRPr="0086443C" w:rsidRDefault="0086443C" w:rsidP="0086443C">
      <w:pPr>
        <w:numPr>
          <w:ilvl w:val="0"/>
          <w:numId w:val="17"/>
        </w:numPr>
      </w:pPr>
      <w:r w:rsidRPr="0086443C">
        <w:rPr>
          <w:b/>
          <w:bCs/>
        </w:rPr>
        <w:t>Federal Land Policy and Management Act (FLPMA), 43 U.S.C. § 1701 – Supporting Watershed Health and Multiple Uses</w:t>
      </w:r>
      <w:r w:rsidRPr="0086443C">
        <w:t xml:space="preserve"> </w:t>
      </w:r>
    </w:p>
    <w:p w14:paraId="7B275304" w14:textId="77777777" w:rsidR="0086443C" w:rsidRPr="0086443C" w:rsidRDefault="0086443C" w:rsidP="0086443C">
      <w:pPr>
        <w:numPr>
          <w:ilvl w:val="1"/>
          <w:numId w:val="17"/>
        </w:numPr>
      </w:pPr>
      <w:r w:rsidRPr="0086443C">
        <w:rPr>
          <w:b/>
          <w:bCs/>
        </w:rPr>
        <w:t>Relevance</w:t>
      </w:r>
      <w:r w:rsidRPr="0086443C">
        <w:t>: Requires public land management to protect watersheds and balance uses, supporting access for sewage maintenance to prevent BWCA pollution.</w:t>
      </w:r>
    </w:p>
    <w:p w14:paraId="2EA8A7A1" w14:textId="77777777" w:rsidR="0086443C" w:rsidRPr="0086443C" w:rsidRDefault="0086443C" w:rsidP="0086443C">
      <w:pPr>
        <w:numPr>
          <w:ilvl w:val="1"/>
          <w:numId w:val="17"/>
        </w:numPr>
      </w:pPr>
      <w:r w:rsidRPr="0086443C">
        <w:rPr>
          <w:b/>
          <w:bCs/>
        </w:rPr>
        <w:t>Excerpt</w:t>
      </w:r>
      <w:r w:rsidRPr="0086443C">
        <w:t>: “(a) The public lands shall be managed in a manner that will protect the quality of scientific, scenic, historical, ecological, environmental, air and atmospheric, water resource, and archeological values; that, where appropriate, will preserve and protect certain public lands in their natural condition…”</w:t>
      </w:r>
    </w:p>
    <w:p w14:paraId="1733A9FA" w14:textId="77777777" w:rsidR="0086443C" w:rsidRPr="0086443C" w:rsidRDefault="0086443C" w:rsidP="0086443C">
      <w:pPr>
        <w:numPr>
          <w:ilvl w:val="0"/>
          <w:numId w:val="17"/>
        </w:numPr>
      </w:pPr>
      <w:r w:rsidRPr="0086443C">
        <w:rPr>
          <w:b/>
          <w:bCs/>
        </w:rPr>
        <w:t>Boundary Waters Canoe Area Wilderness Act (BWCAWA), Public Law 95-495 (1978) – Supporting Wilderness Buffers and Adjacent Access</w:t>
      </w:r>
      <w:r w:rsidRPr="0086443C">
        <w:t xml:space="preserve"> </w:t>
      </w:r>
    </w:p>
    <w:p w14:paraId="340C912C" w14:textId="77777777" w:rsidR="0086443C" w:rsidRPr="0086443C" w:rsidRDefault="0086443C" w:rsidP="0086443C">
      <w:pPr>
        <w:numPr>
          <w:ilvl w:val="1"/>
          <w:numId w:val="17"/>
        </w:numPr>
      </w:pPr>
      <w:r w:rsidRPr="0086443C">
        <w:rPr>
          <w:b/>
          <w:bCs/>
        </w:rPr>
        <w:t>Relevance</w:t>
      </w:r>
      <w:r w:rsidRPr="0086443C">
        <w:t>: Protects BWCA but allows buffers in adjacent roadless areas for access and mitigation, supporting boundary adjustments to maintain wilderness integrity while enabling inholding access, ensuring designations don’t block landowners.</w:t>
      </w:r>
    </w:p>
    <w:p w14:paraId="612A050C" w14:textId="77777777" w:rsidR="0086443C" w:rsidRPr="0086443C" w:rsidRDefault="0086443C" w:rsidP="0086443C">
      <w:pPr>
        <w:numPr>
          <w:ilvl w:val="1"/>
          <w:numId w:val="17"/>
        </w:numPr>
      </w:pPr>
      <w:r w:rsidRPr="0086443C">
        <w:rPr>
          <w:b/>
          <w:bCs/>
        </w:rPr>
        <w:t>Excerpt</w:t>
      </w:r>
      <w:r w:rsidRPr="0086443C">
        <w:t>: “The purpose of this Act is to provide for such management of the Boundary Waters Canoe Area Wilderness… as will utilize other available opportunities for such additional wilderness-oriented recreational and educational uses as may be compatible with the wilderness objective… and to minimize other adverse impacts on natural values or on private inholdings.”</w:t>
      </w:r>
    </w:p>
    <w:p w14:paraId="241082D0" w14:textId="77777777" w:rsidR="0086443C" w:rsidRPr="0086443C" w:rsidRDefault="0086443C" w:rsidP="0086443C">
      <w:pPr>
        <w:numPr>
          <w:ilvl w:val="0"/>
          <w:numId w:val="17"/>
        </w:numPr>
      </w:pPr>
      <w:r w:rsidRPr="0086443C">
        <w:rPr>
          <w:b/>
          <w:bCs/>
        </w:rPr>
        <w:t>Multiple-Use Sustained-Yield Act of 1960 (16 U.S.C. § 528 et seq.) – Supporting Balanced Forest Uses</w:t>
      </w:r>
      <w:r w:rsidRPr="0086443C">
        <w:t xml:space="preserve"> </w:t>
      </w:r>
    </w:p>
    <w:p w14:paraId="28773D28" w14:textId="77777777" w:rsidR="0086443C" w:rsidRPr="0086443C" w:rsidRDefault="0086443C" w:rsidP="0086443C">
      <w:pPr>
        <w:numPr>
          <w:ilvl w:val="1"/>
          <w:numId w:val="17"/>
        </w:numPr>
      </w:pPr>
      <w:r w:rsidRPr="0086443C">
        <w:rPr>
          <w:b/>
          <w:bCs/>
        </w:rPr>
        <w:t>Relevance</w:t>
      </w:r>
      <w:r w:rsidRPr="0086443C">
        <w:t>: Mandates multiple uses (recreation, watershed, fire management) in national forests, supporting access improvements for fire mitigation and public benefits like trails, ensuring roadless rules don't override balanced management.</w:t>
      </w:r>
    </w:p>
    <w:p w14:paraId="0171E7F9" w14:textId="77777777" w:rsidR="0086443C" w:rsidRPr="0086443C" w:rsidRDefault="0086443C" w:rsidP="0086443C">
      <w:pPr>
        <w:numPr>
          <w:ilvl w:val="1"/>
          <w:numId w:val="17"/>
        </w:numPr>
      </w:pPr>
      <w:r w:rsidRPr="0086443C">
        <w:rPr>
          <w:b/>
          <w:bCs/>
        </w:rPr>
        <w:lastRenderedPageBreak/>
        <w:t>Excerpt</w:t>
      </w:r>
      <w:r w:rsidRPr="0086443C">
        <w:t xml:space="preserve">: “It is the policy of the Congress that the national forests are established and shall be administered for outdoor recreation, range, timber, watershed, and wildlife and fish purposes. The purposes set forth in this subchapter are declared to be supplemental </w:t>
      </w:r>
      <w:proofErr w:type="gramStart"/>
      <w:r w:rsidRPr="0086443C">
        <w:t>to</w:t>
      </w:r>
      <w:proofErr w:type="gramEnd"/>
      <w:r w:rsidRPr="0086443C">
        <w:t xml:space="preserve">, but not in derogation of, the purposes for which the national forests were established as set forth in section 475 of this title. Nothing in this section shall be construed as affecting the jurisdiction or responsibilities of the several States with respect to wildlife and fish in the national forests. Nothing in this section shall be construed </w:t>
      </w:r>
      <w:proofErr w:type="gramStart"/>
      <w:r w:rsidRPr="0086443C">
        <w:t>so as to</w:t>
      </w:r>
      <w:proofErr w:type="gramEnd"/>
      <w:r w:rsidRPr="0086443C">
        <w:t xml:space="preserve"> affect the use or administration of the mineral resources of national forest lands or to affect the use or administration of Federal lands not within national forests.”</w:t>
      </w:r>
    </w:p>
    <w:p w14:paraId="09DCF707" w14:textId="77777777" w:rsidR="0086443C" w:rsidRPr="0086443C" w:rsidRDefault="0086443C" w:rsidP="0086443C">
      <w:pPr>
        <w:numPr>
          <w:ilvl w:val="0"/>
          <w:numId w:val="17"/>
        </w:numPr>
      </w:pPr>
      <w:r w:rsidRPr="0086443C">
        <w:rPr>
          <w:b/>
          <w:bCs/>
        </w:rPr>
        <w:t>Wilderness Act of 1964 (16 U.S.C. § 1131 et seq.) – Supporting Wilderness Protections with Exceptions</w:t>
      </w:r>
      <w:r w:rsidRPr="0086443C">
        <w:t xml:space="preserve"> </w:t>
      </w:r>
    </w:p>
    <w:p w14:paraId="511E72A7" w14:textId="7DC0E7F8" w:rsidR="001338F2" w:rsidRPr="001338F2" w:rsidRDefault="0086443C" w:rsidP="001338F2">
      <w:pPr>
        <w:numPr>
          <w:ilvl w:val="1"/>
          <w:numId w:val="17"/>
        </w:numPr>
      </w:pPr>
      <w:r w:rsidRPr="0086443C">
        <w:rPr>
          <w:b/>
          <w:bCs/>
        </w:rPr>
        <w:t>Relevance</w:t>
      </w:r>
      <w:proofErr w:type="gramStart"/>
      <w:r w:rsidRPr="0086443C">
        <w:t xml:space="preserve">: </w:t>
      </w:r>
      <w:r w:rsidR="001338F2" w:rsidRPr="001338F2">
        <w:t xml:space="preserve"> While</w:t>
      </w:r>
      <w:proofErr w:type="gramEnd"/>
      <w:r w:rsidR="001338F2" w:rsidRPr="001338F2">
        <w:t xml:space="preserve"> the Wilderness Act prioritizes preserving areas as untrammeled, it allows exceptions for necessary activities, such as access to private inholdings or measures to protect public safety (e.g., fire mitigation), particularly in adjacent roadless areas like Greenstone Lake East. This supports your request for a trail or boundary adjustment to ensure safe access to Triangle Lake properties for fire management and watershed maintenance, consistent with historical trails (pre-2004) and the North Country National Scenic Trail (NCNST) precedent (Final EA, Page 19). Combined with ANILCA’s mandate for “adequate and feasible” access (16 U.S.C. § 3210), the Act ensures roadless designations do not block necessary access for inholding owners. </w:t>
      </w:r>
    </w:p>
    <w:p w14:paraId="7CFD8A87" w14:textId="6C900269" w:rsidR="0086443C" w:rsidRPr="0086443C" w:rsidRDefault="001338F2" w:rsidP="001338F2">
      <w:pPr>
        <w:numPr>
          <w:ilvl w:val="1"/>
          <w:numId w:val="17"/>
        </w:numPr>
      </w:pPr>
      <w:proofErr w:type="gramStart"/>
      <w:r w:rsidRPr="001338F2">
        <w:t xml:space="preserve">  </w:t>
      </w:r>
      <w:r w:rsidRPr="001338F2">
        <w:rPr>
          <w:b/>
          <w:bCs/>
        </w:rPr>
        <w:t>Excerpt</w:t>
      </w:r>
      <w:proofErr w:type="gramEnd"/>
      <w:r w:rsidRPr="001338F2">
        <w:t>: “(d) The following special provisions are hereby made: (1) Within wilderness areas designated by this chapter the use of aircraft or motorboats, where these uses have already become established, may be permitted to continue subject to such restrictions as the Secretary of Agriculture deems desirable. In addition, such measures may be taken as may be necessary in the control of fire, insects, and diseases, subject to such conditions as the Secretary deems desirable.” (16 U.S.C. § 1133(d)(1</w:t>
      </w:r>
      <w:proofErr w:type="gramStart"/>
      <w:r w:rsidRPr="001338F2">
        <w:t>))</w:t>
      </w:r>
      <w:r>
        <w:t>d</w:t>
      </w:r>
      <w:r w:rsidR="0086443C" w:rsidRPr="0086443C">
        <w:t>efines</w:t>
      </w:r>
      <w:proofErr w:type="gramEnd"/>
      <w:r w:rsidR="0086443C" w:rsidRPr="0086443C">
        <w:t xml:space="preserve"> wilderness but allows administrative exceptions for access and safety in adjacent areas, supporting NCNST precedent and roadless adjustments near BWCA.</w:t>
      </w:r>
    </w:p>
    <w:p w14:paraId="2B10B06E" w14:textId="77777777" w:rsidR="0086443C" w:rsidRPr="0086443C" w:rsidRDefault="0086443C" w:rsidP="0086443C">
      <w:pPr>
        <w:numPr>
          <w:ilvl w:val="0"/>
          <w:numId w:val="17"/>
        </w:numPr>
      </w:pPr>
      <w:r w:rsidRPr="0086443C">
        <w:rPr>
          <w:b/>
          <w:bCs/>
        </w:rPr>
        <w:t>Weeks Act of 1911 (16 U.S.C. § 515 et seq.) – Supporting Watershed and Fire Protection</w:t>
      </w:r>
      <w:r w:rsidRPr="0086443C">
        <w:t xml:space="preserve"> </w:t>
      </w:r>
    </w:p>
    <w:p w14:paraId="3A4D32B2" w14:textId="77777777" w:rsidR="0086443C" w:rsidRPr="0086443C" w:rsidRDefault="0086443C" w:rsidP="0086443C">
      <w:pPr>
        <w:numPr>
          <w:ilvl w:val="1"/>
          <w:numId w:val="17"/>
        </w:numPr>
      </w:pPr>
      <w:r w:rsidRPr="0086443C">
        <w:rPr>
          <w:b/>
          <w:bCs/>
        </w:rPr>
        <w:lastRenderedPageBreak/>
        <w:t>Relevance</w:t>
      </w:r>
      <w:r w:rsidRPr="0086443C">
        <w:t>: Authorizes cooperation for protection from fire of forested watersheds, supporting access for mitigation to protect Superior National Forest watersheds.</w:t>
      </w:r>
    </w:p>
    <w:p w14:paraId="3E9E9C1F" w14:textId="77777777" w:rsidR="0086443C" w:rsidRPr="0086443C" w:rsidRDefault="0086443C" w:rsidP="0086443C">
      <w:pPr>
        <w:numPr>
          <w:ilvl w:val="1"/>
          <w:numId w:val="17"/>
        </w:numPr>
      </w:pPr>
      <w:r w:rsidRPr="0086443C">
        <w:rPr>
          <w:b/>
          <w:bCs/>
        </w:rPr>
        <w:t>Excerpt</w:t>
      </w:r>
      <w:r w:rsidRPr="0086443C">
        <w:t>: “The Secretary of Agriculture is hereby authorized… to cooperate with any State or group of States in the protection from fire of the forested watersheds of navigable streams…”</w:t>
      </w:r>
    </w:p>
    <w:p w14:paraId="65D839B6" w14:textId="77777777" w:rsidR="0086443C" w:rsidRPr="0086443C" w:rsidRDefault="0086443C" w:rsidP="0086443C">
      <w:pPr>
        <w:numPr>
          <w:ilvl w:val="0"/>
          <w:numId w:val="17"/>
        </w:numPr>
      </w:pPr>
      <w:r w:rsidRPr="0086443C">
        <w:rPr>
          <w:b/>
          <w:bCs/>
        </w:rPr>
        <w:t>Cooperative Forestry Assistance Act (16 U.S.C. § 2101 et seq.) – Supporting Fire Cooperation with Private Landowners</w:t>
      </w:r>
      <w:r w:rsidRPr="0086443C">
        <w:t xml:space="preserve"> </w:t>
      </w:r>
    </w:p>
    <w:p w14:paraId="332ADCE6" w14:textId="77777777" w:rsidR="0086443C" w:rsidRPr="0086443C" w:rsidRDefault="0086443C" w:rsidP="0086443C">
      <w:pPr>
        <w:numPr>
          <w:ilvl w:val="1"/>
          <w:numId w:val="17"/>
        </w:numPr>
      </w:pPr>
      <w:r w:rsidRPr="0086443C">
        <w:rPr>
          <w:b/>
          <w:bCs/>
        </w:rPr>
        <w:t>Relevance</w:t>
      </w:r>
      <w:r w:rsidRPr="0086443C">
        <w:t>: Promotes federal-state-private cooperation for wildfire prevention, supporting access for joint mitigation to reduce risks to public lands.</w:t>
      </w:r>
    </w:p>
    <w:p w14:paraId="0E693EF8" w14:textId="77777777" w:rsidR="0086443C" w:rsidRPr="0086443C" w:rsidRDefault="0086443C" w:rsidP="0086443C">
      <w:pPr>
        <w:numPr>
          <w:ilvl w:val="1"/>
          <w:numId w:val="17"/>
        </w:numPr>
      </w:pPr>
      <w:r w:rsidRPr="0086443C">
        <w:rPr>
          <w:b/>
          <w:bCs/>
        </w:rPr>
        <w:t>Excerpt</w:t>
      </w:r>
      <w:r w:rsidRPr="0086443C">
        <w:t>: “The Secretary is authorized to provide financial, technical, and related assistance to State foresters… for the prevention and control of rural fires in rural areas and rural communities…”</w:t>
      </w:r>
    </w:p>
    <w:p w14:paraId="76A17AA5" w14:textId="77777777" w:rsidR="0086443C" w:rsidRPr="0086443C" w:rsidRDefault="0086443C" w:rsidP="0086443C">
      <w:pPr>
        <w:numPr>
          <w:ilvl w:val="0"/>
          <w:numId w:val="17"/>
        </w:numPr>
      </w:pPr>
      <w:r w:rsidRPr="0086443C">
        <w:rPr>
          <w:b/>
          <w:bCs/>
        </w:rPr>
        <w:t>Clean Water Act (33 U.S.C. § 1251 et seq.) – Supporting Watershed Health Protection</w:t>
      </w:r>
      <w:r w:rsidRPr="0086443C">
        <w:t xml:space="preserve"> </w:t>
      </w:r>
    </w:p>
    <w:p w14:paraId="2BEB01E1" w14:textId="77777777" w:rsidR="0086443C" w:rsidRPr="0086443C" w:rsidRDefault="0086443C" w:rsidP="0086443C">
      <w:pPr>
        <w:numPr>
          <w:ilvl w:val="1"/>
          <w:numId w:val="17"/>
        </w:numPr>
      </w:pPr>
      <w:r w:rsidRPr="0086443C">
        <w:rPr>
          <w:b/>
          <w:bCs/>
        </w:rPr>
        <w:t>Relevance</w:t>
      </w:r>
      <w:r w:rsidRPr="0086443C">
        <w:t>: Requires protection of water quality, supporting access for sewage maintenance to prevent pollution from Triangle Lake into BWCA.</w:t>
      </w:r>
    </w:p>
    <w:p w14:paraId="71B3EAFA" w14:textId="77777777" w:rsidR="0086443C" w:rsidRPr="0086443C" w:rsidRDefault="0086443C" w:rsidP="0086443C">
      <w:pPr>
        <w:numPr>
          <w:ilvl w:val="1"/>
          <w:numId w:val="17"/>
        </w:numPr>
      </w:pPr>
      <w:r w:rsidRPr="0086443C">
        <w:rPr>
          <w:b/>
          <w:bCs/>
        </w:rPr>
        <w:t>Excerpt</w:t>
      </w:r>
      <w:r w:rsidRPr="0086443C">
        <w:t>: “(a) The objective of this chapter is to restore and maintain the chemical, physical, and biological integrity of the Nation’s waters… (7) it is the national policy that programs for the control of nonpoint sources of pollution be developed and implemented…”</w:t>
      </w:r>
    </w:p>
    <w:p w14:paraId="1E4A7BA6" w14:textId="77777777" w:rsidR="0086443C" w:rsidRPr="0086443C" w:rsidRDefault="0086443C" w:rsidP="0086443C">
      <w:pPr>
        <w:numPr>
          <w:ilvl w:val="0"/>
          <w:numId w:val="17"/>
        </w:numPr>
      </w:pPr>
      <w:r w:rsidRPr="0086443C">
        <w:rPr>
          <w:b/>
          <w:bCs/>
        </w:rPr>
        <w:t>Protection of Timber from Fire (16 U.S.C. § 594) – Supporting Federal Liability Defenses</w:t>
      </w:r>
      <w:r w:rsidRPr="0086443C">
        <w:t xml:space="preserve"> </w:t>
      </w:r>
    </w:p>
    <w:p w14:paraId="2A76487A" w14:textId="77777777" w:rsidR="0086443C" w:rsidRPr="0086443C" w:rsidRDefault="0086443C" w:rsidP="0086443C">
      <w:pPr>
        <w:numPr>
          <w:ilvl w:val="1"/>
          <w:numId w:val="17"/>
        </w:numPr>
      </w:pPr>
      <w:r w:rsidRPr="0086443C">
        <w:rPr>
          <w:b/>
          <w:bCs/>
        </w:rPr>
        <w:t>Relevance</w:t>
      </w:r>
      <w:r w:rsidRPr="0086443C">
        <w:t>: Allows the FS to recover firefighting costs for negligently caused fires, but landowners may avoid liability if FS restrictions (e.g., access denial) prevent reasonable mitigation, supporting your argument that denying access could absolve landowners federally.</w:t>
      </w:r>
    </w:p>
    <w:p w14:paraId="16C73A81" w14:textId="77777777" w:rsidR="0086443C" w:rsidRPr="0086443C" w:rsidRDefault="0086443C" w:rsidP="0086443C">
      <w:pPr>
        <w:numPr>
          <w:ilvl w:val="1"/>
          <w:numId w:val="17"/>
        </w:numPr>
      </w:pPr>
      <w:r w:rsidRPr="0086443C">
        <w:rPr>
          <w:b/>
          <w:bCs/>
        </w:rPr>
        <w:t>Excerpt</w:t>
      </w:r>
      <w:r w:rsidRPr="0086443C">
        <w:t>: “The Secretary of Agriculture is authorized to protect from fire the timber on lands under his jurisdiction, and to recover the cost thereof from any person who shall knowingly or negligently permit or cause a fire to spread to such lands…”</w:t>
      </w:r>
    </w:p>
    <w:p w14:paraId="741C1398" w14:textId="77777777" w:rsidR="0086443C" w:rsidRPr="0086443C" w:rsidRDefault="0086443C" w:rsidP="0086443C">
      <w:pPr>
        <w:numPr>
          <w:ilvl w:val="0"/>
          <w:numId w:val="17"/>
        </w:numPr>
      </w:pPr>
      <w:r w:rsidRPr="0086443C">
        <w:rPr>
          <w:b/>
          <w:bCs/>
        </w:rPr>
        <w:lastRenderedPageBreak/>
        <w:t>Federal Tort Claims Act (FTCA), 28 U.S.C. § 1346(b) – Supporting Federal Liability Defenses</w:t>
      </w:r>
      <w:r w:rsidRPr="0086443C">
        <w:t xml:space="preserve"> </w:t>
      </w:r>
    </w:p>
    <w:p w14:paraId="742898EA" w14:textId="77777777" w:rsidR="0086443C" w:rsidRPr="0086443C" w:rsidRDefault="0086443C" w:rsidP="0086443C">
      <w:pPr>
        <w:numPr>
          <w:ilvl w:val="1"/>
          <w:numId w:val="17"/>
        </w:numPr>
      </w:pPr>
      <w:r w:rsidRPr="0086443C">
        <w:rPr>
          <w:b/>
          <w:bCs/>
        </w:rPr>
        <w:t>Relevance</w:t>
      </w:r>
      <w:r w:rsidRPr="0086443C">
        <w:t>: Permits claims against the FS if their negligence (e.g., denying access, increasing fire risk) causes damage, allowing landowners to argue FS restrictions absolve liability for fire spread.</w:t>
      </w:r>
    </w:p>
    <w:p w14:paraId="547F3C06" w14:textId="77777777" w:rsidR="0086443C" w:rsidRPr="0086443C" w:rsidRDefault="0086443C" w:rsidP="0086443C">
      <w:pPr>
        <w:numPr>
          <w:ilvl w:val="1"/>
          <w:numId w:val="17"/>
        </w:numPr>
      </w:pPr>
      <w:r w:rsidRPr="0086443C">
        <w:rPr>
          <w:b/>
          <w:bCs/>
        </w:rPr>
        <w:t>Excerpt</w:t>
      </w:r>
      <w:r w:rsidRPr="0086443C">
        <w:t>: “The United States shall be liable… for money damages… for injury or loss of property… caused by the negligent or wrongful act or omission of any employee of the Government while acting within the scope of his office or employment…”</w:t>
      </w:r>
    </w:p>
    <w:p w14:paraId="302E8520" w14:textId="77777777" w:rsidR="0086443C" w:rsidRPr="0086443C" w:rsidRDefault="0086443C" w:rsidP="0086443C">
      <w:pPr>
        <w:numPr>
          <w:ilvl w:val="0"/>
          <w:numId w:val="17"/>
        </w:numPr>
      </w:pPr>
      <w:r w:rsidRPr="0086443C">
        <w:rPr>
          <w:b/>
          <w:bCs/>
        </w:rPr>
        <w:t>United States v. Jenks, 22 F.3d 1513 (10th Cir. 1994) – Supporting Pre-Existing Access Rights</w:t>
      </w:r>
      <w:r w:rsidRPr="0086443C">
        <w:t xml:space="preserve"> </w:t>
      </w:r>
    </w:p>
    <w:p w14:paraId="03B5F964" w14:textId="77777777" w:rsidR="0086443C" w:rsidRPr="0086443C" w:rsidRDefault="0086443C" w:rsidP="0086443C">
      <w:pPr>
        <w:numPr>
          <w:ilvl w:val="1"/>
          <w:numId w:val="17"/>
        </w:numPr>
      </w:pPr>
      <w:r w:rsidRPr="0086443C">
        <w:rPr>
          <w:b/>
          <w:bCs/>
        </w:rPr>
        <w:t>Relevance</w:t>
      </w:r>
      <w:r w:rsidRPr="0086443C">
        <w:t xml:space="preserve">: Affirms that inholding owners retain access rights under ANILCA, even in restricted areas, if historical use or necessity (e.g., safety) is shown, supporting your historical trails in </w:t>
      </w:r>
      <w:proofErr w:type="gramStart"/>
      <w:r w:rsidRPr="0086443C">
        <w:t>Greenstone Lake</w:t>
      </w:r>
      <w:proofErr w:type="gramEnd"/>
      <w:r w:rsidRPr="0086443C">
        <w:t xml:space="preserve"> East.</w:t>
      </w:r>
    </w:p>
    <w:p w14:paraId="772D1FDB" w14:textId="77777777" w:rsidR="0086443C" w:rsidRPr="0086443C" w:rsidRDefault="0086443C" w:rsidP="0086443C">
      <w:pPr>
        <w:numPr>
          <w:ilvl w:val="1"/>
          <w:numId w:val="17"/>
        </w:numPr>
      </w:pPr>
      <w:r w:rsidRPr="0086443C">
        <w:rPr>
          <w:b/>
          <w:bCs/>
        </w:rPr>
        <w:t>Excerpt</w:t>
      </w:r>
      <w:r w:rsidRPr="0086443C">
        <w:t xml:space="preserve">: “ANILCA guarantees access to inholdings… The Forest Service may impose reasonable conditions, but it cannot deny access outright where historical use or statutory rights </w:t>
      </w:r>
      <w:proofErr w:type="gramStart"/>
      <w:r w:rsidRPr="0086443C">
        <w:t>exist.”</w:t>
      </w:r>
      <w:proofErr w:type="gramEnd"/>
    </w:p>
    <w:p w14:paraId="192C0D0C" w14:textId="77777777" w:rsidR="0086443C" w:rsidRPr="0086443C" w:rsidRDefault="0086443C" w:rsidP="0086443C">
      <w:pPr>
        <w:numPr>
          <w:ilvl w:val="0"/>
          <w:numId w:val="17"/>
        </w:numPr>
      </w:pPr>
      <w:r w:rsidRPr="0086443C">
        <w:rPr>
          <w:b/>
          <w:bCs/>
        </w:rPr>
        <w:t xml:space="preserve">Montana Wilderness </w:t>
      </w:r>
      <w:proofErr w:type="spellStart"/>
      <w:r w:rsidRPr="0086443C">
        <w:rPr>
          <w:b/>
          <w:bCs/>
        </w:rPr>
        <w:t>Ass’n</w:t>
      </w:r>
      <w:proofErr w:type="spellEnd"/>
      <w:r w:rsidRPr="0086443C">
        <w:rPr>
          <w:b/>
          <w:bCs/>
        </w:rPr>
        <w:t xml:space="preserve"> v. United States Forest Service, 496 F. Supp. 880 (D. Mont. 1980) – Supporting Pre-Existing Access Rights</w:t>
      </w:r>
      <w:r w:rsidRPr="0086443C">
        <w:t xml:space="preserve"> </w:t>
      </w:r>
    </w:p>
    <w:p w14:paraId="49FD3BD5" w14:textId="77777777" w:rsidR="0086443C" w:rsidRPr="0086443C" w:rsidRDefault="0086443C" w:rsidP="0086443C">
      <w:pPr>
        <w:numPr>
          <w:ilvl w:val="1"/>
          <w:numId w:val="17"/>
        </w:numPr>
      </w:pPr>
      <w:r w:rsidRPr="0086443C">
        <w:rPr>
          <w:b/>
          <w:bCs/>
        </w:rPr>
        <w:t>Relevance</w:t>
      </w:r>
      <w:r w:rsidRPr="0086443C">
        <w:t>: Rules that roadless restrictions cannot override pre-existing access rights or statutory mandates like ANILCA, supporting your claim to restore historical trail access.</w:t>
      </w:r>
    </w:p>
    <w:p w14:paraId="12ED363E" w14:textId="77777777" w:rsidR="0086443C" w:rsidRPr="0086443C" w:rsidRDefault="0086443C" w:rsidP="0086443C">
      <w:pPr>
        <w:numPr>
          <w:ilvl w:val="1"/>
          <w:numId w:val="17"/>
        </w:numPr>
      </w:pPr>
      <w:r w:rsidRPr="0086443C">
        <w:rPr>
          <w:b/>
          <w:bCs/>
        </w:rPr>
        <w:t>Excerpt</w:t>
      </w:r>
      <w:r w:rsidRPr="0086443C">
        <w:t>: “The Forest Service cannot use roadless designations to eliminate access rights… where such rights predate the designation or are necessary under statutory provisions.”</w:t>
      </w:r>
    </w:p>
    <w:p w14:paraId="3146B686" w14:textId="77777777" w:rsidR="0086443C" w:rsidRPr="0086443C" w:rsidRDefault="0086443C" w:rsidP="0086443C">
      <w:pPr>
        <w:numPr>
          <w:ilvl w:val="0"/>
          <w:numId w:val="17"/>
        </w:numPr>
      </w:pPr>
      <w:r w:rsidRPr="0086443C">
        <w:rPr>
          <w:b/>
          <w:bCs/>
        </w:rPr>
        <w:t>United States v. Sierra Pacific Industries (2012) – Supporting Liability Defenses</w:t>
      </w:r>
      <w:r w:rsidRPr="0086443C">
        <w:t xml:space="preserve"> </w:t>
      </w:r>
    </w:p>
    <w:p w14:paraId="00D50FE5" w14:textId="77777777" w:rsidR="0086443C" w:rsidRPr="0086443C" w:rsidRDefault="0086443C" w:rsidP="0086443C">
      <w:pPr>
        <w:numPr>
          <w:ilvl w:val="1"/>
          <w:numId w:val="17"/>
        </w:numPr>
      </w:pPr>
      <w:r w:rsidRPr="0086443C">
        <w:rPr>
          <w:b/>
          <w:bCs/>
        </w:rPr>
        <w:t>Relevance</w:t>
      </w:r>
      <w:r w:rsidRPr="0086443C">
        <w:t>: Reduced liability where external factors (e.g., government actions) contributed to fire spread, supporting that FS restrictions on mitigation could absolve landowners federally.</w:t>
      </w:r>
    </w:p>
    <w:p w14:paraId="08CF762C" w14:textId="77777777" w:rsidR="0086443C" w:rsidRPr="0086443C" w:rsidRDefault="0086443C" w:rsidP="0086443C">
      <w:pPr>
        <w:numPr>
          <w:ilvl w:val="1"/>
          <w:numId w:val="17"/>
        </w:numPr>
      </w:pPr>
      <w:r w:rsidRPr="0086443C">
        <w:rPr>
          <w:b/>
          <w:bCs/>
        </w:rPr>
        <w:t>Excerpt</w:t>
      </w:r>
      <w:r w:rsidRPr="0086443C">
        <w:t>: “The court reduced liability where negligence required clear evidence of failure to act reasonably, and external factors mitigated fault.”</w:t>
      </w:r>
    </w:p>
    <w:p w14:paraId="19F52F62" w14:textId="77777777" w:rsidR="0086443C" w:rsidRPr="0086443C" w:rsidRDefault="0086443C" w:rsidP="0086443C">
      <w:pPr>
        <w:numPr>
          <w:ilvl w:val="0"/>
          <w:numId w:val="17"/>
        </w:numPr>
      </w:pPr>
      <w:r w:rsidRPr="0086443C">
        <w:rPr>
          <w:b/>
          <w:bCs/>
        </w:rPr>
        <w:lastRenderedPageBreak/>
        <w:t>Anderson v. United States, 55 F.3d 1379 (9th Cir. 1995) – Supporting Federal Liability Defenses</w:t>
      </w:r>
      <w:r w:rsidRPr="0086443C">
        <w:t xml:space="preserve"> </w:t>
      </w:r>
    </w:p>
    <w:p w14:paraId="6E2786D2" w14:textId="77777777" w:rsidR="0086443C" w:rsidRPr="0086443C" w:rsidRDefault="0086443C" w:rsidP="0086443C">
      <w:pPr>
        <w:numPr>
          <w:ilvl w:val="1"/>
          <w:numId w:val="17"/>
        </w:numPr>
      </w:pPr>
      <w:r w:rsidRPr="0086443C">
        <w:rPr>
          <w:b/>
          <w:bCs/>
        </w:rPr>
        <w:t>Relevance</w:t>
      </w:r>
      <w:r w:rsidRPr="0086443C">
        <w:t>: Allowed counterclaims against the FS under FTCA if their negligence in fire management contributed to damage, supporting absolving landowners if FS denial of access prevents mitigation.</w:t>
      </w:r>
    </w:p>
    <w:p w14:paraId="7D6C2208" w14:textId="77777777" w:rsidR="0086443C" w:rsidRPr="0086443C" w:rsidRDefault="0086443C" w:rsidP="0086443C">
      <w:pPr>
        <w:numPr>
          <w:ilvl w:val="1"/>
          <w:numId w:val="17"/>
        </w:numPr>
      </w:pPr>
      <w:r w:rsidRPr="0086443C">
        <w:rPr>
          <w:b/>
          <w:bCs/>
        </w:rPr>
        <w:t>Excerpt</w:t>
      </w:r>
      <w:r w:rsidRPr="0086443C">
        <w:t>: “Government negligence in fire management reduced liability claims against private parties, as restrictions limited reasonable actions.”</w:t>
      </w:r>
    </w:p>
    <w:p w14:paraId="7E4DABBA" w14:textId="71451B56" w:rsidR="0086443C" w:rsidRPr="003237C2" w:rsidRDefault="0086443C" w:rsidP="0086443C"/>
    <w:sectPr w:rsidR="0086443C" w:rsidRPr="003237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3CF3"/>
    <w:multiLevelType w:val="multilevel"/>
    <w:tmpl w:val="D99A89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2D4364"/>
    <w:multiLevelType w:val="multilevel"/>
    <w:tmpl w:val="1604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B28FC"/>
    <w:multiLevelType w:val="multilevel"/>
    <w:tmpl w:val="F90A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94577"/>
    <w:multiLevelType w:val="multilevel"/>
    <w:tmpl w:val="4472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AB39D0"/>
    <w:multiLevelType w:val="multilevel"/>
    <w:tmpl w:val="1E9A3A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117060"/>
    <w:multiLevelType w:val="multilevel"/>
    <w:tmpl w:val="A34899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842DE4"/>
    <w:multiLevelType w:val="multilevel"/>
    <w:tmpl w:val="8302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A5E0B"/>
    <w:multiLevelType w:val="multilevel"/>
    <w:tmpl w:val="123C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7B46B4"/>
    <w:multiLevelType w:val="multilevel"/>
    <w:tmpl w:val="6894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66DF5"/>
    <w:multiLevelType w:val="multilevel"/>
    <w:tmpl w:val="5866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216267"/>
    <w:multiLevelType w:val="multilevel"/>
    <w:tmpl w:val="90429C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937A9E"/>
    <w:multiLevelType w:val="multilevel"/>
    <w:tmpl w:val="933011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E31D54"/>
    <w:multiLevelType w:val="multilevel"/>
    <w:tmpl w:val="BA2C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224C5"/>
    <w:multiLevelType w:val="multilevel"/>
    <w:tmpl w:val="A6D02200"/>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67D2F"/>
    <w:multiLevelType w:val="multilevel"/>
    <w:tmpl w:val="AF98E2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EF6373"/>
    <w:multiLevelType w:val="multilevel"/>
    <w:tmpl w:val="E0C6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946DCF"/>
    <w:multiLevelType w:val="multilevel"/>
    <w:tmpl w:val="C85876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2154895">
    <w:abstractNumId w:val="1"/>
  </w:num>
  <w:num w:numId="2" w16cid:durableId="2138602480">
    <w:abstractNumId w:val="7"/>
  </w:num>
  <w:num w:numId="3" w16cid:durableId="1302493650">
    <w:abstractNumId w:val="6"/>
  </w:num>
  <w:num w:numId="4" w16cid:durableId="304507682">
    <w:abstractNumId w:val="9"/>
  </w:num>
  <w:num w:numId="5" w16cid:durableId="276565868">
    <w:abstractNumId w:val="11"/>
  </w:num>
  <w:num w:numId="6" w16cid:durableId="1676881643">
    <w:abstractNumId w:val="3"/>
  </w:num>
  <w:num w:numId="7" w16cid:durableId="714239279">
    <w:abstractNumId w:val="8"/>
  </w:num>
  <w:num w:numId="8" w16cid:durableId="254561862">
    <w:abstractNumId w:val="16"/>
  </w:num>
  <w:num w:numId="9" w16cid:durableId="196620491">
    <w:abstractNumId w:val="15"/>
  </w:num>
  <w:num w:numId="10" w16cid:durableId="1047874352">
    <w:abstractNumId w:val="2"/>
  </w:num>
  <w:num w:numId="11" w16cid:durableId="1662656736">
    <w:abstractNumId w:val="10"/>
  </w:num>
  <w:num w:numId="12" w16cid:durableId="48264311">
    <w:abstractNumId w:val="5"/>
  </w:num>
  <w:num w:numId="13" w16cid:durableId="1329867773">
    <w:abstractNumId w:val="0"/>
  </w:num>
  <w:num w:numId="14" w16cid:durableId="1062366497">
    <w:abstractNumId w:val="12"/>
  </w:num>
  <w:num w:numId="15" w16cid:durableId="1929997000">
    <w:abstractNumId w:val="13"/>
  </w:num>
  <w:num w:numId="16" w16cid:durableId="1702629183">
    <w:abstractNumId w:val="14"/>
  </w:num>
  <w:num w:numId="17" w16cid:durableId="1327435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72"/>
    <w:rsid w:val="000476CF"/>
    <w:rsid w:val="000528F4"/>
    <w:rsid w:val="0006156D"/>
    <w:rsid w:val="000934E6"/>
    <w:rsid w:val="001338F2"/>
    <w:rsid w:val="001633CF"/>
    <w:rsid w:val="003521B2"/>
    <w:rsid w:val="00455865"/>
    <w:rsid w:val="00465210"/>
    <w:rsid w:val="00476B20"/>
    <w:rsid w:val="00553BFE"/>
    <w:rsid w:val="00816883"/>
    <w:rsid w:val="008540CB"/>
    <w:rsid w:val="0086443C"/>
    <w:rsid w:val="00892D84"/>
    <w:rsid w:val="00A83832"/>
    <w:rsid w:val="00BE471A"/>
    <w:rsid w:val="00C92378"/>
    <w:rsid w:val="00D23CFF"/>
    <w:rsid w:val="00E27536"/>
    <w:rsid w:val="00F1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A05B7"/>
  <w15:chartTrackingRefBased/>
  <w15:docId w15:val="{FE0B7ECB-3DE0-464A-B040-EBC4A85A5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5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5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55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55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55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55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55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55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55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5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55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55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55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55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55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5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5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572"/>
    <w:rPr>
      <w:rFonts w:eastAsiaTheme="majorEastAsia" w:cstheme="majorBidi"/>
      <w:color w:val="272727" w:themeColor="text1" w:themeTint="D8"/>
    </w:rPr>
  </w:style>
  <w:style w:type="paragraph" w:styleId="Title">
    <w:name w:val="Title"/>
    <w:basedOn w:val="Normal"/>
    <w:next w:val="Normal"/>
    <w:link w:val="TitleChar"/>
    <w:uiPriority w:val="10"/>
    <w:qFormat/>
    <w:rsid w:val="00F15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5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5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55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572"/>
    <w:pPr>
      <w:spacing w:before="160"/>
      <w:jc w:val="center"/>
    </w:pPr>
    <w:rPr>
      <w:i/>
      <w:iCs/>
      <w:color w:val="404040" w:themeColor="text1" w:themeTint="BF"/>
    </w:rPr>
  </w:style>
  <w:style w:type="character" w:customStyle="1" w:styleId="QuoteChar">
    <w:name w:val="Quote Char"/>
    <w:basedOn w:val="DefaultParagraphFont"/>
    <w:link w:val="Quote"/>
    <w:uiPriority w:val="29"/>
    <w:rsid w:val="00F15572"/>
    <w:rPr>
      <w:i/>
      <w:iCs/>
      <w:color w:val="404040" w:themeColor="text1" w:themeTint="BF"/>
    </w:rPr>
  </w:style>
  <w:style w:type="paragraph" w:styleId="ListParagraph">
    <w:name w:val="List Paragraph"/>
    <w:basedOn w:val="Normal"/>
    <w:uiPriority w:val="34"/>
    <w:qFormat/>
    <w:rsid w:val="00F15572"/>
    <w:pPr>
      <w:ind w:left="720"/>
      <w:contextualSpacing/>
    </w:pPr>
  </w:style>
  <w:style w:type="character" w:styleId="IntenseEmphasis">
    <w:name w:val="Intense Emphasis"/>
    <w:basedOn w:val="DefaultParagraphFont"/>
    <w:uiPriority w:val="21"/>
    <w:qFormat/>
    <w:rsid w:val="00F15572"/>
    <w:rPr>
      <w:i/>
      <w:iCs/>
      <w:color w:val="0F4761" w:themeColor="accent1" w:themeShade="BF"/>
    </w:rPr>
  </w:style>
  <w:style w:type="paragraph" w:styleId="IntenseQuote">
    <w:name w:val="Intense Quote"/>
    <w:basedOn w:val="Normal"/>
    <w:next w:val="Normal"/>
    <w:link w:val="IntenseQuoteChar"/>
    <w:uiPriority w:val="30"/>
    <w:qFormat/>
    <w:rsid w:val="00F15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5572"/>
    <w:rPr>
      <w:i/>
      <w:iCs/>
      <w:color w:val="0F4761" w:themeColor="accent1" w:themeShade="BF"/>
    </w:rPr>
  </w:style>
  <w:style w:type="character" w:styleId="IntenseReference">
    <w:name w:val="Intense Reference"/>
    <w:basedOn w:val="DefaultParagraphFont"/>
    <w:uiPriority w:val="32"/>
    <w:qFormat/>
    <w:rsid w:val="00F15572"/>
    <w:rPr>
      <w:b/>
      <w:bCs/>
      <w:smallCaps/>
      <w:color w:val="0F4761" w:themeColor="accent1" w:themeShade="BF"/>
      <w:spacing w:val="5"/>
    </w:rPr>
  </w:style>
  <w:style w:type="character" w:styleId="Hyperlink">
    <w:name w:val="Hyperlink"/>
    <w:basedOn w:val="DefaultParagraphFont"/>
    <w:uiPriority w:val="99"/>
    <w:unhideWhenUsed/>
    <w:rsid w:val="00465210"/>
    <w:rPr>
      <w:color w:val="467886" w:themeColor="hyperlink"/>
      <w:u w:val="single"/>
    </w:rPr>
  </w:style>
  <w:style w:type="character" w:styleId="UnresolvedMention">
    <w:name w:val="Unresolved Mention"/>
    <w:basedOn w:val="DefaultParagraphFont"/>
    <w:uiPriority w:val="99"/>
    <w:semiHidden/>
    <w:unhideWhenUsed/>
    <w:rsid w:val="00465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1986</Words>
  <Characters>11322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Venjohn</dc:creator>
  <cp:keywords/>
  <dc:description/>
  <cp:lastModifiedBy>Troy Venjohn</cp:lastModifiedBy>
  <cp:revision>5</cp:revision>
  <dcterms:created xsi:type="dcterms:W3CDTF">2025-08-07T00:28:00Z</dcterms:created>
  <dcterms:modified xsi:type="dcterms:W3CDTF">2025-08-10T21:12:00Z</dcterms:modified>
</cp:coreProperties>
</file>