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Supplement to Domestic Sheep Analysis:</w:t>
      </w:r>
    </w:p>
    <w:p>
      <w:pPr>
        <w:pStyle w:val="Heading1"/>
      </w:pPr>
      <w:r>
        <w:t>Environmental Risk Assessment for Lungworm Persistence and Transmission</w:t>
      </w:r>
    </w:p>
    <w:p>
      <w:pPr>
        <w:pStyle w:val="Heading2"/>
      </w:pPr>
      <w:r>
        <w:t>I. Introduction</w:t>
      </w:r>
    </w:p>
    <w:p>
      <w:pPr>
        <w:pStyle w:val="ListBullet"/>
      </w:pPr>
      <w:r>
        <w:t>Purpose: To strengthen current domestic sheep risk assessments by integrating ecological variables associated with parasite persistence, focusing on lungworms (e.g., Protostrongylus, Muellerius) and their intermediate hosts.</w:t>
      </w:r>
    </w:p>
    <w:p>
      <w:pPr>
        <w:pStyle w:val="ListBullet"/>
      </w:pPr>
      <w:r>
        <w:t>Justification: Traditional assessments emphasize direct contact but underrepresent indirect transmission via gastropod-mediated lifecycle stages and environmental carryover.</w:t>
      </w:r>
    </w:p>
    <w:p>
      <w:pPr>
        <w:pStyle w:val="Heading2"/>
      </w:pPr>
      <w:r>
        <w:t>II. Target Parasites and Lifecycle Overview</w:t>
      </w:r>
    </w:p>
    <w:p>
      <w:pPr>
        <w:pStyle w:val="ListBullet"/>
      </w:pPr>
      <w:r>
        <w:t>Target species: Protostrongylus stilesi, Muellerius capillaris, Parelaphostrongylus spp.</w:t>
      </w:r>
    </w:p>
    <w:p>
      <w:pPr>
        <w:pStyle w:val="ListBullet"/>
      </w:pPr>
      <w:r>
        <w:t>Lifecycle: L1 in feces → Gastropod ingestion → Development to L3 → Ingestion by sheep or wild ungulates.</w:t>
      </w:r>
    </w:p>
    <w:p>
      <w:pPr>
        <w:pStyle w:val="ListBullet"/>
      </w:pPr>
      <w:r>
        <w:t>Control points: Fecal contamination zones, Gastropod habitat suitability, Overwintering potential of infective stages.</w:t>
      </w:r>
    </w:p>
    <w:p>
      <w:pPr>
        <w:pStyle w:val="Heading2"/>
      </w:pPr>
      <w:r>
        <w:t>III. Ecological and Environmental Variables for Risk Mapping</w:t>
      </w:r>
    </w:p>
    <w:p>
      <w:pPr>
        <w:pStyle w:val="Heading3"/>
      </w:pPr>
      <w:r>
        <w:t>Environmental Variables Table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Variable</w:t>
            </w:r>
          </w:p>
        </w:tc>
        <w:tc>
          <w:tcPr>
            <w:tcW w:type="dxa" w:w="2160"/>
          </w:tcPr>
          <w:p>
            <w:r>
              <w:t>Description</w:t>
            </w:r>
          </w:p>
        </w:tc>
        <w:tc>
          <w:tcPr>
            <w:tcW w:type="dxa" w:w="2160"/>
          </w:tcPr>
          <w:p>
            <w:r>
              <w:t>Assessment Method</w:t>
            </w:r>
          </w:p>
        </w:tc>
        <w:tc>
          <w:tcPr>
            <w:tcW w:type="dxa" w:w="2160"/>
          </w:tcPr>
          <w:p>
            <w:r>
              <w:t>Risk Implication</w:t>
            </w:r>
          </w:p>
        </w:tc>
      </w:tr>
      <w:tr>
        <w:tc>
          <w:tcPr>
            <w:tcW w:type="dxa" w:w="2160"/>
          </w:tcPr>
          <w:p>
            <w:r>
              <w:t>Soil Moisture</w:t>
            </w:r>
          </w:p>
        </w:tc>
        <w:tc>
          <w:tcPr>
            <w:tcW w:type="dxa" w:w="2160"/>
          </w:tcPr>
          <w:p>
            <w:r>
              <w:t>High moisture supports gastropod life and larval survival</w:t>
            </w:r>
          </w:p>
        </w:tc>
        <w:tc>
          <w:tcPr>
            <w:tcW w:type="dxa" w:w="2160"/>
          </w:tcPr>
          <w:p>
            <w:r>
              <w:t>Soil sensors, field observation, NDVI</w:t>
            </w:r>
          </w:p>
        </w:tc>
        <w:tc>
          <w:tcPr>
            <w:tcW w:type="dxa" w:w="2160"/>
          </w:tcPr>
          <w:p>
            <w:r>
              <w:t>Increased L1/L3 persistence</w:t>
            </w:r>
          </w:p>
        </w:tc>
      </w:tr>
      <w:tr>
        <w:tc>
          <w:tcPr>
            <w:tcW w:type="dxa" w:w="2160"/>
          </w:tcPr>
          <w:p>
            <w:r>
              <w:t>Vegetation Type</w:t>
            </w:r>
          </w:p>
        </w:tc>
        <w:tc>
          <w:tcPr>
            <w:tcW w:type="dxa" w:w="2160"/>
          </w:tcPr>
          <w:p>
            <w:r>
              <w:t>Lush, low-lying vegetation supports slugs/snails</w:t>
            </w:r>
          </w:p>
        </w:tc>
        <w:tc>
          <w:tcPr>
            <w:tcW w:type="dxa" w:w="2160"/>
          </w:tcPr>
          <w:p>
            <w:r>
              <w:t>USGS Land Cover maps, field surveys</w:t>
            </w:r>
          </w:p>
        </w:tc>
        <w:tc>
          <w:tcPr>
            <w:tcW w:type="dxa" w:w="2160"/>
          </w:tcPr>
          <w:p>
            <w:r>
              <w:t>Higher intermediate host presence</w:t>
            </w:r>
          </w:p>
        </w:tc>
      </w:tr>
      <w:tr>
        <w:tc>
          <w:tcPr>
            <w:tcW w:type="dxa" w:w="2160"/>
          </w:tcPr>
          <w:p>
            <w:r>
              <w:t>Slope Aspect</w:t>
            </w:r>
          </w:p>
        </w:tc>
        <w:tc>
          <w:tcPr>
            <w:tcW w:type="dxa" w:w="2160"/>
          </w:tcPr>
          <w:p>
            <w:r>
              <w:t>North-facing slopes retain moisture and shade</w:t>
            </w:r>
          </w:p>
        </w:tc>
        <w:tc>
          <w:tcPr>
            <w:tcW w:type="dxa" w:w="2160"/>
          </w:tcPr>
          <w:p>
            <w:r>
              <w:t>DEM analysis</w:t>
            </w:r>
          </w:p>
        </w:tc>
        <w:tc>
          <w:tcPr>
            <w:tcW w:type="dxa" w:w="2160"/>
          </w:tcPr>
          <w:p>
            <w:r>
              <w:t>Favorable gastropod microclimate</w:t>
            </w:r>
          </w:p>
        </w:tc>
      </w:tr>
      <w:tr>
        <w:tc>
          <w:tcPr>
            <w:tcW w:type="dxa" w:w="2160"/>
          </w:tcPr>
          <w:p>
            <w:r>
              <w:t>Elevation</w:t>
            </w:r>
          </w:p>
        </w:tc>
        <w:tc>
          <w:tcPr>
            <w:tcW w:type="dxa" w:w="2160"/>
          </w:tcPr>
          <w:p>
            <w:r>
              <w:t>Higher elevations slow decomposition but allow larval survival</w:t>
            </w:r>
          </w:p>
        </w:tc>
        <w:tc>
          <w:tcPr>
            <w:tcW w:type="dxa" w:w="2160"/>
          </w:tcPr>
          <w:p>
            <w:r>
              <w:t>GIS elevation layers</w:t>
            </w:r>
          </w:p>
        </w:tc>
        <w:tc>
          <w:tcPr>
            <w:tcW w:type="dxa" w:w="2160"/>
          </w:tcPr>
          <w:p>
            <w:r>
              <w:t>Longer larval survival</w:t>
            </w:r>
          </w:p>
        </w:tc>
      </w:tr>
      <w:tr>
        <w:tc>
          <w:tcPr>
            <w:tcW w:type="dxa" w:w="2160"/>
          </w:tcPr>
          <w:p>
            <w:r>
              <w:t>Proximity to Water</w:t>
            </w:r>
          </w:p>
        </w:tc>
        <w:tc>
          <w:tcPr>
            <w:tcW w:type="dxa" w:w="2160"/>
          </w:tcPr>
          <w:p>
            <w:r>
              <w:t>Springs, seeps, wet meadows attract gastropods</w:t>
            </w:r>
          </w:p>
        </w:tc>
        <w:tc>
          <w:tcPr>
            <w:tcW w:type="dxa" w:w="2160"/>
          </w:tcPr>
          <w:p>
            <w:r>
              <w:t>Hydrologic maps, inspection</w:t>
            </w:r>
          </w:p>
        </w:tc>
        <w:tc>
          <w:tcPr>
            <w:tcW w:type="dxa" w:w="2160"/>
          </w:tcPr>
          <w:p>
            <w:r>
              <w:t>Increased exposure sites</w:t>
            </w:r>
          </w:p>
        </w:tc>
      </w:tr>
      <w:tr>
        <w:tc>
          <w:tcPr>
            <w:tcW w:type="dxa" w:w="2160"/>
          </w:tcPr>
          <w:p>
            <w:r>
              <w:t>Temperature Range</w:t>
            </w:r>
          </w:p>
        </w:tc>
        <w:tc>
          <w:tcPr>
            <w:tcW w:type="dxa" w:w="2160"/>
          </w:tcPr>
          <w:p>
            <w:r>
              <w:t>Moderate temps extend larval/gastropod viability</w:t>
            </w:r>
          </w:p>
        </w:tc>
        <w:tc>
          <w:tcPr>
            <w:tcW w:type="dxa" w:w="2160"/>
          </w:tcPr>
          <w:p>
            <w:r>
              <w:t>Weather stations, PRISM data</w:t>
            </w:r>
          </w:p>
        </w:tc>
        <w:tc>
          <w:tcPr>
            <w:tcW w:type="dxa" w:w="2160"/>
          </w:tcPr>
          <w:p>
            <w:r>
              <w:t>Seasonal risk zones</w:t>
            </w:r>
          </w:p>
        </w:tc>
      </w:tr>
      <w:tr>
        <w:tc>
          <w:tcPr>
            <w:tcW w:type="dxa" w:w="2160"/>
          </w:tcPr>
          <w:p>
            <w:r>
              <w:t>Livestock Sites</w:t>
            </w:r>
          </w:p>
        </w:tc>
        <w:tc>
          <w:tcPr>
            <w:tcW w:type="dxa" w:w="2160"/>
          </w:tcPr>
          <w:p>
            <w:r>
              <w:t>Repeated defecation concentrates L1 larvae</w:t>
            </w:r>
          </w:p>
        </w:tc>
        <w:tc>
          <w:tcPr>
            <w:tcW w:type="dxa" w:w="2160"/>
          </w:tcPr>
          <w:p>
            <w:r>
              <w:t>Grazing maps, logs</w:t>
            </w:r>
          </w:p>
        </w:tc>
        <w:tc>
          <w:tcPr>
            <w:tcW w:type="dxa" w:w="2160"/>
          </w:tcPr>
          <w:p>
            <w:r>
              <w:t>Point-source contamination</w:t>
            </w:r>
          </w:p>
        </w:tc>
      </w:tr>
      <w:tr>
        <w:tc>
          <w:tcPr>
            <w:tcW w:type="dxa" w:w="2160"/>
          </w:tcPr>
          <w:p>
            <w:r>
              <w:t>Wildlife Corridors</w:t>
            </w:r>
          </w:p>
        </w:tc>
        <w:tc>
          <w:tcPr>
            <w:tcW w:type="dxa" w:w="2160"/>
          </w:tcPr>
          <w:p>
            <w:r>
              <w:t>Interface with wildlife extends exposure</w:t>
            </w:r>
          </w:p>
        </w:tc>
        <w:tc>
          <w:tcPr>
            <w:tcW w:type="dxa" w:w="2160"/>
          </w:tcPr>
          <w:p>
            <w:r>
              <w:t>GPS collar data, camera traps</w:t>
            </w:r>
          </w:p>
        </w:tc>
        <w:tc>
          <w:tcPr>
            <w:tcW w:type="dxa" w:w="2160"/>
          </w:tcPr>
          <w:p>
            <w:r>
              <w:t>Extended host range</w:t>
            </w:r>
          </w:p>
        </w:tc>
      </w:tr>
    </w:tbl>
    <w:p>
      <w:pPr>
        <w:pStyle w:val="Heading2"/>
      </w:pPr>
      <w:r>
        <w:t>IV. Allotment-Specific Risk Modeling Recommendations</w:t>
      </w:r>
    </w:p>
    <w:p>
      <w:r>
        <w:t>1. Overlay risk variables on current and historic grazing boundaries using GIS.</w:t>
      </w:r>
    </w:p>
    <w:p>
      <w:r>
        <w:t>2. Develop seasonal risk maps (e.g., early season vs late season grazing).</w:t>
      </w:r>
    </w:p>
    <w:p>
      <w:r>
        <w:t>3. Assign a Lungworm Persistence Index (LPI) to each allotment (scaled 0–3).</w:t>
      </w:r>
    </w:p>
    <w:p>
      <w:pPr>
        <w:pStyle w:val="Heading2"/>
      </w:pPr>
      <w:r>
        <w:t>V. Surveillance and Monitoring Recommendations</w:t>
      </w:r>
    </w:p>
    <w:p>
      <w:r>
        <w:t>• Fecal Larval Counts (Baermann test) on sheep before and after grazing.</w:t>
      </w:r>
    </w:p>
    <w:p>
      <w:r>
        <w:t>• Slug/snail trapping and dissection in moist habitats.</w:t>
      </w:r>
    </w:p>
    <w:p>
      <w:r>
        <w:t>• eDNA sampling at springs for lungworm DNA.</w:t>
      </w:r>
    </w:p>
    <w:p>
      <w:r>
        <w:t>• Wildlife pellet analysis for cross-host exposure.</w:t>
      </w:r>
    </w:p>
    <w:p>
      <w:pPr>
        <w:pStyle w:val="Heading2"/>
      </w:pPr>
      <w:r>
        <w:t>VI. Management Implications</w:t>
      </w:r>
    </w:p>
    <w:p>
      <w:r>
        <w:t>• Targeted allotment closures in high LPI zones.</w:t>
      </w:r>
    </w:p>
    <w:p>
      <w:r>
        <w:t>• Rotational grazing to reduce larval buildup.</w:t>
      </w:r>
    </w:p>
    <w:p>
      <w:r>
        <w:t>• Delay re-entry for up to a year.</w:t>
      </w:r>
    </w:p>
    <w:p>
      <w:r>
        <w:t>• Restoration of spring sites to reduce gastropod habitat.</w:t>
      </w:r>
    </w:p>
    <w:p>
      <w:pPr>
        <w:pStyle w:val="Heading2"/>
      </w:pPr>
      <w:r>
        <w:t>VII. Policy Integration Recommendations</w:t>
      </w:r>
    </w:p>
    <w:p>
      <w:r>
        <w:t>• Incorporate LPI into NEPA evaluations.</w:t>
      </w:r>
    </w:p>
    <w:p>
      <w:r>
        <w:t>• Coordinate among USFS, Utah DWR, BLM, conservation districts.</w:t>
      </w:r>
    </w:p>
    <w:p>
      <w:r>
        <w:t>• Link lungworm risk into bighorn-wild sheep interface plans.</w:t>
      </w:r>
    </w:p>
    <w:p>
      <w:pPr>
        <w:pStyle w:val="Heading2"/>
      </w:pPr>
      <w:r>
        <w:t>VIII. Appendices</w:t>
      </w:r>
    </w:p>
    <w:p>
      <w:r>
        <w:t>A. Sample LPI Calculation Worksheet</w:t>
      </w:r>
    </w:p>
    <w:p>
      <w:r>
        <w:t>B. Field Survey Protocol</w:t>
      </w:r>
    </w:p>
    <w:p>
      <w:r>
        <w:t>C. Annotated Bibliography</w:t>
      </w:r>
    </w:p>
    <w:p>
      <w:r>
        <w:t>D. Historical Allotment vs Die-off Timeline</w:t>
      </w:r>
    </w:p>
    <w:p>
      <w:pPr>
        <w:pStyle w:val="Heading3"/>
      </w:pPr>
      <w:r>
        <w:t>A. Sample LPI Calculation Worksheet</w:t>
      </w:r>
    </w:p>
    <w:p>
      <w:pPr>
        <w:pStyle w:val="ListBullet"/>
      </w:pPr>
      <w:r>
        <w:t>Variable Scoring (0–3 scale for each):</w:t>
      </w:r>
    </w:p>
    <w:p>
      <w:pPr>
        <w:pStyle w:val="ListBullet"/>
      </w:pPr>
      <w:r>
        <w:t>- Soil Moisture: 0 (dry) to 3 (consistently moist)</w:t>
      </w:r>
    </w:p>
    <w:p>
      <w:pPr>
        <w:pStyle w:val="ListBullet"/>
      </w:pPr>
      <w:r>
        <w:t>- Vegetation Type: 0 (arid, sparse) to 3 (lush, shaded)</w:t>
      </w:r>
    </w:p>
    <w:p>
      <w:pPr>
        <w:pStyle w:val="ListBullet"/>
      </w:pPr>
      <w:r>
        <w:t>- Proximity to Water: 0 (&gt;500m) to 3 (&lt;50m)</w:t>
      </w:r>
    </w:p>
    <w:p>
      <w:pPr>
        <w:pStyle w:val="ListBullet"/>
      </w:pPr>
      <w:r>
        <w:t>- Wildlife Overlap: 0 (none) to 3 (frequent use)</w:t>
      </w:r>
    </w:p>
    <w:p>
      <w:pPr>
        <w:pStyle w:val="ListBullet"/>
      </w:pPr>
      <w:r>
        <w:t>- Temperature Range: 0 (extreme) to 3 (mild)</w:t>
      </w:r>
    </w:p>
    <w:p>
      <w:pPr>
        <w:pStyle w:val="ListBullet"/>
      </w:pPr>
      <w:r>
        <w:t>Total Score Range: 0 (lowest risk) to 15 (highest risk)</w:t>
      </w:r>
    </w:p>
    <w:p>
      <w:pPr>
        <w:pStyle w:val="ListBullet"/>
      </w:pPr>
      <w:r>
        <w:t>Use as a comparative tool across allotments.</w:t>
      </w:r>
    </w:p>
    <w:p>
      <w:pPr>
        <w:pStyle w:val="Heading3"/>
      </w:pPr>
      <w:r>
        <w:t>B. Field Survey Protocol for Gastropods and Larvae</w:t>
      </w:r>
    </w:p>
    <w:p>
      <w:pPr>
        <w:pStyle w:val="ListBullet"/>
      </w:pPr>
      <w:r>
        <w:t>1. Select transects in moist, shaded areas near livestock concentration zones.</w:t>
      </w:r>
    </w:p>
    <w:p>
      <w:pPr>
        <w:pStyle w:val="ListBullet"/>
      </w:pPr>
      <w:r>
        <w:t>2. Use visual search and baiting (e.g., beer traps or lettuce) to collect gastropods.</w:t>
      </w:r>
    </w:p>
    <w:p>
      <w:pPr>
        <w:pStyle w:val="ListBullet"/>
      </w:pPr>
      <w:r>
        <w:t>3. Preserve samples in ethanol and dissect for L3 larvae under stereomicroscope.</w:t>
      </w:r>
    </w:p>
    <w:p>
      <w:pPr>
        <w:pStyle w:val="ListBullet"/>
      </w:pPr>
      <w:r>
        <w:t>4. Record GPS coordinates, microhabitat, and vegetation notes for each site.</w:t>
      </w:r>
    </w:p>
    <w:p>
      <w:pPr>
        <w:pStyle w:val="ListBullet"/>
      </w:pPr>
      <w:r>
        <w:t>5. Collect fecal samples for Baermann test analysis of L1 larvae.</w:t>
      </w:r>
    </w:p>
    <w:p>
      <w:pPr>
        <w:pStyle w:val="Heading3"/>
      </w:pPr>
      <w:r>
        <w:t>C. Annotated Bibliography of Parasite Ecology</w:t>
      </w:r>
    </w:p>
    <w:p>
      <w:pPr>
        <w:pStyle w:val="ListBullet"/>
      </w:pPr>
      <w:r>
        <w:t>• Samuel, W.M., Pybus, M.J., Kocan, A.A. (2001). *Parasitic Diseases of Wild Mammals*.</w:t>
      </w:r>
    </w:p>
    <w:p>
      <w:pPr>
        <w:pStyle w:val="ListBullet"/>
      </w:pPr>
      <w:r>
        <w:t>• Jenkins, E.J. et al. (2005). “Ecology of Protostrongylid Infections in Wild and Domestic Ungulates.” *Veterinary Parasitology.*</w:t>
      </w:r>
    </w:p>
    <w:p>
      <w:pPr>
        <w:pStyle w:val="ListBullet"/>
      </w:pPr>
      <w:r>
        <w:t>• Hoberg, E.P., et al. (2008). “Historical Biogeography and Ecology of Protostrongylid Lungworms.” *Molecular Phylogenetics and Evolution.*</w:t>
      </w:r>
    </w:p>
    <w:p>
      <w:pPr>
        <w:pStyle w:val="Heading3"/>
      </w:pPr>
      <w:r>
        <w:t>D. Historical Allotment Use vs Die-off Timeline Overlay</w:t>
      </w:r>
    </w:p>
    <w:p>
      <w:pPr>
        <w:pStyle w:val="ListBullet"/>
      </w:pPr>
      <w:r>
        <w:t>• Table showing overlap of domestic sheep use with bighorn die-offs by year and location.</w:t>
      </w:r>
    </w:p>
    <w:p>
      <w:pPr>
        <w:pStyle w:val="ListBullet"/>
      </w:pPr>
      <w:r>
        <w:t>• Map overlay recommendations:</w:t>
      </w:r>
    </w:p>
    <w:p>
      <w:pPr>
        <w:pStyle w:val="ListBullet"/>
      </w:pPr>
      <w:r>
        <w:t xml:space="preserve">   - Historical grazing allotment boundaries</w:t>
      </w:r>
    </w:p>
    <w:p>
      <w:pPr>
        <w:pStyle w:val="ListBullet"/>
      </w:pPr>
      <w:r>
        <w:t xml:space="preserve">   - Timing and location of bighorn die-offs</w:t>
      </w:r>
    </w:p>
    <w:p>
      <w:pPr>
        <w:pStyle w:val="ListBullet"/>
      </w:pPr>
      <w:r>
        <w:t xml:space="preserve">   - Precipitation anomalies (for gastropod population surges)</w:t>
      </w:r>
    </w:p>
    <w:p>
      <w:pPr>
        <w:pStyle w:val="ListBullet"/>
      </w:pPr>
      <w:r>
        <w:t>• Data sources: Forest Service grazing records, state wildlife agency mortality reports, PRISM climate datasets.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