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1A8" w:rsidRPr="00C13CE6" w:rsidRDefault="006741A8"/>
    <w:p w:rsidR="00C13CE6" w:rsidRPr="00C13CE6" w:rsidRDefault="002056E5" w:rsidP="00C13CE6">
      <w:r>
        <w:t>16</w:t>
      </w:r>
      <w:r w:rsidR="00C92E9F">
        <w:t xml:space="preserve"> April </w:t>
      </w:r>
      <w:r w:rsidR="004061D4">
        <w:t>2025</w:t>
      </w:r>
    </w:p>
    <w:p w:rsidR="00C13CE6" w:rsidRPr="00C13CE6" w:rsidRDefault="00C13CE6" w:rsidP="00C13CE6"/>
    <w:p w:rsidR="00C13CE6" w:rsidRDefault="00C13CE6" w:rsidP="00C13CE6">
      <w:r w:rsidRPr="00C13CE6">
        <w:t xml:space="preserve">TO: </w:t>
      </w:r>
      <w:r w:rsidR="00DE0836">
        <w:t xml:space="preserve">Darren Cross, </w:t>
      </w:r>
      <w:r w:rsidR="00C92E9F">
        <w:t xml:space="preserve">McKenzie </w:t>
      </w:r>
      <w:r w:rsidR="00DE0836">
        <w:t>R</w:t>
      </w:r>
      <w:r w:rsidR="00C92E9F">
        <w:t xml:space="preserve">iver </w:t>
      </w:r>
      <w:r w:rsidR="00DE0836">
        <w:t xml:space="preserve">District </w:t>
      </w:r>
      <w:r w:rsidR="00C92E9F">
        <w:t xml:space="preserve">Ranger, Willamette NF </w:t>
      </w:r>
    </w:p>
    <w:p w:rsidR="00DE0836" w:rsidRPr="00C13CE6" w:rsidRDefault="00DE0836" w:rsidP="00C13CE6">
      <w:r>
        <w:t>ATTN: Calloway Project</w:t>
      </w:r>
    </w:p>
    <w:p w:rsidR="0071685E" w:rsidRPr="00C13CE6" w:rsidRDefault="00C13CE6" w:rsidP="00C13CE6">
      <w:r w:rsidRPr="00C13CE6">
        <w:t xml:space="preserve">VIA: </w:t>
      </w:r>
      <w:hyperlink r:id="rId7" w:history="1">
        <w:r w:rsidR="00264CD9" w:rsidRPr="00100363">
          <w:rPr>
            <w:rStyle w:val="Hyperlink"/>
          </w:rPr>
          <w:t>https://cara.fs2c.usda.gov/Public//CommentInput?Project=63148</w:t>
        </w:r>
      </w:hyperlink>
      <w:r w:rsidR="00264CD9">
        <w:t xml:space="preserve"> </w:t>
      </w:r>
    </w:p>
    <w:p w:rsidR="00C13CE6" w:rsidRPr="00C13CE6" w:rsidRDefault="00C13CE6" w:rsidP="00C13CE6"/>
    <w:p w:rsidR="00C13CE6" w:rsidRPr="00C13CE6" w:rsidRDefault="00C13CE6" w:rsidP="00C13CE6">
      <w:pPr>
        <w:rPr>
          <w:b/>
        </w:rPr>
      </w:pPr>
      <w:r w:rsidRPr="00C13CE6">
        <w:rPr>
          <w:b/>
        </w:rPr>
        <w:t xml:space="preserve">Subject: </w:t>
      </w:r>
      <w:r w:rsidR="00C92E9F">
        <w:rPr>
          <w:b/>
        </w:rPr>
        <w:t>Calloway Project draft Environmental Assessment</w:t>
      </w:r>
      <w:r w:rsidRPr="00C13CE6">
        <w:rPr>
          <w:b/>
        </w:rPr>
        <w:t xml:space="preserve"> —</w:t>
      </w:r>
      <w:r w:rsidR="00BE0853">
        <w:rPr>
          <w:b/>
        </w:rPr>
        <w:t xml:space="preserve"> </w:t>
      </w:r>
      <w:r w:rsidRPr="00C13CE6">
        <w:rPr>
          <w:b/>
        </w:rPr>
        <w:t>comments</w:t>
      </w:r>
    </w:p>
    <w:p w:rsidR="00C13CE6" w:rsidRPr="00C13CE6" w:rsidRDefault="00C13CE6" w:rsidP="00C13CE6"/>
    <w:p w:rsidR="002478AB" w:rsidRDefault="00C13CE6" w:rsidP="00C13CE6">
      <w:r w:rsidRPr="00C13CE6">
        <w:t>Please accept the following comments from Oregon Wild</w:t>
      </w:r>
      <w:r w:rsidR="00F32678">
        <w:t xml:space="preserve"> and Cascadia Wildlands</w:t>
      </w:r>
      <w:r w:rsidRPr="00C13CE6">
        <w:t xml:space="preserve"> concerning the </w:t>
      </w:r>
      <w:r w:rsidR="00C92E9F" w:rsidRPr="00C92E9F">
        <w:t>Calloway Project draft Environmental Assessment</w:t>
      </w:r>
      <w:r w:rsidRPr="00C13CE6">
        <w:t xml:space="preserve">, </w:t>
      </w:r>
      <w:hyperlink r:id="rId8" w:history="1">
        <w:r w:rsidR="00C92E9F" w:rsidRPr="00C16478">
          <w:rPr>
            <w:rStyle w:val="Hyperlink"/>
          </w:rPr>
          <w:t>https://www.fs.usda.gov/project/willamette/?project=63148</w:t>
        </w:r>
      </w:hyperlink>
      <w:r w:rsidRPr="00C13CE6">
        <w:t xml:space="preserve">. </w:t>
      </w:r>
      <w:r w:rsidR="00264CD9">
        <w:t xml:space="preserve">Note: </w:t>
      </w:r>
      <w:r w:rsidR="00264CD9">
        <w:t xml:space="preserve">The public notice for this project has an incorrect URL for submitting comments: </w:t>
      </w:r>
      <w:hyperlink r:id="rId9" w:history="1">
        <w:r w:rsidR="00264CD9" w:rsidRPr="00C16478">
          <w:rPr>
            <w:rStyle w:val="Hyperlink"/>
          </w:rPr>
          <w:t>https://cara.fs2c.usda.gov/Public//CommentInputProject=63148</w:t>
        </w:r>
      </w:hyperlink>
      <w:r w:rsidR="00264CD9">
        <w:rPr>
          <w:rStyle w:val="Hyperlink"/>
        </w:rPr>
        <w:t>.</w:t>
      </w:r>
    </w:p>
    <w:p w:rsidR="002478AB" w:rsidRDefault="002478AB" w:rsidP="00C13CE6"/>
    <w:p w:rsidR="002478AB" w:rsidRDefault="00C13CE6" w:rsidP="00C13CE6">
      <w:r w:rsidRPr="002478AB">
        <w:rPr>
          <w:b/>
        </w:rPr>
        <w:t>Oregon Wild</w:t>
      </w:r>
      <w:r w:rsidRPr="00C13CE6">
        <w:t xml:space="preserve"> represents 20,000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r w:rsidR="00F32678">
        <w:t xml:space="preserve"> </w:t>
      </w:r>
    </w:p>
    <w:p w:rsidR="002478AB" w:rsidRDefault="002478AB" w:rsidP="00C13CE6"/>
    <w:p w:rsidR="00C13CE6" w:rsidRDefault="00F32678" w:rsidP="00C13CE6">
      <w:r w:rsidRPr="002478AB">
        <w:rPr>
          <w:b/>
        </w:rPr>
        <w:t>Cascadia Wildlands</w:t>
      </w:r>
      <w:r>
        <w:t xml:space="preserve"> is part of a movement to protect and restore wild ecosystems of the Cascadia Bioregion, including vast old-growth forests, rivers full of wild salmon, wolves howling in the backcountry, and vibrant communities sustained by the unique landscapes. Cascadia Wildlands’ contact information is: P.O. Box 10455, Eugene, OR 97440  |  Eugene, OR 97401  |  541-434-1463  |  </w:t>
      </w:r>
      <w:hyperlink r:id="rId10" w:history="1">
        <w:r w:rsidRPr="00C16478">
          <w:rPr>
            <w:rStyle w:val="Hyperlink"/>
          </w:rPr>
          <w:t>info@cascwild.org</w:t>
        </w:r>
      </w:hyperlink>
      <w:r>
        <w:t xml:space="preserve">. </w:t>
      </w:r>
    </w:p>
    <w:sdt>
      <w:sdtPr>
        <w:id w:val="-415330031"/>
        <w:docPartObj>
          <w:docPartGallery w:val="Table of Contents"/>
          <w:docPartUnique/>
        </w:docPartObj>
      </w:sdtPr>
      <w:sdtEndPr>
        <w:rPr>
          <w:rFonts w:ascii="Georgia" w:eastAsia="Arial" w:hAnsi="Georgia" w:cs="Arial"/>
          <w:b/>
          <w:bCs/>
          <w:noProof/>
          <w:color w:val="auto"/>
          <w:sz w:val="22"/>
          <w:szCs w:val="22"/>
          <w:lang w:val="en"/>
        </w:rPr>
      </w:sdtEndPr>
      <w:sdtContent>
        <w:p w:rsidR="002C46C5" w:rsidRDefault="002C46C5">
          <w:pPr>
            <w:pStyle w:val="TOCHeading"/>
          </w:pPr>
          <w:r>
            <w:t>Contents</w:t>
          </w:r>
        </w:p>
        <w:bookmarkStart w:id="0" w:name="_GoBack"/>
        <w:bookmarkEnd w:id="0"/>
        <w:p w:rsidR="00CD06F4" w:rsidRDefault="002C46C5">
          <w:pPr>
            <w:pStyle w:val="TOC2"/>
            <w:tabs>
              <w:tab w:val="right" w:leader="dot" w:pos="935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195695313" w:history="1">
            <w:r w:rsidR="00CD06F4" w:rsidRPr="00F336FB">
              <w:rPr>
                <w:rStyle w:val="Hyperlink"/>
                <w:noProof/>
              </w:rPr>
              <w:t>Project Description</w:t>
            </w:r>
            <w:r w:rsidR="00CD06F4">
              <w:rPr>
                <w:noProof/>
                <w:webHidden/>
              </w:rPr>
              <w:tab/>
            </w:r>
            <w:r w:rsidR="00CD06F4">
              <w:rPr>
                <w:noProof/>
                <w:webHidden/>
              </w:rPr>
              <w:fldChar w:fldCharType="begin"/>
            </w:r>
            <w:r w:rsidR="00CD06F4">
              <w:rPr>
                <w:noProof/>
                <w:webHidden/>
              </w:rPr>
              <w:instrText xml:space="preserve"> PAGEREF _Toc195695313 \h </w:instrText>
            </w:r>
            <w:r w:rsidR="00CD06F4">
              <w:rPr>
                <w:noProof/>
                <w:webHidden/>
              </w:rPr>
            </w:r>
            <w:r w:rsidR="00CD06F4">
              <w:rPr>
                <w:noProof/>
                <w:webHidden/>
              </w:rPr>
              <w:fldChar w:fldCharType="separate"/>
            </w:r>
            <w:r w:rsidR="00CD06F4">
              <w:rPr>
                <w:noProof/>
                <w:webHidden/>
              </w:rPr>
              <w:t>2</w:t>
            </w:r>
            <w:r w:rsidR="00CD06F4">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14" w:history="1">
            <w:r w:rsidRPr="00F336FB">
              <w:rPr>
                <w:rStyle w:val="Hyperlink"/>
                <w:noProof/>
              </w:rPr>
              <w:t>Intro</w:t>
            </w:r>
            <w:r>
              <w:rPr>
                <w:noProof/>
                <w:webHidden/>
              </w:rPr>
              <w:tab/>
            </w:r>
            <w:r>
              <w:rPr>
                <w:noProof/>
                <w:webHidden/>
              </w:rPr>
              <w:fldChar w:fldCharType="begin"/>
            </w:r>
            <w:r>
              <w:rPr>
                <w:noProof/>
                <w:webHidden/>
              </w:rPr>
              <w:instrText xml:space="preserve"> PAGEREF _Toc195695314 \h </w:instrText>
            </w:r>
            <w:r>
              <w:rPr>
                <w:noProof/>
                <w:webHidden/>
              </w:rPr>
            </w:r>
            <w:r>
              <w:rPr>
                <w:noProof/>
                <w:webHidden/>
              </w:rPr>
              <w:fldChar w:fldCharType="separate"/>
            </w:r>
            <w:r>
              <w:rPr>
                <w:noProof/>
                <w:webHidden/>
              </w:rPr>
              <w:t>3</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15" w:history="1">
            <w:r w:rsidRPr="00F336FB">
              <w:rPr>
                <w:rStyle w:val="Hyperlink"/>
                <w:noProof/>
              </w:rPr>
              <w:t>Tethered Logging &amp; Wet Weather Log Hauling</w:t>
            </w:r>
            <w:r>
              <w:rPr>
                <w:noProof/>
                <w:webHidden/>
              </w:rPr>
              <w:tab/>
            </w:r>
            <w:r>
              <w:rPr>
                <w:noProof/>
                <w:webHidden/>
              </w:rPr>
              <w:fldChar w:fldCharType="begin"/>
            </w:r>
            <w:r>
              <w:rPr>
                <w:noProof/>
                <w:webHidden/>
              </w:rPr>
              <w:instrText xml:space="preserve"> PAGEREF _Toc195695315 \h </w:instrText>
            </w:r>
            <w:r>
              <w:rPr>
                <w:noProof/>
                <w:webHidden/>
              </w:rPr>
            </w:r>
            <w:r>
              <w:rPr>
                <w:noProof/>
                <w:webHidden/>
              </w:rPr>
              <w:fldChar w:fldCharType="separate"/>
            </w:r>
            <w:r>
              <w:rPr>
                <w:noProof/>
                <w:webHidden/>
              </w:rPr>
              <w:t>4</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16" w:history="1">
            <w:r w:rsidRPr="00F336FB">
              <w:rPr>
                <w:rStyle w:val="Hyperlink"/>
                <w:rFonts w:ascii="Arial" w:eastAsia="-moz-fixed" w:hAnsi="Arial" w:cs="-moz-fixed"/>
                <w:b/>
                <w:noProof/>
                <w:lang w:val="en-US" w:eastAsia="ar-SA"/>
              </w:rPr>
              <w:t>Disclose, Weigh, and Mitigate Trade-offs</w:t>
            </w:r>
            <w:r>
              <w:rPr>
                <w:noProof/>
                <w:webHidden/>
              </w:rPr>
              <w:tab/>
            </w:r>
            <w:r>
              <w:rPr>
                <w:noProof/>
                <w:webHidden/>
              </w:rPr>
              <w:fldChar w:fldCharType="begin"/>
            </w:r>
            <w:r>
              <w:rPr>
                <w:noProof/>
                <w:webHidden/>
              </w:rPr>
              <w:instrText xml:space="preserve"> PAGEREF _Toc195695316 \h </w:instrText>
            </w:r>
            <w:r>
              <w:rPr>
                <w:noProof/>
                <w:webHidden/>
              </w:rPr>
            </w:r>
            <w:r>
              <w:rPr>
                <w:noProof/>
                <w:webHidden/>
              </w:rPr>
              <w:fldChar w:fldCharType="separate"/>
            </w:r>
            <w:r>
              <w:rPr>
                <w:noProof/>
                <w:webHidden/>
              </w:rPr>
              <w:t>5</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17" w:history="1">
            <w:r w:rsidRPr="00F336FB">
              <w:rPr>
                <w:rStyle w:val="Hyperlink"/>
                <w:rFonts w:ascii="Arial" w:eastAsia="-moz-fixed" w:hAnsi="Arial" w:cs="-moz-fixed"/>
                <w:b/>
                <w:noProof/>
                <w:lang w:val="en-US" w:eastAsia="ar-SA"/>
              </w:rPr>
              <w:t>Follow NEPA. It’s still the law.</w:t>
            </w:r>
            <w:r>
              <w:rPr>
                <w:noProof/>
                <w:webHidden/>
              </w:rPr>
              <w:tab/>
            </w:r>
            <w:r>
              <w:rPr>
                <w:noProof/>
                <w:webHidden/>
              </w:rPr>
              <w:fldChar w:fldCharType="begin"/>
            </w:r>
            <w:r>
              <w:rPr>
                <w:noProof/>
                <w:webHidden/>
              </w:rPr>
              <w:instrText xml:space="preserve"> PAGEREF _Toc195695317 \h </w:instrText>
            </w:r>
            <w:r>
              <w:rPr>
                <w:noProof/>
                <w:webHidden/>
              </w:rPr>
            </w:r>
            <w:r>
              <w:rPr>
                <w:noProof/>
                <w:webHidden/>
              </w:rPr>
              <w:fldChar w:fldCharType="separate"/>
            </w:r>
            <w:r>
              <w:rPr>
                <w:noProof/>
                <w:webHidden/>
              </w:rPr>
              <w:t>10</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18" w:history="1">
            <w:r w:rsidRPr="00F336FB">
              <w:rPr>
                <w:rStyle w:val="Hyperlink"/>
                <w:rFonts w:ascii="Arial" w:eastAsia="-moz-fixed" w:hAnsi="Arial" w:cs="-moz-fixed"/>
                <w:b/>
                <w:noProof/>
                <w:lang w:val="en-US" w:eastAsia="ar-SA"/>
              </w:rPr>
              <w:t>Consider All Reasonable Alternatives.</w:t>
            </w:r>
            <w:r>
              <w:rPr>
                <w:noProof/>
                <w:webHidden/>
              </w:rPr>
              <w:tab/>
            </w:r>
            <w:r>
              <w:rPr>
                <w:noProof/>
                <w:webHidden/>
              </w:rPr>
              <w:fldChar w:fldCharType="begin"/>
            </w:r>
            <w:r>
              <w:rPr>
                <w:noProof/>
                <w:webHidden/>
              </w:rPr>
              <w:instrText xml:space="preserve"> PAGEREF _Toc195695318 \h </w:instrText>
            </w:r>
            <w:r>
              <w:rPr>
                <w:noProof/>
                <w:webHidden/>
              </w:rPr>
            </w:r>
            <w:r>
              <w:rPr>
                <w:noProof/>
                <w:webHidden/>
              </w:rPr>
              <w:fldChar w:fldCharType="separate"/>
            </w:r>
            <w:r>
              <w:rPr>
                <w:noProof/>
                <w:webHidden/>
              </w:rPr>
              <w:t>13</w:t>
            </w:r>
            <w:r>
              <w:rPr>
                <w:noProof/>
                <w:webHidden/>
              </w:rPr>
              <w:fldChar w:fldCharType="end"/>
            </w:r>
          </w:hyperlink>
        </w:p>
        <w:p w:rsidR="00CD06F4" w:rsidRDefault="00CD06F4">
          <w:pPr>
            <w:pStyle w:val="TOC3"/>
            <w:tabs>
              <w:tab w:val="right" w:leader="dot" w:pos="9350"/>
            </w:tabs>
            <w:rPr>
              <w:rFonts w:asciiTheme="minorHAnsi" w:eastAsiaTheme="minorEastAsia" w:hAnsiTheme="minorHAnsi" w:cstheme="minorBidi"/>
              <w:noProof/>
              <w:lang w:val="en-US"/>
            </w:rPr>
          </w:pPr>
          <w:hyperlink w:anchor="_Toc195695319" w:history="1">
            <w:r w:rsidRPr="00F336FB">
              <w:rPr>
                <w:rStyle w:val="Hyperlink"/>
                <w:rFonts w:eastAsia="-moz-fixed" w:cs="-moz-fixed"/>
                <w:b/>
                <w:bCs/>
                <w:noProof/>
                <w:lang w:val="en-US" w:eastAsia="ar-SA"/>
              </w:rPr>
              <w:t>Thinning effects on flying squirrels and owl prey</w:t>
            </w:r>
            <w:r>
              <w:rPr>
                <w:noProof/>
                <w:webHidden/>
              </w:rPr>
              <w:tab/>
            </w:r>
            <w:r>
              <w:rPr>
                <w:noProof/>
                <w:webHidden/>
              </w:rPr>
              <w:fldChar w:fldCharType="begin"/>
            </w:r>
            <w:r>
              <w:rPr>
                <w:noProof/>
                <w:webHidden/>
              </w:rPr>
              <w:instrText xml:space="preserve"> PAGEREF _Toc195695319 \h </w:instrText>
            </w:r>
            <w:r>
              <w:rPr>
                <w:noProof/>
                <w:webHidden/>
              </w:rPr>
            </w:r>
            <w:r>
              <w:rPr>
                <w:noProof/>
                <w:webHidden/>
              </w:rPr>
              <w:fldChar w:fldCharType="separate"/>
            </w:r>
            <w:r>
              <w:rPr>
                <w:noProof/>
                <w:webHidden/>
              </w:rPr>
              <w:t>16</w:t>
            </w:r>
            <w:r>
              <w:rPr>
                <w:noProof/>
                <w:webHidden/>
              </w:rPr>
              <w:fldChar w:fldCharType="end"/>
            </w:r>
          </w:hyperlink>
        </w:p>
        <w:p w:rsidR="00CD06F4" w:rsidRDefault="00CD06F4">
          <w:pPr>
            <w:pStyle w:val="TOC3"/>
            <w:tabs>
              <w:tab w:val="right" w:leader="dot" w:pos="9350"/>
            </w:tabs>
            <w:rPr>
              <w:rFonts w:asciiTheme="minorHAnsi" w:eastAsiaTheme="minorEastAsia" w:hAnsiTheme="minorHAnsi" w:cstheme="minorBidi"/>
              <w:noProof/>
              <w:lang w:val="en-US"/>
            </w:rPr>
          </w:pPr>
          <w:hyperlink w:anchor="_Toc195695320" w:history="1">
            <w:r w:rsidRPr="00F336FB">
              <w:rPr>
                <w:rStyle w:val="Hyperlink"/>
                <w:rFonts w:eastAsia="-moz-fixed" w:cs="-moz-fixed"/>
                <w:b/>
                <w:bCs/>
                <w:noProof/>
                <w:lang w:val="en-US" w:eastAsia="ar-SA"/>
              </w:rPr>
              <w:t>Protect habitat for raptors, like northern spotted owl.</w:t>
            </w:r>
            <w:r>
              <w:rPr>
                <w:noProof/>
                <w:webHidden/>
              </w:rPr>
              <w:tab/>
            </w:r>
            <w:r>
              <w:rPr>
                <w:noProof/>
                <w:webHidden/>
              </w:rPr>
              <w:fldChar w:fldCharType="begin"/>
            </w:r>
            <w:r>
              <w:rPr>
                <w:noProof/>
                <w:webHidden/>
              </w:rPr>
              <w:instrText xml:space="preserve"> PAGEREF _Toc195695320 \h </w:instrText>
            </w:r>
            <w:r>
              <w:rPr>
                <w:noProof/>
                <w:webHidden/>
              </w:rPr>
            </w:r>
            <w:r>
              <w:rPr>
                <w:noProof/>
                <w:webHidden/>
              </w:rPr>
              <w:fldChar w:fldCharType="separate"/>
            </w:r>
            <w:r>
              <w:rPr>
                <w:noProof/>
                <w:webHidden/>
              </w:rPr>
              <w:t>23</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1" w:history="1">
            <w:r w:rsidRPr="00F336FB">
              <w:rPr>
                <w:rStyle w:val="Hyperlink"/>
                <w:rFonts w:ascii="Arial" w:eastAsia="-moz-fixed" w:hAnsi="Arial" w:cs="-moz-fixed"/>
                <w:b/>
                <w:noProof/>
                <w:lang w:val="en-US" w:eastAsia="ar-SA"/>
              </w:rPr>
              <w:t>Tree tipping does not fully mitigate for loss of functional wood caused by logging</w:t>
            </w:r>
            <w:r>
              <w:rPr>
                <w:noProof/>
                <w:webHidden/>
              </w:rPr>
              <w:tab/>
            </w:r>
            <w:r>
              <w:rPr>
                <w:noProof/>
                <w:webHidden/>
              </w:rPr>
              <w:fldChar w:fldCharType="begin"/>
            </w:r>
            <w:r>
              <w:rPr>
                <w:noProof/>
                <w:webHidden/>
              </w:rPr>
              <w:instrText xml:space="preserve"> PAGEREF _Toc195695321 \h </w:instrText>
            </w:r>
            <w:r>
              <w:rPr>
                <w:noProof/>
                <w:webHidden/>
              </w:rPr>
            </w:r>
            <w:r>
              <w:rPr>
                <w:noProof/>
                <w:webHidden/>
              </w:rPr>
              <w:fldChar w:fldCharType="separate"/>
            </w:r>
            <w:r>
              <w:rPr>
                <w:noProof/>
                <w:webHidden/>
              </w:rPr>
              <w:t>26</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2" w:history="1">
            <w:r w:rsidRPr="00F336FB">
              <w:rPr>
                <w:rStyle w:val="Hyperlink"/>
                <w:noProof/>
                <w:lang w:val="en-US" w:eastAsia="ar-SA"/>
              </w:rPr>
              <w:t>Thinning will increase drought stress on trees already experiencing stress from climate change.</w:t>
            </w:r>
            <w:r>
              <w:rPr>
                <w:noProof/>
                <w:webHidden/>
              </w:rPr>
              <w:tab/>
            </w:r>
            <w:r>
              <w:rPr>
                <w:noProof/>
                <w:webHidden/>
              </w:rPr>
              <w:fldChar w:fldCharType="begin"/>
            </w:r>
            <w:r>
              <w:rPr>
                <w:noProof/>
                <w:webHidden/>
              </w:rPr>
              <w:instrText xml:space="preserve"> PAGEREF _Toc195695322 \h </w:instrText>
            </w:r>
            <w:r>
              <w:rPr>
                <w:noProof/>
                <w:webHidden/>
              </w:rPr>
            </w:r>
            <w:r>
              <w:rPr>
                <w:noProof/>
                <w:webHidden/>
              </w:rPr>
              <w:fldChar w:fldCharType="separate"/>
            </w:r>
            <w:r>
              <w:rPr>
                <w:noProof/>
                <w:webHidden/>
              </w:rPr>
              <w:t>27</w:t>
            </w:r>
            <w:r>
              <w:rPr>
                <w:noProof/>
                <w:webHidden/>
              </w:rPr>
              <w:fldChar w:fldCharType="end"/>
            </w:r>
          </w:hyperlink>
        </w:p>
        <w:p w:rsidR="00CD06F4" w:rsidRDefault="00CD06F4">
          <w:pPr>
            <w:pStyle w:val="TOC3"/>
            <w:tabs>
              <w:tab w:val="right" w:leader="dot" w:pos="9350"/>
            </w:tabs>
            <w:rPr>
              <w:rFonts w:asciiTheme="minorHAnsi" w:eastAsiaTheme="minorEastAsia" w:hAnsiTheme="minorHAnsi" w:cstheme="minorBidi"/>
              <w:noProof/>
              <w:lang w:val="en-US"/>
            </w:rPr>
          </w:pPr>
          <w:hyperlink w:anchor="_Toc195695323" w:history="1">
            <w:r w:rsidRPr="00F336FB">
              <w:rPr>
                <w:rStyle w:val="Hyperlink"/>
                <w:rFonts w:eastAsia="-moz-fixed" w:cs="-moz-fixed"/>
                <w:b/>
                <w:bCs/>
                <w:noProof/>
                <w:lang w:val="en-US" w:eastAsia="ar-SA"/>
              </w:rPr>
              <w:t>Riparian Reserve thinning.</w:t>
            </w:r>
            <w:r>
              <w:rPr>
                <w:noProof/>
                <w:webHidden/>
              </w:rPr>
              <w:tab/>
            </w:r>
            <w:r>
              <w:rPr>
                <w:noProof/>
                <w:webHidden/>
              </w:rPr>
              <w:fldChar w:fldCharType="begin"/>
            </w:r>
            <w:r>
              <w:rPr>
                <w:noProof/>
                <w:webHidden/>
              </w:rPr>
              <w:instrText xml:space="preserve"> PAGEREF _Toc195695323 \h </w:instrText>
            </w:r>
            <w:r>
              <w:rPr>
                <w:noProof/>
                <w:webHidden/>
              </w:rPr>
            </w:r>
            <w:r>
              <w:rPr>
                <w:noProof/>
                <w:webHidden/>
              </w:rPr>
              <w:fldChar w:fldCharType="separate"/>
            </w:r>
            <w:r>
              <w:rPr>
                <w:noProof/>
                <w:webHidden/>
              </w:rPr>
              <w:t>29</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4" w:history="1">
            <w:r w:rsidRPr="00F336FB">
              <w:rPr>
                <w:rStyle w:val="Hyperlink"/>
                <w:rFonts w:ascii="Arial" w:eastAsia="-moz-fixed" w:hAnsi="Arial" w:cs="-moz-fixed"/>
                <w:b/>
                <w:noProof/>
                <w:lang w:val="en-US" w:eastAsia="ar-SA"/>
              </w:rPr>
              <w:t>Variable density thinning</w:t>
            </w:r>
            <w:r>
              <w:rPr>
                <w:noProof/>
                <w:webHidden/>
              </w:rPr>
              <w:tab/>
            </w:r>
            <w:r>
              <w:rPr>
                <w:noProof/>
                <w:webHidden/>
              </w:rPr>
              <w:fldChar w:fldCharType="begin"/>
            </w:r>
            <w:r>
              <w:rPr>
                <w:noProof/>
                <w:webHidden/>
              </w:rPr>
              <w:instrText xml:space="preserve"> PAGEREF _Toc195695324 \h </w:instrText>
            </w:r>
            <w:r>
              <w:rPr>
                <w:noProof/>
                <w:webHidden/>
              </w:rPr>
            </w:r>
            <w:r>
              <w:rPr>
                <w:noProof/>
                <w:webHidden/>
              </w:rPr>
              <w:fldChar w:fldCharType="separate"/>
            </w:r>
            <w:r>
              <w:rPr>
                <w:noProof/>
                <w:webHidden/>
              </w:rPr>
              <w:t>52</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5" w:history="1">
            <w:r w:rsidRPr="00F336FB">
              <w:rPr>
                <w:rStyle w:val="Hyperlink"/>
                <w:rFonts w:ascii="Arial" w:eastAsia="-moz-fixed" w:hAnsi="Arial" w:cs="-moz-fixed"/>
                <w:b/>
                <w:noProof/>
                <w:lang w:val="en-US" w:eastAsia="ar-SA"/>
              </w:rPr>
              <w:t>Meadow Restoration</w:t>
            </w:r>
            <w:r>
              <w:rPr>
                <w:noProof/>
                <w:webHidden/>
              </w:rPr>
              <w:tab/>
            </w:r>
            <w:r>
              <w:rPr>
                <w:noProof/>
                <w:webHidden/>
              </w:rPr>
              <w:fldChar w:fldCharType="begin"/>
            </w:r>
            <w:r>
              <w:rPr>
                <w:noProof/>
                <w:webHidden/>
              </w:rPr>
              <w:instrText xml:space="preserve"> PAGEREF _Toc195695325 \h </w:instrText>
            </w:r>
            <w:r>
              <w:rPr>
                <w:noProof/>
                <w:webHidden/>
              </w:rPr>
            </w:r>
            <w:r>
              <w:rPr>
                <w:noProof/>
                <w:webHidden/>
              </w:rPr>
              <w:fldChar w:fldCharType="separate"/>
            </w:r>
            <w:r>
              <w:rPr>
                <w:noProof/>
                <w:webHidden/>
              </w:rPr>
              <w:t>61</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6" w:history="1">
            <w:r w:rsidRPr="00F336FB">
              <w:rPr>
                <w:rStyle w:val="Hyperlink"/>
                <w:rFonts w:ascii="Arial" w:eastAsia="-moz-fixed" w:hAnsi="Arial" w:cs="-moz-fixed"/>
                <w:b/>
                <w:noProof/>
                <w:lang w:val="en-US" w:eastAsia="ar-SA"/>
              </w:rPr>
              <w:t>Manage for Decadence – retain untreated “skips” for recruitment of mortality</w:t>
            </w:r>
            <w:r>
              <w:rPr>
                <w:noProof/>
                <w:webHidden/>
              </w:rPr>
              <w:tab/>
            </w:r>
            <w:r>
              <w:rPr>
                <w:noProof/>
                <w:webHidden/>
              </w:rPr>
              <w:fldChar w:fldCharType="begin"/>
            </w:r>
            <w:r>
              <w:rPr>
                <w:noProof/>
                <w:webHidden/>
              </w:rPr>
              <w:instrText xml:space="preserve"> PAGEREF _Toc195695326 \h </w:instrText>
            </w:r>
            <w:r>
              <w:rPr>
                <w:noProof/>
                <w:webHidden/>
              </w:rPr>
            </w:r>
            <w:r>
              <w:rPr>
                <w:noProof/>
                <w:webHidden/>
              </w:rPr>
              <w:fldChar w:fldCharType="separate"/>
            </w:r>
            <w:r>
              <w:rPr>
                <w:noProof/>
                <w:webHidden/>
              </w:rPr>
              <w:t>62</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7" w:history="1">
            <w:r w:rsidRPr="00F336FB">
              <w:rPr>
                <w:rStyle w:val="Hyperlink"/>
                <w:rFonts w:ascii="Arial" w:eastAsia="-moz-fixed" w:hAnsi="Arial" w:cs="-moz-fixed"/>
                <w:b/>
                <w:noProof/>
                <w:lang w:val="en-US" w:eastAsia="ar-SA"/>
              </w:rPr>
              <w:t>Thinning in the Matrix must be Restorative and Variable</w:t>
            </w:r>
            <w:r>
              <w:rPr>
                <w:noProof/>
                <w:webHidden/>
              </w:rPr>
              <w:tab/>
            </w:r>
            <w:r>
              <w:rPr>
                <w:noProof/>
                <w:webHidden/>
              </w:rPr>
              <w:fldChar w:fldCharType="begin"/>
            </w:r>
            <w:r>
              <w:rPr>
                <w:noProof/>
                <w:webHidden/>
              </w:rPr>
              <w:instrText xml:space="preserve"> PAGEREF _Toc195695327 \h </w:instrText>
            </w:r>
            <w:r>
              <w:rPr>
                <w:noProof/>
                <w:webHidden/>
              </w:rPr>
            </w:r>
            <w:r>
              <w:rPr>
                <w:noProof/>
                <w:webHidden/>
              </w:rPr>
              <w:fldChar w:fldCharType="separate"/>
            </w:r>
            <w:r>
              <w:rPr>
                <w:noProof/>
                <w:webHidden/>
              </w:rPr>
              <w:t>80</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8" w:history="1">
            <w:r w:rsidRPr="00F336FB">
              <w:rPr>
                <w:rStyle w:val="Hyperlink"/>
                <w:rFonts w:ascii="Arial" w:eastAsia="-moz-fixed" w:hAnsi="Arial" w:cs="-moz-fixed"/>
                <w:b/>
                <w:noProof/>
                <w:lang w:val="en-US" w:eastAsia="ar-SA"/>
              </w:rPr>
              <w:t>Fuel breaks / PODs /PCLs</w:t>
            </w:r>
            <w:r>
              <w:rPr>
                <w:noProof/>
                <w:webHidden/>
              </w:rPr>
              <w:tab/>
            </w:r>
            <w:r>
              <w:rPr>
                <w:noProof/>
                <w:webHidden/>
              </w:rPr>
              <w:fldChar w:fldCharType="begin"/>
            </w:r>
            <w:r>
              <w:rPr>
                <w:noProof/>
                <w:webHidden/>
              </w:rPr>
              <w:instrText xml:space="preserve"> PAGEREF _Toc195695328 \h </w:instrText>
            </w:r>
            <w:r>
              <w:rPr>
                <w:noProof/>
                <w:webHidden/>
              </w:rPr>
            </w:r>
            <w:r>
              <w:rPr>
                <w:noProof/>
                <w:webHidden/>
              </w:rPr>
              <w:fldChar w:fldCharType="separate"/>
            </w:r>
            <w:r>
              <w:rPr>
                <w:noProof/>
                <w:webHidden/>
              </w:rPr>
              <w:t>84</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29" w:history="1">
            <w:r w:rsidRPr="00F336FB">
              <w:rPr>
                <w:rStyle w:val="Hyperlink"/>
                <w:rFonts w:ascii="Arial" w:eastAsia="-moz-fixed" w:hAnsi="Arial" w:cs="-moz-fixed"/>
                <w:b/>
                <w:noProof/>
                <w:lang w:val="en-US" w:eastAsia="ar-SA"/>
              </w:rPr>
              <w:t>Logging habitat to save it from fire.</w:t>
            </w:r>
            <w:r>
              <w:rPr>
                <w:noProof/>
                <w:webHidden/>
              </w:rPr>
              <w:tab/>
            </w:r>
            <w:r>
              <w:rPr>
                <w:noProof/>
                <w:webHidden/>
              </w:rPr>
              <w:fldChar w:fldCharType="begin"/>
            </w:r>
            <w:r>
              <w:rPr>
                <w:noProof/>
                <w:webHidden/>
              </w:rPr>
              <w:instrText xml:space="preserve"> PAGEREF _Toc195695329 \h </w:instrText>
            </w:r>
            <w:r>
              <w:rPr>
                <w:noProof/>
                <w:webHidden/>
              </w:rPr>
            </w:r>
            <w:r>
              <w:rPr>
                <w:noProof/>
                <w:webHidden/>
              </w:rPr>
              <w:fldChar w:fldCharType="separate"/>
            </w:r>
            <w:r>
              <w:rPr>
                <w:noProof/>
                <w:webHidden/>
              </w:rPr>
              <w:t>88</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30" w:history="1">
            <w:r w:rsidRPr="00F336FB">
              <w:rPr>
                <w:rStyle w:val="Hyperlink"/>
                <w:rFonts w:ascii="Arial" w:eastAsia="-moz-fixed" w:hAnsi="Arial" w:cs="-moz-fixed"/>
                <w:b/>
                <w:noProof/>
                <w:lang w:val="en-US" w:eastAsia="ar-SA"/>
              </w:rPr>
              <w:t>Avoid “before-and-after” carbon accounting</w:t>
            </w:r>
            <w:r>
              <w:rPr>
                <w:noProof/>
                <w:webHidden/>
              </w:rPr>
              <w:tab/>
            </w:r>
            <w:r>
              <w:rPr>
                <w:noProof/>
                <w:webHidden/>
              </w:rPr>
              <w:fldChar w:fldCharType="begin"/>
            </w:r>
            <w:r>
              <w:rPr>
                <w:noProof/>
                <w:webHidden/>
              </w:rPr>
              <w:instrText xml:space="preserve"> PAGEREF _Toc195695330 \h </w:instrText>
            </w:r>
            <w:r>
              <w:rPr>
                <w:noProof/>
                <w:webHidden/>
              </w:rPr>
            </w:r>
            <w:r>
              <w:rPr>
                <w:noProof/>
                <w:webHidden/>
              </w:rPr>
              <w:fldChar w:fldCharType="separate"/>
            </w:r>
            <w:r>
              <w:rPr>
                <w:noProof/>
                <w:webHidden/>
              </w:rPr>
              <w:t>98</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31" w:history="1">
            <w:r w:rsidRPr="00F336FB">
              <w:rPr>
                <w:rStyle w:val="Hyperlink"/>
                <w:rFonts w:ascii="Arial" w:eastAsia="-moz-fixed" w:hAnsi="Arial" w:cs="-moz-fixed"/>
                <w:b/>
                <w:noProof/>
                <w:lang w:val="en-US" w:eastAsia="ar-SA"/>
              </w:rPr>
              <w:t>Wood Products Are a Source of GHG Emissions, not a Sink. The Carbon Value of Wood Products is Over-estimated.</w:t>
            </w:r>
            <w:r>
              <w:rPr>
                <w:noProof/>
                <w:webHidden/>
              </w:rPr>
              <w:tab/>
            </w:r>
            <w:r>
              <w:rPr>
                <w:noProof/>
                <w:webHidden/>
              </w:rPr>
              <w:fldChar w:fldCharType="begin"/>
            </w:r>
            <w:r>
              <w:rPr>
                <w:noProof/>
                <w:webHidden/>
              </w:rPr>
              <w:instrText xml:space="preserve"> PAGEREF _Toc195695331 \h </w:instrText>
            </w:r>
            <w:r>
              <w:rPr>
                <w:noProof/>
                <w:webHidden/>
              </w:rPr>
            </w:r>
            <w:r>
              <w:rPr>
                <w:noProof/>
                <w:webHidden/>
              </w:rPr>
              <w:fldChar w:fldCharType="separate"/>
            </w:r>
            <w:r>
              <w:rPr>
                <w:noProof/>
                <w:webHidden/>
              </w:rPr>
              <w:t>102</w:t>
            </w:r>
            <w:r>
              <w:rPr>
                <w:noProof/>
                <w:webHidden/>
              </w:rPr>
              <w:fldChar w:fldCharType="end"/>
            </w:r>
          </w:hyperlink>
        </w:p>
        <w:p w:rsidR="00CD06F4" w:rsidRDefault="00CD06F4">
          <w:pPr>
            <w:pStyle w:val="TOC2"/>
            <w:tabs>
              <w:tab w:val="right" w:leader="dot" w:pos="9350"/>
            </w:tabs>
            <w:rPr>
              <w:rFonts w:asciiTheme="minorHAnsi" w:eastAsiaTheme="minorEastAsia" w:hAnsiTheme="minorHAnsi" w:cstheme="minorBidi"/>
              <w:noProof/>
              <w:lang w:val="en-US"/>
            </w:rPr>
          </w:pPr>
          <w:hyperlink w:anchor="_Toc195695332" w:history="1">
            <w:r w:rsidRPr="00F336FB">
              <w:rPr>
                <w:rStyle w:val="Hyperlink"/>
                <w:rFonts w:ascii="Arial" w:eastAsia="-moz-fixed" w:hAnsi="Arial"/>
                <w:b/>
                <w:noProof/>
                <w:lang w:val="en-US" w:eastAsia="ar-SA"/>
              </w:rPr>
              <w:t>Risk reduction logging does not increase carbon storage.</w:t>
            </w:r>
            <w:r>
              <w:rPr>
                <w:noProof/>
                <w:webHidden/>
              </w:rPr>
              <w:tab/>
            </w:r>
            <w:r>
              <w:rPr>
                <w:noProof/>
                <w:webHidden/>
              </w:rPr>
              <w:fldChar w:fldCharType="begin"/>
            </w:r>
            <w:r>
              <w:rPr>
                <w:noProof/>
                <w:webHidden/>
              </w:rPr>
              <w:instrText xml:space="preserve"> PAGEREF _Toc195695332 \h </w:instrText>
            </w:r>
            <w:r>
              <w:rPr>
                <w:noProof/>
                <w:webHidden/>
              </w:rPr>
            </w:r>
            <w:r>
              <w:rPr>
                <w:noProof/>
                <w:webHidden/>
              </w:rPr>
              <w:fldChar w:fldCharType="separate"/>
            </w:r>
            <w:r>
              <w:rPr>
                <w:noProof/>
                <w:webHidden/>
              </w:rPr>
              <w:t>105</w:t>
            </w:r>
            <w:r>
              <w:rPr>
                <w:noProof/>
                <w:webHidden/>
              </w:rPr>
              <w:fldChar w:fldCharType="end"/>
            </w:r>
          </w:hyperlink>
        </w:p>
        <w:p w:rsidR="002C46C5" w:rsidRDefault="002C46C5">
          <w:r>
            <w:rPr>
              <w:b/>
              <w:bCs/>
              <w:noProof/>
            </w:rPr>
            <w:fldChar w:fldCharType="end"/>
          </w:r>
        </w:p>
      </w:sdtContent>
    </w:sdt>
    <w:p w:rsidR="002C46C5" w:rsidRPr="00C13CE6" w:rsidRDefault="002C46C5" w:rsidP="002C46C5">
      <w:pPr>
        <w:pStyle w:val="Heading2"/>
      </w:pPr>
      <w:bookmarkStart w:id="1" w:name="_Toc195695313"/>
      <w:r>
        <w:t>Project Description</w:t>
      </w:r>
      <w:bookmarkEnd w:id="1"/>
    </w:p>
    <w:p w:rsidR="002478AB" w:rsidRDefault="00C13CE6" w:rsidP="002478AB">
      <w:r w:rsidRPr="00C13CE6">
        <w:t xml:space="preserve">This </w:t>
      </w:r>
      <w:r w:rsidR="002478AB">
        <w:t>project proposal includes:</w:t>
      </w:r>
    </w:p>
    <w:p w:rsidR="00E8313D" w:rsidRDefault="002478AB" w:rsidP="000E0AAC">
      <w:pPr>
        <w:numPr>
          <w:ilvl w:val="0"/>
          <w:numId w:val="1"/>
        </w:numPr>
      </w:pPr>
      <w:r>
        <w:t>thinning in plan</w:t>
      </w:r>
      <w:r w:rsidR="002702C8">
        <w:t>t</w:t>
      </w:r>
      <w:r>
        <w:t xml:space="preserve">ation stands </w:t>
      </w:r>
      <w:r w:rsidR="00BC546C">
        <w:t xml:space="preserve">30-76 </w:t>
      </w:r>
      <w:r w:rsidR="002702C8">
        <w:t xml:space="preserve">years old </w:t>
      </w:r>
      <w:r>
        <w:t>on approximately 5,886 acres</w:t>
      </w:r>
      <w:r w:rsidR="00BC546C">
        <w:t xml:space="preserve">. </w:t>
      </w:r>
      <w:r w:rsidR="00664050" w:rsidRPr="00BC546C">
        <w:t>Harvest treatments proposed include commercial thinning, gaps, DTRs (dominant tree releases) and skips</w:t>
      </w:r>
      <w:r w:rsidR="00E8313D">
        <w:t xml:space="preserve">. </w:t>
      </w:r>
    </w:p>
    <w:p w:rsidR="00E8313D" w:rsidRDefault="00E8313D" w:rsidP="00E8313D">
      <w:pPr>
        <w:numPr>
          <w:ilvl w:val="1"/>
          <w:numId w:val="1"/>
        </w:numPr>
      </w:pPr>
      <w:r>
        <w:t xml:space="preserve">3,127 acres of upland thinning, </w:t>
      </w:r>
    </w:p>
    <w:p w:rsidR="00E8313D" w:rsidRDefault="00E8313D" w:rsidP="00E8313D">
      <w:pPr>
        <w:numPr>
          <w:ilvl w:val="1"/>
          <w:numId w:val="1"/>
        </w:numPr>
      </w:pPr>
      <w:r>
        <w:t>347 acres of uplands gaps,</w:t>
      </w:r>
    </w:p>
    <w:p w:rsidR="00664050" w:rsidRDefault="00664050" w:rsidP="00E8313D">
      <w:pPr>
        <w:numPr>
          <w:ilvl w:val="1"/>
          <w:numId w:val="1"/>
        </w:numPr>
      </w:pPr>
      <w:r>
        <w:t xml:space="preserve">1,888 acres of thinning in </w:t>
      </w:r>
      <w:r w:rsidR="00E8313D">
        <w:t>riparian reserves;</w:t>
      </w:r>
    </w:p>
    <w:p w:rsidR="00B46AC3" w:rsidRDefault="00B46AC3" w:rsidP="00B46AC3">
      <w:pPr>
        <w:pStyle w:val="Default"/>
        <w:numPr>
          <w:ilvl w:val="0"/>
          <w:numId w:val="1"/>
        </w:numPr>
        <w:rPr>
          <w:sz w:val="22"/>
          <w:szCs w:val="22"/>
        </w:rPr>
      </w:pPr>
      <w:r>
        <w:rPr>
          <w:sz w:val="22"/>
          <w:szCs w:val="22"/>
        </w:rPr>
        <w:t>Construction of 21 miles of temporary roads to access logging units</w:t>
      </w:r>
    </w:p>
    <w:p w:rsidR="002478AB" w:rsidRDefault="002478AB" w:rsidP="00E8313D">
      <w:pPr>
        <w:numPr>
          <w:ilvl w:val="0"/>
          <w:numId w:val="1"/>
        </w:numPr>
      </w:pPr>
      <w:r>
        <w:t>enhance and restore meadows on approximately 599 acres,</w:t>
      </w:r>
    </w:p>
    <w:p w:rsidR="002478AB" w:rsidRDefault="002478AB" w:rsidP="00D036FE">
      <w:pPr>
        <w:numPr>
          <w:ilvl w:val="0"/>
          <w:numId w:val="1"/>
        </w:numPr>
      </w:pPr>
      <w:r>
        <w:t xml:space="preserve">approximately 2,149 acres of strategically located fuels-reduction treatments within potential control locations (PCLs), </w:t>
      </w:r>
    </w:p>
    <w:p w:rsidR="002478AB" w:rsidRDefault="002478AB" w:rsidP="00D036FE">
      <w:pPr>
        <w:numPr>
          <w:ilvl w:val="0"/>
          <w:numId w:val="1"/>
        </w:numPr>
      </w:pPr>
      <w:r>
        <w:t xml:space="preserve">approximately 27 miles of road storage, </w:t>
      </w:r>
    </w:p>
    <w:p w:rsidR="002478AB" w:rsidRDefault="002478AB" w:rsidP="00D036FE">
      <w:pPr>
        <w:numPr>
          <w:ilvl w:val="0"/>
          <w:numId w:val="1"/>
        </w:numPr>
      </w:pPr>
      <w:r>
        <w:t xml:space="preserve">approximately 185 miles of road maintenance, </w:t>
      </w:r>
    </w:p>
    <w:p w:rsidR="002478AB" w:rsidRDefault="002478AB" w:rsidP="00D036FE">
      <w:pPr>
        <w:numPr>
          <w:ilvl w:val="0"/>
          <w:numId w:val="1"/>
        </w:numPr>
      </w:pPr>
      <w:r>
        <w:t xml:space="preserve">rock quarry development on approximately 26 acres, </w:t>
      </w:r>
    </w:p>
    <w:p w:rsidR="002478AB" w:rsidRDefault="002478AB" w:rsidP="00D036FE">
      <w:pPr>
        <w:numPr>
          <w:ilvl w:val="0"/>
          <w:numId w:val="1"/>
        </w:numPr>
      </w:pPr>
      <w:r>
        <w:t xml:space="preserve">Riparian Reserve and Streamside fall and leave on approximately 181 acres, and </w:t>
      </w:r>
    </w:p>
    <w:p w:rsidR="002478AB" w:rsidRDefault="002478AB" w:rsidP="00D036FE">
      <w:pPr>
        <w:numPr>
          <w:ilvl w:val="0"/>
          <w:numId w:val="1"/>
        </w:numPr>
      </w:pPr>
      <w:r>
        <w:t xml:space="preserve">Aquatic Organism passage for approximately three crossings. </w:t>
      </w:r>
    </w:p>
    <w:p w:rsidR="00B864C7" w:rsidRDefault="002478AB" w:rsidP="00B9296C">
      <w:pPr>
        <w:numPr>
          <w:ilvl w:val="0"/>
          <w:numId w:val="1"/>
        </w:numPr>
      </w:pPr>
      <w:r>
        <w:t xml:space="preserve">10 miles of </w:t>
      </w:r>
      <w:r w:rsidR="002702C8">
        <w:t>unnecessary</w:t>
      </w:r>
      <w:r>
        <w:t xml:space="preserve"> spur roads will be decommissioned to reduce maintenance costs; </w:t>
      </w:r>
    </w:p>
    <w:p w:rsidR="002702C8" w:rsidRDefault="00664050" w:rsidP="002702C8">
      <w:r>
        <w:rPr>
          <w:noProof/>
          <w:lang w:val="en-US"/>
        </w:rPr>
        <w:lastRenderedPageBreak/>
        <w:drawing>
          <wp:inline distT="0" distB="0" distL="0" distR="0" wp14:anchorId="43DF7B24" wp14:editId="02B96DE0">
            <wp:extent cx="5943600" cy="30848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084830"/>
                    </a:xfrm>
                    <a:prstGeom prst="rect">
                      <a:avLst/>
                    </a:prstGeom>
                  </pic:spPr>
                </pic:pic>
              </a:graphicData>
            </a:graphic>
          </wp:inline>
        </w:drawing>
      </w:r>
    </w:p>
    <w:p w:rsidR="002C46C5" w:rsidRDefault="002C46C5" w:rsidP="002C46C5">
      <w:pPr>
        <w:pStyle w:val="Heading2"/>
      </w:pPr>
      <w:bookmarkStart w:id="2" w:name="_Toc195695314"/>
      <w:r>
        <w:t>Intro</w:t>
      </w:r>
      <w:bookmarkEnd w:id="2"/>
    </w:p>
    <w:p w:rsidR="008E0FE3" w:rsidRDefault="00F20B42" w:rsidP="0061341D">
      <w:r>
        <w:t>We appreciate this project’s</w:t>
      </w:r>
      <w:r w:rsidR="00760F16">
        <w:t xml:space="preserve"> focus o</w:t>
      </w:r>
      <w:r w:rsidR="003F6E73">
        <w:t>n thinning young stands. This a</w:t>
      </w:r>
      <w:r w:rsidR="00760F16">
        <w:t>voids much of the ecological harm and controversy associated with logging older stands and/or regen harvest.</w:t>
      </w:r>
      <w:r w:rsidR="00B14D17">
        <w:t xml:space="preserve"> </w:t>
      </w:r>
      <w:r w:rsidR="00C07CD1">
        <w:t>That said, thinning still involves concerning t</w:t>
      </w:r>
      <w:r w:rsidR="008E0FE3">
        <w:t>rade-offs includ</w:t>
      </w:r>
      <w:r w:rsidR="00C07CD1">
        <w:t>ing</w:t>
      </w:r>
      <w:r w:rsidR="008E0FE3">
        <w:t xml:space="preserve">: carbon emissions that exacerbate global climate change, soil impacts from heavy equipment, impacts from road construction, impacts to spotted owls and their prey species, long-term impacts to future recruitment of snags and dead wood both in upland and riparian areas, increased weeds, potential for increased fire hazard due to modified microclimate and increased growth of surface &amp; ladder fuels, etc. Our comments below highlight many of these trade-offs and possible mitigations. </w:t>
      </w:r>
    </w:p>
    <w:p w:rsidR="008E0FE3" w:rsidRDefault="008E0FE3" w:rsidP="0061341D"/>
    <w:p w:rsidR="00C07CD1" w:rsidRDefault="00C07CD1" w:rsidP="002702C8">
      <w:r>
        <w:t xml:space="preserve">Restoration thinning is still a new endeavor. We have a lot to learn. The Forest Service has not invested in the research and monitoring to ensure that trade-offs are acceptable. </w:t>
      </w:r>
      <w:r w:rsidR="00A901C5">
        <w:t xml:space="preserve">We urge the Forest Service to embrace a process of continuous improvement in the planning and implementation of thinning projects. </w:t>
      </w:r>
    </w:p>
    <w:p w:rsidR="00C07CD1" w:rsidRDefault="00C07CD1" w:rsidP="002702C8"/>
    <w:p w:rsidR="0061341D" w:rsidRDefault="008E0FE3" w:rsidP="002702C8">
      <w:r>
        <w:t>We have observed a tendency for the Forest Service to find something that “works</w:t>
      </w:r>
      <w:r w:rsidR="00C07CD1">
        <w:t>,</w:t>
      </w:r>
      <w:r>
        <w:t xml:space="preserve">” </w:t>
      </w:r>
      <w:r w:rsidR="00C07CD1">
        <w:t xml:space="preserve">that is, </w:t>
      </w:r>
      <w:r>
        <w:t>serves the agency’s institutional needs for “efficiency” and timber production</w:t>
      </w:r>
      <w:r w:rsidR="00C07CD1">
        <w:t>.</w:t>
      </w:r>
      <w:r>
        <w:t xml:space="preserve"> </w:t>
      </w:r>
      <w:r w:rsidR="00C07CD1">
        <w:t xml:space="preserve">The agency </w:t>
      </w:r>
      <w:r>
        <w:t>then double</w:t>
      </w:r>
      <w:r w:rsidR="00C07CD1">
        <w:t>s</w:t>
      </w:r>
      <w:r>
        <w:t>-down on that type of activity, and stop</w:t>
      </w:r>
      <w:r w:rsidR="00C07CD1">
        <w:t>s</w:t>
      </w:r>
      <w:r>
        <w:t xml:space="preserve"> thinking creatively about it. This describes the</w:t>
      </w:r>
      <w:r w:rsidR="00C07CD1">
        <w:t xml:space="preserve"> Forest Service</w:t>
      </w:r>
      <w:r>
        <w:t xml:space="preserve"> approach to thinning, roads, and </w:t>
      </w:r>
      <w:r w:rsidR="005248BD">
        <w:t xml:space="preserve">logging </w:t>
      </w:r>
      <w:r>
        <w:t>riparian</w:t>
      </w:r>
      <w:r w:rsidR="005248BD">
        <w:t xml:space="preserve"> reserves. </w:t>
      </w:r>
      <w:r>
        <w:t xml:space="preserve">Repeating the same things over and over and calling it “good enough” fails to recognize that </w:t>
      </w:r>
      <w:r w:rsidR="004F2F6C">
        <w:t xml:space="preserve">commercial logging and roads are not harmless. </w:t>
      </w:r>
    </w:p>
    <w:p w:rsidR="005248BD" w:rsidRDefault="005248BD" w:rsidP="002702C8"/>
    <w:p w:rsidR="008366D0" w:rsidRDefault="006042B4" w:rsidP="002702C8">
      <w:r>
        <w:t xml:space="preserve">Ideally, the Forest Service would </w:t>
      </w:r>
      <w:r w:rsidR="00956B2E">
        <w:t>develop a preferred alternative that</w:t>
      </w:r>
      <w:r w:rsidR="008366D0">
        <w:t>:</w:t>
      </w:r>
      <w:r w:rsidR="00956B2E">
        <w:t xml:space="preserve"> </w:t>
      </w:r>
    </w:p>
    <w:p w:rsidR="008366D0" w:rsidRDefault="006042B4" w:rsidP="008366D0">
      <w:pPr>
        <w:numPr>
          <w:ilvl w:val="0"/>
          <w:numId w:val="19"/>
        </w:numPr>
      </w:pPr>
      <w:r>
        <w:t>focus</w:t>
      </w:r>
      <w:r w:rsidR="00956B2E">
        <w:t>es</w:t>
      </w:r>
      <w:r>
        <w:t xml:space="preserve"> thinning on areas accessible </w:t>
      </w:r>
      <w:r w:rsidR="00956B2E">
        <w:t xml:space="preserve">from </w:t>
      </w:r>
      <w:r>
        <w:t xml:space="preserve">existing roads, so that </w:t>
      </w:r>
      <w:r w:rsidR="00956B2E">
        <w:t xml:space="preserve">destructive </w:t>
      </w:r>
      <w:r>
        <w:t>road construction is not required</w:t>
      </w:r>
      <w:r w:rsidR="00956B2E">
        <w:t>, and road density is not increased</w:t>
      </w:r>
      <w:r w:rsidR="008366D0">
        <w:t>;</w:t>
      </w:r>
    </w:p>
    <w:p w:rsidR="00F20B42" w:rsidRDefault="00F20B42" w:rsidP="008366D0">
      <w:pPr>
        <w:numPr>
          <w:ilvl w:val="0"/>
          <w:numId w:val="19"/>
        </w:numPr>
      </w:pPr>
      <w:r>
        <w:t>retain enough green trees to mitigate effects on spotted owls and their prey;</w:t>
      </w:r>
    </w:p>
    <w:p w:rsidR="008366D0" w:rsidRDefault="006042B4" w:rsidP="008366D0">
      <w:pPr>
        <w:numPr>
          <w:ilvl w:val="0"/>
          <w:numId w:val="19"/>
        </w:numPr>
      </w:pPr>
      <w:r>
        <w:lastRenderedPageBreak/>
        <w:t xml:space="preserve">thin variably with retained clumps and small structure-rich “gaps” that </w:t>
      </w:r>
      <w:r w:rsidR="008366D0">
        <w:t>mimic natural forest processes;</w:t>
      </w:r>
    </w:p>
    <w:p w:rsidR="008366D0" w:rsidRDefault="008366D0" w:rsidP="008366D0">
      <w:pPr>
        <w:numPr>
          <w:ilvl w:val="0"/>
          <w:numId w:val="19"/>
        </w:numPr>
      </w:pPr>
      <w:r>
        <w:t>DTR should retain small clump</w:t>
      </w:r>
      <w:r w:rsidR="00F20B42">
        <w:t>s</w:t>
      </w:r>
      <w:r>
        <w:t xml:space="preserve"> of 2-5 trees and snags, not just a lone tree;</w:t>
      </w:r>
    </w:p>
    <w:p w:rsidR="008366D0" w:rsidRDefault="006042B4" w:rsidP="008366D0">
      <w:pPr>
        <w:numPr>
          <w:ilvl w:val="0"/>
          <w:numId w:val="19"/>
        </w:numPr>
      </w:pPr>
      <w:r>
        <w:t>retain large untreated areas where natural processes can recruit near-natural</w:t>
      </w:r>
      <w:r w:rsidR="008366D0">
        <w:t xml:space="preserve"> levels of snags and dead wood;</w:t>
      </w:r>
    </w:p>
    <w:p w:rsidR="008366D0" w:rsidRDefault="006042B4" w:rsidP="008366D0">
      <w:pPr>
        <w:numPr>
          <w:ilvl w:val="0"/>
          <w:numId w:val="19"/>
        </w:numPr>
      </w:pPr>
      <w:r>
        <w:t xml:space="preserve">avoid </w:t>
      </w:r>
      <w:r w:rsidR="00F20B42">
        <w:t xml:space="preserve">commercial tree removal </w:t>
      </w:r>
      <w:r>
        <w:t xml:space="preserve">within 150 feet of streams, so that microclimate and wood recruitment </w:t>
      </w:r>
      <w:r w:rsidR="00F20B42">
        <w:t xml:space="preserve">are </w:t>
      </w:r>
      <w:r w:rsidR="00956B2E">
        <w:t>maintained</w:t>
      </w:r>
      <w:r w:rsidR="008366D0">
        <w:t>;</w:t>
      </w:r>
    </w:p>
    <w:p w:rsidR="00B14D17" w:rsidRDefault="00956B2E" w:rsidP="008366D0">
      <w:pPr>
        <w:numPr>
          <w:ilvl w:val="0"/>
          <w:numId w:val="19"/>
        </w:numPr>
      </w:pPr>
      <w:r>
        <w:t>maintain high canopy cover in shaded-fuel breaks along roads to avoid stimulating the growth of surface and ladder fuels and reduce maintenance cost</w:t>
      </w:r>
      <w:r w:rsidR="008366D0">
        <w:t>s;</w:t>
      </w:r>
    </w:p>
    <w:p w:rsidR="00B14D17" w:rsidRDefault="00B14D17" w:rsidP="002702C8"/>
    <w:p w:rsidR="00B864C7" w:rsidRDefault="00B14D17" w:rsidP="002702C8">
      <w:r>
        <w:t xml:space="preserve">These trade-offs need to be carefully </w:t>
      </w:r>
      <w:r w:rsidR="00481D2F">
        <w:t xml:space="preserve">described and </w:t>
      </w:r>
      <w:r>
        <w:t>considered</w:t>
      </w:r>
      <w:r w:rsidR="00C15CD7">
        <w:t xml:space="preserve"> in the NEPA analysis</w:t>
      </w:r>
      <w:r w:rsidR="00481D2F">
        <w:t>.</w:t>
      </w:r>
      <w:r w:rsidR="00C15CD7">
        <w:t xml:space="preserve"> We highlighted some of these trade-offs in our scoping comments.</w:t>
      </w:r>
      <w:r>
        <w:t xml:space="preserve"> </w:t>
      </w:r>
      <w:r w:rsidR="00481D2F">
        <w:t>A</w:t>
      </w:r>
      <w:r>
        <w:t xml:space="preserve">lternatives </w:t>
      </w:r>
      <w:r w:rsidR="00481D2F">
        <w:t xml:space="preserve">need to be </w:t>
      </w:r>
      <w:r>
        <w:t xml:space="preserve">developed to </w:t>
      </w:r>
      <w:r w:rsidR="00481D2F">
        <w:t xml:space="preserve">resolve trade-offs in different ways, so the public can provide informed comment, and the decision-maker can become well-informed and find an optimal alternative that best </w:t>
      </w:r>
      <w:r>
        <w:t>minimize</w:t>
      </w:r>
      <w:r w:rsidR="00481D2F">
        <w:t>s</w:t>
      </w:r>
      <w:r>
        <w:t xml:space="preserve"> and mitigate</w:t>
      </w:r>
      <w:r w:rsidR="00481D2F">
        <w:t>s the trade-offs</w:t>
      </w:r>
      <w:r>
        <w:t>.</w:t>
      </w:r>
      <w:r w:rsidR="00481D2F">
        <w:t xml:space="preserve"> The draft Environmental Assessment does not consider alternatives.</w:t>
      </w:r>
    </w:p>
    <w:p w:rsidR="006C490A" w:rsidRDefault="006C490A" w:rsidP="002702C8"/>
    <w:p w:rsidR="006C490A" w:rsidRDefault="006C490A" w:rsidP="006C490A">
      <w:r>
        <w:t>We incorporate by reference our scoping comments on the Calloway Project dated 9 Jan 2023. There are a variety of issues discussed in those comments that are not adequately addressed in the EA, such as impacts to ecologically significant unroaded/undeveloped areas &gt;1,000 acres, certain recurring flaws in the agency’s analysis of carbon/climate effects, flaws in the analysis of dead wood recruitment, potentially significant impacts of 21 miles of temporary road construction, etc.</w:t>
      </w:r>
    </w:p>
    <w:p w:rsidR="006C490A" w:rsidRDefault="006C490A" w:rsidP="006C490A"/>
    <w:p w:rsidR="00264CD9" w:rsidRDefault="006C490A" w:rsidP="002702C8">
      <w:r>
        <w:t xml:space="preserve">Note: We are unable to carefully review the potential overlap of proposed thinning with Oregon Wild’s citizen-inventory of ecologically significant unroaded areas larger than 1,000 acres. It </w:t>
      </w:r>
      <w:r w:rsidR="001B19BF">
        <w:t xml:space="preserve">would </w:t>
      </w:r>
      <w:r>
        <w:t>be helpful if the FS analyze</w:t>
      </w:r>
      <w:r w:rsidR="001B19BF">
        <w:t>d</w:t>
      </w:r>
      <w:r>
        <w:t xml:space="preserve"> this issue as reques</w:t>
      </w:r>
      <w:r w:rsidR="001B19BF">
        <w:t>t</w:t>
      </w:r>
      <w:r>
        <w:t xml:space="preserve">ed in our scoping comments, or </w:t>
      </w:r>
      <w:r w:rsidR="001B19BF">
        <w:t xml:space="preserve">at a minimum </w:t>
      </w:r>
      <w:r>
        <w:t>put township/range/section lines on the maps they share with the public. While we hope that this project’s focus on young stands avoids major intrusions on unroaded areas, we cannot be sure based on the information in the draft EA.</w:t>
      </w:r>
    </w:p>
    <w:p w:rsidR="00E95419" w:rsidRDefault="00E95419" w:rsidP="00E95419">
      <w:pPr>
        <w:pStyle w:val="Heading2"/>
      </w:pPr>
      <w:bookmarkStart w:id="3" w:name="_Toc195695315"/>
      <w:r>
        <w:t>Tethered Logging</w:t>
      </w:r>
      <w:r w:rsidR="00C05723">
        <w:t xml:space="preserve"> &amp; Wet Weather Log Hauling</w:t>
      </w:r>
      <w:bookmarkEnd w:id="3"/>
    </w:p>
    <w:p w:rsidR="00F8200A" w:rsidRDefault="00E95419" w:rsidP="002702C8">
      <w:r>
        <w:t>This project contemplates tethered logging on steep slopes with likely has greater soil and water and weed impacts compared to skyline logging that would normally be used. The NEPA analysis at both the programmatic level and the project level do not support this untested, unproven, potentially harmful practice, that is mainly adopted as a favor to the timber industry</w:t>
      </w:r>
      <w:r w:rsidR="00C05723">
        <w:t>, even though it is not in the public interest.</w:t>
      </w:r>
    </w:p>
    <w:p w:rsidR="00C05723" w:rsidRDefault="00C05723" w:rsidP="002702C8"/>
    <w:p w:rsidR="00C05723" w:rsidRDefault="00C05723" w:rsidP="00C05723">
      <w:pPr>
        <w:suppressAutoHyphens/>
        <w:spacing w:line="240" w:lineRule="auto"/>
        <w:rPr>
          <w:rFonts w:ascii="Times New Roman" w:eastAsia="-moz-fixed" w:hAnsi="Times New Roman" w:cs="Times New Roman"/>
          <w:szCs w:val="20"/>
          <w:lang w:val="en-US" w:eastAsia="ar-SA"/>
        </w:rPr>
      </w:pPr>
      <w:r w:rsidRPr="00C05723">
        <w:rPr>
          <w:rFonts w:eastAsia="-moz-fixed" w:cs="-moz-fixed"/>
          <w:szCs w:val="20"/>
          <w:lang w:val="en-US" w:eastAsia="ar-SA"/>
        </w:rPr>
        <w:t xml:space="preserve">The timber industry wants the flexibility of hauling logs during wet weather but it is NOT in the public interest to allow this practice. The public’s water quality and the public’s fish will be adversely affected. Sediment and turbidity produced by wet weather haul is an </w:t>
      </w:r>
      <w:r w:rsidRPr="00C05723">
        <w:rPr>
          <w:rFonts w:eastAsia="-moz-fixed" w:cs="-moz-fixed"/>
          <w:i/>
          <w:szCs w:val="20"/>
          <w:lang w:val="en-US" w:eastAsia="ar-SA"/>
        </w:rPr>
        <w:t>externality</w:t>
      </w:r>
      <w:r w:rsidRPr="00C05723">
        <w:rPr>
          <w:rFonts w:eastAsia="-moz-fixed" w:cs="-moz-fixed"/>
          <w:szCs w:val="20"/>
          <w:lang w:val="en-US" w:eastAsia="ar-SA"/>
        </w:rPr>
        <w:t xml:space="preserve"> - a real cost created by the timber industry but not included on their balance sheet or included in the price of wood products. By allowing wet weather haul, BLM is effectively shifting costs from </w:t>
      </w:r>
      <w:r w:rsidRPr="00C05723">
        <w:rPr>
          <w:rFonts w:eastAsia="-moz-fixed" w:cs="-moz-fixed"/>
          <w:szCs w:val="20"/>
          <w:lang w:val="en-US" w:eastAsia="ar-SA"/>
        </w:rPr>
        <w:lastRenderedPageBreak/>
        <w:t>the timber industry to the public. The agencies should be working for the public, not the timber industry.</w:t>
      </w:r>
      <w:r w:rsidRPr="00C05723">
        <w:rPr>
          <w:rFonts w:ascii="Times New Roman" w:eastAsia="-moz-fixed" w:hAnsi="Times New Roman" w:cs="Times New Roman"/>
          <w:szCs w:val="20"/>
          <w:lang w:val="en-US" w:eastAsia="ar-SA"/>
        </w:rPr>
        <w:t>​</w:t>
      </w:r>
    </w:p>
    <w:p w:rsidR="00F8200A" w:rsidRDefault="00F8200A" w:rsidP="00C05723">
      <w:pPr>
        <w:suppressAutoHyphens/>
        <w:spacing w:line="240" w:lineRule="auto"/>
        <w:rPr>
          <w:rFonts w:ascii="Times New Roman" w:eastAsia="-moz-fixed" w:hAnsi="Times New Roman" w:cs="Times New Roman"/>
          <w:szCs w:val="20"/>
          <w:lang w:val="en-US" w:eastAsia="ar-SA"/>
        </w:rPr>
      </w:pPr>
    </w:p>
    <w:p w:rsidR="00F8200A" w:rsidRPr="00C05723" w:rsidRDefault="00F8200A" w:rsidP="00C05723">
      <w:pPr>
        <w:suppressAutoHyphens/>
        <w:spacing w:line="240" w:lineRule="auto"/>
        <w:rPr>
          <w:rFonts w:eastAsia="-moz-fixed" w:cs="-moz-fixed"/>
          <w:szCs w:val="20"/>
          <w:lang w:val="en-US" w:eastAsia="ar-SA"/>
        </w:rPr>
      </w:pPr>
      <w:r>
        <w:rPr>
          <w:rFonts w:ascii="Times New Roman" w:eastAsia="-moz-fixed" w:hAnsi="Times New Roman" w:cs="Times New Roman"/>
          <w:szCs w:val="20"/>
          <w:lang w:val="en-US" w:eastAsia="ar-SA"/>
        </w:rPr>
        <w:t>The EA (p 66) admits uncertain effects from tethered logging. This indicates the need for an EIS before adopting this untested practice.</w:t>
      </w:r>
    </w:p>
    <w:p w:rsidR="00C05723" w:rsidRPr="00C05723" w:rsidRDefault="00C05723" w:rsidP="00C05723">
      <w:pPr>
        <w:suppressAutoHyphens/>
        <w:spacing w:line="240" w:lineRule="auto"/>
        <w:rPr>
          <w:rFonts w:eastAsia="-moz-fixed" w:cs="-moz-fixed"/>
          <w:szCs w:val="20"/>
          <w:lang w:val="en-US" w:eastAsia="ar-SA"/>
        </w:rPr>
      </w:pPr>
    </w:p>
    <w:p w:rsidR="00C05723" w:rsidRPr="00C05723" w:rsidRDefault="00C05723" w:rsidP="00C05723">
      <w:pPr>
        <w:suppressAutoHyphens/>
        <w:spacing w:line="240" w:lineRule="auto"/>
        <w:rPr>
          <w:rFonts w:eastAsia="-moz-fixed" w:cs="-moz-fixed"/>
          <w:szCs w:val="20"/>
          <w:lang w:val="en-US" w:eastAsia="ar-SA"/>
        </w:rPr>
      </w:pPr>
      <w:r w:rsidRPr="00C05723">
        <w:rPr>
          <w:rFonts w:eastAsia="-moz-fixed" w:cs="-moz-fixed"/>
          <w:szCs w:val="20"/>
          <w:lang w:val="en-US" w:eastAsia="ar-SA"/>
        </w:rPr>
        <w:t>Hauling logs on wet roads is inconsistent with the Aquatic Conservation Strategy, especially where roads cross streams or are located in riparian reserves, or where road drainage may be connected to streams.</w:t>
      </w:r>
    </w:p>
    <w:p w:rsidR="00C05723" w:rsidRPr="00C05723" w:rsidRDefault="00C05723" w:rsidP="00C05723">
      <w:pPr>
        <w:suppressAutoHyphens/>
        <w:spacing w:line="240" w:lineRule="auto"/>
        <w:rPr>
          <w:rFonts w:eastAsia="-moz-fixed" w:cs="-moz-fixed"/>
          <w:szCs w:val="20"/>
          <w:lang w:val="en-US" w:eastAsia="ar-SA"/>
        </w:rPr>
      </w:pPr>
    </w:p>
    <w:p w:rsidR="00C05723" w:rsidRPr="00C05723" w:rsidRDefault="00C05723" w:rsidP="00C05723">
      <w:pPr>
        <w:suppressAutoHyphens/>
        <w:autoSpaceDE w:val="0"/>
        <w:autoSpaceDN w:val="0"/>
        <w:adjustRightInd w:val="0"/>
        <w:spacing w:line="240" w:lineRule="auto"/>
        <w:rPr>
          <w:rFonts w:eastAsia="-moz-fixed" w:cs="-moz-fixed"/>
          <w:szCs w:val="24"/>
          <w:lang w:val="en-US" w:eastAsia="ar-SA"/>
        </w:rPr>
      </w:pPr>
      <w:r w:rsidRPr="00C05723">
        <w:rPr>
          <w:rFonts w:eastAsia="-moz-fixed" w:cs="-moz-fixed"/>
          <w:szCs w:val="20"/>
          <w:lang w:val="en-US" w:eastAsia="ar-SA"/>
        </w:rPr>
        <w:t xml:space="preserve">The ACS prohibits activities that will retard attainment of ACS </w:t>
      </w:r>
      <w:r w:rsidRPr="00C05723">
        <w:rPr>
          <w:rFonts w:eastAsia="-moz-fixed" w:cs="-moz-fixed"/>
          <w:szCs w:val="24"/>
          <w:lang w:val="en-US" w:eastAsia="ar-SA"/>
        </w:rPr>
        <w:t xml:space="preserve">objectives, such as ACS Objective #5: “Maintain and restore the sediment regime under which aquatic ecosystems evolved. Elements of the sediment regime include the timing, volume, rate, and character of sediment input, storage, and transport.” The natural sediment regime is more episodic, but the sediment regime produced by modern forest management is chronic. </w:t>
      </w:r>
    </w:p>
    <w:p w:rsidR="00C05723" w:rsidRPr="00C05723" w:rsidRDefault="00C05723" w:rsidP="00C05723">
      <w:pPr>
        <w:suppressAutoHyphens/>
        <w:autoSpaceDE w:val="0"/>
        <w:autoSpaceDN w:val="0"/>
        <w:adjustRightInd w:val="0"/>
        <w:spacing w:line="240" w:lineRule="auto"/>
        <w:rPr>
          <w:rFonts w:eastAsia="-moz-fixed" w:cs="-moz-fixed"/>
          <w:szCs w:val="24"/>
          <w:lang w:val="en-US" w:eastAsia="ar-SA"/>
        </w:rPr>
      </w:pPr>
    </w:p>
    <w:p w:rsidR="00C05723" w:rsidRPr="00C05723" w:rsidRDefault="00C05723" w:rsidP="00C05723">
      <w:pPr>
        <w:suppressAutoHyphens/>
        <w:autoSpaceDE w:val="0"/>
        <w:autoSpaceDN w:val="0"/>
        <w:adjustRightInd w:val="0"/>
        <w:spacing w:line="240" w:lineRule="auto"/>
        <w:rPr>
          <w:rFonts w:eastAsia="-moz-fixed" w:cs="-moz-fixed"/>
          <w:szCs w:val="20"/>
          <w:lang w:val="en-US" w:eastAsia="ar-SA"/>
        </w:rPr>
      </w:pPr>
      <w:r w:rsidRPr="00C05723">
        <w:rPr>
          <w:rFonts w:eastAsia="-moz-fixed" w:cs="-moz-fixed"/>
          <w:szCs w:val="24"/>
          <w:lang w:val="en-US" w:eastAsia="ar-SA"/>
        </w:rPr>
        <w:t>Mitigation and BMPs are partially effective at best.</w:t>
      </w:r>
    </w:p>
    <w:p w:rsidR="00E95419" w:rsidRDefault="00E95419" w:rsidP="002702C8"/>
    <w:p w:rsidR="00481D2F" w:rsidRPr="00481D2F" w:rsidRDefault="00481D2F" w:rsidP="00481D2F">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4" w:name="_Toc194591492"/>
      <w:bookmarkStart w:id="5" w:name="_Toc195695316"/>
      <w:r w:rsidRPr="00481D2F">
        <w:rPr>
          <w:rFonts w:ascii="Arial" w:eastAsia="-moz-fixed" w:hAnsi="Arial" w:cs="-moz-fixed"/>
          <w:b/>
          <w:sz w:val="28"/>
          <w:szCs w:val="20"/>
          <w:lang w:val="en-US" w:eastAsia="ar-SA"/>
        </w:rPr>
        <w:t>Disclose, Weigh, and Mitigate Trade-offs</w:t>
      </w:r>
      <w:bookmarkEnd w:id="4"/>
      <w:bookmarkEnd w:id="5"/>
    </w:p>
    <w:p w:rsidR="00481D2F" w:rsidRPr="00481D2F" w:rsidRDefault="00481D2F" w:rsidP="00481D2F">
      <w:pPr>
        <w:suppressAutoHyphens/>
        <w:spacing w:line="240" w:lineRule="auto"/>
        <w:rPr>
          <w:rFonts w:eastAsia="-moz-fixed" w:cs="-moz-fixed"/>
          <w:szCs w:val="20"/>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Land management inevitably involves trade-offs among competing uses of the public lands. NEPA requires consideration of these trade-offs. </w:t>
      </w:r>
      <w:r w:rsidRPr="00481D2F">
        <w:rPr>
          <w:rFonts w:eastAsia="Calibri" w:cs="-moz-fixed"/>
          <w:i/>
          <w:iCs/>
          <w:lang w:val="en-US" w:eastAsia="ar-SA"/>
        </w:rPr>
        <w:t>California v. Block</w:t>
      </w:r>
      <w:r w:rsidRPr="00481D2F">
        <w:rPr>
          <w:rFonts w:eastAsia="Calibri" w:cs="-moz-fixed"/>
          <w:lang w:val="en-US" w:eastAsia="ar-SA"/>
        </w:rPr>
        <w:t>, 690 F.2d 753, 771 (9th Cir. 1982) (NEPA was designed to “ensure that an agency is cognizant of all the environmental trade-offs that are</w:t>
      </w:r>
      <w:r w:rsidRPr="00481D2F">
        <w:rPr>
          <w:rFonts w:eastAsia="-moz-fixed" w:cs="-moz-fixed"/>
          <w:i/>
          <w:iCs/>
          <w:lang w:val="en-US" w:eastAsia="ar-SA"/>
        </w:rPr>
        <w:t xml:space="preserve"> </w:t>
      </w:r>
      <w:r w:rsidRPr="00481D2F">
        <w:rPr>
          <w:rFonts w:eastAsia="Calibri" w:cs="-moz-fixed"/>
          <w:lang w:val="en-US" w:eastAsia="ar-SA"/>
        </w:rPr>
        <w:t>implicit in a decision”). Trade-offs should be disclosed, and alternatives should be developed to resolve trade-offs in different ways.</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The agency must avoid portraying the effects of the proposed action in uniformly positive terms, while describing the effects of no action in uniformly negative terms. </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When the agency uses commercial logging to meet restoration goals, the NEPA analysis needs to clearly disclose to what extent optimal restoration outcomes are being sacrificed in order to “make units pencil out,” ensure “operational feasibility,” and/or produce timber volume. For instance, OSU Scientist and Oregon Board of Forestry member Brenda </w:t>
      </w:r>
      <w:proofErr w:type="spellStart"/>
      <w:r w:rsidRPr="00481D2F">
        <w:rPr>
          <w:rFonts w:eastAsia="-moz-fixed" w:cs="-moz-fixed"/>
          <w:lang w:val="en-US" w:eastAsia="ar-SA"/>
        </w:rPr>
        <w:t>McComb</w:t>
      </w:r>
      <w:proofErr w:type="spellEnd"/>
      <w:r w:rsidRPr="00481D2F">
        <w:rPr>
          <w:rFonts w:eastAsia="-moz-fixed" w:cs="-moz-fixed"/>
          <w:lang w:val="en-US" w:eastAsia="ar-SA"/>
        </w:rPr>
        <w:t xml:space="preserve"> says “For species that select early successional stages of forest, such as deer, rabbits, hares, and quail, production of timber and production of these species is highly compatible. And tradeoffs are few. But for species that select habitat elements found more frequently in stands [sic] and landscapes that represent conditions beyond typical rotation ages for timber production, there are tradeoffs between providing habitat through management and income from products ….” 7-20-2020 email from Brenda </w:t>
      </w:r>
      <w:proofErr w:type="spellStart"/>
      <w:r w:rsidRPr="00481D2F">
        <w:rPr>
          <w:rFonts w:eastAsia="-moz-fixed" w:cs="-moz-fixed"/>
          <w:lang w:val="en-US" w:eastAsia="ar-SA"/>
        </w:rPr>
        <w:t>McComb</w:t>
      </w:r>
      <w:proofErr w:type="spellEnd"/>
      <w:r w:rsidRPr="00481D2F">
        <w:rPr>
          <w:rFonts w:eastAsia="-moz-fixed" w:cs="-moz-fixed"/>
          <w:lang w:val="en-US" w:eastAsia="ar-SA"/>
        </w:rPr>
        <w:t xml:space="preserve"> to </w:t>
      </w:r>
      <w:proofErr w:type="spellStart"/>
      <w:r w:rsidRPr="00481D2F">
        <w:rPr>
          <w:rFonts w:eastAsia="-moz-fixed" w:cs="-moz-fixed"/>
          <w:lang w:val="en-US" w:eastAsia="ar-SA"/>
        </w:rPr>
        <w:t>ForestWildlifeHabitatSeminars</w:t>
      </w:r>
      <w:proofErr w:type="spellEnd"/>
      <w:r w:rsidRPr="00481D2F">
        <w:rPr>
          <w:rFonts w:eastAsia="-moz-fixed" w:cs="-moz-fixed"/>
          <w:lang w:val="en-US" w:eastAsia="ar-SA"/>
        </w:rPr>
        <w:t xml:space="preserve"> email list.</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It is often the case that optimal restoration calls for retention of more trees, especially commercial-sized trees, that serve a variety of ecosystem services. Retaining optimal levels of medium and large trees –  </w:t>
      </w:r>
    </w:p>
    <w:p w:rsidR="00481D2F" w:rsidRPr="00481D2F" w:rsidRDefault="00481D2F" w:rsidP="00481D2F">
      <w:pPr>
        <w:numPr>
          <w:ilvl w:val="0"/>
          <w:numId w:val="3"/>
        </w:numPr>
        <w:suppressAutoHyphens/>
        <w:spacing w:line="240" w:lineRule="auto"/>
        <w:rPr>
          <w:rFonts w:eastAsia="-moz-fixed" w:cs="-moz-fixed"/>
          <w:lang w:val="en-US" w:eastAsia="ar-SA"/>
        </w:rPr>
      </w:pPr>
      <w:r w:rsidRPr="00481D2F">
        <w:rPr>
          <w:rFonts w:eastAsia="-moz-fixed" w:cs="-moz-fixed"/>
          <w:lang w:val="en-US" w:eastAsia="ar-SA"/>
        </w:rPr>
        <w:t>Provides habitat for wildlife that depend on (</w:t>
      </w:r>
      <w:proofErr w:type="spellStart"/>
      <w:r w:rsidRPr="00481D2F">
        <w:rPr>
          <w:rFonts w:eastAsia="-moz-fixed" w:cs="-moz-fixed"/>
          <w:lang w:val="en-US" w:eastAsia="ar-SA"/>
        </w:rPr>
        <w:t>i</w:t>
      </w:r>
      <w:proofErr w:type="spellEnd"/>
      <w:r w:rsidRPr="00481D2F">
        <w:rPr>
          <w:rFonts w:eastAsia="-moz-fixed" w:cs="-moz-fixed"/>
          <w:lang w:val="en-US" w:eastAsia="ar-SA"/>
        </w:rPr>
        <w:t xml:space="preserve">) relatively dense forests and/or (ii) abundant snags and dead wood; </w:t>
      </w:r>
    </w:p>
    <w:p w:rsidR="00481D2F" w:rsidRPr="00481D2F" w:rsidRDefault="00481D2F" w:rsidP="00481D2F">
      <w:pPr>
        <w:numPr>
          <w:ilvl w:val="0"/>
          <w:numId w:val="3"/>
        </w:numPr>
        <w:suppressAutoHyphens/>
        <w:spacing w:line="240" w:lineRule="auto"/>
        <w:rPr>
          <w:rFonts w:eastAsia="-moz-fixed" w:cs="-moz-fixed"/>
          <w:lang w:val="en-US" w:eastAsia="ar-SA"/>
        </w:rPr>
      </w:pPr>
      <w:r w:rsidRPr="00481D2F">
        <w:rPr>
          <w:rFonts w:eastAsia="-moz-fixed" w:cs="-moz-fixed"/>
          <w:lang w:val="en-US" w:eastAsia="ar-SA"/>
        </w:rPr>
        <w:t xml:space="preserve">Stores carbon that helps moderate global climate change; </w:t>
      </w:r>
    </w:p>
    <w:p w:rsidR="00481D2F" w:rsidRPr="00481D2F" w:rsidRDefault="00481D2F" w:rsidP="00481D2F">
      <w:pPr>
        <w:numPr>
          <w:ilvl w:val="0"/>
          <w:numId w:val="3"/>
        </w:numPr>
        <w:suppressAutoHyphens/>
        <w:spacing w:line="240" w:lineRule="auto"/>
        <w:rPr>
          <w:rFonts w:eastAsia="-moz-fixed" w:cs="-moz-fixed"/>
          <w:lang w:val="en-US" w:eastAsia="ar-SA"/>
        </w:rPr>
      </w:pPr>
      <w:r w:rsidRPr="00481D2F">
        <w:rPr>
          <w:rFonts w:eastAsia="-moz-fixed" w:cs="-moz-fixed"/>
          <w:lang w:val="en-US" w:eastAsia="ar-SA"/>
        </w:rPr>
        <w:t xml:space="preserve">Enhances recreational/scenic values; </w:t>
      </w:r>
    </w:p>
    <w:p w:rsidR="00481D2F" w:rsidRPr="00481D2F" w:rsidRDefault="00481D2F" w:rsidP="00481D2F">
      <w:pPr>
        <w:numPr>
          <w:ilvl w:val="0"/>
          <w:numId w:val="3"/>
        </w:numPr>
        <w:suppressAutoHyphens/>
        <w:spacing w:line="240" w:lineRule="auto"/>
        <w:rPr>
          <w:rFonts w:eastAsia="-moz-fixed" w:cs="-moz-fixed"/>
          <w:lang w:val="en-US" w:eastAsia="ar-SA"/>
        </w:rPr>
      </w:pPr>
      <w:r w:rsidRPr="00481D2F">
        <w:rPr>
          <w:rFonts w:eastAsia="-moz-fixed" w:cs="-moz-fixed"/>
          <w:lang w:val="en-US" w:eastAsia="ar-SA"/>
        </w:rPr>
        <w:t>Suppresses the growth of weeds and hazardous ladder fuels and reduces future maintenance costs associated with removing non-commercial in-growth; and</w:t>
      </w:r>
    </w:p>
    <w:p w:rsidR="00481D2F" w:rsidRPr="00481D2F" w:rsidRDefault="00481D2F" w:rsidP="00481D2F">
      <w:pPr>
        <w:numPr>
          <w:ilvl w:val="0"/>
          <w:numId w:val="3"/>
        </w:numPr>
        <w:suppressAutoHyphens/>
        <w:spacing w:line="240" w:lineRule="auto"/>
        <w:rPr>
          <w:rFonts w:eastAsia="-moz-fixed" w:cs="-moz-fixed"/>
          <w:lang w:val="en-US" w:eastAsia="ar-SA"/>
        </w:rPr>
      </w:pPr>
      <w:r w:rsidRPr="00481D2F">
        <w:rPr>
          <w:rFonts w:eastAsia="-moz-fixed" w:cs="-moz-fixed"/>
          <w:lang w:val="en-US" w:eastAsia="ar-SA"/>
        </w:rPr>
        <w:lastRenderedPageBreak/>
        <w:t>Provides cool/moist microclimate buffering that benefits wildlife, recreation, and moderates fire hazard;</w:t>
      </w:r>
    </w:p>
    <w:p w:rsidR="00F20B42" w:rsidRDefault="00F20B42"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Removing trees to meet timber objectives sacrifices all these values. The agency needs to carefully disclose the extent to which these public values are sacrificed in order to achieve timber volume objectives. Clearly disclosing such trade-offs helps the public provide informed comment, and helps achieve the informed decision-making requirements of NEPA. It also furthers the requirements of NEPA related to:</w:t>
      </w:r>
    </w:p>
    <w:p w:rsidR="00481D2F" w:rsidRPr="00481D2F" w:rsidRDefault="00481D2F" w:rsidP="00481D2F">
      <w:pPr>
        <w:numPr>
          <w:ilvl w:val="0"/>
          <w:numId w:val="4"/>
        </w:numPr>
        <w:suppressAutoHyphens/>
        <w:spacing w:line="240" w:lineRule="auto"/>
        <w:rPr>
          <w:rFonts w:eastAsia="-moz-fixed" w:cs="-moz-fixed"/>
          <w:lang w:val="en-US" w:eastAsia="ar-SA"/>
        </w:rPr>
      </w:pPr>
      <w:r w:rsidRPr="00481D2F">
        <w:rPr>
          <w:rFonts w:eastAsia="-moz-fixed" w:cs="-moz-fixed"/>
          <w:lang w:val="en-US" w:eastAsia="ar-SA"/>
        </w:rPr>
        <w:t>“... To determine the scope of environmental impact statements, agencies shall consider ... 3 types of alternatives, .... They include: ... (b) Alternatives, which include: (1) No action alternative. (2) Other reasonable courses of actions. (3) Mitigation measures (not in the proposed action).” 40 CFR §1508.25.</w:t>
      </w:r>
    </w:p>
    <w:p w:rsidR="00481D2F" w:rsidRPr="00481D2F" w:rsidRDefault="00481D2F" w:rsidP="00481D2F">
      <w:pPr>
        <w:numPr>
          <w:ilvl w:val="0"/>
          <w:numId w:val="4"/>
        </w:numPr>
        <w:suppressAutoHyphens/>
        <w:spacing w:line="240" w:lineRule="auto"/>
        <w:rPr>
          <w:rFonts w:eastAsia="-moz-fixed" w:cs="-moz-fixed"/>
          <w:lang w:val="en-US" w:eastAsia="ar-SA"/>
        </w:rPr>
      </w:pPr>
      <w:r w:rsidRPr="00481D2F">
        <w:rPr>
          <w:rFonts w:eastAsia="-moz-fixed" w:cs="-moz-fixed"/>
          <w:lang w:val="en-US" w:eastAsia="ar-SA"/>
        </w:rPr>
        <w:t>“Federal agencies shall to the fullest extent possible: ... (e) Use the NEPA process to identify and assess the reasonable alternatives to proposed actions that will avoid or minimize adverse effects of these actions upon the quality of the human environment. (f) Use all practicable means, consistent with the requirements of the Act and other essential considerations of national policy, to restore and enhance the quality of the human environment and avoid or minimize any possible adverse effects of their actions upon the quality of the human environment.” 40 CFR §1500.2.</w:t>
      </w:r>
    </w:p>
    <w:p w:rsidR="00481D2F" w:rsidRPr="00481D2F" w:rsidRDefault="00481D2F" w:rsidP="00481D2F">
      <w:pPr>
        <w:numPr>
          <w:ilvl w:val="0"/>
          <w:numId w:val="4"/>
        </w:numPr>
        <w:suppressAutoHyphens/>
        <w:spacing w:line="240" w:lineRule="auto"/>
        <w:rPr>
          <w:rFonts w:eastAsia="-moz-fixed" w:cs="-moz-fixed"/>
          <w:lang w:val="en-US" w:eastAsia="ar-SA"/>
        </w:rPr>
      </w:pPr>
      <w:r w:rsidRPr="00481D2F">
        <w:rPr>
          <w:rFonts w:eastAsia="-moz-fixed" w:cs="-moz-fixed"/>
          <w:lang w:val="en-US" w:eastAsia="ar-SA"/>
        </w:rPr>
        <w:t>“Study, develop, and describe appropriate alternatives to recommended courses of action in any proposal which involves unresolved conflicts concerning alternative uses of available resources.” 40 CFR §§1501.2(c), 1507.2(d), 42 USC § 4332(2)(E).</w:t>
      </w:r>
    </w:p>
    <w:p w:rsidR="00481D2F" w:rsidRPr="00481D2F" w:rsidRDefault="00481D2F" w:rsidP="00481D2F">
      <w:pPr>
        <w:numPr>
          <w:ilvl w:val="0"/>
          <w:numId w:val="4"/>
        </w:numPr>
        <w:suppressAutoHyphens/>
        <w:spacing w:line="240" w:lineRule="auto"/>
        <w:rPr>
          <w:rFonts w:eastAsia="-moz-fixed" w:cs="-moz-fixed"/>
          <w:lang w:val="en-US" w:eastAsia="ar-SA"/>
        </w:rPr>
      </w:pPr>
      <w:r w:rsidRPr="00481D2F">
        <w:rPr>
          <w:rFonts w:eastAsia="-moz-fixed" w:cs="-moz-fixed"/>
          <w:lang w:val="en-US" w:eastAsia="ar-SA"/>
        </w:rPr>
        <w:t xml:space="preserve">“The discussion [of environmental consequences] will include the environmental impacts of the alternatives including the proposed action, any adverse environmental effects which cannot be avoided should the proposal be implemented, the relationship between short-term uses of man’s environment and the maintenance and enhancement of long-term productivity, and any irreversible or irretrievable commitments of resources which would be involved in the proposal should it be implemented”40 CFR §1502.16, 42 USC § 4332(2)(C). </w:t>
      </w:r>
      <w:hyperlink r:id="rId12" w:history="1">
        <w:r w:rsidRPr="00481D2F">
          <w:rPr>
            <w:rFonts w:eastAsia="-moz-fixed" w:cs="-moz-fixed"/>
            <w:color w:val="0000FF"/>
            <w:u w:val="single"/>
            <w:lang w:val="en-US" w:eastAsia="ar-SA"/>
          </w:rPr>
          <w:t>https://www.energy.gov/sites/prod/files/NEPA-40CFR1500_1508.pdf</w:t>
        </w:r>
      </w:hyperlink>
      <w:r w:rsidRPr="00481D2F">
        <w:rPr>
          <w:rFonts w:eastAsia="-moz-fixed" w:cs="-moz-fixed"/>
          <w:lang w:val="en-US" w:eastAsia="ar-SA"/>
        </w:rPr>
        <w:t xml:space="preserve"> </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NEPA requires disclosure of the trade-offs among competing uses.</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Project-level planning and implementation pursues management activities in accordance with forest plans to enhance flows of particular ecosystem services—to improve a specific fish or wildlife population, for example, or reduce the likelihood that natural disturbance (e.g., wildfire) might adversely affect flows of ecosystem services. However, many ecosystem services and the associated landscape conditions from which they derive are interrelated in either conflicting or synergistic ways such that changes in one service necessarily involve changes in another service. In some cases, increased flows of one service may only be possible by accepting decreased flows of another service. Evaluating and communicating expected management outcomes necessarily must account for these interrelationships and the tradeoffs—the exchange of one level of service for another—made necessary when implementing a project that will affect multiple ecosystem service flows.</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 xml:space="preserve">Conceptually, tradeoffs among ecosystem services are best illustrated by using the economic concept of “production possibility frontiers” (e.g., Bowes and </w:t>
      </w:r>
      <w:proofErr w:type="spellStart"/>
      <w:r w:rsidRPr="00481D2F">
        <w:rPr>
          <w:rFonts w:eastAsia="-moz-fixed" w:cs="-moz-fixed"/>
          <w:lang w:val="en-US" w:eastAsia="ar-SA"/>
        </w:rPr>
        <w:t>Krutilla</w:t>
      </w:r>
      <w:proofErr w:type="spellEnd"/>
      <w:r w:rsidRPr="00481D2F">
        <w:rPr>
          <w:rFonts w:eastAsia="-moz-fixed" w:cs="-moz-fixed"/>
          <w:lang w:val="en-US" w:eastAsia="ar-SA"/>
        </w:rPr>
        <w:t xml:space="preserve"> 1989: 49, Stevens and Montgomery 2002). Production possibility frontiers show the combinations and levels of ecosystem services that can be produced on a landscape given that landscape’s capacity to produce those services (e.g., its size and biophysical features) and management inputs (e.g., labor) and capital improvements (e.g., roads, trails, culverts).</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w:t>
      </w:r>
    </w:p>
    <w:p w:rsidR="00481D2F" w:rsidRPr="00481D2F" w:rsidRDefault="00481D2F" w:rsidP="00481D2F">
      <w:pPr>
        <w:suppressAutoHyphens/>
        <w:autoSpaceDE w:val="0"/>
        <w:spacing w:line="240" w:lineRule="auto"/>
        <w:ind w:left="720"/>
        <w:rPr>
          <w:rFonts w:eastAsia="-moz-fixed" w:cs="-moz-fixed"/>
          <w:lang w:val="en-US" w:eastAsia="ar-SA"/>
        </w:rPr>
      </w:pPr>
      <w:r w:rsidRPr="00481D2F">
        <w:rPr>
          <w:rFonts w:eastAsia="-moz-fixed" w:cs="-moz-fixed"/>
          <w:lang w:val="en-US" w:eastAsia="ar-SA"/>
        </w:rPr>
        <w:lastRenderedPageBreak/>
        <w:t>Understanding the production possibilities for a given landscape enables managers to identify and weigh the possible output combinations that might be expected on a given landscape, and may make it more feasible to avoid unnecessary tradeoffs.</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 xml:space="preserve">Another important step in evaluating forest management tradeoffs is characterizing how valued ecosystem services are likely to change in response to management activities under consideration. … Ideally, analysis of the likely outcomes of landscape management would be based on credible scientific information linking expected changes in ecosystem services to specific changes in landscape conditions and processes resulting from proposed plans and projects. The quantity and quality of scientific information available for evaluating management effects in this way can differ depending on how well particular ecosystem processes are understood and how well they can be described by ecologists and biophysical scientists as changes in ecosystem services. </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 xml:space="preserve">… [M]any economists refer to a need for ecological production functions (e.g., </w:t>
      </w:r>
      <w:proofErr w:type="spellStart"/>
      <w:r w:rsidRPr="00481D2F">
        <w:rPr>
          <w:rFonts w:eastAsia="-moz-fixed" w:cs="-moz-fixed"/>
          <w:lang w:val="en-US" w:eastAsia="ar-SA"/>
        </w:rPr>
        <w:t>Polasky</w:t>
      </w:r>
      <w:proofErr w:type="spellEnd"/>
      <w:r w:rsidRPr="00481D2F">
        <w:rPr>
          <w:rFonts w:eastAsia="-moz-fixed" w:cs="-moz-fixed"/>
          <w:lang w:val="en-US" w:eastAsia="ar-SA"/>
        </w:rPr>
        <w:t xml:space="preserve"> 2008) that link the production of a given ecosystem service in space and time to landscape conditions and processes necessary to its production. …</w:t>
      </w:r>
    </w:p>
    <w:p w:rsidR="00481D2F" w:rsidRPr="00481D2F" w:rsidRDefault="00481D2F" w:rsidP="00481D2F">
      <w:pPr>
        <w:suppressAutoHyphens/>
        <w:spacing w:line="240" w:lineRule="auto"/>
        <w:ind w:left="720"/>
        <w:rPr>
          <w:rFonts w:eastAsia="-moz-fixed" w:cs="-moz-fixed"/>
          <w:lang w:val="en-US" w:eastAsia="ar-SA"/>
        </w:rPr>
      </w:pPr>
      <w:r w:rsidRPr="00481D2F">
        <w:rPr>
          <w:rFonts w:eastAsia="-moz-fixed" w:cs="-moz-fixed"/>
          <w:lang w:val="en-US" w:eastAsia="ar-SA"/>
        </w:rPr>
        <w:t xml:space="preserve">Whether dealing with empirical data and models or qualitative data and narratives, evaluating and communicating expected management outcomes calls for managers to (1) identify key landscape conditions that affect the quantity and quality of valued ecosystem services; (2) characterize key relations between those landscape conditions and the levels of ecosystem services produced; and (3) describe the degree of uncertainty in the data and models used to predict management outcomes. This process includes describing the spatial and temporal aspects of expected outcomes. </w:t>
      </w: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Kline, Jeffrey D.; </w:t>
      </w:r>
      <w:proofErr w:type="spellStart"/>
      <w:r w:rsidRPr="00481D2F">
        <w:rPr>
          <w:rFonts w:eastAsia="-moz-fixed" w:cs="-moz-fixed"/>
          <w:lang w:val="en-US" w:eastAsia="ar-SA"/>
        </w:rPr>
        <w:t>Mazzotta</w:t>
      </w:r>
      <w:proofErr w:type="spellEnd"/>
      <w:r w:rsidRPr="00481D2F">
        <w:rPr>
          <w:rFonts w:eastAsia="-moz-fixed" w:cs="-moz-fixed"/>
          <w:lang w:val="en-US" w:eastAsia="ar-SA"/>
        </w:rPr>
        <w:t xml:space="preserve">, Marisa J. 2012. Evaluating trade-offs among ecosystem services in the management of public lands. Gen. Tech. Rep. PNW-GTR-865. Portland, R: U.S. Department of Agriculture, Forest Service, Pacific Northwest Research Station. 48 p. </w:t>
      </w:r>
      <w:hyperlink r:id="rId13" w:history="1">
        <w:r w:rsidRPr="00481D2F">
          <w:rPr>
            <w:rFonts w:eastAsia="-moz-fixed" w:cs="-moz-fixed"/>
            <w:color w:val="0000FF"/>
            <w:u w:val="single"/>
            <w:lang w:val="en-US" w:eastAsia="ar-SA"/>
          </w:rPr>
          <w:t>http://www.fs.usda.gov/pnw/pubs/pnw_gtr865.pdf</w:t>
        </w:r>
      </w:hyperlink>
      <w:r w:rsidRPr="00481D2F">
        <w:rPr>
          <w:rFonts w:eastAsia="-moz-fixed" w:cs="-moz-fixed"/>
          <w:lang w:val="en-US" w:eastAsia="ar-SA"/>
        </w:rPr>
        <w:t>.</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ind w:left="720"/>
        <w:rPr>
          <w:rFonts w:eastAsia="-moz-fixed" w:cs="Times New Roman"/>
          <w:lang w:val="en-US" w:eastAsia="ar-SA"/>
        </w:rPr>
      </w:pPr>
      <w:r w:rsidRPr="00481D2F">
        <w:rPr>
          <w:rFonts w:eastAsia="-moz-fixed" w:cs="Times New Roman"/>
          <w:lang w:val="en-US" w:eastAsia="ar-SA"/>
        </w:rPr>
        <w:t>[W]</w:t>
      </w:r>
      <w:proofErr w:type="spellStart"/>
      <w:r w:rsidRPr="00481D2F">
        <w:rPr>
          <w:rFonts w:eastAsia="-moz-fixed" w:cs="Times New Roman"/>
          <w:lang w:val="en-US" w:eastAsia="ar-SA"/>
        </w:rPr>
        <w:t>hile</w:t>
      </w:r>
      <w:proofErr w:type="spellEnd"/>
      <w:r w:rsidRPr="00481D2F">
        <w:rPr>
          <w:rFonts w:eastAsia="-moz-fixed" w:cs="Times New Roman"/>
          <w:lang w:val="en-US" w:eastAsia="ar-SA"/>
        </w:rPr>
        <w:t xml:space="preserv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rsidR="00481D2F" w:rsidRPr="00481D2F" w:rsidRDefault="00481D2F" w:rsidP="00481D2F">
      <w:pPr>
        <w:suppressAutoHyphens/>
        <w:spacing w:line="240" w:lineRule="auto"/>
        <w:rPr>
          <w:rFonts w:eastAsia="-moz-fixed" w:cs="Times New Roman"/>
          <w:lang w:val="en-US" w:eastAsia="ar-SA"/>
        </w:rPr>
      </w:pPr>
      <w:r w:rsidRPr="00481D2F">
        <w:rPr>
          <w:rFonts w:eastAsia="-moz-fixed" w:cs="Times New Roman"/>
          <w:lang w:val="en-US" w:eastAsia="ar-SA"/>
        </w:rPr>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14" w:history="1">
        <w:r w:rsidRPr="00481D2F">
          <w:rPr>
            <w:rFonts w:eastAsia="-moz-fixed" w:cs="Times New Roman"/>
            <w:color w:val="0000FF"/>
            <w:u w:val="single"/>
            <w:lang w:val="en-US" w:eastAsia="ar-SA"/>
          </w:rPr>
          <w:t>http://oregon-stream-protection-coalition.com/wp-content/uploads/2014/07/Pollock-and-Beechie.-2014.-Riparian-thinning-and-biodiversity.pdf</w:t>
        </w:r>
      </w:hyperlink>
      <w:r w:rsidRPr="00481D2F">
        <w:rPr>
          <w:rFonts w:eastAsia="-moz-fixed" w:cs="Times New Roman"/>
          <w:lang w:val="en-US" w:eastAsia="ar-SA"/>
        </w:rPr>
        <w:t xml:space="preserve"> </w:t>
      </w:r>
    </w:p>
    <w:p w:rsidR="00481D2F" w:rsidRPr="00481D2F" w:rsidRDefault="00481D2F" w:rsidP="00481D2F">
      <w:pPr>
        <w:suppressAutoHyphens/>
        <w:spacing w:line="240" w:lineRule="auto"/>
        <w:rPr>
          <w:rFonts w:eastAsia="-moz-fixed" w:cs="Times New Roman"/>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Times New Roman"/>
          <w:lang w:val="en-US" w:eastAsia="ar-SA"/>
        </w:rPr>
        <w:t xml:space="preserve">The agency should look for tools to help illuminate and transparently resolve trade-offs. </w:t>
      </w:r>
      <w:r w:rsidRPr="00481D2F">
        <w:rPr>
          <w:rFonts w:eastAsia="-moz-fixed" w:cs="-moz-fixed"/>
          <w:lang w:val="en-US" w:eastAsia="ar-SA"/>
        </w:rPr>
        <w:t xml:space="preserve">“An integrated planning process focuses on multiple-objective planning rather than single-objective planning from the beginning of the project. It favors a transparent and interactive process that offers opportunities for understanding ecosystem complexity, stakeholder positions, and clear articulation of decision trade-offs and benefits.” Jain, Theresa B.; </w:t>
      </w:r>
      <w:proofErr w:type="spellStart"/>
      <w:r w:rsidRPr="00481D2F">
        <w:rPr>
          <w:rFonts w:eastAsia="-moz-fixed" w:cs="-moz-fixed"/>
          <w:lang w:val="en-US" w:eastAsia="ar-SA"/>
        </w:rPr>
        <w:t>Battaglia</w:t>
      </w:r>
      <w:proofErr w:type="spellEnd"/>
      <w:r w:rsidRPr="00481D2F">
        <w:rPr>
          <w:rFonts w:eastAsia="-moz-fixed" w:cs="-moz-fixed"/>
          <w:lang w:val="en-US" w:eastAsia="ar-SA"/>
        </w:rPr>
        <w:t xml:space="preserve">, Mike A.; Han, Han-Sup; Graham, Russell T.; Keyes, Christopher R.; Fried, Jeremy S.; </w:t>
      </w:r>
      <w:proofErr w:type="spellStart"/>
      <w:r w:rsidRPr="00481D2F">
        <w:rPr>
          <w:rFonts w:eastAsia="-moz-fixed" w:cs="-moz-fixed"/>
          <w:lang w:val="en-US" w:eastAsia="ar-SA"/>
        </w:rPr>
        <w:t>Sandquist</w:t>
      </w:r>
      <w:proofErr w:type="spellEnd"/>
      <w:r w:rsidRPr="00481D2F">
        <w:rPr>
          <w:rFonts w:eastAsia="-moz-fixed" w:cs="-moz-fixed"/>
          <w:lang w:val="en-US" w:eastAsia="ar-SA"/>
        </w:rPr>
        <w:t xml:space="preserve">, Jonathan E. 2012. A comprehensive guide to fuel management practices for dry mixed conifer forests in the northwestern United States. USDA Forest Service Gen. Tech. Rep. RMRS-GTR-292. 2012 </w:t>
      </w:r>
      <w:hyperlink r:id="rId15" w:history="1">
        <w:r w:rsidRPr="00481D2F">
          <w:rPr>
            <w:rFonts w:eastAsia="-moz-fixed" w:cs="-moz-fixed"/>
            <w:color w:val="0000FF"/>
            <w:u w:val="single"/>
            <w:lang w:val="en-US" w:eastAsia="ar-SA"/>
          </w:rPr>
          <w:t>https://www.fs.usda.gov/rm/pubs/rmrs_gtr292.pdf</w:t>
        </w:r>
      </w:hyperlink>
      <w:r w:rsidRPr="00481D2F">
        <w:rPr>
          <w:rFonts w:eastAsia="-moz-fixed" w:cs="-moz-fixed"/>
          <w:lang w:val="en-US" w:eastAsia="ar-SA"/>
        </w:rPr>
        <w:t xml:space="preserve"> Chapter 7 of this document highlights the importance of clearly articulated project objectives, quantitative metrics defining success across multiple objectives, “a format to display the benefits and trade-offs among the metrics...,” and a clearly articulated rationale linking treatment prescriptions to desired objectives. </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Sometimes the agency must weigh competing values that are hard to compare, such as local economic values versus the broader impacts of global climate change, or impacts to habitat values that are already rare. This will require careful analysis with clear and compelling rationale rooted in law, policy, economics ethics, etc., not hand-waving. Importantly, the FS Handbook </w:t>
      </w:r>
      <w:hyperlink r:id="rId16" w:history="1">
        <w:r w:rsidRPr="00481D2F">
          <w:rPr>
            <w:rFonts w:eastAsia="-moz-fixed" w:cs="-moz-fixed"/>
            <w:color w:val="0000FF"/>
            <w:u w:val="single"/>
            <w:lang w:val="en-US" w:eastAsia="ar-SA"/>
          </w:rPr>
          <w:t>FSH 1909.15 Chapter 43.21</w:t>
        </w:r>
      </w:hyperlink>
      <w:r w:rsidRPr="00481D2F">
        <w:rPr>
          <w:rFonts w:eastAsia="-moz-fixed" w:cs="-moz-fixed"/>
          <w:lang w:val="en-US" w:eastAsia="ar-SA"/>
        </w:rPr>
        <w:t xml:space="preserve"> requires that Decision Notices describe “How … considerations were weighed and balanced in arriving at the decision.” </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color w:val="000000"/>
          <w:lang w:val="en-US" w:eastAsia="ar-SA"/>
        </w:rPr>
      </w:pPr>
      <w:r w:rsidRPr="00481D2F">
        <w:rPr>
          <w:rFonts w:eastAsia="-moz-fixed" w:cs="-moz-fixed"/>
          <w:lang w:val="en-US" w:eastAsia="ar-SA"/>
        </w:rPr>
        <w:t>“[F]</w:t>
      </w:r>
      <w:proofErr w:type="spellStart"/>
      <w:r w:rsidRPr="00481D2F">
        <w:rPr>
          <w:rFonts w:eastAsia="-moz-fixed" w:cs="-moz-fixed"/>
          <w:lang w:val="en-US" w:eastAsia="ar-SA"/>
        </w:rPr>
        <w:t>uel</w:t>
      </w:r>
      <w:proofErr w:type="spellEnd"/>
      <w:r w:rsidRPr="00481D2F">
        <w:rPr>
          <w:rFonts w:eastAsia="-moz-fixed" w:cs="-moz-fixed"/>
          <w:lang w:val="en-US" w:eastAsia="ar-SA"/>
        </w:rPr>
        <w:t xml:space="preserve">-reduction activities may have undesirable environmental effects (e.g., the need for periodic treatments, introduction of weeds, soil disturbance, or maintenance of some roads).” Spies, Thomas A.; </w:t>
      </w:r>
      <w:proofErr w:type="spellStart"/>
      <w:r w:rsidRPr="00481D2F">
        <w:rPr>
          <w:rFonts w:eastAsia="-moz-fixed" w:cs="-moz-fixed"/>
          <w:lang w:val="en-US" w:eastAsia="ar-SA"/>
        </w:rPr>
        <w:t>Hemstrom</w:t>
      </w:r>
      <w:proofErr w:type="spellEnd"/>
      <w:r w:rsidRPr="00481D2F">
        <w:rPr>
          <w:rFonts w:eastAsia="-moz-fixed" w:cs="-moz-fixed"/>
          <w:lang w:val="en-US" w:eastAsia="ar-SA"/>
        </w:rPr>
        <w:t xml:space="preserve">, Miles A.; Youngblood, Andrew; Hummel, Susan. 2006. Conserving old-growth forest diversity in disturbance-prone landscapes. Conservation Biology. 20(2): 351-362. </w:t>
      </w:r>
      <w:hyperlink r:id="rId17" w:history="1">
        <w:r w:rsidRPr="00481D2F">
          <w:rPr>
            <w:rFonts w:eastAsia="-moz-fixed" w:cs="-moz-fixed"/>
            <w:color w:val="0000FF"/>
            <w:u w:val="single"/>
            <w:lang w:val="en-US" w:eastAsia="ar-SA"/>
          </w:rPr>
          <w:t>http://www.fs.usda.gov/pnw/pubs/journals/pnw_2006_spies001.pdf</w:t>
        </w:r>
      </w:hyperlink>
      <w:r w:rsidRPr="00481D2F">
        <w:rPr>
          <w:rFonts w:eastAsia="-moz-fixed" w:cs="-moz-fixed"/>
          <w:lang w:val="en-US" w:eastAsia="ar-SA"/>
        </w:rPr>
        <w:t>.</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 xml:space="preserve">Another potentially useful framework for weighing trade-offs among ecosystem services (such as timber production and biodiversity) is presented here: </w:t>
      </w:r>
      <w:proofErr w:type="spellStart"/>
      <w:r w:rsidRPr="00481D2F">
        <w:rPr>
          <w:rFonts w:eastAsia="-moz-fixed" w:cs="-moz-fixed"/>
          <w:lang w:val="en-US" w:eastAsia="ar-SA"/>
        </w:rPr>
        <w:t>Cavender</w:t>
      </w:r>
      <w:proofErr w:type="spellEnd"/>
      <w:r w:rsidRPr="00481D2F">
        <w:rPr>
          <w:rFonts w:eastAsia="-moz-fixed" w:cs="-moz-fixed"/>
          <w:lang w:val="en-US" w:eastAsia="ar-SA"/>
        </w:rPr>
        <w:t xml:space="preserve">-Bares, J., S. </w:t>
      </w:r>
      <w:proofErr w:type="spellStart"/>
      <w:r w:rsidRPr="00481D2F">
        <w:rPr>
          <w:rFonts w:eastAsia="-moz-fixed" w:cs="-moz-fixed"/>
          <w:lang w:val="en-US" w:eastAsia="ar-SA"/>
        </w:rPr>
        <w:t>Polasky</w:t>
      </w:r>
      <w:proofErr w:type="spellEnd"/>
      <w:r w:rsidRPr="00481D2F">
        <w:rPr>
          <w:rFonts w:eastAsia="-moz-fixed" w:cs="-moz-fixed"/>
          <w:lang w:val="en-US" w:eastAsia="ar-SA"/>
        </w:rPr>
        <w:t xml:space="preserve">, E. King, and P. </w:t>
      </w:r>
      <w:proofErr w:type="spellStart"/>
      <w:r w:rsidRPr="00481D2F">
        <w:rPr>
          <w:rFonts w:eastAsia="-moz-fixed" w:cs="-moz-fixed"/>
          <w:lang w:val="en-US" w:eastAsia="ar-SA"/>
        </w:rPr>
        <w:t>Balvanera</w:t>
      </w:r>
      <w:proofErr w:type="spellEnd"/>
      <w:r w:rsidRPr="00481D2F">
        <w:rPr>
          <w:rFonts w:eastAsia="-moz-fixed" w:cs="-moz-fixed"/>
          <w:lang w:val="en-US" w:eastAsia="ar-SA"/>
        </w:rPr>
        <w:t xml:space="preserve">. 2015. A sustainability framework for assessing trade-offs in ecosystem services. Ecology and Society 20(1): 17. </w:t>
      </w:r>
      <w:hyperlink r:id="rId18" w:history="1">
        <w:r w:rsidRPr="00481D2F">
          <w:rPr>
            <w:rFonts w:eastAsia="-moz-fixed" w:cs="-moz-fixed"/>
            <w:color w:val="0000FF"/>
            <w:u w:val="single"/>
            <w:lang w:val="en-US" w:eastAsia="ar-SA"/>
          </w:rPr>
          <w:t>http://dx.doi.org/10.5751/ES-06917-200117</w:t>
        </w:r>
      </w:hyperlink>
      <w:r w:rsidRPr="00481D2F">
        <w:rPr>
          <w:rFonts w:eastAsia="-moz-fixed" w:cs="-moz-fixed"/>
          <w:lang w:val="en-US" w:eastAsia="ar-SA"/>
        </w:rPr>
        <w:t xml:space="preserve">; </w:t>
      </w:r>
      <w:hyperlink r:id="rId19" w:history="1">
        <w:r w:rsidRPr="00481D2F">
          <w:rPr>
            <w:rFonts w:eastAsia="-moz-fixed" w:cs="-moz-fixed"/>
            <w:color w:val="0000FF"/>
            <w:u w:val="single"/>
            <w:lang w:val="en-US" w:eastAsia="ar-SA"/>
          </w:rPr>
          <w:t>http://www.ecologyandsociety.org/vol20/iss1/art17/</w:t>
        </w:r>
      </w:hyperlink>
      <w:r w:rsidRPr="00481D2F">
        <w:rPr>
          <w:rFonts w:eastAsia="-moz-fixed" w:cs="-moz-fixed"/>
          <w:lang w:val="en-US" w:eastAsia="ar-SA"/>
        </w:rPr>
        <w:t xml:space="preserve"> (“Similar to Bator’s 1957 article, ‘The simple analytics of welfare maximization,’ which sought to provide a coherent unified treatment of welfare economics that was widely accessible, we sought to provide a coherent unified and clear treatment of ecosystem service trade-offs in the context of sustainability. We did so in a series of steps that (1) defined the biophysical constraints of the system in the form of an efficiency frontier, (2) combined the values of stakeholders and the efficiency frontier, (3) examined temporal lags and intergenerational inequalities, and (4) incorporated thresholds and nonlinear system dynamics. … Our sustainability framework emphasizes the ecological processes underlying the production of ecosystem services that contribute to human well-being. This emphasis complements the work of economists on “inclusive wealth ” (Hamilton and Clemens 1999, </w:t>
      </w:r>
      <w:proofErr w:type="spellStart"/>
      <w:r w:rsidRPr="00481D2F">
        <w:rPr>
          <w:rFonts w:eastAsia="-moz-fixed" w:cs="-moz-fixed"/>
          <w:lang w:val="en-US" w:eastAsia="ar-SA"/>
        </w:rPr>
        <w:t>Dasgupta</w:t>
      </w:r>
      <w:proofErr w:type="spellEnd"/>
      <w:r w:rsidRPr="00481D2F">
        <w:rPr>
          <w:rFonts w:eastAsia="-moz-fixed" w:cs="-moz-fixed"/>
          <w:lang w:val="en-US" w:eastAsia="ar-SA"/>
        </w:rPr>
        <w:t xml:space="preserve"> and </w:t>
      </w:r>
      <w:proofErr w:type="spellStart"/>
      <w:r w:rsidRPr="00481D2F">
        <w:rPr>
          <w:rFonts w:eastAsia="-moz-fixed" w:cs="-moz-fixed"/>
          <w:lang w:val="en-US" w:eastAsia="ar-SA"/>
        </w:rPr>
        <w:t>Mäler</w:t>
      </w:r>
      <w:proofErr w:type="spellEnd"/>
      <w:r w:rsidRPr="00481D2F">
        <w:rPr>
          <w:rFonts w:eastAsia="-moz-fixed" w:cs="-moz-fixed"/>
          <w:lang w:val="en-US" w:eastAsia="ar-SA"/>
        </w:rPr>
        <w:t xml:space="preserve"> 2000, Heal 2000, Arrow et al. 2004, 2012). Inclusive wealth is a measure of the value of all capital assets, i.e., manufactured, human, social, and natural capital, with value reflecting the contribution of the asset to providing benefits both now and in the future. To be sustainable, inclusive wealth should be </w:t>
      </w:r>
      <w:proofErr w:type="spellStart"/>
      <w:r w:rsidRPr="00481D2F">
        <w:rPr>
          <w:rFonts w:eastAsia="-moz-fixed" w:cs="-moz-fixed"/>
          <w:lang w:val="en-US" w:eastAsia="ar-SA"/>
        </w:rPr>
        <w:t>nondeclining</w:t>
      </w:r>
      <w:proofErr w:type="spellEnd"/>
      <w:r w:rsidRPr="00481D2F">
        <w:rPr>
          <w:rFonts w:eastAsia="-moz-fixed" w:cs="-moz-fixed"/>
          <w:lang w:val="en-US" w:eastAsia="ar-SA"/>
        </w:rPr>
        <w:t>, so that future generations have bundles of assets that are of equal or greater value than the value of current assets. The advantage of the inclusive wealth approach is that it offers a clear and simple criterion for sustainability with a comprehensive and global scope (</w:t>
      </w:r>
      <w:proofErr w:type="spellStart"/>
      <w:r w:rsidRPr="00481D2F">
        <w:rPr>
          <w:rFonts w:eastAsia="-moz-fixed" w:cs="-moz-fixed"/>
          <w:lang w:val="en-US" w:eastAsia="ar-SA"/>
        </w:rPr>
        <w:t>Cavender</w:t>
      </w:r>
      <w:proofErr w:type="spellEnd"/>
      <w:r w:rsidRPr="00481D2F">
        <w:rPr>
          <w:rFonts w:eastAsia="-moz-fixed" w:cs="-moz-fixed"/>
          <w:lang w:val="en-US" w:eastAsia="ar-SA"/>
        </w:rPr>
        <w:t xml:space="preserve">-Bares et al. 2013). … The process of developing a study in the context of the sustainability framework as we have </w:t>
      </w:r>
      <w:r w:rsidRPr="00481D2F">
        <w:rPr>
          <w:rFonts w:eastAsia="-moz-fixed" w:cs="-moz-fixed"/>
          <w:lang w:val="en-US" w:eastAsia="ar-SA"/>
        </w:rPr>
        <w:lastRenderedPageBreak/>
        <w:t xml:space="preserve">outlined it is a valuable exercise (cf. Ewing and </w:t>
      </w:r>
      <w:proofErr w:type="spellStart"/>
      <w:r w:rsidRPr="00481D2F">
        <w:rPr>
          <w:rFonts w:eastAsia="-moz-fixed" w:cs="-moz-fixed"/>
          <w:lang w:val="en-US" w:eastAsia="ar-SA"/>
        </w:rPr>
        <w:t>Runck</w:t>
      </w:r>
      <w:proofErr w:type="spellEnd"/>
      <w:r w:rsidRPr="00481D2F">
        <w:rPr>
          <w:rFonts w:eastAsia="-moz-fixed" w:cs="-moz-fixed"/>
          <w:lang w:val="en-US" w:eastAsia="ar-SA"/>
        </w:rPr>
        <w:t xml:space="preserve"> 2015, Grossman 2015, </w:t>
      </w:r>
      <w:proofErr w:type="spellStart"/>
      <w:r w:rsidRPr="00481D2F">
        <w:rPr>
          <w:rFonts w:eastAsia="-moz-fixed" w:cs="-moz-fixed"/>
          <w:lang w:val="en-US" w:eastAsia="ar-SA"/>
        </w:rPr>
        <w:t>Mastrangelo</w:t>
      </w:r>
      <w:proofErr w:type="spellEnd"/>
      <w:r w:rsidRPr="00481D2F">
        <w:rPr>
          <w:rFonts w:eastAsia="-moz-fixed" w:cs="-moz-fixed"/>
          <w:lang w:val="en-US" w:eastAsia="ar-SA"/>
        </w:rPr>
        <w:t xml:space="preserve"> and </w:t>
      </w:r>
      <w:proofErr w:type="spellStart"/>
      <w:r w:rsidRPr="00481D2F">
        <w:rPr>
          <w:rFonts w:eastAsia="-moz-fixed" w:cs="-moz-fixed"/>
          <w:lang w:val="en-US" w:eastAsia="ar-SA"/>
        </w:rPr>
        <w:t>Laterra</w:t>
      </w:r>
      <w:proofErr w:type="spellEnd"/>
      <w:r w:rsidRPr="00481D2F">
        <w:rPr>
          <w:rFonts w:eastAsia="-moz-fixed" w:cs="-moz-fixed"/>
          <w:lang w:val="en-US" w:eastAsia="ar-SA"/>
        </w:rPr>
        <w:t xml:space="preserve"> 2015; P. </w:t>
      </w:r>
      <w:proofErr w:type="spellStart"/>
      <w:r w:rsidRPr="00481D2F">
        <w:rPr>
          <w:rFonts w:eastAsia="-moz-fixed" w:cs="-moz-fixed"/>
          <w:lang w:val="en-US" w:eastAsia="ar-SA"/>
        </w:rPr>
        <w:t>Balvanera</w:t>
      </w:r>
      <w:proofErr w:type="spellEnd"/>
      <w:r w:rsidRPr="00481D2F">
        <w:rPr>
          <w:rFonts w:eastAsia="-moz-fixed" w:cs="-moz-fixed"/>
          <w:lang w:val="en-US" w:eastAsia="ar-SA"/>
        </w:rPr>
        <w:t xml:space="preserve">, F. Mora, A. Castillo, and J. </w:t>
      </w:r>
      <w:proofErr w:type="spellStart"/>
      <w:r w:rsidRPr="00481D2F">
        <w:rPr>
          <w:rFonts w:eastAsia="-moz-fixed" w:cs="-moz-fixed"/>
          <w:lang w:val="en-US" w:eastAsia="ar-SA"/>
        </w:rPr>
        <w:t>Trilleras</w:t>
      </w:r>
      <w:proofErr w:type="spellEnd"/>
      <w:r w:rsidRPr="00481D2F">
        <w:rPr>
          <w:rFonts w:eastAsia="-moz-fixed" w:cs="-moz-fixed"/>
          <w:lang w:val="en-US" w:eastAsia="ar-SA"/>
        </w:rPr>
        <w:t xml:space="preserve">, unpublished manuscript, M. ). It untangles the known from the perceived, makes transparent disparate viewpoints and underlying assumptions of stakeholders, and clarifies the information base that stakeholders rely on for informing themselves about the system. Moreover, it identifies the data gaps so that stakeholders can make more informed decisions about the most appropriate intervention for an area, given social and biophysical constraints (Grossman 2015; P. </w:t>
      </w:r>
      <w:proofErr w:type="spellStart"/>
      <w:r w:rsidRPr="00481D2F">
        <w:rPr>
          <w:rFonts w:eastAsia="-moz-fixed" w:cs="-moz-fixed"/>
          <w:lang w:val="en-US" w:eastAsia="ar-SA"/>
        </w:rPr>
        <w:t>Balvanera</w:t>
      </w:r>
      <w:proofErr w:type="spellEnd"/>
      <w:r w:rsidRPr="00481D2F">
        <w:rPr>
          <w:rFonts w:eastAsia="-moz-fixed" w:cs="-moz-fixed"/>
          <w:lang w:val="en-US" w:eastAsia="ar-SA"/>
        </w:rPr>
        <w:t xml:space="preserve">, F. Mora, A. Castillo, and J. </w:t>
      </w:r>
      <w:proofErr w:type="spellStart"/>
      <w:r w:rsidRPr="00481D2F">
        <w:rPr>
          <w:rFonts w:eastAsia="-moz-fixed" w:cs="-moz-fixed"/>
          <w:lang w:val="en-US" w:eastAsia="ar-SA"/>
        </w:rPr>
        <w:t>Trilleras</w:t>
      </w:r>
      <w:proofErr w:type="spellEnd"/>
      <w:r w:rsidRPr="00481D2F">
        <w:rPr>
          <w:rFonts w:eastAsia="-moz-fixed" w:cs="-moz-fixed"/>
          <w:lang w:val="en-US" w:eastAsia="ar-SA"/>
        </w:rPr>
        <w:t xml:space="preserve">, unpublished manuscript). The process itself, however, may be more valuable than any immediate outcome of the analysis. As such, the framework has the potential to contribute to a participatory approach (E. G. King, J. </w:t>
      </w:r>
      <w:proofErr w:type="spellStart"/>
      <w:r w:rsidRPr="00481D2F">
        <w:rPr>
          <w:rFonts w:eastAsia="-moz-fixed" w:cs="-moz-fixed"/>
          <w:lang w:val="en-US" w:eastAsia="ar-SA"/>
        </w:rPr>
        <w:t>Cavender</w:t>
      </w:r>
      <w:proofErr w:type="spellEnd"/>
      <w:r w:rsidRPr="00481D2F">
        <w:rPr>
          <w:rFonts w:eastAsia="-moz-fixed" w:cs="-moz-fixed"/>
          <w:lang w:val="en-US" w:eastAsia="ar-SA"/>
        </w:rPr>
        <w:t xml:space="preserve">-Bares, T. </w:t>
      </w:r>
      <w:proofErr w:type="spellStart"/>
      <w:r w:rsidRPr="00481D2F">
        <w:rPr>
          <w:rFonts w:eastAsia="-moz-fixed" w:cs="-moz-fixed"/>
          <w:lang w:val="en-US" w:eastAsia="ar-SA"/>
        </w:rPr>
        <w:t>Mwampamba</w:t>
      </w:r>
      <w:proofErr w:type="spellEnd"/>
      <w:r w:rsidRPr="00481D2F">
        <w:rPr>
          <w:rFonts w:eastAsia="-moz-fixed" w:cs="-moz-fixed"/>
          <w:lang w:val="en-US" w:eastAsia="ar-SA"/>
        </w:rPr>
        <w:t xml:space="preserve">, P. </w:t>
      </w:r>
      <w:proofErr w:type="spellStart"/>
      <w:r w:rsidRPr="00481D2F">
        <w:rPr>
          <w:rFonts w:eastAsia="-moz-fixed" w:cs="-moz-fixed"/>
          <w:lang w:val="en-US" w:eastAsia="ar-SA"/>
        </w:rPr>
        <w:t>Balvanera</w:t>
      </w:r>
      <w:proofErr w:type="spellEnd"/>
      <w:r w:rsidRPr="00481D2F">
        <w:rPr>
          <w:rFonts w:eastAsia="-moz-fixed" w:cs="-moz-fixed"/>
          <w:lang w:val="en-US" w:eastAsia="ar-SA"/>
        </w:rPr>
        <w:t xml:space="preserve">, and S. </w:t>
      </w:r>
      <w:proofErr w:type="spellStart"/>
      <w:r w:rsidRPr="00481D2F">
        <w:rPr>
          <w:rFonts w:eastAsia="-moz-fixed" w:cs="-moz-fixed"/>
          <w:lang w:val="en-US" w:eastAsia="ar-SA"/>
        </w:rPr>
        <w:t>Polasky</w:t>
      </w:r>
      <w:proofErr w:type="spellEnd"/>
      <w:r w:rsidRPr="00481D2F">
        <w:rPr>
          <w:rFonts w:eastAsia="-moz-fixed" w:cs="-moz-fixed"/>
          <w:lang w:val="en-US" w:eastAsia="ar-SA"/>
        </w:rPr>
        <w:t>, unpublished manuscript) that builds trust, common ground, and the working environment needed to address ecological problems in a way that can secure long-term commitment to resolving them, which is a necessary building block for sustainability. Ultimately, an integrated social-ecological analysis of the trade-offs among ecosystem services and their dynamics through time is necessary to assess how close or far we are from attaining sustainability.”)</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Times New Roman"/>
          <w:lang w:val="en-US" w:eastAsia="ar-SA"/>
        </w:rPr>
      </w:pPr>
      <w:r w:rsidRPr="00481D2F">
        <w:rPr>
          <w:rFonts w:eastAsia="-moz-fixed" w:cs="-moz-fixed"/>
          <w:lang w:val="en-US" w:eastAsia="ar-SA"/>
        </w:rPr>
        <w:t xml:space="preserve">Yang et al (2015) created a framework linking ecosystem services to human welling being. They “used </w:t>
      </w:r>
      <w:r w:rsidRPr="00481D2F">
        <w:rPr>
          <w:rFonts w:eastAsia="-moz-fixed" w:cs="-moz-fixed"/>
          <w:i/>
          <w:lang w:val="en-US" w:eastAsia="ar-SA"/>
        </w:rPr>
        <w:t>net benefits</w:t>
      </w:r>
      <w:r w:rsidRPr="00481D2F">
        <w:rPr>
          <w:rFonts w:eastAsia="-moz-fixed" w:cs="-moz-fixed"/>
          <w:lang w:val="en-US" w:eastAsia="ar-SA"/>
        </w:rPr>
        <w:t xml:space="preserve"> rather than </w:t>
      </w:r>
      <w:r w:rsidRPr="00481D2F">
        <w:rPr>
          <w:rFonts w:eastAsia="-moz-fixed" w:cs="-moz-fixed"/>
          <w:i/>
          <w:lang w:val="en-US" w:eastAsia="ar-SA"/>
        </w:rPr>
        <w:t>gross benefits</w:t>
      </w:r>
      <w:r w:rsidRPr="00481D2F">
        <w:rPr>
          <w:rFonts w:eastAsia="-moz-fixed" w:cs="-moz-fixed"/>
          <w:lang w:val="en-US" w:eastAsia="ar-SA"/>
        </w:rPr>
        <w:t xml:space="preserve"> to allow the indices to capture both [ecosystem services] and disservices, account for costs associated with provision of [ecosystem services], consider trade-offs and synergies between different [ecosystem services], and facilitate cross-context comparisons (Yang et al. 2013b).” Yang, W., T. Dietz, D. B. Kramer, Z. Ouyang, and J. Liu. 2015. An integrated approach to understanding the linkages between ecosystem services and human well-being. Ecosystem Health and Sustainability 1(5):19. </w:t>
      </w:r>
      <w:hyperlink r:id="rId20" w:history="1">
        <w:r w:rsidRPr="00481D2F">
          <w:rPr>
            <w:rFonts w:eastAsia="-moz-fixed" w:cs="-moz-fixed"/>
            <w:color w:val="0000FF"/>
            <w:u w:val="single"/>
            <w:lang w:val="en-US" w:eastAsia="ar-SA"/>
          </w:rPr>
          <w:t>http://dx.doi.org/10.1890/EHS15-0001.1</w:t>
        </w:r>
      </w:hyperlink>
      <w:r w:rsidRPr="00481D2F">
        <w:rPr>
          <w:rFonts w:eastAsia="-moz-fixed" w:cs="-moz-fixed"/>
          <w:lang w:val="en-US" w:eastAsia="ar-SA"/>
        </w:rPr>
        <w:t xml:space="preserve">; </w:t>
      </w:r>
      <w:hyperlink r:id="rId21" w:history="1">
        <w:r w:rsidRPr="00481D2F">
          <w:rPr>
            <w:rFonts w:eastAsia="-moz-fixed" w:cs="-moz-fixed"/>
            <w:color w:val="0000FF"/>
            <w:u w:val="single"/>
            <w:lang w:val="en-US" w:eastAsia="ar-SA"/>
          </w:rPr>
          <w:t>http://onlinelibrary.wiley.com/doi/10.1890/EHS15-0001.1/epdf</w:t>
        </w:r>
      </w:hyperlink>
      <w:r w:rsidRPr="00481D2F">
        <w:rPr>
          <w:rFonts w:eastAsia="-moz-fixed" w:cs="-moz-fixed"/>
          <w:lang w:val="en-US" w:eastAsia="ar-SA"/>
        </w:rPr>
        <w:t>. In this framework, the benefits of ecosystem services provided by wood products would be adjusted to reflect the costs of water pollution, loss of biodiversity, and carbon emissions , and other values associated with logging.</w:t>
      </w:r>
    </w:p>
    <w:p w:rsidR="00481D2F" w:rsidRPr="00481D2F" w:rsidRDefault="00481D2F" w:rsidP="00481D2F">
      <w:pPr>
        <w:suppressAutoHyphens/>
        <w:spacing w:line="240" w:lineRule="auto"/>
        <w:rPr>
          <w:rFonts w:eastAsia="-moz-fixed" w:cs="-moz-fixed"/>
          <w:lang w:val="en-US" w:eastAsia="ar-SA"/>
        </w:rPr>
      </w:pPr>
    </w:p>
    <w:p w:rsidR="00481D2F" w:rsidRPr="00481D2F" w:rsidRDefault="00481D2F" w:rsidP="00481D2F">
      <w:pPr>
        <w:suppressAutoHyphens/>
        <w:spacing w:line="240" w:lineRule="auto"/>
        <w:rPr>
          <w:rFonts w:eastAsia="-moz-fixed" w:cs="-moz-fixed"/>
          <w:lang w:val="en-US" w:eastAsia="ar-SA"/>
        </w:rPr>
      </w:pPr>
      <w:r w:rsidRPr="00481D2F">
        <w:rPr>
          <w:rFonts w:eastAsia="-moz-fixed" w:cs="-moz-fixed"/>
          <w:lang w:val="en-US" w:eastAsia="ar-SA"/>
        </w:rPr>
        <w:t>See also:</w:t>
      </w:r>
    </w:p>
    <w:p w:rsidR="00481D2F" w:rsidRPr="00481D2F" w:rsidRDefault="00481D2F" w:rsidP="00481D2F">
      <w:pPr>
        <w:numPr>
          <w:ilvl w:val="0"/>
          <w:numId w:val="2"/>
        </w:numPr>
        <w:suppressAutoHyphens/>
        <w:spacing w:line="240" w:lineRule="auto"/>
        <w:rPr>
          <w:rFonts w:eastAsia="-moz-fixed" w:cs="-moz-fixed"/>
          <w:lang w:val="en-US" w:eastAsia="ar-SA"/>
        </w:rPr>
      </w:pPr>
      <w:proofErr w:type="spellStart"/>
      <w:r w:rsidRPr="00481D2F">
        <w:rPr>
          <w:rFonts w:eastAsia="-moz-fixed" w:cs="-moz-fixed"/>
          <w:lang w:val="en-US" w:eastAsia="ar-SA"/>
        </w:rPr>
        <w:t>Maass</w:t>
      </w:r>
      <w:proofErr w:type="spellEnd"/>
      <w:r w:rsidRPr="00481D2F">
        <w:rPr>
          <w:rFonts w:eastAsia="-moz-fixed" w:cs="-moz-fixed"/>
          <w:lang w:val="en-US" w:eastAsia="ar-SA"/>
        </w:rPr>
        <w:t xml:space="preserve">, M., P. </w:t>
      </w:r>
      <w:proofErr w:type="spellStart"/>
      <w:r w:rsidRPr="00481D2F">
        <w:rPr>
          <w:rFonts w:eastAsia="-moz-fixed" w:cs="-moz-fixed"/>
          <w:lang w:val="en-US" w:eastAsia="ar-SA"/>
        </w:rPr>
        <w:t>Balvanera</w:t>
      </w:r>
      <w:proofErr w:type="spellEnd"/>
      <w:r w:rsidRPr="00481D2F">
        <w:rPr>
          <w:rFonts w:eastAsia="-moz-fixed" w:cs="-moz-fixed"/>
          <w:lang w:val="en-US" w:eastAsia="ar-SA"/>
        </w:rPr>
        <w:t xml:space="preserve">, P. </w:t>
      </w:r>
      <w:proofErr w:type="spellStart"/>
      <w:r w:rsidRPr="00481D2F">
        <w:rPr>
          <w:rFonts w:eastAsia="-moz-fixed" w:cs="-moz-fixed"/>
          <w:lang w:val="en-US" w:eastAsia="ar-SA"/>
        </w:rPr>
        <w:t>Bourgeron</w:t>
      </w:r>
      <w:proofErr w:type="spellEnd"/>
      <w:r w:rsidRPr="00481D2F">
        <w:rPr>
          <w:rFonts w:eastAsia="-moz-fixed" w:cs="-moz-fixed"/>
          <w:lang w:val="en-US" w:eastAsia="ar-SA"/>
        </w:rPr>
        <w:t xml:space="preserve">, M. </w:t>
      </w:r>
      <w:proofErr w:type="spellStart"/>
      <w:r w:rsidRPr="00481D2F">
        <w:rPr>
          <w:rFonts w:eastAsia="-moz-fixed" w:cs="-moz-fixed"/>
          <w:lang w:val="en-US" w:eastAsia="ar-SA"/>
        </w:rPr>
        <w:t>Equihua</w:t>
      </w:r>
      <w:proofErr w:type="spellEnd"/>
      <w:r w:rsidRPr="00481D2F">
        <w:rPr>
          <w:rFonts w:eastAsia="-moz-fixed" w:cs="-moz-fixed"/>
          <w:lang w:val="en-US" w:eastAsia="ar-SA"/>
        </w:rPr>
        <w:t xml:space="preserve">, J. </w:t>
      </w:r>
      <w:proofErr w:type="spellStart"/>
      <w:r w:rsidRPr="00481D2F">
        <w:rPr>
          <w:rFonts w:eastAsia="-moz-fixed" w:cs="-moz-fixed"/>
          <w:lang w:val="en-US" w:eastAsia="ar-SA"/>
        </w:rPr>
        <w:t>Baudry</w:t>
      </w:r>
      <w:proofErr w:type="spellEnd"/>
      <w:r w:rsidRPr="00481D2F">
        <w:rPr>
          <w:rFonts w:eastAsia="-moz-fixed" w:cs="-moz-fixed"/>
          <w:lang w:val="en-US" w:eastAsia="ar-SA"/>
        </w:rPr>
        <w:t xml:space="preserve">, J. Dick, M. </w:t>
      </w:r>
      <w:proofErr w:type="spellStart"/>
      <w:r w:rsidRPr="00481D2F">
        <w:rPr>
          <w:rFonts w:eastAsia="-moz-fixed" w:cs="-moz-fixed"/>
          <w:lang w:val="en-US" w:eastAsia="ar-SA"/>
        </w:rPr>
        <w:t>Forsius</w:t>
      </w:r>
      <w:proofErr w:type="spellEnd"/>
      <w:r w:rsidRPr="00481D2F">
        <w:rPr>
          <w:rFonts w:eastAsia="-moz-fixed" w:cs="-moz-fixed"/>
          <w:lang w:val="en-US" w:eastAsia="ar-SA"/>
        </w:rPr>
        <w:t xml:space="preserve">, L. </w:t>
      </w:r>
      <w:proofErr w:type="spellStart"/>
      <w:r w:rsidRPr="00481D2F">
        <w:rPr>
          <w:rFonts w:eastAsia="-moz-fixed" w:cs="-moz-fixed"/>
          <w:lang w:val="en-US" w:eastAsia="ar-SA"/>
        </w:rPr>
        <w:t>Halada</w:t>
      </w:r>
      <w:proofErr w:type="spellEnd"/>
      <w:r w:rsidRPr="00481D2F">
        <w:rPr>
          <w:rFonts w:eastAsia="-moz-fixed" w:cs="-moz-fixed"/>
          <w:lang w:val="en-US" w:eastAsia="ar-SA"/>
        </w:rPr>
        <w:t xml:space="preserve">, K. </w:t>
      </w:r>
      <w:proofErr w:type="spellStart"/>
      <w:r w:rsidRPr="00481D2F">
        <w:rPr>
          <w:rFonts w:eastAsia="-moz-fixed" w:cs="-moz-fixed"/>
          <w:lang w:val="en-US" w:eastAsia="ar-SA"/>
        </w:rPr>
        <w:t>Krauze</w:t>
      </w:r>
      <w:proofErr w:type="spellEnd"/>
      <w:r w:rsidRPr="00481D2F">
        <w:rPr>
          <w:rFonts w:eastAsia="-moz-fixed" w:cs="-moz-fixed"/>
          <w:lang w:val="en-US" w:eastAsia="ar-SA"/>
        </w:rPr>
        <w:t xml:space="preserve">, M. </w:t>
      </w:r>
      <w:proofErr w:type="spellStart"/>
      <w:r w:rsidRPr="00481D2F">
        <w:rPr>
          <w:rFonts w:eastAsia="-moz-fixed" w:cs="-moz-fixed"/>
          <w:lang w:val="en-US" w:eastAsia="ar-SA"/>
        </w:rPr>
        <w:t>Nakaoka</w:t>
      </w:r>
      <w:proofErr w:type="spellEnd"/>
      <w:r w:rsidRPr="00481D2F">
        <w:rPr>
          <w:rFonts w:eastAsia="-moz-fixed" w:cs="-moz-fixed"/>
          <w:lang w:val="en-US" w:eastAsia="ar-SA"/>
        </w:rPr>
        <w:t xml:space="preserve">, D. E. Orenstein, T. W. Parr, C. L. Redman, R. </w:t>
      </w:r>
      <w:proofErr w:type="spellStart"/>
      <w:r w:rsidRPr="00481D2F">
        <w:rPr>
          <w:rFonts w:eastAsia="-moz-fixed" w:cs="-moz-fixed"/>
          <w:lang w:val="en-US" w:eastAsia="ar-SA"/>
        </w:rPr>
        <w:t>Rozzi</w:t>
      </w:r>
      <w:proofErr w:type="spellEnd"/>
      <w:r w:rsidRPr="00481D2F">
        <w:rPr>
          <w:rFonts w:eastAsia="-moz-fixed" w:cs="-moz-fixed"/>
          <w:lang w:val="en-US" w:eastAsia="ar-SA"/>
        </w:rPr>
        <w:t xml:space="preserve">, M. Santos-Reis, A. M. </w:t>
      </w:r>
      <w:proofErr w:type="spellStart"/>
      <w:r w:rsidRPr="00481D2F">
        <w:rPr>
          <w:rFonts w:eastAsia="-moz-fixed" w:cs="-moz-fixed"/>
          <w:lang w:val="en-US" w:eastAsia="ar-SA"/>
        </w:rPr>
        <w:t>Swemmer</w:t>
      </w:r>
      <w:proofErr w:type="spellEnd"/>
      <w:r w:rsidRPr="00481D2F">
        <w:rPr>
          <w:rFonts w:eastAsia="-moz-fixed" w:cs="-moz-fixed"/>
          <w:lang w:val="en-US" w:eastAsia="ar-SA"/>
        </w:rPr>
        <w:t xml:space="preserve">, and A. </w:t>
      </w:r>
      <w:proofErr w:type="spellStart"/>
      <w:r w:rsidRPr="00481D2F">
        <w:rPr>
          <w:rFonts w:eastAsia="-moz-fixed" w:cs="-moz-fixed"/>
          <w:lang w:val="en-US" w:eastAsia="ar-SA"/>
        </w:rPr>
        <w:t>Vădineanu</w:t>
      </w:r>
      <w:proofErr w:type="spellEnd"/>
      <w:r w:rsidRPr="00481D2F">
        <w:rPr>
          <w:rFonts w:eastAsia="-moz-fixed" w:cs="-moz-fixed"/>
          <w:lang w:val="en-US" w:eastAsia="ar-SA"/>
        </w:rPr>
        <w:t xml:space="preserve">. 2016. Changes in biodiversity and trade-offs among ecosystem services, stakeholders, and components of well-being: the contribution of the International </w:t>
      </w:r>
      <w:proofErr w:type="spellStart"/>
      <w:r w:rsidRPr="00481D2F">
        <w:rPr>
          <w:rFonts w:eastAsia="-moz-fixed" w:cs="-moz-fixed"/>
          <w:lang w:val="en-US" w:eastAsia="ar-SA"/>
        </w:rPr>
        <w:t>LongTerm</w:t>
      </w:r>
      <w:proofErr w:type="spellEnd"/>
      <w:r w:rsidRPr="00481D2F">
        <w:rPr>
          <w:rFonts w:eastAsia="-moz-fixed" w:cs="-moz-fixed"/>
          <w:lang w:val="en-US" w:eastAsia="ar-SA"/>
        </w:rPr>
        <w:t xml:space="preserve"> Ecological Research network (ILTER) to </w:t>
      </w:r>
      <w:proofErr w:type="spellStart"/>
      <w:r w:rsidRPr="00481D2F">
        <w:rPr>
          <w:rFonts w:eastAsia="-moz-fixed" w:cs="-moz-fixed"/>
          <w:lang w:val="en-US" w:eastAsia="ar-SA"/>
        </w:rPr>
        <w:t>Programme</w:t>
      </w:r>
      <w:proofErr w:type="spellEnd"/>
      <w:r w:rsidRPr="00481D2F">
        <w:rPr>
          <w:rFonts w:eastAsia="-moz-fixed" w:cs="-moz-fixed"/>
          <w:lang w:val="en-US" w:eastAsia="ar-SA"/>
        </w:rPr>
        <w:t xml:space="preserve"> on Ecosystem Change and Society (PECS). Ecology and Society 21(3):31. </w:t>
      </w:r>
      <w:hyperlink r:id="rId22" w:history="1">
        <w:r w:rsidRPr="00481D2F">
          <w:rPr>
            <w:rFonts w:eastAsia="-moz-fixed" w:cs="-moz-fixed"/>
            <w:color w:val="0000FF"/>
            <w:u w:val="single"/>
            <w:lang w:val="en-US" w:eastAsia="ar-SA"/>
          </w:rPr>
          <w:t>http://dx.doi.org/10.5751/ES-08587-210331</w:t>
        </w:r>
      </w:hyperlink>
      <w:r w:rsidRPr="00481D2F">
        <w:rPr>
          <w:rFonts w:eastAsia="-moz-fixed" w:cs="-moz-fixed"/>
          <w:lang w:val="en-US" w:eastAsia="ar-SA"/>
        </w:rPr>
        <w:t xml:space="preserve">; </w:t>
      </w:r>
      <w:hyperlink r:id="rId23" w:history="1">
        <w:r w:rsidRPr="00481D2F">
          <w:rPr>
            <w:rFonts w:eastAsia="-moz-fixed" w:cs="-moz-fixed"/>
            <w:color w:val="0000FF"/>
            <w:u w:val="single"/>
            <w:lang w:val="en-US" w:eastAsia="ar-SA"/>
          </w:rPr>
          <w:t>https://www.ecologyandsociety.org/vol21/iss3/art31/ES-2016-8587.pdf</w:t>
        </w:r>
      </w:hyperlink>
      <w:r w:rsidRPr="00481D2F">
        <w:rPr>
          <w:rFonts w:eastAsia="-moz-fixed" w:cs="-moz-fixed"/>
          <w:lang w:val="en-US" w:eastAsia="ar-SA"/>
        </w:rPr>
        <w:t xml:space="preserve"> </w:t>
      </w:r>
    </w:p>
    <w:p w:rsidR="00481D2F" w:rsidRPr="00481D2F" w:rsidRDefault="00481D2F" w:rsidP="00481D2F">
      <w:pPr>
        <w:numPr>
          <w:ilvl w:val="0"/>
          <w:numId w:val="2"/>
        </w:numPr>
        <w:suppressAutoHyphens/>
        <w:spacing w:line="240" w:lineRule="auto"/>
        <w:rPr>
          <w:rFonts w:eastAsia="-moz-fixed" w:cs="-moz-fixed"/>
          <w:lang w:val="en-US" w:eastAsia="ar-SA"/>
        </w:rPr>
      </w:pPr>
      <w:r w:rsidRPr="00481D2F">
        <w:rPr>
          <w:rFonts w:eastAsia="-moz-fixed" w:cs="-moz-fixed"/>
          <w:lang w:val="en-US" w:eastAsia="ar-SA"/>
        </w:rPr>
        <w:t xml:space="preserve">Deng, X., Li, Z. &amp; Gibson, J. J. 2016. A review on trade-off analysis of ecosystem services for sustainable land-use management. </w:t>
      </w:r>
      <w:proofErr w:type="spellStart"/>
      <w:r w:rsidRPr="00481D2F">
        <w:rPr>
          <w:rFonts w:eastAsia="-moz-fixed" w:cs="-moz-fixed"/>
          <w:lang w:val="en-US" w:eastAsia="ar-SA"/>
        </w:rPr>
        <w:t>Geogr</w:t>
      </w:r>
      <w:proofErr w:type="spellEnd"/>
      <w:r w:rsidRPr="00481D2F">
        <w:rPr>
          <w:rFonts w:eastAsia="-moz-fixed" w:cs="-moz-fixed"/>
          <w:lang w:val="en-US" w:eastAsia="ar-SA"/>
        </w:rPr>
        <w:t xml:space="preserve">. Sci. (2016) 26: 953. </w:t>
      </w:r>
      <w:hyperlink r:id="rId24" w:history="1">
        <w:r w:rsidRPr="00481D2F">
          <w:rPr>
            <w:rFonts w:eastAsia="-moz-fixed" w:cs="-moz-fixed"/>
            <w:color w:val="0000FF"/>
            <w:u w:val="single"/>
            <w:lang w:val="en-US" w:eastAsia="ar-SA"/>
          </w:rPr>
          <w:t>https://doi.org/10.1007/s11442-016-1309-9</w:t>
        </w:r>
      </w:hyperlink>
    </w:p>
    <w:p w:rsidR="00481D2F" w:rsidRPr="00481D2F" w:rsidRDefault="00481D2F" w:rsidP="00481D2F">
      <w:pPr>
        <w:numPr>
          <w:ilvl w:val="0"/>
          <w:numId w:val="2"/>
        </w:numPr>
        <w:suppressAutoHyphens/>
        <w:spacing w:line="240" w:lineRule="auto"/>
        <w:rPr>
          <w:rFonts w:eastAsia="-moz-fixed" w:cs="-moz-fixed"/>
          <w:lang w:val="en-US" w:eastAsia="ar-SA"/>
        </w:rPr>
      </w:pPr>
      <w:proofErr w:type="spellStart"/>
      <w:r w:rsidRPr="00481D2F">
        <w:rPr>
          <w:rFonts w:eastAsia="-moz-fixed" w:cs="-moz-fixed"/>
          <w:lang w:val="en-US" w:eastAsia="ar-SA"/>
        </w:rPr>
        <w:t>Cordingley</w:t>
      </w:r>
      <w:proofErr w:type="spellEnd"/>
      <w:r w:rsidRPr="00481D2F">
        <w:rPr>
          <w:rFonts w:eastAsia="-moz-fixed" w:cs="-moz-fixed"/>
          <w:lang w:val="en-US" w:eastAsia="ar-SA"/>
        </w:rPr>
        <w:t xml:space="preserve"> JE, Newton AC, Rose RJ, Clarke RT, Bullock JM (2015) Habitat Fragmentation Intensifies Trade-Offs between Biodiversity and Ecosystem Services in a Heathland Ecosystem in Southern England. </w:t>
      </w:r>
      <w:proofErr w:type="spellStart"/>
      <w:r w:rsidRPr="00481D2F">
        <w:rPr>
          <w:rFonts w:eastAsia="-moz-fixed" w:cs="-moz-fixed"/>
          <w:lang w:val="en-US" w:eastAsia="ar-SA"/>
        </w:rPr>
        <w:t>PLoS</w:t>
      </w:r>
      <w:proofErr w:type="spellEnd"/>
      <w:r w:rsidRPr="00481D2F">
        <w:rPr>
          <w:rFonts w:eastAsia="-moz-fixed" w:cs="-moz-fixed"/>
          <w:lang w:val="en-US" w:eastAsia="ar-SA"/>
        </w:rPr>
        <w:t xml:space="preserve"> ONE 10(6): e0130004. </w:t>
      </w:r>
      <w:hyperlink r:id="rId25" w:history="1">
        <w:r w:rsidRPr="00481D2F">
          <w:rPr>
            <w:rFonts w:eastAsia="-moz-fixed" w:cs="-moz-fixed"/>
            <w:color w:val="0000FF"/>
            <w:u w:val="single"/>
            <w:lang w:val="en-US" w:eastAsia="ar-SA"/>
          </w:rPr>
          <w:t>https://doi.org/10.1371/journal.pone.0130004</w:t>
        </w:r>
      </w:hyperlink>
      <w:r w:rsidRPr="00481D2F">
        <w:rPr>
          <w:rFonts w:eastAsia="-moz-fixed" w:cs="-moz-fixed"/>
          <w:lang w:val="en-US" w:eastAsia="ar-SA"/>
        </w:rPr>
        <w:t xml:space="preserve">; </w:t>
      </w:r>
      <w:hyperlink r:id="rId26" w:history="1">
        <w:r w:rsidRPr="00481D2F">
          <w:rPr>
            <w:rFonts w:eastAsia="-moz-fixed" w:cs="-moz-fixed"/>
            <w:color w:val="0000FF"/>
            <w:u w:val="single"/>
            <w:lang w:val="en-US" w:eastAsia="ar-SA"/>
          </w:rPr>
          <w:t>http://journals.plos.org/plosone/article/file?id=10.1371/journal.pone.0130004&amp;type=printable</w:t>
        </w:r>
      </w:hyperlink>
      <w:r w:rsidRPr="00481D2F">
        <w:rPr>
          <w:rFonts w:eastAsia="-moz-fixed" w:cs="-moz-fixed"/>
          <w:lang w:val="en-US" w:eastAsia="ar-SA"/>
        </w:rPr>
        <w:t xml:space="preserve"> </w:t>
      </w:r>
    </w:p>
    <w:p w:rsidR="00481D2F" w:rsidRPr="00481D2F" w:rsidRDefault="00481D2F" w:rsidP="00481D2F">
      <w:pPr>
        <w:numPr>
          <w:ilvl w:val="0"/>
          <w:numId w:val="2"/>
        </w:numPr>
        <w:suppressAutoHyphens/>
        <w:spacing w:line="240" w:lineRule="auto"/>
        <w:rPr>
          <w:rFonts w:eastAsia="-moz-fixed" w:cs="-moz-fixed"/>
          <w:lang w:val="en-US" w:eastAsia="ar-SA"/>
        </w:rPr>
      </w:pPr>
      <w:proofErr w:type="spellStart"/>
      <w:r w:rsidRPr="00481D2F">
        <w:rPr>
          <w:rFonts w:eastAsia="-moz-fixed" w:cs="-moz-fixed"/>
          <w:lang w:val="en-US" w:eastAsia="ar-SA"/>
        </w:rPr>
        <w:t>Turkelboom</w:t>
      </w:r>
      <w:proofErr w:type="spellEnd"/>
      <w:r w:rsidRPr="00481D2F">
        <w:rPr>
          <w:rFonts w:eastAsia="-moz-fixed" w:cs="-moz-fixed"/>
          <w:lang w:val="en-US" w:eastAsia="ar-SA"/>
        </w:rPr>
        <w:t xml:space="preserve"> F., </w:t>
      </w:r>
      <w:proofErr w:type="spellStart"/>
      <w:r w:rsidRPr="00481D2F">
        <w:rPr>
          <w:rFonts w:eastAsia="-moz-fixed" w:cs="-moz-fixed"/>
          <w:lang w:val="en-US" w:eastAsia="ar-SA"/>
        </w:rPr>
        <w:t>Thoonen</w:t>
      </w:r>
      <w:proofErr w:type="spellEnd"/>
      <w:r w:rsidRPr="00481D2F">
        <w:rPr>
          <w:rFonts w:eastAsia="-moz-fixed" w:cs="-moz-fixed"/>
          <w:lang w:val="en-US" w:eastAsia="ar-SA"/>
        </w:rPr>
        <w:t xml:space="preserve"> M., Jacobs S., </w:t>
      </w:r>
      <w:proofErr w:type="spellStart"/>
      <w:r w:rsidRPr="00481D2F">
        <w:rPr>
          <w:rFonts w:eastAsia="-moz-fixed" w:cs="-moz-fixed"/>
          <w:lang w:val="en-US" w:eastAsia="ar-SA"/>
        </w:rPr>
        <w:t>García-Llorente</w:t>
      </w:r>
      <w:proofErr w:type="spellEnd"/>
      <w:r w:rsidRPr="00481D2F">
        <w:rPr>
          <w:rFonts w:eastAsia="-moz-fixed" w:cs="-moz-fixed"/>
          <w:lang w:val="en-US" w:eastAsia="ar-SA"/>
        </w:rPr>
        <w:t xml:space="preserve"> M., Martín-</w:t>
      </w:r>
      <w:proofErr w:type="spellStart"/>
      <w:r w:rsidRPr="00481D2F">
        <w:rPr>
          <w:rFonts w:eastAsia="-moz-fixed" w:cs="-moz-fixed"/>
          <w:lang w:val="en-US" w:eastAsia="ar-SA"/>
        </w:rPr>
        <w:t>López</w:t>
      </w:r>
      <w:proofErr w:type="spellEnd"/>
      <w:r w:rsidRPr="00481D2F">
        <w:rPr>
          <w:rFonts w:eastAsia="-moz-fixed" w:cs="-moz-fixed"/>
          <w:lang w:val="en-US" w:eastAsia="ar-SA"/>
        </w:rPr>
        <w:t xml:space="preserve"> B. and Berry P. (2016): Ecosystem services trade-offs and synergies. </w:t>
      </w:r>
      <w:r w:rsidRPr="00481D2F">
        <w:rPr>
          <w:rFonts w:eastAsia="-moz-fixed" w:cs="-moz-fixed"/>
          <w:i/>
          <w:lang w:val="en-US" w:eastAsia="ar-SA"/>
        </w:rPr>
        <w:t>In:</w:t>
      </w:r>
      <w:r w:rsidRPr="00481D2F">
        <w:rPr>
          <w:rFonts w:eastAsia="-moz-fixed" w:cs="-moz-fixed"/>
          <w:lang w:val="en-US" w:eastAsia="ar-SA"/>
        </w:rPr>
        <w:t xml:space="preserve"> </w:t>
      </w:r>
      <w:proofErr w:type="spellStart"/>
      <w:r w:rsidRPr="00481D2F">
        <w:rPr>
          <w:rFonts w:eastAsia="-moz-fixed" w:cs="-moz-fixed"/>
          <w:lang w:val="en-US" w:eastAsia="ar-SA"/>
        </w:rPr>
        <w:t>Potschin</w:t>
      </w:r>
      <w:proofErr w:type="spellEnd"/>
      <w:r w:rsidRPr="00481D2F">
        <w:rPr>
          <w:rFonts w:eastAsia="-moz-fixed" w:cs="-moz-fixed"/>
          <w:lang w:val="en-US" w:eastAsia="ar-SA"/>
        </w:rPr>
        <w:t xml:space="preserve">, M. and K. </w:t>
      </w:r>
      <w:proofErr w:type="spellStart"/>
      <w:r w:rsidRPr="00481D2F">
        <w:rPr>
          <w:rFonts w:eastAsia="-moz-fixed" w:cs="-moz-fixed"/>
          <w:lang w:val="en-US" w:eastAsia="ar-SA"/>
        </w:rPr>
        <w:t>Jax</w:t>
      </w:r>
      <w:proofErr w:type="spellEnd"/>
      <w:r w:rsidRPr="00481D2F">
        <w:rPr>
          <w:rFonts w:eastAsia="-moz-fixed" w:cs="-moz-fixed"/>
          <w:lang w:val="en-US" w:eastAsia="ar-SA"/>
        </w:rPr>
        <w:t xml:space="preserve"> (</w:t>
      </w:r>
      <w:proofErr w:type="spellStart"/>
      <w:r w:rsidRPr="00481D2F">
        <w:rPr>
          <w:rFonts w:eastAsia="-moz-fixed" w:cs="-moz-fixed"/>
          <w:lang w:val="en-US" w:eastAsia="ar-SA"/>
        </w:rPr>
        <w:t>eds</w:t>
      </w:r>
      <w:proofErr w:type="spellEnd"/>
      <w:r w:rsidRPr="00481D2F">
        <w:rPr>
          <w:rFonts w:eastAsia="-moz-fixed" w:cs="-moz-fixed"/>
          <w:lang w:val="en-US" w:eastAsia="ar-SA"/>
        </w:rPr>
        <w:t xml:space="preserve">): </w:t>
      </w:r>
      <w:proofErr w:type="spellStart"/>
      <w:r w:rsidRPr="00481D2F">
        <w:rPr>
          <w:rFonts w:eastAsia="-moz-fixed" w:cs="-moz-fixed"/>
          <w:lang w:val="en-US" w:eastAsia="ar-SA"/>
        </w:rPr>
        <w:t>OpenNESS</w:t>
      </w:r>
      <w:proofErr w:type="spellEnd"/>
      <w:r w:rsidRPr="00481D2F">
        <w:rPr>
          <w:rFonts w:eastAsia="-moz-fixed" w:cs="-moz-fixed"/>
          <w:lang w:val="en-US" w:eastAsia="ar-SA"/>
        </w:rPr>
        <w:t xml:space="preserve"> Ecosystem Services Reference Book. EC FP7 Grant Agreement no. 308428. </w:t>
      </w:r>
      <w:hyperlink r:id="rId27" w:history="1">
        <w:r w:rsidRPr="00481D2F">
          <w:rPr>
            <w:rFonts w:eastAsia="-moz-fixed" w:cs="-moz-fixed"/>
            <w:color w:val="0000FF"/>
            <w:u w:val="single"/>
            <w:lang w:val="en-US" w:eastAsia="ar-SA"/>
          </w:rPr>
          <w:t>http://www.openness-project.eu/sites/default/files/SP-Trade-offs-and-synergies.pdf</w:t>
        </w:r>
      </w:hyperlink>
    </w:p>
    <w:p w:rsidR="00481D2F" w:rsidRPr="00481D2F" w:rsidRDefault="00481D2F" w:rsidP="00481D2F">
      <w:pPr>
        <w:numPr>
          <w:ilvl w:val="0"/>
          <w:numId w:val="2"/>
        </w:numPr>
        <w:suppressAutoHyphens/>
        <w:spacing w:line="240" w:lineRule="auto"/>
        <w:rPr>
          <w:rFonts w:eastAsia="-moz-fixed" w:cs="-moz-fixed"/>
          <w:lang w:val="en-US" w:eastAsia="ar-SA"/>
        </w:rPr>
      </w:pPr>
      <w:r w:rsidRPr="00481D2F">
        <w:rPr>
          <w:rFonts w:eastAsia="-moz-fixed" w:cs="-moz-fixed"/>
          <w:lang w:val="en-US" w:eastAsia="ar-SA"/>
        </w:rPr>
        <w:lastRenderedPageBreak/>
        <w:t>Bennett E.M. et al. (2009): Understanding relationships among multiple ecosystem services. Ecology letters12(12): 1394-1404.</w:t>
      </w:r>
    </w:p>
    <w:p w:rsidR="00481D2F" w:rsidRPr="00481D2F" w:rsidRDefault="00481D2F" w:rsidP="00481D2F">
      <w:pPr>
        <w:numPr>
          <w:ilvl w:val="0"/>
          <w:numId w:val="2"/>
        </w:numPr>
        <w:suppressAutoHyphens/>
        <w:spacing w:line="240" w:lineRule="auto"/>
        <w:rPr>
          <w:rFonts w:eastAsia="-moz-fixed" w:cs="-moz-fixed"/>
          <w:lang w:val="en-US" w:eastAsia="ar-SA"/>
        </w:rPr>
      </w:pPr>
      <w:r w:rsidRPr="00481D2F">
        <w:rPr>
          <w:rFonts w:eastAsia="-moz-fixed" w:cs="-moz-fixed"/>
          <w:lang w:val="en-US" w:eastAsia="ar-SA"/>
        </w:rPr>
        <w:t xml:space="preserve">Howe C. et al. (2014): Creating win-wins from trade-offs? Ecosystem services for human well-being: A meta-analysis of ecosystem service trade-offs and synergies in the real world. Global Environmental Change28: 263-275. </w:t>
      </w:r>
      <w:hyperlink r:id="rId28" w:history="1">
        <w:r w:rsidRPr="00481D2F">
          <w:rPr>
            <w:rFonts w:eastAsia="-moz-fixed" w:cs="-moz-fixed"/>
            <w:color w:val="0000FF"/>
            <w:u w:val="single"/>
            <w:lang w:val="en-US" w:eastAsia="ar-SA"/>
          </w:rPr>
          <w:t>https://www.sciencedirect.com/science/article/pii/S0959378014001320</w:t>
        </w:r>
      </w:hyperlink>
      <w:r w:rsidRPr="00481D2F">
        <w:rPr>
          <w:rFonts w:eastAsia="-moz-fixed" w:cs="-moz-fixed"/>
          <w:lang w:val="en-US" w:eastAsia="ar-SA"/>
        </w:rPr>
        <w:t xml:space="preserve"> </w:t>
      </w:r>
    </w:p>
    <w:p w:rsidR="00481D2F" w:rsidRPr="00481D2F" w:rsidRDefault="00481D2F" w:rsidP="00481D2F">
      <w:pPr>
        <w:numPr>
          <w:ilvl w:val="0"/>
          <w:numId w:val="2"/>
        </w:numPr>
        <w:suppressAutoHyphens/>
        <w:spacing w:line="240" w:lineRule="auto"/>
        <w:rPr>
          <w:rFonts w:eastAsia="-moz-fixed" w:cs="-moz-fixed"/>
          <w:lang w:val="en-US" w:eastAsia="ar-SA"/>
        </w:rPr>
      </w:pPr>
      <w:proofErr w:type="spellStart"/>
      <w:r w:rsidRPr="00481D2F">
        <w:rPr>
          <w:rFonts w:eastAsia="-moz-fixed" w:cs="-moz-fixed"/>
          <w:lang w:val="en-US" w:eastAsia="ar-SA"/>
        </w:rPr>
        <w:t>Mouchet</w:t>
      </w:r>
      <w:proofErr w:type="spellEnd"/>
      <w:r w:rsidRPr="00481D2F">
        <w:rPr>
          <w:rFonts w:eastAsia="-moz-fixed" w:cs="-moz-fixed"/>
          <w:lang w:val="en-US" w:eastAsia="ar-SA"/>
        </w:rPr>
        <w:t xml:space="preserve"> M. et al. (2014): An interdisciplinary methodological guide for quantifying associations between ecosystem services. Global Environmental Change 28: 298-308.</w:t>
      </w:r>
    </w:p>
    <w:p w:rsidR="00481D2F" w:rsidRPr="00481D2F" w:rsidRDefault="00481D2F" w:rsidP="00481D2F">
      <w:pPr>
        <w:numPr>
          <w:ilvl w:val="0"/>
          <w:numId w:val="2"/>
        </w:numPr>
        <w:suppressAutoHyphens/>
        <w:spacing w:line="240" w:lineRule="auto"/>
        <w:rPr>
          <w:rFonts w:eastAsia="-moz-fixed" w:cs="-moz-fixed"/>
          <w:lang w:val="en-US" w:eastAsia="ar-SA"/>
        </w:rPr>
      </w:pPr>
      <w:r w:rsidRPr="00481D2F">
        <w:rPr>
          <w:rFonts w:eastAsia="-moz-fixed" w:cs="-moz-fixed"/>
          <w:lang w:val="en-US" w:eastAsia="ar-SA"/>
        </w:rPr>
        <w:t xml:space="preserve">Lydia Olander, Robert J. Johnston, Heather </w:t>
      </w:r>
      <w:proofErr w:type="spellStart"/>
      <w:r w:rsidRPr="00481D2F">
        <w:rPr>
          <w:rFonts w:eastAsia="-moz-fixed" w:cs="-moz-fixed"/>
          <w:lang w:val="en-US" w:eastAsia="ar-SA"/>
        </w:rPr>
        <w:t>Tallis</w:t>
      </w:r>
      <w:proofErr w:type="spellEnd"/>
      <w:r w:rsidRPr="00481D2F">
        <w:rPr>
          <w:rFonts w:eastAsia="-moz-fixed" w:cs="-moz-fixed"/>
          <w:lang w:val="en-US" w:eastAsia="ar-SA"/>
        </w:rPr>
        <w:t xml:space="preserve">, Jimmy Kagan, Lynn Maguire, Steve </w:t>
      </w:r>
      <w:proofErr w:type="spellStart"/>
      <w:r w:rsidRPr="00481D2F">
        <w:rPr>
          <w:rFonts w:eastAsia="-moz-fixed" w:cs="-moz-fixed"/>
          <w:lang w:val="en-US" w:eastAsia="ar-SA"/>
        </w:rPr>
        <w:t>Polasky</w:t>
      </w:r>
      <w:proofErr w:type="spellEnd"/>
      <w:r w:rsidRPr="00481D2F">
        <w:rPr>
          <w:rFonts w:eastAsia="-moz-fixed" w:cs="-moz-fixed"/>
          <w:lang w:val="en-US" w:eastAsia="ar-SA"/>
        </w:rPr>
        <w:t xml:space="preserve">, Dean Urban, James Boyd, Lisa </w:t>
      </w:r>
      <w:proofErr w:type="spellStart"/>
      <w:r w:rsidRPr="00481D2F">
        <w:rPr>
          <w:rFonts w:eastAsia="-moz-fixed" w:cs="-moz-fixed"/>
          <w:lang w:val="en-US" w:eastAsia="ar-SA"/>
        </w:rPr>
        <w:t>Wainger</w:t>
      </w:r>
      <w:proofErr w:type="spellEnd"/>
      <w:r w:rsidRPr="00481D2F">
        <w:rPr>
          <w:rFonts w:eastAsia="-moz-fixed" w:cs="-moz-fixed"/>
          <w:lang w:val="en-US" w:eastAsia="ar-SA"/>
        </w:rPr>
        <w:t xml:space="preserve">, and Margaret Palmer. 2015. “Best Practices for Integrating Ecosystem Services into Federal Decision Making.” Durham: National Ecosystem Services Partnership, Duke University. doi:10.13016/M2CH07. </w:t>
      </w:r>
      <w:hyperlink r:id="rId29" w:history="1">
        <w:r w:rsidRPr="00481D2F">
          <w:rPr>
            <w:rFonts w:eastAsia="-moz-fixed" w:cs="-moz-fixed"/>
            <w:color w:val="0000FF"/>
            <w:u w:val="single"/>
            <w:lang w:val="en-US" w:eastAsia="ar-SA"/>
          </w:rPr>
          <w:t>https://nicholasinstitute.duke.edu/sites/default/files/publications/es_best_practices_fullpdf_0.pdf</w:t>
        </w:r>
      </w:hyperlink>
      <w:r w:rsidRPr="00481D2F">
        <w:rPr>
          <w:rFonts w:eastAsia="-moz-fixed" w:cs="-moz-fixed"/>
          <w:lang w:val="en-US" w:eastAsia="ar-SA"/>
        </w:rPr>
        <w:t xml:space="preserve"> (There’s also a guidebook: </w:t>
      </w:r>
      <w:hyperlink r:id="rId30" w:history="1">
        <w:r w:rsidRPr="00481D2F">
          <w:rPr>
            <w:rFonts w:eastAsia="-moz-fixed" w:cs="-moz-fixed"/>
            <w:color w:val="0000FF"/>
            <w:u w:val="single"/>
            <w:lang w:val="en-US" w:eastAsia="ar-SA"/>
          </w:rPr>
          <w:t>https://nespguidebook.com/</w:t>
        </w:r>
      </w:hyperlink>
      <w:r w:rsidRPr="00481D2F">
        <w:rPr>
          <w:rFonts w:eastAsia="-moz-fixed" w:cs="-moz-fixed"/>
          <w:lang w:val="en-US" w:eastAsia="ar-SA"/>
        </w:rPr>
        <w:t>)</w:t>
      </w:r>
    </w:p>
    <w:p w:rsidR="002702C8" w:rsidRDefault="002702C8" w:rsidP="002702C8"/>
    <w:p w:rsidR="009221DB" w:rsidRPr="009221DB" w:rsidRDefault="009221DB" w:rsidP="009221DB">
      <w:pPr>
        <w:keepNext/>
        <w:suppressAutoHyphens/>
        <w:spacing w:line="240" w:lineRule="auto"/>
        <w:outlineLvl w:val="1"/>
        <w:rPr>
          <w:rFonts w:ascii="Arial" w:eastAsia="-moz-fixed" w:hAnsi="Arial" w:cs="-moz-fixed"/>
          <w:b/>
          <w:sz w:val="28"/>
          <w:szCs w:val="20"/>
          <w:lang w:val="en-US" w:eastAsia="ar-SA"/>
        </w:rPr>
      </w:pPr>
      <w:bookmarkStart w:id="6" w:name="_Toc194591429"/>
      <w:bookmarkStart w:id="7" w:name="_Toc194591435"/>
      <w:bookmarkStart w:id="8" w:name="_Toc195695317"/>
      <w:r w:rsidRPr="009221DB">
        <w:rPr>
          <w:rFonts w:ascii="Arial" w:eastAsia="-moz-fixed" w:hAnsi="Arial" w:cs="-moz-fixed"/>
          <w:b/>
          <w:sz w:val="28"/>
          <w:szCs w:val="20"/>
          <w:lang w:val="en-US" w:eastAsia="ar-SA"/>
        </w:rPr>
        <w:t>Follow NEPA. It’s still the law.</w:t>
      </w:r>
      <w:bookmarkEnd w:id="6"/>
      <w:bookmarkEnd w:id="8"/>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While NEPA law may be in flux due to a few radical court decisions and Trump era executive orders, there is still a lot of valid NEPA law that must be followed. Including but not limited to:</w:t>
      </w:r>
    </w:p>
    <w:p w:rsidR="009221DB" w:rsidRPr="009221DB" w:rsidRDefault="009221DB" w:rsidP="009221DB">
      <w:pPr>
        <w:numPr>
          <w:ilvl w:val="0"/>
          <w:numId w:val="5"/>
        </w:numPr>
        <w:suppressAutoHyphens/>
        <w:spacing w:line="240" w:lineRule="auto"/>
        <w:rPr>
          <w:rFonts w:eastAsia="-moz-fixed" w:cs="-moz-fixed"/>
          <w:szCs w:val="20"/>
          <w:lang w:val="en-US" w:eastAsia="ar-SA"/>
        </w:rPr>
      </w:pPr>
      <w:r w:rsidRPr="009221DB">
        <w:rPr>
          <w:rFonts w:eastAsia="-moz-fixed" w:cs="-moz-fixed"/>
          <w:szCs w:val="20"/>
          <w:lang w:val="en-US" w:eastAsia="ar-SA"/>
        </w:rPr>
        <w:t xml:space="preserve">NEPA is a statute, codified at </w:t>
      </w:r>
      <w:hyperlink r:id="rId31" w:history="1">
        <w:r w:rsidRPr="009221DB">
          <w:rPr>
            <w:rFonts w:eastAsia="-moz-fixed" w:cs="-moz-fixed"/>
            <w:color w:val="0000FF"/>
            <w:szCs w:val="20"/>
            <w:u w:val="single"/>
            <w:lang w:val="en-US" w:eastAsia="ar-SA"/>
          </w:rPr>
          <w:t>42 USC §§ 4321-4347</w:t>
        </w:r>
      </w:hyperlink>
      <w:r w:rsidRPr="009221DB">
        <w:rPr>
          <w:rFonts w:eastAsia="-moz-fixed" w:cs="-moz-fixed"/>
          <w:szCs w:val="20"/>
          <w:lang w:val="en-US" w:eastAsia="ar-SA"/>
        </w:rPr>
        <w:t>, as amended by the Clean Air Act (</w:t>
      </w:r>
      <w:hyperlink r:id="rId32" w:history="1">
        <w:r w:rsidRPr="009221DB">
          <w:rPr>
            <w:rFonts w:eastAsia="-moz-fixed" w:cs="-moz-fixed"/>
            <w:color w:val="0000FF"/>
            <w:szCs w:val="20"/>
            <w:u w:val="single"/>
            <w:lang w:val="en-US" w:eastAsia="ar-SA"/>
          </w:rPr>
          <w:t>42 U.S.C. 7609</w:t>
        </w:r>
      </w:hyperlink>
      <w:r w:rsidRPr="009221DB">
        <w:rPr>
          <w:rFonts w:eastAsia="-moz-fixed" w:cs="-moz-fixed"/>
          <w:szCs w:val="20"/>
          <w:lang w:val="en-US" w:eastAsia="ar-SA"/>
        </w:rPr>
        <w:t xml:space="preserve">), and the </w:t>
      </w:r>
      <w:hyperlink r:id="rId33" w:history="1">
        <w:r w:rsidRPr="009221DB">
          <w:rPr>
            <w:rFonts w:eastAsia="-moz-fixed" w:cs="-moz-fixed"/>
            <w:color w:val="0000FF"/>
            <w:szCs w:val="20"/>
            <w:u w:val="single"/>
            <w:lang w:val="en-US" w:eastAsia="ar-SA"/>
          </w:rPr>
          <w:t>2023 Fiscal Responsibility Act</w:t>
        </w:r>
      </w:hyperlink>
      <w:r w:rsidRPr="009221DB">
        <w:rPr>
          <w:rFonts w:eastAsia="-moz-fixed" w:cs="-moz-fixed"/>
          <w:szCs w:val="20"/>
          <w:lang w:val="en-US" w:eastAsia="ar-SA"/>
        </w:rPr>
        <w:t xml:space="preserve"> (FRA), </w:t>
      </w:r>
    </w:p>
    <w:p w:rsidR="009221DB" w:rsidRPr="009221DB" w:rsidRDefault="009221DB" w:rsidP="009221DB">
      <w:pPr>
        <w:numPr>
          <w:ilvl w:val="0"/>
          <w:numId w:val="5"/>
        </w:numPr>
        <w:suppressAutoHyphens/>
        <w:spacing w:line="240" w:lineRule="auto"/>
        <w:rPr>
          <w:rFonts w:eastAsia="-moz-fixed" w:cs="-moz-fixed"/>
          <w:szCs w:val="20"/>
          <w:lang w:val="en-US" w:eastAsia="ar-SA"/>
        </w:rPr>
      </w:pPr>
      <w:r w:rsidRPr="009221DB">
        <w:rPr>
          <w:rFonts w:eastAsia="-moz-fixed" w:cs="-moz-fixed"/>
          <w:szCs w:val="20"/>
          <w:lang w:val="en-US" w:eastAsia="ar-SA"/>
        </w:rPr>
        <w:t>Extensive NEPA case law interpreting the statute, much of which occurred before the 1978 CEQ regulations were approved, but continuing after the CEQ regulations, for instance, when courts rendered decisions founded on statutory language and interpretation, legislative history, other court decisions, etc.</w:t>
      </w:r>
    </w:p>
    <w:p w:rsidR="009221DB" w:rsidRPr="009221DB" w:rsidRDefault="009221DB" w:rsidP="009221DB">
      <w:pPr>
        <w:numPr>
          <w:ilvl w:val="0"/>
          <w:numId w:val="5"/>
        </w:numPr>
        <w:suppressAutoHyphens/>
        <w:spacing w:line="240" w:lineRule="auto"/>
        <w:rPr>
          <w:rFonts w:eastAsia="-moz-fixed" w:cs="-moz-fixed"/>
          <w:szCs w:val="20"/>
          <w:lang w:val="en-US" w:eastAsia="ar-SA"/>
        </w:rPr>
      </w:pPr>
      <w:r w:rsidRPr="009221DB">
        <w:rPr>
          <w:rFonts w:eastAsia="-moz-fixed" w:cs="-moz-fixed"/>
          <w:szCs w:val="20"/>
          <w:lang w:val="en-US" w:eastAsia="ar-SA"/>
        </w:rPr>
        <w:t xml:space="preserve">NEPA rules properly promulgated by agencies other than CEQ, e.g., </w:t>
      </w:r>
      <w:hyperlink r:id="rId34" w:history="1">
        <w:r w:rsidRPr="009221DB">
          <w:rPr>
            <w:rFonts w:eastAsia="-moz-fixed" w:cs="-moz-fixed"/>
            <w:color w:val="0000FF"/>
            <w:szCs w:val="20"/>
            <w:u w:val="single"/>
            <w:lang w:val="en-US" w:eastAsia="ar-SA"/>
          </w:rPr>
          <w:t>36 CFR 220</w:t>
        </w:r>
      </w:hyperlink>
      <w:r w:rsidRPr="009221DB">
        <w:rPr>
          <w:rFonts w:eastAsia="-moz-fixed" w:cs="-moz-fixed"/>
          <w:szCs w:val="20"/>
          <w:lang w:val="en-US" w:eastAsia="ar-SA"/>
        </w:rPr>
        <w:t>.</w:t>
      </w:r>
    </w:p>
    <w:p w:rsidR="009221DB" w:rsidRPr="009221DB" w:rsidRDefault="009221DB" w:rsidP="009221DB">
      <w:pPr>
        <w:numPr>
          <w:ilvl w:val="0"/>
          <w:numId w:val="5"/>
        </w:numPr>
        <w:suppressAutoHyphens/>
        <w:spacing w:line="240" w:lineRule="auto"/>
        <w:rPr>
          <w:rFonts w:eastAsia="-moz-fixed" w:cs="-moz-fixed"/>
          <w:szCs w:val="20"/>
          <w:lang w:val="en-US" w:eastAsia="ar-SA"/>
        </w:rPr>
      </w:pPr>
      <w:r w:rsidRPr="009221DB">
        <w:rPr>
          <w:rFonts w:eastAsia="-moz-fixed" w:cs="-moz-fixed"/>
          <w:szCs w:val="20"/>
          <w:lang w:val="en-US" w:eastAsia="ar-SA"/>
        </w:rPr>
        <w:t>Internal agency guidance that is based on the NEPA statute, NEPA caselaw, and rules properly adopted by agencies with rulemaking authority, e.g., USFS (</w:t>
      </w:r>
      <w:hyperlink r:id="rId35" w:history="1">
        <w:r w:rsidRPr="009221DB">
          <w:rPr>
            <w:rFonts w:eastAsia="-moz-fixed" w:cs="-moz-fixed"/>
            <w:color w:val="0000FF"/>
            <w:szCs w:val="20"/>
            <w:u w:val="single"/>
            <w:lang w:val="en-US" w:eastAsia="ar-SA"/>
          </w:rPr>
          <w:t>FSM 1950</w:t>
        </w:r>
      </w:hyperlink>
      <w:r w:rsidRPr="009221DB">
        <w:rPr>
          <w:rFonts w:eastAsia="-moz-fixed" w:cs="-moz-fixed"/>
          <w:szCs w:val="20"/>
          <w:lang w:val="en-US" w:eastAsia="ar-SA"/>
        </w:rPr>
        <w:t xml:space="preserve">, </w:t>
      </w:r>
      <w:hyperlink r:id="rId36" w:history="1">
        <w:r w:rsidRPr="009221DB">
          <w:rPr>
            <w:rFonts w:eastAsia="-moz-fixed" w:cs="-moz-fixed"/>
            <w:color w:val="0000FF"/>
            <w:szCs w:val="20"/>
            <w:u w:val="single"/>
            <w:lang w:val="en-US" w:eastAsia="ar-SA"/>
          </w:rPr>
          <w:t>FSH 1909.15</w:t>
        </w:r>
      </w:hyperlink>
      <w:r w:rsidRPr="009221DB">
        <w:rPr>
          <w:rFonts w:eastAsia="-moz-fixed" w:cs="-moz-fixed"/>
          <w:szCs w:val="20"/>
          <w:lang w:val="en-US" w:eastAsia="ar-SA"/>
        </w:rPr>
        <w:t>).</w:t>
      </w:r>
    </w:p>
    <w:p w:rsidR="009221DB" w:rsidRPr="009221DB" w:rsidRDefault="0061341D" w:rsidP="009221DB">
      <w:pPr>
        <w:numPr>
          <w:ilvl w:val="0"/>
          <w:numId w:val="5"/>
        </w:numPr>
        <w:suppressAutoHyphens/>
        <w:spacing w:line="240" w:lineRule="auto"/>
        <w:rPr>
          <w:rFonts w:eastAsia="-moz-fixed" w:cs="-moz-fixed"/>
          <w:szCs w:val="20"/>
          <w:lang w:val="en-US" w:eastAsia="ar-SA"/>
        </w:rPr>
      </w:pPr>
      <w:hyperlink r:id="rId37" w:history="1">
        <w:r w:rsidR="009221DB" w:rsidRPr="009221DB">
          <w:rPr>
            <w:rFonts w:eastAsia="-moz-fixed" w:cs="-moz-fixed"/>
            <w:color w:val="0000FF"/>
            <w:szCs w:val="20"/>
            <w:u w:val="single"/>
            <w:lang w:val="en-US" w:eastAsia="ar-SA"/>
          </w:rPr>
          <w:t>CEQ’s Feb 19, 2025 memo</w:t>
        </w:r>
      </w:hyperlink>
      <w:r w:rsidR="009221DB" w:rsidRPr="009221DB">
        <w:rPr>
          <w:rFonts w:eastAsia="-moz-fixed" w:cs="-moz-fixed"/>
          <w:szCs w:val="20"/>
          <w:lang w:val="en-US" w:eastAsia="ar-SA"/>
        </w:rPr>
        <w:t xml:space="preserve"> on implementation of NEPA says “ … agencies should apply their current NEPA implementing procedures with any adjustments needed to be consistent with the NEPA statute as revised by the FRA. Moreover, although CEQ is rescinding its NEPA implementing regulations at 40 C.F.R. parts 1500–1508, agencies should consider voluntarily relying on those regulations in completing ongoing NEPA reviews …”</w:t>
      </w:r>
      <w:r w:rsidR="00331DBE">
        <w:rPr>
          <w:rFonts w:eastAsia="-moz-fixed" w:cs="-moz-fixed"/>
          <w:szCs w:val="20"/>
          <w:lang w:val="en-US" w:eastAsia="ar-SA"/>
        </w:rPr>
        <w:t xml:space="preserve"> We will continue to cite the CEQ </w:t>
      </w:r>
      <w:proofErr w:type="spellStart"/>
      <w:r w:rsidR="00331DBE">
        <w:rPr>
          <w:rFonts w:eastAsia="-moz-fixed" w:cs="-moz-fixed"/>
          <w:szCs w:val="20"/>
          <w:lang w:val="en-US" w:eastAsia="ar-SA"/>
        </w:rPr>
        <w:t>regs</w:t>
      </w:r>
      <w:proofErr w:type="spellEnd"/>
      <w:r w:rsidR="00331DBE">
        <w:rPr>
          <w:rFonts w:eastAsia="-moz-fixed" w:cs="-moz-fixed"/>
          <w:szCs w:val="20"/>
          <w:lang w:val="en-US" w:eastAsia="ar-SA"/>
        </w:rPr>
        <w:t xml:space="preserve"> because it still represents the best available guidance on implementing the NEPA statute.</w:t>
      </w:r>
    </w:p>
    <w:p w:rsidR="009221DB" w:rsidRPr="009221DB" w:rsidRDefault="009221DB" w:rsidP="009221DB">
      <w:pPr>
        <w:autoSpaceDE w:val="0"/>
        <w:autoSpaceDN w:val="0"/>
        <w:adjustRightInd w:val="0"/>
        <w:spacing w:line="240" w:lineRule="auto"/>
        <w:rPr>
          <w:rFonts w:ascii="Times New Roman" w:eastAsia="Calibri" w:hAnsi="Times New Roman" w:cs="Times New Roman"/>
          <w:color w:val="000000"/>
          <w:sz w:val="24"/>
          <w:szCs w:val="24"/>
          <w:lang w:val="en-US"/>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 xml:space="preserve">Some of the core requirements of </w:t>
      </w:r>
      <w:r w:rsidR="00331DBE">
        <w:rPr>
          <w:rFonts w:eastAsia="-moz-fixed" w:cs="-moz-fixed"/>
          <w:szCs w:val="20"/>
          <w:lang w:val="en-US" w:eastAsia="ar-SA"/>
        </w:rPr>
        <w:t>the National Environmental Policy Act itself</w:t>
      </w:r>
      <w:r w:rsidRPr="009221DB">
        <w:rPr>
          <w:rFonts w:eastAsia="-moz-fixed" w:cs="-moz-fixed"/>
          <w:szCs w:val="20"/>
          <w:lang w:val="en-US" w:eastAsia="ar-SA"/>
        </w:rPr>
        <w:t xml:space="preserve"> include …</w:t>
      </w:r>
    </w:p>
    <w:p w:rsidR="009221DB" w:rsidRPr="009221DB" w:rsidRDefault="009221DB" w:rsidP="009221DB">
      <w:pPr>
        <w:suppressAutoHyphens/>
        <w:spacing w:line="240" w:lineRule="auto"/>
        <w:rPr>
          <w:rFonts w:eastAsia="-moz-fixed" w:cs="-moz-fixed"/>
          <w:szCs w:val="20"/>
          <w:lang w:val="en-US" w:eastAsia="ar-SA"/>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NEPA Section 101:</w:t>
      </w:r>
    </w:p>
    <w:p w:rsidR="009221DB" w:rsidRPr="009221DB" w:rsidRDefault="009221DB" w:rsidP="009221DB">
      <w:pPr>
        <w:suppressAutoHyphens/>
        <w:spacing w:line="240" w:lineRule="auto"/>
        <w:ind w:left="720"/>
        <w:rPr>
          <w:rFonts w:eastAsia="-moz-fixed" w:cs="-moz-fixed"/>
          <w:szCs w:val="20"/>
          <w:lang w:val="en-US" w:eastAsia="ar-SA"/>
        </w:rPr>
      </w:pPr>
      <w:r w:rsidRPr="009221DB">
        <w:rPr>
          <w:rFonts w:eastAsia="-moz-fixed" w:cs="-moz-fixed"/>
          <w:szCs w:val="20"/>
          <w:lang w:val="en-US" w:eastAsia="ar-SA"/>
        </w:rPr>
        <w:t>… [I]t is the continuing policy of the Federal Government, in cooperation with State and local governments, and other concerned public and private organizations, to use all practicable means and measures, including financial and technical assistance, in a manner calculated to foster and promote the general welfare, to create and maintain conditions under which man and nature can exist in productive harmony, and fulfill the social, economic, and other requirements of present and future generations of Americans.</w:t>
      </w: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42 U.S.C. § 4331</w:t>
      </w:r>
    </w:p>
    <w:p w:rsidR="009221DB" w:rsidRPr="009221DB" w:rsidRDefault="009221DB" w:rsidP="009221DB">
      <w:pPr>
        <w:suppressAutoHyphens/>
        <w:spacing w:line="240" w:lineRule="auto"/>
        <w:rPr>
          <w:rFonts w:eastAsia="-moz-fixed" w:cs="-moz-fixed"/>
          <w:szCs w:val="20"/>
          <w:lang w:val="en-US" w:eastAsia="ar-SA"/>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NEPA Section 102:</w:t>
      </w:r>
    </w:p>
    <w:p w:rsidR="009221DB" w:rsidRPr="009221DB" w:rsidRDefault="009221DB" w:rsidP="009221DB">
      <w:pPr>
        <w:suppressAutoHyphens/>
        <w:spacing w:line="240" w:lineRule="auto"/>
        <w:ind w:left="720"/>
        <w:rPr>
          <w:rFonts w:eastAsia="-moz-fixed" w:cs="-moz-fixed"/>
          <w:szCs w:val="20"/>
          <w:lang w:val="en-US" w:eastAsia="ar-SA"/>
        </w:rPr>
      </w:pPr>
      <w:r w:rsidRPr="009221DB">
        <w:rPr>
          <w:rFonts w:eastAsia="-moz-fixed" w:cs="-moz-fixed"/>
          <w:szCs w:val="20"/>
          <w:lang w:val="en-US" w:eastAsia="ar-SA"/>
        </w:rPr>
        <w:lastRenderedPageBreak/>
        <w:t xml:space="preserve">The Congress authorizes and directs that, to </w:t>
      </w:r>
      <w:r w:rsidRPr="009221DB">
        <w:rPr>
          <w:rFonts w:eastAsia="-moz-fixed" w:cs="-moz-fixed"/>
          <w:i/>
          <w:szCs w:val="20"/>
          <w:lang w:val="en-US" w:eastAsia="ar-SA"/>
        </w:rPr>
        <w:t>the fullest extent possible</w:t>
      </w:r>
      <w:r w:rsidRPr="009221DB">
        <w:rPr>
          <w:rFonts w:eastAsia="-moz-fixed" w:cs="-moz-fixed"/>
          <w:szCs w:val="20"/>
          <w:lang w:val="en-US" w:eastAsia="ar-SA"/>
        </w:rPr>
        <w:t xml:space="preserve">: (1) the policies, regulations, and public laws of the United States shall be interpreted and administered in accordance with the policies set forth in this Act, and (2) </w:t>
      </w:r>
      <w:r w:rsidRPr="009221DB">
        <w:rPr>
          <w:rFonts w:eastAsia="-moz-fixed" w:cs="-moz-fixed"/>
          <w:i/>
          <w:szCs w:val="20"/>
          <w:lang w:val="en-US" w:eastAsia="ar-SA"/>
        </w:rPr>
        <w:t>all agencies of the Federal Government shall</w:t>
      </w:r>
      <w:r w:rsidRPr="009221DB">
        <w:rPr>
          <w:rFonts w:eastAsia="-moz-fixed" w:cs="-moz-fixed"/>
          <w:szCs w:val="20"/>
          <w:lang w:val="en-US" w:eastAsia="ar-SA"/>
        </w:rPr>
        <w:t xml:space="preserve">—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(A) utilize a </w:t>
      </w:r>
      <w:r w:rsidRPr="009221DB">
        <w:rPr>
          <w:rFonts w:eastAsia="-moz-fixed" w:cs="-moz-fixed"/>
          <w:i/>
          <w:szCs w:val="20"/>
          <w:lang w:val="en-US" w:eastAsia="ar-SA"/>
        </w:rPr>
        <w:t>systematic, interdisciplinary approach</w:t>
      </w:r>
      <w:r w:rsidRPr="009221DB">
        <w:rPr>
          <w:rFonts w:eastAsia="-moz-fixed" w:cs="-moz-fixed"/>
          <w:szCs w:val="20"/>
          <w:lang w:val="en-US" w:eastAsia="ar-SA"/>
        </w:rPr>
        <w:t xml:space="preserve"> which will ensure the integrated use of the natural and social sciences and the environmental design arts in planning and in </w:t>
      </w:r>
      <w:proofErr w:type="spellStart"/>
      <w:r w:rsidRPr="009221DB">
        <w:rPr>
          <w:rFonts w:eastAsia="-moz-fixed" w:cs="-moz-fixed"/>
          <w:szCs w:val="20"/>
          <w:lang w:val="en-US" w:eastAsia="ar-SA"/>
        </w:rPr>
        <w:t>decisionmaking</w:t>
      </w:r>
      <w:proofErr w:type="spellEnd"/>
      <w:r w:rsidRPr="009221DB">
        <w:rPr>
          <w:rFonts w:eastAsia="-moz-fixed" w:cs="-moz-fixed"/>
          <w:szCs w:val="20"/>
          <w:lang w:val="en-US" w:eastAsia="ar-SA"/>
        </w:rPr>
        <w:t xml:space="preserve"> which may have an impact on man’s environment;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(B) identify and develop methods and procedures, in consultation with the Council on Environmental Quality established by title II of this Act, which will </w:t>
      </w:r>
      <w:r w:rsidRPr="009221DB">
        <w:rPr>
          <w:rFonts w:eastAsia="-moz-fixed" w:cs="-moz-fixed"/>
          <w:i/>
          <w:szCs w:val="20"/>
          <w:lang w:val="en-US" w:eastAsia="ar-SA"/>
        </w:rPr>
        <w:t xml:space="preserve">ensure that presently unquantified environmental amenities and values may be given appropriate consideration in </w:t>
      </w:r>
      <w:proofErr w:type="spellStart"/>
      <w:r w:rsidRPr="009221DB">
        <w:rPr>
          <w:rFonts w:eastAsia="-moz-fixed" w:cs="-moz-fixed"/>
          <w:i/>
          <w:szCs w:val="20"/>
          <w:lang w:val="en-US" w:eastAsia="ar-SA"/>
        </w:rPr>
        <w:t>decisionmaking</w:t>
      </w:r>
      <w:proofErr w:type="spellEnd"/>
      <w:r w:rsidRPr="009221DB">
        <w:rPr>
          <w:rFonts w:eastAsia="-moz-fixed" w:cs="-moz-fixed"/>
          <w:i/>
          <w:szCs w:val="20"/>
          <w:lang w:val="en-US" w:eastAsia="ar-SA"/>
        </w:rPr>
        <w:t xml:space="preserve"> along with economic and technical considerations</w:t>
      </w:r>
      <w:r w:rsidRPr="009221DB">
        <w:rPr>
          <w:rFonts w:eastAsia="-moz-fixed" w:cs="-moz-fixed"/>
          <w:szCs w:val="20"/>
          <w:lang w:val="en-US" w:eastAsia="ar-SA"/>
        </w:rPr>
        <w:t xml:space="preserve">;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(C) consistent with the provisions of this Act and except where compliance would be inconsistent with other statutory requirements, include in every recommendation or report on </w:t>
      </w:r>
      <w:r w:rsidRPr="009221DB">
        <w:rPr>
          <w:rFonts w:eastAsia="-moz-fixed" w:cs="-moz-fixed"/>
          <w:i/>
          <w:szCs w:val="20"/>
          <w:lang w:val="en-US" w:eastAsia="ar-SA"/>
        </w:rPr>
        <w:t>proposals for legislation</w:t>
      </w:r>
      <w:r w:rsidRPr="009221DB">
        <w:rPr>
          <w:rFonts w:eastAsia="-moz-fixed" w:cs="-moz-fixed"/>
          <w:szCs w:val="20"/>
          <w:lang w:val="en-US" w:eastAsia="ar-SA"/>
        </w:rPr>
        <w:t xml:space="preserve"> and other </w:t>
      </w:r>
      <w:r w:rsidRPr="009221DB">
        <w:rPr>
          <w:rFonts w:eastAsia="-moz-fixed" w:cs="-moz-fixed"/>
          <w:i/>
          <w:szCs w:val="20"/>
          <w:lang w:val="en-US" w:eastAsia="ar-SA"/>
        </w:rPr>
        <w:t>major Federal actions significantly affecting the quality of the human environment, a detailed statement</w:t>
      </w:r>
      <w:r w:rsidRPr="009221DB">
        <w:rPr>
          <w:rFonts w:eastAsia="-moz-fixed" w:cs="-moz-fixed"/>
          <w:szCs w:val="20"/>
          <w:lang w:val="en-US" w:eastAsia="ar-SA"/>
        </w:rPr>
        <w:t xml:space="preserve"> by the responsible official on— </w:t>
      </w:r>
    </w:p>
    <w:p w:rsidR="009221DB" w:rsidRPr="009221DB" w:rsidRDefault="009221DB" w:rsidP="009221DB">
      <w:pPr>
        <w:suppressAutoHyphens/>
        <w:spacing w:line="240" w:lineRule="auto"/>
        <w:ind w:left="1440"/>
        <w:rPr>
          <w:rFonts w:eastAsia="-moz-fixed" w:cs="-moz-fixed"/>
          <w:szCs w:val="20"/>
          <w:lang w:val="en-US" w:eastAsia="ar-SA"/>
        </w:rPr>
      </w:pPr>
      <w:r w:rsidRPr="009221DB">
        <w:rPr>
          <w:rFonts w:eastAsia="-moz-fixed" w:cs="-moz-fixed"/>
          <w:szCs w:val="20"/>
          <w:lang w:val="en-US" w:eastAsia="ar-SA"/>
        </w:rPr>
        <w:t>(</w:t>
      </w:r>
      <w:proofErr w:type="spellStart"/>
      <w:r w:rsidRPr="009221DB">
        <w:rPr>
          <w:rFonts w:eastAsia="-moz-fixed" w:cs="-moz-fixed"/>
          <w:szCs w:val="20"/>
          <w:lang w:val="en-US" w:eastAsia="ar-SA"/>
        </w:rPr>
        <w:t>i</w:t>
      </w:r>
      <w:proofErr w:type="spellEnd"/>
      <w:r w:rsidRPr="009221DB">
        <w:rPr>
          <w:rFonts w:eastAsia="-moz-fixed" w:cs="-moz-fixed"/>
          <w:szCs w:val="20"/>
          <w:lang w:val="en-US" w:eastAsia="ar-SA"/>
        </w:rPr>
        <w:t xml:space="preserve">) reasonably </w:t>
      </w:r>
      <w:r w:rsidRPr="009221DB">
        <w:rPr>
          <w:rFonts w:eastAsia="-moz-fixed" w:cs="-moz-fixed"/>
          <w:i/>
          <w:szCs w:val="20"/>
          <w:lang w:val="en-US" w:eastAsia="ar-SA"/>
        </w:rPr>
        <w:t>foreseeable environmental effects</w:t>
      </w:r>
      <w:r w:rsidRPr="009221DB">
        <w:rPr>
          <w:rFonts w:eastAsia="-moz-fixed" w:cs="-moz-fixed"/>
          <w:szCs w:val="20"/>
          <w:lang w:val="en-US" w:eastAsia="ar-SA"/>
        </w:rPr>
        <w:t xml:space="preserve"> of the proposed agency action; </w:t>
      </w:r>
    </w:p>
    <w:p w:rsidR="009221DB" w:rsidRPr="009221DB" w:rsidRDefault="009221DB" w:rsidP="009221DB">
      <w:pPr>
        <w:suppressAutoHyphens/>
        <w:spacing w:line="240" w:lineRule="auto"/>
        <w:ind w:left="1440"/>
        <w:rPr>
          <w:rFonts w:eastAsia="-moz-fixed" w:cs="-moz-fixed"/>
          <w:szCs w:val="20"/>
          <w:lang w:val="en-US" w:eastAsia="ar-SA"/>
        </w:rPr>
      </w:pPr>
      <w:r w:rsidRPr="009221DB">
        <w:rPr>
          <w:rFonts w:eastAsia="-moz-fixed" w:cs="-moz-fixed"/>
          <w:szCs w:val="20"/>
          <w:lang w:val="en-US" w:eastAsia="ar-SA"/>
        </w:rPr>
        <w:t xml:space="preserve">(ii) any reasonably </w:t>
      </w:r>
      <w:r w:rsidRPr="009221DB">
        <w:rPr>
          <w:rFonts w:eastAsia="-moz-fixed" w:cs="-moz-fixed"/>
          <w:i/>
          <w:szCs w:val="20"/>
          <w:lang w:val="en-US" w:eastAsia="ar-SA"/>
        </w:rPr>
        <w:t>foreseeable adverse environmental effects which cannot be avoided</w:t>
      </w:r>
      <w:r w:rsidRPr="009221DB">
        <w:rPr>
          <w:rFonts w:eastAsia="-moz-fixed" w:cs="-moz-fixed"/>
          <w:szCs w:val="20"/>
          <w:lang w:val="en-US" w:eastAsia="ar-SA"/>
        </w:rPr>
        <w:t xml:space="preserve"> should the proposal be implemented; ‘</w:t>
      </w:r>
    </w:p>
    <w:p w:rsidR="009221DB" w:rsidRPr="009221DB" w:rsidRDefault="009221DB" w:rsidP="009221DB">
      <w:pPr>
        <w:suppressAutoHyphens/>
        <w:spacing w:line="240" w:lineRule="auto"/>
        <w:ind w:left="1440"/>
        <w:rPr>
          <w:rFonts w:eastAsia="-moz-fixed" w:cs="-moz-fixed"/>
          <w:szCs w:val="20"/>
          <w:lang w:val="en-US" w:eastAsia="ar-SA"/>
        </w:rPr>
      </w:pPr>
      <w:r w:rsidRPr="009221DB">
        <w:rPr>
          <w:rFonts w:eastAsia="-moz-fixed" w:cs="-moz-fixed"/>
          <w:szCs w:val="20"/>
          <w:lang w:val="en-US" w:eastAsia="ar-SA"/>
        </w:rPr>
        <w:t xml:space="preserve">(iii) a </w:t>
      </w:r>
      <w:r w:rsidRPr="009221DB">
        <w:rPr>
          <w:rFonts w:eastAsia="-moz-fixed" w:cs="-moz-fixed"/>
          <w:i/>
          <w:szCs w:val="20"/>
          <w:lang w:val="en-US" w:eastAsia="ar-SA"/>
        </w:rPr>
        <w:t>reasonable range of alternatives</w:t>
      </w:r>
      <w:r w:rsidRPr="009221DB">
        <w:rPr>
          <w:rFonts w:eastAsia="-moz-fixed" w:cs="-moz-fixed"/>
          <w:szCs w:val="20"/>
          <w:lang w:val="en-US" w:eastAsia="ar-SA"/>
        </w:rPr>
        <w:t xml:space="preserve"> to the proposed agency action, including an analysis of any negative environmental impacts of not implementing the proposed agency action in the case of a no action alternative, that are </w:t>
      </w:r>
      <w:r w:rsidRPr="009221DB">
        <w:rPr>
          <w:rFonts w:eastAsia="-moz-fixed" w:cs="-moz-fixed"/>
          <w:i/>
          <w:szCs w:val="20"/>
          <w:lang w:val="en-US" w:eastAsia="ar-SA"/>
        </w:rPr>
        <w:t>technically and economically feasible, and meet the purpose and need</w:t>
      </w:r>
      <w:r w:rsidRPr="009221DB">
        <w:rPr>
          <w:rFonts w:eastAsia="-moz-fixed" w:cs="-moz-fixed"/>
          <w:szCs w:val="20"/>
          <w:lang w:val="en-US" w:eastAsia="ar-SA"/>
        </w:rPr>
        <w:t xml:space="preserve"> of the proposal; </w:t>
      </w:r>
    </w:p>
    <w:p w:rsidR="009221DB" w:rsidRPr="009221DB" w:rsidRDefault="009221DB" w:rsidP="009221DB">
      <w:pPr>
        <w:suppressAutoHyphens/>
        <w:spacing w:line="240" w:lineRule="auto"/>
        <w:ind w:left="1440"/>
        <w:rPr>
          <w:rFonts w:eastAsia="-moz-fixed" w:cs="-moz-fixed"/>
          <w:szCs w:val="20"/>
          <w:lang w:val="en-US" w:eastAsia="ar-SA"/>
        </w:rPr>
      </w:pPr>
      <w:r w:rsidRPr="009221DB">
        <w:rPr>
          <w:rFonts w:eastAsia="-moz-fixed" w:cs="-moz-fixed"/>
          <w:szCs w:val="20"/>
          <w:lang w:val="en-US" w:eastAsia="ar-SA"/>
        </w:rPr>
        <w:t xml:space="preserve">(iv) the </w:t>
      </w:r>
      <w:r w:rsidRPr="009221DB">
        <w:rPr>
          <w:rFonts w:eastAsia="-moz-fixed" w:cs="-moz-fixed"/>
          <w:i/>
          <w:szCs w:val="20"/>
          <w:lang w:val="en-US" w:eastAsia="ar-SA"/>
        </w:rPr>
        <w:t>relationship between local short-term uses of man’s environment and the maintenance and enhancement of long-term productivity</w:t>
      </w:r>
      <w:r w:rsidRPr="009221DB">
        <w:rPr>
          <w:rFonts w:eastAsia="-moz-fixed" w:cs="-moz-fixed"/>
          <w:szCs w:val="20"/>
          <w:lang w:val="en-US" w:eastAsia="ar-SA"/>
        </w:rPr>
        <w:t xml:space="preserve">; and </w:t>
      </w:r>
    </w:p>
    <w:p w:rsidR="009221DB" w:rsidRPr="009221DB" w:rsidRDefault="009221DB" w:rsidP="009221DB">
      <w:pPr>
        <w:suppressAutoHyphens/>
        <w:spacing w:line="240" w:lineRule="auto"/>
        <w:ind w:left="1440"/>
        <w:rPr>
          <w:rFonts w:eastAsia="-moz-fixed" w:cs="-moz-fixed"/>
          <w:szCs w:val="20"/>
          <w:lang w:val="en-US" w:eastAsia="ar-SA"/>
        </w:rPr>
      </w:pPr>
      <w:r w:rsidRPr="009221DB">
        <w:rPr>
          <w:rFonts w:eastAsia="-moz-fixed" w:cs="-moz-fixed"/>
          <w:szCs w:val="20"/>
          <w:lang w:val="en-US" w:eastAsia="ar-SA"/>
        </w:rPr>
        <w:t xml:space="preserve">(v) any </w:t>
      </w:r>
      <w:r w:rsidRPr="009221DB">
        <w:rPr>
          <w:rFonts w:eastAsia="-moz-fixed" w:cs="-moz-fixed"/>
          <w:i/>
          <w:szCs w:val="20"/>
          <w:lang w:val="en-US" w:eastAsia="ar-SA"/>
        </w:rPr>
        <w:t>irreversible and irretrievable commitments</w:t>
      </w:r>
      <w:r w:rsidRPr="009221DB">
        <w:rPr>
          <w:rFonts w:eastAsia="-moz-fixed" w:cs="-moz-fixed"/>
          <w:szCs w:val="20"/>
          <w:lang w:val="en-US" w:eastAsia="ar-SA"/>
        </w:rPr>
        <w:t xml:space="preserve"> of Federal resources which would be involved in the proposed agency action should it be implemented.</w:t>
      </w:r>
    </w:p>
    <w:p w:rsidR="009221DB" w:rsidRPr="009221DB" w:rsidRDefault="009221DB" w:rsidP="009221DB">
      <w:pPr>
        <w:suppressAutoHyphens/>
        <w:spacing w:line="240" w:lineRule="auto"/>
        <w:ind w:left="720"/>
        <w:rPr>
          <w:rFonts w:eastAsia="-moz-fixed" w:cs="-moz-fixed"/>
          <w:szCs w:val="20"/>
          <w:lang w:val="en-US" w:eastAsia="ar-SA"/>
        </w:rPr>
      </w:pPr>
      <w:r w:rsidRPr="009221DB">
        <w:rPr>
          <w:rFonts w:eastAsia="-moz-fixed" w:cs="-moz-fixed"/>
          <w:szCs w:val="20"/>
          <w:lang w:val="en-US" w:eastAsia="ar-SA"/>
        </w:rPr>
        <w:t xml:space="preserve">Prior to making any detailed statement, the head of the lead agency shall </w:t>
      </w:r>
      <w:r w:rsidRPr="009221DB">
        <w:rPr>
          <w:rFonts w:eastAsia="-moz-fixed" w:cs="-moz-fixed"/>
          <w:i/>
          <w:szCs w:val="20"/>
          <w:lang w:val="en-US" w:eastAsia="ar-SA"/>
        </w:rPr>
        <w:t>consult with and obtain the comments of any Federal agency which has jurisdiction by law or special expertise</w:t>
      </w:r>
      <w:r w:rsidRPr="009221DB">
        <w:rPr>
          <w:rFonts w:eastAsia="-moz-fixed" w:cs="-moz-fixed"/>
          <w:szCs w:val="20"/>
          <w:lang w:val="en-US" w:eastAsia="ar-SA"/>
        </w:rPr>
        <w:t xml:space="preserve"> with respect to any environmental impact involved. </w:t>
      </w:r>
      <w:r w:rsidRPr="009221DB">
        <w:rPr>
          <w:rFonts w:eastAsia="-moz-fixed" w:cs="-moz-fixed"/>
          <w:i/>
          <w:szCs w:val="20"/>
          <w:lang w:val="en-US" w:eastAsia="ar-SA"/>
        </w:rPr>
        <w:t>Copies of such statement and the comments</w:t>
      </w:r>
      <w:r w:rsidRPr="009221DB">
        <w:rPr>
          <w:rFonts w:eastAsia="-moz-fixed" w:cs="-moz-fixed"/>
          <w:szCs w:val="20"/>
          <w:lang w:val="en-US" w:eastAsia="ar-SA"/>
        </w:rPr>
        <w:t xml:space="preserve"> and views of the appropriate Federal, State, and local agencies, which are authorized to develop and enforce environmental standards, shall be </w:t>
      </w:r>
      <w:r w:rsidRPr="009221DB">
        <w:rPr>
          <w:rFonts w:eastAsia="-moz-fixed" w:cs="-moz-fixed"/>
          <w:i/>
          <w:szCs w:val="20"/>
          <w:lang w:val="en-US" w:eastAsia="ar-SA"/>
        </w:rPr>
        <w:t>made available to</w:t>
      </w:r>
      <w:r w:rsidRPr="009221DB">
        <w:rPr>
          <w:rFonts w:eastAsia="-moz-fixed" w:cs="-moz-fixed"/>
          <w:szCs w:val="20"/>
          <w:lang w:val="en-US" w:eastAsia="ar-SA"/>
        </w:rPr>
        <w:t xml:space="preserve"> the President, the Council on Environmental Quality and to </w:t>
      </w:r>
      <w:r w:rsidRPr="009221DB">
        <w:rPr>
          <w:rFonts w:eastAsia="-moz-fixed" w:cs="-moz-fixed"/>
          <w:i/>
          <w:szCs w:val="20"/>
          <w:lang w:val="en-US" w:eastAsia="ar-SA"/>
        </w:rPr>
        <w:t>the public</w:t>
      </w:r>
      <w:r w:rsidRPr="009221DB">
        <w:rPr>
          <w:rFonts w:eastAsia="-moz-fixed" w:cs="-moz-fixed"/>
          <w:szCs w:val="20"/>
          <w:lang w:val="en-US" w:eastAsia="ar-SA"/>
        </w:rPr>
        <w:t xml:space="preserve"> as provided by section 552 of title 5, United States Code, and shall accompany the proposal through the existing agency review processes;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(D) </w:t>
      </w:r>
      <w:r w:rsidRPr="009221DB">
        <w:rPr>
          <w:rFonts w:eastAsia="-moz-fixed" w:cs="-moz-fixed"/>
          <w:i/>
          <w:szCs w:val="20"/>
          <w:lang w:val="en-US" w:eastAsia="ar-SA"/>
        </w:rPr>
        <w:t>ensure the professional integrity, including scientific integrity</w:t>
      </w:r>
      <w:r w:rsidRPr="009221DB">
        <w:rPr>
          <w:rFonts w:eastAsia="-moz-fixed" w:cs="-moz-fixed"/>
          <w:szCs w:val="20"/>
          <w:lang w:val="en-US" w:eastAsia="ar-SA"/>
        </w:rPr>
        <w:t xml:space="preserve">, of the discussion and analysis in an environmental document;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(E) make use of </w:t>
      </w:r>
      <w:r w:rsidRPr="009221DB">
        <w:rPr>
          <w:rFonts w:eastAsia="-moz-fixed" w:cs="-moz-fixed"/>
          <w:i/>
          <w:szCs w:val="20"/>
          <w:lang w:val="en-US" w:eastAsia="ar-SA"/>
        </w:rPr>
        <w:t>reliable data</w:t>
      </w:r>
      <w:r w:rsidRPr="009221DB">
        <w:rPr>
          <w:rFonts w:eastAsia="-moz-fixed" w:cs="-moz-fixed"/>
          <w:szCs w:val="20"/>
          <w:lang w:val="en-US" w:eastAsia="ar-SA"/>
        </w:rPr>
        <w:t xml:space="preserve"> </w:t>
      </w:r>
      <w:r w:rsidRPr="009221DB">
        <w:rPr>
          <w:rFonts w:eastAsia="-moz-fixed" w:cs="-moz-fixed"/>
          <w:i/>
          <w:szCs w:val="20"/>
          <w:lang w:val="en-US" w:eastAsia="ar-SA"/>
        </w:rPr>
        <w:t>and resources</w:t>
      </w:r>
      <w:r w:rsidRPr="009221DB">
        <w:rPr>
          <w:rFonts w:eastAsia="-moz-fixed" w:cs="-moz-fixed"/>
          <w:szCs w:val="20"/>
          <w:lang w:val="en-US" w:eastAsia="ar-SA"/>
        </w:rPr>
        <w:t xml:space="preserve"> in carrying out this Act;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(F) consistent with the provisions of this Act, study, develop, and </w:t>
      </w:r>
      <w:r w:rsidRPr="009221DB">
        <w:rPr>
          <w:rFonts w:eastAsia="-moz-fixed" w:cs="-moz-fixed"/>
          <w:i/>
          <w:szCs w:val="20"/>
          <w:lang w:val="en-US" w:eastAsia="ar-SA"/>
        </w:rPr>
        <w:t>describe technically and economically feasible alternatives</w:t>
      </w:r>
      <w:r w:rsidRPr="009221DB">
        <w:rPr>
          <w:rFonts w:eastAsia="-moz-fixed" w:cs="-moz-fixed"/>
          <w:szCs w:val="20"/>
          <w:lang w:val="en-US" w:eastAsia="ar-SA"/>
        </w:rPr>
        <w:t xml:space="preserve">;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(G)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(H) study, develop, and </w:t>
      </w:r>
      <w:r w:rsidRPr="009221DB">
        <w:rPr>
          <w:rFonts w:eastAsia="-moz-fixed" w:cs="-moz-fixed"/>
          <w:i/>
          <w:szCs w:val="20"/>
          <w:lang w:val="en-US" w:eastAsia="ar-SA"/>
        </w:rPr>
        <w:t>describe appropriate alternatives</w:t>
      </w:r>
      <w:r w:rsidRPr="009221DB">
        <w:rPr>
          <w:rFonts w:eastAsia="-moz-fixed" w:cs="-moz-fixed"/>
          <w:szCs w:val="20"/>
          <w:lang w:val="en-US" w:eastAsia="ar-SA"/>
        </w:rPr>
        <w:t xml:space="preserve"> to recommended courses of action in any proposal which </w:t>
      </w:r>
      <w:r w:rsidRPr="009221DB">
        <w:rPr>
          <w:rFonts w:eastAsia="-moz-fixed" w:cs="-moz-fixed"/>
          <w:i/>
          <w:szCs w:val="20"/>
          <w:lang w:val="en-US" w:eastAsia="ar-SA"/>
        </w:rPr>
        <w:t>involves unresolved conflicts concerning alternative uses of available resources</w:t>
      </w:r>
      <w:r w:rsidRPr="009221DB">
        <w:rPr>
          <w:rFonts w:eastAsia="-moz-fixed" w:cs="-moz-fixed"/>
          <w:szCs w:val="20"/>
          <w:lang w:val="en-US" w:eastAsia="ar-SA"/>
        </w:rPr>
        <w:t xml:space="preserve">;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(I) consistent with the provisions of this Act, </w:t>
      </w:r>
      <w:r w:rsidRPr="009221DB">
        <w:rPr>
          <w:rFonts w:eastAsia="-moz-fixed" w:cs="-moz-fixed"/>
          <w:i/>
          <w:szCs w:val="20"/>
          <w:lang w:val="en-US" w:eastAsia="ar-SA"/>
        </w:rPr>
        <w:t xml:space="preserve">recognize the worldwide and long-range character of environmental problems </w:t>
      </w:r>
      <w:r w:rsidRPr="009221DB">
        <w:rPr>
          <w:rFonts w:eastAsia="-moz-fixed" w:cs="-moz-fixed"/>
          <w:szCs w:val="20"/>
          <w:lang w:val="en-US" w:eastAsia="ar-SA"/>
        </w:rPr>
        <w:t>and, where consistent with the foreign policy of the United States, lend appropriate support to initiatives, resolutions, and programs designed to maximize international cooperation in anticipating and preventing a decline in the quality of mankind’s world environment;</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lastRenderedPageBreak/>
        <w:t xml:space="preserve">(J) make available to States, counties, municipalities, institutions, and individuals, advice and information useful in restoring, maintaining, and enhancing the quality of the environment;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(K) initiate and </w:t>
      </w:r>
      <w:r w:rsidRPr="009221DB">
        <w:rPr>
          <w:rFonts w:eastAsia="-moz-fixed" w:cs="-moz-fixed"/>
          <w:i/>
          <w:szCs w:val="20"/>
          <w:lang w:val="en-US" w:eastAsia="ar-SA"/>
        </w:rPr>
        <w:t>utilize ecological information in the planning and development of resource-oriented projects</w:t>
      </w:r>
      <w:r w:rsidRPr="009221DB">
        <w:rPr>
          <w:rFonts w:eastAsia="-moz-fixed" w:cs="-moz-fixed"/>
          <w:szCs w:val="20"/>
          <w:lang w:val="en-US" w:eastAsia="ar-SA"/>
        </w:rPr>
        <w:t xml:space="preserve">; and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(L) assist the Council on Environmental Quality established by title II of this Act. </w:t>
      </w: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42 U.S.C. § 4332.</w:t>
      </w:r>
    </w:p>
    <w:p w:rsidR="009221DB" w:rsidRPr="009221DB" w:rsidRDefault="009221DB" w:rsidP="009221DB">
      <w:pPr>
        <w:suppressAutoHyphens/>
        <w:spacing w:line="240" w:lineRule="auto"/>
        <w:rPr>
          <w:rFonts w:eastAsia="-moz-fixed" w:cs="-moz-fixed"/>
          <w:szCs w:val="20"/>
          <w:lang w:val="en-US" w:eastAsia="ar-SA"/>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NEPA Section 106:</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(b) LEVELS OF REVIEW.— </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(1) ENVIRONMENTAL IMPACT STATEMENT.—An agency shall issue an environmental impact statement with respect to a proposed agency action requiring an environmental document that has a </w:t>
      </w:r>
      <w:r w:rsidRPr="009221DB">
        <w:rPr>
          <w:rFonts w:eastAsia="-moz-fixed" w:cs="-moz-fixed"/>
          <w:i/>
          <w:szCs w:val="20"/>
          <w:lang w:val="en-US" w:eastAsia="ar-SA"/>
        </w:rPr>
        <w:t>reasonably foreseeable significant effect</w:t>
      </w:r>
      <w:r w:rsidRPr="009221DB">
        <w:rPr>
          <w:rFonts w:eastAsia="-moz-fixed" w:cs="-moz-fixed"/>
          <w:szCs w:val="20"/>
          <w:lang w:val="en-US" w:eastAsia="ar-SA"/>
        </w:rPr>
        <w:t xml:space="preserve"> on the quality of the human environment. </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(2) ENVIRONMENTAL ASSESSMENT.—An agency shall prepare an environmental assessment with respect to a </w:t>
      </w:r>
      <w:r w:rsidRPr="009221DB">
        <w:rPr>
          <w:rFonts w:eastAsia="-moz-fixed" w:cs="-moz-fixed"/>
          <w:i/>
          <w:szCs w:val="20"/>
          <w:lang w:val="en-US" w:eastAsia="ar-SA"/>
        </w:rPr>
        <w:t>proposed agency action that does not have a reasonably foreseeable significant effect</w:t>
      </w:r>
      <w:r w:rsidRPr="009221DB">
        <w:rPr>
          <w:rFonts w:eastAsia="-moz-fixed" w:cs="-moz-fixed"/>
          <w:szCs w:val="20"/>
          <w:lang w:val="en-US" w:eastAsia="ar-SA"/>
        </w:rPr>
        <w:t xml:space="preserve"> on the quality of the human environment, </w:t>
      </w:r>
      <w:r w:rsidRPr="009221DB">
        <w:rPr>
          <w:rFonts w:eastAsia="-moz-fixed" w:cs="-moz-fixed"/>
          <w:i/>
          <w:szCs w:val="20"/>
          <w:lang w:val="en-US" w:eastAsia="ar-SA"/>
        </w:rPr>
        <w:t>or if the significance of such effect is unknown</w:t>
      </w:r>
      <w:r w:rsidRPr="009221DB">
        <w:rPr>
          <w:rFonts w:eastAsia="-moz-fixed" w:cs="-moz-fixed"/>
          <w:szCs w:val="20"/>
          <w:lang w:val="en-US" w:eastAsia="ar-SA"/>
        </w:rPr>
        <w:t xml:space="preserve">, unless the agency finds that the proposed agency action is excluded pursuant to one of the agency’s categorical exclusions, another agency’s </w:t>
      </w:r>
      <w:r w:rsidRPr="009221DB">
        <w:rPr>
          <w:rFonts w:eastAsia="-moz-fixed" w:cs="-moz-fixed"/>
          <w:i/>
          <w:szCs w:val="20"/>
          <w:lang w:val="en-US" w:eastAsia="ar-SA"/>
        </w:rPr>
        <w:t>categorical exclusions</w:t>
      </w:r>
      <w:r w:rsidRPr="009221DB">
        <w:rPr>
          <w:rFonts w:eastAsia="-moz-fixed" w:cs="-moz-fixed"/>
          <w:szCs w:val="20"/>
          <w:lang w:val="en-US" w:eastAsia="ar-SA"/>
        </w:rPr>
        <w:t xml:space="preserve"> consistent with section 109 of this Act, or another provision of law. Such environmental assessment shall be a concise public document prepared by a Federal agency to </w:t>
      </w:r>
      <w:r w:rsidRPr="009221DB">
        <w:rPr>
          <w:rFonts w:eastAsia="-moz-fixed" w:cs="-moz-fixed"/>
          <w:i/>
          <w:szCs w:val="20"/>
          <w:lang w:val="en-US" w:eastAsia="ar-SA"/>
        </w:rPr>
        <w:t>set forth the basis of such agency’s finding of no significant impact or determination that an environmental impact statement is necessary</w:t>
      </w:r>
      <w:r w:rsidRPr="009221DB">
        <w:rPr>
          <w:rFonts w:eastAsia="-moz-fixed" w:cs="-moz-fixed"/>
          <w:szCs w:val="20"/>
          <w:lang w:val="en-US" w:eastAsia="ar-SA"/>
        </w:rPr>
        <w:t>.</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(3) SOURCES OF INFORMATION.—In making a determination under this subsection, an agency—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 xml:space="preserve">(A) may make use of any reliable data source; and </w:t>
      </w:r>
    </w:p>
    <w:p w:rsidR="009221DB" w:rsidRPr="009221DB" w:rsidRDefault="009221DB" w:rsidP="009221DB">
      <w:pPr>
        <w:suppressAutoHyphens/>
        <w:spacing w:line="240" w:lineRule="auto"/>
        <w:ind w:left="720" w:firstLine="720"/>
        <w:rPr>
          <w:rFonts w:eastAsia="-moz-fixed" w:cs="-moz-fixed"/>
          <w:szCs w:val="20"/>
          <w:lang w:val="en-US" w:eastAsia="ar-SA"/>
        </w:rPr>
      </w:pPr>
      <w:r w:rsidRPr="009221DB">
        <w:rPr>
          <w:rFonts w:eastAsia="-moz-fixed" w:cs="-moz-fixed"/>
          <w:szCs w:val="20"/>
          <w:lang w:val="en-US" w:eastAsia="ar-SA"/>
        </w:rPr>
        <w:t>(B) is not required to undertake new scientific or technical research unless the new scientific or technical research is essential to a reasoned choice among alternatives, and the overall costs and time frame of obtaining it are not unreasonable.</w:t>
      </w: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42 U.S.C. § 4336.</w:t>
      </w:r>
    </w:p>
    <w:p w:rsidR="009221DB" w:rsidRPr="009221DB" w:rsidRDefault="009221DB" w:rsidP="009221DB">
      <w:pPr>
        <w:suppressAutoHyphens/>
        <w:spacing w:line="240" w:lineRule="auto"/>
        <w:rPr>
          <w:rFonts w:eastAsia="-moz-fixed" w:cs="-moz-fixed"/>
          <w:szCs w:val="20"/>
          <w:lang w:val="en-US" w:eastAsia="ar-SA"/>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NEPA Section 107:</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(c) REQUEST FOR PUBLIC COMMENT.—Each notice of intent to prepare an environmental impact statement under section 102 shall include a request for public comment on alternatives or impacts and on relevant information, studies, or analyses with respect to the proposed agency action. </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(d) STATEMENT OF PURPOSE AND NEED.—Each environmental document shall include a statement of purpose and need that briefly summarizes the underlying purpose and need for the proposed agency action.</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(e) PAGE LIMITS.— </w:t>
      </w:r>
    </w:p>
    <w:p w:rsidR="009221DB" w:rsidRPr="009221DB" w:rsidRDefault="009221DB" w:rsidP="009221DB">
      <w:pPr>
        <w:suppressAutoHyphens/>
        <w:spacing w:line="240" w:lineRule="auto"/>
        <w:ind w:left="1080"/>
        <w:rPr>
          <w:rFonts w:eastAsia="-moz-fixed" w:cs="-moz-fixed"/>
          <w:szCs w:val="20"/>
          <w:lang w:val="en-US" w:eastAsia="ar-SA"/>
        </w:rPr>
      </w:pPr>
      <w:r w:rsidRPr="009221DB">
        <w:rPr>
          <w:rFonts w:eastAsia="-moz-fixed" w:cs="-moz-fixed"/>
          <w:szCs w:val="20"/>
          <w:lang w:val="en-US" w:eastAsia="ar-SA"/>
        </w:rPr>
        <w:t xml:space="preserve">(1) ENVIRONMENTAL IMPACT STATEMENTS.— </w:t>
      </w:r>
    </w:p>
    <w:p w:rsidR="009221DB" w:rsidRPr="009221DB" w:rsidRDefault="009221DB" w:rsidP="009221DB">
      <w:pPr>
        <w:suppressAutoHyphens/>
        <w:spacing w:line="240" w:lineRule="auto"/>
        <w:ind w:left="1080" w:firstLine="360"/>
        <w:rPr>
          <w:rFonts w:eastAsia="-moz-fixed" w:cs="-moz-fixed"/>
          <w:szCs w:val="20"/>
          <w:lang w:val="en-US" w:eastAsia="ar-SA"/>
        </w:rPr>
      </w:pPr>
      <w:r w:rsidRPr="009221DB">
        <w:rPr>
          <w:rFonts w:eastAsia="-moz-fixed" w:cs="-moz-fixed"/>
          <w:szCs w:val="20"/>
          <w:lang w:val="en-US" w:eastAsia="ar-SA"/>
        </w:rPr>
        <w:t xml:space="preserve">(A) IN GENERAL.—Except as provided in subparagraph (B), an environmental impact statement shall not exceed 150 pages, not including any citations or appendices. </w:t>
      </w:r>
    </w:p>
    <w:p w:rsidR="009221DB" w:rsidRPr="009221DB" w:rsidRDefault="009221DB" w:rsidP="009221DB">
      <w:pPr>
        <w:suppressAutoHyphens/>
        <w:spacing w:line="240" w:lineRule="auto"/>
        <w:ind w:left="1080" w:firstLine="360"/>
        <w:rPr>
          <w:rFonts w:eastAsia="-moz-fixed" w:cs="-moz-fixed"/>
          <w:szCs w:val="20"/>
          <w:lang w:val="en-US" w:eastAsia="ar-SA"/>
        </w:rPr>
      </w:pPr>
      <w:r w:rsidRPr="009221DB">
        <w:rPr>
          <w:rFonts w:eastAsia="-moz-fixed" w:cs="-moz-fixed"/>
          <w:szCs w:val="20"/>
          <w:lang w:val="en-US" w:eastAsia="ar-SA"/>
        </w:rPr>
        <w:t xml:space="preserve">(B) EXTRAORDINARY COMPLEXITY.—An environmental impact statement for a proposed agency action of extraordinary complexity shall not exceed 300 pages, not including any citations or appendices. </w:t>
      </w:r>
    </w:p>
    <w:p w:rsidR="009221DB" w:rsidRPr="009221DB" w:rsidRDefault="009221DB" w:rsidP="009221DB">
      <w:pPr>
        <w:suppressAutoHyphens/>
        <w:spacing w:line="240" w:lineRule="auto"/>
        <w:ind w:left="1080"/>
        <w:rPr>
          <w:rFonts w:eastAsia="-moz-fixed" w:cs="-moz-fixed"/>
          <w:szCs w:val="20"/>
          <w:lang w:val="en-US" w:eastAsia="ar-SA"/>
        </w:rPr>
      </w:pPr>
      <w:r w:rsidRPr="009221DB">
        <w:rPr>
          <w:rFonts w:eastAsia="-moz-fixed" w:cs="-moz-fixed"/>
          <w:szCs w:val="20"/>
          <w:lang w:val="en-US" w:eastAsia="ar-SA"/>
        </w:rPr>
        <w:t>(2) ENVIRONMENTAL ASSESSMENTS.—An environmental assessment shall not exceed 75 pages, not including any citations or appendices.</w:t>
      </w: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42 U.S.C. § 4336a.</w:t>
      </w:r>
    </w:p>
    <w:p w:rsidR="009221DB" w:rsidRPr="009221DB" w:rsidRDefault="009221DB" w:rsidP="009221DB">
      <w:pPr>
        <w:suppressAutoHyphens/>
        <w:spacing w:line="240" w:lineRule="auto"/>
        <w:rPr>
          <w:rFonts w:eastAsia="-moz-fixed" w:cs="-moz-fixed"/>
          <w:szCs w:val="20"/>
          <w:lang w:val="en-US" w:eastAsia="ar-SA"/>
        </w:rPr>
      </w:pP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lastRenderedPageBreak/>
        <w:t xml:space="preserve">NEPA Section 108. PROGRAMMATIC ENVIRONMENTAL DOCUMENT. </w:t>
      </w:r>
    </w:p>
    <w:p w:rsidR="009221DB" w:rsidRPr="009221DB" w:rsidRDefault="009221DB" w:rsidP="009221DB">
      <w:pPr>
        <w:suppressAutoHyphens/>
        <w:spacing w:line="240" w:lineRule="auto"/>
        <w:ind w:left="576"/>
        <w:rPr>
          <w:rFonts w:eastAsia="-moz-fixed" w:cs="-moz-fixed"/>
          <w:szCs w:val="20"/>
          <w:lang w:val="en-US" w:eastAsia="ar-SA"/>
        </w:rPr>
      </w:pPr>
      <w:r w:rsidRPr="009221DB">
        <w:rPr>
          <w:rFonts w:eastAsia="-moz-fixed" w:cs="-moz-fixed"/>
          <w:szCs w:val="20"/>
          <w:lang w:val="en-US" w:eastAsia="ar-SA"/>
        </w:rPr>
        <w:t xml:space="preserve">When an agency prepares a programmatic environmental document for which judicial review was available, the agency may rely on the analysis included in the programmatic environmental document in a subsequent environmental document for related actions as follows: </w:t>
      </w:r>
    </w:p>
    <w:p w:rsidR="009221DB" w:rsidRPr="009221DB" w:rsidRDefault="009221DB" w:rsidP="009221DB">
      <w:pPr>
        <w:suppressAutoHyphens/>
        <w:spacing w:line="240" w:lineRule="auto"/>
        <w:ind w:left="1080" w:firstLine="360"/>
        <w:rPr>
          <w:rFonts w:eastAsia="-moz-fixed" w:cs="-moz-fixed"/>
          <w:szCs w:val="20"/>
          <w:lang w:val="en-US" w:eastAsia="ar-SA"/>
        </w:rPr>
      </w:pPr>
      <w:r w:rsidRPr="009221DB">
        <w:rPr>
          <w:rFonts w:eastAsia="-moz-fixed" w:cs="-moz-fixed"/>
          <w:szCs w:val="20"/>
          <w:lang w:val="en-US" w:eastAsia="ar-SA"/>
        </w:rPr>
        <w:t xml:space="preserve">(1) Within 5 years and without additional review of the analysis in the programmatic environmental document, unless there are substantial new circumstances or information about the significance of adverse effects that bear on the analysis. </w:t>
      </w:r>
    </w:p>
    <w:p w:rsidR="009221DB" w:rsidRPr="009221DB" w:rsidRDefault="009221DB" w:rsidP="009221DB">
      <w:pPr>
        <w:suppressAutoHyphens/>
        <w:spacing w:line="240" w:lineRule="auto"/>
        <w:ind w:left="1080" w:firstLine="360"/>
        <w:rPr>
          <w:rFonts w:eastAsia="-moz-fixed" w:cs="-moz-fixed"/>
          <w:szCs w:val="20"/>
          <w:lang w:val="en-US" w:eastAsia="ar-SA"/>
        </w:rPr>
      </w:pPr>
      <w:r w:rsidRPr="009221DB">
        <w:rPr>
          <w:rFonts w:eastAsia="-moz-fixed" w:cs="-moz-fixed"/>
          <w:szCs w:val="20"/>
          <w:lang w:val="en-US" w:eastAsia="ar-SA"/>
        </w:rPr>
        <w:t xml:space="preserve">(2) After 5 years, so long as the agency reevaluates the analysis in the programmatic environmental document and any underlying assumption to ensure reliance on the analysis remains valid. </w:t>
      </w:r>
    </w:p>
    <w:p w:rsidR="009221DB" w:rsidRPr="009221DB" w:rsidRDefault="009221DB" w:rsidP="009221DB">
      <w:pPr>
        <w:suppressAutoHyphens/>
        <w:spacing w:line="240" w:lineRule="auto"/>
        <w:rPr>
          <w:rFonts w:eastAsia="-moz-fixed" w:cs="-moz-fixed"/>
          <w:szCs w:val="20"/>
          <w:lang w:val="en-US" w:eastAsia="ar-SA"/>
        </w:rPr>
      </w:pPr>
      <w:r w:rsidRPr="009221DB">
        <w:rPr>
          <w:rFonts w:eastAsia="-moz-fixed" w:cs="-moz-fixed"/>
          <w:szCs w:val="20"/>
          <w:lang w:val="en-US" w:eastAsia="ar-SA"/>
        </w:rPr>
        <w:t>42 U.S.C. 4336b.</w:t>
      </w:r>
    </w:p>
    <w:p w:rsidR="009221DB" w:rsidRPr="00F1799C" w:rsidRDefault="009221DB" w:rsidP="00861A1C">
      <w:pPr>
        <w:rPr>
          <w:lang w:val="en-US" w:eastAsia="ar-SA"/>
        </w:rPr>
      </w:pPr>
    </w:p>
    <w:p w:rsidR="00F1799C" w:rsidRPr="00F1799C" w:rsidRDefault="00F1799C" w:rsidP="00F1799C">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9" w:name="_Toc195695318"/>
      <w:r w:rsidRPr="00F1799C">
        <w:rPr>
          <w:rFonts w:ascii="Arial" w:eastAsia="-moz-fixed" w:hAnsi="Arial" w:cs="-moz-fixed"/>
          <w:b/>
          <w:sz w:val="28"/>
          <w:szCs w:val="20"/>
          <w:lang w:val="en-US" w:eastAsia="ar-SA"/>
        </w:rPr>
        <w:t>Consider All Reasonable Alternatives.</w:t>
      </w:r>
      <w:bookmarkEnd w:id="7"/>
      <w:bookmarkEnd w:id="9"/>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Alternatives are the heart of the NEPA process. Exploring and comparing alternatives  help shed light on trade-offs and help the agency find ways of harmonizing competing objectives.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NEPA mandates that an agency “shall to the fullest extent possible: use the NEPA process to identify and assess the reasonable alternatives to proposed actions that will avoid or minimize adverse effects of these action upon the quality of the human environment.” 40 C.F.R. § 1500.2(e). NEPA also requires the agency to “study, develop, and describe appropriate alternatives to the recommended courses of action in any proposal which involves unresolved conflicts concerning alternative uses of available resources as provided by section 102(2)(E) of the Act [NEPA].”40 C.F.R. § 1501.2 (c).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Environmental analysis documents must “[r]</w:t>
      </w:r>
      <w:proofErr w:type="spellStart"/>
      <w:r w:rsidRPr="00F1799C">
        <w:rPr>
          <w:rFonts w:eastAsia="-moz-fixed" w:cs="-moz-fixed"/>
          <w:szCs w:val="20"/>
          <w:lang w:val="en-US" w:eastAsia="ar-SA"/>
        </w:rPr>
        <w:t>igorously</w:t>
      </w:r>
      <w:proofErr w:type="spellEnd"/>
      <w:r w:rsidRPr="00F1799C">
        <w:rPr>
          <w:rFonts w:eastAsia="-moz-fixed" w:cs="-moz-fixed"/>
          <w:szCs w:val="20"/>
          <w:lang w:val="en-US" w:eastAsia="ar-SA"/>
        </w:rPr>
        <w:t xml:space="preserve"> explore and objectively evaluate all reasonable alternatives” to the project. 40 C.F.R. § 1502.14(a). The Council on Environmental Quality (CEQ), which promulgated the regulations implementing NEPA, characterizes the discussion of alternatives as “the heart of the environmental impact statement.” 40 C.F.R. § 1502.14. A </w:t>
      </w:r>
      <w:proofErr w:type="spellStart"/>
      <w:r w:rsidRPr="00F1799C">
        <w:rPr>
          <w:rFonts w:eastAsia="-moz-fixed" w:cs="-moz-fixed"/>
          <w:szCs w:val="20"/>
          <w:lang w:val="en-US" w:eastAsia="ar-SA"/>
        </w:rPr>
        <w:t>decisionmaker</w:t>
      </w:r>
      <w:proofErr w:type="spellEnd"/>
      <w:r w:rsidRPr="00F1799C">
        <w:rPr>
          <w:rFonts w:eastAsia="-moz-fixed" w:cs="-moz-fixed"/>
          <w:szCs w:val="20"/>
          <w:lang w:val="en-US" w:eastAsia="ar-SA"/>
        </w:rPr>
        <w:t xml:space="preserve"> must explore alternatives in sufficient enough detail to “sharply </w:t>
      </w:r>
      <w:proofErr w:type="spellStart"/>
      <w:r w:rsidRPr="00F1799C">
        <w:rPr>
          <w:rFonts w:eastAsia="-moz-fixed" w:cs="-moz-fixed"/>
          <w:szCs w:val="20"/>
          <w:lang w:val="en-US" w:eastAsia="ar-SA"/>
        </w:rPr>
        <w:t>defin</w:t>
      </w:r>
      <w:proofErr w:type="spellEnd"/>
      <w:r w:rsidRPr="00F1799C">
        <w:rPr>
          <w:rFonts w:eastAsia="-moz-fixed" w:cs="-moz-fixed"/>
          <w:szCs w:val="20"/>
          <w:lang w:val="en-US" w:eastAsia="ar-SA"/>
        </w:rPr>
        <w:t xml:space="preserve">[e] the issues and </w:t>
      </w:r>
      <w:proofErr w:type="spellStart"/>
      <w:r w:rsidRPr="00F1799C">
        <w:rPr>
          <w:rFonts w:eastAsia="-moz-fixed" w:cs="-moz-fixed"/>
          <w:szCs w:val="20"/>
          <w:lang w:val="en-US" w:eastAsia="ar-SA"/>
        </w:rPr>
        <w:t>provid</w:t>
      </w:r>
      <w:proofErr w:type="spellEnd"/>
      <w:r w:rsidRPr="00F1799C">
        <w:rPr>
          <w:rFonts w:eastAsia="-moz-fixed" w:cs="-moz-fixed"/>
          <w:szCs w:val="20"/>
          <w:lang w:val="en-US" w:eastAsia="ar-SA"/>
        </w:rPr>
        <w:t xml:space="preserve">[e] a clear basis for choice among options by the </w:t>
      </w:r>
      <w:proofErr w:type="spellStart"/>
      <w:r w:rsidRPr="00F1799C">
        <w:rPr>
          <w:rFonts w:eastAsia="-moz-fixed" w:cs="-moz-fixed"/>
          <w:szCs w:val="20"/>
          <w:lang w:val="en-US" w:eastAsia="ar-SA"/>
        </w:rPr>
        <w:t>decisionmaker</w:t>
      </w:r>
      <w:proofErr w:type="spellEnd"/>
      <w:r w:rsidRPr="00F1799C">
        <w:rPr>
          <w:rFonts w:eastAsia="-moz-fixed" w:cs="-moz-fixed"/>
          <w:szCs w:val="20"/>
          <w:lang w:val="en-US" w:eastAsia="ar-SA"/>
        </w:rPr>
        <w:t xml:space="preserve"> and the public.” </w:t>
      </w:r>
      <w:r w:rsidRPr="00F1799C">
        <w:rPr>
          <w:rFonts w:eastAsia="-moz-fixed" w:cs="-moz-fixed"/>
          <w:i/>
          <w:iCs/>
          <w:szCs w:val="20"/>
          <w:lang w:val="en-US" w:eastAsia="ar-SA"/>
        </w:rPr>
        <w:t>Id</w:t>
      </w:r>
      <w:r w:rsidRPr="00F1799C">
        <w:rPr>
          <w:rFonts w:eastAsia="-moz-fixed" w:cs="-moz-fixed"/>
          <w:szCs w:val="20"/>
          <w:lang w:val="en-US" w:eastAsia="ar-SA"/>
        </w:rPr>
        <w:t xml:space="preserve">. § 1502.14. All reasonable alternatives must receive a “rigorous exploration and objective evaluation... , particularly those that might enhance environmental quality or avoid some or all of the adverse environmental effects.” </w:t>
      </w:r>
      <w:r w:rsidRPr="00F1799C">
        <w:rPr>
          <w:rFonts w:eastAsia="-moz-fixed" w:cs="-moz-fixed"/>
          <w:i/>
          <w:iCs/>
          <w:szCs w:val="20"/>
          <w:lang w:val="en-US" w:eastAsia="ar-SA"/>
        </w:rPr>
        <w:t>Id</w:t>
      </w:r>
      <w:r w:rsidRPr="00F1799C">
        <w:rPr>
          <w:rFonts w:eastAsia="-moz-fixed" w:cs="-moz-fixed"/>
          <w:szCs w:val="20"/>
          <w:lang w:val="en-US" w:eastAsia="ar-SA"/>
        </w:rPr>
        <w:t xml:space="preserve">. § 1500.8(a)(4). The analysis of the alternatives must be “sufficiently detailed to reveal the agency’s comparative evaluation of the environmental benefits, costs and risks of the proposed action and each reasonable alternative.” </w:t>
      </w:r>
      <w:r w:rsidRPr="00F1799C">
        <w:rPr>
          <w:rFonts w:eastAsia="-moz-fixed" w:cs="-moz-fixed"/>
          <w:i/>
          <w:iCs/>
          <w:szCs w:val="20"/>
          <w:lang w:val="en-US" w:eastAsia="ar-SA"/>
        </w:rPr>
        <w:t>Id</w:t>
      </w:r>
      <w:r w:rsidRPr="00F1799C">
        <w:rPr>
          <w:rFonts w:eastAsia="-moz-fixed" w:cs="-moz-fixed"/>
          <w:szCs w:val="20"/>
          <w:lang w:val="en-US" w:eastAsia="ar-SA"/>
        </w:rPr>
        <w:t>.</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If the NEPA document considers only a restricted range of alternatives this would violate the very purpose of NEPA’s alternative analysis requirement, which is to foster informed decision-making and full public involvement. 42 U.S.C. §§ 4331, 4332(2)(E); 40 C.F.R. § 1508.9(b). </w:t>
      </w:r>
      <w:r w:rsidRPr="00F1799C">
        <w:rPr>
          <w:rFonts w:eastAsia="-moz-fixed" w:cs="-moz-fixed"/>
          <w:i/>
          <w:iCs/>
          <w:szCs w:val="20"/>
          <w:lang w:val="en-US" w:eastAsia="ar-SA"/>
        </w:rPr>
        <w:t xml:space="preserve">See also Robertson v. </w:t>
      </w:r>
      <w:proofErr w:type="spellStart"/>
      <w:r w:rsidRPr="00F1799C">
        <w:rPr>
          <w:rFonts w:eastAsia="-moz-fixed" w:cs="-moz-fixed"/>
          <w:i/>
          <w:iCs/>
          <w:szCs w:val="20"/>
          <w:lang w:val="en-US" w:eastAsia="ar-SA"/>
        </w:rPr>
        <w:t>Methow</w:t>
      </w:r>
      <w:proofErr w:type="spellEnd"/>
      <w:r w:rsidRPr="00F1799C">
        <w:rPr>
          <w:rFonts w:eastAsia="-moz-fixed" w:cs="-moz-fixed"/>
          <w:i/>
          <w:iCs/>
          <w:szCs w:val="20"/>
          <w:lang w:val="en-US" w:eastAsia="ar-SA"/>
        </w:rPr>
        <w:t xml:space="preserve"> Valley Citizen’s Council</w:t>
      </w:r>
      <w:r w:rsidRPr="00F1799C">
        <w:rPr>
          <w:rFonts w:eastAsia="-moz-fixed" w:cs="-moz-fixed"/>
          <w:szCs w:val="20"/>
          <w:lang w:val="en-US" w:eastAsia="ar-SA"/>
        </w:rPr>
        <w:t xml:space="preserve">, 490 U.S. 332, 349 (1989). The Ninth Circuit stated in </w:t>
      </w:r>
      <w:r w:rsidRPr="00F1799C">
        <w:rPr>
          <w:rFonts w:eastAsia="-moz-fixed" w:cs="-moz-fixed"/>
          <w:i/>
          <w:iCs/>
          <w:szCs w:val="20"/>
          <w:lang w:val="en-US" w:eastAsia="ar-SA"/>
        </w:rPr>
        <w:t>California v. Block</w:t>
      </w:r>
      <w:r w:rsidRPr="00F1799C">
        <w:rPr>
          <w:rFonts w:eastAsia="-moz-fixed" w:cs="-moz-fixed"/>
          <w:szCs w:val="20"/>
          <w:lang w:val="en-US" w:eastAsia="ar-SA"/>
        </w:rPr>
        <w:t xml:space="preserve"> that “[a]s with the standard employed to evaluate the detail that NEPA requires in discussing a decision’s environmental consequences, the touchstone for our inquiry is whether an EIS’s selection and discussion of alternatives fosters informed decision-making and informed public participation.” </w:t>
      </w:r>
      <w:r w:rsidRPr="00F1799C">
        <w:rPr>
          <w:rFonts w:eastAsia="-moz-fixed" w:cs="-moz-fixed"/>
          <w:i/>
          <w:iCs/>
          <w:szCs w:val="20"/>
          <w:lang w:val="en-US" w:eastAsia="ar-SA"/>
        </w:rPr>
        <w:t>California v. Block</w:t>
      </w:r>
      <w:r w:rsidRPr="00F1799C">
        <w:rPr>
          <w:rFonts w:eastAsia="-moz-fixed" w:cs="-moz-fixed"/>
          <w:szCs w:val="20"/>
          <w:lang w:val="en-US" w:eastAsia="ar-SA"/>
        </w:rPr>
        <w:t>, 690 F.2d 753, 767 (9</w:t>
      </w:r>
      <w:r w:rsidRPr="00F1799C">
        <w:rPr>
          <w:rFonts w:eastAsia="-moz-fixed" w:cs="-moz-fixed"/>
          <w:szCs w:val="20"/>
          <w:vertAlign w:val="superscript"/>
          <w:lang w:val="en-US" w:eastAsia="ar-SA"/>
        </w:rPr>
        <w:t>th</w:t>
      </w:r>
      <w:r w:rsidRPr="00F1799C">
        <w:rPr>
          <w:rFonts w:eastAsia="-moz-fixed" w:cs="-moz-fixed"/>
          <w:szCs w:val="20"/>
          <w:lang w:val="en-US" w:eastAsia="ar-SA"/>
        </w:rPr>
        <w:t xml:space="preserve"> Cir. 1982). </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The purpose of the multiple alternative analysis requirement is to insist that no major federal project be undertaken without intense consideration of other more ecologically sound courses of </w:t>
      </w:r>
      <w:r w:rsidRPr="00F1799C">
        <w:rPr>
          <w:rFonts w:eastAsia="-moz-fixed" w:cs="-moz-fixed"/>
          <w:szCs w:val="20"/>
          <w:lang w:val="en-US" w:eastAsia="ar-SA"/>
        </w:rPr>
        <w:lastRenderedPageBreak/>
        <w:t xml:space="preserve">action, including shelving the entire project, or of accomplishing the same result by entirely different means. </w:t>
      </w:r>
      <w:r w:rsidRPr="00F1799C">
        <w:rPr>
          <w:rFonts w:eastAsia="-moz-fixed" w:cs="-moz-fixed"/>
          <w:i/>
          <w:iCs/>
          <w:szCs w:val="20"/>
          <w:lang w:val="en-US" w:eastAsia="ar-SA"/>
        </w:rPr>
        <w:t>Environmental Defense Fund v. Corps of Engineers</w:t>
      </w:r>
      <w:r w:rsidRPr="00F1799C">
        <w:rPr>
          <w:rFonts w:eastAsia="-moz-fixed" w:cs="-moz-fixed"/>
          <w:szCs w:val="20"/>
          <w:lang w:val="en-US" w:eastAsia="ar-SA"/>
        </w:rPr>
        <w:t>, 492 F.2d 1123, 1135 (5</w:t>
      </w:r>
      <w:r w:rsidRPr="00F1799C">
        <w:rPr>
          <w:rFonts w:eastAsia="-moz-fixed" w:cs="-moz-fixed"/>
          <w:szCs w:val="20"/>
          <w:vertAlign w:val="superscript"/>
          <w:lang w:val="en-US" w:eastAsia="ar-SA"/>
        </w:rPr>
        <w:t>th</w:t>
      </w:r>
      <w:r w:rsidRPr="00F1799C">
        <w:rPr>
          <w:rFonts w:eastAsia="-moz-fixed" w:cs="-moz-fixed"/>
          <w:szCs w:val="20"/>
          <w:lang w:val="en-US" w:eastAsia="ar-SA"/>
        </w:rPr>
        <w:t xml:space="preserve"> Cir. 1974); </w:t>
      </w:r>
      <w:proofErr w:type="spellStart"/>
      <w:r w:rsidRPr="00F1799C">
        <w:rPr>
          <w:rFonts w:eastAsia="-moz-fixed" w:cs="-moz-fixed"/>
          <w:i/>
          <w:iCs/>
          <w:szCs w:val="20"/>
          <w:lang w:val="en-US" w:eastAsia="ar-SA"/>
        </w:rPr>
        <w:t>Methow</w:t>
      </w:r>
      <w:proofErr w:type="spellEnd"/>
      <w:r w:rsidRPr="00F1799C">
        <w:rPr>
          <w:rFonts w:eastAsia="-moz-fixed" w:cs="-moz-fixed"/>
          <w:i/>
          <w:iCs/>
          <w:szCs w:val="20"/>
          <w:lang w:val="en-US" w:eastAsia="ar-SA"/>
        </w:rPr>
        <w:t xml:space="preserve"> Valley Citizens Council v. Regional Forester</w:t>
      </w:r>
      <w:r w:rsidRPr="00F1799C">
        <w:rPr>
          <w:rFonts w:eastAsia="-moz-fixed" w:cs="-moz-fixed"/>
          <w:szCs w:val="20"/>
          <w:lang w:val="en-US" w:eastAsia="ar-SA"/>
        </w:rPr>
        <w:t>, 833 F.2d 810 (9</w:t>
      </w:r>
      <w:r w:rsidRPr="00F1799C">
        <w:rPr>
          <w:rFonts w:eastAsia="-moz-fixed" w:cs="-moz-fixed"/>
          <w:szCs w:val="20"/>
          <w:vertAlign w:val="superscript"/>
          <w:lang w:val="en-US" w:eastAsia="ar-SA"/>
        </w:rPr>
        <w:t>th</w:t>
      </w:r>
      <w:r w:rsidRPr="00F1799C">
        <w:rPr>
          <w:rFonts w:eastAsia="-moz-fixed" w:cs="-moz-fixed"/>
          <w:szCs w:val="20"/>
          <w:lang w:val="en-US" w:eastAsia="ar-SA"/>
        </w:rPr>
        <w:t xml:space="preserve"> Cir. 1987), </w:t>
      </w:r>
      <w:proofErr w:type="spellStart"/>
      <w:r w:rsidRPr="00F1799C">
        <w:rPr>
          <w:rFonts w:eastAsia="-moz-fixed" w:cs="-moz-fixed"/>
          <w:i/>
          <w:iCs/>
          <w:szCs w:val="20"/>
          <w:lang w:val="en-US" w:eastAsia="ar-SA"/>
        </w:rPr>
        <w:t>rev’d</w:t>
      </w:r>
      <w:proofErr w:type="spellEnd"/>
      <w:r w:rsidRPr="00F1799C">
        <w:rPr>
          <w:rFonts w:eastAsia="-moz-fixed" w:cs="-moz-fixed"/>
          <w:i/>
          <w:iCs/>
          <w:szCs w:val="20"/>
          <w:lang w:val="en-US" w:eastAsia="ar-SA"/>
        </w:rPr>
        <w:t xml:space="preserve"> on other grounds</w:t>
      </w:r>
      <w:r w:rsidRPr="00F1799C">
        <w:rPr>
          <w:rFonts w:eastAsia="-moz-fixed" w:cs="-moz-fixed"/>
          <w:szCs w:val="20"/>
          <w:lang w:val="en-US" w:eastAsia="ar-SA"/>
        </w:rPr>
        <w:t xml:space="preserve">, 490 U.S. 332 (1989) (agency must consider alternative sites for a project). The Ninth Circuit has concluded that “the existence of a viable but unexamined alternative renders an environmental impact statement inadequate.” </w:t>
      </w:r>
      <w:r w:rsidRPr="00F1799C">
        <w:rPr>
          <w:rFonts w:eastAsia="-moz-fixed" w:cs="-moz-fixed"/>
          <w:i/>
          <w:iCs/>
          <w:szCs w:val="20"/>
          <w:lang w:val="en-US" w:eastAsia="ar-SA"/>
        </w:rPr>
        <w:t>Alaska Wilderness Recreation &amp; Tourism v. Morrison</w:t>
      </w:r>
      <w:r w:rsidRPr="00F1799C">
        <w:rPr>
          <w:rFonts w:eastAsia="-moz-fixed" w:cs="-moz-fixed"/>
          <w:szCs w:val="20"/>
          <w:lang w:val="en-US" w:eastAsia="ar-SA"/>
        </w:rPr>
        <w:t>, 67 F.3d 723, 729 (9</w:t>
      </w:r>
      <w:r w:rsidRPr="00F1799C">
        <w:rPr>
          <w:rFonts w:eastAsia="-moz-fixed" w:cs="-moz-fixed"/>
          <w:szCs w:val="20"/>
          <w:vertAlign w:val="superscript"/>
          <w:lang w:val="en-US" w:eastAsia="ar-SA"/>
        </w:rPr>
        <w:t>th</w:t>
      </w:r>
      <w:r w:rsidRPr="00F1799C">
        <w:rPr>
          <w:rFonts w:eastAsia="-moz-fixed" w:cs="-moz-fixed"/>
          <w:szCs w:val="20"/>
          <w:lang w:val="en-US" w:eastAsia="ar-SA"/>
        </w:rPr>
        <w:t xml:space="preserve"> Cir.1995).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Other courts have stated that in order to comply with NEPA, “the discussion of alternatives ‘must go beyond mere assertions’ and provide sufficient data and reasoning to enable a reader to evaluate the analysis and conclusions and to comment on the EIS.” </w:t>
      </w:r>
      <w:r w:rsidRPr="00F1799C">
        <w:rPr>
          <w:rFonts w:eastAsia="-moz-fixed" w:cs="-moz-fixed"/>
          <w:i/>
          <w:iCs/>
          <w:szCs w:val="20"/>
          <w:lang w:val="en-US" w:eastAsia="ar-SA"/>
        </w:rPr>
        <w:t xml:space="preserve">Citizens Against Toxic Sprays v. </w:t>
      </w:r>
      <w:proofErr w:type="spellStart"/>
      <w:r w:rsidRPr="00F1799C">
        <w:rPr>
          <w:rFonts w:eastAsia="-moz-fixed" w:cs="-moz-fixed"/>
          <w:i/>
          <w:iCs/>
          <w:szCs w:val="20"/>
          <w:lang w:val="en-US" w:eastAsia="ar-SA"/>
        </w:rPr>
        <w:t>Bergland</w:t>
      </w:r>
      <w:proofErr w:type="spellEnd"/>
      <w:r w:rsidRPr="00F1799C">
        <w:rPr>
          <w:rFonts w:eastAsia="-moz-fixed" w:cs="-moz-fixed"/>
          <w:szCs w:val="20"/>
          <w:lang w:val="en-US" w:eastAsia="ar-SA"/>
        </w:rPr>
        <w:t xml:space="preserve">, 428 F. Supp. 908, 933 (D. Or. 1977). A detailed and careful analysis of the relative merits and demerits of the proposed action and possible alternatives is of such importance in the NEPA scheme that it has been described as the “linchpin” of the environmental analysis. For this reason, the discussion of alternatives must be undertaken in good faith; it is not to be employed to justify a decision already reached. </w:t>
      </w:r>
      <w:r w:rsidRPr="00F1799C">
        <w:rPr>
          <w:rFonts w:eastAsia="-moz-fixed" w:cs="-moz-fixed"/>
          <w:i/>
          <w:iCs/>
          <w:szCs w:val="20"/>
          <w:lang w:val="en-US" w:eastAsia="ar-SA"/>
        </w:rPr>
        <w:t>Id</w:t>
      </w:r>
      <w:r w:rsidRPr="00F1799C">
        <w:rPr>
          <w:rFonts w:eastAsia="-moz-fixed" w:cs="-moz-fixed"/>
          <w:szCs w:val="20"/>
          <w:lang w:val="en-US" w:eastAsia="ar-SA"/>
        </w:rPr>
        <w:t>.</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"An alternative may not be disregarded merely because it does not offer a complete solution to the problem."  Citizens Against Toxic Sprays v. </w:t>
      </w:r>
      <w:proofErr w:type="spellStart"/>
      <w:r w:rsidRPr="00F1799C">
        <w:rPr>
          <w:rFonts w:eastAsia="-moz-fixed" w:cs="-moz-fixed"/>
          <w:szCs w:val="20"/>
          <w:lang w:val="en-US" w:eastAsia="ar-SA"/>
        </w:rPr>
        <w:t>Bergland</w:t>
      </w:r>
      <w:proofErr w:type="spellEnd"/>
      <w:r w:rsidRPr="00F1799C">
        <w:rPr>
          <w:rFonts w:eastAsia="-moz-fixed" w:cs="-moz-fixed"/>
          <w:szCs w:val="20"/>
          <w:lang w:val="en-US" w:eastAsia="ar-SA"/>
        </w:rPr>
        <w:t>, 428 F. Supp. 908. 933 (D. Or. 1977).  As one court explained, "[o]</w:t>
      </w:r>
      <w:proofErr w:type="spellStart"/>
      <w:r w:rsidRPr="00F1799C">
        <w:rPr>
          <w:rFonts w:eastAsia="-moz-fixed" w:cs="-moz-fixed"/>
          <w:szCs w:val="20"/>
          <w:lang w:val="en-US" w:eastAsia="ar-SA"/>
        </w:rPr>
        <w:t>bviously</w:t>
      </w:r>
      <w:proofErr w:type="spellEnd"/>
      <w:r w:rsidRPr="00F1799C">
        <w:rPr>
          <w:rFonts w:eastAsia="-moz-fixed" w:cs="-moz-fixed"/>
          <w:szCs w:val="20"/>
          <w:lang w:val="en-US" w:eastAsia="ar-SA"/>
        </w:rPr>
        <w:t xml:space="preserve">, any genuine alternative to a proposed action will not fully accomplish all of the goals of the original proposal. One of the reasons that Congress has required agencies to set out and evaluate alternative actions is to give perspective on the environmental costs, and the social necessity, of going ahead with the original proposal."   </w:t>
      </w:r>
      <w:r w:rsidRPr="00F1799C">
        <w:rPr>
          <w:rFonts w:eastAsia="-moz-fixed" w:cs="-moz-fixed"/>
          <w:i/>
          <w:szCs w:val="20"/>
          <w:lang w:val="en-US" w:eastAsia="ar-SA"/>
        </w:rPr>
        <w:t xml:space="preserve">Town of Matthews v. United States </w:t>
      </w:r>
      <w:proofErr w:type="spellStart"/>
      <w:r w:rsidRPr="00F1799C">
        <w:rPr>
          <w:rFonts w:eastAsia="-moz-fixed" w:cs="-moz-fixed"/>
          <w:i/>
          <w:szCs w:val="20"/>
          <w:lang w:val="en-US" w:eastAsia="ar-SA"/>
        </w:rPr>
        <w:t>Dept</w:t>
      </w:r>
      <w:proofErr w:type="spellEnd"/>
      <w:r w:rsidRPr="00F1799C">
        <w:rPr>
          <w:rFonts w:eastAsia="-moz-fixed" w:cs="-moz-fixed"/>
          <w:i/>
          <w:szCs w:val="20"/>
          <w:lang w:val="en-US" w:eastAsia="ar-SA"/>
        </w:rPr>
        <w:t xml:space="preserve"> of Transp.</w:t>
      </w:r>
      <w:r w:rsidRPr="00F1799C">
        <w:rPr>
          <w:rFonts w:eastAsia="-moz-fixed" w:cs="-moz-fixed"/>
          <w:szCs w:val="20"/>
          <w:lang w:val="en-US" w:eastAsia="ar-SA"/>
        </w:rPr>
        <w:t>, 527 F. Supp. 1055, 1058 (W.D.N.C. 1981).</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The agency often says that removing medium and large trees is often necessary to ensure a viable timber sale even though the same medium and large trees need to be retained for late successional forest habitat characteristics, dead wood recruitment, to suppress the growth of ladder fuels, and to maintain a cool-moist microclimate that helps mitigate fire hazard. These conflicts were brought to light in PNW Science Findings #85 “requiring landscape treatments to earn a profit negatively impacted both habitat and fire objectives” </w:t>
      </w:r>
      <w:r w:rsidRPr="00F1799C">
        <w:rPr>
          <w:rFonts w:eastAsia="-moz-fixed" w:cs="-moz-fixed"/>
          <w:color w:val="1B1B1B"/>
          <w:szCs w:val="20"/>
          <w:lang w:val="en-US" w:eastAsia="ar-SA"/>
        </w:rPr>
        <w:t xml:space="preserve">Thompson, Jonathan; Stevens Hummel, Susan. 2006. Seeing the bigger picture: landscape silviculture may offer compatible solutions to conflicting objectives. Science Findings 85. Portland, OR: U.S. Department of Agriculture, Forest Service, Pacific Northwest Research Station. 5 p </w:t>
      </w:r>
      <w:hyperlink r:id="rId38" w:history="1">
        <w:r w:rsidRPr="00F1799C">
          <w:rPr>
            <w:rFonts w:eastAsia="-moz-fixed" w:cs="-moz-fixed"/>
            <w:color w:val="0000FF"/>
            <w:szCs w:val="20"/>
            <w:u w:val="single"/>
            <w:lang w:val="en-US" w:eastAsia="ar-SA"/>
          </w:rPr>
          <w:t>https://www.fs.usda.gov/pnw/sciencef/scifi85.pdf</w:t>
        </w:r>
      </w:hyperlink>
      <w:r w:rsidRPr="00F1799C">
        <w:rPr>
          <w:rFonts w:eastAsia="-moz-fixed" w:cs="-moz-fixed"/>
          <w:szCs w:val="20"/>
          <w:lang w:val="en-US" w:eastAsia="ar-SA"/>
        </w:rPr>
        <w:t xml:space="preserve">. When economic objectives conflict with ecological objectives and fire hazard objectives, the agency is obligated to consider NEPA alternatives such as reallocating funds within the agency’s existing budget or asking Congress for additional appropriations to allow the agency to better balance competing objectives. See </w:t>
      </w:r>
      <w:r w:rsidRPr="00F1799C">
        <w:rPr>
          <w:rFonts w:eastAsia="-moz-fixed" w:cs="-moz-fixed"/>
          <w:szCs w:val="20"/>
          <w:u w:val="single"/>
          <w:lang w:val="en-US" w:eastAsia="ar-SA"/>
        </w:rPr>
        <w:t>Center of Biological Diversity v. Rey</w:t>
      </w:r>
      <w:r w:rsidRPr="00F1799C">
        <w:rPr>
          <w:rFonts w:eastAsia="-moz-fixed" w:cs="-moz-fixed"/>
          <w:szCs w:val="20"/>
          <w:lang w:val="en-US" w:eastAsia="ar-SA"/>
        </w:rPr>
        <w:t>, (9</w:t>
      </w:r>
      <w:r w:rsidRPr="00F1799C">
        <w:rPr>
          <w:rFonts w:eastAsia="-moz-fixed" w:cs="-moz-fixed"/>
          <w:szCs w:val="20"/>
          <w:vertAlign w:val="superscript"/>
          <w:lang w:val="en-US" w:eastAsia="ar-SA"/>
        </w:rPr>
        <w:t>th</w:t>
      </w:r>
      <w:r w:rsidRPr="00F1799C">
        <w:rPr>
          <w:rFonts w:eastAsia="-moz-fixed" w:cs="-moz-fixed"/>
          <w:szCs w:val="20"/>
          <w:lang w:val="en-US" w:eastAsia="ar-SA"/>
        </w:rPr>
        <w:t xml:space="preserve"> Circ, May 14, 2008) </w:t>
      </w:r>
      <w:hyperlink r:id="rId39" w:history="1">
        <w:r w:rsidRPr="00F1799C">
          <w:rPr>
            <w:rFonts w:eastAsia="-moz-fixed" w:cs="-moz-fixed"/>
            <w:color w:val="0000FF"/>
            <w:szCs w:val="20"/>
            <w:u w:val="single"/>
            <w:lang w:val="en-US" w:eastAsia="ar-SA"/>
          </w:rPr>
          <w:t>http://web.archive.org/web/20081018102407/http://www.ca9.uscourts.gov/ca9/newopinions.nsf/BBADBE769F43A66D88257449005521AE/$file/0716892.pdf</w:t>
        </w:r>
      </w:hyperlink>
      <w:r w:rsidRPr="00F1799C">
        <w:rPr>
          <w:rFonts w:eastAsia="-moz-fixed" w:cs="-moz-fixed"/>
          <w:szCs w:val="20"/>
          <w:lang w:val="en-US" w:eastAsia="ar-SA"/>
        </w:rPr>
        <w:t xml:space="preserve"> </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"The existence of a viable but unexamined alternative renders an EA inadequate." </w:t>
      </w:r>
      <w:r w:rsidRPr="00F1799C">
        <w:rPr>
          <w:rFonts w:eastAsia="-moz-fixed" w:cs="-moz-fixed"/>
          <w:i/>
          <w:szCs w:val="20"/>
          <w:lang w:val="en-US" w:eastAsia="ar-SA"/>
        </w:rPr>
        <w:t>Western Watersheds v. Abbey</w:t>
      </w:r>
      <w:r w:rsidRPr="00F1799C">
        <w:rPr>
          <w:rFonts w:eastAsia="-moz-fixed" w:cs="-moz-fixed"/>
          <w:szCs w:val="20"/>
          <w:lang w:val="en-US" w:eastAsia="ar-SA"/>
        </w:rPr>
        <w:t xml:space="preserve">, 719 F.3d. at 1050. </w:t>
      </w:r>
      <w:r w:rsidRPr="00F1799C">
        <w:rPr>
          <w:rFonts w:eastAsia="-moz-fixed" w:cs="-moz-fixed"/>
          <w:i/>
          <w:szCs w:val="20"/>
          <w:lang w:val="en-US" w:eastAsia="ar-SA"/>
        </w:rPr>
        <w:t xml:space="preserve">North Idaho </w:t>
      </w:r>
      <w:proofErr w:type="spellStart"/>
      <w:r w:rsidRPr="00F1799C">
        <w:rPr>
          <w:rFonts w:eastAsia="-moz-fixed" w:cs="-moz-fixed"/>
          <w:i/>
          <w:szCs w:val="20"/>
          <w:lang w:val="en-US" w:eastAsia="ar-SA"/>
        </w:rPr>
        <w:t>Cmty</w:t>
      </w:r>
      <w:proofErr w:type="spellEnd"/>
      <w:r w:rsidRPr="00F1799C">
        <w:rPr>
          <w:rFonts w:eastAsia="-moz-fixed" w:cs="-moz-fixed"/>
          <w:i/>
          <w:szCs w:val="20"/>
          <w:lang w:val="en-US" w:eastAsia="ar-SA"/>
        </w:rPr>
        <w:t>. Action Network</w:t>
      </w:r>
      <w:r w:rsidRPr="00F1799C">
        <w:rPr>
          <w:rFonts w:eastAsia="-moz-fixed" w:cs="-moz-fixed"/>
          <w:szCs w:val="20"/>
          <w:lang w:val="en-US" w:eastAsia="ar-SA"/>
        </w:rPr>
        <w:t xml:space="preserve">, 545 F.3d at 1153 (both EA and EIS must consider all reasonable alternatives, but EIS must provide more detail and analysis of those alternatives). When the agency clearly has independent knowledge of specific issues or concerns, "there is no need for a commenter to point them out specifically in order to preserve its ability to challenge a proposed action." Id. at 765; </w:t>
      </w:r>
      <w:r w:rsidRPr="00F1799C">
        <w:rPr>
          <w:rFonts w:eastAsia="-moz-fixed" w:cs="-moz-fixed"/>
          <w:i/>
          <w:szCs w:val="20"/>
          <w:lang w:val="en-US" w:eastAsia="ar-SA"/>
        </w:rPr>
        <w:t>'</w:t>
      </w:r>
      <w:proofErr w:type="spellStart"/>
      <w:r w:rsidRPr="00F1799C">
        <w:rPr>
          <w:rFonts w:eastAsia="-moz-fixed" w:cs="-moz-fixed"/>
          <w:i/>
          <w:szCs w:val="20"/>
          <w:lang w:val="en-US" w:eastAsia="ar-SA"/>
        </w:rPr>
        <w:t>Ilio'ulaokalani</w:t>
      </w:r>
      <w:proofErr w:type="spellEnd"/>
      <w:r w:rsidRPr="00F1799C">
        <w:rPr>
          <w:rFonts w:eastAsia="-moz-fixed" w:cs="-moz-fixed"/>
          <w:i/>
          <w:szCs w:val="20"/>
          <w:lang w:val="en-US" w:eastAsia="ar-SA"/>
        </w:rPr>
        <w:t xml:space="preserve"> Coal. v. Rumsfeld</w:t>
      </w:r>
      <w:r w:rsidRPr="00F1799C">
        <w:rPr>
          <w:rFonts w:eastAsia="-moz-fixed" w:cs="-moz-fixed"/>
          <w:szCs w:val="20"/>
          <w:lang w:val="en-US" w:eastAsia="ar-SA"/>
        </w:rPr>
        <w:t xml:space="preserve">, 464 F.3d 1083, 1093 (9th Cir. 2006); see </w:t>
      </w:r>
      <w:r w:rsidRPr="00F1799C">
        <w:rPr>
          <w:rFonts w:eastAsia="-moz-fixed" w:cs="-moz-fixed"/>
          <w:i/>
          <w:szCs w:val="20"/>
          <w:lang w:val="en-US" w:eastAsia="ar-SA"/>
        </w:rPr>
        <w:t>Friends of the Clearwater v. Dombeck</w:t>
      </w:r>
      <w:r w:rsidRPr="00F1799C">
        <w:rPr>
          <w:rFonts w:eastAsia="-moz-fixed" w:cs="-moz-fixed"/>
          <w:szCs w:val="20"/>
          <w:lang w:val="en-US" w:eastAsia="ar-SA"/>
        </w:rPr>
        <w:t xml:space="preserve">, 222 F.3d 552, 559 (9th Cir. 2000) ("Compliance with NEPA is a primary duty of every federal </w:t>
      </w:r>
      <w:r w:rsidRPr="00F1799C">
        <w:rPr>
          <w:rFonts w:eastAsia="-moz-fixed" w:cs="-moz-fixed"/>
          <w:szCs w:val="20"/>
          <w:lang w:val="en-US" w:eastAsia="ar-SA"/>
        </w:rPr>
        <w:lastRenderedPageBreak/>
        <w:t>agency; fulfillment of this vital responsibility should not depend on the vigilance and limited resources of environmental plaintiffs").</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It is not enough to consider just one action alternative as BLM often does. The CEQ regulations specifically require that Environmental Assessments shall follow the alternatives language in NEPA. </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szCs w:val="20"/>
          <w:lang w:val="en-US" w:eastAsia="ar-SA"/>
        </w:rPr>
        <w:t>40 CFR § 1508.9</w:t>
      </w: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szCs w:val="20"/>
          <w:lang w:val="en-US" w:eastAsia="ar-SA"/>
        </w:rPr>
        <w:t>"Environmental Assessment":</w:t>
      </w: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szCs w:val="20"/>
          <w:lang w:val="en-US" w:eastAsia="ar-SA"/>
        </w:rPr>
        <w:t>…</w:t>
      </w: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szCs w:val="20"/>
          <w:lang w:val="en-US" w:eastAsia="ar-SA"/>
        </w:rPr>
        <w:t xml:space="preserve">(b) Shall include brief discussions of the need for the proposal, of </w:t>
      </w:r>
      <w:r w:rsidRPr="00F1799C">
        <w:rPr>
          <w:rFonts w:eastAsia="-moz-fixed" w:cs="-moz-fixed"/>
          <w:b/>
          <w:szCs w:val="20"/>
          <w:lang w:val="en-US" w:eastAsia="ar-SA"/>
        </w:rPr>
        <w:t>alternatives as required by sec. 102(2)(E)</w:t>
      </w:r>
      <w:r w:rsidRPr="00F1799C">
        <w:rPr>
          <w:rFonts w:eastAsia="-moz-fixed" w:cs="-moz-fixed"/>
          <w:szCs w:val="20"/>
          <w:lang w:val="en-US" w:eastAsia="ar-SA"/>
        </w:rPr>
        <w:t>, of the environmental impacts of the proposed action and alternatives …”</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color w:val="222222"/>
          <w:szCs w:val="24"/>
          <w:lang w:val="en-US" w:eastAsia="ar-SA"/>
        </w:rPr>
        <w:t>The “alternatives provision” of 42 U.S.C. § 4332(2)(E) applies whether an agency is preparing an EIS or an EA and requires the agency to give full and meaningful consideration to all reasonable alternatives. </w:t>
      </w:r>
      <w:r w:rsidRPr="00F1799C">
        <w:rPr>
          <w:rFonts w:eastAsia="-moz-fixed" w:cs="-moz-fixed"/>
          <w:i/>
          <w:iCs/>
          <w:color w:val="222222"/>
          <w:szCs w:val="24"/>
          <w:lang w:val="en-US" w:eastAsia="ar-SA"/>
        </w:rPr>
        <w:t>Native Ecosystems Council v. U.S. Forest Service,</w:t>
      </w:r>
      <w:r w:rsidRPr="00F1799C">
        <w:rPr>
          <w:rFonts w:eastAsia="-moz-fixed" w:cs="-moz-fixed"/>
          <w:color w:val="222222"/>
          <w:szCs w:val="24"/>
          <w:lang w:val="en-US" w:eastAsia="ar-SA"/>
        </w:rPr>
        <w:t> 428 F.3d 1233, 1245 (9th Cir. 2005); </w:t>
      </w:r>
      <w:r w:rsidRPr="00F1799C">
        <w:rPr>
          <w:rFonts w:eastAsia="-moz-fixed" w:cs="-moz-fixed"/>
          <w:i/>
          <w:iCs/>
          <w:color w:val="222222"/>
          <w:szCs w:val="24"/>
          <w:lang w:val="en-US" w:eastAsia="ar-SA"/>
        </w:rPr>
        <w:t>see Bob Marshall Alliance v. Hodel</w:t>
      </w:r>
      <w:r w:rsidRPr="00F1799C">
        <w:rPr>
          <w:rFonts w:eastAsia="-moz-fixed" w:cs="-moz-fixed"/>
          <w:color w:val="222222"/>
          <w:szCs w:val="24"/>
          <w:lang w:val="en-US" w:eastAsia="ar-SA"/>
        </w:rPr>
        <w:t xml:space="preserve">, 852 F.2d 1223, 1229 (9th Cir. 1988) (The alternatives requirement is triggered where unresolved conflicts as to the proper use of resources exist, whether or not an EIS is required). </w:t>
      </w:r>
      <w:r w:rsidRPr="00F1799C">
        <w:rPr>
          <w:rFonts w:eastAsia="-moz-fixed" w:cs="-moz-fixed"/>
          <w:i/>
          <w:color w:val="222222"/>
          <w:szCs w:val="24"/>
          <w:lang w:val="en-US" w:eastAsia="ar-SA"/>
        </w:rPr>
        <w:t>Te-Moak Tribe v. Interior, 608 F.3d 592, 601-602 (9th Cir. 2010)</w:t>
      </w:r>
      <w:r w:rsidRPr="00F1799C">
        <w:rPr>
          <w:rFonts w:eastAsia="-moz-fixed" w:cs="-moz-fixed"/>
          <w:color w:val="222222"/>
          <w:szCs w:val="24"/>
          <w:lang w:val="en-US" w:eastAsia="ar-SA"/>
        </w:rPr>
        <w:t xml:space="preserve"> (“Agencies are required to consider alternatives in both EISs and EAs and must give full and meaningful consideration to all reasonable alternatives.”)</w:t>
      </w:r>
    </w:p>
    <w:p w:rsidR="00F1799C" w:rsidRPr="00F1799C" w:rsidRDefault="00F1799C" w:rsidP="00F1799C">
      <w:pPr>
        <w:suppressAutoHyphens/>
        <w:spacing w:line="240" w:lineRule="auto"/>
        <w:rPr>
          <w:rFonts w:eastAsia="-moz-fixed" w:cs="-moz-fixed"/>
          <w:szCs w:val="20"/>
          <w:lang w:val="en-US" w:eastAsia="ar-SA"/>
        </w:rPr>
      </w:pP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color w:val="222222"/>
          <w:szCs w:val="24"/>
          <w:lang w:val="en-US" w:eastAsia="ar-SA"/>
        </w:rPr>
        <w:t>Consideration of Alternatives</w:t>
      </w:r>
    </w:p>
    <w:p w:rsidR="00F1799C" w:rsidRPr="00F1799C" w:rsidRDefault="00F1799C" w:rsidP="00F1799C">
      <w:pPr>
        <w:suppressAutoHyphens/>
        <w:spacing w:line="240" w:lineRule="auto"/>
        <w:rPr>
          <w:rFonts w:eastAsia="-moz-fixed" w:cs="-moz-fixed"/>
          <w:szCs w:val="20"/>
          <w:lang w:val="en-US" w:eastAsia="ar-SA"/>
        </w:rPr>
      </w:pPr>
    </w:p>
    <w:p w:rsidR="00B864C7" w:rsidRDefault="00F1799C" w:rsidP="00F1799C">
      <w:pPr>
        <w:suppressAutoHyphens/>
        <w:spacing w:line="240" w:lineRule="auto"/>
        <w:ind w:left="720"/>
        <w:rPr>
          <w:rFonts w:eastAsia="-moz-fixed" w:cs="-moz-fixed"/>
          <w:szCs w:val="20"/>
          <w:lang w:val="en-US" w:eastAsia="ar-SA"/>
        </w:rPr>
      </w:pPr>
      <w:r w:rsidRPr="00F1799C">
        <w:rPr>
          <w:rFonts w:eastAsia="-moz-fixed" w:cs="-moz-fixed"/>
          <w:color w:val="222222"/>
          <w:szCs w:val="24"/>
          <w:lang w:val="en-US" w:eastAsia="ar-SA"/>
        </w:rPr>
        <w:t xml:space="preserve">"[O]ne important ingredient of an EIS is the discussion of steps that can be taken to mitigate adverse environmental consequences" of a proposed action. Robertson, 490 U.S. at 351. As one aspect of evaluating a proposed course of action under NEPA, the agency has a duty "to study all alternatives that appear reasonable and appropriate for study... , as well as significant alternatives suggested by other agencies or the public during the comment period." Roosevelt Campobello Int'l Park </w:t>
      </w:r>
      <w:proofErr w:type="spellStart"/>
      <w:r w:rsidRPr="00F1799C">
        <w:rPr>
          <w:rFonts w:eastAsia="-moz-fixed" w:cs="-moz-fixed"/>
          <w:color w:val="222222"/>
          <w:szCs w:val="24"/>
          <w:lang w:val="en-US" w:eastAsia="ar-SA"/>
        </w:rPr>
        <w:t>Comm'n</w:t>
      </w:r>
      <w:proofErr w:type="spellEnd"/>
      <w:r w:rsidRPr="00F1799C">
        <w:rPr>
          <w:rFonts w:eastAsia="-moz-fixed" w:cs="-moz-fixed"/>
          <w:color w:val="222222"/>
          <w:szCs w:val="24"/>
          <w:lang w:val="en-US" w:eastAsia="ar-SA"/>
        </w:rPr>
        <w:t xml:space="preserve"> v. United States EPA, 684 F.2d 1041, 1047 (1st Cir. 1982) (quotations omitted); Valley Citizens for a Safe </w:t>
      </w:r>
      <w:proofErr w:type="spellStart"/>
      <w:r w:rsidRPr="00F1799C">
        <w:rPr>
          <w:rFonts w:eastAsia="-moz-fixed" w:cs="-moz-fixed"/>
          <w:color w:val="222222"/>
          <w:szCs w:val="24"/>
          <w:lang w:val="en-US" w:eastAsia="ar-SA"/>
        </w:rPr>
        <w:t>Env't</w:t>
      </w:r>
      <w:proofErr w:type="spellEnd"/>
      <w:r w:rsidRPr="00F1799C">
        <w:rPr>
          <w:rFonts w:eastAsia="-moz-fixed" w:cs="-moz-fixed"/>
          <w:color w:val="222222"/>
          <w:szCs w:val="24"/>
          <w:lang w:val="en-US" w:eastAsia="ar-SA"/>
        </w:rPr>
        <w:t xml:space="preserve"> v. Aldridge, 886 F.2d 458, 462 (1st Cir. 1989); City of Carmel-By-The-Sea v. U.S. Dept. of Transp., 95 F.3d 892, 903 (9th Cir. 1996).</w:t>
      </w:r>
    </w:p>
    <w:p w:rsidR="00B864C7" w:rsidRDefault="00B864C7" w:rsidP="00F1799C">
      <w:pPr>
        <w:suppressAutoHyphens/>
        <w:spacing w:line="240" w:lineRule="auto"/>
        <w:ind w:left="720"/>
        <w:rPr>
          <w:rFonts w:eastAsia="-moz-fixed" w:cs="-moz-fixed"/>
          <w:szCs w:val="20"/>
          <w:lang w:val="en-US" w:eastAsia="ar-SA"/>
        </w:rPr>
      </w:pPr>
    </w:p>
    <w:p w:rsidR="00F1799C" w:rsidRPr="00F1799C" w:rsidRDefault="00F1799C" w:rsidP="00F1799C">
      <w:pPr>
        <w:suppressAutoHyphens/>
        <w:spacing w:line="240" w:lineRule="auto"/>
        <w:ind w:left="720"/>
        <w:rPr>
          <w:rFonts w:eastAsia="-moz-fixed" w:cs="-moz-fixed"/>
          <w:szCs w:val="20"/>
          <w:lang w:val="en-US" w:eastAsia="ar-SA"/>
        </w:rPr>
      </w:pPr>
      <w:r w:rsidRPr="00F1799C">
        <w:rPr>
          <w:rFonts w:eastAsia="-moz-fixed" w:cs="-moz-fixed"/>
          <w:color w:val="222222"/>
          <w:szCs w:val="24"/>
          <w:lang w:val="en-US" w:eastAsia="ar-SA"/>
        </w:rPr>
        <w:t>As stated in the Council on Environmental Quality ("CEQ") regulations implementing NEPA, the consideration of alternatives is "the heart of the environmental impact statement." 40 C.F.R. § 1502.14. These implementing regulations are entitled to substantial deference. Robertson, 490 U.S. at 355 (citing Andrus v. Sierra Club, 442 U.S. 347, 358 (1979)). The regulations require that the EIS "[r]</w:t>
      </w:r>
      <w:proofErr w:type="spellStart"/>
      <w:r w:rsidRPr="00F1799C">
        <w:rPr>
          <w:rFonts w:eastAsia="-moz-fixed" w:cs="-moz-fixed"/>
          <w:color w:val="222222"/>
          <w:szCs w:val="24"/>
          <w:lang w:val="en-US" w:eastAsia="ar-SA"/>
        </w:rPr>
        <w:t>igorously</w:t>
      </w:r>
      <w:proofErr w:type="spellEnd"/>
      <w:r w:rsidRPr="00F1799C">
        <w:rPr>
          <w:rFonts w:eastAsia="-moz-fixed" w:cs="-moz-fixed"/>
          <w:color w:val="222222"/>
          <w:szCs w:val="24"/>
          <w:lang w:val="en-US" w:eastAsia="ar-SA"/>
        </w:rPr>
        <w:t xml:space="preserve"> explore and objectively evaluate all reasonable alternatives, and for alternatives which were eliminated from detailed study, briefly discuss the reasons for their having been eliminated." 40 C.F.R. § 1502.14(a). It is "absolutely essential to the NEPA process that the </w:t>
      </w:r>
      <w:proofErr w:type="spellStart"/>
      <w:r w:rsidRPr="00F1799C">
        <w:rPr>
          <w:rFonts w:eastAsia="-moz-fixed" w:cs="-moz-fixed"/>
          <w:color w:val="222222"/>
          <w:szCs w:val="24"/>
          <w:lang w:val="en-US" w:eastAsia="ar-SA"/>
        </w:rPr>
        <w:t>decisionmaker</w:t>
      </w:r>
      <w:proofErr w:type="spellEnd"/>
      <w:r w:rsidRPr="00F1799C">
        <w:rPr>
          <w:rFonts w:eastAsia="-moz-fixed" w:cs="-moz-fixed"/>
          <w:color w:val="222222"/>
          <w:szCs w:val="24"/>
          <w:lang w:val="en-US" w:eastAsia="ar-SA"/>
        </w:rPr>
        <w:t xml:space="preserve"> be provided with a detailed and careful analysis of the relative environmental merits and demerits of the proposed action and possible alternatives, a requirement that we have characterized as 'the linchpin of the entire impact statement.'" NRDC v. Callaway, 524 F.2d 79, 92 (2d Cir. 1975) (citation omitted); see Silva v. Lynn, 482 F.2d at 1285; All Indian Pueblo Council v. United States, 975 F.2d 1437, 1444 (10th Cir. 1992) (holding that a thorough discussion of the alternatives is "imperative"). "The 'existence of a viable but unexamined alternative renders an environmental impact statement inadequate.'" Resources Ltd. v. Robertson, 35 F.3d 1300, 1307 (9th Cir. 1993) </w:t>
      </w:r>
      <w:r w:rsidRPr="00F1799C">
        <w:rPr>
          <w:rFonts w:eastAsia="-moz-fixed" w:cs="-moz-fixed"/>
          <w:color w:val="222222"/>
          <w:szCs w:val="24"/>
          <w:lang w:val="en-US" w:eastAsia="ar-SA"/>
        </w:rPr>
        <w:lastRenderedPageBreak/>
        <w:t xml:space="preserve">(quoting Idaho Conservation League v. </w:t>
      </w:r>
      <w:proofErr w:type="spellStart"/>
      <w:r w:rsidRPr="00F1799C">
        <w:rPr>
          <w:rFonts w:eastAsia="-moz-fixed" w:cs="-moz-fixed"/>
          <w:color w:val="222222"/>
          <w:szCs w:val="24"/>
          <w:lang w:val="en-US" w:eastAsia="ar-SA"/>
        </w:rPr>
        <w:t>Mumma</w:t>
      </w:r>
      <w:proofErr w:type="spellEnd"/>
      <w:r w:rsidRPr="00F1799C">
        <w:rPr>
          <w:rFonts w:eastAsia="-moz-fixed" w:cs="-moz-fixed"/>
          <w:color w:val="222222"/>
          <w:szCs w:val="24"/>
          <w:lang w:val="en-US" w:eastAsia="ar-SA"/>
        </w:rPr>
        <w:t>, 956 F.2d 1508, 1519 (9th Cir. 1992)); see Grazing Fields Farm v. Goldschmidt, 626 F.2d 1068, 1072 (1st Cir. 1980) (Even the existence of supportive studies and memoranda contained in the administrative record but not incorporated in the EIS cannot "bring into compliance with NEPA an EIS that by itself is inadequate."). Because of the importance of NEPA's procedural and informational aspects, if the agency fails to properly circulate the required issues for review by interested parties, then the EIS is insufficient even if the agency's actual decision was informed and well-reasoned. Grazing Fields Farm, 626 F.2d at 1072; see Massachusetts v. Watt, 716 F.2d 946, 951 (1st Cir. 1983).</w:t>
      </w:r>
    </w:p>
    <w:p w:rsidR="00F1799C" w:rsidRPr="00F1799C" w:rsidRDefault="00F1799C" w:rsidP="00F1799C">
      <w:pPr>
        <w:suppressAutoHyphens/>
        <w:spacing w:line="240" w:lineRule="auto"/>
        <w:rPr>
          <w:rFonts w:eastAsia="-moz-fixed" w:cs="-moz-fixed"/>
          <w:szCs w:val="20"/>
          <w:lang w:val="en-US" w:eastAsia="ar-SA"/>
        </w:rPr>
      </w:pPr>
      <w:r w:rsidRPr="00F1799C">
        <w:rPr>
          <w:rFonts w:eastAsia="-moz-fixed" w:cs="-moz-fixed"/>
          <w:szCs w:val="20"/>
          <w:lang w:val="en-US" w:eastAsia="ar-SA"/>
        </w:rPr>
        <w:t xml:space="preserve">James C. Kozlowski. NEPA/EIS general principles highlighted. PRLS 501, Introduction to Natural Resources Law. Spring Semester 2017. </w:t>
      </w:r>
      <w:hyperlink r:id="rId40" w:history="1">
        <w:r w:rsidRPr="00F1799C">
          <w:rPr>
            <w:rFonts w:eastAsia="-moz-fixed" w:cs="-moz-fixed"/>
            <w:color w:val="0000FF"/>
            <w:szCs w:val="20"/>
            <w:u w:val="single"/>
            <w:lang w:val="en-US" w:eastAsia="ar-SA"/>
          </w:rPr>
          <w:t>https://mason.gmu.edu/~jkozlows/nepants.htm</w:t>
        </w:r>
      </w:hyperlink>
      <w:r w:rsidRPr="00F1799C">
        <w:rPr>
          <w:rFonts w:eastAsia="-moz-fixed" w:cs="-moz-fixed"/>
          <w:szCs w:val="20"/>
          <w:lang w:val="en-US" w:eastAsia="ar-SA"/>
        </w:rPr>
        <w:t xml:space="preserve"> </w:t>
      </w:r>
    </w:p>
    <w:p w:rsidR="00861A1C" w:rsidRPr="00861A1C" w:rsidRDefault="00861A1C" w:rsidP="00861A1C">
      <w:pPr>
        <w:numPr>
          <w:ilvl w:val="2"/>
          <w:numId w:val="0"/>
        </w:numPr>
        <w:tabs>
          <w:tab w:val="num" w:pos="0"/>
        </w:tabs>
        <w:suppressAutoHyphens/>
        <w:spacing w:before="100" w:after="100" w:line="240" w:lineRule="auto"/>
        <w:ind w:left="720" w:hanging="720"/>
        <w:outlineLvl w:val="2"/>
        <w:rPr>
          <w:rFonts w:eastAsia="-moz-fixed" w:cs="-moz-fixed"/>
          <w:b/>
          <w:bCs/>
          <w:sz w:val="27"/>
          <w:szCs w:val="27"/>
          <w:lang w:val="en-US" w:eastAsia="ar-SA"/>
        </w:rPr>
      </w:pPr>
      <w:bookmarkStart w:id="10" w:name="_Toc194591187"/>
      <w:bookmarkStart w:id="11" w:name="_Toc195695319"/>
      <w:r w:rsidRPr="00861A1C">
        <w:rPr>
          <w:rFonts w:eastAsia="-moz-fixed" w:cs="-moz-fixed"/>
          <w:b/>
          <w:bCs/>
          <w:sz w:val="27"/>
          <w:szCs w:val="27"/>
          <w:lang w:val="en-US" w:eastAsia="ar-SA"/>
        </w:rPr>
        <w:t>Thinning effects on flying squirrels and owl prey</w:t>
      </w:r>
      <w:bookmarkEnd w:id="10"/>
      <w:bookmarkEnd w:id="11"/>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Flying squirrels are an important prey item for Northern Spotted Owls in all parts of the owl’s range. Even in SW Oregon where wood rats represent a large part of the owls diet, flying squirrels are still critically important. See Forsman, Anthony, </w:t>
      </w:r>
      <w:proofErr w:type="spellStart"/>
      <w:r w:rsidRPr="00861A1C">
        <w:rPr>
          <w:rFonts w:eastAsia="-moz-fixed" w:cs="-moz-fixed"/>
          <w:szCs w:val="20"/>
          <w:lang w:val="en-US" w:eastAsia="ar-SA"/>
        </w:rPr>
        <w:t>Meslow</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Zabel</w:t>
      </w:r>
      <w:proofErr w:type="spellEnd"/>
      <w:r w:rsidRPr="00861A1C">
        <w:rPr>
          <w:rFonts w:eastAsia="-moz-fixed" w:cs="-moz-fixed"/>
          <w:szCs w:val="20"/>
          <w:lang w:val="en-US" w:eastAsia="ar-SA"/>
        </w:rPr>
        <w:t>. 2004. Diets And Foraging Behavior Of Northern Spotted Owls In Oregon.</w:t>
      </w:r>
      <w:r w:rsidRPr="00861A1C">
        <w:rPr>
          <w:rFonts w:ascii="Arial" w:eastAsia="-moz-fixed" w:hAnsi="Arial"/>
          <w:szCs w:val="20"/>
          <w:lang w:val="en-US" w:eastAsia="ar-SA"/>
        </w:rPr>
        <w:t xml:space="preserve"> </w:t>
      </w:r>
      <w:r w:rsidRPr="00861A1C">
        <w:rPr>
          <w:rFonts w:eastAsia="-moz-fixed" w:cs="-moz-fixed"/>
          <w:szCs w:val="20"/>
          <w:lang w:val="en-US" w:eastAsia="ar-SA"/>
        </w:rPr>
        <w:t xml:space="preserve">Journal of Raptor Research 38(3):214-230. </w:t>
      </w:r>
      <w:hyperlink r:id="rId41" w:anchor="_blank" w:history="1">
        <w:r w:rsidRPr="00861A1C">
          <w:rPr>
            <w:rFonts w:eastAsia="-moz-fixed" w:cs="-moz-fixed"/>
            <w:color w:val="0000FF"/>
            <w:szCs w:val="24"/>
            <w:u w:val="single"/>
            <w:lang w:val="en-US" w:eastAsia="ar-SA"/>
          </w:rPr>
          <w:t>http://elibrary.unm.edu/sora/jrr/v038n03/p00214-p00230.pdf</w:t>
        </w:r>
      </w:hyperlink>
      <w:r w:rsidRPr="00861A1C">
        <w:rPr>
          <w:rFonts w:eastAsia="-moz-fixed" w:cs="-moz-fixed"/>
          <w:szCs w:val="20"/>
          <w:lang w:val="en-US" w:eastAsia="ar-SA"/>
        </w:rPr>
        <w:t>. Given the importance of flying squirrels to the diet of the spotted owl, managers must ensure that thinning does not significantly reduce the flying squirrel population, but recent evidence shows that thinning does in fact lead to a multi-decade decline in the number of flying squirrels. The agencies must leave significant untreated skips in order to mitigate for this significant adverse effect.</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The findings of this study raise questions that the Forest Service has already posed to itself: “</w:t>
      </w:r>
      <w:r w:rsidRPr="00861A1C">
        <w:rPr>
          <w:rFonts w:eastAsia="-moz-fixed" w:cs="-moz-fixed"/>
          <w:szCs w:val="24"/>
          <w:lang w:val="en-US" w:eastAsia="ar-SA"/>
        </w:rPr>
        <w:t xml:space="preserve">If thinning is a treatment to promote late successional forest for spotted owls, but it reduces their primary prey base for a substantial amount of time, we may want to think differently about how we manage for flying squirrel populations across a landscape.” Central Cascades Adaptive Management Partnership - Administrative Study Portfolio - Status and Funding Needs, November 2014. (p 3) </w:t>
      </w:r>
      <w:hyperlink r:id="rId42" w:history="1">
        <w:r w:rsidRPr="00861A1C">
          <w:rPr>
            <w:rFonts w:eastAsia="-moz-fixed" w:cs="-moz-fixed"/>
            <w:color w:val="0000FF"/>
            <w:szCs w:val="24"/>
            <w:u w:val="single"/>
            <w:lang w:val="en-US" w:eastAsia="ar-SA"/>
          </w:rPr>
          <w:t>http://ecoshare.info/projects/central-cascade-adaptive-management-partnership/study-portfolio/</w:t>
        </w:r>
      </w:hyperlink>
      <w:r w:rsidRPr="00861A1C">
        <w:rPr>
          <w:rFonts w:eastAsia="-moz-fixed" w:cs="-moz-fixed"/>
          <w:szCs w:val="24"/>
          <w:lang w:val="en-US" w:eastAsia="ar-SA"/>
        </w:rPr>
        <w:t xml:space="preserve"> Project purposes and project alternatives need to account for this new information.  </w:t>
      </w:r>
      <w:r w:rsidRPr="00861A1C">
        <w:rPr>
          <w:rFonts w:eastAsia="-moz-fixed" w:cs="-moz-fixed"/>
          <w:szCs w:val="20"/>
          <w:lang w:val="en-US" w:eastAsia="ar-SA"/>
        </w:rPr>
        <w:t>The finding that thinning reduces, for a couple decades at least, populations of flying squirrels, an important prey for spotted owls throughout their range, reinforces the importance of finding the optimal mix of thinned and unthinned areas within stands and across the landscape (not just for flying squirrels but also for dead wood recruitment and other ecological values). The agencies’ current approach does provide a mix, but NEPA analyses fail to seek or find the optimum mix.</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Manning et al (2012) found that the thinning is adverse to both flying squirrels and snags, and these effects may be related. </w:t>
      </w:r>
    </w:p>
    <w:p w:rsidR="00861A1C" w:rsidRPr="00861A1C" w:rsidRDefault="00861A1C" w:rsidP="00861A1C">
      <w:pPr>
        <w:numPr>
          <w:ilvl w:val="0"/>
          <w:numId w:val="10"/>
        </w:numPr>
        <w:suppressAutoHyphens/>
        <w:spacing w:line="240" w:lineRule="auto"/>
        <w:rPr>
          <w:rFonts w:eastAsia="-moz-fixed" w:cs="-moz-fixed"/>
          <w:szCs w:val="24"/>
          <w:lang w:val="en-US" w:eastAsia="ar-SA"/>
        </w:rPr>
      </w:pPr>
      <w:r w:rsidRPr="00861A1C">
        <w:rPr>
          <w:rFonts w:eastAsia="-moz-fixed" w:cs="-moz-fixed"/>
          <w:szCs w:val="24"/>
          <w:lang w:val="en-US" w:eastAsia="ar-SA"/>
        </w:rPr>
        <w:t>Flying squirrel density positively associated with snag density</w:t>
      </w:r>
    </w:p>
    <w:p w:rsidR="00861A1C" w:rsidRPr="00861A1C" w:rsidRDefault="00861A1C" w:rsidP="00861A1C">
      <w:pPr>
        <w:numPr>
          <w:ilvl w:val="0"/>
          <w:numId w:val="10"/>
        </w:numPr>
        <w:suppressAutoHyphens/>
        <w:spacing w:line="240" w:lineRule="auto"/>
        <w:rPr>
          <w:rFonts w:eastAsia="-moz-fixed" w:cs="-moz-fixed"/>
          <w:szCs w:val="24"/>
          <w:lang w:val="en-US" w:eastAsia="ar-SA"/>
        </w:rPr>
      </w:pPr>
      <w:r w:rsidRPr="00861A1C">
        <w:rPr>
          <w:rFonts w:eastAsia="-moz-fixed" w:cs="-moz-fixed"/>
          <w:szCs w:val="24"/>
          <w:lang w:val="en-US" w:eastAsia="ar-SA"/>
        </w:rPr>
        <w:t>Snags rare in thinned stands</w:t>
      </w:r>
    </w:p>
    <w:p w:rsidR="00861A1C" w:rsidRPr="00861A1C" w:rsidRDefault="00861A1C" w:rsidP="00861A1C">
      <w:pPr>
        <w:numPr>
          <w:ilvl w:val="0"/>
          <w:numId w:val="10"/>
        </w:numPr>
        <w:suppressAutoHyphens/>
        <w:spacing w:line="240" w:lineRule="auto"/>
        <w:rPr>
          <w:rFonts w:eastAsia="-moz-fixed" w:cs="-moz-fixed"/>
          <w:szCs w:val="24"/>
          <w:lang w:val="en-US" w:eastAsia="ar-SA"/>
        </w:rPr>
      </w:pPr>
      <w:r w:rsidRPr="00861A1C">
        <w:rPr>
          <w:rFonts w:eastAsia="-moz-fixed" w:cs="-moz-fixed"/>
          <w:szCs w:val="24"/>
          <w:lang w:val="en-US" w:eastAsia="ar-SA"/>
        </w:rPr>
        <w:t>Thinning causes decrease in density-dependent mortality</w:t>
      </w:r>
    </w:p>
    <w:p w:rsidR="00861A1C" w:rsidRPr="00861A1C" w:rsidRDefault="00861A1C" w:rsidP="00861A1C">
      <w:pPr>
        <w:suppressAutoHyphens/>
        <w:spacing w:line="240" w:lineRule="auto"/>
        <w:ind w:left="360"/>
        <w:rPr>
          <w:rFonts w:eastAsia="-moz-fixed" w:cs="-moz-fixed"/>
          <w:szCs w:val="24"/>
          <w:lang w:val="en-US" w:eastAsia="ar-SA"/>
        </w:rPr>
      </w:pPr>
      <w:r w:rsidRPr="00861A1C">
        <w:rPr>
          <w:rFonts w:eastAsia="-moz-fixed" w:cs="-moz-fixed"/>
          <w:szCs w:val="24"/>
          <w:lang w:val="en-US" w:eastAsia="ar-SA"/>
        </w:rPr>
        <w:t>…</w:t>
      </w:r>
    </w:p>
    <w:p w:rsidR="00861A1C" w:rsidRPr="00861A1C" w:rsidRDefault="00861A1C" w:rsidP="00861A1C">
      <w:pPr>
        <w:numPr>
          <w:ilvl w:val="0"/>
          <w:numId w:val="10"/>
        </w:numPr>
        <w:suppressAutoHyphens/>
        <w:spacing w:line="240" w:lineRule="auto"/>
        <w:rPr>
          <w:rFonts w:eastAsia="-moz-fixed" w:cs="-moz-fixed"/>
          <w:szCs w:val="24"/>
          <w:lang w:val="en-US" w:eastAsia="ar-SA"/>
        </w:rPr>
      </w:pPr>
      <w:r w:rsidRPr="00861A1C">
        <w:rPr>
          <w:rFonts w:eastAsia="-moz-fixed" w:cs="-moz-fixed"/>
          <w:szCs w:val="24"/>
          <w:lang w:val="en-US" w:eastAsia="ar-SA"/>
        </w:rPr>
        <w:t>Canopy gaps = exposure to predators</w:t>
      </w:r>
    </w:p>
    <w:p w:rsidR="00861A1C" w:rsidRPr="00861A1C" w:rsidRDefault="00861A1C" w:rsidP="00861A1C">
      <w:pPr>
        <w:numPr>
          <w:ilvl w:val="0"/>
          <w:numId w:val="10"/>
        </w:numPr>
        <w:suppressAutoHyphens/>
        <w:spacing w:line="240" w:lineRule="auto"/>
        <w:rPr>
          <w:rFonts w:eastAsia="-moz-fixed" w:cs="-moz-fixed"/>
          <w:szCs w:val="24"/>
          <w:lang w:val="en-US" w:eastAsia="ar-SA"/>
        </w:rPr>
      </w:pPr>
      <w:r w:rsidRPr="00861A1C">
        <w:rPr>
          <w:rFonts w:eastAsia="-moz-fixed" w:cs="-moz-fixed"/>
          <w:szCs w:val="24"/>
          <w:lang w:val="en-US" w:eastAsia="ar-SA"/>
        </w:rPr>
        <w:t>Tree trunks = safety</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Tom Manning, Joan Hagar, Brenda </w:t>
      </w:r>
      <w:proofErr w:type="spellStart"/>
      <w:r w:rsidRPr="00861A1C">
        <w:rPr>
          <w:rFonts w:eastAsia="-moz-fixed" w:cs="-moz-fixed"/>
          <w:szCs w:val="24"/>
          <w:lang w:val="en-US" w:eastAsia="ar-SA"/>
        </w:rPr>
        <w:t>McComb</w:t>
      </w:r>
      <w:proofErr w:type="spellEnd"/>
      <w:r w:rsidRPr="00861A1C">
        <w:rPr>
          <w:rFonts w:eastAsia="-moz-fixed" w:cs="-moz-fixed"/>
          <w:szCs w:val="24"/>
          <w:lang w:val="en-US" w:eastAsia="ar-SA"/>
        </w:rPr>
        <w:t xml:space="preserve"> 2012 spotted owl prey workshop. Flying Squirrel Response to Thinning in the Oregon Cascades. </w:t>
      </w:r>
      <w:hyperlink r:id="rId43" w:history="1">
        <w:r w:rsidRPr="00861A1C">
          <w:rPr>
            <w:rFonts w:eastAsia="-moz-fixed" w:cs="-moz-fixed"/>
            <w:color w:val="0000FF"/>
            <w:szCs w:val="24"/>
            <w:u w:val="single"/>
            <w:lang w:val="en-US" w:eastAsia="ar-SA"/>
          </w:rPr>
          <w:t>http://ecoshare.info/wp-content/uploads/2012/08/Commercial-thinning_flying-squirrels.ppt</w:t>
        </w:r>
      </w:hyperlink>
      <w:r w:rsidRPr="00861A1C">
        <w:rPr>
          <w:rFonts w:eastAsia="-moz-fixed" w:cs="-moz-fixed"/>
          <w:szCs w:val="24"/>
          <w:lang w:val="en-US" w:eastAsia="ar-SA"/>
        </w:rPr>
        <w:t xml:space="preserve">; </w:t>
      </w:r>
      <w:hyperlink r:id="rId44" w:history="1">
        <w:r w:rsidRPr="00861A1C">
          <w:rPr>
            <w:rFonts w:eastAsia="-moz-fixed" w:cs="-moz-fixed"/>
            <w:color w:val="0000FF"/>
            <w:szCs w:val="24"/>
            <w:u w:val="single"/>
            <w:lang w:val="en-US" w:eastAsia="ar-SA"/>
          </w:rPr>
          <w:t>http://ecoshare.info/projects/central-cascade-adaptive-management-partnership/workshops/spotted-owl/</w:t>
        </w:r>
      </w:hyperlink>
      <w:r w:rsidRPr="00861A1C">
        <w:rPr>
          <w:rFonts w:eastAsia="-moz-fixed" w:cs="-moz-fixed"/>
          <w:szCs w:val="24"/>
          <w:lang w:val="en-US" w:eastAsia="ar-SA"/>
        </w:rPr>
        <w:t xml:space="preserve">. See also, Tom Manning, Joan C. Hagar, and Brenda C. </w:t>
      </w:r>
      <w:proofErr w:type="spellStart"/>
      <w:r w:rsidRPr="00861A1C">
        <w:rPr>
          <w:rFonts w:eastAsia="-moz-fixed" w:cs="-moz-fixed"/>
          <w:szCs w:val="24"/>
          <w:lang w:val="en-US" w:eastAsia="ar-SA"/>
        </w:rPr>
        <w:t>McComb</w:t>
      </w:r>
      <w:proofErr w:type="spellEnd"/>
      <w:r w:rsidRPr="00861A1C">
        <w:rPr>
          <w:rFonts w:eastAsia="-moz-fixed" w:cs="-moz-fixed"/>
          <w:szCs w:val="24"/>
          <w:lang w:val="en-US" w:eastAsia="ar-SA"/>
        </w:rPr>
        <w:t xml:space="preserve">. 2011. Thinning of Young Douglas-fir Forests Decreases Density of Northern Flying </w:t>
      </w:r>
      <w:r w:rsidRPr="00861A1C">
        <w:rPr>
          <w:rFonts w:eastAsia="-moz-fixed" w:cs="-moz-fixed"/>
          <w:szCs w:val="24"/>
          <w:lang w:val="en-US" w:eastAsia="ar-SA"/>
        </w:rPr>
        <w:lastRenderedPageBreak/>
        <w:t xml:space="preserve">Squirrels in the Oregon Cascades, [FORECO9370, revised Aug 2011] </w:t>
      </w:r>
      <w:hyperlink r:id="rId45" w:history="1">
        <w:r w:rsidRPr="00861A1C">
          <w:rPr>
            <w:rFonts w:eastAsia="-moz-fixed" w:cs="-moz-fixed"/>
            <w:color w:val="0000FF"/>
            <w:szCs w:val="24"/>
            <w:u w:val="single"/>
            <w:lang w:val="en-US" w:eastAsia="ar-SA"/>
          </w:rPr>
          <w:t>https://andrewsforest.oregonstate.edu/sites/default/files/lter/pubs/pdf/pub4783.pdf</w:t>
        </w:r>
      </w:hyperlink>
      <w:r w:rsidRPr="00861A1C">
        <w:rPr>
          <w:rFonts w:eastAsia="-moz-fixed" w:cs="-moz-fixed"/>
          <w:szCs w:val="24"/>
          <w:lang w:val="en-US" w:eastAsia="ar-SA"/>
        </w:rPr>
        <w:t xml:space="preserve"> </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Wilson &amp; Forsman 2013 state (“thinning reduces the abundance of some tree-dwelling rodents, especially Northern Flying Squirrels (</w:t>
      </w:r>
      <w:proofErr w:type="spellStart"/>
      <w:r w:rsidRPr="00861A1C">
        <w:rPr>
          <w:rFonts w:eastAsia="-moz-fixed" w:cs="-moz-fixed"/>
          <w:szCs w:val="20"/>
          <w:lang w:val="en-US" w:eastAsia="ar-SA"/>
        </w:rPr>
        <w:t>Glaucomys</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sabrinus</w:t>
      </w:r>
      <w:proofErr w:type="spellEnd"/>
      <w:r w:rsidRPr="00861A1C">
        <w:rPr>
          <w:rFonts w:eastAsia="-moz-fixed" w:cs="-moz-fixed"/>
          <w:szCs w:val="20"/>
          <w:lang w:val="en-US" w:eastAsia="ar-SA"/>
        </w:rPr>
        <w:t>) and Red Tree Voles (</w:t>
      </w:r>
      <w:proofErr w:type="spellStart"/>
      <w:r w:rsidRPr="00861A1C">
        <w:rPr>
          <w:rFonts w:eastAsia="-moz-fixed" w:cs="-moz-fixed"/>
          <w:szCs w:val="20"/>
          <w:lang w:val="en-US" w:eastAsia="ar-SA"/>
        </w:rPr>
        <w:t>Arborimus</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longicaudus</w:t>
      </w:r>
      <w:proofErr w:type="spellEnd"/>
      <w:r w:rsidRPr="00861A1C">
        <w:rPr>
          <w:rFonts w:eastAsia="-moz-fixed" w:cs="-moz-fixed"/>
          <w:szCs w:val="20"/>
          <w:lang w:val="en-US" w:eastAsia="ar-SA"/>
        </w:rPr>
        <w:t>), that are important prey species for Northern Spotted Owls (</w:t>
      </w:r>
      <w:proofErr w:type="spellStart"/>
      <w:r w:rsidRPr="00861A1C">
        <w:rPr>
          <w:rFonts w:eastAsia="-moz-fixed" w:cs="-moz-fixed"/>
          <w:szCs w:val="20"/>
          <w:lang w:val="en-US" w:eastAsia="ar-SA"/>
        </w:rPr>
        <w:t>Strix</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occidentalis</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caurina</w:t>
      </w:r>
      <w:proofErr w:type="spellEnd"/>
      <w:r w:rsidRPr="00861A1C">
        <w:rPr>
          <w:rFonts w:eastAsia="-moz-fixed" w:cs="-moz-fixed"/>
          <w:szCs w:val="20"/>
          <w:lang w:val="en-US" w:eastAsia="ar-SA"/>
        </w:rPr>
        <w:t xml:space="preserve">).” Wilson, Todd M.; Forsman, Eric D. 2013. Thinning effects on spotted owl prey and other forest-dwelling small mammals. In: Anderson, Paul D.; </w:t>
      </w:r>
      <w:proofErr w:type="spellStart"/>
      <w:r w:rsidRPr="00861A1C">
        <w:rPr>
          <w:rFonts w:eastAsia="-moz-fixed" w:cs="-moz-fixed"/>
          <w:szCs w:val="20"/>
          <w:lang w:val="en-US" w:eastAsia="ar-SA"/>
        </w:rPr>
        <w:t>Ronnenberg</w:t>
      </w:r>
      <w:proofErr w:type="spellEnd"/>
      <w:r w:rsidRPr="00861A1C">
        <w:rPr>
          <w:rFonts w:eastAsia="-moz-fixed" w:cs="-moz-fixed"/>
          <w:szCs w:val="20"/>
          <w:lang w:val="en-US" w:eastAsia="ar-SA"/>
        </w:rPr>
        <w:t xml:space="preserve">, Kathryn L., eds. Density management for the 21st Century: west side story. Gen. Tech. Rep. PNW-GTR-880. Portland, OR: U.S. Department of Agriculture, Forest Service, Pacific Northwest Research Station: 79–90. </w:t>
      </w:r>
      <w:hyperlink r:id="rId46" w:history="1">
        <w:r w:rsidRPr="00861A1C">
          <w:rPr>
            <w:rFonts w:eastAsia="-moz-fixed" w:cs="-moz-fixed"/>
            <w:color w:val="0000FF"/>
            <w:u w:val="single"/>
            <w:lang w:val="en-US" w:eastAsia="ar-SA"/>
          </w:rPr>
          <w:t>https://www.fs.usda.gov/pnw/pubs/pnw_gtr880/pnw_gtr880_009.pdf</w:t>
        </w:r>
      </w:hyperlink>
      <w:r w:rsidRPr="00861A1C">
        <w:rPr>
          <w:rFonts w:eastAsia="-moz-fixed" w:cs="-moz-fixed"/>
          <w:szCs w:val="20"/>
          <w:lang w:val="en-US" w:eastAsia="ar-SA"/>
        </w:rPr>
        <w:t>.</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“Management strategies that involve tree removal, even ones designed to have positive long-term ecological effects, almost always result in reduced squirrel populations. A squirrel-predation connection explains this phenomena …” Wilson, T. 2010. Forest structure is a good indicator of flying squirrel habitat. </w:t>
      </w:r>
      <w:r w:rsidRPr="00861A1C">
        <w:rPr>
          <w:rFonts w:eastAsia="-moz-fixed" w:cs="-moz-fixed"/>
          <w:i/>
          <w:szCs w:val="20"/>
          <w:lang w:val="en-US" w:eastAsia="ar-SA"/>
        </w:rPr>
        <w:t>In</w:t>
      </w:r>
      <w:r w:rsidRPr="00861A1C">
        <w:rPr>
          <w:rFonts w:eastAsia="-moz-fixed" w:cs="-moz-fixed"/>
          <w:szCs w:val="20"/>
          <w:lang w:val="en-US" w:eastAsia="ar-SA"/>
        </w:rPr>
        <w:t xml:space="preserve"> </w:t>
      </w:r>
      <w:proofErr w:type="spellStart"/>
      <w:r w:rsidRPr="00861A1C">
        <w:rPr>
          <w:rFonts w:eastAsia="-moz-fixed" w:cs="-moz-fixed"/>
          <w:szCs w:val="20"/>
          <w:lang w:val="en-US" w:eastAsia="ar-SA"/>
        </w:rPr>
        <w:t>Mazza</w:t>
      </w:r>
      <w:proofErr w:type="spellEnd"/>
      <w:r w:rsidRPr="00861A1C">
        <w:rPr>
          <w:rFonts w:eastAsia="-moz-fixed" w:cs="-moz-fixed"/>
          <w:szCs w:val="20"/>
          <w:lang w:val="en-US" w:eastAsia="ar-SA"/>
        </w:rPr>
        <w:t xml:space="preserve">, Rhonda 2010. 2010 Science Accomplishments Report of the Pacific Northwest Research Station. Portland, OR: U.S. Department of Agriculture, Forest Service, Pacific Northwest Research Station. 88 p. </w:t>
      </w:r>
      <w:hyperlink r:id="rId47" w:history="1">
        <w:r w:rsidRPr="00861A1C">
          <w:rPr>
            <w:rFonts w:eastAsia="-moz-fixed" w:cs="-moz-fixed"/>
            <w:color w:val="0000FF"/>
            <w:szCs w:val="20"/>
            <w:u w:val="single"/>
            <w:lang w:val="en-US" w:eastAsia="ar-SA"/>
          </w:rPr>
          <w:t>https://web.archive.org/web/20170531140755/https://www.fs.fed.us/pnw/pubs/2010-science-accomplishments.pdf</w:t>
        </w:r>
      </w:hyperlink>
      <w:r w:rsidRPr="00861A1C">
        <w:rPr>
          <w:rFonts w:eastAsia="-moz-fixed" w:cs="-moz-fixed"/>
          <w:szCs w:val="20"/>
          <w:lang w:val="en-US" w:eastAsia="ar-SA"/>
        </w:rPr>
        <w:t>.</w:t>
      </w:r>
    </w:p>
    <w:p w:rsidR="00861A1C" w:rsidRPr="00861A1C" w:rsidRDefault="00861A1C"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Twenty years after the spotted owl was listed, there remains an unfortunate dearth of information about the effects of thinning and fuel reduction logging on spotted owls and their prey. There is however, some new information from Andy Carey &amp; Todd Wilson's long-term study of the effects of thinning on flying squirrels at Fort Lewis. On Jan 19, 2011 Todd Wilson gave a presentation in Corvallis </w:t>
      </w:r>
      <w:hyperlink r:id="rId48" w:anchor="_blank" w:history="1">
        <w:r w:rsidRPr="00861A1C">
          <w:rPr>
            <w:rFonts w:eastAsia="-moz-fixed" w:cs="-moz-fixed"/>
            <w:color w:val="0000FF"/>
            <w:szCs w:val="20"/>
            <w:u w:val="single"/>
            <w:lang w:val="en-US" w:eastAsia="ar-SA"/>
          </w:rPr>
          <w:t>on flying squirrels</w:t>
        </w:r>
      </w:hyperlink>
      <w:r w:rsidRPr="00861A1C">
        <w:rPr>
          <w:rFonts w:eastAsia="-moz-fixed" w:cs="-moz-fixed"/>
          <w:szCs w:val="20"/>
          <w:lang w:val="en-US" w:eastAsia="ar-SA"/>
        </w:rPr>
        <w:t xml:space="preserve">. </w:t>
      </w:r>
      <w:hyperlink r:id="rId49" w:history="1">
        <w:r w:rsidRPr="00861A1C">
          <w:rPr>
            <w:rFonts w:eastAsia="-moz-fixed" w:cs="-moz-fixed"/>
            <w:color w:val="0000FF"/>
            <w:szCs w:val="20"/>
            <w:u w:val="single"/>
            <w:lang w:val="en-US" w:eastAsia="ar-SA"/>
          </w:rPr>
          <w:t>http://calendar.oregonstate.edu/event/49175/</w:t>
        </w:r>
      </w:hyperlink>
      <w:r w:rsidRPr="00861A1C">
        <w:rPr>
          <w:rFonts w:eastAsia="-moz-fixed" w:cs="-moz-fixed"/>
          <w:szCs w:val="20"/>
          <w:lang w:val="en-US" w:eastAsia="ar-SA"/>
        </w:rPr>
        <w:t xml:space="preserve"> and the effects of thinning. </w:t>
      </w:r>
      <w:r w:rsidRPr="00861A1C">
        <w:rPr>
          <w:rFonts w:eastAsia="-moz-fixed" w:cs="-moz-fixed"/>
          <w:szCs w:val="20"/>
          <w:lang w:val="en-US" w:eastAsia="ar-SA"/>
        </w:rPr>
        <w:br/>
      </w:r>
      <w:r w:rsidRPr="00861A1C">
        <w:rPr>
          <w:rFonts w:eastAsia="-moz-fixed" w:cs="-moz-fixed"/>
          <w:szCs w:val="20"/>
          <w:lang w:val="en-US" w:eastAsia="ar-SA"/>
        </w:rPr>
        <w:br/>
        <w:t xml:space="preserve">When collecting baseline data in among the young stands in the Fort Lewis study, Andy Carey and Wilson found that stands which had been previously thinned had fewer flying squirrels than those that had not been thinned. After another round of thinning, preliminary results from a few years post-thinning indicated that flying squirrel populations initially declined after thinning, but at the time (a few years ago) they seemed to be rebounding. Now the longer data set shows that the rebound was part of a temporary fluctuation, and the long-term trend shows that the squirrel population continued to decline and remains at very low levels almost two decades after thinning.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In contrast to flying squirrels, chipmunks had a significant positive association with thinning. However, chipmunks are not an important prey item for the spotted owl, probably because they are not nocturnal. Managers must not assume that small mammal biomass is fungible in terms of the spotted owl diet. Todd Wilson's latest findings indicate that if the objective of management is to accelerate development of habitat for spotted owls and their prey, thinning comes with significant trade-offs. </w:t>
      </w:r>
      <w:r w:rsidRPr="00861A1C">
        <w:rPr>
          <w:rFonts w:eastAsia="-moz-fixed" w:cs="-moz-fixed"/>
          <w:szCs w:val="20"/>
          <w:lang w:val="en-US" w:eastAsia="ar-SA"/>
        </w:rPr>
        <w:br/>
      </w:r>
      <w:r w:rsidRPr="00861A1C">
        <w:rPr>
          <w:rFonts w:eastAsia="-moz-fixed" w:cs="-moz-fixed"/>
          <w:szCs w:val="20"/>
          <w:lang w:val="en-US" w:eastAsia="ar-SA"/>
        </w:rPr>
        <w:br/>
        <w:t xml:space="preserve">Wilson's study tried to determine the limiting factors for the squirrel populations and the indicators that we might use to determine habitat quality. The main candidates for limiting factors were food supply, den site availability, and predation. It turns out that predation appears to be the most important limiting factor. Useful indicators of predation risk are: the number of large live trees, cover from predators and the amount of (or lack of) vegetation at the 10 meter intercept within the stand. The 10 meter intercept is a measure of how much foliage and tree boles would intercept an imaginary horizontal plane 33 feet off the ground. This is an indicator </w:t>
      </w:r>
      <w:r w:rsidRPr="00861A1C">
        <w:rPr>
          <w:rFonts w:eastAsia="-moz-fixed" w:cs="-moz-fixed"/>
          <w:szCs w:val="20"/>
          <w:lang w:val="en-US" w:eastAsia="ar-SA"/>
        </w:rPr>
        <w:lastRenderedPageBreak/>
        <w:t xml:space="preserve">of how open the stand is and whether the canopy is multi-aged and multi-layered. It is hypothesized that flying squirrels are less vulnerable to predation where there is more visual occlusion, especially in their diagonal glide paths from the canopy to the ground when they are thought to be particularly vulnerable to predation. Thinning opens the stands and results in a period of several decades when squirrels may be relatively vulnerable to predation and the population is held to very low levels until a new cohort of vegetation grows up to occlude the 10 meter intercept. Unthinned stands are better for squirrels in the short term because there may be some visual occlusion and cover provided by tree boles, tall shrubs, suppressed trees, hardwoods, etc. Wilson said that simple visual occlusion might be a good indicator of quality habitat for flying squirrels. If you can see a long ways (as you can after thinning) then it's probably not very good squirrel habitat because there's not much cover </w:t>
      </w:r>
      <w:r w:rsidRPr="00861A1C">
        <w:rPr>
          <w:rFonts w:ascii="Times New Roman" w:eastAsia="-moz-fixed" w:hAnsi="Times New Roman" w:cs="Times New Roman"/>
          <w:color w:val="222222"/>
          <w:szCs w:val="24"/>
          <w:lang w:val="en-US" w:eastAsia="ar-SA"/>
        </w:rPr>
        <w:t>from</w:t>
      </w:r>
      <w:r w:rsidRPr="00861A1C">
        <w:rPr>
          <w:rFonts w:eastAsia="-moz-fixed" w:cs="-moz-fixed"/>
          <w:szCs w:val="20"/>
          <w:lang w:val="en-US" w:eastAsia="ar-SA"/>
        </w:rPr>
        <w:t xml:space="preserve"> predators, but if you can't see very far into a stand then it may indicate higher quality squirrel habitat.</w:t>
      </w:r>
      <w:r w:rsidRPr="00861A1C">
        <w:rPr>
          <w:rFonts w:eastAsia="-moz-fixed" w:cs="-moz-fixed"/>
          <w:szCs w:val="20"/>
          <w:lang w:val="en-US" w:eastAsia="ar-SA"/>
        </w:rPr>
        <w:br/>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Todd Wilson’s PhD dissertation says: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Forests that supported high squirrel abundances generally exhibited high amounts of multi-dimensional structure in the midstory and overstory layers, low to moderate amounts of understory, and few canopy gaps. Three variables, variance in overstory tree </w:t>
      </w:r>
      <w:proofErr w:type="spellStart"/>
      <w:r w:rsidRPr="00861A1C">
        <w:rPr>
          <w:rFonts w:eastAsia="-moz-fixed" w:cs="-moz-fixed"/>
          <w:szCs w:val="20"/>
          <w:lang w:val="en-US" w:eastAsia="ar-SA"/>
        </w:rPr>
        <w:t>d.b.h</w:t>
      </w:r>
      <w:proofErr w:type="spellEnd"/>
      <w:r w:rsidRPr="00861A1C">
        <w:rPr>
          <w:rFonts w:eastAsia="-moz-fixed" w:cs="-moz-fixed"/>
          <w:szCs w:val="20"/>
          <w:lang w:val="en-US" w:eastAsia="ar-SA"/>
        </w:rPr>
        <w:t>., area intercept at 10-m above ground, and amount of canopy gaps ≥100m2 could correctly classify 97% of the stands as supporting either high or low squirrel abundances.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Variable-density thinning did not promote habitat conditions for flying squirrels 12 years after treatment. … insufficient time had passed for development of a substantive midstory layer of trees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However, both univariate and multivariate analyses showed a negative relationship between understory growth and flying squirrel abundance.</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Stands that supported high abundances of flying squirrels were comprised of two general forest conditions: (1) a “ground-to-crown” multi-species forest with a multi-layered canopy, variable midstory and patchy understory and (2) dense, closed-canopy forest with high bole density and little or no understory or mid-story.</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Forest structure provides the interface for interactions between flying squirrels and predators on several levels. … High quantities of structure, found in both complex forest and forest with high bole density, provide occlusion that can reduce visual detection. Structure also dampens and deflects acoustical signals, limiting aural detection … Structure can also be important in dispersing scent. … [C]</w:t>
      </w:r>
      <w:proofErr w:type="spellStart"/>
      <w:r w:rsidRPr="00861A1C">
        <w:rPr>
          <w:rFonts w:eastAsia="-moz-fixed" w:cs="-moz-fixed"/>
          <w:szCs w:val="20"/>
          <w:lang w:val="en-US" w:eastAsia="ar-SA"/>
        </w:rPr>
        <w:t>omplex</w:t>
      </w:r>
      <w:proofErr w:type="spellEnd"/>
      <w:r w:rsidRPr="00861A1C">
        <w:rPr>
          <w:rFonts w:eastAsia="-moz-fixed" w:cs="-moz-fixed"/>
          <w:szCs w:val="20"/>
          <w:lang w:val="en-US" w:eastAsia="ar-SA"/>
        </w:rPr>
        <w:t xml:space="preserve"> canopies disperse scent more effectively than simplified canopies due to wind turbulence brought on by variation of tree heights and gaps (Conover 2007, Miller et al. 1991, Stacey et al. 1994). Thus, quantity and complexity of forest structure can help limit the ability of predators to detect squirrels by sight, sound, or smell.</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Finally, an indirect but important link between forest structure and predation is the inverse relationship between overstory structure and understory development. On the FES, not only did increased understory development result from decreases in overstory structural complexity (due to increased spacing between trees from thinning as well as canopy gaps formed by root rot treatment and natural root rot expansion), but it also resulted in increases in abundances of many forest-floor dwelling prey species like mice, voles, and chipmunks (Carey 2001, Wilson and Carey 2000, </w:t>
      </w:r>
      <w:proofErr w:type="spellStart"/>
      <w:r w:rsidRPr="00861A1C">
        <w:rPr>
          <w:rFonts w:eastAsia="-moz-fixed" w:cs="-moz-fixed"/>
          <w:szCs w:val="20"/>
          <w:lang w:val="en-US" w:eastAsia="ar-SA"/>
        </w:rPr>
        <w:t>Palazzotto</w:t>
      </w:r>
      <w:proofErr w:type="spellEnd"/>
      <w:r w:rsidRPr="00861A1C">
        <w:rPr>
          <w:rFonts w:eastAsia="-moz-fixed" w:cs="-moz-fixed"/>
          <w:szCs w:val="20"/>
          <w:lang w:val="en-US" w:eastAsia="ar-SA"/>
        </w:rPr>
        <w:t xml:space="preserve"> and Wilson, in </w:t>
      </w:r>
      <w:proofErr w:type="spellStart"/>
      <w:r w:rsidRPr="00861A1C">
        <w:rPr>
          <w:rFonts w:eastAsia="-moz-fixed" w:cs="-moz-fixed"/>
          <w:szCs w:val="20"/>
          <w:lang w:val="en-US" w:eastAsia="ar-SA"/>
        </w:rPr>
        <w:t>litt</w:t>
      </w:r>
      <w:proofErr w:type="spellEnd"/>
      <w:r w:rsidRPr="00861A1C">
        <w:rPr>
          <w:rFonts w:eastAsia="-moz-fixed" w:cs="-moz-fixed"/>
          <w:szCs w:val="20"/>
          <w:lang w:val="en-US" w:eastAsia="ar-SA"/>
        </w:rPr>
        <w:t xml:space="preserve">.). This in turn may have increased the attractiveness of these sites to both avian and mammalian predators which could opportunistically prey on flying squirrels that became </w:t>
      </w:r>
      <w:r w:rsidRPr="00861A1C">
        <w:rPr>
          <w:rFonts w:eastAsia="-moz-fixed" w:cs="-moz-fixed"/>
          <w:szCs w:val="20"/>
          <w:lang w:val="en-US" w:eastAsia="ar-SA"/>
        </w:rPr>
        <w:lastRenderedPageBreak/>
        <w:t>more exposed to predation risk. It could also result in spillover predation into adjacent, non-thinned stands. This may, in part, explain why control stands on the FES, even though generally remaining higher than treated stands, followed similar population declines relative to treated stands after thinning.</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Without midstory canopies, tree boles become the sole source of occlusion at this vertical layer. In competitive exclusion forest, high densities of relatively small boles (from both live and dead trees) can be sufficiently high to provide substantial occlusion</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Thick vegetation can provide overhead protective cover while squirrels are foraging on the ground. However the </w:t>
      </w:r>
      <w:proofErr w:type="spellStart"/>
      <w:r w:rsidRPr="00861A1C">
        <w:rPr>
          <w:rFonts w:eastAsia="-moz-fixed" w:cs="-moz-fixed"/>
          <w:szCs w:val="20"/>
          <w:lang w:val="en-US" w:eastAsia="ar-SA"/>
        </w:rPr>
        <w:t>patagium</w:t>
      </w:r>
      <w:proofErr w:type="spellEnd"/>
      <w:r w:rsidRPr="00861A1C">
        <w:rPr>
          <w:rFonts w:eastAsia="-moz-fixed" w:cs="-moz-fixed"/>
          <w:szCs w:val="20"/>
          <w:lang w:val="en-US" w:eastAsia="ar-SA"/>
        </w:rPr>
        <w:t xml:space="preserve"> of flying squirrels makes ground travel awkward compared to other squirrels, and there is likely a trade-off between amount of understory and increased noise while traveling on the ground which may attract predators. During this study, technicians could often hear squirrels move through thick woody understory. A patchy understory, resulting from complex midstory and overstory layers may provide the best balance among protective cover, food resources, and a squirrel’s ability to move undetected on the forest floor.</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 found no strong correlation between squirrel abundance and large fallen trees. … [A]</w:t>
      </w:r>
      <w:proofErr w:type="spellStart"/>
      <w:r w:rsidRPr="00861A1C">
        <w:rPr>
          <w:rFonts w:eastAsia="-moz-fixed" w:cs="-moz-fixed"/>
          <w:szCs w:val="20"/>
          <w:lang w:val="en-US" w:eastAsia="ar-SA"/>
        </w:rPr>
        <w:t>lthough</w:t>
      </w:r>
      <w:proofErr w:type="spellEnd"/>
      <w:r w:rsidRPr="00861A1C">
        <w:rPr>
          <w:rFonts w:eastAsia="-moz-fixed" w:cs="-moz-fixed"/>
          <w:szCs w:val="20"/>
          <w:lang w:val="en-US" w:eastAsia="ar-SA"/>
        </w:rPr>
        <w:t xml:space="preserve"> large fallen trees could enhance squirrel habitat (e.g., by serving as hosts for fungi and protective cover or travel pathways on the forest floor), it might only do so in forests that maintain high structural occlusion and not if it comes at the expense of greatly opening up the canopy.</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Some caution appears warranted in the short-term when using thinning to reach long-term forest management goals, including those under the Northwest Forest Plan. Variable-density thinning can have rapid, positive effects for many forest-floor prey species (e.g., mice, voles, chipmunks, neotropical and resident songbirds), especially due to increased understory development (e.g., Carey 2001, Carey and Wilson 2001, </w:t>
      </w:r>
      <w:proofErr w:type="spellStart"/>
      <w:r w:rsidRPr="00861A1C">
        <w:rPr>
          <w:rFonts w:eastAsia="-moz-fixed" w:cs="-moz-fixed"/>
          <w:szCs w:val="20"/>
          <w:lang w:val="en-US" w:eastAsia="ar-SA"/>
        </w:rPr>
        <w:t>Haveri</w:t>
      </w:r>
      <w:proofErr w:type="spellEnd"/>
      <w:r w:rsidRPr="00861A1C">
        <w:rPr>
          <w:rFonts w:eastAsia="-moz-fixed" w:cs="-moz-fixed"/>
          <w:szCs w:val="20"/>
          <w:lang w:val="en-US" w:eastAsia="ar-SA"/>
        </w:rPr>
        <w:t xml:space="preserve"> and Carey 2000). However, like most other thinnings, variable-density thinning appeared to keep squirrel populations suppressed and may do so for several decades until long-term ecological processes provides sufficient structural complexity in the midstory and overstory favorable to squirrels.</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An important key to the success of variable-density thinning in accelerating squirrel habitat may be focusing early on stimulating mid-story development throughout the stand.</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squirrel abundance may be much more critical than squirrel presence in a given forest in terms of their ability as a species to fulfill important ecological roles, including serving as abundant prey for spotted owls and other predators, and for promoting fungal diversity.</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landscape-level strategies that can help transition forests from highly-permeable low-quality habitat to highly-permeable high-quality habitat for flying squirrels over the next several decades. Such strategies might include: (1) keeping some high stem-density young forests on the landscape to provide moderate to high squirrel populations in the short term … ; continue the use of variable-density thinning to promote long-term habitat benefits for squirrels but consider landscape context (stand age, rotation, and juxtaposition) to help facilitate rapid recolonization of thinned stands once stands develop conditions favorable to squirrels …</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lastRenderedPageBreak/>
        <w:t xml:space="preserve">It is also possible that silvicultural prescriptions could ameliorate some of the negative short-term effects of thinning by focusing on strategies that keep visual occlusion high while still promoting the structural processes that lead to complex forest … This study provides empirical data upon which such prescriptions might be designed and tested. High-quality squirrel habitat that supported moderate to high densities of flying squirrels exhibited: (1) presence of midstory trees, deep crowns and high stem density that provide high structural occlusion 10-20m above the ground, (2) &lt;20% non-creek canopy gaps (as defined by this study—note that percent canopy cover could be less than what is implied here) for multi-layered forest and &lt;15% canopy gaps for high-stem density forest without a mid-story, and (3) few canopy gaps ≥400m2. A silvicultural prescription might include: (1) leaving patches of forest intact (skips) to provide continued horizontal occlusion after treatment (sufficient to limit visibility within the skips and between gaps); (2) keeping gap sizes small (100-400m2), (3) retaining a range of tree size classes rather than thinning from below to promote only the largest trees, and (4) promoting development of shade-tolerant species throughout the stand. Such a prescription might provide sufficient structure to limit predation in the short term, while still helping to accelerate the development of </w:t>
      </w:r>
      <w:proofErr w:type="spellStart"/>
      <w:r w:rsidRPr="00861A1C">
        <w:rPr>
          <w:rFonts w:eastAsia="-moz-fixed" w:cs="-moz-fixed"/>
          <w:szCs w:val="20"/>
          <w:lang w:val="en-US" w:eastAsia="ar-SA"/>
        </w:rPr>
        <w:t>longterm</w:t>
      </w:r>
      <w:proofErr w:type="spellEnd"/>
      <w:r w:rsidRPr="00861A1C">
        <w:rPr>
          <w:rFonts w:eastAsia="-moz-fixed" w:cs="-moz-fixed"/>
          <w:szCs w:val="20"/>
          <w:lang w:val="en-US" w:eastAsia="ar-SA"/>
        </w:rPr>
        <w:t xml:space="preserve"> structural complexity in the stand over the long term. A skip-small gap strategy may be most successful in young stands with high stem density, in stands where dead branches of existing trees persist well below the live crown of the overstory, and in mixed-conifer stands where shade-tolerant conifers are already present at layers below the dominant tree crowns. In each of these cases, there is potential to keep occlusion in the mid-story layers relatively high after thinning.</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A skip-small gap prescription may also be useful in xeric forest where thinning and prescribed fires are being used to reduce heavy fuel loads that have resulted from more than a century of fire suppression (</w:t>
      </w:r>
      <w:proofErr w:type="spellStart"/>
      <w:r w:rsidRPr="00861A1C">
        <w:rPr>
          <w:rFonts w:eastAsia="-moz-fixed" w:cs="-moz-fixed"/>
          <w:szCs w:val="20"/>
          <w:lang w:val="en-US" w:eastAsia="ar-SA"/>
        </w:rPr>
        <w:t>Hessburg</w:t>
      </w:r>
      <w:proofErr w:type="spellEnd"/>
      <w:r w:rsidRPr="00861A1C">
        <w:rPr>
          <w:rFonts w:eastAsia="-moz-fixed" w:cs="-moz-fixed"/>
          <w:szCs w:val="20"/>
          <w:lang w:val="en-US" w:eastAsia="ar-SA"/>
        </w:rPr>
        <w:t xml:space="preserve"> and Agee 2003). </w:t>
      </w:r>
      <w:proofErr w:type="spellStart"/>
      <w:r w:rsidRPr="00861A1C">
        <w:rPr>
          <w:rFonts w:eastAsia="-moz-fixed" w:cs="-moz-fixed"/>
          <w:szCs w:val="20"/>
          <w:lang w:val="en-US" w:eastAsia="ar-SA"/>
        </w:rPr>
        <w:t>Lehmkuhl</w:t>
      </w:r>
      <w:proofErr w:type="spellEnd"/>
      <w:r w:rsidRPr="00861A1C">
        <w:rPr>
          <w:rFonts w:eastAsia="-moz-fixed" w:cs="-moz-fixed"/>
          <w:szCs w:val="20"/>
          <w:lang w:val="en-US" w:eastAsia="ar-SA"/>
        </w:rPr>
        <w:t xml:space="preserve"> et al. (2006) suggested that patchy harvesting of trees to reduce fuel loads might help keep flying squirrels on the landscape after such treatments. My study supports their hypothesis, but also suggests that the scale of patchiness would be important as would be the retention of structural occlusion in the patches that are not harvested. Leaving patches of high-occlusion forest is consistent with the structurally diverse conditions that can result under some naturally-occurring fire regimes that keep fire fuel loads low (Agee 1993, </w:t>
      </w:r>
      <w:proofErr w:type="spellStart"/>
      <w:r w:rsidRPr="00861A1C">
        <w:rPr>
          <w:rFonts w:eastAsia="-moz-fixed" w:cs="-moz-fixed"/>
          <w:szCs w:val="20"/>
          <w:lang w:val="en-US" w:eastAsia="ar-SA"/>
        </w:rPr>
        <w:t>Harrod</w:t>
      </w:r>
      <w:proofErr w:type="spellEnd"/>
      <w:r w:rsidRPr="00861A1C">
        <w:rPr>
          <w:rFonts w:eastAsia="-moz-fixed" w:cs="-moz-fixed"/>
          <w:szCs w:val="20"/>
          <w:lang w:val="en-US" w:eastAsia="ar-SA"/>
        </w:rPr>
        <w:t xml:space="preserve"> et al. 1999, White 1985) but is markedly different than commonly used fuel-reduction strategies that focus instead on wide-scale removal of surface, ladder, and crown fuels (e.g., Peterson et al. 2005) that reduce overall structural occlusion throughout a stand.</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managing for structural complexity that provides protective cover can in large part be a surrogate for managing for food resources</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Wilson, T. 2008. Limiting Factors For Northern Flying Squirrels (</w:t>
      </w:r>
      <w:proofErr w:type="spellStart"/>
      <w:r w:rsidRPr="00861A1C">
        <w:rPr>
          <w:rFonts w:eastAsia="-moz-fixed" w:cs="-moz-fixed"/>
          <w:i/>
          <w:szCs w:val="20"/>
          <w:lang w:val="en-US" w:eastAsia="ar-SA"/>
        </w:rPr>
        <w:t>Glaucomys</w:t>
      </w:r>
      <w:proofErr w:type="spellEnd"/>
      <w:r w:rsidRPr="00861A1C">
        <w:rPr>
          <w:rFonts w:eastAsia="-moz-fixed" w:cs="-moz-fixed"/>
          <w:i/>
          <w:szCs w:val="20"/>
          <w:lang w:val="en-US" w:eastAsia="ar-SA"/>
        </w:rPr>
        <w:t xml:space="preserve"> </w:t>
      </w:r>
      <w:proofErr w:type="spellStart"/>
      <w:r w:rsidRPr="00861A1C">
        <w:rPr>
          <w:rFonts w:eastAsia="-moz-fixed" w:cs="-moz-fixed"/>
          <w:i/>
          <w:szCs w:val="20"/>
          <w:lang w:val="en-US" w:eastAsia="ar-SA"/>
        </w:rPr>
        <w:t>Sabrinus</w:t>
      </w:r>
      <w:proofErr w:type="spellEnd"/>
      <w:r w:rsidRPr="00861A1C">
        <w:rPr>
          <w:rFonts w:eastAsia="-moz-fixed" w:cs="-moz-fixed"/>
          <w:szCs w:val="20"/>
          <w:lang w:val="en-US" w:eastAsia="ar-SA"/>
        </w:rPr>
        <w:t xml:space="preserve">) In The Pacific Northwest: A </w:t>
      </w:r>
      <w:proofErr w:type="spellStart"/>
      <w:r w:rsidRPr="00861A1C">
        <w:rPr>
          <w:rFonts w:eastAsia="-moz-fixed" w:cs="-moz-fixed"/>
          <w:szCs w:val="20"/>
          <w:lang w:val="en-US" w:eastAsia="ar-SA"/>
        </w:rPr>
        <w:t>Spatio</w:t>
      </w:r>
      <w:proofErr w:type="spellEnd"/>
      <w:r w:rsidRPr="00861A1C">
        <w:rPr>
          <w:rFonts w:eastAsia="-moz-fixed" w:cs="-moz-fixed"/>
          <w:szCs w:val="20"/>
          <w:lang w:val="en-US" w:eastAsia="ar-SA"/>
        </w:rPr>
        <w:t xml:space="preserve">-Temporal Analysis. PhD Dissertation. Union Institute &amp; University, Cincinnati, Ohio. </w:t>
      </w:r>
      <w:hyperlink r:id="rId50" w:history="1">
        <w:r w:rsidRPr="00861A1C">
          <w:rPr>
            <w:rFonts w:eastAsia="-moz-fixed" w:cs="-moz-fixed"/>
            <w:color w:val="0000FF"/>
            <w:szCs w:val="20"/>
            <w:u w:val="single"/>
            <w:lang w:val="en-US" w:eastAsia="ar-SA"/>
          </w:rPr>
          <w:t>http://andrewsforest.oregonstate.edu/pubs/pdf/pub4617.pdf</w:t>
        </w:r>
      </w:hyperlink>
      <w:r w:rsidRPr="00861A1C">
        <w:rPr>
          <w:rFonts w:eastAsia="-moz-fixed" w:cs="-moz-fixed"/>
          <w:szCs w:val="20"/>
          <w:lang w:val="en-US" w:eastAsia="ar-SA"/>
        </w:rPr>
        <w:t>.</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br/>
        <w:t>Wilson suggests that to mitigate for the effects of thinning, managers should focus on young stands and retain unthinned "skips" in restoration thinning projects. The concept of untreated skips is acknowledged and used by the agencies, but there is no systematic way to determine the appropriate mix of treated and untreated areas. The agencies are implementing a widespread program of aggressive thinning in young stands but the application of skips is haphazard. The agencies do not know whether "some" skips (the arbitrary amount left due to operational limitations) is "enough" skips to perpetuate squirrels at levels needed by spotted owls.</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Todd Wilson’s findings are supported by new research Tom Manning, Joan C. Hagar, and Brenda C. </w:t>
      </w:r>
      <w:proofErr w:type="spellStart"/>
      <w:r w:rsidRPr="00861A1C">
        <w:rPr>
          <w:rFonts w:eastAsia="-moz-fixed" w:cs="-moz-fixed"/>
          <w:szCs w:val="20"/>
          <w:lang w:val="en-US" w:eastAsia="ar-SA"/>
        </w:rPr>
        <w:t>McComb</w:t>
      </w:r>
      <w:proofErr w:type="spellEnd"/>
      <w:r w:rsidRPr="00861A1C">
        <w:rPr>
          <w:rFonts w:eastAsia="-moz-fixed" w:cs="-moz-fixed"/>
          <w:szCs w:val="20"/>
          <w:lang w:val="en-US" w:eastAsia="ar-SA"/>
        </w:rPr>
        <w:t xml:space="preserve">. 2011. Thinning of Young Douglas-fir Forests Decreases Density of Northern Flying Squirrels in the Oregon Cascades, [FORECO9370, revised Aug 2011] </w:t>
      </w:r>
      <w:hyperlink r:id="rId51" w:history="1">
        <w:r w:rsidRPr="00861A1C">
          <w:rPr>
            <w:rFonts w:eastAsia="-moz-fixed" w:cs="-moz-fixed"/>
            <w:color w:val="0000FF"/>
            <w:szCs w:val="20"/>
            <w:u w:val="single"/>
            <w:lang w:val="en-US" w:eastAsia="ar-SA"/>
          </w:rPr>
          <w:t>https://andrewsforest.oregonstate.edu/sites/default/files/lter/pubs/pdf/pub4783.pdf</w:t>
        </w:r>
      </w:hyperlink>
      <w:r w:rsidRPr="00861A1C">
        <w:rPr>
          <w:rFonts w:eastAsia="-moz-fixed" w:cs="-moz-fixed"/>
          <w:szCs w:val="20"/>
          <w:lang w:val="en-US" w:eastAsia="ar-SA"/>
        </w:rPr>
        <w:t>.</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We measured densities of northern flying squirrels 11-13 years after thinning of young (55-65 years) Douglas-fir forest stands in the Cascade Range of Oregon, as part of the Young Stand Thinning &amp; Diversity Study. … Thinning decreased density of northern flying squirrels, and squirrel densities were significantly lower in heavily thinned stands than in more lightly thinned stands. Regression analysis revealed a strong positive relationship of flying squirrel density with density of large (&gt;30 cm diameter) standing dead trees and a negative relationship with % cover of low understory shrubs. Maintaining sufficient area and connectivity of dense, closed canopy forest is recommended as a strategy to assure that long-term goals of promoting late-seral structure do not conflict with short-term habitat requirements of this important species.</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A study in </w:t>
      </w:r>
      <w:r w:rsidRPr="00861A1C">
        <w:rPr>
          <w:rFonts w:eastAsia="-moz-fixed" w:cs="-moz-fixed"/>
          <w:color w:val="222222"/>
          <w:szCs w:val="20"/>
          <w:shd w:val="clear" w:color="auto" w:fill="FFFFFF"/>
          <w:lang w:val="en-US" w:eastAsia="ar-SA"/>
        </w:rPr>
        <w:t xml:space="preserve">conducted in the Sierra Nevada forests of </w:t>
      </w:r>
      <w:r w:rsidRPr="00861A1C">
        <w:rPr>
          <w:rFonts w:eastAsia="-moz-fixed" w:cs="-moz-fixed"/>
          <w:szCs w:val="20"/>
          <w:lang w:val="en-US" w:eastAsia="ar-SA"/>
        </w:rPr>
        <w:t>California suggests that landscape heterogeneity may compensate for the effects of thinning on Northern flying squirrel populations (</w:t>
      </w:r>
      <w:proofErr w:type="spellStart"/>
      <w:r w:rsidRPr="00861A1C">
        <w:rPr>
          <w:rFonts w:eastAsia="-moz-fixed" w:cs="-moz-fixed"/>
          <w:szCs w:val="20"/>
          <w:lang w:val="en-US" w:eastAsia="ar-SA"/>
        </w:rPr>
        <w:t>Sollmann</w:t>
      </w:r>
      <w:proofErr w:type="spellEnd"/>
      <w:r w:rsidRPr="00861A1C">
        <w:rPr>
          <w:rFonts w:eastAsia="-moz-fixed" w:cs="-moz-fixed"/>
          <w:szCs w:val="20"/>
          <w:lang w:val="en-US" w:eastAsia="ar-SA"/>
        </w:rPr>
        <w:t xml:space="preserve"> et al 2016). However, the conclusions of this study likely do not extend to typical agency thinning projects in mesic forests because unlike this study, the agencies rarely retain 1/3 of units in unthinned skips and fail to retain 70% canopy cover. </w:t>
      </w:r>
      <w:proofErr w:type="spellStart"/>
      <w:r w:rsidRPr="00861A1C">
        <w:rPr>
          <w:rFonts w:eastAsia="-moz-fixed" w:cs="-moz-fixed"/>
          <w:szCs w:val="20"/>
          <w:lang w:val="en-US" w:eastAsia="ar-SA"/>
        </w:rPr>
        <w:t>Sollmann</w:t>
      </w:r>
      <w:proofErr w:type="spellEnd"/>
      <w:r w:rsidRPr="00861A1C">
        <w:rPr>
          <w:rFonts w:eastAsia="-moz-fixed" w:cs="-moz-fixed"/>
          <w:szCs w:val="20"/>
          <w:lang w:val="en-US" w:eastAsia="ar-SA"/>
        </w:rPr>
        <w:t xml:space="preserve"> et al (2016) studied flying squirrel population response to 4 hectare thinning and burning treatments compared to controls and found -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When considered by treatment type, densities were highest in control and burn only units, and lowest in thinned units. Whereas thinning had negative effects on Northern flying squirrel density on the scale of a thinning treatment unit, our results suggest that these effects were largely absorbed by the heterogeneous landscape, as animals shifted their distribution into un-thinned areas without a decline in overall density. This highlights the need to incorporate the landscape context when evaluating the effects of forest management on wildlife.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Typical fuel reduction treatment units are variable in size and often larger than the 4 ha used in this study. Our results cannot be extrapolated to such larger disturbances, which could have more pronounced effects on NFS populations (e.g., they may displace individuals where small treatments may only cause them to shift within their home range).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Density is only one measure of how populations respond to stressors and environmental drivers, and other measures such as physical condition, reproductive success or survival might be more strongly affected by treatments. Increased intraspecific competition resulting from ‘‘crowding” of more individuals into remaining suitable habitat patches may also trigger density dependent population regulation mechanisms (</w:t>
      </w:r>
      <w:proofErr w:type="spellStart"/>
      <w:r w:rsidRPr="00861A1C">
        <w:rPr>
          <w:rFonts w:eastAsia="-moz-fixed" w:cs="-moz-fixed"/>
          <w:szCs w:val="20"/>
          <w:lang w:val="en-US" w:eastAsia="ar-SA"/>
        </w:rPr>
        <w:t>Lehmkuhl</w:t>
      </w:r>
      <w:proofErr w:type="spellEnd"/>
      <w:r w:rsidRPr="00861A1C">
        <w:rPr>
          <w:rFonts w:eastAsia="-moz-fixed" w:cs="-moz-fixed"/>
          <w:szCs w:val="20"/>
          <w:lang w:val="en-US" w:eastAsia="ar-SA"/>
        </w:rPr>
        <w:t xml:space="preserve"> et al., 2006).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because our study only extended to four years after thinning treatments, we cannot speak to potential delayed effects on NFS populations. Without longer term studies investigating population dynamics in more detail, the mechanisms underlying our observations of densities in time and space remain speculative.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Thinning affected the relationship of NFS density with canopy closure such that it became a stronger predictor of NFS density after thinning treatments. Pre-treatment canopy closure averaged 85–89% across the Control, Central and Western blocks (Table 1) and effects on density in pre-treatment years were variable and mostly small (Fig. 3). After thinning, average canopy closure dropped to 70% in the Central and Western block, and variability increased (Table 1). This indicates that at overall high levels of </w:t>
      </w:r>
      <w:r w:rsidRPr="00861A1C">
        <w:rPr>
          <w:rFonts w:eastAsia="-moz-fixed" w:cs="-moz-fixed"/>
          <w:szCs w:val="20"/>
          <w:lang w:val="en-US" w:eastAsia="ar-SA"/>
        </w:rPr>
        <w:lastRenderedPageBreak/>
        <w:t>canopy closure NFS are not sensitive to small fluctuations in that variable, but that it becomes an important determinant of NFS density when forest with high canopy closure is limited (Meyer et al., 2007).</w:t>
      </w:r>
    </w:p>
    <w:p w:rsidR="00861A1C" w:rsidRPr="00861A1C" w:rsidRDefault="00861A1C" w:rsidP="00861A1C">
      <w:pPr>
        <w:suppressAutoHyphens/>
        <w:spacing w:line="240" w:lineRule="auto"/>
        <w:rPr>
          <w:rFonts w:eastAsia="-moz-fixed" w:cs="-moz-fixed"/>
          <w:szCs w:val="20"/>
          <w:lang w:val="en-US" w:eastAsia="ar-SA"/>
        </w:rPr>
      </w:pPr>
      <w:proofErr w:type="spellStart"/>
      <w:r w:rsidRPr="00861A1C">
        <w:rPr>
          <w:rFonts w:eastAsia="-moz-fixed" w:cs="-moz-fixed"/>
          <w:szCs w:val="20"/>
          <w:lang w:val="en-US" w:eastAsia="ar-SA"/>
        </w:rPr>
        <w:t>Sollmann</w:t>
      </w:r>
      <w:proofErr w:type="spellEnd"/>
      <w:r w:rsidRPr="00861A1C">
        <w:rPr>
          <w:rFonts w:eastAsia="-moz-fixed" w:cs="-moz-fixed"/>
          <w:szCs w:val="20"/>
          <w:lang w:val="en-US" w:eastAsia="ar-SA"/>
        </w:rPr>
        <w:t xml:space="preserve">, R., A.M. White, G.L. </w:t>
      </w:r>
      <w:proofErr w:type="spellStart"/>
      <w:r w:rsidRPr="00861A1C">
        <w:rPr>
          <w:rFonts w:eastAsia="-moz-fixed" w:cs="-moz-fixed"/>
          <w:szCs w:val="20"/>
          <w:lang w:val="en-US" w:eastAsia="ar-SA"/>
        </w:rPr>
        <w:t>Tarbill</w:t>
      </w:r>
      <w:proofErr w:type="spellEnd"/>
      <w:r w:rsidRPr="00861A1C">
        <w:rPr>
          <w:rFonts w:eastAsia="-moz-fixed" w:cs="-moz-fixed"/>
          <w:szCs w:val="20"/>
          <w:lang w:val="en-US" w:eastAsia="ar-SA"/>
        </w:rPr>
        <w:t xml:space="preserve">, P.N. Manley and E.E. Knapp. 2016. Landscape heterogeneity compensates for fuel reduction treatment effects on Northern flying squirrel populations. Forest Ecology and Management 373 (2016):100-107. </w:t>
      </w:r>
      <w:hyperlink r:id="rId52" w:history="1">
        <w:r w:rsidRPr="00861A1C">
          <w:rPr>
            <w:rFonts w:eastAsia="-moz-fixed" w:cs="-moz-fixed"/>
            <w:color w:val="0000FF"/>
            <w:szCs w:val="20"/>
            <w:u w:val="single"/>
            <w:lang w:val="en-US" w:eastAsia="ar-SA"/>
          </w:rPr>
          <w:t>https://www.fs.usda.gov/psw/publications/white_am/psw_2016_white003_sollmann.pdf</w:t>
        </w:r>
      </w:hyperlink>
      <w:r w:rsidRPr="00861A1C">
        <w:rPr>
          <w:rFonts w:eastAsia="-moz-fixed" w:cs="-moz-fixed"/>
          <w:szCs w:val="20"/>
          <w:lang w:val="en-US" w:eastAsia="ar-SA"/>
        </w:rPr>
        <w:t>. However, the treatments in this study were only 4 hectares, and within groups of treatment blocks, there were several 4 hectare unthinned blocks. In fact, fully 1/3 of the treatment blocks were burned only and remained unthinned, and because of these significant unthinned areas the average canopy closure across groups of treatment blocks remained above 70%. Flying squirrels may not fare so well in more typical thinning prescriptions that involve heavier thinning, larger treatments, fewer unthinned skips where less than 1/3 of the treatment area is available to serve as a refugia. An unnamed scientist who works on flying squirrels stated:</w:t>
      </w:r>
    </w:p>
    <w:p w:rsidR="00861A1C" w:rsidRPr="00331DBE" w:rsidRDefault="00861A1C" w:rsidP="00861A1C">
      <w:pPr>
        <w:shd w:val="clear" w:color="auto" w:fill="FFFFFF"/>
        <w:spacing w:line="240" w:lineRule="auto"/>
        <w:ind w:left="720"/>
        <w:rPr>
          <w:rFonts w:eastAsia="Times New Roman" w:cs="Times New Roman"/>
          <w:lang w:val="en-US"/>
        </w:rPr>
      </w:pPr>
      <w:r w:rsidRPr="00331DBE">
        <w:rPr>
          <w:rFonts w:eastAsia="Times New Roman" w:cs="Times New Roman"/>
          <w:lang w:val="en-US"/>
        </w:rPr>
        <w:t>Some things that stand out for me that would suggest caution in interpreting or applying their results:</w:t>
      </w:r>
    </w:p>
    <w:p w:rsidR="00861A1C" w:rsidRPr="00331DBE" w:rsidRDefault="00861A1C" w:rsidP="00861A1C">
      <w:pPr>
        <w:shd w:val="clear" w:color="auto" w:fill="FFFFFF"/>
        <w:spacing w:line="240" w:lineRule="auto"/>
        <w:ind w:left="1440"/>
        <w:rPr>
          <w:rFonts w:eastAsia="Times New Roman" w:cs="Times New Roman"/>
          <w:lang w:val="en-US"/>
        </w:rPr>
      </w:pPr>
      <w:r w:rsidRPr="00331DBE">
        <w:rPr>
          <w:rFonts w:eastAsia="Times New Roman" w:cs="Times New Roman"/>
          <w:lang w:val="en-US"/>
        </w:rPr>
        <w:t>1.      Their reported densities of NFS were between .17 to .81 per Ha.  These would be considered low density populations in areas where spotted owls depend heavily on flying squirrels  (good densities would be 2-4/ha).  I assume that if there were spotted owls, they are likely much more reliant on woodrats at these sites. </w:t>
      </w:r>
    </w:p>
    <w:p w:rsidR="00861A1C" w:rsidRPr="00331DBE" w:rsidRDefault="00861A1C" w:rsidP="00861A1C">
      <w:pPr>
        <w:shd w:val="clear" w:color="auto" w:fill="FFFFFF"/>
        <w:spacing w:line="240" w:lineRule="auto"/>
        <w:ind w:left="1440"/>
        <w:rPr>
          <w:rFonts w:eastAsia="Times New Roman" w:cs="Times New Roman"/>
          <w:lang w:val="en-US"/>
        </w:rPr>
      </w:pPr>
      <w:r w:rsidRPr="00331DBE">
        <w:rPr>
          <w:rFonts w:eastAsia="Times New Roman" w:cs="Times New Roman"/>
          <w:lang w:val="en-US"/>
        </w:rPr>
        <w:t>2.      4 ha is well within the range of a single flying squirrel in a low density population.  Therefore, each of their 24 units aren’t really measuring “populations” of squirrels—more like individuals or small clusters of individuals.  As a results, factors outside the experimental design could confound the results.  For example, trapping included May and June which can pick up widely roaming males that live outside the study area. </w:t>
      </w:r>
    </w:p>
    <w:p w:rsidR="00861A1C" w:rsidRPr="00331DBE" w:rsidRDefault="00861A1C" w:rsidP="00861A1C">
      <w:pPr>
        <w:shd w:val="clear" w:color="auto" w:fill="FFFFFF"/>
        <w:spacing w:line="240" w:lineRule="auto"/>
        <w:ind w:left="1440"/>
        <w:rPr>
          <w:rFonts w:eastAsia="Times New Roman" w:cs="Times New Roman"/>
          <w:lang w:val="en-US"/>
        </w:rPr>
      </w:pPr>
      <w:r w:rsidRPr="00331DBE">
        <w:rPr>
          <w:rFonts w:eastAsia="Times New Roman" w:cs="Times New Roman"/>
          <w:lang w:val="en-US"/>
        </w:rPr>
        <w:t>3.      Likewise, given these units  were right next to each other, some individuals may have been  double counted (but not sure to what extent as they didn’t report that). </w:t>
      </w:r>
    </w:p>
    <w:p w:rsidR="00861A1C" w:rsidRPr="00331DBE" w:rsidRDefault="00861A1C" w:rsidP="00861A1C">
      <w:pPr>
        <w:shd w:val="clear" w:color="auto" w:fill="FFFFFF"/>
        <w:spacing w:line="240" w:lineRule="auto"/>
        <w:ind w:left="1440"/>
        <w:rPr>
          <w:rFonts w:eastAsia="Times New Roman" w:cs="Times New Roman"/>
          <w:lang w:val="en-US"/>
        </w:rPr>
      </w:pPr>
      <w:r w:rsidRPr="00331DBE">
        <w:rPr>
          <w:rFonts w:eastAsia="Times New Roman" w:cs="Times New Roman"/>
          <w:lang w:val="en-US"/>
        </w:rPr>
        <w:t>4.      They did not report individuals moving into different patches, or use telemetry to track individual, or report that tagged individuals in treated areas started showing up in their control patch, so they really didn’t show that “animals shifted their distribution into un-thinned areas”.   Rather what I see is they started with a low density study area and ended with a low-density study area.  IMO, their data points more towards their landscape being relatively low quality habitat for squirrels overall  (and therefore patchy thinning and fire isn’t going to change things much), rather than the conclusion that negative effects are absorbed by a heterogeneous landscape.    </w:t>
      </w:r>
    </w:p>
    <w:p w:rsidR="00861A1C" w:rsidRPr="00331DBE" w:rsidRDefault="00861A1C" w:rsidP="00861A1C">
      <w:pPr>
        <w:shd w:val="clear" w:color="auto" w:fill="FFFFFF"/>
        <w:spacing w:line="240" w:lineRule="auto"/>
        <w:ind w:left="720"/>
        <w:rPr>
          <w:rFonts w:eastAsia="Times New Roman" w:cs="Times New Roman"/>
          <w:lang w:val="en-US"/>
        </w:rPr>
      </w:pPr>
      <w:r w:rsidRPr="00331DBE">
        <w:rPr>
          <w:rFonts w:eastAsia="Times New Roman" w:cs="Times New Roman"/>
          <w:lang w:val="en-US"/>
        </w:rPr>
        <w:t xml:space="preserve">Bottom line—I think one should be very cautious about applying their results to westside mesic OR and WA forests, </w:t>
      </w:r>
      <w:proofErr w:type="spellStart"/>
      <w:r w:rsidRPr="00331DBE">
        <w:rPr>
          <w:rFonts w:eastAsia="Times New Roman" w:cs="Times New Roman"/>
          <w:lang w:val="en-US"/>
        </w:rPr>
        <w:t>esp</w:t>
      </w:r>
      <w:proofErr w:type="spellEnd"/>
      <w:r w:rsidRPr="00331DBE">
        <w:rPr>
          <w:rFonts w:eastAsia="Times New Roman" w:cs="Times New Roman"/>
          <w:lang w:val="en-US"/>
        </w:rPr>
        <w:t xml:space="preserve"> in areas where flying squirrels are a main part of owl diets.</w:t>
      </w:r>
    </w:p>
    <w:p w:rsidR="00B864C7" w:rsidRPr="00331DBE" w:rsidRDefault="00861A1C" w:rsidP="00861A1C">
      <w:pPr>
        <w:suppressAutoHyphens/>
        <w:spacing w:line="240" w:lineRule="auto"/>
        <w:rPr>
          <w:rFonts w:eastAsia="-moz-fixed" w:cs="-moz-fixed"/>
          <w:lang w:val="en-US" w:eastAsia="ar-SA"/>
        </w:rPr>
      </w:pPr>
      <w:r w:rsidRPr="00331DBE">
        <w:rPr>
          <w:rFonts w:eastAsia="-moz-fixed" w:cs="-moz-fixed"/>
          <w:lang w:val="en-US" w:eastAsia="ar-SA"/>
        </w:rPr>
        <w:t>(Personal communication with unnamed wildlife biologist, June 2018)</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after="240" w:line="240" w:lineRule="auto"/>
        <w:rPr>
          <w:rFonts w:eastAsia="-moz-fixed" w:cs="-moz-fixed"/>
          <w:szCs w:val="20"/>
          <w:lang w:val="en-US" w:eastAsia="ar-SA"/>
        </w:rPr>
      </w:pPr>
      <w:r w:rsidRPr="00861A1C">
        <w:rPr>
          <w:rFonts w:eastAsia="-moz-fixed" w:cs="-moz-fixed"/>
          <w:szCs w:val="20"/>
          <w:lang w:val="en-US" w:eastAsia="ar-SA"/>
        </w:rPr>
        <w:t xml:space="preserve">Salem BLM’s Turner Creek EA (2011) provides an example of the kind of trade-offs that can help inform a decision about the best mix of treated and untreated areas “The loss of natural snag production for several to many decades on the thinned acres will reduce the potential for owl use due to the lack of suitable prey habitat. … Overall the No Action alternative would result in much more coarse wood in the next several decades as compared to the Proposed Action which would provide better overall habitat for small mammals which in turn may benefit the spotted owl. By not thinning the overstory now during this window of opportunity the trees would be less able to respond in the future and the development of a second canopy layer would be delayed by a few </w:t>
      </w:r>
      <w:r w:rsidRPr="00861A1C">
        <w:rPr>
          <w:rFonts w:eastAsia="-moz-fixed" w:cs="-moz-fixed"/>
          <w:szCs w:val="20"/>
          <w:lang w:val="en-US" w:eastAsia="ar-SA"/>
        </w:rPr>
        <w:lastRenderedPageBreak/>
        <w:t xml:space="preserve">decades thus taking longer to reach the vertical diversity characteristic of late-successional stands.” </w:t>
      </w:r>
      <w:hyperlink r:id="rId53" w:history="1">
        <w:r w:rsidRPr="00861A1C">
          <w:rPr>
            <w:rFonts w:eastAsia="-moz-fixed" w:cs="-moz-fixed"/>
            <w:color w:val="0000FF"/>
            <w:szCs w:val="20"/>
            <w:u w:val="single"/>
            <w:lang w:val="en-US" w:eastAsia="ar-SA"/>
          </w:rPr>
          <w:t>https://web.archive.org/web/20160522082645/http://www.blm.gov/or/districts/salem/plans/files/TC_EA.pdf</w:t>
        </w:r>
      </w:hyperlink>
      <w:r w:rsidRPr="00861A1C">
        <w:rPr>
          <w:rFonts w:eastAsia="-moz-fixed" w:cs="-moz-fixed"/>
          <w:szCs w:val="20"/>
          <w:lang w:val="en-US" w:eastAsia="ar-SA"/>
        </w:rPr>
        <w:t>. The agencies can use this as a springboard to consider important landscape issues and to inform the critical question of how much of these forests should be treated to enhance dead wood and owl prey base, and how much should be thinned to accelerate complex canopy structure.</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Some have tried to assert that the spotted owl may benefit from increased access to flying squirrels as a result of thinning. This is a flawed interpretation of the recent science indicating that logging makes flying squirrels vulnerable to predation. First, flying squirrels are preyed upon by a wide variety of species other than spotted owls, so spotted owls do not get all the squirrel kills. Second, the effect of logging is so significant that squirrel populations decline for two decades or more. It is better for the owl to have limited access to a healthy population of flying squirrels than to have easy access to a dramatically reduced population of squirrels.</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The adverse effects of thinning on flying squirrels and spotted owls should be considered in the context of the competitive pressure that barred owls impose on populations of flying squirrels, which are the primary prey of both barred owls and spotted owls. Nicholas F. </w:t>
      </w:r>
      <w:proofErr w:type="spellStart"/>
      <w:r w:rsidRPr="00861A1C">
        <w:rPr>
          <w:rFonts w:eastAsia="-moz-fixed" w:cs="-moz-fixed"/>
          <w:szCs w:val="20"/>
          <w:lang w:val="en-US" w:eastAsia="ar-SA"/>
        </w:rPr>
        <w:t>Kryshak</w:t>
      </w:r>
      <w:proofErr w:type="spellEnd"/>
      <w:r w:rsidRPr="00861A1C">
        <w:rPr>
          <w:rFonts w:eastAsia="-moz-fixed" w:cs="-moz-fixed"/>
          <w:szCs w:val="20"/>
          <w:lang w:val="en-US" w:eastAsia="ar-SA"/>
        </w:rPr>
        <w:t xml:space="preserve">, Emily D. Fountain, et al. 2022. DNA </w:t>
      </w:r>
      <w:proofErr w:type="spellStart"/>
      <w:r w:rsidRPr="00861A1C">
        <w:rPr>
          <w:rFonts w:eastAsia="-moz-fixed" w:cs="-moz-fixed"/>
          <w:szCs w:val="20"/>
          <w:lang w:val="en-US" w:eastAsia="ar-SA"/>
        </w:rPr>
        <w:t>metabarcoding</w:t>
      </w:r>
      <w:proofErr w:type="spellEnd"/>
      <w:r w:rsidRPr="00861A1C">
        <w:rPr>
          <w:rFonts w:eastAsia="-moz-fixed" w:cs="-moz-fixed"/>
          <w:szCs w:val="20"/>
          <w:lang w:val="en-US" w:eastAsia="ar-SA"/>
        </w:rPr>
        <w:t xml:space="preserve"> reveals the threat of rapidly expanding barred owl populations to native wildlife in western North America, Biological Conservation, Volume 273, 2022, 109678, ISSN 0006-3207, </w:t>
      </w:r>
    </w:p>
    <w:p w:rsidR="00861A1C" w:rsidRPr="00861A1C" w:rsidRDefault="0061341D" w:rsidP="00861A1C">
      <w:pPr>
        <w:suppressAutoHyphens/>
        <w:spacing w:line="240" w:lineRule="auto"/>
        <w:rPr>
          <w:rFonts w:eastAsia="-moz-fixed" w:cs="-moz-fixed"/>
          <w:szCs w:val="20"/>
          <w:lang w:val="en-US" w:eastAsia="ar-SA"/>
        </w:rPr>
      </w:pPr>
      <w:hyperlink r:id="rId54" w:history="1">
        <w:r w:rsidR="00861A1C" w:rsidRPr="00861A1C">
          <w:rPr>
            <w:rFonts w:eastAsia="-moz-fixed" w:cs="-moz-fixed"/>
            <w:color w:val="0000FF"/>
            <w:szCs w:val="20"/>
            <w:u w:val="single"/>
            <w:lang w:val="en-US" w:eastAsia="ar-SA"/>
          </w:rPr>
          <w:t>https://doi.org/10.1016/j.biocon.2022.109678</w:t>
        </w:r>
      </w:hyperlink>
      <w:r w:rsidR="00861A1C" w:rsidRPr="00861A1C">
        <w:rPr>
          <w:rFonts w:eastAsia="-moz-fixed" w:cs="-moz-fixed"/>
          <w:szCs w:val="20"/>
          <w:lang w:val="en-US" w:eastAsia="ar-SA"/>
        </w:rPr>
        <w:t xml:space="preserve">.  </w:t>
      </w:r>
      <w:hyperlink r:id="rId55" w:history="1">
        <w:r w:rsidR="00861A1C" w:rsidRPr="00861A1C">
          <w:rPr>
            <w:rFonts w:eastAsia="-moz-fixed" w:cs="-moz-fixed"/>
            <w:color w:val="0000FF"/>
            <w:szCs w:val="20"/>
            <w:u w:val="single"/>
            <w:lang w:val="en-US" w:eastAsia="ar-SA"/>
          </w:rPr>
          <w:t>https://www.biorxiv.org/content/biorxiv/early/2022/04/20/2022.04.19.488820.full.pdf</w:t>
        </w:r>
      </w:hyperlink>
      <w:r w:rsidR="00861A1C" w:rsidRPr="00861A1C">
        <w:rPr>
          <w:rFonts w:eastAsia="-moz-fixed" w:cs="-moz-fixed"/>
          <w:szCs w:val="20"/>
          <w:lang w:val="en-US" w:eastAsia="ar-SA"/>
        </w:rPr>
        <w:t xml:space="preserve">. Evidence that barred owls impose adverse effects on both flying squirrels and spotted owls should be considered in the analysis of cumulative effects. </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numPr>
          <w:ilvl w:val="2"/>
          <w:numId w:val="0"/>
        </w:numPr>
        <w:tabs>
          <w:tab w:val="num" w:pos="0"/>
        </w:tabs>
        <w:suppressAutoHyphens/>
        <w:spacing w:before="100" w:after="100" w:line="240" w:lineRule="auto"/>
        <w:ind w:left="720" w:hanging="720"/>
        <w:outlineLvl w:val="2"/>
        <w:rPr>
          <w:rFonts w:eastAsia="-moz-fixed" w:cs="-moz-fixed"/>
          <w:b/>
          <w:bCs/>
          <w:sz w:val="27"/>
          <w:szCs w:val="24"/>
          <w:lang w:val="en-US" w:eastAsia="ar-SA"/>
        </w:rPr>
      </w:pPr>
      <w:bookmarkStart w:id="12" w:name="_Toc194591188"/>
      <w:bookmarkStart w:id="13" w:name="_Toc195695320"/>
      <w:r w:rsidRPr="00861A1C">
        <w:rPr>
          <w:rFonts w:eastAsia="-moz-fixed" w:cs="-moz-fixed"/>
          <w:b/>
          <w:bCs/>
          <w:sz w:val="27"/>
          <w:szCs w:val="27"/>
          <w:lang w:val="en-US" w:eastAsia="ar-SA"/>
        </w:rPr>
        <w:t>Protect habitat for raptors, like northern spotted owl.</w:t>
      </w:r>
      <w:bookmarkEnd w:id="12"/>
      <w:bookmarkEnd w:id="13"/>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Logging disrupts behavior of nesting birds and could harm other aspects of their life needs. BLM has acknowledged that —</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color w:val="000000"/>
          <w:szCs w:val="24"/>
          <w:lang w:val="en-US" w:eastAsia="ar-SA"/>
        </w:rPr>
        <w:t>Current research has shown that spotted owls are likely to increase the size of their home ranges to utilize untreated stands in preference to newly treated stands both during and after harvest. Factors that reduce the quality of habitat within a home range or cause increased movement by owls in order to meet prey requirements may decrease the survival and reproductive fitness of owls at that site (</w:t>
      </w:r>
      <w:proofErr w:type="spellStart"/>
      <w:r w:rsidRPr="00861A1C">
        <w:rPr>
          <w:rFonts w:eastAsia="-moz-fixed" w:cs="-moz-fixed"/>
          <w:color w:val="000000"/>
          <w:szCs w:val="24"/>
          <w:lang w:val="en-US" w:eastAsia="ar-SA"/>
        </w:rPr>
        <w:t>Meiman</w:t>
      </w:r>
      <w:proofErr w:type="spellEnd"/>
      <w:r w:rsidRPr="00861A1C">
        <w:rPr>
          <w:rFonts w:eastAsia="-moz-fixed" w:cs="-moz-fixed"/>
          <w:color w:val="000000"/>
          <w:szCs w:val="24"/>
          <w:lang w:val="en-US" w:eastAsia="ar-SA"/>
        </w:rPr>
        <w:t xml:space="preserve"> </w:t>
      </w:r>
      <w:r w:rsidRPr="00861A1C">
        <w:rPr>
          <w:rFonts w:eastAsia="-moz-fixed" w:cs="-moz-fixed"/>
          <w:i/>
          <w:iCs/>
          <w:color w:val="000000"/>
          <w:szCs w:val="24"/>
          <w:lang w:val="en-US" w:eastAsia="ar-SA"/>
        </w:rPr>
        <w:t>et al.</w:t>
      </w:r>
      <w:r w:rsidRPr="00861A1C">
        <w:rPr>
          <w:rFonts w:eastAsia="-moz-fixed" w:cs="-moz-fixed"/>
          <w:color w:val="000000"/>
          <w:szCs w:val="24"/>
          <w:lang w:val="en-US" w:eastAsia="ar-SA"/>
        </w:rPr>
        <w:t>, 2003).</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Roseburg BLM 2010. Third Elk EA. </w:t>
      </w:r>
      <w:hyperlink r:id="rId56" w:history="1">
        <w:r w:rsidRPr="00861A1C">
          <w:rPr>
            <w:rFonts w:eastAsia="-moz-fixed" w:cs="-moz-fixed"/>
            <w:color w:val="0000FF"/>
            <w:szCs w:val="24"/>
            <w:u w:val="single"/>
            <w:lang w:val="en-US" w:eastAsia="ar-SA"/>
          </w:rPr>
          <w:t>http://www.blm.gov/or/districts/roseburg/plans/files/ThirdElkEA.pdf</w:t>
        </w:r>
      </w:hyperlink>
      <w:r w:rsidRPr="00861A1C">
        <w:rPr>
          <w:rFonts w:eastAsia="-moz-fixed" w:cs="-moz-fixed"/>
          <w:szCs w:val="24"/>
          <w:lang w:val="en-US" w:eastAsia="ar-SA"/>
        </w:rPr>
        <w: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A radio-telemetry study in the north Coast Range of Oregon showed that thinning in 40-65 year old stands near a spotted owl pair resulted in the owl: (1) shifting habitat use patterns to avoid thinned areas, especially heavily thinned areas, (2) enlarging its home range requiring the owl to expend more energy to fulfill its life functions. Before harvest the study made 23 owl locations in the areas to be thinned, only one owl location was made in the thinned area during the harvest period, and only 8 locations were made in the thinned area after harvest. The area added to the home range after harvest was larger than the area harvest. Recognize that this study looked at only one bird and only looked at short-term effects in the first few years after thinning. Long term effects might be different, but because the effects of thinning could affect survival and reproductive success over the course of several breeding seasons, this could be significant for a Threatened species. Based on these preliminary findings, the authors said—</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lastRenderedPageBreak/>
        <w:t>We therefore recommend that thinning operations not be conducted within core use areas in this region until further research on this topic is conducted. … [W]e recommend that land managers identify the best spotted owl habitat (old conifer with multi-layered canopy and abundant snags) around the nest site and designate an area where no timber harvest activities will occur. The mean (100-ha) and maximum (250-ha) size of core use areas in the North Coast Range … should be used as guidelines for delineating reserve areas. Where forest stands are homogenous and/or the best habitat cannot be identified, an area with 600 –m radius (~115-ha) around the nest should be used.</w:t>
      </w:r>
    </w:p>
    <w:p w:rsidR="00B864C7" w:rsidRDefault="00861A1C" w:rsidP="00861A1C">
      <w:pPr>
        <w:suppressAutoHyphens/>
        <w:spacing w:line="240" w:lineRule="auto"/>
        <w:rPr>
          <w:rFonts w:eastAsia="-moz-fixed" w:cs="-moz-fixed"/>
          <w:szCs w:val="24"/>
          <w:lang w:val="en-US" w:eastAsia="ar-SA"/>
        </w:rPr>
      </w:pPr>
      <w:proofErr w:type="spellStart"/>
      <w:r w:rsidRPr="00861A1C">
        <w:rPr>
          <w:rFonts w:eastAsia="-moz-fixed" w:cs="-moz-fixed"/>
          <w:szCs w:val="24"/>
          <w:lang w:val="en-US" w:eastAsia="ar-SA"/>
        </w:rPr>
        <w:t>Meiman</w:t>
      </w:r>
      <w:proofErr w:type="spellEnd"/>
      <w:r w:rsidRPr="00861A1C">
        <w:rPr>
          <w:rFonts w:eastAsia="-moz-fixed" w:cs="-moz-fixed"/>
          <w:szCs w:val="24"/>
          <w:lang w:val="en-US" w:eastAsia="ar-SA"/>
        </w:rPr>
        <w:t xml:space="preserve">, S., R. Anthony, E. Glenn, T. Bayless, A. </w:t>
      </w:r>
      <w:proofErr w:type="spellStart"/>
      <w:r w:rsidRPr="00861A1C">
        <w:rPr>
          <w:rFonts w:eastAsia="-moz-fixed" w:cs="-moz-fixed"/>
          <w:szCs w:val="24"/>
          <w:lang w:val="en-US" w:eastAsia="ar-SA"/>
        </w:rPr>
        <w:t>Ellingson</w:t>
      </w:r>
      <w:proofErr w:type="spellEnd"/>
      <w:r w:rsidRPr="00861A1C">
        <w:rPr>
          <w:rFonts w:eastAsia="-moz-fixed" w:cs="-moz-fixed"/>
          <w:szCs w:val="24"/>
          <w:lang w:val="en-US" w:eastAsia="ar-SA"/>
        </w:rPr>
        <w:t>, M.C. Hansen, and C. Smith. 2003. Effects of commercial thinning on home-range and habitat-use patterns of a male spotted owl: a case study. Wildlife Society Bulletin. 2003. 31(4):1254-1262.</w:t>
      </w:r>
    </w:p>
    <w:p w:rsidR="00B864C7" w:rsidRDefault="00B864C7" w:rsidP="00861A1C">
      <w:pPr>
        <w:suppressAutoHyphens/>
        <w:spacing w:line="240" w:lineRule="auto"/>
        <w:rPr>
          <w:rFonts w:eastAsia="-moz-fixed" w:cs="-moz-fixed"/>
          <w:szCs w:val="24"/>
          <w:lang w:val="en-US" w:eastAsia="ar-SA"/>
        </w:rPr>
      </w:pP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“Snag and down woody debris are important components of spotted owl habitat … [If stands are not thinned] [e]</w:t>
      </w:r>
      <w:proofErr w:type="spellStart"/>
      <w:r w:rsidRPr="00861A1C">
        <w:rPr>
          <w:rFonts w:eastAsia="-moz-fixed" w:cs="-moz-fixed"/>
          <w:szCs w:val="24"/>
          <w:lang w:val="en-US" w:eastAsia="ar-SA"/>
        </w:rPr>
        <w:t>ventually</w:t>
      </w:r>
      <w:proofErr w:type="spellEnd"/>
      <w:r w:rsidRPr="00861A1C">
        <w:rPr>
          <w:rFonts w:eastAsia="-moz-fixed" w:cs="-moz-fixed"/>
          <w:szCs w:val="24"/>
          <w:lang w:val="en-US" w:eastAsia="ar-SA"/>
        </w:rPr>
        <w:t xml:space="preserve"> the stands would start to differentiate to varying degrees and show a substantial increase in the levels of snags, down wood and understory development. Where these developments occurred, they would improve the dispersal habitat characteristics ….” Mt Hood NF 2011. Huckleberry Thin EA. </w:t>
      </w:r>
      <w:hyperlink r:id="rId57" w:history="1">
        <w:r w:rsidRPr="00861A1C">
          <w:rPr>
            <w:rFonts w:eastAsia="-moz-fixed" w:cs="-moz-fixed"/>
            <w:color w:val="0000FF"/>
            <w:szCs w:val="20"/>
            <w:u w:val="single"/>
            <w:lang w:val="en-US" w:eastAsia="ar-SA"/>
          </w:rPr>
          <w:t>https://usfs-public.app.box.com/v/PinyonPublic/folder/158150413008</w:t>
        </w:r>
      </w:hyperlink>
      <w:r w:rsidRPr="00861A1C">
        <w:rPr>
          <w:rFonts w:eastAsia="-moz-fixed" w:cs="-moz-fixed"/>
          <w:szCs w:val="24"/>
          <w:lang w:val="en-US" w:eastAsia="ar-SA"/>
        </w:rPr>
        <w:t xml:space="preserve">. Salem BLM’s Turner Creek EA acknowledged  “Overall the No Action alternative would result in much more coarse wood in the next several decades as compared to the Proposed Action which would provide better overall habitat for small mammals which in turn may benefit the spotted owl.” </w:t>
      </w:r>
      <w:hyperlink r:id="rId58" w:history="1">
        <w:r w:rsidRPr="00861A1C">
          <w:rPr>
            <w:rFonts w:eastAsia="-moz-fixed" w:cs="-moz-fixed"/>
            <w:color w:val="0000FF"/>
            <w:szCs w:val="20"/>
            <w:u w:val="single"/>
            <w:lang w:val="en-US" w:eastAsia="ar-SA"/>
          </w:rPr>
          <w:t>https://web.archive.org/web/20160522082645/http://www.blm.gov/or/districts/salem/plans/files/TC_EA.pdf</w:t>
        </w:r>
      </w:hyperlink>
      <w:r w:rsidRPr="00861A1C">
        <w:rPr>
          <w:rFonts w:eastAsia="-moz-fixed" w:cs="-moz-fixed"/>
          <w:szCs w:val="24"/>
          <w:lang w:val="en-US" w:eastAsia="ar-SA"/>
        </w:rPr>
        <w: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Courtney (2004) summarized spotted owl habitat use studies and found positive relationships between spotted owl habitat use and several forest attributes that are </w:t>
      </w:r>
      <w:r w:rsidRPr="00861A1C">
        <w:rPr>
          <w:rFonts w:eastAsia="-moz-fixed" w:cs="-moz-fixed"/>
          <w:i/>
          <w:szCs w:val="24"/>
          <w:lang w:val="en-US" w:eastAsia="ar-SA"/>
        </w:rPr>
        <w:t>detrimentally affected by thinning</w:t>
      </w:r>
      <w:r w:rsidRPr="00861A1C">
        <w:rPr>
          <w:rFonts w:eastAsia="-moz-fixed" w:cs="-moz-fixed"/>
          <w:szCs w:val="24"/>
          <w:lang w:val="en-US" w:eastAsia="ar-SA"/>
        </w:rPr>
        <w:t xml:space="preserve">, including: canopy volume, canopy closure, snag basal area or volume, and log volume. Importantly, these relationships appear to hold true whether the owl sites were old growth or non-old growth forest. See Jim </w:t>
      </w:r>
      <w:proofErr w:type="spellStart"/>
      <w:r w:rsidRPr="00861A1C">
        <w:rPr>
          <w:rFonts w:eastAsia="-moz-fixed" w:cs="-moz-fixed"/>
          <w:szCs w:val="24"/>
          <w:lang w:val="en-US" w:eastAsia="ar-SA"/>
        </w:rPr>
        <w:t>Thrailkill</w:t>
      </w:r>
      <w:proofErr w:type="spellEnd"/>
      <w:r w:rsidRPr="00861A1C">
        <w:rPr>
          <w:rFonts w:eastAsia="-moz-fixed" w:cs="-moz-fixed"/>
          <w:szCs w:val="24"/>
          <w:lang w:val="en-US" w:eastAsia="ar-SA"/>
        </w:rPr>
        <w:t xml:space="preserve"> 2006. “Effects of Habitat Thinning on Northern Spotted Owls? Literature Summarized Through 2005.” Appendix F </w:t>
      </w:r>
      <w:r w:rsidRPr="00861A1C">
        <w:rPr>
          <w:rFonts w:eastAsia="-moz-fixed" w:cs="-moz-fixed"/>
          <w:i/>
          <w:szCs w:val="24"/>
          <w:lang w:val="en-US" w:eastAsia="ar-SA"/>
        </w:rPr>
        <w:t>of</w:t>
      </w:r>
      <w:r w:rsidRPr="00861A1C">
        <w:rPr>
          <w:rFonts w:eastAsia="-moz-fixed" w:cs="-moz-fixed"/>
          <w:szCs w:val="24"/>
          <w:lang w:val="en-US" w:eastAsia="ar-SA"/>
        </w:rPr>
        <w:t xml:space="preserve"> Interagency Level 1 Team, North Coast Province. 2010. Biological Assessment of Habitat Modification Projects Proposed During Fiscal Years 2011 and 2012 in the North Coast Planning Province, Oregon, that are Not Likely to Adversely Affect (NLAA) Northern Spotted Owl and Marbled Murrelets and Their Critical Habitats, April 13, 2010 (page 101). </w:t>
      </w:r>
      <w:r w:rsidRPr="00861A1C">
        <w:rPr>
          <w:rFonts w:eastAsia="-moz-fixed" w:cs="-moz-fixed"/>
          <w:i/>
          <w:szCs w:val="24"/>
          <w:lang w:val="en-US" w:eastAsia="ar-SA"/>
        </w:rPr>
        <w:t>citing</w:t>
      </w:r>
      <w:r w:rsidRPr="00861A1C">
        <w:rPr>
          <w:rFonts w:eastAsia="-moz-fixed" w:cs="-moz-fixed"/>
          <w:szCs w:val="24"/>
          <w:lang w:val="en-US" w:eastAsia="ar-SA"/>
        </w:rPr>
        <w:t xml:space="preserve"> Courtney </w:t>
      </w:r>
      <w:r w:rsidRPr="00861A1C">
        <w:rPr>
          <w:rFonts w:eastAsia="-moz-fixed" w:cs="-moz-fixed"/>
          <w:i/>
          <w:szCs w:val="24"/>
          <w:lang w:val="en-US" w:eastAsia="ar-SA"/>
        </w:rPr>
        <w:t>et al</w:t>
      </w:r>
      <w:r w:rsidRPr="00861A1C">
        <w:rPr>
          <w:rFonts w:eastAsia="-moz-fixed" w:cs="-moz-fixed"/>
          <w:szCs w:val="24"/>
          <w:lang w:val="en-US" w:eastAsia="ar-SA"/>
        </w:rPr>
        <w:t xml:space="preserve"> 2004, Scientific Evaluation of the Status of the Northern Spotted Owl, SEI, Sept 2004. </w:t>
      </w:r>
    </w:p>
    <w:p w:rsidR="00861A1C" w:rsidRPr="00861A1C" w:rsidRDefault="00861A1C"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Other relevant findings from this </w:t>
      </w:r>
      <w:proofErr w:type="spellStart"/>
      <w:r w:rsidRPr="00861A1C">
        <w:rPr>
          <w:rFonts w:eastAsia="-moz-fixed" w:cs="-moz-fixed"/>
          <w:szCs w:val="24"/>
          <w:lang w:val="en-US" w:eastAsia="ar-SA"/>
        </w:rPr>
        <w:t>Thrailkill</w:t>
      </w:r>
      <w:proofErr w:type="spellEnd"/>
      <w:r w:rsidRPr="00861A1C">
        <w:rPr>
          <w:rFonts w:eastAsia="-moz-fixed" w:cs="-moz-fixed"/>
          <w:szCs w:val="24"/>
          <w:lang w:val="en-US" w:eastAsia="ar-SA"/>
        </w:rPr>
        <w:t xml:space="preserve"> white-paper include:</w:t>
      </w:r>
    </w:p>
    <w:p w:rsidR="00861A1C" w:rsidRPr="00861A1C" w:rsidRDefault="00861A1C" w:rsidP="00861A1C">
      <w:pPr>
        <w:numPr>
          <w:ilvl w:val="0"/>
          <w:numId w:val="9"/>
        </w:numPr>
        <w:suppressAutoHyphens/>
        <w:spacing w:line="240" w:lineRule="auto"/>
        <w:rPr>
          <w:rFonts w:eastAsia="-moz-fixed" w:cs="-moz-fixed"/>
          <w:szCs w:val="24"/>
          <w:lang w:val="en-US" w:eastAsia="ar-SA"/>
        </w:rPr>
      </w:pPr>
      <w:r w:rsidRPr="00861A1C">
        <w:rPr>
          <w:rFonts w:eastAsia="-moz-fixed" w:cs="-moz-fixed"/>
          <w:szCs w:val="24"/>
          <w:lang w:val="en-US" w:eastAsia="ar-SA"/>
        </w:rPr>
        <w:t>“Snag volume is correlated with increased [spotted owl] foraging use (North 1999). (p 102)</w:t>
      </w:r>
    </w:p>
    <w:p w:rsidR="00861A1C" w:rsidRPr="00861A1C" w:rsidRDefault="00861A1C" w:rsidP="00861A1C">
      <w:pPr>
        <w:numPr>
          <w:ilvl w:val="0"/>
          <w:numId w:val="9"/>
        </w:numPr>
        <w:suppressAutoHyphens/>
        <w:spacing w:line="240" w:lineRule="auto"/>
        <w:rPr>
          <w:rFonts w:eastAsia="-moz-fixed" w:cs="-moz-fixed"/>
          <w:szCs w:val="24"/>
          <w:lang w:val="en-US" w:eastAsia="ar-SA"/>
        </w:rPr>
      </w:pPr>
      <w:r w:rsidRPr="00861A1C">
        <w:rPr>
          <w:rFonts w:eastAsia="-moz-fixed" w:cs="-moz-fixed"/>
          <w:szCs w:val="24"/>
          <w:lang w:val="en-US" w:eastAsia="ar-SA"/>
        </w:rPr>
        <w:t>“Snag volume is important to owl foraging sites because it influences local prey abundance (Carey 1995).” (p 102)</w:t>
      </w:r>
    </w:p>
    <w:p w:rsidR="00861A1C" w:rsidRPr="00861A1C" w:rsidRDefault="00861A1C" w:rsidP="00861A1C">
      <w:pPr>
        <w:numPr>
          <w:ilvl w:val="0"/>
          <w:numId w:val="8"/>
        </w:numPr>
        <w:suppressAutoHyphens/>
        <w:spacing w:line="240" w:lineRule="auto"/>
        <w:rPr>
          <w:rFonts w:eastAsia="-moz-fixed" w:cs="-moz-fixed"/>
          <w:szCs w:val="20"/>
          <w:lang w:val="en-US" w:eastAsia="ar-SA"/>
        </w:rPr>
      </w:pPr>
      <w:r w:rsidRPr="00861A1C">
        <w:rPr>
          <w:rFonts w:eastAsia="-moz-fixed" w:cs="-moz-fixed"/>
          <w:szCs w:val="24"/>
          <w:lang w:val="en-US" w:eastAsia="ar-SA"/>
        </w:rPr>
        <w:t>“[S]</w:t>
      </w:r>
      <w:proofErr w:type="spellStart"/>
      <w:r w:rsidRPr="00861A1C">
        <w:rPr>
          <w:rFonts w:eastAsia="-moz-fixed" w:cs="-moz-fixed"/>
          <w:szCs w:val="24"/>
          <w:lang w:val="en-US" w:eastAsia="ar-SA"/>
        </w:rPr>
        <w:t>tudies</w:t>
      </w:r>
      <w:proofErr w:type="spellEnd"/>
      <w:r w:rsidRPr="00861A1C">
        <w:rPr>
          <w:rFonts w:eastAsia="-moz-fixed" w:cs="-moz-fixed"/>
          <w:szCs w:val="24"/>
          <w:lang w:val="en-US" w:eastAsia="ar-SA"/>
        </w:rPr>
        <w:t xml:space="preserve"> (Carey et al 1999) conducted in the Oregon and Washington Cascades and Coast Ranges have demonstrated a direct relationship between increasing levels of coarse wood debris (CWD) in a stand and the abundance of small mammals (e.g. northern flying squirrel) in those stands.” (p 102)</w:t>
      </w:r>
    </w:p>
    <w:p w:rsidR="00861A1C" w:rsidRPr="00861A1C" w:rsidRDefault="00861A1C" w:rsidP="00861A1C">
      <w:pPr>
        <w:numPr>
          <w:ilvl w:val="0"/>
          <w:numId w:val="8"/>
        </w:numPr>
        <w:suppressAutoHyphens/>
        <w:spacing w:line="240" w:lineRule="auto"/>
        <w:rPr>
          <w:rFonts w:eastAsia="-moz-fixed" w:cs="-moz-fixed"/>
          <w:szCs w:val="20"/>
          <w:lang w:val="en-US" w:eastAsia="ar-SA"/>
        </w:rPr>
      </w:pPr>
      <w:r w:rsidRPr="00861A1C">
        <w:rPr>
          <w:rFonts w:eastAsia="-moz-fixed" w:cs="-moz-fixed"/>
          <w:szCs w:val="24"/>
          <w:lang w:val="en-US" w:eastAsia="ar-SA"/>
        </w:rPr>
        <w:t>“[T]</w:t>
      </w:r>
      <w:proofErr w:type="spellStart"/>
      <w:r w:rsidRPr="00861A1C">
        <w:rPr>
          <w:rFonts w:eastAsia="-moz-fixed" w:cs="-moz-fixed"/>
          <w:szCs w:val="24"/>
          <w:lang w:val="en-US" w:eastAsia="ar-SA"/>
        </w:rPr>
        <w:t>hinning</w:t>
      </w:r>
      <w:proofErr w:type="spellEnd"/>
      <w:r w:rsidRPr="00861A1C">
        <w:rPr>
          <w:rFonts w:eastAsia="-moz-fixed" w:cs="-moz-fixed"/>
          <w:szCs w:val="24"/>
          <w:lang w:val="en-US" w:eastAsia="ar-SA"/>
        </w:rPr>
        <w:t xml:space="preserve"> prescriptions should take advantage of creating conditions where coarse wood debris recruitment can be hastened.” (p 102)</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Note: This white paper does not address new information since 2005 showing longer-term (multi-decade) adverse effects of thinning on flying squirrels and dead wood recruitment.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lastRenderedPageBreak/>
        <w:t xml:space="preserve">Spotted Owl foraging is positively associated with snag volume and dead wood volume, both of which are adversely affected by commercial logging, which has long-term adverse effects on dead wood recruitment. </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 xml:space="preserve">Foraging activity is positively associated with tree height diversity (North et al. 1999, p. 524), canopy closure and woody debris (Irwin et al. 2000, p. 180; Courtney et al. 2004, pp. 5-15), </w:t>
      </w:r>
      <w:r w:rsidRPr="00861A1C">
        <w:rPr>
          <w:rFonts w:eastAsia="-moz-fixed" w:cs="-moz-fixed"/>
          <w:b/>
          <w:szCs w:val="24"/>
          <w:lang w:val="en-US" w:eastAsia="ar-SA"/>
        </w:rPr>
        <w:t>snag volume</w:t>
      </w:r>
      <w:r w:rsidRPr="00861A1C">
        <w:rPr>
          <w:rFonts w:eastAsia="-moz-fixed" w:cs="-moz-fixed"/>
          <w:szCs w:val="24"/>
          <w:lang w:val="en-US" w:eastAsia="ar-SA"/>
        </w:rPr>
        <w:t xml:space="preserve">, density of snags greater than 20 in (50 cm) dbh (North et al. 1999, p. 524; Irwin et al. 2000, pp. 179-180; Courtney et al. 2004, pp. 5-15), density of trees greater than or equal to 31 in (80 cm) dbh (North et al. 1999, p. 524), </w:t>
      </w:r>
      <w:r w:rsidRPr="00861A1C">
        <w:rPr>
          <w:rFonts w:eastAsia="-moz-fixed" w:cs="-moz-fixed"/>
          <w:b/>
          <w:szCs w:val="24"/>
          <w:lang w:val="en-US" w:eastAsia="ar-SA"/>
        </w:rPr>
        <w:t>volume of woody debris</w:t>
      </w:r>
      <w:r w:rsidRPr="00861A1C">
        <w:rPr>
          <w:rFonts w:eastAsia="-moz-fixed" w:cs="-moz-fixed"/>
          <w:szCs w:val="24"/>
          <w:lang w:val="en-US" w:eastAsia="ar-SA"/>
        </w:rPr>
        <w:t xml:space="preserve"> (Irwin et al. 2000, pp. 179-180), and young forests with some structural characteristics of old forests (Carey et al.1992, pp. 245-247; Irwin et al. 2000, pp. 178-179). Habitat use is influenced by prey availability. Ward (1990, p. 62) found that spotted owls foraged in areas where the occurrence of prey was more predictable within older forests and near ecotones of old forest and brush seral stages. The availability or abundance of prey can in turn influence reproductive success (</w:t>
      </w:r>
      <w:proofErr w:type="spellStart"/>
      <w:r w:rsidRPr="00861A1C">
        <w:rPr>
          <w:rFonts w:eastAsia="-moz-fixed" w:cs="-moz-fixed"/>
          <w:szCs w:val="24"/>
          <w:lang w:val="en-US" w:eastAsia="ar-SA"/>
        </w:rPr>
        <w:t>Rosenburg</w:t>
      </w:r>
      <w:proofErr w:type="spellEnd"/>
      <w:r w:rsidRPr="00861A1C">
        <w:rPr>
          <w:rFonts w:eastAsia="-moz-fixed" w:cs="-moz-fixed"/>
          <w:szCs w:val="24"/>
          <w:lang w:val="en-US" w:eastAsia="ar-SA"/>
        </w:rPr>
        <w:t xml:space="preserve"> et al. 2003, pp. 1720-1723)</w:t>
      </w:r>
    </w:p>
    <w:p w:rsidR="00861A1C" w:rsidRPr="00861A1C" w:rsidRDefault="00861A1C" w:rsidP="00861A1C">
      <w:pPr>
        <w:shd w:val="clear" w:color="auto" w:fill="FFFFFF"/>
        <w:spacing w:line="240" w:lineRule="auto"/>
        <w:rPr>
          <w:rFonts w:eastAsia="-moz-fixed" w:cs="-moz-fixed"/>
          <w:szCs w:val="24"/>
          <w:lang w:val="en-US" w:eastAsia="ar-SA"/>
        </w:rPr>
      </w:pPr>
      <w:r w:rsidRPr="00861A1C">
        <w:rPr>
          <w:rFonts w:eastAsia="-moz-fixed" w:cs="-moz-fixed"/>
          <w:szCs w:val="24"/>
          <w:lang w:val="en-US" w:eastAsia="ar-SA"/>
        </w:rPr>
        <w:t xml:space="preserve">FWS 2024. Sand Lake BO. </w:t>
      </w:r>
      <w:hyperlink r:id="rId59" w:history="1">
        <w:r w:rsidRPr="00861A1C">
          <w:rPr>
            <w:rFonts w:eastAsia="-moz-fixed" w:cs="-moz-fixed"/>
            <w:color w:val="0000FF"/>
            <w:szCs w:val="24"/>
            <w:u w:val="single"/>
            <w:lang w:val="en-US" w:eastAsia="ar-SA"/>
          </w:rPr>
          <w:t>https://usfs-public.app.box.com/v/PinyonPublic/file/1483599380416</w:t>
        </w:r>
      </w:hyperlink>
    </w:p>
    <w:p w:rsidR="00861A1C" w:rsidRPr="00861A1C" w:rsidRDefault="00861A1C"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It is important to retain unthinned patches as source areas for spotted owl prey.</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 xml:space="preserve">Sakai  and Noon found the highest number of woodrats in sapling and brushy pole timber (20 – 30 year old) although these stands are seldom used by spotted owls (Forsman) probably because woodrats are inaccessible to the owls.  Still these areas are a good source of woodrats dispersing out into older stands more frequented by foraging spotted owls and accessible to owls hunting along the edges where old forest meets young. </w:t>
      </w: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Heaney, J. 2012. Workshop on spotted owl prey. Ecology of and Habitat Management for the Dusky-Footed and Bushy-Tailed Woodrat. </w:t>
      </w:r>
      <w:hyperlink r:id="rId60" w:history="1">
        <w:r w:rsidRPr="00861A1C">
          <w:rPr>
            <w:rFonts w:eastAsia="-moz-fixed" w:cs="-moz-fixed"/>
            <w:color w:val="0000FF"/>
            <w:szCs w:val="24"/>
            <w:u w:val="single"/>
            <w:lang w:val="en-US" w:eastAsia="ar-SA"/>
          </w:rPr>
          <w:t>http://ecoshare.info/wp-content/uploads/2012/08/Ecology-of-and-Habitat-Management-for-the-Dusky-Footed-woodrat.ppt</w:t>
        </w:r>
      </w:hyperlink>
      <w:r w:rsidRPr="00861A1C">
        <w:rPr>
          <w:rFonts w:eastAsia="-moz-fixed" w:cs="-moz-fixed"/>
          <w:szCs w:val="24"/>
          <w:lang w:val="en-US" w:eastAsia="ar-SA"/>
        </w:rPr>
        <w:t xml:space="preserve"> </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The agency should recognize the long-term effects of captured mortality on the habitat needs of small mammals and spotted owls.</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 xml:space="preserve">Several small mammals, such as the northern flying squirrel form the prey base for the Endangered Species Act (ESA) listed spotted owl and are among the species associated with abundant large dead standing and down wood. This presumably, is why spotted owls prefer to forage in stands with abundant standing and fallen dead wood (Table 2, North et al. 1999). The fruiting bodies of </w:t>
      </w:r>
      <w:proofErr w:type="spellStart"/>
      <w:r w:rsidRPr="00861A1C">
        <w:rPr>
          <w:rFonts w:eastAsia="-moz-fixed" w:cs="-moz-fixed"/>
          <w:szCs w:val="24"/>
          <w:lang w:val="en-US" w:eastAsia="ar-SA"/>
        </w:rPr>
        <w:t>hypogeous</w:t>
      </w:r>
      <w:proofErr w:type="spellEnd"/>
      <w:r w:rsidRPr="00861A1C">
        <w:rPr>
          <w:rFonts w:eastAsia="-moz-fixed" w:cs="-moz-fixed"/>
          <w:szCs w:val="24"/>
          <w:lang w:val="en-US" w:eastAsia="ar-SA"/>
        </w:rPr>
        <w:t xml:space="preserve"> fungi are a food source of northern flying squirrels and are also associated with down logs, suggesting that there are complex, indirect paths through which dead wood supports spotted owls (</w:t>
      </w:r>
      <w:proofErr w:type="spellStart"/>
      <w:r w:rsidRPr="00861A1C">
        <w:rPr>
          <w:rFonts w:eastAsia="-moz-fixed" w:cs="-moz-fixed"/>
          <w:szCs w:val="24"/>
          <w:lang w:val="en-US" w:eastAsia="ar-SA"/>
        </w:rPr>
        <w:t>Amaranthus</w:t>
      </w:r>
      <w:proofErr w:type="spellEnd"/>
      <w:r w:rsidRPr="00861A1C">
        <w:rPr>
          <w:rFonts w:eastAsia="-moz-fixed" w:cs="-moz-fixed"/>
          <w:szCs w:val="24"/>
          <w:lang w:val="en-US" w:eastAsia="ar-SA"/>
        </w:rPr>
        <w:t xml:space="preserve"> et al. 1994, Carey 2000).</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Thomas Spies, Michael Pollock, Gordon Reeves, and Tim Beechie 2013. Effects of Riparian Thinning on Wood Recruitment: A Scientific Synthesis - Science Review Team Wood Recruitment Subgroup. Jan 28, 2013, p 36. </w:t>
      </w:r>
      <w:hyperlink r:id="rId61" w:history="1">
        <w:r w:rsidRPr="00861A1C">
          <w:rPr>
            <w:rFonts w:eastAsia="-moz-fixed" w:cs="-moz-fixed"/>
            <w:color w:val="0000FF"/>
            <w:szCs w:val="24"/>
            <w:u w:val="single"/>
            <w:lang w:val="en-US" w:eastAsia="ar-SA"/>
          </w:rPr>
          <w:t>https://web.archive.org/web/20220120055722/http://www.mediate.com/DSConsulting/docs/FINAL%20wood%20recruitment%20document.pdf</w:t>
        </w:r>
      </w:hyperlink>
      <w:r w:rsidRPr="00861A1C">
        <w:rPr>
          <w:rFonts w:eastAsia="-moz-fixed" w:cs="-moz-fixed"/>
          <w:szCs w:val="24"/>
          <w:lang w:val="en-US" w:eastAsia="ar-SA"/>
        </w:rPr>
        <w:t xml:space="preserve">.  </w:t>
      </w:r>
    </w:p>
    <w:p w:rsidR="00B864C7" w:rsidRDefault="00B864C7" w:rsidP="00861A1C">
      <w:pPr>
        <w:suppressAutoHyphens/>
        <w:spacing w:line="240" w:lineRule="auto"/>
        <w:rPr>
          <w:rFonts w:eastAsia="-moz-fixed" w:cs="-moz-fixed"/>
          <w:szCs w:val="24"/>
          <w:lang w:val="en-US" w:eastAsia="ar-SA"/>
        </w:rPr>
      </w:pP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861A1C">
        <w:rPr>
          <w:rFonts w:eastAsia="-moz-fixed" w:cs="-moz-fixed"/>
          <w:szCs w:val="24"/>
          <w:vertAlign w:val="superscript"/>
          <w:lang w:val="en-US" w:eastAsia="ar-SA"/>
        </w:rPr>
        <w:t>3</w:t>
      </w:r>
      <w:r w:rsidRPr="00861A1C">
        <w:rPr>
          <w:rFonts w:eastAsia="-moz-fixed" w:cs="-moz-fixed"/>
          <w:szCs w:val="24"/>
          <w:lang w:val="en-US" w:eastAsia="ar-SA"/>
        </w:rPr>
        <w:t xml:space="preserve">/ha of intact snags and a high diversity of tree heights had medium or high foraging use by spotted owls. In these old-growth stands, biological legacies (e.g., large </w:t>
      </w:r>
      <w:r w:rsidRPr="00861A1C">
        <w:rPr>
          <w:rFonts w:eastAsia="-moz-fixed" w:cs="-moz-fixed"/>
          <w:szCs w:val="24"/>
          <w:lang w:val="en-US" w:eastAsia="ar-SA"/>
        </w:rPr>
        <w:lastRenderedPageBreak/>
        <w:t xml:space="preserve">trees and snags) produced by past disturbance provide important forest structures associated with spotted owl foraging.” North, Franklin, Carey, Forsman, Hamer. 1999. Forest Stand Structure of the Northern Spotted Owl’s Foraging Habitat. For. Sci. 45(4):520-527. </w:t>
      </w:r>
      <w:hyperlink r:id="rId62" w:history="1">
        <w:r w:rsidRPr="00861A1C">
          <w:rPr>
            <w:rFonts w:eastAsia="-moz-fixed" w:cs="-moz-fixed"/>
            <w:color w:val="0000FF"/>
            <w:szCs w:val="24"/>
            <w:u w:val="single"/>
            <w:lang w:val="en-US" w:eastAsia="ar-SA"/>
          </w:rPr>
          <w:t>https://andrewsforest.oregonstate.edu/sites/default/files/lter/pubs/pdf/pub3549.pdf</w:t>
        </w:r>
      </w:hyperlink>
      <w:r w:rsidRPr="00861A1C">
        <w:rPr>
          <w:rFonts w:eastAsia="-moz-fixed" w:cs="-moz-fixed"/>
          <w:szCs w:val="24"/>
          <w:lang w:val="en-US" w:eastAsia="ar-SA"/>
        </w:rPr>
        <w: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14" w:name="_Toc194591194"/>
      <w:bookmarkStart w:id="15" w:name="_Toc194591190"/>
      <w:bookmarkStart w:id="16" w:name="_Toc195695321"/>
      <w:r w:rsidRPr="00861A1C">
        <w:rPr>
          <w:rFonts w:ascii="Arial" w:eastAsia="-moz-fixed" w:hAnsi="Arial" w:cs="-moz-fixed"/>
          <w:b/>
          <w:sz w:val="28"/>
          <w:szCs w:val="20"/>
          <w:lang w:val="en-US" w:eastAsia="ar-SA"/>
        </w:rPr>
        <w:t>Tree tipping does not fully mitigate for loss of functional wood caused by logging</w:t>
      </w:r>
      <w:bookmarkEnd w:id="14"/>
      <w:bookmarkEnd w:id="16"/>
    </w:p>
    <w:p w:rsidR="00861A1C" w:rsidRPr="00861A1C" w:rsidRDefault="00861A1C" w:rsidP="00861A1C">
      <w:pPr>
        <w:shd w:val="clear" w:color="auto" w:fill="FFFFFF"/>
        <w:suppressAutoHyphens/>
        <w:spacing w:line="240" w:lineRule="auto"/>
        <w:rPr>
          <w:rFonts w:ascii="Arial" w:eastAsia="-moz-fixed" w:hAnsi="Arial"/>
          <w:color w:val="222222"/>
          <w:szCs w:val="24"/>
          <w:lang w:val="en-US" w:eastAsia="ar-SA"/>
        </w:rPr>
      </w:pPr>
    </w:p>
    <w:p w:rsidR="00861A1C" w:rsidRPr="00861A1C" w:rsidRDefault="00861A1C" w:rsidP="00861A1C">
      <w:pPr>
        <w:suppressAutoHyphens/>
        <w:spacing w:line="240" w:lineRule="auto"/>
        <w:rPr>
          <w:rFonts w:eastAsia="-moz-fixed" w:cs="-moz-fixed"/>
          <w:lang w:val="en-US" w:eastAsia="ar-SA"/>
        </w:rPr>
      </w:pPr>
      <w:r w:rsidRPr="00861A1C">
        <w:rPr>
          <w:rFonts w:eastAsia="-moz-fixed" w:cs="-moz-fixed"/>
          <w:lang w:val="en-US" w:eastAsia="ar-SA"/>
        </w:rPr>
        <w:t>Tree tipping by itself (without logging) might provide some aquatic restoration benefits by accelerating recruitment of wood and creating growing space for residual trees, but tree tipping as mitigation for the adverse effects of logging is not well supported.</w:t>
      </w:r>
    </w:p>
    <w:p w:rsidR="00861A1C" w:rsidRPr="00861A1C" w:rsidRDefault="00861A1C" w:rsidP="00861A1C">
      <w:pPr>
        <w:suppressAutoHyphens/>
        <w:spacing w:line="240" w:lineRule="auto"/>
        <w:rPr>
          <w:rFonts w:eastAsia="-moz-fixed" w:cs="-moz-fixed"/>
          <w:lang w:val="en-US" w:eastAsia="ar-SA"/>
        </w:rPr>
      </w:pPr>
    </w:p>
    <w:p w:rsidR="00861A1C" w:rsidRPr="00861A1C" w:rsidRDefault="00861A1C" w:rsidP="00861A1C">
      <w:pPr>
        <w:suppressAutoHyphens/>
        <w:spacing w:line="240" w:lineRule="auto"/>
        <w:rPr>
          <w:rFonts w:eastAsia="-moz-fixed" w:cs="-moz-fixed"/>
          <w:lang w:val="en-US" w:eastAsia="ar-SA"/>
        </w:rPr>
      </w:pPr>
      <w:r w:rsidRPr="00861A1C">
        <w:rPr>
          <w:rFonts w:eastAsia="-moz-fixed" w:cs="-moz-fixed"/>
          <w:lang w:val="en-US" w:eastAsia="ar-SA"/>
        </w:rPr>
        <w:t xml:space="preserve">Chris </w:t>
      </w:r>
      <w:proofErr w:type="spellStart"/>
      <w:r w:rsidRPr="00861A1C">
        <w:rPr>
          <w:rFonts w:eastAsia="-moz-fixed" w:cs="-moz-fixed"/>
          <w:lang w:val="en-US" w:eastAsia="ar-SA"/>
        </w:rPr>
        <w:t>Frissel</w:t>
      </w:r>
      <w:proofErr w:type="spellEnd"/>
      <w:r w:rsidRPr="00861A1C">
        <w:rPr>
          <w:rFonts w:eastAsia="-moz-fixed" w:cs="-moz-fixed"/>
          <w:lang w:val="en-US" w:eastAsia="ar-SA"/>
        </w:rPr>
        <w:t xml:space="preserve"> says—</w:t>
      </w:r>
    </w:p>
    <w:p w:rsidR="00861A1C" w:rsidRPr="00861A1C" w:rsidRDefault="00861A1C" w:rsidP="00861A1C">
      <w:pPr>
        <w:shd w:val="clear" w:color="auto" w:fill="FFFFFF"/>
        <w:spacing w:before="100" w:beforeAutospacing="1" w:after="240" w:line="240" w:lineRule="auto"/>
        <w:ind w:left="720" w:right="1080"/>
        <w:rPr>
          <w:rFonts w:eastAsia="Times New Roman" w:cs="Times New Roman"/>
          <w:color w:val="000000"/>
          <w:lang w:val="en-US"/>
        </w:rPr>
      </w:pPr>
      <w:r w:rsidRPr="00861A1C">
        <w:rPr>
          <w:rFonts w:eastAsia="Times New Roman" w:cs="Times New Roman"/>
          <w:color w:val="000000"/>
          <w:lang w:val="en-US"/>
        </w:rPr>
        <w:t>Benda et al. (2016) recently proposed “tree tipping” as a means of mitigating the effects of thinning on depletion of large wood recruitment.  This idea rests on the premise that setting aside a portion of logged trees within the riparian area for direct felling into stream channels can offset the medium and long-term reduction of wood recruitment to streams when natural mortality is reduced by riparian forest thinning, by increasing the directional efficiency and speed of debris delivery.  While Benda et al.’s successional modeling of wood recruitment effects through a century of post-treatment forest succession produces results similar to Pollock and Beechie (2014) with regard to thinning’s depletion of woody debris sources to streams, we find the utility of this model in justifying management practices is limited due to its simplification and non-specificity of key parameters known to govern natural wood dynamics in riparian areas.  For example, the model appears to represent only riparian areas dominated by stands of high-density post-clearcut Douglas-fir, but this is not a prevalent condition in many riparian areas in the Pacific Northwest, where even within extensive second-growth forest plantations, diverse species of conifer and hardwood trees naturally regenerate within most riparian areas. </w:t>
      </w:r>
    </w:p>
    <w:p w:rsidR="00861A1C" w:rsidRPr="00861A1C" w:rsidRDefault="00861A1C" w:rsidP="00861A1C">
      <w:pPr>
        <w:shd w:val="clear" w:color="auto" w:fill="FFFFFF"/>
        <w:spacing w:before="100" w:beforeAutospacing="1" w:after="240" w:line="240" w:lineRule="auto"/>
        <w:ind w:left="720" w:right="1080"/>
        <w:rPr>
          <w:rFonts w:eastAsia="Times New Roman" w:cs="Times New Roman"/>
          <w:color w:val="000000"/>
          <w:lang w:val="en-US"/>
        </w:rPr>
      </w:pPr>
      <w:r w:rsidRPr="00861A1C">
        <w:rPr>
          <w:rFonts w:eastAsia="Times New Roman" w:cs="Times New Roman"/>
          <w:color w:val="000000"/>
          <w:lang w:val="en-US"/>
        </w:rPr>
        <w:t xml:space="preserve">Moreover, a variety of natural </w:t>
      </w:r>
      <w:proofErr w:type="spellStart"/>
      <w:r w:rsidRPr="00861A1C">
        <w:rPr>
          <w:rFonts w:eastAsia="Times New Roman" w:cs="Times New Roman"/>
          <w:color w:val="000000"/>
          <w:lang w:val="en-US"/>
        </w:rPr>
        <w:t>gap</w:t>
      </w:r>
      <w:proofErr w:type="spellEnd"/>
      <w:r w:rsidRPr="00861A1C">
        <w:rPr>
          <w:rFonts w:eastAsia="Times New Roman" w:cs="Times New Roman"/>
          <w:color w:val="000000"/>
          <w:lang w:val="en-US"/>
        </w:rPr>
        <w:t xml:space="preserve">-creating disturbance processes (Everest &amp; Reeves 2007), including windthrow, flood, fluvial erosion, slope erosion and deposition, herbivory, and pathogens often operate at substantially greater frequency in riparian areas than in adjacent uplands, but this is not acknowledged by Benda et al., nor apparently represented in their model.  Further, Benda et al.’s modeling does not appear to account for accelerated windthrow from increased wind </w:t>
      </w:r>
      <w:proofErr w:type="spellStart"/>
      <w:r w:rsidRPr="00861A1C">
        <w:rPr>
          <w:rFonts w:eastAsia="Times New Roman" w:cs="Times New Roman"/>
          <w:color w:val="000000"/>
          <w:lang w:val="en-US"/>
        </w:rPr>
        <w:t>sheer</w:t>
      </w:r>
      <w:proofErr w:type="spellEnd"/>
      <w:r w:rsidRPr="00861A1C">
        <w:rPr>
          <w:rFonts w:eastAsia="Times New Roman" w:cs="Times New Roman"/>
          <w:color w:val="000000"/>
          <w:lang w:val="en-US"/>
        </w:rPr>
        <w:t xml:space="preserve"> stress in riparian areas that is known to follow logging of adjacent uplands (</w:t>
      </w:r>
      <w:proofErr w:type="spellStart"/>
      <w:r w:rsidRPr="00861A1C">
        <w:rPr>
          <w:rFonts w:eastAsia="Times New Roman" w:cs="Times New Roman"/>
          <w:color w:val="000000"/>
          <w:lang w:val="en-US"/>
        </w:rPr>
        <w:t>Liquori</w:t>
      </w:r>
      <w:proofErr w:type="spellEnd"/>
      <w:r w:rsidRPr="00861A1C">
        <w:rPr>
          <w:rFonts w:eastAsia="Times New Roman" w:cs="Times New Roman"/>
          <w:color w:val="000000"/>
          <w:lang w:val="en-US"/>
        </w:rPr>
        <w:t xml:space="preserve"> 2006, MacDonald et al. 2003, </w:t>
      </w:r>
      <w:proofErr w:type="spellStart"/>
      <w:r w:rsidRPr="00861A1C">
        <w:rPr>
          <w:rFonts w:eastAsia="Times New Roman" w:cs="Times New Roman"/>
          <w:color w:val="000000"/>
          <w:lang w:val="en-US"/>
        </w:rPr>
        <w:t>Huggard</w:t>
      </w:r>
      <w:proofErr w:type="spellEnd"/>
      <w:r w:rsidRPr="00861A1C">
        <w:rPr>
          <w:rFonts w:eastAsia="Times New Roman" w:cs="Times New Roman"/>
          <w:color w:val="000000"/>
          <w:lang w:val="en-US"/>
        </w:rPr>
        <w:t xml:space="preserve"> et al. 1999).  Episodes of windthrow following thinning commonly result in mature live tree and standing snag densities and shade much lower than pre-disturbance conditions, and much lower than predicted by successional models that do not account for change in windthrow vulnerability (C.A. </w:t>
      </w:r>
      <w:proofErr w:type="spellStart"/>
      <w:r w:rsidRPr="00861A1C">
        <w:rPr>
          <w:rFonts w:eastAsia="Times New Roman" w:cs="Times New Roman"/>
          <w:color w:val="000000"/>
          <w:lang w:val="en-US"/>
        </w:rPr>
        <w:t>Frissell</w:t>
      </w:r>
      <w:proofErr w:type="spellEnd"/>
      <w:r w:rsidRPr="00861A1C">
        <w:rPr>
          <w:rFonts w:eastAsia="Times New Roman" w:cs="Times New Roman"/>
          <w:color w:val="000000"/>
          <w:lang w:val="en-US"/>
        </w:rPr>
        <w:t xml:space="preserve"> and M. Pollock, unpublished data). Moreover post-logging windthrow in riparian areas either replaces, or greatly magnifies the desired effect of tree tipping—that is, increasing wood recruitment in the near term by reducing the supply of large wood to support recruitment to streams in future decades (</w:t>
      </w:r>
      <w:proofErr w:type="spellStart"/>
      <w:r w:rsidRPr="00861A1C">
        <w:rPr>
          <w:rFonts w:eastAsia="Times New Roman" w:cs="Times New Roman"/>
          <w:color w:val="000000"/>
          <w:lang w:val="en-US"/>
        </w:rPr>
        <w:t>Liquori</w:t>
      </w:r>
      <w:proofErr w:type="spellEnd"/>
      <w:r w:rsidRPr="00861A1C">
        <w:rPr>
          <w:rFonts w:eastAsia="Times New Roman" w:cs="Times New Roman"/>
          <w:color w:val="000000"/>
          <w:lang w:val="en-US"/>
        </w:rPr>
        <w:t xml:space="preserve"> 2006). </w:t>
      </w:r>
    </w:p>
    <w:p w:rsidR="00861A1C" w:rsidRPr="00861A1C" w:rsidRDefault="00861A1C" w:rsidP="00861A1C">
      <w:pPr>
        <w:shd w:val="clear" w:color="auto" w:fill="FFFFFF"/>
        <w:spacing w:before="100" w:beforeAutospacing="1" w:after="240" w:line="240" w:lineRule="auto"/>
        <w:ind w:left="720" w:right="1080"/>
        <w:rPr>
          <w:rFonts w:eastAsia="Times New Roman" w:cs="Times New Roman"/>
          <w:color w:val="000000"/>
          <w:lang w:val="en-US"/>
        </w:rPr>
      </w:pPr>
      <w:r w:rsidRPr="00861A1C">
        <w:rPr>
          <w:rFonts w:eastAsia="Times New Roman" w:cs="Times New Roman"/>
          <w:color w:val="000000"/>
          <w:lang w:val="en-US"/>
        </w:rPr>
        <w:lastRenderedPageBreak/>
        <w:t xml:space="preserve">Benda et al. justify thinning in riparian areas on the basis of increasing the growth and eventual size of trees that are left uncut, but they do not detail the conditions under which tree size is ecologically critical;  more smaller pieces that are well-distributed and recruit frequently may convey more habitat benefit over time to some species and functions than do fewer, far more scattered larger pieces, except in very large streams where channel width exceeds the length of tree boles (Pollock and Beechie 2014, Collins et al. 2002)    Consideration of windthrow effects likely renders tree tipping redundant or undesirable—for example, beyond the depletion effect on future wood recruitment of hastened tree mortality, the cumulative shade losses associated with thinning, tree tipping, and subsequent windthrow (MacDonald et al. 2003, Burton et al. 2016) are likely to often produce stream warming that is harmful to </w:t>
      </w:r>
      <w:proofErr w:type="spellStart"/>
      <w:r w:rsidRPr="00861A1C">
        <w:rPr>
          <w:rFonts w:eastAsia="Times New Roman" w:cs="Times New Roman"/>
          <w:color w:val="000000"/>
          <w:lang w:val="en-US"/>
        </w:rPr>
        <w:t>coldwater</w:t>
      </w:r>
      <w:proofErr w:type="spellEnd"/>
      <w:r w:rsidRPr="00861A1C">
        <w:rPr>
          <w:rFonts w:eastAsia="Times New Roman" w:cs="Times New Roman"/>
          <w:color w:val="000000"/>
          <w:lang w:val="en-US"/>
        </w:rPr>
        <w:t xml:space="preserve"> fishes, amphibians, and other biota.</w:t>
      </w:r>
    </w:p>
    <w:p w:rsidR="00861A1C" w:rsidRDefault="00861A1C" w:rsidP="00861A1C">
      <w:pPr>
        <w:shd w:val="clear" w:color="auto" w:fill="FFFFFF"/>
        <w:spacing w:before="100" w:beforeAutospacing="1" w:after="240" w:line="240" w:lineRule="auto"/>
        <w:ind w:left="720" w:right="1080"/>
        <w:rPr>
          <w:rFonts w:eastAsia="Times New Roman" w:cs="Times New Roman"/>
          <w:color w:val="000000"/>
          <w:lang w:val="en-US"/>
        </w:rPr>
      </w:pPr>
      <w:r w:rsidRPr="00861A1C">
        <w:rPr>
          <w:rFonts w:eastAsia="Times New Roman" w:cs="Times New Roman"/>
          <w:color w:val="000000"/>
          <w:lang w:val="en-US"/>
        </w:rPr>
        <w:t xml:space="preserve">Another major concern is feasibility of implementation.  According to the findings of Benda et al., tree tipping could only reach the ideal levels of sustainable debris recruitment sufficient to offset the wood-depleting effects of thinning if an unlogged buffer of 10-30 m is left along streams (to support future natural wood recruitment to the stream), and thinning and tree tipping are implemented along both sides of the stream.  This means extensive mechanized equipment operations alongside both streambanks, in near-stream areas that often include highly erodible soils and erosion-prone slopes.   Skid trails and soil disturbance by logging equipment within about 60-220 m of steams can produce </w:t>
      </w:r>
      <w:proofErr w:type="spellStart"/>
      <w:r w:rsidRPr="00861A1C">
        <w:rPr>
          <w:rFonts w:eastAsia="Times New Roman" w:cs="Times New Roman"/>
          <w:color w:val="000000"/>
          <w:lang w:val="en-US"/>
        </w:rPr>
        <w:t>rilling</w:t>
      </w:r>
      <w:proofErr w:type="spellEnd"/>
      <w:r w:rsidRPr="00861A1C">
        <w:rPr>
          <w:rFonts w:eastAsia="Times New Roman" w:cs="Times New Roman"/>
          <w:color w:val="000000"/>
          <w:lang w:val="en-US"/>
        </w:rPr>
        <w:t xml:space="preserve"> or gully erosion that delivers sediment to channels (</w:t>
      </w:r>
      <w:proofErr w:type="spellStart"/>
      <w:r w:rsidRPr="00861A1C">
        <w:rPr>
          <w:rFonts w:eastAsia="Times New Roman" w:cs="Times New Roman"/>
          <w:color w:val="000000"/>
          <w:lang w:val="en-US"/>
        </w:rPr>
        <w:t>Rashin</w:t>
      </w:r>
      <w:proofErr w:type="spellEnd"/>
      <w:r w:rsidRPr="00861A1C">
        <w:rPr>
          <w:rFonts w:eastAsia="Times New Roman" w:cs="Times New Roman"/>
          <w:color w:val="000000"/>
          <w:lang w:val="en-US"/>
        </w:rPr>
        <w:t xml:space="preserve"> et al. 2006, </w:t>
      </w:r>
      <w:proofErr w:type="spellStart"/>
      <w:r w:rsidRPr="00861A1C">
        <w:rPr>
          <w:rFonts w:eastAsia="Times New Roman" w:cs="Times New Roman"/>
          <w:color w:val="000000"/>
          <w:lang w:val="en-US"/>
        </w:rPr>
        <w:t>Litschert</w:t>
      </w:r>
      <w:proofErr w:type="spellEnd"/>
      <w:r w:rsidRPr="00861A1C">
        <w:rPr>
          <w:rFonts w:eastAsia="Times New Roman" w:cs="Times New Roman"/>
          <w:color w:val="000000"/>
          <w:lang w:val="en-US"/>
        </w:rPr>
        <w:t xml:space="preserve"> and MacDonald 2009).   Because much logging within the Pacific Northwest occurs in rainfall-dominated rather than snow-dominated areas, there is limited opportunity to mitigate erosion by operating logging equipment over snow and frozen ground.  Therefore the primary mitigation measure for reducing sediment delivery to streams from logging disturbances is to exclude ground-based equipment operations within a zone from 60-200 m of surface waters. Such an exclusion greatly limits capability to access riparian forests for aggressive management measures like tree tipping. Finally, directional felling of trees from an outer riparian zone through an unlogged inner riparian stand of 10-30 m width is a difficult proposition.  Many felled trees are certain to “hang up” on standing trees under this condition, and are unlikely to reach the intended stream channel. As a result many more trees would have to be cut than acknowledged in the Benda et al. analysis to attain the in-channel tree tipping targets specified as necessary to mitigate thinning-related debris losses—causing further ancillary harms as outlined above.</w:t>
      </w:r>
    </w:p>
    <w:p w:rsidR="000E0AAC" w:rsidRDefault="000E0AAC" w:rsidP="000E0AAC">
      <w:pPr>
        <w:pStyle w:val="Heading2"/>
        <w:rPr>
          <w:lang w:val="en-US" w:eastAsia="ar-SA"/>
        </w:rPr>
      </w:pPr>
      <w:bookmarkStart w:id="17" w:name="_Toc195695322"/>
      <w:r w:rsidRPr="000E0AAC">
        <w:rPr>
          <w:lang w:val="en-US" w:eastAsia="ar-SA"/>
        </w:rPr>
        <w:t>Thinning will increase drought stress on trees already experiencing stress from climate change.</w:t>
      </w:r>
      <w:bookmarkEnd w:id="17"/>
      <w:r w:rsidRPr="000E0AAC">
        <w:rPr>
          <w:lang w:val="en-US" w:eastAsia="ar-SA"/>
        </w:rPr>
        <w:t xml:space="preserve"> </w:t>
      </w:r>
    </w:p>
    <w:p w:rsidR="000E0AAC" w:rsidRDefault="0066506E" w:rsidP="000E0AAC">
      <w:pPr>
        <w:suppressAutoHyphens/>
        <w:spacing w:line="240" w:lineRule="auto"/>
        <w:contextualSpacing/>
        <w:rPr>
          <w:rFonts w:eastAsia="Cambria Math" w:cs="Cambria Math"/>
          <w:lang w:val="en-US" w:eastAsia="ar-SA"/>
        </w:rPr>
      </w:pPr>
      <w:r>
        <w:rPr>
          <w:rFonts w:eastAsia="Cambria Math" w:cs="Times New Roman"/>
          <w:lang w:val="en-US" w:eastAsia="ar-SA"/>
        </w:rPr>
        <w:t xml:space="preserve">The draft EA analysis of climate change is lacking consideration of key science. </w:t>
      </w:r>
      <w:r>
        <w:rPr>
          <w:rFonts w:cs="Times New Roman"/>
        </w:rPr>
        <w:t>The EA says “</w:t>
      </w:r>
      <w:r>
        <w:t xml:space="preserve">thinning could improve the residual stands’ resistance and resiliency to projected effects of climate change” but the </w:t>
      </w:r>
      <w:r>
        <w:rPr>
          <w:rFonts w:cs="Times New Roman"/>
        </w:rPr>
        <w:t xml:space="preserve">NEPA analysis should consider new evidence that thinning may make forests less resilient instead of more resilient to drought. </w:t>
      </w:r>
      <w:r w:rsidR="000E0AAC" w:rsidRPr="000E0AAC">
        <w:rPr>
          <w:rFonts w:eastAsia="Cambria Math" w:cs="Times New Roman"/>
          <w:lang w:val="en-US" w:eastAsia="ar-SA"/>
        </w:rPr>
        <w:t xml:space="preserve">Thinning will increase penetration of warm dry air into the stand and expose trees to greater vapor pressure deficit. </w:t>
      </w:r>
      <w:r w:rsidR="000E0AAC" w:rsidRPr="000E0AAC">
        <w:rPr>
          <w:rFonts w:eastAsia="Cambria Math" w:cs="Cambria Math"/>
          <w:lang w:val="en-US" w:eastAsia="ar-SA"/>
        </w:rPr>
        <w:t xml:space="preserve">There is new evidence that drought stress experienced by Douglas-fir trees is less a function of soil water </w:t>
      </w:r>
      <w:r w:rsidR="000E0AAC" w:rsidRPr="000E0AAC">
        <w:rPr>
          <w:rFonts w:eastAsia="Cambria Math" w:cs="Cambria Math"/>
          <w:lang w:val="en-US" w:eastAsia="ar-SA"/>
        </w:rPr>
        <w:lastRenderedPageBreak/>
        <w:t>availability, but is rather strongly related to atmospheric water availability, specifically vapor pressure deficit. Tree density and thinning may have some minor effect on soil water, but will have no beneficial effect on atmospheric water availability, so thinning is much less likely to provide beneficial effects on tree stress than previously believed. In fact, thinning likely increases drought stress on trees by increasing penetration of warm dry air within thinned forest stands. Lighter thinning would partially mitigate the effect compared to heavy thinning. The agency should consider and disclose these effects and consider a mitigating alternative with light non-commercial thinning of the understory.</w:t>
      </w:r>
    </w:p>
    <w:p w:rsidR="00D714B6" w:rsidRPr="000E0AAC" w:rsidRDefault="00D714B6" w:rsidP="000E0AAC">
      <w:pPr>
        <w:suppressAutoHyphens/>
        <w:spacing w:line="240" w:lineRule="auto"/>
        <w:contextualSpacing/>
        <w:rPr>
          <w:rFonts w:eastAsia="Cambria Math" w:cs="Times New Roman"/>
          <w:lang w:val="en-US" w:eastAsia="ar-SA"/>
        </w:rPr>
      </w:pPr>
    </w:p>
    <w:p w:rsidR="000E0AAC" w:rsidRPr="000E0AAC" w:rsidRDefault="000E0AAC" w:rsidP="0066506E">
      <w:pPr>
        <w:suppressAutoHyphens/>
        <w:spacing w:line="240" w:lineRule="auto"/>
        <w:rPr>
          <w:rFonts w:eastAsia="-moz-fixed" w:cs="-moz-fixed"/>
          <w:szCs w:val="20"/>
          <w:lang w:val="en-US" w:eastAsia="ar-SA"/>
        </w:rPr>
      </w:pPr>
      <w:r w:rsidRPr="000E0AAC">
        <w:rPr>
          <w:rFonts w:eastAsia="-moz-fixed" w:cs="-moz-fixed"/>
          <w:szCs w:val="20"/>
          <w:lang w:val="en-US" w:eastAsia="ar-SA"/>
        </w:rPr>
        <w:t>Atmospheric water demand, not soil moisture availability, appears to be the primary cause of tree water stress in the late summer. Temperature-driven increases in vapor pressure deficit from climate change are likely to reduce forest productivity regardless of soil moisture availability.</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 xml:space="preserve">“How in the world can the trees be water stressed if they haven’t used all the water available in the soil?”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xml:space="preserve"> recalls pondering. “We spent a lot of time at the whiteboard asking ourselves, ‘Is this data actually correct?’” recalls </w:t>
      </w:r>
      <w:proofErr w:type="spellStart"/>
      <w:r w:rsidRPr="000E0AAC">
        <w:rPr>
          <w:rFonts w:eastAsia="-moz-fixed" w:cs="-moz-fixed"/>
          <w:szCs w:val="20"/>
          <w:lang w:val="en-US" w:eastAsia="ar-SA"/>
        </w:rPr>
        <w:t>Bladon</w:t>
      </w:r>
      <w:proofErr w:type="spellEnd"/>
      <w:r w:rsidRPr="000E0AAC">
        <w:rPr>
          <w:rFonts w:eastAsia="-moz-fixed" w:cs="-moz-fixed"/>
          <w:szCs w:val="20"/>
          <w:lang w:val="en-US" w:eastAsia="ar-SA"/>
        </w:rPr>
        <w:t>.</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 xml:space="preserve">In 2018, </w:t>
      </w:r>
      <w:proofErr w:type="spellStart"/>
      <w:r w:rsidRPr="000E0AAC">
        <w:rPr>
          <w:rFonts w:eastAsia="-moz-fixed" w:cs="-moz-fixed"/>
          <w:szCs w:val="20"/>
          <w:lang w:val="en-US" w:eastAsia="ar-SA"/>
        </w:rPr>
        <w:t>Jarecke</w:t>
      </w:r>
      <w:proofErr w:type="spellEnd"/>
      <w:r w:rsidRPr="000E0AAC">
        <w:rPr>
          <w:rFonts w:eastAsia="-moz-fixed" w:cs="-moz-fixed"/>
          <w:szCs w:val="20"/>
          <w:lang w:val="en-US" w:eastAsia="ar-SA"/>
        </w:rPr>
        <w:t xml:space="preserve"> read up on other studies that researched why trees might experience drought stress. What she learned was that the drought stress could be coming from aboveground. “New studies were emphasizing the impact of increasing vapor pressure deficit on tree water stress,” she explains. “And there’s a misconception in forest management on how we’ve been thinking about water stress being all about the belowground drought stress.”</w:t>
      </w:r>
    </w:p>
    <w:p w:rsidR="000E0AAC" w:rsidRPr="000E0AAC" w:rsidRDefault="000E0AAC" w:rsidP="0066506E">
      <w:pPr>
        <w:suppressAutoHyphens/>
        <w:spacing w:line="240" w:lineRule="auto"/>
        <w:ind w:left="720"/>
        <w:rPr>
          <w:rFonts w:eastAsia="-moz-fixed" w:cs="-moz-fixed"/>
          <w:szCs w:val="20"/>
          <w:lang w:val="en-US" w:eastAsia="ar-SA"/>
        </w:rPr>
      </w:pPr>
      <w:proofErr w:type="spellStart"/>
      <w:r w:rsidRPr="000E0AAC">
        <w:rPr>
          <w:rFonts w:eastAsia="-moz-fixed" w:cs="-moz-fixed"/>
          <w:szCs w:val="20"/>
          <w:lang w:val="en-US" w:eastAsia="ar-SA"/>
        </w:rPr>
        <w:t>Jarecke</w:t>
      </w:r>
      <w:proofErr w:type="spellEnd"/>
      <w:r w:rsidRPr="000E0AAC">
        <w:rPr>
          <w:rFonts w:eastAsia="-moz-fixed" w:cs="-moz-fixed"/>
          <w:szCs w:val="20"/>
          <w:lang w:val="en-US" w:eastAsia="ar-SA"/>
        </w:rPr>
        <w:t xml:space="preserve"> describes vapor pressure deficit (VPD) as the “drying power of the atmosphere” or phrased another way, how much water vapor or humidity is needed to saturate the air at a given temperature. Hot air can hold more moisture than cold air, which means as temperatures increase without a corresponding increase in humidity, VPD increases. So, how does VPD affect trees? “You can think of a tree as a cluster of tiny straws,” explains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“As the soil dries out, the tree finds it harder and harder to pull soil water into the bottom of these straws. Conversely, aboveground it is the dryness of the air that does the pulling. And as the air gets drier, it pulls harder and harder on the water at the top of the straws.”</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Latewood carbon isotope composition was most strongly correlated to mean daytime VPD between May and September and total rainfall between May and August. The researchers noticed that increased VPD during June, when there was still plenty of soil moisture, decreased the latewood growth, which lent weight to the hypothesis that VPD limits growth even when soil moisture is plentiful.</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 xml:space="preserve">… Karla’s research strongly suggests that at her study site, these trees are highly sensitive to vapor pressure deficit,”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xml:space="preserve"> says. “Of course, they’re also sensitive to rainfall, but it’s actually vapor pressure deficit that is by far and away the bigger driver.”</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w:t>
      </w:r>
    </w:p>
    <w:p w:rsidR="000E0AAC" w:rsidRPr="000E0AAC" w:rsidRDefault="000E0AAC" w:rsidP="0066506E">
      <w:pPr>
        <w:suppressAutoHyphens/>
        <w:spacing w:line="240" w:lineRule="auto"/>
        <w:ind w:left="720"/>
        <w:rPr>
          <w:rFonts w:eastAsia="-moz-fixed" w:cs="-moz-fixed"/>
          <w:szCs w:val="20"/>
          <w:lang w:val="en-US" w:eastAsia="ar-SA"/>
        </w:rPr>
      </w:pPr>
      <w:r w:rsidRPr="000E0AAC">
        <w:rPr>
          <w:rFonts w:eastAsia="-moz-fixed" w:cs="-moz-fixed"/>
          <w:szCs w:val="20"/>
          <w:lang w:val="en-US" w:eastAsia="ar-SA"/>
        </w:rPr>
        <w:t>If vapor pressure deficit is a primary cause of water stress and a primary limitation to tree growth during the long, dry summers typical of western Oregon, thinning could prove ineffective, or even counterproductive, for increasing drought resilience. Thinning a stand could allow penetration of hot, dry air deeper into the canopy, potentially increasing tree water stress.</w:t>
      </w:r>
    </w:p>
    <w:p w:rsidR="000E0AAC" w:rsidRDefault="000E0AAC" w:rsidP="0066506E">
      <w:pPr>
        <w:suppressAutoHyphens/>
        <w:spacing w:line="240" w:lineRule="auto"/>
        <w:rPr>
          <w:rFonts w:eastAsia="-moz-fixed" w:cs="-moz-fixed"/>
          <w:szCs w:val="20"/>
          <w:lang w:val="en-US" w:eastAsia="ar-SA"/>
        </w:rPr>
      </w:pPr>
      <w:r w:rsidRPr="000E0AAC">
        <w:rPr>
          <w:rFonts w:eastAsia="-moz-fixed" w:cs="-moz-fixed"/>
          <w:szCs w:val="20"/>
          <w:lang w:val="en-US" w:eastAsia="ar-SA"/>
        </w:rPr>
        <w:t xml:space="preserve">Watts, Andrea;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xml:space="preserve">, Steve; </w:t>
      </w:r>
      <w:proofErr w:type="spellStart"/>
      <w:r w:rsidRPr="000E0AAC">
        <w:rPr>
          <w:rFonts w:eastAsia="-moz-fixed" w:cs="-moz-fixed"/>
          <w:szCs w:val="20"/>
          <w:lang w:val="en-US" w:eastAsia="ar-SA"/>
        </w:rPr>
        <w:t>Jarecke</w:t>
      </w:r>
      <w:proofErr w:type="spellEnd"/>
      <w:r w:rsidRPr="000E0AAC">
        <w:rPr>
          <w:rFonts w:eastAsia="-moz-fixed" w:cs="-moz-fixed"/>
          <w:szCs w:val="20"/>
          <w:lang w:val="en-US" w:eastAsia="ar-SA"/>
        </w:rPr>
        <w:t xml:space="preserve">, Karla; </w:t>
      </w:r>
      <w:proofErr w:type="spellStart"/>
      <w:r w:rsidRPr="000E0AAC">
        <w:rPr>
          <w:rFonts w:eastAsia="-moz-fixed" w:cs="-moz-fixed"/>
          <w:szCs w:val="20"/>
          <w:lang w:val="en-US" w:eastAsia="ar-SA"/>
        </w:rPr>
        <w:t>Bladon</w:t>
      </w:r>
      <w:proofErr w:type="spellEnd"/>
      <w:r w:rsidRPr="000E0AAC">
        <w:rPr>
          <w:rFonts w:eastAsia="-moz-fixed" w:cs="-moz-fixed"/>
          <w:szCs w:val="20"/>
          <w:lang w:val="en-US" w:eastAsia="ar-SA"/>
        </w:rPr>
        <w:t xml:space="preserve">, Kevin. 2024. Hot air or dry dirt: Investigating the greater drought risk to forests in the Pacific Northwest. Science Findings 268. Portland, OR: U.S. Department of Agriculture, Forest Service, Pacific Northwest Research </w:t>
      </w:r>
      <w:r w:rsidRPr="000E0AAC">
        <w:rPr>
          <w:rFonts w:eastAsia="-moz-fixed" w:cs="-moz-fixed"/>
          <w:szCs w:val="20"/>
          <w:lang w:val="en-US" w:eastAsia="ar-SA"/>
        </w:rPr>
        <w:lastRenderedPageBreak/>
        <w:t xml:space="preserve">Station. 6 p. </w:t>
      </w:r>
      <w:hyperlink r:id="rId63" w:history="1">
        <w:r w:rsidRPr="000E0AAC">
          <w:rPr>
            <w:rFonts w:eastAsia="-moz-fixed" w:cs="-moz-fixed"/>
            <w:color w:val="0000FF"/>
            <w:szCs w:val="20"/>
            <w:u w:val="single"/>
            <w:lang w:val="en-US" w:eastAsia="ar-SA"/>
          </w:rPr>
          <w:t>https://www.fs.usda.gov/pnw/sciencef/scifi268.pdf</w:t>
        </w:r>
      </w:hyperlink>
      <w:r w:rsidRPr="000E0AAC">
        <w:rPr>
          <w:rFonts w:eastAsia="-moz-fixed" w:cs="-moz-fixed"/>
          <w:szCs w:val="20"/>
          <w:lang w:val="en-US" w:eastAsia="ar-SA"/>
        </w:rPr>
        <w:t xml:space="preserve">. See also, Karla M. </w:t>
      </w:r>
      <w:proofErr w:type="spellStart"/>
      <w:r w:rsidRPr="000E0AAC">
        <w:rPr>
          <w:rFonts w:eastAsia="-moz-fixed" w:cs="-moz-fixed"/>
          <w:szCs w:val="20"/>
          <w:lang w:val="en-US" w:eastAsia="ar-SA"/>
        </w:rPr>
        <w:t>Jarecke</w:t>
      </w:r>
      <w:proofErr w:type="spellEnd"/>
      <w:r w:rsidRPr="000E0AAC">
        <w:rPr>
          <w:rFonts w:eastAsia="-moz-fixed" w:cs="-moz-fixed"/>
          <w:szCs w:val="20"/>
          <w:lang w:val="en-US" w:eastAsia="ar-SA"/>
        </w:rPr>
        <w:t xml:space="preserve">, </w:t>
      </w:r>
      <w:proofErr w:type="spellStart"/>
      <w:r w:rsidRPr="000E0AAC">
        <w:rPr>
          <w:rFonts w:eastAsia="-moz-fixed" w:cs="-moz-fixed"/>
          <w:szCs w:val="20"/>
          <w:lang w:val="en-US" w:eastAsia="ar-SA"/>
        </w:rPr>
        <w:t>Linnia</w:t>
      </w:r>
      <w:proofErr w:type="spellEnd"/>
      <w:r w:rsidRPr="000E0AAC">
        <w:rPr>
          <w:rFonts w:eastAsia="-moz-fixed" w:cs="-moz-fixed"/>
          <w:szCs w:val="20"/>
          <w:lang w:val="en-US" w:eastAsia="ar-SA"/>
        </w:rPr>
        <w:t xml:space="preserve"> R. Hawkins, Kevin D. </w:t>
      </w:r>
      <w:proofErr w:type="spellStart"/>
      <w:r w:rsidRPr="000E0AAC">
        <w:rPr>
          <w:rFonts w:eastAsia="-moz-fixed" w:cs="-moz-fixed"/>
          <w:szCs w:val="20"/>
          <w:lang w:val="en-US" w:eastAsia="ar-SA"/>
        </w:rPr>
        <w:t>Bladon</w:t>
      </w:r>
      <w:proofErr w:type="spellEnd"/>
      <w:r w:rsidRPr="000E0AAC">
        <w:rPr>
          <w:rFonts w:eastAsia="-moz-fixed" w:cs="-moz-fixed"/>
          <w:szCs w:val="20"/>
          <w:lang w:val="en-US" w:eastAsia="ar-SA"/>
        </w:rPr>
        <w:t xml:space="preserve">, Steven M.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xml:space="preserve"> 2023. Carbon uptake by Douglas-fir is more sensitive to increased temperature and vapor pressure deficit than reduced rainfall in the western Cascade Mountains, Oregon, USA. Agricultural and Forest Meteorology, Volume 329, 15 February 2023, 109267. </w:t>
      </w:r>
      <w:hyperlink r:id="rId64" w:history="1">
        <w:r w:rsidRPr="000E0AAC">
          <w:rPr>
            <w:rFonts w:eastAsia="-moz-fixed" w:cs="-moz-fixed"/>
            <w:color w:val="0000FF"/>
            <w:szCs w:val="20"/>
            <w:u w:val="single"/>
            <w:lang w:val="en-US" w:eastAsia="ar-SA"/>
          </w:rPr>
          <w:t>https://www.sciencedirect.com/science/article/abs/pii/S0168192322004543</w:t>
        </w:r>
      </w:hyperlink>
      <w:r w:rsidRPr="000E0AAC">
        <w:rPr>
          <w:rFonts w:eastAsia="-moz-fixed" w:cs="-moz-fixed"/>
          <w:szCs w:val="20"/>
          <w:lang w:val="en-US" w:eastAsia="ar-SA"/>
        </w:rPr>
        <w:t xml:space="preserve">. See also, Watts, Andrea; </w:t>
      </w:r>
      <w:proofErr w:type="spellStart"/>
      <w:r w:rsidRPr="000E0AAC">
        <w:rPr>
          <w:rFonts w:eastAsia="-moz-fixed" w:cs="-moz-fixed"/>
          <w:szCs w:val="20"/>
          <w:lang w:val="en-US" w:eastAsia="ar-SA"/>
        </w:rPr>
        <w:t>Wondzell</w:t>
      </w:r>
      <w:proofErr w:type="spellEnd"/>
      <w:r w:rsidRPr="000E0AAC">
        <w:rPr>
          <w:rFonts w:eastAsia="-moz-fixed" w:cs="-moz-fixed"/>
          <w:szCs w:val="20"/>
          <w:lang w:val="en-US" w:eastAsia="ar-SA"/>
        </w:rPr>
        <w:t xml:space="preserve">, Steve; </w:t>
      </w:r>
      <w:proofErr w:type="spellStart"/>
      <w:r w:rsidRPr="000E0AAC">
        <w:rPr>
          <w:rFonts w:eastAsia="-moz-fixed" w:cs="-moz-fixed"/>
          <w:szCs w:val="20"/>
          <w:lang w:val="en-US" w:eastAsia="ar-SA"/>
        </w:rPr>
        <w:t>Jarecke</w:t>
      </w:r>
      <w:proofErr w:type="spellEnd"/>
      <w:r w:rsidRPr="000E0AAC">
        <w:rPr>
          <w:rFonts w:eastAsia="-moz-fixed" w:cs="-moz-fixed"/>
          <w:szCs w:val="20"/>
          <w:lang w:val="en-US" w:eastAsia="ar-SA"/>
        </w:rPr>
        <w:t xml:space="preserve">, Karla; </w:t>
      </w:r>
      <w:proofErr w:type="spellStart"/>
      <w:r w:rsidRPr="000E0AAC">
        <w:rPr>
          <w:rFonts w:eastAsia="-moz-fixed" w:cs="-moz-fixed"/>
          <w:szCs w:val="20"/>
          <w:lang w:val="en-US" w:eastAsia="ar-SA"/>
        </w:rPr>
        <w:t>Bladon</w:t>
      </w:r>
      <w:proofErr w:type="spellEnd"/>
      <w:r w:rsidRPr="000E0AAC">
        <w:rPr>
          <w:rFonts w:eastAsia="-moz-fixed" w:cs="-moz-fixed"/>
          <w:szCs w:val="20"/>
          <w:lang w:val="en-US" w:eastAsia="ar-SA"/>
        </w:rPr>
        <w:t xml:space="preserve">, Kevin. 2024. Hot air or dry dirt: Investigating the greater drought risk to forests in the Pacific Northwest. Science Findings 268. Portland, OR: U.S. Department of Agriculture, Forest Service, Pacific Northwest Research Station. 6 p. </w:t>
      </w:r>
      <w:hyperlink r:id="rId65" w:history="1">
        <w:r w:rsidRPr="000E0AAC">
          <w:rPr>
            <w:rFonts w:eastAsia="-moz-fixed" w:cs="-moz-fixed"/>
            <w:color w:val="0000FF"/>
            <w:szCs w:val="20"/>
            <w:u w:val="single"/>
            <w:lang w:val="en-US" w:eastAsia="ar-SA"/>
          </w:rPr>
          <w:t>https://www.fs.usda.gov/pnw/sciencef/scifi268.pdf</w:t>
        </w:r>
      </w:hyperlink>
      <w:r w:rsidRPr="000E0AAC">
        <w:rPr>
          <w:rFonts w:eastAsia="-moz-fixed" w:cs="-moz-fixed"/>
          <w:szCs w:val="20"/>
          <w:lang w:val="en-US" w:eastAsia="ar-SA"/>
        </w:rPr>
        <w:t xml:space="preserve">. (“. Atmospheric water demand, not soil moisture availability, appears to be the primary cause of tree water stress in the late summer. … </w:t>
      </w:r>
      <w:r w:rsidRPr="000E0AAC">
        <w:rPr>
          <w:rFonts w:eastAsia="-moz-fixed" w:cs="-moz-fixed"/>
          <w:i/>
          <w:szCs w:val="20"/>
          <w:lang w:val="en-US" w:eastAsia="ar-SA"/>
        </w:rPr>
        <w:t xml:space="preserve">Management Implications … </w:t>
      </w:r>
      <w:r w:rsidRPr="000E0AAC">
        <w:rPr>
          <w:rFonts w:eastAsia="-moz-fixed" w:cs="-moz-fixed"/>
          <w:szCs w:val="20"/>
          <w:lang w:val="en-US" w:eastAsia="ar-SA"/>
        </w:rPr>
        <w:t xml:space="preserve">• The sensitivity of </w:t>
      </w:r>
      <w:proofErr w:type="spellStart"/>
      <w:r w:rsidRPr="000E0AAC">
        <w:rPr>
          <w:rFonts w:eastAsia="-moz-fixed" w:cs="-moz-fixed"/>
          <w:szCs w:val="20"/>
          <w:lang w:val="en-US" w:eastAsia="ar-SA"/>
        </w:rPr>
        <w:t>Dougals</w:t>
      </w:r>
      <w:proofErr w:type="spellEnd"/>
      <w:r w:rsidRPr="000E0AAC">
        <w:rPr>
          <w:rFonts w:eastAsia="-moz-fixed" w:cs="-moz-fixed"/>
          <w:szCs w:val="20"/>
          <w:lang w:val="en-US" w:eastAsia="ar-SA"/>
        </w:rPr>
        <w:t>-fir water stress to vapor pressure deficit has critical implications to managing forests of western Oregon for drought resiliency in a changing climate. Hotter summer temperatures expected from climate change are likely to drive higher vapor pressure deficit and exacerbate water stress in the future. • If vapor pressure deficit is a primary cause of water stress and a primary limitation to tree growth during the long, dry summers typical of western Oregon, thinning could prove ineffective, or even counterproductive, for increasing drought resilience. Thinning a stand could allow penetration of hot, dry air deeper into the canopy, potentially increasing tree water stress.”).</w:t>
      </w:r>
    </w:p>
    <w:p w:rsidR="003F6777" w:rsidRDefault="003F6777" w:rsidP="0066506E">
      <w:pPr>
        <w:suppressAutoHyphens/>
        <w:spacing w:line="240" w:lineRule="auto"/>
        <w:rPr>
          <w:rFonts w:eastAsia="-moz-fixed" w:cs="-moz-fixed"/>
          <w:szCs w:val="20"/>
          <w:lang w:val="en-US" w:eastAsia="ar-SA"/>
        </w:rPr>
      </w:pPr>
    </w:p>
    <w:p w:rsidR="003F6777" w:rsidRDefault="003F6777" w:rsidP="0066506E">
      <w:pPr>
        <w:suppressAutoHyphens/>
        <w:spacing w:line="240" w:lineRule="auto"/>
        <w:rPr>
          <w:rFonts w:eastAsia="-moz-fixed" w:cs="-moz-fixed"/>
          <w:szCs w:val="20"/>
          <w:lang w:val="en-US" w:eastAsia="ar-SA"/>
        </w:rPr>
      </w:pPr>
      <w:r>
        <w:rPr>
          <w:rFonts w:eastAsia="-moz-fixed" w:cs="-moz-fixed"/>
          <w:szCs w:val="20"/>
          <w:lang w:val="en-US" w:eastAsia="ar-SA"/>
        </w:rPr>
        <w:t>The draft EA has some disclosure of the effects of thinning and not thinning on carbon stocks but the analysis does not compare the effects of alternatives. It is important for the public and the decision-maker to understand that thinning will transfer tons of carbo to the atmosphere and exacerbate global climate change, while the no action alternative will continue to capture and store more carbon and serve as a climate solution.</w:t>
      </w:r>
    </w:p>
    <w:p w:rsidR="000E0AAC" w:rsidRPr="000E0AAC" w:rsidRDefault="000E0AAC" w:rsidP="000E0AAC">
      <w:pPr>
        <w:suppressAutoHyphens/>
        <w:spacing w:line="240" w:lineRule="auto"/>
        <w:ind w:left="360"/>
        <w:rPr>
          <w:rFonts w:eastAsia="-moz-fixed" w:cs="-moz-fixed"/>
          <w:szCs w:val="20"/>
          <w:lang w:val="en-US" w:eastAsia="ar-SA"/>
        </w:rPr>
      </w:pPr>
    </w:p>
    <w:p w:rsidR="00861A1C" w:rsidRPr="00861A1C" w:rsidRDefault="00861A1C" w:rsidP="00861A1C">
      <w:pPr>
        <w:numPr>
          <w:ilvl w:val="2"/>
          <w:numId w:val="0"/>
        </w:numPr>
        <w:tabs>
          <w:tab w:val="num" w:pos="0"/>
        </w:tabs>
        <w:suppressAutoHyphens/>
        <w:spacing w:before="100" w:after="100" w:line="240" w:lineRule="auto"/>
        <w:ind w:left="720" w:hanging="720"/>
        <w:outlineLvl w:val="2"/>
        <w:rPr>
          <w:rFonts w:eastAsia="-moz-fixed" w:cs="-moz-fixed"/>
          <w:b/>
          <w:bCs/>
          <w:sz w:val="27"/>
          <w:szCs w:val="27"/>
          <w:lang w:val="en-US" w:eastAsia="ar-SA"/>
        </w:rPr>
      </w:pPr>
      <w:bookmarkStart w:id="18" w:name="_Toc195695323"/>
      <w:r w:rsidRPr="00861A1C">
        <w:rPr>
          <w:rFonts w:eastAsia="-moz-fixed" w:cs="-moz-fixed"/>
          <w:b/>
          <w:bCs/>
          <w:sz w:val="26"/>
          <w:szCs w:val="26"/>
          <w:lang w:val="en-US" w:eastAsia="ar-SA"/>
        </w:rPr>
        <w:t>Riparian Reserve thinning.</w:t>
      </w:r>
      <w:bookmarkEnd w:id="15"/>
      <w:bookmarkEnd w:id="18"/>
    </w:p>
    <w:p w:rsidR="00905462" w:rsidRDefault="00905462" w:rsidP="00905462">
      <w:pPr>
        <w:suppressAutoHyphens/>
        <w:spacing w:line="240" w:lineRule="auto"/>
      </w:pPr>
      <w:r>
        <w:rPr>
          <w:rFonts w:eastAsia="-moz-fixed" w:cs="-moz-fixed"/>
          <w:szCs w:val="20"/>
          <w:lang w:val="en-US" w:eastAsia="ar-SA"/>
        </w:rPr>
        <w:t>The EA (p 47) says that riparian reserve logging treatments “</w:t>
      </w:r>
      <w:r>
        <w:t>would restore and enhance overall large down wood habitat.” This is not supported by evidence or analysis. Logging will capture mortality and reduce recruitment of wood that would otherwise provide valuable habitat. This effect is long-term.</w:t>
      </w:r>
    </w:p>
    <w:p w:rsidR="00905462" w:rsidRDefault="00905462">
      <w:pPr>
        <w:suppressAutoHyphens/>
        <w:spacing w:line="240" w:lineRule="auto"/>
        <w:rPr>
          <w:rFonts w:eastAsia="-moz-fixed" w:cs="-moz-fixed"/>
          <w:szCs w:val="20"/>
          <w:lang w:val="en-US" w:eastAsia="ar-SA"/>
        </w:rPr>
      </w:pPr>
    </w:p>
    <w:p w:rsidR="00905462" w:rsidRDefault="00B9572A" w:rsidP="00D714B6">
      <w:pPr>
        <w:suppressAutoHyphens/>
        <w:spacing w:line="240" w:lineRule="auto"/>
      </w:pPr>
      <w:r>
        <w:rPr>
          <w:rFonts w:eastAsia="-moz-fixed" w:cs="-moz-fixed"/>
          <w:szCs w:val="20"/>
          <w:lang w:val="en-US" w:eastAsia="ar-SA"/>
        </w:rPr>
        <w:t>The EA (p 52) says “</w:t>
      </w:r>
      <w:r>
        <w:t xml:space="preserve">There is an anticipated net positive impact to the Riparian Reserve from proposed thinning in previously managed stands (less than 80 years old) where the current condition is densely stocked and lacking structural complexity (Figures 10 and 11). Variable-density thinning would improve stand structure in these areas by accelerating the development of structural and species diversity toward late-successional conditions …” This is not supported by evidence or analysis. How does the FS reach a conclusion of net benefits from 1888 acres of commercial logging in riparian reserves when they are comparing apples and oranges, e.g. long-term loss of wood recruitment vs, transient understory development, and larger (but fewer) trees. Our scoping comments raised these trade-offs, but the EA does not address them in any meaningful way. In fact, the analysis emphasizes structural and species diversity, and appears to </w:t>
      </w:r>
      <w:r w:rsidR="00905462">
        <w:t xml:space="preserve">downplay </w:t>
      </w:r>
      <w:r>
        <w:t>the loss of wood recruitment.</w:t>
      </w:r>
      <w:r w:rsidR="00905462">
        <w:t xml:space="preserve"> EA (p 57) “Thinning in Riparian Reserves would remove trees that could potentially contribute immediately to in-stream habitat. However, depending on initial stand conditions and thinning intensity, thinning can accelerate the development of very large diameter trees (e.g. over 40 inches) by 1 – 20 years (Spies et al. 2013).” The EA fails to recognize that growing a few giant trees comes at the significant cost of losing the opportunity to recruit far more trees that are just slightly smaller. </w:t>
      </w:r>
    </w:p>
    <w:p w:rsidR="00905462" w:rsidRDefault="00905462" w:rsidP="00D714B6">
      <w:pPr>
        <w:suppressAutoHyphens/>
        <w:spacing w:line="240" w:lineRule="auto"/>
      </w:pPr>
    </w:p>
    <w:p w:rsidR="00B9572A" w:rsidRPr="00905462" w:rsidRDefault="00905462" w:rsidP="00D714B6">
      <w:pPr>
        <w:suppressAutoHyphens/>
        <w:spacing w:line="240" w:lineRule="auto"/>
      </w:pPr>
      <w:r>
        <w:lastRenderedPageBreak/>
        <w:t>EA (p 57) says “The benefit of developing large diameter trees in Riparian Reserves to build, maintain, and enhance aquatic processes in the future outweigh the limited spatiotemporal impact of removing young trees via thinning.” This is unsupported and misleading, because most of the affected streams are small streams where smaller wood is perfectly functional in terms of pool formation, so giant trees are not necessary, and more me</w:t>
      </w:r>
      <w:r w:rsidR="00F8200A">
        <w:t>d</w:t>
      </w:r>
      <w:r>
        <w:t xml:space="preserve">ium/large trees would be </w:t>
      </w:r>
      <w:r w:rsidR="00F8200A">
        <w:t>closer to optimal functionally speaking.</w:t>
      </w:r>
      <w:r>
        <w:t xml:space="preserve"> This is all explained below.</w:t>
      </w:r>
    </w:p>
    <w:p w:rsidR="00B9572A" w:rsidRDefault="00B9572A" w:rsidP="00D714B6">
      <w:pPr>
        <w:suppressAutoHyphens/>
        <w:spacing w:line="240" w:lineRule="auto"/>
        <w:rPr>
          <w:rFonts w:eastAsia="-moz-fixed" w:cs="-moz-fixed"/>
          <w:szCs w:val="20"/>
          <w:lang w:val="en-US" w:eastAsia="ar-SA"/>
        </w:rPr>
      </w:pPr>
    </w:p>
    <w:p w:rsidR="00D714B6" w:rsidRDefault="00C9019A" w:rsidP="00D714B6">
      <w:pPr>
        <w:suppressAutoHyphens/>
        <w:spacing w:line="240" w:lineRule="auto"/>
        <w:rPr>
          <w:rFonts w:eastAsia="-moz-fixed" w:cs="-moz-fixed"/>
          <w:szCs w:val="20"/>
          <w:lang w:val="en-US" w:eastAsia="ar-SA"/>
        </w:rPr>
      </w:pPr>
      <w:r>
        <w:rPr>
          <w:rFonts w:eastAsia="-moz-fixed" w:cs="-moz-fixed"/>
          <w:szCs w:val="20"/>
          <w:lang w:val="en-US" w:eastAsia="ar-SA"/>
        </w:rPr>
        <w:t xml:space="preserve">This project is located in an Adaptive Management Area where riparian conservation is emphasized. </w:t>
      </w:r>
      <w:r w:rsidR="00D714B6">
        <w:rPr>
          <w:rFonts w:eastAsia="-moz-fixed" w:cs="-moz-fixed"/>
          <w:szCs w:val="20"/>
          <w:lang w:val="en-US" w:eastAsia="ar-SA"/>
        </w:rPr>
        <w:t xml:space="preserve">Chris </w:t>
      </w:r>
      <w:proofErr w:type="spellStart"/>
      <w:r w:rsidR="00D714B6">
        <w:rPr>
          <w:rFonts w:eastAsia="-moz-fixed" w:cs="-moz-fixed"/>
          <w:szCs w:val="20"/>
          <w:lang w:val="en-US" w:eastAsia="ar-SA"/>
        </w:rPr>
        <w:t>Frissell</w:t>
      </w:r>
      <w:proofErr w:type="spellEnd"/>
      <w:r w:rsidR="00D714B6">
        <w:rPr>
          <w:rFonts w:eastAsia="-moz-fixed" w:cs="-moz-fixed"/>
          <w:szCs w:val="20"/>
          <w:lang w:val="en-US" w:eastAsia="ar-SA"/>
        </w:rPr>
        <w:t xml:space="preserve"> summarizes some of the issues related to thinning riparian reserves:</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Riparian thinning proponents consider stand density in riparian areas as a static factor that can be controlled and enhanced by "proper" management--often that is thinning, to benefit a narrowly defined aspect of biodiversity, or to attain a specific stand structural outcome.  </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In my experience, natural disturbance processes are so diverse, so frequent, so unpredictable, and expressed across a broad enough range of scales in riparian forests that there is little or no justification for imposing additional human disturbance, in the form of thinning, tree tipping, or similar practices, with the expectation of producing a specific stable-state outcome.  In fact, the complex and dynamic regime of natural disturbance renders any active human intervention highly unlikely to produce the anticipated or desired outcome for any significant length of time.  In truth the interaction of unpredictable natural disturbance with imposed human disturbance makes it far more likely that unanticipated and undesired outcomes will occur (e.g., greatly accelerated and more widespread windthrow, with resulting floodplain and streambank instability and erosion). </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This is precisely why FEMAT ACS rules emphasized process-based conservation actions (in terms of both restrictions and outcomes) in riparian forests--not state-based ones.</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Riparian thinning proponents often point to homogeneous, low-diversity undesirable vegetation conditions, such as "stunted, overcrowded forests." that in their view demand thinning. I have observed that any syndrome of homogeneity or static supposedly static vegetation state is rather limited to a few locales, with the vast majority of sites showing every sign of natural processes of vegetation succession and natural disturbance generating sufficient diversity of sites, species and growth rates to assure that future forest outcomes, left unaltered, would be just fine and beneficial for water quality and biological diversity outcomes. I note that Pollock and </w:t>
      </w:r>
      <w:proofErr w:type="spellStart"/>
      <w:r w:rsidRPr="00861A1C">
        <w:rPr>
          <w:rFonts w:eastAsia="-moz-fixed" w:cs="-moz-fixed"/>
          <w:szCs w:val="20"/>
          <w:lang w:val="en-US" w:eastAsia="ar-SA"/>
        </w:rPr>
        <w:t>Beechie's</w:t>
      </w:r>
      <w:proofErr w:type="spellEnd"/>
      <w:r w:rsidRPr="00861A1C">
        <w:rPr>
          <w:rFonts w:eastAsia="-moz-fixed" w:cs="-moz-fixed"/>
          <w:szCs w:val="20"/>
          <w:lang w:val="en-US" w:eastAsia="ar-SA"/>
        </w:rPr>
        <w:t xml:space="preserve"> (NMFS Northwest Science Center) stand modeling work, based on field-verified processes and rates of tree species recruitment, growth and mortality in the forest types of concern, shows this same outcome (and their simulations don't even include external stand disturbances like wildfire, floods, landslides, or major wind events). </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Chris </w:t>
      </w:r>
      <w:proofErr w:type="spellStart"/>
      <w:r w:rsidRPr="00861A1C">
        <w:rPr>
          <w:rFonts w:eastAsia="-moz-fixed" w:cs="-moz-fixed"/>
          <w:szCs w:val="20"/>
          <w:lang w:val="en-US" w:eastAsia="ar-SA"/>
        </w:rPr>
        <w:t>Frissell</w:t>
      </w:r>
      <w:proofErr w:type="spellEnd"/>
      <w:r w:rsidRPr="00861A1C">
        <w:rPr>
          <w:rFonts w:eastAsia="-moz-fixed" w:cs="-moz-fixed"/>
          <w:szCs w:val="20"/>
          <w:lang w:val="en-US" w:eastAsia="ar-SA"/>
        </w:rPr>
        <w:t>, personal communication, January 15, 2019.</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Dead wood is important to meeting many aquatic and terrestrial wildlife habitat values. Dead wood is also important for ecological services such as the capture, storage and release of water, sediment, and nutrients including, carbon. Most riparian reserves are short of dead wood due to past and ongoing logging, roads, fire suppression, etc. Natural processes of stand growth and mortality will correct this shortage, whereas logging will capture and export mortality and reduce and delay recruitment of wood to both streams and uplands within riparian reserves. This is not a minor short-term effect, but rather a significant long-term effect. Such effects are inconsistent with the Aquatic Conservation Strategy which prohibits logging in riparian reserves </w:t>
      </w:r>
      <w:r w:rsidRPr="00861A1C">
        <w:rPr>
          <w:rFonts w:eastAsia="-moz-fixed" w:cs="-moz-fixed"/>
          <w:szCs w:val="20"/>
          <w:lang w:val="en-US" w:eastAsia="ar-SA"/>
        </w:rPr>
        <w:lastRenderedPageBreak/>
        <w:t xml:space="preserve">unless it is needed to meet objectives, and requires that management actions “maintain” and "not retard" ACS objectives, including dead wood. Any proposal to log riparian reserves must address these factors, develop clear goals, provide clear linkages between proposed actions and desired outcomes. Any alleged benefits of logging must be weighed against likely adverse effects on dead wood recruitment.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Riparian areas are widely considered to be important wildlife habitat. Cool air temperatures due to the presence of cool and turbulent surface waters, typically dense vegetative canopy cover, and their location in the lowest portions of watersheds combine to maintain a distinct microclimate along stream channels and in the adjacent riparian area. Maintaining the integrity of the vegetation in these areas is particularly important for riparian-dependent species of amphibians, arthropods, mammals, birds, and bats.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Large quantities of down logs are an important component of many streams. Coarse woody debris influences the form and structure of a channel by affecting the profile of a stream, pool formation, and channel pattern and position. The rate at which sediment and organic matter are transported downstream is controlled in part by storage of this material behind coarse woody debris. Coarse woody debris also affects the formation and distribution of habitat, provides cover and complexity, and acts as a substrate for biological activity. Coarse woody debris in streams comes directly from the adjacent riparian area, from tributaries that may not be inhabited by fish, and from hillslopes.</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1994 Northwest Forest Plan FSEIS page 3&amp;4-61.</w:t>
      </w:r>
    </w:p>
    <w:p w:rsidR="00B864C7" w:rsidRDefault="00B864C7" w:rsidP="00861A1C">
      <w:pPr>
        <w:suppressAutoHyphens/>
        <w:spacing w:line="240" w:lineRule="auto"/>
        <w:rPr>
          <w:rFonts w:eastAsia="-moz-fixed" w:cs="-moz-fixed"/>
          <w:szCs w:val="20"/>
          <w:lang w:val="en-US" w:eastAsia="ar-SA"/>
        </w:rPr>
      </w:pPr>
    </w:p>
    <w:p w:rsidR="00CF2B9C" w:rsidRDefault="00CF2B9C" w:rsidP="00861A1C">
      <w:pPr>
        <w:suppressAutoHyphens/>
        <w:spacing w:line="240" w:lineRule="auto"/>
        <w:rPr>
          <w:rFonts w:eastAsia="-moz-fixed" w:cs="-moz-fixed"/>
          <w:szCs w:val="20"/>
          <w:lang w:val="en-US" w:eastAsia="ar-SA"/>
        </w:rPr>
      </w:pPr>
      <w:r>
        <w:rPr>
          <w:rFonts w:eastAsia="-moz-fixed" w:cs="-moz-fixed"/>
          <w:szCs w:val="20"/>
          <w:lang w:val="en-US" w:eastAsia="ar-SA"/>
        </w:rPr>
        <w:t xml:space="preserve">The riparian reserve land allocation must be respected. The general rule is that silviculture is prohibited unless needed. The riparian reserves do not </w:t>
      </w:r>
      <w:r w:rsidRPr="00CF2B9C">
        <w:rPr>
          <w:rFonts w:eastAsia="-moz-fixed" w:cs="-moz-fixed"/>
          <w:i/>
          <w:szCs w:val="20"/>
          <w:lang w:val="en-US" w:eastAsia="ar-SA"/>
        </w:rPr>
        <w:t>need</w:t>
      </w:r>
      <w:r>
        <w:rPr>
          <w:rFonts w:eastAsia="-moz-fixed" w:cs="-moz-fixed"/>
          <w:szCs w:val="20"/>
          <w:lang w:val="en-US" w:eastAsia="ar-SA"/>
        </w:rPr>
        <w:t xml:space="preserve"> to have their dead wood recruitment reduced for the next 50 years. </w:t>
      </w:r>
    </w:p>
    <w:p w:rsidR="00CF2B9C" w:rsidRDefault="00CF2B9C"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Under the NWFP: “The risk has been shifted under the Aquatic Conservation Strategy because each project must meet the maintenance and restoration criteria by maintaining or restoring the physical and biological processes required by riparian-dependent resources within a watershed.” 1994 FSEIS p 3&amp;4 – 69. Clearly, this requires the agency to show there is a need for intervention. The 1993 SAT Report (which underpins the ACS) said “Within these protection areas, timber management and other ground disturbing activities are prohibited unless a site-specific watershed analysis indicates such activities will accelerate meeting desired ecological conditions.” And “Within the Riparian Habitat Conservation Areas, timber management and other land management activities are essentially prohibited unless the watershed analysis indicates such activity is necessary to accelerate meeting desired ecological conditions.” 1993 SAT Report. </w:t>
      </w:r>
      <w:proofErr w:type="spellStart"/>
      <w:r w:rsidRPr="00861A1C">
        <w:rPr>
          <w:rFonts w:eastAsia="-moz-fixed" w:cs="-moz-fixed"/>
          <w:szCs w:val="20"/>
          <w:lang w:val="en-US" w:eastAsia="ar-SA"/>
        </w:rPr>
        <w:t>Ch</w:t>
      </w:r>
      <w:proofErr w:type="spellEnd"/>
      <w:r w:rsidRPr="00861A1C">
        <w:rPr>
          <w:rFonts w:eastAsia="-moz-fixed" w:cs="-moz-fixed"/>
          <w:szCs w:val="20"/>
          <w:lang w:val="en-US" w:eastAsia="ar-SA"/>
        </w:rPr>
        <w:t xml:space="preserve"> 5, p 296. “[F]or areas where riparian conditions are presently degraded, management activities must be designed to improve habitat conditions.” 1993 SAT Report. </w:t>
      </w:r>
      <w:proofErr w:type="spellStart"/>
      <w:r w:rsidRPr="00861A1C">
        <w:rPr>
          <w:rFonts w:eastAsia="-moz-fixed" w:cs="-moz-fixed"/>
          <w:szCs w:val="20"/>
          <w:lang w:val="en-US" w:eastAsia="ar-SA"/>
        </w:rPr>
        <w:t>Ch</w:t>
      </w:r>
      <w:proofErr w:type="spellEnd"/>
      <w:r w:rsidRPr="00861A1C">
        <w:rPr>
          <w:rFonts w:eastAsia="-moz-fixed" w:cs="-moz-fixed"/>
          <w:szCs w:val="20"/>
          <w:lang w:val="en-US" w:eastAsia="ar-SA"/>
        </w:rPr>
        <w:t xml:space="preserve"> 5, p 464.</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Large wood in streams—preferably whole trees with root wads and all—provides the randomness and dynamic environment that fish absolutely need to survive in the ever-changing waters they occupy. Wood breaks up the current and spreads water sideways across its natural floodplain, creating wonderful, dynamic and necessary diversity while also absorbing energy that could cause serious damage downstream otherwise, such as flooding or unnatural erosion. It sorts gravels during high flows, creating those beautiful spawning gravel beds laid out like blankets among bigger rock. It makes those current breaks downstream of log jams. It provides cooling shade and cover, and slow pools and edge habitat that baby fish need after emerging from those gorgeous gravels to ride out high flows, find food and hide from prying eyes. Decomposing wood and the nutrients it </w:t>
      </w:r>
      <w:r w:rsidRPr="00861A1C">
        <w:rPr>
          <w:rFonts w:eastAsia="-moz-fixed" w:cs="-moz-fixed"/>
          <w:szCs w:val="20"/>
          <w:lang w:val="en-US" w:eastAsia="ar-SA"/>
        </w:rPr>
        <w:lastRenderedPageBreak/>
        <w:t>produces jumpstarts that the natural processes critical to insect, animal, amphibian and plant life.</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Alan Moore, Why Fish Love ‘Large Woody Debris.’ Trout Unlimited. 2-4-2013. </w:t>
      </w:r>
      <w:hyperlink r:id="rId66" w:history="1">
        <w:r w:rsidRPr="00861A1C">
          <w:rPr>
            <w:rFonts w:eastAsia="-moz-fixed" w:cs="-moz-fixed"/>
            <w:color w:val="0000FF"/>
            <w:szCs w:val="20"/>
            <w:u w:val="single"/>
            <w:lang w:val="en-US" w:eastAsia="ar-SA"/>
          </w:rPr>
          <w:t>http://troutunlimitedblog.com/large-woody-debris-makes-for-fishy-rivers/</w:t>
        </w:r>
      </w:hyperlink>
      <w:r w:rsidRPr="00861A1C">
        <w:rPr>
          <w:rFonts w:eastAsia="-moz-fixed" w:cs="-moz-fixed"/>
          <w:szCs w:val="20"/>
          <w:lang w:val="en-US" w:eastAsia="ar-SA"/>
        </w:rPr>
        <w:t xml:space="preserve"> Joshua J. </w:t>
      </w:r>
      <w:proofErr w:type="spellStart"/>
      <w:r w:rsidRPr="00861A1C">
        <w:rPr>
          <w:rFonts w:eastAsia="-moz-fixed" w:cs="-moz-fixed"/>
          <w:szCs w:val="20"/>
          <w:lang w:val="en-US" w:eastAsia="ar-SA"/>
        </w:rPr>
        <w:t>Roering</w:t>
      </w:r>
      <w:proofErr w:type="spellEnd"/>
      <w:r w:rsidRPr="00861A1C">
        <w:rPr>
          <w:rFonts w:eastAsia="-moz-fixed" w:cs="-moz-fixed"/>
          <w:szCs w:val="20"/>
          <w:lang w:val="en-US" w:eastAsia="ar-SA"/>
        </w:rPr>
        <w:t xml:space="preserve">, professor of geological sciences at the University of Oregon studies the processes that create fish habitat and concluded: “[Coho salmon] seem to respond to the heterogeneity that is so inherent in most real landscapes. Nature is messy, and the fish have adapted to that." University of Oregon (2013, February 11). Large, ancient landslides delivered preferred upstream habitats for </w:t>
      </w:r>
      <w:proofErr w:type="spellStart"/>
      <w:r w:rsidRPr="00861A1C">
        <w:rPr>
          <w:rFonts w:eastAsia="-moz-fixed" w:cs="-moz-fixed"/>
          <w:szCs w:val="20"/>
          <w:lang w:val="en-US" w:eastAsia="ar-SA"/>
        </w:rPr>
        <w:t>coho</w:t>
      </w:r>
      <w:proofErr w:type="spellEnd"/>
      <w:r w:rsidRPr="00861A1C">
        <w:rPr>
          <w:rFonts w:eastAsia="-moz-fixed" w:cs="-moz-fixed"/>
          <w:szCs w:val="20"/>
          <w:lang w:val="en-US" w:eastAsia="ar-SA"/>
        </w:rPr>
        <w:t xml:space="preserve"> salmon. ScienceDaily. Retrieved from </w:t>
      </w:r>
      <w:hyperlink r:id="rId67" w:history="1">
        <w:r w:rsidRPr="00861A1C">
          <w:rPr>
            <w:rFonts w:eastAsia="-moz-fixed" w:cs="-moz-fixed"/>
            <w:color w:val="0000FF"/>
            <w:szCs w:val="20"/>
            <w:u w:val="single"/>
            <w:lang w:val="en-US" w:eastAsia="ar-SA"/>
          </w:rPr>
          <w:t>http://www.sciencedaily.com/releases/2013/02/130211135045.htm</w:t>
        </w:r>
      </w:hyperlink>
      <w:r w:rsidRPr="00861A1C">
        <w:rPr>
          <w:rFonts w:eastAsia="-moz-fixed" w:cs="-moz-fixed"/>
          <w:szCs w:val="20"/>
          <w:lang w:val="en-US" w:eastAsia="ar-SA"/>
        </w:rPr>
        <w:t xml:space="preserve">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The presence of LWM within a stream channel is critical to maintaining the integrity of the system, in fact, there cannot be an overabundance of LWM. … Riparian Reserves provide important wildlife habitat, which justifies the heavy loading of LWM in the creeks and the floodplains. … In the Riparian Reserves … it is desirable to maintain healthy forest stands over the long-term while maintaining high snag densities and green tree replacements. … It is recognized that Riparian Reserves constitute an area where higher risks are taken (including reduced fire suppression efforts) in order to allow natural processes to occur and continue without human intervention.</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Deschutes NF 1999. Odell Watershed Analysis, pages 164-165. </w:t>
      </w:r>
      <w:hyperlink r:id="rId68" w:history="1">
        <w:r w:rsidRPr="00861A1C">
          <w:rPr>
            <w:rFonts w:eastAsia="-moz-fixed" w:cs="-moz-fixed"/>
            <w:color w:val="0000FF"/>
            <w:szCs w:val="20"/>
            <w:u w:val="single"/>
            <w:lang w:val="en-US" w:eastAsia="ar-SA"/>
          </w:rPr>
          <w:t>https://hdl.handle.net/1794/7220</w:t>
        </w:r>
      </w:hyperlink>
      <w:r w:rsidRPr="00861A1C">
        <w:rPr>
          <w:rFonts w:eastAsia="-moz-fixed" w:cs="-moz-fixed"/>
          <w:szCs w:val="20"/>
          <w:lang w:val="en-US" w:eastAsia="ar-SA"/>
        </w:rPr>
        <w:t xml:space="preserve">.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In an undisturbed forest ecosystem, wood is naturally “recruited” to streams in various ways. Riparian trees growing along the channel fall into the channel when they are undercut by the stream, toppled by beavers, burned by fire or blown down during storms. Upslope trees can be transported into the channel by events such as avalanches or landslides. Flooding can wash trees into the channel and during </w:t>
      </w:r>
      <w:proofErr w:type="spellStart"/>
      <w:r w:rsidRPr="00861A1C">
        <w:rPr>
          <w:rFonts w:eastAsia="-moz-fixed" w:cs="-moz-fixed"/>
          <w:szCs w:val="20"/>
          <w:lang w:val="en-US" w:eastAsia="ar-SA"/>
        </w:rPr>
        <w:t>highwater</w:t>
      </w:r>
      <w:proofErr w:type="spellEnd"/>
      <w:r w:rsidRPr="00861A1C">
        <w:rPr>
          <w:rFonts w:eastAsia="-moz-fixed" w:cs="-moz-fixed"/>
          <w:szCs w:val="20"/>
          <w:lang w:val="en-US" w:eastAsia="ar-SA"/>
        </w:rPr>
        <w:t xml:space="preserve"> they may be pushed downstream.</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In-stream woody debris has been drastically reduced in some streams by historical forest management practices. Logging near rivers and streams limited the number of trees that could fall into streams. Road building that channeled streams through culverts prevented downstream wood recruitment. “Stream cleaning” was sometimes conducted to remove fallen trees from streams, for beautification, to prevent damage to infrastructure downstream, or in a misguided attempt to assist fish migration.</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Scientists have now come to understand that in-stream LWM [large woody material] is ecologically important for a number of reasons:</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can help spawning gravels accumulate , by stopping the gravel from moving downstream;</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Pools can form behind LWM, which provide important juvenile rearing habitat, as well as habitat for all fish during periods of low-flows;</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can help slow stream speed , which helps adult fish as they move upstream and shelters rearing juveniles from using too much energy fighting currents;</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provide shade , offering pockets of cooler water, and can help to lower the temperature of an entire stream;</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provides fish with refuge from predators;</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can help to stabilize banks, prevent erosion and decrease sediment movement that can harm downstream fish habitat;</w:t>
      </w:r>
    </w:p>
    <w:p w:rsidR="00861A1C" w:rsidRPr="00861A1C" w:rsidRDefault="00861A1C" w:rsidP="00861A1C">
      <w:pPr>
        <w:numPr>
          <w:ilvl w:val="0"/>
          <w:numId w:val="11"/>
        </w:numPr>
        <w:suppressAutoHyphens/>
        <w:spacing w:line="240" w:lineRule="auto"/>
        <w:rPr>
          <w:rFonts w:eastAsia="-moz-fixed" w:cs="-moz-fixed"/>
          <w:szCs w:val="20"/>
          <w:lang w:val="en-US" w:eastAsia="ar-SA"/>
        </w:rPr>
      </w:pPr>
      <w:r w:rsidRPr="00861A1C">
        <w:rPr>
          <w:rFonts w:eastAsia="-moz-fixed" w:cs="-moz-fixed"/>
          <w:szCs w:val="20"/>
          <w:lang w:val="en-US" w:eastAsia="ar-SA"/>
        </w:rPr>
        <w:t>LWM is important to the aquatic food chain, because it traps organic matter and provides habitat for insects and invertebrates, which are both food for fish.</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lastRenderedPageBreak/>
        <w:t xml:space="preserve">   All of these elements add “complexity” to a stream. When it comes to fish habitat, complexity is a good thing. And one of the best ways to make a stream complex is to simply add wood.</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Hannah </w:t>
      </w:r>
      <w:proofErr w:type="spellStart"/>
      <w:r w:rsidRPr="00861A1C">
        <w:rPr>
          <w:rFonts w:eastAsia="-moz-fixed" w:cs="-moz-fixed"/>
          <w:szCs w:val="20"/>
          <w:lang w:val="en-US" w:eastAsia="ar-SA"/>
        </w:rPr>
        <w:t>Ettema</w:t>
      </w:r>
      <w:proofErr w:type="spellEnd"/>
      <w:r w:rsidRPr="00861A1C">
        <w:rPr>
          <w:rFonts w:eastAsia="-moz-fixed" w:cs="-moz-fixed"/>
          <w:szCs w:val="20"/>
          <w:lang w:val="en-US" w:eastAsia="ar-SA"/>
        </w:rPr>
        <w:t xml:space="preserve"> 2014. Seven Reasons Why Fish Need Wood. </w:t>
      </w:r>
      <w:hyperlink r:id="rId69" w:history="1">
        <w:r w:rsidRPr="00861A1C">
          <w:rPr>
            <w:rFonts w:eastAsia="-moz-fixed" w:cs="-moz-fixed"/>
            <w:color w:val="0000FF"/>
            <w:szCs w:val="20"/>
            <w:u w:val="single"/>
            <w:lang w:val="en-US" w:eastAsia="ar-SA"/>
          </w:rPr>
          <w:t>https://www.nationalforests.org/blog/seven-reasons-why-fish-need-wood</w:t>
        </w:r>
      </w:hyperlink>
      <w:r w:rsidRPr="00861A1C">
        <w:rPr>
          <w:rFonts w:eastAsia="-moz-fixed" w:cs="-moz-fixed"/>
          <w:szCs w:val="20"/>
          <w:lang w:val="en-US" w:eastAsia="ar-SA"/>
        </w:rPr>
        <w:t xml:space="preserve">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Abundant dead wood is not just important for fish and other aquatic species, but we are learning that it is also useful for a wide variety of terrestrial wildlife. OSU researchers say </w:t>
      </w:r>
    </w:p>
    <w:p w:rsidR="00861A1C" w:rsidRPr="00861A1C" w:rsidRDefault="00861A1C" w:rsidP="00861A1C">
      <w:pPr>
        <w:suppressAutoHyphens/>
        <w:spacing w:after="225" w:line="240" w:lineRule="auto"/>
        <w:ind w:left="720"/>
        <w:textAlignment w:val="baseline"/>
        <w:rPr>
          <w:rFonts w:eastAsia="-moz-fixed" w:cs="Times New Roman"/>
          <w:color w:val="000000"/>
          <w:szCs w:val="24"/>
          <w:lang w:val="en-US" w:eastAsia="ar-SA"/>
        </w:rPr>
      </w:pPr>
      <w:r w:rsidRPr="00861A1C">
        <w:rPr>
          <w:rFonts w:eastAsia="-moz-fixed" w:cs="Times New Roman"/>
          <w:color w:val="000000"/>
          <w:szCs w:val="24"/>
          <w:lang w:val="en-US" w:eastAsia="ar-SA"/>
        </w:rPr>
        <w:t>… little is known about how large wood in streams impacts birds and land-based animals.</w:t>
      </w:r>
    </w:p>
    <w:p w:rsidR="00B864C7" w:rsidRDefault="00861A1C" w:rsidP="00861A1C">
      <w:pPr>
        <w:suppressAutoHyphens/>
        <w:spacing w:line="240" w:lineRule="auto"/>
        <w:ind w:left="720"/>
        <w:textAlignment w:val="baseline"/>
        <w:rPr>
          <w:rFonts w:eastAsia="-moz-fixed" w:cs="Times New Roman"/>
          <w:color w:val="000000"/>
          <w:szCs w:val="24"/>
          <w:lang w:val="en-US" w:eastAsia="ar-SA"/>
        </w:rPr>
      </w:pPr>
      <w:r w:rsidRPr="00861A1C">
        <w:rPr>
          <w:rFonts w:eastAsia="-moz-fixed" w:cs="Times New Roman"/>
          <w:color w:val="000000"/>
          <w:szCs w:val="24"/>
          <w:lang w:val="en-US" w:eastAsia="ar-SA"/>
        </w:rPr>
        <w:t xml:space="preserve">Oregon State University scientists </w:t>
      </w:r>
      <w:proofErr w:type="spellStart"/>
      <w:r w:rsidRPr="00861A1C">
        <w:rPr>
          <w:rFonts w:eastAsia="-moz-fixed" w:cs="Times New Roman"/>
          <w:color w:val="000000"/>
          <w:szCs w:val="24"/>
          <w:lang w:val="en-US" w:eastAsia="ar-SA"/>
        </w:rPr>
        <w:t>Ezmie</w:t>
      </w:r>
      <w:proofErr w:type="spellEnd"/>
      <w:r w:rsidRPr="00861A1C">
        <w:rPr>
          <w:rFonts w:eastAsia="-moz-fixed" w:cs="Times New Roman"/>
          <w:color w:val="000000"/>
          <w:szCs w:val="24"/>
          <w:lang w:val="en-US" w:eastAsia="ar-SA"/>
        </w:rPr>
        <w:t xml:space="preserve"> </w:t>
      </w:r>
      <w:proofErr w:type="spellStart"/>
      <w:r w:rsidRPr="00861A1C">
        <w:rPr>
          <w:rFonts w:eastAsia="-moz-fixed" w:cs="Times New Roman"/>
          <w:color w:val="000000"/>
          <w:szCs w:val="24"/>
          <w:lang w:val="en-US" w:eastAsia="ar-SA"/>
        </w:rPr>
        <w:t>Trevarrow</w:t>
      </w:r>
      <w:proofErr w:type="spellEnd"/>
      <w:r w:rsidRPr="00861A1C">
        <w:rPr>
          <w:rFonts w:eastAsia="-moz-fixed" w:cs="Times New Roman"/>
          <w:color w:val="000000"/>
          <w:szCs w:val="24"/>
          <w:lang w:val="en-US" w:eastAsia="ar-SA"/>
        </w:rPr>
        <w:t xml:space="preserve"> and </w:t>
      </w:r>
      <w:hyperlink r:id="rId70" w:tgtFrame="_blank" w:history="1">
        <w:r w:rsidRPr="00861A1C">
          <w:rPr>
            <w:rFonts w:eastAsia="-moz-fixed" w:cs="Times New Roman"/>
            <w:color w:val="4A90E2"/>
            <w:szCs w:val="24"/>
            <w:u w:val="single"/>
            <w:bdr w:val="none" w:sz="0" w:space="0" w:color="auto" w:frame="1"/>
            <w:lang w:val="en-US" w:eastAsia="ar-SA"/>
          </w:rPr>
          <w:t xml:space="preserve">Ivan </w:t>
        </w:r>
        <w:proofErr w:type="spellStart"/>
        <w:r w:rsidRPr="00861A1C">
          <w:rPr>
            <w:rFonts w:eastAsia="-moz-fixed" w:cs="Times New Roman"/>
            <w:color w:val="4A90E2"/>
            <w:szCs w:val="24"/>
            <w:u w:val="single"/>
            <w:bdr w:val="none" w:sz="0" w:space="0" w:color="auto" w:frame="1"/>
            <w:lang w:val="en-US" w:eastAsia="ar-SA"/>
          </w:rPr>
          <w:t>Arismendi</w:t>
        </w:r>
        <w:proofErr w:type="spellEnd"/>
      </w:hyperlink>
      <w:r w:rsidRPr="00861A1C">
        <w:rPr>
          <w:rFonts w:eastAsia="-moz-fixed" w:cs="Times New Roman"/>
          <w:color w:val="000000"/>
          <w:szCs w:val="24"/>
          <w:lang w:val="en-US" w:eastAsia="ar-SA"/>
        </w:rPr>
        <w:t> are beginning to change that with a </w:t>
      </w:r>
      <w:hyperlink r:id="rId71" w:tgtFrame="_blank" w:history="1">
        <w:r w:rsidRPr="00861A1C">
          <w:rPr>
            <w:rFonts w:eastAsia="-moz-fixed" w:cs="Times New Roman"/>
            <w:color w:val="4A90E2"/>
            <w:szCs w:val="24"/>
            <w:u w:val="single"/>
            <w:bdr w:val="none" w:sz="0" w:space="0" w:color="auto" w:frame="1"/>
            <w:lang w:val="en-US" w:eastAsia="ar-SA"/>
          </w:rPr>
          <w:t>just-published paper</w:t>
        </w:r>
      </w:hyperlink>
      <w:r w:rsidRPr="00861A1C">
        <w:rPr>
          <w:rFonts w:eastAsia="-moz-fixed" w:cs="Times New Roman"/>
          <w:color w:val="000000"/>
          <w:szCs w:val="24"/>
          <w:lang w:val="en-US" w:eastAsia="ar-SA"/>
        </w:rPr>
        <w:t> in Biodiversity and Conservation that outlines what they observed from one year of footage from motion-triggered video cameras they set up near multiple large log jams in a creek just west of Corvallis.</w:t>
      </w:r>
    </w:p>
    <w:p w:rsidR="00B864C7" w:rsidRDefault="00B864C7" w:rsidP="00861A1C">
      <w:pPr>
        <w:suppressAutoHyphens/>
        <w:spacing w:line="240" w:lineRule="auto"/>
        <w:ind w:left="720"/>
        <w:textAlignment w:val="baseline"/>
        <w:rPr>
          <w:rFonts w:eastAsia="-moz-fixed" w:cs="Times New Roman"/>
          <w:color w:val="000000"/>
          <w:szCs w:val="24"/>
          <w:lang w:val="en-US" w:eastAsia="ar-SA"/>
        </w:rPr>
      </w:pPr>
    </w:p>
    <w:p w:rsidR="00861A1C" w:rsidRPr="00861A1C" w:rsidRDefault="00861A1C" w:rsidP="00861A1C">
      <w:pPr>
        <w:suppressAutoHyphens/>
        <w:spacing w:after="225" w:line="240" w:lineRule="auto"/>
        <w:ind w:left="720"/>
        <w:textAlignment w:val="baseline"/>
        <w:rPr>
          <w:rFonts w:eastAsia="-moz-fixed" w:cs="Times New Roman"/>
          <w:color w:val="000000"/>
          <w:szCs w:val="24"/>
          <w:lang w:val="en-US" w:eastAsia="ar-SA"/>
        </w:rPr>
      </w:pPr>
      <w:r w:rsidRPr="00861A1C">
        <w:rPr>
          <w:rFonts w:eastAsia="-moz-fixed" w:cs="Times New Roman"/>
          <w:color w:val="000000"/>
          <w:szCs w:val="24"/>
          <w:lang w:val="en-US" w:eastAsia="ar-SA"/>
        </w:rPr>
        <w:t xml:space="preserve">“This study reveals a hidden role of large wood in streams,” said </w:t>
      </w:r>
      <w:proofErr w:type="spellStart"/>
      <w:r w:rsidRPr="00861A1C">
        <w:rPr>
          <w:rFonts w:eastAsia="-moz-fixed" w:cs="Times New Roman"/>
          <w:color w:val="000000"/>
          <w:szCs w:val="24"/>
          <w:lang w:val="en-US" w:eastAsia="ar-SA"/>
        </w:rPr>
        <w:t>Trevarrow</w:t>
      </w:r>
      <w:proofErr w:type="spellEnd"/>
      <w:r w:rsidRPr="00861A1C">
        <w:rPr>
          <w:rFonts w:eastAsia="-moz-fixed" w:cs="Times New Roman"/>
          <w:color w:val="000000"/>
          <w:szCs w:val="24"/>
          <w:lang w:val="en-US" w:eastAsia="ar-SA"/>
        </w:rPr>
        <w:t>, who conducted the research as an undergraduate in the Honors College at Oregon State and is now a research associate at the University of Georgia. “The findings are valuable for land managers because they demonstrate additional value of restoration projects that involve wood placement into streams.”</w:t>
      </w:r>
    </w:p>
    <w:p w:rsidR="00861A1C" w:rsidRPr="00861A1C" w:rsidRDefault="00861A1C" w:rsidP="00861A1C">
      <w:pPr>
        <w:suppressAutoHyphens/>
        <w:spacing w:after="225" w:line="240" w:lineRule="auto"/>
        <w:ind w:left="720"/>
        <w:textAlignment w:val="baseline"/>
        <w:rPr>
          <w:rFonts w:eastAsia="-moz-fixed" w:cs="Times New Roman"/>
          <w:color w:val="000000"/>
          <w:szCs w:val="24"/>
          <w:lang w:val="en-US" w:eastAsia="ar-SA"/>
        </w:rPr>
      </w:pPr>
      <w:r w:rsidRPr="00861A1C">
        <w:rPr>
          <w:rFonts w:eastAsia="-moz-fixed" w:cs="Times New Roman"/>
          <w:color w:val="000000"/>
          <w:szCs w:val="24"/>
          <w:lang w:val="en-US" w:eastAsia="ar-SA"/>
        </w:rPr>
        <w:t xml:space="preserve">In the paper, </w:t>
      </w:r>
      <w:proofErr w:type="spellStart"/>
      <w:r w:rsidRPr="00861A1C">
        <w:rPr>
          <w:rFonts w:eastAsia="-moz-fixed" w:cs="Times New Roman"/>
          <w:color w:val="000000"/>
          <w:szCs w:val="24"/>
          <w:lang w:val="en-US" w:eastAsia="ar-SA"/>
        </w:rPr>
        <w:t>Trevarrow</w:t>
      </w:r>
      <w:proofErr w:type="spellEnd"/>
      <w:r w:rsidRPr="00861A1C">
        <w:rPr>
          <w:rFonts w:eastAsia="-moz-fixed" w:cs="Times New Roman"/>
          <w:color w:val="000000"/>
          <w:szCs w:val="24"/>
          <w:lang w:val="en-US" w:eastAsia="ar-SA"/>
        </w:rPr>
        <w:t xml:space="preserve"> and </w:t>
      </w:r>
      <w:proofErr w:type="spellStart"/>
      <w:r w:rsidRPr="00861A1C">
        <w:rPr>
          <w:rFonts w:eastAsia="-moz-fixed" w:cs="Times New Roman"/>
          <w:color w:val="000000"/>
          <w:szCs w:val="24"/>
          <w:lang w:val="en-US" w:eastAsia="ar-SA"/>
        </w:rPr>
        <w:t>Arismendi</w:t>
      </w:r>
      <w:proofErr w:type="spellEnd"/>
      <w:r w:rsidRPr="00861A1C">
        <w:rPr>
          <w:rFonts w:eastAsia="-moz-fixed" w:cs="Times New Roman"/>
          <w:color w:val="000000"/>
          <w:szCs w:val="24"/>
          <w:lang w:val="en-US" w:eastAsia="ar-SA"/>
        </w:rPr>
        <w:t xml:space="preserve"> focused their attention on what species they saw, the most common observed activities and the seasonality of the detections. Among their findings:</w:t>
      </w:r>
    </w:p>
    <w:p w:rsidR="00861A1C" w:rsidRPr="00861A1C" w:rsidRDefault="00861A1C" w:rsidP="00861A1C">
      <w:pPr>
        <w:numPr>
          <w:ilvl w:val="0"/>
          <w:numId w:val="12"/>
        </w:numPr>
        <w:tabs>
          <w:tab w:val="num" w:pos="1440"/>
        </w:tabs>
        <w:suppressAutoHyphens/>
        <w:spacing w:after="75" w:line="240" w:lineRule="auto"/>
        <w:ind w:left="1245"/>
        <w:textAlignment w:val="baseline"/>
        <w:rPr>
          <w:rFonts w:eastAsia="-moz-fixed" w:cs="Times New Roman"/>
          <w:color w:val="000000"/>
          <w:szCs w:val="20"/>
          <w:lang w:val="en-US" w:eastAsia="ar-SA"/>
        </w:rPr>
      </w:pPr>
      <w:r w:rsidRPr="00861A1C">
        <w:rPr>
          <w:rFonts w:eastAsia="-moz-fixed" w:cs="Times New Roman"/>
          <w:color w:val="000000"/>
          <w:szCs w:val="20"/>
          <w:lang w:val="en-US" w:eastAsia="ar-SA"/>
        </w:rPr>
        <w:t>Forty species were observed during the study period. The most common species included mule deer, raccoon belted kingfisher, Townsend’s chipmunk, deer mouse western grey squirrel, Virginia opossum and American robin.</w:t>
      </w:r>
    </w:p>
    <w:p w:rsidR="00861A1C" w:rsidRPr="00861A1C" w:rsidRDefault="00861A1C" w:rsidP="00861A1C">
      <w:pPr>
        <w:numPr>
          <w:ilvl w:val="0"/>
          <w:numId w:val="12"/>
        </w:numPr>
        <w:suppressAutoHyphens/>
        <w:spacing w:after="75" w:line="240" w:lineRule="auto"/>
        <w:ind w:left="1245"/>
        <w:textAlignment w:val="baseline"/>
        <w:rPr>
          <w:rFonts w:eastAsia="-moz-fixed" w:cs="Times New Roman"/>
          <w:color w:val="000000"/>
          <w:szCs w:val="20"/>
          <w:lang w:val="en-US" w:eastAsia="ar-SA"/>
        </w:rPr>
      </w:pPr>
      <w:r w:rsidRPr="00861A1C">
        <w:rPr>
          <w:rFonts w:eastAsia="-moz-fixed" w:cs="Times New Roman"/>
          <w:color w:val="000000"/>
          <w:szCs w:val="20"/>
          <w:lang w:val="en-US" w:eastAsia="ar-SA"/>
        </w:rPr>
        <w:t xml:space="preserve">The most common animal activities around the log jams included movement (68%), rest (18%), and food handling/eating (9%), suggesting that large wood in streams acts as lateral corridors, or highways as </w:t>
      </w:r>
      <w:proofErr w:type="spellStart"/>
      <w:r w:rsidRPr="00861A1C">
        <w:rPr>
          <w:rFonts w:eastAsia="-moz-fixed" w:cs="Times New Roman"/>
          <w:color w:val="000000"/>
          <w:szCs w:val="20"/>
          <w:lang w:val="en-US" w:eastAsia="ar-SA"/>
        </w:rPr>
        <w:t>Trevarrow</w:t>
      </w:r>
      <w:proofErr w:type="spellEnd"/>
      <w:r w:rsidRPr="00861A1C">
        <w:rPr>
          <w:rFonts w:eastAsia="-moz-fixed" w:cs="Times New Roman"/>
          <w:color w:val="000000"/>
          <w:szCs w:val="20"/>
          <w:lang w:val="en-US" w:eastAsia="ar-SA"/>
        </w:rPr>
        <w:t xml:space="preserve"> put it, connecting land habitats year-round for wildlife.</w:t>
      </w:r>
    </w:p>
    <w:p w:rsidR="00861A1C" w:rsidRPr="00861A1C" w:rsidRDefault="00861A1C" w:rsidP="00861A1C">
      <w:pPr>
        <w:numPr>
          <w:ilvl w:val="0"/>
          <w:numId w:val="12"/>
        </w:numPr>
        <w:suppressAutoHyphens/>
        <w:spacing w:after="75" w:line="240" w:lineRule="auto"/>
        <w:ind w:left="1245"/>
        <w:textAlignment w:val="baseline"/>
        <w:rPr>
          <w:rFonts w:eastAsia="-moz-fixed" w:cs="Times New Roman"/>
          <w:color w:val="000000"/>
          <w:szCs w:val="20"/>
          <w:lang w:val="en-US" w:eastAsia="ar-SA"/>
        </w:rPr>
      </w:pPr>
      <w:r w:rsidRPr="00861A1C">
        <w:rPr>
          <w:rFonts w:eastAsia="-moz-fixed" w:cs="Times New Roman"/>
          <w:color w:val="000000"/>
          <w:szCs w:val="20"/>
          <w:lang w:val="en-US" w:eastAsia="ar-SA"/>
        </w:rPr>
        <w:t>A strong seasonality in detections and species richness with the highest values occurring in summer and spring, and the lowest values in winter. For example, the most species were seen in summer (27), followed by spring (23), fall (22) and winter (16).</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pacing w:after="225" w:line="240" w:lineRule="auto"/>
        <w:ind w:left="720"/>
        <w:textAlignment w:val="baseline"/>
        <w:rPr>
          <w:rFonts w:eastAsia="Times New Roman" w:cs="Times New Roman"/>
          <w:color w:val="000000"/>
          <w:szCs w:val="24"/>
          <w:lang w:val="en-US"/>
        </w:rPr>
      </w:pPr>
      <w:r w:rsidRPr="00861A1C">
        <w:rPr>
          <w:rFonts w:eastAsia="Times New Roman" w:cs="Times New Roman"/>
          <w:color w:val="000000"/>
          <w:szCs w:val="24"/>
          <w:lang w:val="en-US"/>
        </w:rPr>
        <w:t>While the benefits of large wood in streams for fish, particularly salmon, have been well studied, few studies have focused on the impact on land-based animals, the Oregon State researchers said.</w:t>
      </w:r>
    </w:p>
    <w:p w:rsidR="00861A1C" w:rsidRPr="00861A1C" w:rsidRDefault="00861A1C" w:rsidP="00861A1C">
      <w:pPr>
        <w:spacing w:line="240" w:lineRule="auto"/>
        <w:ind w:left="720"/>
        <w:textAlignment w:val="baseline"/>
        <w:rPr>
          <w:rFonts w:eastAsia="Times New Roman" w:cs="Times New Roman"/>
          <w:color w:val="000000"/>
          <w:szCs w:val="24"/>
          <w:lang w:val="en-US"/>
        </w:rPr>
      </w:pPr>
      <w:r w:rsidRPr="00861A1C">
        <w:rPr>
          <w:rFonts w:eastAsia="Times New Roman" w:cs="Times New Roman"/>
          <w:color w:val="000000"/>
          <w:szCs w:val="24"/>
          <w:lang w:val="en-US"/>
        </w:rPr>
        <w:t>For their study, they set up 13 cameras between June 2020 and June 2021 along Rock Creek, about 15 miles west of Corvallis. They collected 1,921 videos containing at least one animal detection, …</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KTVZ News 6-21-2022. OSU research looks at importance of large wood in streams for land-based animals. </w:t>
      </w:r>
      <w:hyperlink r:id="rId72" w:history="1">
        <w:r w:rsidRPr="00861A1C">
          <w:rPr>
            <w:rFonts w:eastAsia="-moz-fixed" w:cs="-moz-fixed"/>
            <w:color w:val="0000FF"/>
            <w:szCs w:val="20"/>
            <w:u w:val="single"/>
            <w:lang w:val="en-US" w:eastAsia="ar-SA"/>
          </w:rPr>
          <w:t>https://ktvz.com/news/environment/2022/06/21/osu-research-looks-at-importance-of-large-wood-in-streams-for-land-based-animals/</w:t>
        </w:r>
      </w:hyperlink>
      <w:r w:rsidRPr="00861A1C">
        <w:rPr>
          <w:rFonts w:eastAsia="-moz-fixed" w:cs="-moz-fixed"/>
          <w:szCs w:val="20"/>
          <w:lang w:val="en-US" w:eastAsia="ar-SA"/>
        </w:rPr>
        <w:t xml:space="preserve"> </w:t>
      </w:r>
      <w:r w:rsidRPr="00861A1C">
        <w:rPr>
          <w:rFonts w:eastAsia="-moz-fixed" w:cs="-moz-fixed"/>
          <w:i/>
          <w:szCs w:val="20"/>
          <w:lang w:val="en-US" w:eastAsia="ar-SA"/>
        </w:rPr>
        <w:t>citing</w:t>
      </w:r>
      <w:r w:rsidRPr="00861A1C">
        <w:rPr>
          <w:rFonts w:eastAsia="-moz-fixed" w:cs="-moz-fixed"/>
          <w:szCs w:val="20"/>
          <w:lang w:val="en-US" w:eastAsia="ar-SA"/>
        </w:rPr>
        <w:t xml:space="preserve"> </w:t>
      </w:r>
      <w:proofErr w:type="spellStart"/>
      <w:r w:rsidRPr="00861A1C">
        <w:rPr>
          <w:rFonts w:eastAsia="-moz-fixed" w:cs="-moz-fixed"/>
          <w:szCs w:val="20"/>
          <w:lang w:val="en-US" w:eastAsia="ar-SA"/>
        </w:rPr>
        <w:t>Trevarrow</w:t>
      </w:r>
      <w:proofErr w:type="spellEnd"/>
      <w:r w:rsidRPr="00861A1C">
        <w:rPr>
          <w:rFonts w:eastAsia="-moz-fixed" w:cs="-moz-fixed"/>
          <w:szCs w:val="20"/>
          <w:lang w:val="en-US" w:eastAsia="ar-SA"/>
        </w:rPr>
        <w:t xml:space="preserve">, E., </w:t>
      </w:r>
      <w:proofErr w:type="spellStart"/>
      <w:r w:rsidRPr="00861A1C">
        <w:rPr>
          <w:rFonts w:eastAsia="-moz-fixed" w:cs="-moz-fixed"/>
          <w:szCs w:val="20"/>
          <w:lang w:val="en-US" w:eastAsia="ar-SA"/>
        </w:rPr>
        <w:t>Arismendi</w:t>
      </w:r>
      <w:proofErr w:type="spellEnd"/>
      <w:r w:rsidRPr="00861A1C">
        <w:rPr>
          <w:rFonts w:eastAsia="-moz-fixed" w:cs="-moz-fixed"/>
          <w:szCs w:val="20"/>
          <w:lang w:val="en-US" w:eastAsia="ar-SA"/>
        </w:rPr>
        <w:t xml:space="preserve">, I. The role of large wood in streams as ecological corridors for wildlife biodiversity. </w:t>
      </w:r>
      <w:proofErr w:type="spellStart"/>
      <w:r w:rsidRPr="00861A1C">
        <w:rPr>
          <w:rFonts w:eastAsia="-moz-fixed" w:cs="-moz-fixed"/>
          <w:szCs w:val="20"/>
          <w:lang w:val="en-US" w:eastAsia="ar-SA"/>
        </w:rPr>
        <w:t>Biodivers</w:t>
      </w:r>
      <w:proofErr w:type="spellEnd"/>
      <w:r w:rsidRPr="00861A1C">
        <w:rPr>
          <w:rFonts w:eastAsia="-moz-fixed" w:cs="-moz-fixed"/>
          <w:szCs w:val="20"/>
          <w:lang w:val="en-US" w:eastAsia="ar-SA"/>
        </w:rPr>
        <w:t xml:space="preserve"> </w:t>
      </w:r>
      <w:proofErr w:type="spellStart"/>
      <w:r w:rsidRPr="00861A1C">
        <w:rPr>
          <w:rFonts w:eastAsia="-moz-fixed" w:cs="-moz-fixed"/>
          <w:szCs w:val="20"/>
          <w:lang w:val="en-US" w:eastAsia="ar-SA"/>
        </w:rPr>
        <w:t>Conserv</w:t>
      </w:r>
      <w:proofErr w:type="spellEnd"/>
      <w:r w:rsidRPr="00861A1C">
        <w:rPr>
          <w:rFonts w:eastAsia="-moz-fixed" w:cs="-moz-fixed"/>
          <w:szCs w:val="20"/>
          <w:lang w:val="en-US" w:eastAsia="ar-SA"/>
        </w:rPr>
        <w:t xml:space="preserve"> (2022). </w:t>
      </w:r>
      <w:hyperlink r:id="rId73" w:history="1">
        <w:r w:rsidRPr="00861A1C">
          <w:rPr>
            <w:rFonts w:eastAsia="-moz-fixed" w:cs="-moz-fixed"/>
            <w:color w:val="0000FF"/>
            <w:szCs w:val="20"/>
            <w:u w:val="single"/>
            <w:lang w:val="en-US" w:eastAsia="ar-SA"/>
          </w:rPr>
          <w:t>https://doi.org/10.1007/s10531-022-02437-2</w:t>
        </w:r>
      </w:hyperlink>
      <w:r w:rsidRPr="00861A1C">
        <w:rPr>
          <w:rFonts w:eastAsia="-moz-fixed" w:cs="-moz-fixed"/>
          <w:szCs w:val="20"/>
          <w:lang w:val="en-US" w:eastAsia="ar-SA"/>
        </w:rPr>
        <w:t xml:space="preserve"> </w:t>
      </w:r>
      <w:hyperlink r:id="rId74" w:history="1">
        <w:r w:rsidRPr="00861A1C">
          <w:rPr>
            <w:rFonts w:eastAsia="-moz-fixed" w:cs="-moz-fixed"/>
            <w:color w:val="0000FF"/>
            <w:szCs w:val="20"/>
            <w:u w:val="single"/>
            <w:lang w:val="en-US" w:eastAsia="ar-SA"/>
          </w:rPr>
          <w:t>https://link.springer.com/article/10.1007/s10531-022-02437-2</w:t>
        </w:r>
      </w:hyperlink>
      <w:r w:rsidRPr="00861A1C">
        <w:rPr>
          <w:rFonts w:eastAsia="-moz-fixed" w:cs="-moz-fixed"/>
          <w:szCs w:val="20"/>
          <w:lang w:val="en-US" w:eastAsia="ar-SA"/>
        </w:rPr>
        <w:t xml:space="preserve">. </w:t>
      </w:r>
    </w:p>
    <w:p w:rsidR="00B864C7" w:rsidRDefault="00B864C7" w:rsidP="00861A1C">
      <w:pPr>
        <w:suppressAutoHyphens/>
        <w:spacing w:line="240" w:lineRule="auto"/>
        <w:rPr>
          <w:rFonts w:eastAsia="-moz-fixed" w:cs="-moz-fixed"/>
          <w:szCs w:val="20"/>
          <w:lang w:val="en-US" w:eastAsia="ar-SA"/>
        </w:rPr>
      </w:pPr>
    </w:p>
    <w:p w:rsidR="00B864C7" w:rsidRPr="00CF2B9C" w:rsidRDefault="00861A1C" w:rsidP="00861A1C">
      <w:pPr>
        <w:suppressAutoHyphens/>
        <w:spacing w:line="240" w:lineRule="auto"/>
        <w:rPr>
          <w:rFonts w:eastAsia="-moz-fixed" w:cs="-moz-fixed"/>
          <w:szCs w:val="20"/>
          <w:lang w:val="en-US" w:eastAsia="ar-SA"/>
        </w:rPr>
      </w:pPr>
      <w:r w:rsidRPr="00CF2B9C">
        <w:rPr>
          <w:rFonts w:eastAsia="-moz-fixed" w:cs="-moz-fixed"/>
          <w:szCs w:val="20"/>
          <w:lang w:val="en-US" w:eastAsia="ar-SA"/>
        </w:rPr>
        <w:t xml:space="preserve">The agency </w:t>
      </w:r>
      <w:r w:rsidRPr="00CF2B9C">
        <w:rPr>
          <w:rFonts w:eastAsia="-moz-fixed" w:cs="Times New Roman"/>
          <w:color w:val="222222"/>
          <w:szCs w:val="20"/>
          <w:shd w:val="clear" w:color="auto" w:fill="FFFFFF"/>
          <w:lang w:val="en-US" w:eastAsia="ar-SA"/>
        </w:rPr>
        <w:t xml:space="preserve">should not manage for </w:t>
      </w:r>
      <w:r w:rsidRPr="00CF2B9C">
        <w:rPr>
          <w:rFonts w:eastAsia="-moz-fixed" w:cs="Times New Roman"/>
          <w:i/>
          <w:color w:val="222222"/>
          <w:szCs w:val="20"/>
          <w:shd w:val="clear" w:color="auto" w:fill="FFFFFF"/>
          <w:lang w:val="en-US" w:eastAsia="ar-SA"/>
        </w:rPr>
        <w:t>minimum</w:t>
      </w:r>
      <w:r w:rsidRPr="00CF2B9C">
        <w:rPr>
          <w:rFonts w:eastAsia="-moz-fixed" w:cs="Times New Roman"/>
          <w:color w:val="222222"/>
          <w:szCs w:val="20"/>
          <w:shd w:val="clear" w:color="auto" w:fill="FFFFFF"/>
          <w:lang w:val="en-US" w:eastAsia="ar-SA"/>
        </w:rPr>
        <w:t xml:space="preserve"> levels of dead wood because </w:t>
      </w:r>
      <w:r w:rsidRPr="00CF2B9C">
        <w:rPr>
          <w:rFonts w:eastAsia="-moz-fixed" w:cs="Times New Roman"/>
          <w:i/>
          <w:color w:val="222222"/>
          <w:szCs w:val="20"/>
          <w:shd w:val="clear" w:color="auto" w:fill="FFFFFF"/>
          <w:lang w:val="en-US" w:eastAsia="ar-SA"/>
        </w:rPr>
        <w:t>optimal</w:t>
      </w:r>
      <w:r w:rsidRPr="00CF2B9C">
        <w:rPr>
          <w:rFonts w:eastAsia="-moz-fixed" w:cs="Times New Roman"/>
          <w:color w:val="222222"/>
          <w:szCs w:val="20"/>
          <w:shd w:val="clear" w:color="auto" w:fill="FFFFFF"/>
          <w:lang w:val="en-US" w:eastAsia="ar-SA"/>
        </w:rPr>
        <w:t xml:space="preserve"> levels of dead wood are much higher than minimums. In fact, there may not be any maximum.</w:t>
      </w:r>
      <w:r w:rsidRPr="00CF2B9C">
        <w:rPr>
          <w:rFonts w:eastAsia="-moz-fixed" w:cs="Times New Roman"/>
          <w:szCs w:val="20"/>
          <w:lang w:val="en-US" w:eastAsia="ar-SA"/>
        </w:rPr>
        <w:t xml:space="preserve"> </w:t>
      </w:r>
      <w:r w:rsidRPr="00CF2B9C">
        <w:rPr>
          <w:rFonts w:eastAsia="-moz-fixed" w:cs="-moz-fixed"/>
          <w:szCs w:val="20"/>
          <w:lang w:val="en-US" w:eastAsia="ar-SA"/>
        </w:rPr>
        <w:t xml:space="preserve">“The presence of LWM within a stream channel is critical to maintaining integrity of the system, in fact, there cannot be an overabundance of LWM.” Deschutes NF, 1997. Big Marsh Watershed Analysis. </w:t>
      </w:r>
      <w:hyperlink r:id="rId75" w:history="1">
        <w:r w:rsidRPr="00CF2B9C">
          <w:rPr>
            <w:rFonts w:eastAsia="-moz-fixed" w:cs="-moz-fixed"/>
            <w:color w:val="0000FF"/>
            <w:szCs w:val="20"/>
            <w:u w:val="single"/>
            <w:lang w:val="en-US" w:eastAsia="ar-SA"/>
          </w:rPr>
          <w:t>https://hdl.handle.net/1794/7225</w:t>
        </w:r>
      </w:hyperlink>
      <w:r w:rsidRPr="00CF2B9C">
        <w:rPr>
          <w:rFonts w:eastAsia="-moz-fixed" w:cs="-moz-fixed"/>
          <w:szCs w:val="20"/>
          <w:lang w:val="en-US" w:eastAsia="ar-SA"/>
        </w:rPr>
        <w:t xml:space="preserve">.  The Regional Ecosystem office recommends managing dead wood in young stands within reserves to attain </w:t>
      </w:r>
      <w:r w:rsidRPr="00CF2B9C">
        <w:rPr>
          <w:rFonts w:eastAsia="-moz-fixed" w:cs="-moz-fixed"/>
          <w:i/>
          <w:szCs w:val="20"/>
          <w:lang w:val="en-US" w:eastAsia="ar-SA"/>
        </w:rPr>
        <w:t>biologically optimal</w:t>
      </w:r>
      <w:r w:rsidRPr="00CF2B9C">
        <w:rPr>
          <w:rFonts w:eastAsia="-moz-fixed" w:cs="-moz-fixed"/>
          <w:szCs w:val="20"/>
          <w:lang w:val="en-US" w:eastAsia="ar-SA"/>
        </w:rPr>
        <w:t xml:space="preserve"> levels, not just </w:t>
      </w:r>
      <w:r w:rsidRPr="00CF2B9C">
        <w:rPr>
          <w:rFonts w:eastAsia="-moz-fixed" w:cs="-moz-fixed"/>
          <w:i/>
          <w:szCs w:val="20"/>
          <w:lang w:val="en-US" w:eastAsia="ar-SA"/>
        </w:rPr>
        <w:t>average</w:t>
      </w:r>
      <w:r w:rsidRPr="00CF2B9C">
        <w:rPr>
          <w:rFonts w:eastAsia="-moz-fixed" w:cs="-moz-fixed"/>
          <w:szCs w:val="20"/>
          <w:lang w:val="en-US" w:eastAsia="ar-SA"/>
        </w:rPr>
        <w:t xml:space="preserve"> or </w:t>
      </w:r>
      <w:r w:rsidRPr="00CF2B9C">
        <w:rPr>
          <w:rFonts w:eastAsia="-moz-fixed" w:cs="-moz-fixed"/>
          <w:i/>
          <w:szCs w:val="20"/>
          <w:lang w:val="en-US" w:eastAsia="ar-SA"/>
        </w:rPr>
        <w:t>reference</w:t>
      </w:r>
      <w:r w:rsidRPr="00CF2B9C">
        <w:rPr>
          <w:rFonts w:eastAsia="-moz-fixed" w:cs="-moz-fixed"/>
          <w:szCs w:val="20"/>
          <w:lang w:val="en-US" w:eastAsia="ar-SA"/>
        </w:rPr>
        <w:t xml:space="preserve"> levels. REO said “CWD objectives should be based on research that shows optimum levels of habitat for late-successional forest-related species, and not be based simply on measurements within natural stands.” REO 7-9-1996 Criteria to Exempt Specific Silvicultural Activities in Late-Successional Reserves, </w:t>
      </w:r>
      <w:hyperlink r:id="rId76" w:history="1">
        <w:r w:rsidRPr="00CF2B9C">
          <w:rPr>
            <w:rFonts w:eastAsia="-moz-fixed" w:cs="-moz-fixed"/>
            <w:color w:val="0000FF"/>
            <w:szCs w:val="20"/>
            <w:u w:val="single"/>
            <w:lang w:val="en-US" w:eastAsia="ar-SA"/>
          </w:rPr>
          <w:t>http://www.reo.gov/library/policy/REO-694_comm_thin_criteria.doc</w:t>
        </w:r>
      </w:hyperlink>
      <w:r w:rsidRPr="00CF2B9C">
        <w:rPr>
          <w:rFonts w:eastAsia="-moz-fixed" w:cs="-moz-fixed"/>
          <w:szCs w:val="20"/>
          <w:lang w:val="en-US" w:eastAsia="ar-SA"/>
        </w:rPr>
        <w:t>.</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Where streams are degraded, management of riparian forests should strive to meet the high end of the natural range for large wood, not the central tendency. This brings into question the minimum requirements that pervade current standards. Fox &amp; Bolton (2007) recommend -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In degraded streams, where management is needed to restore favorable conditions, wood loads are often no longer found in the upper distribution of these ranges, or the distribution is centered around a lower mean. In these cases, merely managing for the mean or median will not restore the natural ranges of heterogeneity. Thus, for management purposes intending to restore natural wood-loading conditions, establishing instream wood targets based on the upper portion of the distribution observed in natural systems (i.e., the 75th percentile) rather than the lower portion of the distribution are reasonable as well as prudent to restore natural ranges.</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Martin Fox &amp; Susan Bolton (2007) A Regional and Geomorphic Reference for Quantities and Volumes of Instream Wood in Unmanaged Forested Basins of Washington State, North American Journal of Fisheries Management, 27:1, 342-359, DOI: 10.1577/M05-024.1. </w:t>
      </w:r>
      <w:hyperlink r:id="rId77" w:history="1">
        <w:r w:rsidRPr="00861A1C">
          <w:rPr>
            <w:rFonts w:eastAsia="-moz-fixed" w:cs="-moz-fixed"/>
            <w:color w:val="0000FF"/>
            <w:szCs w:val="20"/>
            <w:u w:val="single"/>
            <w:lang w:val="en-US" w:eastAsia="ar-SA"/>
          </w:rPr>
          <w:t>http://dx.doi.org/10.1577/M05-024.1</w:t>
        </w:r>
      </w:hyperlink>
      <w:r w:rsidRPr="00861A1C">
        <w:rPr>
          <w:rFonts w:eastAsia="-moz-fixed" w:cs="-moz-fixed"/>
          <w:szCs w:val="20"/>
          <w:lang w:val="en-US" w:eastAsia="ar-SA"/>
        </w:rPr>
        <w:t xml:space="preserve"> </w:t>
      </w:r>
      <w:r w:rsidRPr="00861A1C">
        <w:rPr>
          <w:rFonts w:eastAsia="-moz-fixed" w:cs="-moz-fixed"/>
          <w:szCs w:val="20"/>
          <w:lang w:val="en-US" w:eastAsia="ar-SA"/>
        </w:rPr>
        <w:cr/>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Restoration of riparian reserves requires several things, including accumulation of basal area and conifer regeneration, both of which require retention of abundant live trees. The 1993 report of the Scientific Analysis Team (SAT), an appendix to FEMAT and the NFWP says: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Several studies (</w:t>
      </w:r>
      <w:proofErr w:type="spellStart"/>
      <w:r w:rsidRPr="00861A1C">
        <w:rPr>
          <w:rFonts w:eastAsia="-moz-fixed" w:cs="-moz-fixed"/>
          <w:szCs w:val="20"/>
          <w:lang w:val="en-US" w:eastAsia="ar-SA"/>
        </w:rPr>
        <w:t>Steinblums</w:t>
      </w:r>
      <w:proofErr w:type="spellEnd"/>
      <w:r w:rsidRPr="00861A1C">
        <w:rPr>
          <w:rFonts w:eastAsia="-moz-fixed" w:cs="-moz-fixed"/>
          <w:szCs w:val="20"/>
          <w:lang w:val="en-US" w:eastAsia="ar-SA"/>
        </w:rPr>
        <w:t xml:space="preserve"> 1977, Franklin et al. 1981, </w:t>
      </w:r>
      <w:proofErr w:type="spellStart"/>
      <w:r w:rsidRPr="00861A1C">
        <w:rPr>
          <w:rFonts w:eastAsia="-moz-fixed" w:cs="-moz-fixed"/>
          <w:szCs w:val="20"/>
          <w:lang w:val="en-US" w:eastAsia="ar-SA"/>
        </w:rPr>
        <w:t>Heimann</w:t>
      </w:r>
      <w:proofErr w:type="spellEnd"/>
      <w:r w:rsidRPr="00861A1C">
        <w:rPr>
          <w:rFonts w:eastAsia="-moz-fixed" w:cs="-moz-fixed"/>
          <w:szCs w:val="20"/>
          <w:lang w:val="en-US" w:eastAsia="ar-SA"/>
        </w:rPr>
        <w:t xml:space="preserve"> 1988, Andrus et al. 1988, </w:t>
      </w:r>
      <w:proofErr w:type="spellStart"/>
      <w:r w:rsidRPr="00861A1C">
        <w:rPr>
          <w:rFonts w:eastAsia="-moz-fixed" w:cs="-moz-fixed"/>
          <w:szCs w:val="20"/>
          <w:lang w:val="en-US" w:eastAsia="ar-SA"/>
        </w:rPr>
        <w:t>Ursitti</w:t>
      </w:r>
      <w:proofErr w:type="spellEnd"/>
      <w:r w:rsidRPr="00861A1C">
        <w:rPr>
          <w:rFonts w:eastAsia="-moz-fixed" w:cs="-moz-fixed"/>
          <w:szCs w:val="20"/>
          <w:lang w:val="en-US" w:eastAsia="ar-SA"/>
        </w:rPr>
        <w:t xml:space="preserve"> 1991, and </w:t>
      </w:r>
      <w:proofErr w:type="spellStart"/>
      <w:r w:rsidRPr="00861A1C">
        <w:rPr>
          <w:rFonts w:eastAsia="-moz-fixed" w:cs="-moz-fixed"/>
          <w:szCs w:val="20"/>
          <w:lang w:val="en-US" w:eastAsia="ar-SA"/>
        </w:rPr>
        <w:t>Morman</w:t>
      </w:r>
      <w:proofErr w:type="spellEnd"/>
      <w:r w:rsidRPr="00861A1C">
        <w:rPr>
          <w:rFonts w:eastAsia="-moz-fixed" w:cs="-moz-fixed"/>
          <w:szCs w:val="20"/>
          <w:lang w:val="en-US" w:eastAsia="ar-SA"/>
        </w:rPr>
        <w:t xml:space="preserve"> 1993) have found the basal area of conifers, which reflects the size and number of trees present, to be less in riparian areas of second-growth forests than in late-successional and old-growth forests.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Maintenance of riparian forests in late-successional and old-growth forests and restoration in second-growth forests will depend on regeneration rates of conifers in the future. Regeneration of conifers in the riparian zones of natural stands is dependent, at least in part, on downed large trees. Researchers at the Pacific Northwest Research Station, Corvallis, Oregon found that more than 80 percent of conifer regeneration in the riparian zones along coastal Oregon streams that they studied occurred on down logs. The role of nurse trees in forest regeneration in the Pacific Northwest is widely recognized (Harmon et al. 1986). in riparian zones, nurse trees originate within 0 to 400 feet of the active channel. Greater retention of live trees and snags in riparian stands and adjacent upslope source areas will enhance the generation of future riparian forests</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1993 SAT Report, page 460. The agency may claim that thinning helps regenerate conifers, but it comes at the expense of basal area and recruitment of nurse logs.</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lastRenderedPageBreak/>
        <w:t xml:space="preserve">The NWFP EIS discloses that there are 199 species (not including fish) that are associated with late-successional and old-growth forests and riparian areas, including 13 amphibians, 38 birds, 29 mammals, and a wide variety of non-vertebrates. Table FSEIS page 3&amp;4-11, page 3&amp;4-62. </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0"/>
          <w:lang w:val="en-US" w:eastAsia="ar-SA"/>
        </w:rPr>
        <w:t>Current amounts of large woody debris in coastal streams of Oregon and Washington are a fraction of historical levels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and Ward 1991, </w:t>
      </w:r>
      <w:proofErr w:type="spellStart"/>
      <w:r w:rsidRPr="00861A1C">
        <w:rPr>
          <w:rFonts w:eastAsia="-moz-fixed" w:cs="-moz-fixed"/>
          <w:szCs w:val="20"/>
          <w:lang w:val="en-US" w:eastAsia="ar-SA"/>
        </w:rPr>
        <w:t>Bisson</w:t>
      </w:r>
      <w:proofErr w:type="spellEnd"/>
      <w:r w:rsidRPr="00861A1C">
        <w:rPr>
          <w:rFonts w:eastAsia="-moz-fixed" w:cs="-moz-fixed"/>
          <w:szCs w:val="20"/>
          <w:lang w:val="en-US" w:eastAsia="ar-SA"/>
        </w:rPr>
        <w:t xml:space="preserve"> et al. 1987, NRC 1992). … Stream surveys by private timber companies and federal land management agencies in the Northwest reveal an overall loss of stream habitat quality (FEMAT 1993, Kaczynski and </w:t>
      </w:r>
      <w:proofErr w:type="spellStart"/>
      <w:r w:rsidRPr="00861A1C">
        <w:rPr>
          <w:rFonts w:eastAsia="-moz-fixed" w:cs="-moz-fixed"/>
          <w:szCs w:val="20"/>
          <w:lang w:val="en-US" w:eastAsia="ar-SA"/>
        </w:rPr>
        <w:t>Palmisano</w:t>
      </w:r>
      <w:proofErr w:type="spellEnd"/>
      <w:r w:rsidRPr="00861A1C">
        <w:rPr>
          <w:rFonts w:eastAsia="-moz-fixed" w:cs="-moz-fixed"/>
          <w:szCs w:val="20"/>
          <w:lang w:val="en-US" w:eastAsia="ar-SA"/>
        </w:rPr>
        <w:t xml:space="preserve"> 1993, </w:t>
      </w:r>
      <w:proofErr w:type="spellStart"/>
      <w:r w:rsidRPr="00861A1C">
        <w:rPr>
          <w:rFonts w:eastAsia="-moz-fixed" w:cs="-moz-fixed"/>
          <w:szCs w:val="20"/>
          <w:lang w:val="en-US" w:eastAsia="ar-SA"/>
        </w:rPr>
        <w:t>Wissmar</w:t>
      </w:r>
      <w:proofErr w:type="spellEnd"/>
      <w:r w:rsidRPr="00861A1C">
        <w:rPr>
          <w:rFonts w:eastAsia="-moz-fixed" w:cs="-moz-fixed"/>
          <w:szCs w:val="20"/>
          <w:lang w:val="en-US" w:eastAsia="ar-SA"/>
        </w:rPr>
        <w:t xml:space="preserve"> et al. 1994) that is strongly related to changes in riparian vegetation, especially harvest of merchantable riparian timber.</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4"/>
          <w:lang w:val="en-US" w:eastAsia="ar-SA"/>
        </w:rPr>
        <w:t xml:space="preserve">Everest, Fred H.; Reeves, Gordon H. 2006. Riparian and aquatic habitats of the Pacific Northwest and southeast Alaska: ecology, management history, and potential management strategies. Gen. Tech. Rep. PNW-GTR-692. Portland, OR: U.S. Department of Agriculture, Forest Service, Pacific Northwest Research Station. 130 p. </w:t>
      </w:r>
      <w:hyperlink r:id="rId78" w:history="1">
        <w:r w:rsidRPr="00861A1C">
          <w:rPr>
            <w:rFonts w:eastAsia="-moz-fixed" w:cs="-moz-fixed"/>
            <w:color w:val="0000FF"/>
            <w:szCs w:val="24"/>
            <w:u w:val="single"/>
            <w:lang w:val="en-US" w:eastAsia="ar-SA"/>
          </w:rPr>
          <w:t>http://www.fs.usda.gov/pnw/pubs/pnw_gtr692.pdf</w:t>
        </w:r>
      </w:hyperlink>
      <w:r w:rsidRPr="00861A1C">
        <w:rPr>
          <w:rFonts w:eastAsia="-moz-fixed" w:cs="-moz-fixed"/>
          <w:szCs w:val="24"/>
          <w:lang w:val="en-US" w:eastAsia="ar-SA"/>
        </w:rPr>
        <w:t>.</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The FEMAT Report explained that logging in reserves must be well-planned and clearly documented:</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Prescriptions to be used for each stand should be well thought out and documented. They will be designed to produce stand structure and component associated with late-successional conditions. These components include large trees, snags, logs, and dense, multi-storied canopies. Prescriptions should show the treatments to be applied and the anticipated effects on the stand over time. They should also include a discussion of the actions, coordination efforts, and oversight that will be necessary for successful implementation. This discussion should draw on previous efforts made to implement similar prescriptions. Finally, the prescriptions should identify key stand attributes or accomplishments that should be monitored. For example, if snags are to be created, or regeneration established, the accomplishment of these actions and their results should be monitored.</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1993 FEMAT Report at page III-34; 1994 FSEIS Vol II, page B-73. This means that the agencies cannot rely on analysis-free assertions that logging will enhance or accelerate late successional conditions or riparian conditions in some general way. The NEPA analysis must be much more explicit in terms of objectives, rationale, and the logical connection between intentions, actions and outcomes.</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In order to retain options for recruitment of large wood in degraded stream systems, scientific recommendations include retention of trees &gt;12” dbh.</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Removal of trees from riparian zones may delay the recovery of fish habitat. At a minimum, the largest trees (that is, those &gt; 12 inches in diameter at breast height) should be left in riparian areas for future sources of in-stream wood. This would apply to all streams, as recommended by Anderson and others (1992). Smaller trees could be removed as part of a program for riparian vegetation restoration. </w:t>
      </w: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0"/>
          <w:lang w:val="en-US" w:eastAsia="ar-SA"/>
        </w:rPr>
        <w:t xml:space="preserve">Gordon H. Reeves and Fred H. Everest. 1994. REDUCING HAZARD FOR ENDANGERED SALMON STOCKS, </w:t>
      </w:r>
      <w:r w:rsidRPr="00861A1C">
        <w:rPr>
          <w:rFonts w:eastAsia="-moz-fixed" w:cs="-moz-fixed"/>
          <w:i/>
          <w:szCs w:val="20"/>
          <w:lang w:val="en-US" w:eastAsia="ar-SA"/>
        </w:rPr>
        <w:t>in</w:t>
      </w:r>
      <w:r w:rsidRPr="00861A1C">
        <w:rPr>
          <w:rFonts w:eastAsia="-moz-fixed" w:cs="-moz-fixed"/>
          <w:szCs w:val="20"/>
          <w:lang w:val="en-US" w:eastAsia="ar-SA"/>
        </w:rPr>
        <w:t xml:space="preserve"> Eastside Forest Ecosystem Health Assessment; Volume IV. Everett, Richard L., comp. 1994. Restoration of Stressed Sites, and Processes. Gen. Tech. Rep. PNW-GTR-330. Portland, OR: USDA, Forest Service, Pacific Northwest Research Station. </w:t>
      </w:r>
      <w:r w:rsidRPr="00861A1C">
        <w:rPr>
          <w:rFonts w:eastAsia="-moz-fixed" w:cs="-moz-fixed"/>
          <w:szCs w:val="24"/>
          <w:lang w:val="en-US" w:eastAsia="ar-SA"/>
        </w:rPr>
        <w:t xml:space="preserve"> </w:t>
      </w:r>
      <w:hyperlink r:id="rId79" w:history="1">
        <w:r w:rsidRPr="00861A1C">
          <w:rPr>
            <w:rFonts w:eastAsia="-moz-fixed" w:cs="-moz-fixed"/>
            <w:color w:val="0000FF"/>
            <w:szCs w:val="24"/>
            <w:u w:val="single"/>
            <w:lang w:val="en-US" w:eastAsia="ar-SA"/>
          </w:rPr>
          <w:t>https://www.fs.usda.gov/pnw/pubs/pnw_gtr330.pdf</w:t>
        </w:r>
      </w:hyperlink>
      <w:r w:rsidRPr="00861A1C">
        <w:rPr>
          <w:rFonts w:eastAsia="-moz-fixed" w:cs="-moz-fixed"/>
          <w:szCs w:val="24"/>
          <w:lang w:val="en-US" w:eastAsia="ar-SA"/>
        </w:rPr>
        <w:t xml:space="preserve">. </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 (p 23).</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New science brings into question the ecological value of commercial logging as a restoration tool in riparian reserves in the Coast Range and western Cascades of Washington and Oregon.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lastRenderedPageBreak/>
        <w:t>… our data suggest that mature, late-successional conifer dominated forests have well developed structural characteristics in terms of abundant large trees in the overstory, abundant large snags, and a well-developed understory of shade-tolerant trees. We modeled the growth of young conifer stands to assess whether a common restoration treatment [thinning to 150 trees per hectare] would accelerate development of structural characteristics typical of reference conditions. We found that left untreated, the stands followed a trajectory towards developing forest structure similar to the average reference condition. In contrast, the restoration treatment followed a developmental trajectory along the outside range of reference conditions.</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Pollock, M. M., T. J. Beechie, and H. </w:t>
      </w:r>
      <w:proofErr w:type="spellStart"/>
      <w:r w:rsidRPr="00861A1C">
        <w:rPr>
          <w:rFonts w:eastAsia="-moz-fixed" w:cs="-moz-fixed"/>
          <w:szCs w:val="20"/>
          <w:lang w:val="en-US" w:eastAsia="ar-SA"/>
        </w:rPr>
        <w:t>Imaki</w:t>
      </w:r>
      <w:proofErr w:type="spellEnd"/>
      <w:r w:rsidRPr="00861A1C">
        <w:rPr>
          <w:rFonts w:eastAsia="-moz-fixed" w:cs="-moz-fixed"/>
          <w:szCs w:val="20"/>
          <w:lang w:val="en-US" w:eastAsia="ar-SA"/>
        </w:rPr>
        <w:t xml:space="preserve">. 2012. Using reference conditions in ecosystem restoration: an example for riparian conifer forests in the Pacific Northwest. Ecosphere 3(11):98. </w:t>
      </w:r>
      <w:hyperlink r:id="rId80" w:history="1">
        <w:r w:rsidRPr="00861A1C">
          <w:rPr>
            <w:rFonts w:eastAsia="-moz-fixed" w:cs="-moz-fixed"/>
            <w:color w:val="0000FF"/>
            <w:szCs w:val="20"/>
            <w:u w:val="single"/>
            <w:lang w:val="en-US" w:eastAsia="ar-SA"/>
          </w:rPr>
          <w:t>http://dx.doi.org/10.1890/ES12-00175.1</w:t>
        </w:r>
      </w:hyperlink>
      <w:r w:rsidRPr="00861A1C">
        <w:rPr>
          <w:rFonts w:eastAsia="-moz-fixed" w:cs="-moz-fixed"/>
          <w:szCs w:val="20"/>
          <w:lang w:val="en-US" w:eastAsia="ar-SA"/>
        </w:rPr>
        <w:t xml:space="preserve"> The following figure from this study shows that all types of thinning cause stand development to miss the reference stand trajectory for dead wood.</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noProof/>
          <w:szCs w:val="20"/>
          <w:lang w:val="en-US"/>
        </w:rPr>
        <w:drawing>
          <wp:inline distT="0" distB="0" distL="0" distR="0">
            <wp:extent cx="4632960" cy="33680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32960" cy="3368040"/>
                    </a:xfrm>
                    <a:prstGeom prst="rect">
                      <a:avLst/>
                    </a:prstGeom>
                    <a:noFill/>
                    <a:ln>
                      <a:noFill/>
                    </a:ln>
                  </pic:spPr>
                </pic:pic>
              </a:graphicData>
            </a:graphic>
          </wp:inline>
        </w:drawing>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Since streams are already severely degraded by logging, any further logging in riparian reserves should be very carefully scrutinized to avoid further adverse effects. Any claimed benefits of logging in riparian reserves should be clearly justified and supported by compelling scientific evidence. And that is just what the NWFP Aquatic Conservation Strategy calls for. ACS Objective #8 calls for restoring and maintaining “amounts and distributions of coarse woody debris sufficient to sustain physical complexity and stability.” Existing large wood levels are deficient across the landscape due to past and ongoing harvest practices. The objectives require retention </w:t>
      </w:r>
      <w:r w:rsidRPr="00861A1C">
        <w:rPr>
          <w:rFonts w:eastAsia="-moz-fixed" w:cs="-moz-fixed"/>
          <w:szCs w:val="20"/>
          <w:u w:val="single"/>
          <w:lang w:val="en-US" w:eastAsia="ar-SA"/>
        </w:rPr>
        <w:t>and long–term recruitment</w:t>
      </w:r>
      <w:r w:rsidRPr="00861A1C">
        <w:rPr>
          <w:rFonts w:eastAsia="-moz-fixed" w:cs="-moz-fixed"/>
          <w:szCs w:val="20"/>
          <w:lang w:val="en-US" w:eastAsia="ar-SA"/>
        </w:rPr>
        <w:t xml:space="preserve"> of abundant trees and wood especially large wood that provides long-lasting ecological services.</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“The effect that wood has on [fish] habitat is related to the size of the piece of wood relative to the channel size and gradient.” East Alsea Landscape Management Project – EA Appendix H - Fish BE, 4-18-2011. The NEPA analysis should therefore disclose the effects of logging not only on absolute size of wood but on the size of wood relative to stream size and gradient. Dead wood of all sizes is important to streams and riparian function. In small streams, small wood can even perform the ecological and hydrological functions normally thought to require large wood. If the </w:t>
      </w:r>
      <w:r w:rsidRPr="00861A1C">
        <w:rPr>
          <w:rFonts w:eastAsia="-moz-fixed" w:cs="-moz-fixed"/>
          <w:szCs w:val="20"/>
          <w:lang w:val="en-US" w:eastAsia="ar-SA"/>
        </w:rPr>
        <w:lastRenderedPageBreak/>
        <w:t xml:space="preserve">goal of logging is to create large trees faster, the NEPA analysis should document the size, gradient, and other characteristics of streams adjacent to each logging area and determine the size of wood that can serve key ecological and hydrological functions, then disclose the effects of logging relative to those relevant wood sizes. </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Dead wood is important to both aquatic and terrestrial purposes of the riparian reserves network, so the NEPA analysis cannot just focus on recruitment of wood to streams, but must also address the need to recruit optimal levels of snag and dead wood to meet the needs of terrestrial wildlife (primary cavity excavators, secondary cavity users, amphibians, mollusks, lichen, fungi, etc.) which were intended to be benefited by riparian reserves. Wood loading in small streams helps them perform their many critical ecological functions. Meyer J.L. et al 2007. WHERE RIVERS ARE BORN: The Scientific Imperative for Defending Small Streams and Wetlands. Sierra Club and American Rivers. </w:t>
      </w:r>
      <w:hyperlink r:id="rId82" w:history="1">
        <w:r w:rsidRPr="00861A1C">
          <w:rPr>
            <w:rFonts w:eastAsia="-moz-fixed" w:cs="-moz-fixed"/>
            <w:color w:val="0000FF"/>
            <w:szCs w:val="20"/>
            <w:u w:val="single"/>
            <w:lang w:val="en-US" w:eastAsia="ar-SA"/>
          </w:rPr>
          <w:t>https://www.americanrivers.org/wp-content/uploads/2016/05/WhereRiversAreBorn_report.pdf</w:t>
        </w:r>
      </w:hyperlink>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b/>
          <w:szCs w:val="24"/>
          <w:lang w:val="en-US" w:eastAsia="ar-SA"/>
        </w:rPr>
      </w:pPr>
      <w:r w:rsidRPr="00861A1C">
        <w:rPr>
          <w:rFonts w:eastAsia="-moz-fixed" w:cs="-moz-fixed"/>
          <w:szCs w:val="20"/>
          <w:lang w:val="en-US" w:eastAsia="ar-SA"/>
        </w:rPr>
        <w:t xml:space="preserve">We are concerned that thinning captures mortality which reduces and delays recruitment of large wood needed to meet ACSO #8 among others. Thinning is often conducted in riparian areas based on the false assumption that thinning accelerates the recruitment of large trees and therefore large snags, but rigorous analysis using stand simulation software clearly shows that assumption to be false. Note ACSO #8 is based on the aquatic objective more clearly stated in the SAT Report as “Maintain or restore riparian vegetation to provide an amount and distribution of large woody debris characteristic of natural aquatic and riparian ecosystems.” 1993 SAT Report. </w:t>
      </w:r>
      <w:proofErr w:type="spellStart"/>
      <w:r w:rsidRPr="00861A1C">
        <w:rPr>
          <w:rFonts w:eastAsia="-moz-fixed" w:cs="-moz-fixed"/>
          <w:szCs w:val="20"/>
          <w:lang w:val="en-US" w:eastAsia="ar-SA"/>
        </w:rPr>
        <w:t>Ch</w:t>
      </w:r>
      <w:proofErr w:type="spellEnd"/>
      <w:r w:rsidRPr="00861A1C">
        <w:rPr>
          <w:rFonts w:eastAsia="-moz-fixed" w:cs="-moz-fixed"/>
          <w:szCs w:val="20"/>
          <w:lang w:val="en-US" w:eastAsia="ar-SA"/>
        </w:rPr>
        <w:t xml:space="preserve"> 5, p 456.</w:t>
      </w:r>
    </w:p>
    <w:p w:rsidR="00B864C7" w:rsidRDefault="00B864C7" w:rsidP="00861A1C">
      <w:pPr>
        <w:suppressAutoHyphens/>
        <w:spacing w:line="240" w:lineRule="auto"/>
        <w:rPr>
          <w:rFonts w:eastAsia="-moz-fixed" w:cs="-moz-fixed"/>
          <w:b/>
          <w:szCs w:val="24"/>
          <w:lang w:val="en-US" w:eastAsia="ar-SA"/>
        </w:rPr>
      </w:pP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Thinning in stands of trees that are not yet of "pool forming" size may be beneficial, but after trees are of pool-forming size, thinning just captures and removes the mortality that should end up in the stream. (In simplistic terms, a pool-forming tree is one big enough to fall all the way across the stream, so it varies by stream size,</w:t>
      </w:r>
      <w:r w:rsidRPr="00861A1C">
        <w:rPr>
          <w:rFonts w:eastAsia="-moz-fixed" w:cs="-moz-fixed"/>
          <w:szCs w:val="20"/>
          <w:lang w:val="en-US" w:eastAsia="ar-SA"/>
        </w:rPr>
        <w:t xml:space="preserve"> but in general it only takes a small tree to form a pool in a small stream</w:t>
      </w:r>
      <w:r w:rsidRPr="00861A1C">
        <w:rPr>
          <w:rFonts w:eastAsia="-moz-fixed" w:cs="-moz-fixed"/>
          <w:szCs w:val="24"/>
          <w:lang w:val="en-US" w:eastAsia="ar-SA"/>
        </w:rPr>
        <w:t xml:space="preserve">). See Roni, Philip, Timothy J. Beechie, Robert E. </w:t>
      </w:r>
      <w:proofErr w:type="spellStart"/>
      <w:r w:rsidRPr="00861A1C">
        <w:rPr>
          <w:rFonts w:eastAsia="-moz-fixed" w:cs="-moz-fixed"/>
          <w:szCs w:val="24"/>
          <w:lang w:val="en-US" w:eastAsia="ar-SA"/>
        </w:rPr>
        <w:t>Bilby</w:t>
      </w:r>
      <w:proofErr w:type="spellEnd"/>
      <w:r w:rsidRPr="00861A1C">
        <w:rPr>
          <w:rFonts w:eastAsia="-moz-fixed" w:cs="-moz-fixed"/>
          <w:szCs w:val="24"/>
          <w:lang w:val="en-US" w:eastAsia="ar-SA"/>
        </w:rPr>
        <w:t xml:space="preserve">, Frank E. </w:t>
      </w:r>
      <w:proofErr w:type="spellStart"/>
      <w:r w:rsidRPr="00861A1C">
        <w:rPr>
          <w:rFonts w:eastAsia="-moz-fixed" w:cs="-moz-fixed"/>
          <w:szCs w:val="24"/>
          <w:lang w:val="en-US" w:eastAsia="ar-SA"/>
        </w:rPr>
        <w:t>Leonetti</w:t>
      </w:r>
      <w:proofErr w:type="spellEnd"/>
      <w:r w:rsidRPr="00861A1C">
        <w:rPr>
          <w:rFonts w:eastAsia="-moz-fixed" w:cs="-moz-fixed"/>
          <w:szCs w:val="24"/>
          <w:lang w:val="en-US" w:eastAsia="ar-SA"/>
        </w:rPr>
        <w:t xml:space="preserve">, Michael M. Pollock, And George R. </w:t>
      </w:r>
      <w:proofErr w:type="spellStart"/>
      <w:r w:rsidRPr="00861A1C">
        <w:rPr>
          <w:rFonts w:eastAsia="-moz-fixed" w:cs="-moz-fixed"/>
          <w:szCs w:val="24"/>
          <w:lang w:val="en-US" w:eastAsia="ar-SA"/>
        </w:rPr>
        <w:t>Pess</w:t>
      </w:r>
      <w:proofErr w:type="spellEnd"/>
      <w:r w:rsidRPr="00861A1C">
        <w:rPr>
          <w:rFonts w:eastAsia="-moz-fixed" w:cs="-moz-fixed"/>
          <w:szCs w:val="24"/>
          <w:lang w:val="en-US" w:eastAsia="ar-SA"/>
        </w:rPr>
        <w:t xml:space="preserve">. 2002. </w:t>
      </w:r>
      <w:r w:rsidRPr="00861A1C">
        <w:rPr>
          <w:rFonts w:eastAsia="-moz-fixed" w:cs="-moz-fixed"/>
          <w:b/>
          <w:bCs/>
          <w:szCs w:val="24"/>
          <w:lang w:val="en-US" w:eastAsia="ar-SA"/>
        </w:rPr>
        <w:t xml:space="preserve">A Review of Stream Restoration Techniques and a Hierarchical Strategy for Prioritizing Restoration in Pacific Northwest Watersheds. </w:t>
      </w:r>
      <w:r w:rsidRPr="00861A1C">
        <w:rPr>
          <w:rFonts w:eastAsia="-moz-fixed" w:cs="-moz-fixed"/>
          <w:i/>
          <w:iCs/>
          <w:szCs w:val="24"/>
          <w:lang w:val="en-US" w:eastAsia="ar-SA"/>
        </w:rPr>
        <w:t xml:space="preserve">North American Journal of Fisheries Management </w:t>
      </w:r>
      <w:r w:rsidRPr="00861A1C">
        <w:rPr>
          <w:rFonts w:eastAsia="-moz-fixed" w:cs="-moz-fixed"/>
          <w:szCs w:val="24"/>
          <w:lang w:val="en-US" w:eastAsia="ar-SA"/>
        </w:rPr>
        <w:t xml:space="preserve">22:1–20, 2002 American Fisheries Society 2002 </w:t>
      </w:r>
      <w:hyperlink r:id="rId83" w:history="1">
        <w:r w:rsidRPr="00861A1C">
          <w:rPr>
            <w:rFonts w:eastAsia="-moz-fixed" w:cs="-moz-fixed"/>
            <w:color w:val="0000FF"/>
            <w:szCs w:val="20"/>
            <w:u w:val="single"/>
            <w:lang w:val="en-US" w:eastAsia="ar-SA"/>
          </w:rPr>
          <w:t>http://www.crab.wa.gov/LibraryData/RESEARCH_and_REFERENCE_MATERIAL/Environmental/020923StreamRestoreTechPNW.pdf</w:t>
        </w:r>
      </w:hyperlink>
      <w:r w:rsidRPr="00861A1C">
        <w:rPr>
          <w:rFonts w:eastAsia="-moz-fixed" w:cs="-moz-fixed"/>
          <w:szCs w:val="24"/>
          <w:lang w:val="en-US" w:eastAsia="ar-SA"/>
        </w:rPr>
        <w: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4"/>
          <w:lang w:val="en-US" w:eastAsia="ar-SA"/>
        </w:rPr>
        <w:t>Looking at the total miles of streams, small streams dominate, therefore most logging takes place along small streams. BLM has admitted that small wood can be functional in small streams.</w:t>
      </w: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noProof/>
          <w:szCs w:val="24"/>
          <w:lang w:val="en-US"/>
        </w:rPr>
        <w:drawing>
          <wp:inline distT="0" distB="0" distL="0" distR="0">
            <wp:extent cx="5036820" cy="14935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36820" cy="1493520"/>
                    </a:xfrm>
                    <a:prstGeom prst="rect">
                      <a:avLst/>
                    </a:prstGeom>
                    <a:solidFill>
                      <a:srgbClr val="FFFFFF"/>
                    </a:solidFill>
                    <a:ln>
                      <a:noFill/>
                    </a:ln>
                  </pic:spPr>
                </pic:pic>
              </a:graphicData>
            </a:graphic>
          </wp:inline>
        </w:drawing>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BLM 2014. Planning Criteria - Western Oregon RMP Revisions</w:t>
      </w:r>
      <w:r w:rsidRPr="00861A1C">
        <w:rPr>
          <w:rFonts w:eastAsia="Symbol" w:cs="-moz-fixed"/>
          <w:color w:val="000000"/>
          <w:szCs w:val="20"/>
          <w:lang w:val="en-US" w:eastAsia="ar-SA"/>
        </w:rPr>
        <w:t xml:space="preserve">, p 49. </w:t>
      </w:r>
      <w:hyperlink r:id="rId85" w:anchor="_blank" w:history="1">
        <w:r w:rsidRPr="00861A1C">
          <w:rPr>
            <w:rFonts w:eastAsia="Symbol" w:cs="-moz-fixed"/>
            <w:color w:val="0000FF"/>
            <w:szCs w:val="20"/>
            <w:u w:val="single"/>
            <w:lang w:val="en-US" w:eastAsia="ar-SA"/>
          </w:rPr>
          <w:t>http://www.blm.gov/or/plans/rmpswesternoregon/plandocs.php</w:t>
        </w:r>
      </w:hyperlink>
      <w:r w:rsidRPr="00861A1C">
        <w:rPr>
          <w:rFonts w:eastAsia="-moz-fixed" w:cs="-moz-fixed"/>
          <w:szCs w:val="20"/>
          <w:lang w:val="en-US" w:eastAsia="ar-SA"/>
        </w:rPr>
        <w:t xml:space="preserve">. It’s also worth noting that small streams are disproportionally ecologically important. “While small-stream habitats have </w:t>
      </w:r>
      <w:r w:rsidRPr="00861A1C">
        <w:rPr>
          <w:rFonts w:eastAsia="-moz-fixed" w:cs="-moz-fixed"/>
          <w:szCs w:val="20"/>
          <w:lang w:val="en-US" w:eastAsia="ar-SA"/>
        </w:rPr>
        <w:lastRenderedPageBreak/>
        <w:t xml:space="preserve">only about 20% of the available salmon in the watershed, they provide 50% of bear consumption of salmon. ‘This tells us that populations of sockeye salmon that spawn in little streams are disproportionately important to bears,’ said study lead author Jonny Armstrong, an ecologist at Oregon State University. ‘Bears profit from these small streams because they offer salmon at unique times of the season. To capitalize on plentiful salmon runs, bears need them to be spread across time.’ Small streams typically have cold water, which leads to populations of salmon that spawn much earlier in the season when no other populations are available to predators such as bears.” </w:t>
      </w:r>
      <w:proofErr w:type="spellStart"/>
      <w:r w:rsidRPr="00861A1C">
        <w:rPr>
          <w:rFonts w:eastAsia="-moz-fixed" w:cs="-moz-fixed"/>
          <w:szCs w:val="20"/>
          <w:lang w:val="en-US" w:eastAsia="ar-SA"/>
        </w:rPr>
        <w:t>Branam</w:t>
      </w:r>
      <w:proofErr w:type="spellEnd"/>
      <w:r w:rsidRPr="00861A1C">
        <w:rPr>
          <w:rFonts w:eastAsia="-moz-fixed" w:cs="-moz-fixed"/>
          <w:szCs w:val="20"/>
          <w:lang w:val="en-US" w:eastAsia="ar-SA"/>
        </w:rPr>
        <w:t xml:space="preserve">, C. 2019. Easy prey: The largest bears in the world use small streams to fatten up on salmon. December 19, 2019. </w:t>
      </w:r>
      <w:hyperlink r:id="rId86" w:history="1">
        <w:r w:rsidRPr="00861A1C">
          <w:rPr>
            <w:rFonts w:eastAsia="-moz-fixed" w:cs="-moz-fixed"/>
            <w:color w:val="0000FF"/>
            <w:szCs w:val="20"/>
            <w:u w:val="single"/>
            <w:lang w:val="en-US" w:eastAsia="ar-SA"/>
          </w:rPr>
          <w:t>https://today.oregonstate.edu/news/easy-prey-largest-bears-world-use-small-streams-fatten-salmon</w:t>
        </w:r>
      </w:hyperlink>
      <w:r w:rsidRPr="00861A1C">
        <w:rPr>
          <w:rFonts w:eastAsia="-moz-fixed" w:cs="-moz-fixed"/>
          <w:szCs w:val="20"/>
          <w:lang w:val="en-US" w:eastAsia="ar-SA"/>
        </w:rPr>
        <w:t xml:space="preserve"> </w:t>
      </w:r>
      <w:r w:rsidRPr="00861A1C">
        <w:rPr>
          <w:rFonts w:eastAsia="-moz-fixed" w:cs="-moz-fixed"/>
          <w:i/>
          <w:szCs w:val="20"/>
          <w:lang w:val="en-US" w:eastAsia="ar-SA"/>
        </w:rPr>
        <w:t xml:space="preserve">citing </w:t>
      </w:r>
      <w:r w:rsidRPr="00861A1C">
        <w:rPr>
          <w:rFonts w:eastAsia="-moz-fixed" w:cs="-moz-fixed"/>
          <w:szCs w:val="20"/>
          <w:lang w:val="en-US" w:eastAsia="ar-SA"/>
        </w:rPr>
        <w:t xml:space="preserve">Jonathan B. Armstrong, Daniel E. Schindler, Curry J. Cunningham, William </w:t>
      </w:r>
      <w:proofErr w:type="spellStart"/>
      <w:r w:rsidRPr="00861A1C">
        <w:rPr>
          <w:rFonts w:eastAsia="-moz-fixed" w:cs="-moz-fixed"/>
          <w:szCs w:val="20"/>
          <w:lang w:val="en-US" w:eastAsia="ar-SA"/>
        </w:rPr>
        <w:t>Deacy</w:t>
      </w:r>
      <w:proofErr w:type="spellEnd"/>
      <w:r w:rsidRPr="00861A1C">
        <w:rPr>
          <w:rFonts w:eastAsia="-moz-fixed" w:cs="-moz-fixed"/>
          <w:szCs w:val="20"/>
          <w:lang w:val="en-US" w:eastAsia="ar-SA"/>
        </w:rPr>
        <w:t xml:space="preserve">, Patrick Walsh. 2019. Watershed complexity increases the capacity for salmon–wildlife interactions in coastal ecosystems. Conservation Letters. Published: 20 November 2019 </w:t>
      </w:r>
      <w:hyperlink r:id="rId87" w:history="1">
        <w:r w:rsidRPr="00861A1C">
          <w:rPr>
            <w:rFonts w:eastAsia="-moz-fixed" w:cs="-moz-fixed"/>
            <w:color w:val="0000FF"/>
            <w:szCs w:val="20"/>
            <w:u w:val="single"/>
            <w:lang w:val="en-US" w:eastAsia="ar-SA"/>
          </w:rPr>
          <w:t>https://doi.org/10.1111/conl.12689</w:t>
        </w:r>
      </w:hyperlink>
      <w:r w:rsidRPr="00861A1C">
        <w:rPr>
          <w:rFonts w:eastAsia="-moz-fixed" w:cs="-moz-fixed"/>
          <w:szCs w:val="20"/>
          <w:lang w:val="en-US" w:eastAsia="ar-SA"/>
        </w:rPr>
        <w:t xml:space="preserve">  </w:t>
      </w:r>
      <w:hyperlink r:id="rId88" w:history="1">
        <w:r w:rsidRPr="00861A1C">
          <w:rPr>
            <w:rFonts w:eastAsia="-moz-fixed" w:cs="-moz-fixed"/>
            <w:color w:val="0000FF"/>
            <w:szCs w:val="20"/>
            <w:u w:val="single"/>
            <w:lang w:val="en-US" w:eastAsia="ar-SA"/>
          </w:rPr>
          <w:t>https://conbio.onlinelibrary.wiley.com/doi/pdfdirect/10.1111/conl.12689</w:t>
        </w:r>
      </w:hyperlink>
      <w:r w:rsidRPr="00861A1C">
        <w:rPr>
          <w:rFonts w:eastAsia="-moz-fixed" w:cs="-moz-fixed"/>
          <w:szCs w:val="20"/>
          <w:lang w:val="en-US" w:eastAsia="ar-SA"/>
        </w:rPr>
        <w:t xml:space="preserve">. </w:t>
      </w:r>
    </w:p>
    <w:p w:rsidR="00B864C7" w:rsidRDefault="00B864C7" w:rsidP="00861A1C">
      <w:pPr>
        <w:suppressAutoHyphens/>
        <w:spacing w:line="240" w:lineRule="auto"/>
        <w:rPr>
          <w:rFonts w:eastAsia="-moz-fixed" w:cs="-moz-fixed"/>
          <w:szCs w:val="24"/>
          <w:lang w:val="en-US" w:eastAsia="ar-SA"/>
        </w:rPr>
      </w:pP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Rosenfeld &amp; </w:t>
      </w:r>
      <w:proofErr w:type="spellStart"/>
      <w:r w:rsidRPr="00861A1C">
        <w:rPr>
          <w:rFonts w:eastAsia="-moz-fixed" w:cs="-moz-fixed"/>
          <w:szCs w:val="24"/>
          <w:lang w:val="en-US" w:eastAsia="ar-SA"/>
        </w:rPr>
        <w:t>Huato</w:t>
      </w:r>
      <w:proofErr w:type="spellEnd"/>
      <w:r w:rsidRPr="00861A1C">
        <w:rPr>
          <w:rFonts w:eastAsia="-moz-fixed" w:cs="-moz-fixed"/>
          <w:szCs w:val="24"/>
          <w:lang w:val="en-US" w:eastAsia="ar-SA"/>
        </w:rPr>
        <w:t xml:space="preserve"> (2003) found that large wood formed pools more reliably than small wood. Wood &gt;24” dbh formed pools 42% of the time, while wood 6-12” dbh formed pools 6% of the time. However, this does not mean that small wood is of no use, especially if it’s abundant. The cumulative influence of several pieces of small wood can approach the pool-forming function of large wood. Rosenfeld, J. S., and </w:t>
      </w:r>
      <w:proofErr w:type="spellStart"/>
      <w:r w:rsidRPr="00861A1C">
        <w:rPr>
          <w:rFonts w:eastAsia="-moz-fixed" w:cs="-moz-fixed"/>
          <w:szCs w:val="24"/>
          <w:lang w:val="en-US" w:eastAsia="ar-SA"/>
        </w:rPr>
        <w:t>Huato</w:t>
      </w:r>
      <w:proofErr w:type="spellEnd"/>
      <w:r w:rsidRPr="00861A1C">
        <w:rPr>
          <w:rFonts w:eastAsia="-moz-fixed" w:cs="-moz-fixed"/>
          <w:szCs w:val="24"/>
          <w:lang w:val="en-US" w:eastAsia="ar-SA"/>
        </w:rPr>
        <w:t>, L. 2003. Relationship between LWD characteristics and pool formation in small coastal British Columbia streams. North American Journal of Fisheries Management 23:928–938.</w:t>
      </w:r>
      <w:r w:rsidRPr="00861A1C">
        <w:rPr>
          <w:rFonts w:eastAsia="-moz-fixed" w:cs="-moz-fixed"/>
          <w:szCs w:val="20"/>
          <w:lang w:val="en-US" w:eastAsia="ar-SA"/>
        </w:rPr>
        <w:t xml:space="preserve"> </w:t>
      </w:r>
      <w:hyperlink r:id="rId89" w:history="1">
        <w:r w:rsidRPr="00861A1C">
          <w:rPr>
            <w:rFonts w:eastAsia="-moz-fixed" w:cs="-moz-fixed"/>
            <w:color w:val="0000FF"/>
            <w:szCs w:val="24"/>
            <w:u w:val="single"/>
            <w:lang w:val="en-US" w:eastAsia="ar-SA"/>
          </w:rPr>
          <w:t>https://web.archive.org/web/20170808131553/http://www3.telus.net/jordanrosenfeld/Home%20Page/Publications/Rosenfeld%20and%20Huato%202003.pdf</w:t>
        </w:r>
      </w:hyperlink>
      <w:r w:rsidRPr="00861A1C">
        <w:rPr>
          <w:rFonts w:eastAsia="-moz-fixed" w:cs="-moz-fixed"/>
          <w:szCs w:val="20"/>
          <w:lang w:val="en-US" w:eastAsia="ar-SA"/>
        </w:rPr>
        <w:t xml:space="preserve">. Similarly,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and Ward (1989) surveyed characteristics of large wood in western Washington streams and found that size of stable pieces of large wood increases with stream size. Their values suggest that streams under 5 m in width require trees of about 30–35 cm in diameter to be useful as fish habitat and to be able to persist as stable LWM in the channel. Streams of about 10 m in width require larger trees of about 45 cm (1.5 ft) in diameter.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R. E.; Ward, J. W. 1989. Changes in characteristics and function of woody debris with increasing size of streams in western Washington. Transactions of the American Fisheries Society 118: 368-378. These publications show the direct and cumulative value of small wood (which is often captured and exported by logging). This means that the agency cannot ignore or discount the value of small wood recruitment to streams. In sum, NEPA analyses must account for the effects of logging on both the quantity and quality of wood.</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The effects of logging in riparian reserves should be described in terms of the number of pieces and the volume of wood, not just the size wood. Scientists recommend wood volume as a more meaningful measure of wood’s value instream.  “Total volume of wood through time was reported for all simulations, which is a more conservative measure of wood abundance than the number of pieces.” Mark A. </w:t>
      </w:r>
      <w:proofErr w:type="spellStart"/>
      <w:r w:rsidRPr="00861A1C">
        <w:rPr>
          <w:rFonts w:eastAsia="-moz-fixed" w:cs="-moz-fixed"/>
          <w:szCs w:val="20"/>
          <w:lang w:val="en-US" w:eastAsia="ar-SA"/>
        </w:rPr>
        <w:t>Meleason</w:t>
      </w:r>
      <w:proofErr w:type="spellEnd"/>
      <w:r w:rsidRPr="00861A1C">
        <w:rPr>
          <w:rFonts w:eastAsia="-moz-fixed" w:cs="-moz-fixed"/>
          <w:szCs w:val="20"/>
          <w:lang w:val="en-US" w:eastAsia="ar-SA"/>
        </w:rPr>
        <w:t xml:space="preserve">, Stanley V. Gregory, And John P. </w:t>
      </w:r>
      <w:proofErr w:type="spellStart"/>
      <w:r w:rsidRPr="00861A1C">
        <w:rPr>
          <w:rFonts w:eastAsia="-moz-fixed" w:cs="-moz-fixed"/>
          <w:szCs w:val="20"/>
          <w:lang w:val="en-US" w:eastAsia="ar-SA"/>
        </w:rPr>
        <w:t>Bolte</w:t>
      </w:r>
      <w:proofErr w:type="spellEnd"/>
      <w:r w:rsidRPr="00861A1C">
        <w:rPr>
          <w:rFonts w:eastAsia="-moz-fixed" w:cs="-moz-fixed"/>
          <w:szCs w:val="20"/>
          <w:lang w:val="en-US" w:eastAsia="ar-SA"/>
        </w:rPr>
        <w:t xml:space="preserve">. 2003. Implications Of Riparian Management Strategies On Wood In Streams Of The Pacific Northwest. Ecological Applications, 13(5), 2003, pp. 1212–1221. </w:t>
      </w:r>
      <w:hyperlink r:id="rId90" w:history="1">
        <w:r w:rsidRPr="00861A1C">
          <w:rPr>
            <w:rFonts w:eastAsia="-moz-fixed" w:cs="-moz-fixed"/>
            <w:color w:val="0000FF"/>
            <w:szCs w:val="20"/>
            <w:u w:val="single"/>
            <w:lang w:val="en-US" w:eastAsia="ar-SA"/>
          </w:rPr>
          <w:t>http://www.geo.oregonstate.edu/classes/geo582/week_5_1_wood_movement/Meleasonetalstrategies.pdf</w:t>
        </w:r>
      </w:hyperlink>
      <w:r w:rsidRPr="00861A1C">
        <w:rPr>
          <w:rFonts w:eastAsia="-moz-fixed" w:cs="-moz-fixed"/>
          <w:szCs w:val="20"/>
          <w:lang w:val="en-US" w:eastAsia="ar-SA"/>
        </w:rPr>
        <w:t>.</w:t>
      </w:r>
      <w:r w:rsidRPr="00861A1C">
        <w:rPr>
          <w:rFonts w:eastAsia="-moz-fixed" w:cs="-moz-fixed"/>
          <w:szCs w:val="24"/>
          <w:lang w:val="en-US" w:eastAsia="ar-SA"/>
        </w:rPr>
        <w:br/>
      </w:r>
      <w:r w:rsidRPr="00861A1C">
        <w:rPr>
          <w:rFonts w:eastAsia="-moz-fixed" w:cs="-moz-fixed"/>
          <w:szCs w:val="24"/>
          <w:lang w:val="en-US" w:eastAsia="ar-SA"/>
        </w:rPr>
        <w:br/>
        <w:t xml:space="preserve">Also, when the objective of riparian thinning is to develop structures suitable for instream habitat structures, there is a trade-off between quality and quantity. “Quality” is represented by the size of woody pieces. Larger is generally better, and thinning typically increases the growth rate of retained trees. “Quantity” is represented by the number of stems or the total volume of wood available for recruitment to streams and riparian uplands. Unthinned stands tend to have </w:t>
      </w:r>
      <w:r w:rsidRPr="00861A1C">
        <w:rPr>
          <w:rFonts w:eastAsia="-moz-fixed" w:cs="-moz-fixed"/>
          <w:szCs w:val="24"/>
          <w:lang w:val="en-US" w:eastAsia="ar-SA"/>
        </w:rPr>
        <w:lastRenderedPageBreak/>
        <w:t>much higher number of stems and total wood volume</w:t>
      </w:r>
      <w:r w:rsidRPr="00861A1C">
        <w:rPr>
          <w:rFonts w:eastAsia="-moz-fixed" w:cs="-moz-fixed"/>
          <w:szCs w:val="20"/>
          <w:lang w:val="en-US" w:eastAsia="ar-SA"/>
        </w:rPr>
        <w:t>, and they tend to recruit dead wood sooner</w:t>
      </w:r>
      <w:r w:rsidRPr="00861A1C">
        <w:rPr>
          <w:rFonts w:eastAsia="-moz-fixed" w:cs="-moz-fixed"/>
          <w:szCs w:val="24"/>
          <w:lang w:val="en-US" w:eastAsia="ar-SA"/>
        </w:rPr>
        <w:t>. To justify logging, the agencies too often focus on growing large wood faster without acknowledging the adverse effects on wood quantity</w:t>
      </w:r>
      <w:r w:rsidRPr="00861A1C">
        <w:rPr>
          <w:rFonts w:eastAsia="-moz-fixed" w:cs="-moz-fixed"/>
          <w:szCs w:val="20"/>
          <w:lang w:val="en-US" w:eastAsia="ar-SA"/>
        </w:rPr>
        <w:t xml:space="preserve"> and delayed recruitment</w:t>
      </w:r>
      <w:r w:rsidRPr="00861A1C">
        <w:rPr>
          <w:rFonts w:eastAsia="-moz-fixed" w:cs="-moz-fixed"/>
          <w:szCs w:val="24"/>
          <w:lang w:val="en-US" w:eastAsia="ar-SA"/>
        </w:rPr>
        <w:t xml:space="preserve">. The focus on wood size fails to tell a complete story </w:t>
      </w:r>
      <w:r w:rsidRPr="00861A1C">
        <w:rPr>
          <w:rFonts w:eastAsia="-moz-fixed" w:cs="-moz-fixed"/>
          <w:szCs w:val="20"/>
          <w:lang w:val="en-US" w:eastAsia="ar-SA"/>
        </w:rPr>
        <w:t>because:</w:t>
      </w:r>
    </w:p>
    <w:p w:rsidR="00861A1C" w:rsidRPr="00861A1C" w:rsidRDefault="00861A1C" w:rsidP="00861A1C">
      <w:pPr>
        <w:suppressAutoHyphens/>
        <w:spacing w:line="240" w:lineRule="auto"/>
        <w:ind w:left="360"/>
        <w:rPr>
          <w:rFonts w:eastAsia="-moz-fixed" w:cs="-moz-fixed"/>
          <w:szCs w:val="20"/>
          <w:lang w:val="en-US" w:eastAsia="ar-SA"/>
        </w:rPr>
      </w:pPr>
      <w:r w:rsidRPr="00861A1C">
        <w:rPr>
          <w:rFonts w:eastAsia="-moz-fixed" w:cs="-moz-fixed"/>
          <w:szCs w:val="20"/>
          <w:lang w:val="en-US" w:eastAsia="ar-SA"/>
        </w:rPr>
        <w:t xml:space="preserve"> (1) Pieces of wood much smaller than 20 or 24” diameter can be ecologically functional. Many streams in adjacent to thinning projects are small and lack the power to move much wood, so small trees are still functional;</w:t>
      </w:r>
    </w:p>
    <w:p w:rsidR="00861A1C" w:rsidRPr="00861A1C" w:rsidRDefault="00861A1C" w:rsidP="00861A1C">
      <w:pPr>
        <w:suppressAutoHyphens/>
        <w:spacing w:line="240" w:lineRule="auto"/>
        <w:ind w:left="360"/>
        <w:rPr>
          <w:rFonts w:eastAsia="-moz-fixed" w:cs="-moz-fixed"/>
          <w:szCs w:val="20"/>
          <w:lang w:val="en-US" w:eastAsia="ar-SA"/>
        </w:rPr>
      </w:pPr>
      <w:r w:rsidRPr="00861A1C">
        <w:rPr>
          <w:rFonts w:eastAsia="-moz-fixed" w:cs="-moz-fixed"/>
          <w:szCs w:val="20"/>
          <w:lang w:val="en-US" w:eastAsia="ar-SA"/>
        </w:rPr>
        <w:t xml:space="preserve"> (2) Average stand diameter does not reflect actual wood recruitment to riparian reserves. A stand of large vigorous trees is not experiencing the ecological processes (mortality) necessary to recruit wood to streams and riparian uplands; </w:t>
      </w:r>
    </w:p>
    <w:p w:rsidR="00B864C7" w:rsidRDefault="00861A1C" w:rsidP="00861A1C">
      <w:pPr>
        <w:suppressAutoHyphens/>
        <w:spacing w:line="240" w:lineRule="auto"/>
        <w:ind w:left="360"/>
        <w:rPr>
          <w:rFonts w:eastAsia="-moz-fixed" w:cs="-moz-fixed"/>
          <w:szCs w:val="24"/>
          <w:lang w:val="en-US" w:eastAsia="ar-SA"/>
        </w:rPr>
      </w:pPr>
      <w:r w:rsidRPr="00861A1C">
        <w:rPr>
          <w:rFonts w:eastAsia="-moz-fixed" w:cs="-moz-fixed"/>
          <w:szCs w:val="20"/>
          <w:lang w:val="en-US" w:eastAsia="ar-SA"/>
        </w:rPr>
        <w:t xml:space="preserve"> (3) Average stand QMD does not account for the number of stems or the volume of wood available for recruitment toward ecological services. A few large stems do not serve the same ecological function as a large number of slightly smaller stems.</w:t>
      </w:r>
    </w:p>
    <w:p w:rsidR="00B864C7" w:rsidRDefault="00B864C7" w:rsidP="00861A1C">
      <w:pPr>
        <w:suppressAutoHyphens/>
        <w:spacing w:line="240" w:lineRule="auto"/>
        <w:ind w:left="360"/>
        <w:rPr>
          <w:rFonts w:eastAsia="-moz-fixed" w:cs="-moz-fixed"/>
          <w:szCs w:val="24"/>
          <w:lang w:val="en-US" w:eastAsia="ar-SA"/>
        </w:rPr>
      </w:pPr>
    </w:p>
    <w:p w:rsidR="00B864C7" w:rsidRDefault="00861A1C" w:rsidP="00861A1C">
      <w:pPr>
        <w:suppressAutoHyphens/>
        <w:spacing w:line="240" w:lineRule="auto"/>
        <w:rPr>
          <w:rFonts w:eastAsia="-moz-fixed" w:cs="-moz-fixed"/>
          <w:szCs w:val="24"/>
          <w:lang w:val="en-US" w:eastAsia="ar-SA"/>
        </w:rPr>
      </w:pPr>
      <w:r w:rsidRPr="00861A1C">
        <w:rPr>
          <w:rFonts w:eastAsia="-moz-fixed" w:cs="-moz-fixed"/>
          <w:color w:val="222222"/>
          <w:szCs w:val="24"/>
          <w:lang w:val="en-US" w:eastAsia="ar-SA"/>
        </w:rPr>
        <w:t>Even when looking at the size and number of pieces, there is no long-term benefit from thinning. “Thinning accelerated the development of large diameter trees by about 20 years such that there were more live trees &gt; 18” dbh in the two decades following thinning, relative to the unthinned stand, but</w:t>
      </w:r>
      <w:r w:rsidRPr="00861A1C">
        <w:rPr>
          <w:rFonts w:eastAsia="-moz-fixed" w:cs="-moz-fixed"/>
          <w:b/>
          <w:bCs/>
          <w:color w:val="222222"/>
          <w:szCs w:val="24"/>
          <w:lang w:val="en-US" w:eastAsia="ar-SA"/>
        </w:rPr>
        <w:t> </w:t>
      </w:r>
      <w:r w:rsidRPr="00861A1C">
        <w:rPr>
          <w:rFonts w:eastAsia="-moz-fixed" w:cs="-moz-fixed"/>
          <w:bCs/>
          <w:color w:val="222222"/>
          <w:szCs w:val="24"/>
          <w:lang w:val="en-US" w:eastAsia="ar-SA"/>
        </w:rPr>
        <w:t>this advantage was short-lived</w:t>
      </w:r>
      <w:r w:rsidRPr="00861A1C">
        <w:rPr>
          <w:rFonts w:eastAsia="-moz-fixed" w:cs="-moz-fixed"/>
          <w:color w:val="222222"/>
          <w:szCs w:val="24"/>
          <w:lang w:val="en-US" w:eastAsia="ar-SA"/>
        </w:rPr>
        <w:t>. Three decades after thinning, there were </w:t>
      </w:r>
      <w:r w:rsidRPr="00861A1C">
        <w:rPr>
          <w:rFonts w:eastAsia="-moz-fixed" w:cs="-moz-fixed"/>
          <w:bCs/>
          <w:color w:val="222222"/>
          <w:szCs w:val="24"/>
          <w:lang w:val="en-US" w:eastAsia="ar-SA"/>
        </w:rPr>
        <w:t>more live trees &gt; 18” dbh in the unthinned stand</w:t>
      </w:r>
      <w:r w:rsidRPr="00861A1C">
        <w:rPr>
          <w:rFonts w:eastAsia="-moz-fixed" w:cs="-moz-fixed"/>
          <w:color w:val="222222"/>
          <w:szCs w:val="24"/>
          <w:lang w:val="en-US" w:eastAsia="ar-SA"/>
        </w:rPr>
        <w:t> and five decades after thinning there were twice as many live trees &gt;18” dbh in the unthinned stand relative to the thinned stand. A similar trajectory was observ</w:t>
      </w:r>
      <w:bookmarkStart w:id="19" w:name="13751f4c5eaec7d4__ftnref3"/>
      <w:r w:rsidRPr="00861A1C">
        <w:rPr>
          <w:rFonts w:eastAsia="-moz-fixed" w:cs="-moz-fixed"/>
          <w:color w:val="222222"/>
          <w:szCs w:val="24"/>
          <w:lang w:val="en-US" w:eastAsia="ar-SA"/>
        </w:rPr>
        <w:t>ed for the live tree</w:t>
      </w:r>
      <w:r w:rsidRPr="00861A1C">
        <w:rPr>
          <w:rFonts w:eastAsia="-moz-fixed" w:cs="-moz-fixed"/>
          <w:szCs w:val="24"/>
          <w:lang w:val="en-US" w:eastAsia="ar-SA"/>
        </w:rPr>
        <w:t>s &gt; 24” dbh</w:t>
      </w:r>
      <w:bookmarkEnd w:id="19"/>
      <w:r w:rsidRPr="00861A1C">
        <w:rPr>
          <w:rFonts w:eastAsia="-moz-fixed" w:cs="-moz-fixed"/>
          <w:szCs w:val="24"/>
          <w:lang w:val="en-US" w:eastAsia="ar-SA"/>
        </w:rPr>
        <w:t xml:space="preserve">.” Kim </w:t>
      </w:r>
      <w:proofErr w:type="spellStart"/>
      <w:r w:rsidRPr="00861A1C">
        <w:rPr>
          <w:rFonts w:eastAsia="-moz-fixed" w:cs="-moz-fixed"/>
          <w:szCs w:val="24"/>
          <w:lang w:val="en-US" w:eastAsia="ar-SA"/>
        </w:rPr>
        <w:t>Kratz</w:t>
      </w:r>
      <w:proofErr w:type="spellEnd"/>
      <w:r w:rsidRPr="00861A1C">
        <w:rPr>
          <w:rFonts w:eastAsia="-moz-fixed" w:cs="-moz-fixed"/>
          <w:szCs w:val="24"/>
          <w:lang w:val="en-US" w:eastAsia="ar-SA"/>
        </w:rPr>
        <w:t xml:space="preserve">, Ph.D., Issue Paper for Western Oregon. NMFS, Oregon State Habitat Office. 7-23-2010. Appendix 1. page 38. </w:t>
      </w:r>
      <w:hyperlink r:id="rId91" w:history="1">
        <w:r w:rsidRPr="00861A1C">
          <w:rPr>
            <w:rFonts w:eastAsia="-moz-fixed" w:cs="-moz-fixed"/>
            <w:color w:val="0000FF"/>
            <w:szCs w:val="20"/>
            <w:u w:val="single"/>
            <w:lang w:val="en-US" w:eastAsia="ar-SA"/>
          </w:rPr>
          <w:t>https://www.blm.gov/or/districts/medford/forestrypilot/files/kswildetal-attach4.pdf</w:t>
        </w:r>
      </w:hyperlink>
      <w:r w:rsidRPr="00861A1C">
        <w:rPr>
          <w:rFonts w:eastAsia="-moz-fixed" w:cs="-moz-fixed"/>
          <w:szCs w:val="20"/>
          <w:lang w:val="en-US" w:eastAsia="ar-SA"/>
        </w:rPr>
        <w:t>.</w:t>
      </w:r>
      <w:r w:rsidRPr="00861A1C">
        <w:rPr>
          <w:rFonts w:eastAsia="-moz-fixed" w:cs="-moz-fixed"/>
          <w:szCs w:val="24"/>
          <w:lang w:val="en-US" w:eastAsia="ar-SA"/>
        </w:rPr>
        <w:t xml:space="preserve"> The most notable effect of thinning is to reduce recruitment of larger wood. Even during the brief period that the thinned stand had more large trees, those trees are unlikely to be recruited to the stream, because they are more vigorous as a result of thinning.</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after="240" w:line="240" w:lineRule="auto"/>
        <w:rPr>
          <w:rFonts w:eastAsia="-moz-fixed" w:cs="-moz-fixed"/>
          <w:szCs w:val="24"/>
          <w:lang w:val="en-US" w:eastAsia="ar-SA"/>
        </w:rPr>
      </w:pPr>
      <w:r w:rsidRPr="00861A1C">
        <w:rPr>
          <w:rFonts w:eastAsia="-moz-fixed" w:cs="-moz-fixed"/>
          <w:szCs w:val="20"/>
          <w:lang w:val="en-US" w:eastAsia="ar-SA"/>
        </w:rPr>
        <w:t>Contrary to common assumptions, thinning is not a zero sum game, especially not in the years immediately following thinning. The wood that is captured and removed does not regrow for decades, and if a disturbance event comes along during that time, the absolute volume of wood recruited to streams WILL be adversely affected.</w:t>
      </w:r>
      <w:r w:rsidRPr="00861A1C">
        <w:rPr>
          <w:rFonts w:eastAsia="-moz-fixed" w:cs="-moz-fixed"/>
          <w:szCs w:val="24"/>
          <w:lang w:val="en-US" w:eastAsia="ar-SA"/>
        </w:rPr>
        <w:t xml:space="preserve"> “[T]he data have not supported early expectations of ‘bonus’ volume from thinned stands compared with unthinned. … [T]</w:t>
      </w:r>
      <w:proofErr w:type="spellStart"/>
      <w:r w:rsidRPr="00861A1C">
        <w:rPr>
          <w:rFonts w:eastAsia="-moz-fixed" w:cs="-moz-fixed"/>
          <w:szCs w:val="24"/>
          <w:lang w:val="en-US" w:eastAsia="ar-SA"/>
        </w:rPr>
        <w:t>hinnings</w:t>
      </w:r>
      <w:proofErr w:type="spellEnd"/>
      <w:r w:rsidRPr="00861A1C">
        <w:rPr>
          <w:rFonts w:eastAsia="-moz-fixed" w:cs="-moz-fixed"/>
          <w:szCs w:val="24"/>
          <w:lang w:val="en-US" w:eastAsia="ar-SA"/>
        </w:rPr>
        <w:t xml:space="preserve"> that are late or heavy can actually decrease harvest volume considerably.” Talbert and Marshall. 2005. Plantation Productivity in the Douglas-fir Region Under Intensive Silvicultural Practices: Results From Research And Operations. Journal of Forestry. March 2005. pp 65-70 </w:t>
      </w:r>
      <w:r w:rsidRPr="00861A1C">
        <w:rPr>
          <w:rFonts w:eastAsia="-moz-fixed" w:cs="-moz-fixed"/>
          <w:i/>
          <w:szCs w:val="24"/>
          <w:lang w:val="en-US" w:eastAsia="ar-SA"/>
        </w:rPr>
        <w:t xml:space="preserve">citing </w:t>
      </w:r>
      <w:r w:rsidRPr="00861A1C">
        <w:rPr>
          <w:rFonts w:eastAsia="-moz-fixed" w:cs="-moz-fixed"/>
          <w:szCs w:val="24"/>
          <w:lang w:val="en-US" w:eastAsia="ar-SA"/>
        </w:rPr>
        <w:t xml:space="preserve">Curtis and Marshall. 1997. LOGS: A Pioneering Example of Silvicultural Research in Coastal Douglas-fir. Journal of Forestry 95(7):19-25. “In this as in other LOGS installations, the unthinned plots have consistently produced more total volume (CVTS) than any of the thinning treatments.” Curtis, Robert O.; Marshall, David D. 2009. Levels-of-growing-stock cooperative study in Douglas-fir: report no. 18—Rocky Brook, 1963–2006. Res. Pap. PNW-RP-578. Portland, OR: U.S. Department of Agriculture, Forest Service, Pacific Northwest Research Station. 91 p. </w:t>
      </w:r>
      <w:hyperlink r:id="rId92" w:history="1">
        <w:r w:rsidRPr="00861A1C">
          <w:rPr>
            <w:rFonts w:eastAsia="-moz-fixed" w:cs="-moz-fixed"/>
            <w:color w:val="0000FF"/>
            <w:szCs w:val="24"/>
            <w:u w:val="single"/>
            <w:lang w:val="en-US" w:eastAsia="ar-SA"/>
          </w:rPr>
          <w:t>http://www.fs.usda.gov/pnw/pubs/pnw_rp578.pdf</w:t>
        </w:r>
      </w:hyperlink>
      <w:r w:rsidRPr="00861A1C">
        <w:rPr>
          <w:rFonts w:eastAsia="-moz-fixed" w:cs="-moz-fixed"/>
          <w:szCs w:val="24"/>
          <w:lang w:val="en-US" w:eastAsia="ar-SA"/>
        </w:rPr>
        <w:t>.</w:t>
      </w:r>
    </w:p>
    <w:p w:rsidR="00861A1C" w:rsidRPr="00861A1C" w:rsidRDefault="00861A1C" w:rsidP="00861A1C">
      <w:pPr>
        <w:suppressAutoHyphens/>
        <w:spacing w:line="240" w:lineRule="auto"/>
        <w:rPr>
          <w:rFonts w:eastAsia="-moz-fixed" w:cs="-moz-fixed"/>
          <w:sz w:val="23"/>
          <w:szCs w:val="23"/>
          <w:lang w:val="en-US" w:eastAsia="ar-SA"/>
        </w:rPr>
      </w:pPr>
      <w:r w:rsidRPr="00861A1C">
        <w:rPr>
          <w:rFonts w:eastAsia="-moz-fixed" w:cs="-moz-fixed"/>
          <w:sz w:val="23"/>
          <w:szCs w:val="23"/>
          <w:lang w:val="en-US" w:eastAsia="ar-SA"/>
        </w:rPr>
        <w:t>NMFS Biological Opinion for the Siuslaw National Forest says that thinning close to streams sacrifices a lot of potential wood recruitment:</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 w:val="23"/>
          <w:szCs w:val="23"/>
          <w:lang w:val="en-US" w:eastAsia="ar-SA"/>
        </w:rPr>
        <w:t xml:space="preserve">According to the </w:t>
      </w:r>
      <w:proofErr w:type="spellStart"/>
      <w:r w:rsidRPr="00861A1C">
        <w:rPr>
          <w:rFonts w:eastAsia="-moz-fixed" w:cs="-moz-fixed"/>
          <w:sz w:val="23"/>
          <w:szCs w:val="23"/>
          <w:lang w:val="en-US" w:eastAsia="ar-SA"/>
        </w:rPr>
        <w:t>Organon</w:t>
      </w:r>
      <w:proofErr w:type="spellEnd"/>
      <w:r w:rsidRPr="00861A1C">
        <w:rPr>
          <w:rFonts w:eastAsia="-moz-fixed" w:cs="-moz-fixed"/>
          <w:sz w:val="23"/>
          <w:szCs w:val="23"/>
          <w:lang w:val="en-US" w:eastAsia="ar-SA"/>
        </w:rPr>
        <w:t xml:space="preserve"> forest growth model (Spies </w:t>
      </w:r>
      <w:r w:rsidRPr="00861A1C">
        <w:rPr>
          <w:rFonts w:eastAsia="-moz-fixed" w:cs="-moz-fixed"/>
          <w:i/>
          <w:iCs/>
          <w:sz w:val="23"/>
          <w:szCs w:val="23"/>
          <w:lang w:val="en-US" w:eastAsia="ar-SA"/>
        </w:rPr>
        <w:t xml:space="preserve">et al. </w:t>
      </w:r>
      <w:r w:rsidRPr="00861A1C">
        <w:rPr>
          <w:rFonts w:eastAsia="-moz-fixed" w:cs="-moz-fixed"/>
          <w:sz w:val="23"/>
          <w:szCs w:val="23"/>
          <w:lang w:val="en-US" w:eastAsia="ar-SA"/>
        </w:rPr>
        <w:t xml:space="preserve">2013), and the RAIS in-stream wood recruitment models (McDade </w:t>
      </w:r>
      <w:r w:rsidRPr="00861A1C">
        <w:rPr>
          <w:rFonts w:eastAsia="-moz-fixed" w:cs="-moz-fixed"/>
          <w:i/>
          <w:iCs/>
          <w:sz w:val="23"/>
          <w:szCs w:val="23"/>
          <w:lang w:val="en-US" w:eastAsia="ar-SA"/>
        </w:rPr>
        <w:t xml:space="preserve">et al. </w:t>
      </w:r>
      <w:r w:rsidRPr="00861A1C">
        <w:rPr>
          <w:rFonts w:eastAsia="-moz-fixed" w:cs="-moz-fixed"/>
          <w:sz w:val="23"/>
          <w:szCs w:val="23"/>
          <w:lang w:val="en-US" w:eastAsia="ar-SA"/>
        </w:rPr>
        <w:t xml:space="preserve">1990), thinning with 120-foot no-cut buffers adjacent to LFH would capture approximately 90-95% of existing wood recruitment. Thinning with 100-foot no-cut buffers would capture approximately 82-90% of existing wood recruitment, and 75-foot no-cut buffers would capture approximately 70-80% of the existing wood recruitment (McDade </w:t>
      </w:r>
      <w:r w:rsidRPr="00861A1C">
        <w:rPr>
          <w:rFonts w:eastAsia="-moz-fixed" w:cs="-moz-fixed"/>
          <w:i/>
          <w:iCs/>
          <w:sz w:val="23"/>
          <w:szCs w:val="23"/>
          <w:lang w:val="en-US" w:eastAsia="ar-SA"/>
        </w:rPr>
        <w:t xml:space="preserve">et al. </w:t>
      </w:r>
      <w:r w:rsidRPr="00861A1C">
        <w:rPr>
          <w:rFonts w:eastAsia="-moz-fixed" w:cs="-moz-fixed"/>
          <w:sz w:val="23"/>
          <w:szCs w:val="23"/>
          <w:lang w:val="en-US" w:eastAsia="ar-SA"/>
        </w:rPr>
        <w:t xml:space="preserve">1990, Spies </w:t>
      </w:r>
      <w:r w:rsidRPr="00861A1C">
        <w:rPr>
          <w:rFonts w:eastAsia="-moz-fixed" w:cs="-moz-fixed"/>
          <w:i/>
          <w:iCs/>
          <w:sz w:val="23"/>
          <w:szCs w:val="23"/>
          <w:lang w:val="en-US" w:eastAsia="ar-SA"/>
        </w:rPr>
        <w:lastRenderedPageBreak/>
        <w:t xml:space="preserve">et al. </w:t>
      </w:r>
      <w:r w:rsidRPr="00861A1C">
        <w:rPr>
          <w:rFonts w:eastAsia="-moz-fixed" w:cs="-moz-fixed"/>
          <w:sz w:val="23"/>
          <w:szCs w:val="23"/>
          <w:lang w:val="en-US" w:eastAsia="ar-SA"/>
        </w:rPr>
        <w:t xml:space="preserve">2013). Thinning with 30-foot no-cut buffers would capture approximately 40-50% of the existing wood recruitment (McDade </w:t>
      </w:r>
      <w:r w:rsidRPr="00861A1C">
        <w:rPr>
          <w:rFonts w:eastAsia="-moz-fixed" w:cs="-moz-fixed"/>
          <w:i/>
          <w:iCs/>
          <w:sz w:val="23"/>
          <w:szCs w:val="23"/>
          <w:lang w:val="en-US" w:eastAsia="ar-SA"/>
        </w:rPr>
        <w:t xml:space="preserve">et al. </w:t>
      </w:r>
      <w:r w:rsidRPr="00861A1C">
        <w:rPr>
          <w:rFonts w:eastAsia="-moz-fixed" w:cs="-moz-fixed"/>
          <w:sz w:val="23"/>
          <w:szCs w:val="23"/>
          <w:lang w:val="en-US" w:eastAsia="ar-SA"/>
        </w:rPr>
        <w:t xml:space="preserve">1990, Spies </w:t>
      </w:r>
      <w:r w:rsidRPr="00861A1C">
        <w:rPr>
          <w:rFonts w:eastAsia="-moz-fixed" w:cs="-moz-fixed"/>
          <w:i/>
          <w:iCs/>
          <w:sz w:val="23"/>
          <w:szCs w:val="23"/>
          <w:lang w:val="en-US" w:eastAsia="ar-SA"/>
        </w:rPr>
        <w:t xml:space="preserve">et al. </w:t>
      </w:r>
      <w:r w:rsidRPr="00861A1C">
        <w:rPr>
          <w:rFonts w:eastAsia="-moz-fixed" w:cs="-moz-fixed"/>
          <w:sz w:val="23"/>
          <w:szCs w:val="23"/>
          <w:lang w:val="en-US" w:eastAsia="ar-SA"/>
        </w:rPr>
        <w:t>2013). Thinning with 15-foot no-cut buffers would capture approximately 25% of wood recruitment.</w:t>
      </w:r>
    </w:p>
    <w:p w:rsidR="00861A1C" w:rsidRPr="00861A1C" w:rsidRDefault="00861A1C" w:rsidP="00861A1C">
      <w:pPr>
        <w:suppressAutoHyphens/>
        <w:spacing w:after="240" w:line="240" w:lineRule="auto"/>
        <w:rPr>
          <w:rFonts w:eastAsia="-moz-fixed" w:cs="-moz-fixed"/>
          <w:szCs w:val="24"/>
          <w:lang w:val="en-US" w:eastAsia="ar-SA"/>
        </w:rPr>
      </w:pPr>
      <w:r w:rsidRPr="00861A1C">
        <w:rPr>
          <w:rFonts w:eastAsia="-moz-fixed" w:cs="-moz-fixed"/>
          <w:szCs w:val="24"/>
          <w:lang w:val="en-US" w:eastAsia="ar-SA"/>
        </w:rPr>
        <w:t>NMFS 2020. Endangered Species Act Section 7(a)(2) Biological Opinion and Magnuson-Stevens Fishery Conservation and Management Act Essential Fish Habitat Response for the Siuslaw National Forest Vegetation and Aquatic Restoration Program (USFS File Code: 2600). NMFS Reference: WCRO-2019-04010. Sept 3, 2020.</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Modeling studies in western Washington indicate that riparian thinning increases LWM recruitment when trees in the initial stand are too small to create pools (LWM size required to create pools increases with increasing channel width) (Beechie et al. 2000). When trees in the initial stand already are large enough to form pools, thinning reduces the number of trees available for recruitment. For modeled Douglas fir stands, thinning increased LWM recruitment when channels were at least 15 m (49 feet) and the quadratic mean diameter of the stand was about 10 cm (3.9 inches) less than the minimum pool-forming diameter for the channel size. Recruitment was not enhanced by thinning for channels narrower than those described above.</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NFMS 2005. Forest Practices on Non-Federal Lands and Pacific Salmon Conservation. Project Team Leader: Jeff Lockwood. Project Team Members: Steve Keller, Don Anderson, and Rick Edwards. NOAA/NMFS. January, 2005. </w:t>
      </w:r>
      <w:hyperlink r:id="rId93" w:history="1">
        <w:r w:rsidRPr="00861A1C">
          <w:rPr>
            <w:rFonts w:eastAsia="-moz-fixed" w:cs="-moz-fixed"/>
            <w:color w:val="0000FF"/>
            <w:szCs w:val="20"/>
            <w:u w:val="single"/>
            <w:lang w:val="en-US" w:eastAsia="ar-SA"/>
          </w:rPr>
          <w:t>http://www.blm.gov/or/plans/wopr/pub_comments/paper_documents/Paper_1764-1924/WOPR_PAPER_01921.10001.pdf</w:t>
        </w:r>
      </w:hyperlink>
      <w:r w:rsidRPr="00861A1C">
        <w:rPr>
          <w:rFonts w:eastAsia="-moz-fixed" w:cs="-moz-fixed"/>
          <w:szCs w:val="20"/>
          <w:lang w:val="en-US" w:eastAsia="ar-SA"/>
        </w:rPr>
        <w: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We found that single and double entry thinning, with no mitigation (buffers or mechanical tipping of trees into the stream) can lead to large losses of in-stream wood over a century time scale; single and double entry thins on one side of the stream leads to reductions of 33–42 % of instream wood with simultaneous thinning on both sides of the stream doubling those losses.</w:t>
      </w:r>
    </w:p>
    <w:p w:rsidR="00B864C7"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Lee E. Benda, S. E. </w:t>
      </w:r>
      <w:proofErr w:type="spellStart"/>
      <w:r w:rsidRPr="00861A1C">
        <w:rPr>
          <w:rFonts w:eastAsia="-moz-fixed" w:cs="-moz-fixed"/>
          <w:szCs w:val="24"/>
          <w:lang w:val="en-US" w:eastAsia="ar-SA"/>
        </w:rPr>
        <w:t>Litschert</w:t>
      </w:r>
      <w:proofErr w:type="spellEnd"/>
      <w:r w:rsidRPr="00861A1C">
        <w:rPr>
          <w:rFonts w:eastAsia="-moz-fixed" w:cs="-moz-fixed"/>
          <w:szCs w:val="24"/>
          <w:lang w:val="en-US" w:eastAsia="ar-SA"/>
        </w:rPr>
        <w:t xml:space="preserve">, Gordon Reeves, Robert Pabst. 2015. Thinning and in-stream wood recruitment in riparian second growth forests in coastal Oregon and the use of buffers and tree tipping as mitigation. J. For. Res. DOI 10.1007/s11676-015-0173-2. </w:t>
      </w:r>
      <w:hyperlink r:id="rId94" w:history="1">
        <w:r w:rsidRPr="00861A1C">
          <w:rPr>
            <w:rFonts w:eastAsia="-moz-fixed" w:cs="-moz-fixed"/>
            <w:color w:val="0000FF"/>
            <w:szCs w:val="24"/>
            <w:u w:val="single"/>
            <w:lang w:val="en-US" w:eastAsia="ar-SA"/>
          </w:rPr>
          <w:t>https://web.archive.org/web/20220320070113/https://www.fs.fed.us/pnw/lwm/aem/docs/reeves/2015_benda_etal_tree_tipping.pdf</w:t>
        </w:r>
      </w:hyperlink>
      <w:r w:rsidRPr="00861A1C">
        <w:rPr>
          <w:rFonts w:eastAsia="-moz-fixed" w:cs="-moz-fixed"/>
          <w:szCs w:val="24"/>
          <w:lang w:val="en-US" w:eastAsia="ar-SA"/>
        </w:rPr>
        <w:t>. This study showed that tree-tipping mitigated for the loss of wood recruitment caused by thinning compared to no action, but the study did not look at tree tipping independently of thinning, so the cost of thinning itself remains unaccounted for in that context.</w:t>
      </w:r>
    </w:p>
    <w:p w:rsidR="00B864C7" w:rsidRDefault="00B864C7" w:rsidP="00861A1C">
      <w:pPr>
        <w:suppressAutoHyphens/>
        <w:spacing w:line="240" w:lineRule="auto"/>
        <w:rPr>
          <w:rFonts w:eastAsia="-moz-fixed" w:cs="-moz-fixed"/>
          <w:szCs w:val="24"/>
          <w:lang w:val="en-US" w:eastAsia="ar-SA"/>
        </w:rPr>
      </w:pP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4"/>
          <w:lang w:val="en-US" w:eastAsia="ar-SA"/>
        </w:rPr>
        <w:t xml:space="preserve">"Available research (et al., Beechie and Sibley 1997, </w:t>
      </w:r>
      <w:proofErr w:type="spellStart"/>
      <w:r w:rsidRPr="00861A1C">
        <w:rPr>
          <w:rFonts w:eastAsia="-moz-fixed" w:cs="-moz-fixed"/>
          <w:szCs w:val="24"/>
          <w:lang w:val="en-US" w:eastAsia="ar-SA"/>
        </w:rPr>
        <w:t>Bilby</w:t>
      </w:r>
      <w:proofErr w:type="spellEnd"/>
      <w:r w:rsidRPr="00861A1C">
        <w:rPr>
          <w:rFonts w:eastAsia="-moz-fixed" w:cs="-moz-fixed"/>
          <w:szCs w:val="24"/>
          <w:lang w:val="en-US" w:eastAsia="ar-SA"/>
        </w:rPr>
        <w:t xml:space="preserve"> and Ward 1989) indicates that trees as small as 5-6 inches in diameter can form pools in small streams. Thinning along small streams with wood deficits can significantly reduce recruitment of wood to streams (Beechie et al. 2000), and the risks of this happening appear to be significantly increased by the above management actions. [i.e. "thinning in riparian areas for all stream sizes"]</w:t>
      </w:r>
      <w:r w:rsidRPr="00861A1C">
        <w:rPr>
          <w:rFonts w:eastAsia="-moz-fixed" w:cs="-moz-fixed"/>
          <w:szCs w:val="24"/>
          <w:lang w:val="en-US" w:eastAsia="ar-SA"/>
        </w:rPr>
        <w:br/>
        <w:t>...</w:t>
      </w:r>
      <w:r w:rsidRPr="00861A1C">
        <w:rPr>
          <w:rFonts w:eastAsia="-moz-fixed" w:cs="-moz-fixed"/>
          <w:szCs w:val="24"/>
          <w:lang w:val="en-US" w:eastAsia="ar-SA"/>
        </w:rPr>
        <w:br/>
        <w:t xml:space="preserve">Alternatives 2 and 3 will substantially decrease the large wood contribution to fish bearing streams relative to the No-Action Alternative, and the decreases will be long-term. This is because thinning will remove wood large enough to form pools from the riparian zone (if the term large wood is defined by its ability to form pools rather than the arbitrary value of &gt;20 inches diameter) (Beechie et al. 2000)." </w:t>
      </w: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4"/>
          <w:lang w:val="en-US" w:eastAsia="ar-SA"/>
        </w:rPr>
        <w:t xml:space="preserve">NMFS, Comments on DEIS for the WOPR dated 01-11-2008. pp 8-9, 21. </w:t>
      </w:r>
      <w:hyperlink r:id="rId95" w:history="1">
        <w:r w:rsidRPr="00861A1C">
          <w:rPr>
            <w:rFonts w:eastAsia="-moz-fixed" w:cs="-moz-fixed"/>
            <w:color w:val="0000FF"/>
            <w:szCs w:val="20"/>
            <w:u w:val="single"/>
            <w:lang w:val="en-US" w:eastAsia="ar-SA"/>
          </w:rPr>
          <w:t>http://www.blm.gov/or/plans/wopr/files/NOAA_comments.pdf</w:t>
        </w:r>
      </w:hyperlink>
      <w:r w:rsidRPr="00861A1C">
        <w:rPr>
          <w:rFonts w:eastAsia="-moz-fixed" w:cs="-moz-fixed"/>
          <w:szCs w:val="20"/>
          <w:lang w:val="en-US" w:eastAsia="ar-SA"/>
        </w:rPr>
        <w:t xml:space="preserve">. </w:t>
      </w:r>
      <w:r w:rsidRPr="00861A1C">
        <w:rPr>
          <w:rFonts w:eastAsia="-moz-fixed" w:cs="-moz-fixed"/>
          <w:szCs w:val="24"/>
          <w:lang w:val="en-US" w:eastAsia="ar-SA"/>
        </w:rPr>
        <w:t xml:space="preserve">See also Roni, Philip, Timothy </w:t>
      </w:r>
      <w:r w:rsidRPr="00861A1C">
        <w:rPr>
          <w:rFonts w:eastAsia="-moz-fixed" w:cs="-moz-fixed"/>
          <w:szCs w:val="24"/>
          <w:lang w:val="en-US" w:eastAsia="ar-SA"/>
        </w:rPr>
        <w:lastRenderedPageBreak/>
        <w:t xml:space="preserve">J. Beechie, Robert E. </w:t>
      </w:r>
      <w:proofErr w:type="spellStart"/>
      <w:r w:rsidRPr="00861A1C">
        <w:rPr>
          <w:rFonts w:eastAsia="-moz-fixed" w:cs="-moz-fixed"/>
          <w:szCs w:val="24"/>
          <w:lang w:val="en-US" w:eastAsia="ar-SA"/>
        </w:rPr>
        <w:t>Bilby</w:t>
      </w:r>
      <w:proofErr w:type="spellEnd"/>
      <w:r w:rsidRPr="00861A1C">
        <w:rPr>
          <w:rFonts w:eastAsia="-moz-fixed" w:cs="-moz-fixed"/>
          <w:szCs w:val="24"/>
          <w:lang w:val="en-US" w:eastAsia="ar-SA"/>
        </w:rPr>
        <w:t xml:space="preserve">, Frank E. </w:t>
      </w:r>
      <w:proofErr w:type="spellStart"/>
      <w:r w:rsidRPr="00861A1C">
        <w:rPr>
          <w:rFonts w:eastAsia="-moz-fixed" w:cs="-moz-fixed"/>
          <w:szCs w:val="24"/>
          <w:lang w:val="en-US" w:eastAsia="ar-SA"/>
        </w:rPr>
        <w:t>Leonetti</w:t>
      </w:r>
      <w:proofErr w:type="spellEnd"/>
      <w:r w:rsidRPr="00861A1C">
        <w:rPr>
          <w:rFonts w:eastAsia="-moz-fixed" w:cs="-moz-fixed"/>
          <w:szCs w:val="24"/>
          <w:lang w:val="en-US" w:eastAsia="ar-SA"/>
        </w:rPr>
        <w:t xml:space="preserve">, Michael M. Pollock, And George R. </w:t>
      </w:r>
      <w:proofErr w:type="spellStart"/>
      <w:r w:rsidRPr="00861A1C">
        <w:rPr>
          <w:rFonts w:eastAsia="-moz-fixed" w:cs="-moz-fixed"/>
          <w:szCs w:val="24"/>
          <w:lang w:val="en-US" w:eastAsia="ar-SA"/>
        </w:rPr>
        <w:t>Pess</w:t>
      </w:r>
      <w:proofErr w:type="spellEnd"/>
      <w:r w:rsidRPr="00861A1C">
        <w:rPr>
          <w:rFonts w:eastAsia="-moz-fixed" w:cs="-moz-fixed"/>
          <w:szCs w:val="24"/>
          <w:lang w:val="en-US" w:eastAsia="ar-SA"/>
        </w:rPr>
        <w:t xml:space="preserve">. 2002. </w:t>
      </w:r>
      <w:r w:rsidRPr="00861A1C">
        <w:rPr>
          <w:rFonts w:eastAsia="-moz-fixed" w:cs="-moz-fixed"/>
          <w:b/>
          <w:bCs/>
          <w:szCs w:val="24"/>
          <w:lang w:val="en-US" w:eastAsia="ar-SA"/>
        </w:rPr>
        <w:t xml:space="preserve">A Review of Stream Restoration Techniques and a Hierarchical Strategy for Prioritizing Restoration in Pacific Northwest Watersheds. </w:t>
      </w:r>
      <w:r w:rsidRPr="00861A1C">
        <w:rPr>
          <w:rFonts w:eastAsia="-moz-fixed" w:cs="-moz-fixed"/>
          <w:i/>
          <w:iCs/>
          <w:szCs w:val="24"/>
          <w:lang w:val="en-US" w:eastAsia="ar-SA"/>
        </w:rPr>
        <w:t xml:space="preserve">North American Journal of Fisheries Management </w:t>
      </w:r>
      <w:r w:rsidRPr="00861A1C">
        <w:rPr>
          <w:rFonts w:eastAsia="-moz-fixed" w:cs="-moz-fixed"/>
          <w:szCs w:val="24"/>
          <w:lang w:val="en-US" w:eastAsia="ar-SA"/>
        </w:rPr>
        <w:t xml:space="preserve">22:1–20, 2002 American Fisheries Society 2002 </w:t>
      </w:r>
      <w:hyperlink r:id="rId96" w:history="1">
        <w:r w:rsidRPr="00861A1C">
          <w:rPr>
            <w:rFonts w:eastAsia="-moz-fixed" w:cs="-moz-fixed"/>
            <w:color w:val="0000FF"/>
            <w:szCs w:val="20"/>
            <w:u w:val="single"/>
            <w:lang w:val="en-US" w:eastAsia="ar-SA"/>
          </w:rPr>
          <w:t>http://www.crab.wa.gov/LibraryData/RESEARCH_and_REFERENCE_MATERIAL/Environmental/020923StreamRestoreTechPNW.pdf</w:t>
        </w:r>
      </w:hyperlink>
      <w:r w:rsidRPr="00861A1C">
        <w:rPr>
          <w:rFonts w:eastAsia="-moz-fixed" w:cs="-moz-fixed"/>
          <w:szCs w:val="24"/>
          <w:lang w:val="en-US" w:eastAsia="ar-SA"/>
        </w:rPr>
        <w:t>. “Beechie et al. (2000) provided guidance for determining when thinning is appropriate and when it will result in a loss of near-term recruitment of LWD that may create fish habitat.” Beechie found that</w:t>
      </w:r>
    </w:p>
    <w:p w:rsidR="00861A1C" w:rsidRPr="00861A1C" w:rsidRDefault="00861A1C" w:rsidP="00861A1C">
      <w:pPr>
        <w:suppressAutoHyphens/>
        <w:spacing w:before="100" w:after="100" w:line="240" w:lineRule="auto"/>
        <w:ind w:left="720"/>
        <w:rPr>
          <w:rFonts w:eastAsia="-moz-fixed" w:cs="-moz-fixed"/>
          <w:szCs w:val="20"/>
          <w:lang w:val="en-US" w:eastAsia="ar-SA"/>
        </w:rPr>
      </w:pPr>
      <w:r w:rsidRPr="00861A1C">
        <w:rPr>
          <w:rFonts w:eastAsia="-moz-fixed" w:cs="-moz-fixed"/>
          <w:szCs w:val="24"/>
          <w:lang w:val="en-US" w:eastAsia="ar-SA"/>
        </w:rPr>
        <w:t xml:space="preserve">“The models predict that thinning of the riparian forest does not increase recruitment of pool-forming LWD where the trees are already large enough to form pools in the adjacent channel and that thinning reduces the availability of adequately sized wood. Thinning increases LWD recruitment where trees are too small to form pools and, because of reduced competition, trees more rapidly attain pool-forming size” </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 xml:space="preserve">To evaluate effects of various stand treatments on LWD recruitment, we modeled treatments and controls for a range of initial mean diameters and channel widths. We modeled Douglas-fir stands of four different initial quadratic mean diameters (initial </w:t>
      </w:r>
      <w:proofErr w:type="spellStart"/>
      <w:r w:rsidRPr="00861A1C">
        <w:rPr>
          <w:rFonts w:eastAsia="-moz-fixed" w:cs="-moz-fixed"/>
          <w:szCs w:val="20"/>
          <w:lang w:val="en-US" w:eastAsia="ar-SA"/>
        </w:rPr>
        <w:t>DBHq</w:t>
      </w:r>
      <w:proofErr w:type="spellEnd"/>
      <w:r w:rsidRPr="00861A1C">
        <w:rPr>
          <w:rFonts w:eastAsia="-moz-fixed" w:cs="-moz-fixed"/>
          <w:szCs w:val="20"/>
          <w:lang w:val="en-US" w:eastAsia="ar-SA"/>
        </w:rPr>
        <w:t xml:space="preserve"> =</w:t>
      </w:r>
      <w:r w:rsidRPr="00861A1C">
        <w:rPr>
          <w:rFonts w:eastAsia="-moz-fixed" w:cs="Georgia"/>
          <w:szCs w:val="20"/>
          <w:lang w:val="en-US" w:eastAsia="ar-SA"/>
        </w:rPr>
        <w:t xml:space="preserve"> </w:t>
      </w:r>
      <w:r w:rsidRPr="00861A1C">
        <w:rPr>
          <w:rFonts w:eastAsia="-moz-fixed" w:cs="-moz-fixed"/>
          <w:szCs w:val="20"/>
          <w:lang w:val="en-US" w:eastAsia="ar-SA"/>
        </w:rPr>
        <w:t xml:space="preserve">12, 23, 38, and 51 cm). For each initial </w:t>
      </w:r>
      <w:proofErr w:type="spellStart"/>
      <w:r w:rsidRPr="00861A1C">
        <w:rPr>
          <w:rFonts w:eastAsia="-moz-fixed" w:cs="-moz-fixed"/>
          <w:szCs w:val="20"/>
          <w:lang w:val="en-US" w:eastAsia="ar-SA"/>
        </w:rPr>
        <w:t>DBHq</w:t>
      </w:r>
      <w:proofErr w:type="spellEnd"/>
      <w:r w:rsidRPr="00861A1C">
        <w:rPr>
          <w:rFonts w:eastAsia="-moz-fixed" w:cs="-moz-fixed"/>
          <w:szCs w:val="20"/>
          <w:lang w:val="en-US" w:eastAsia="ar-SA"/>
        </w:rPr>
        <w:t xml:space="preserve"> we applied control (unthinned) and treatment (thinned) scenarios to channels 5, 10, 15, 20, 25, and 30 m wide. We applied three different levels of thinning for each combination of channel width and initial </w:t>
      </w:r>
      <w:proofErr w:type="spellStart"/>
      <w:r w:rsidRPr="00861A1C">
        <w:rPr>
          <w:rFonts w:eastAsia="-moz-fixed" w:cs="-moz-fixed"/>
          <w:szCs w:val="20"/>
          <w:lang w:val="en-US" w:eastAsia="ar-SA"/>
        </w:rPr>
        <w:t>DBHq</w:t>
      </w:r>
      <w:proofErr w:type="spellEnd"/>
      <w:r w:rsidRPr="00861A1C">
        <w:rPr>
          <w:rFonts w:eastAsia="-moz-fixed" w:cs="-moz-fixed"/>
          <w:szCs w:val="20"/>
          <w:lang w:val="en-US" w:eastAsia="ar-SA"/>
        </w:rPr>
        <w:t xml:space="preserve"> (Table 2) and selected the treatment providing the most LWD over the next 100 years to compare with the unthinned scenario. Large woody debris recruitment for the thinning treatment was then compared with the unthinned control, and the result was recorded as negative (thinning produced less LWD than control), positive (thinning produced more LWD than control), or neutral. … We estimated the proportion of riparian forests having trees that are large enough to create pools, using three thresholds for pool-forming diameter of LWD (</w:t>
      </w:r>
      <w:proofErr w:type="spellStart"/>
      <w:r w:rsidRPr="00861A1C">
        <w:rPr>
          <w:rFonts w:eastAsia="-moz-fixed" w:cs="-moz-fixed"/>
          <w:i/>
          <w:iCs/>
          <w:szCs w:val="20"/>
          <w:lang w:val="en-US" w:eastAsia="ar-SA"/>
        </w:rPr>
        <w:t>D</w:t>
      </w:r>
      <w:r w:rsidRPr="00861A1C">
        <w:rPr>
          <w:rFonts w:eastAsia="-moz-fixed" w:cs="-moz-fixed"/>
          <w:szCs w:val="20"/>
          <w:lang w:val="en-US" w:eastAsia="ar-SA"/>
        </w:rPr>
        <w:t>pf</w:t>
      </w:r>
      <w:proofErr w:type="spellEnd"/>
      <w:r w:rsidRPr="00861A1C">
        <w:rPr>
          <w:rFonts w:eastAsia="-moz-fixed" w:cs="-moz-fixed"/>
          <w:szCs w:val="20"/>
          <w:lang w:val="en-US" w:eastAsia="ar-SA"/>
        </w:rPr>
        <w:t xml:space="preserve"> =</w:t>
      </w:r>
      <w:r w:rsidRPr="00861A1C">
        <w:rPr>
          <w:rFonts w:eastAsia="-moz-fixed" w:cs="Georgia"/>
          <w:szCs w:val="20"/>
          <w:lang w:val="en-US" w:eastAsia="ar-SA"/>
        </w:rPr>
        <w:t xml:space="preserve"> </w:t>
      </w:r>
      <w:r w:rsidRPr="00861A1C">
        <w:rPr>
          <w:rFonts w:eastAsia="-moz-fixed" w:cs="-moz-fixed"/>
          <w:szCs w:val="20"/>
          <w:lang w:val="en-US" w:eastAsia="ar-SA"/>
        </w:rPr>
        <w:t xml:space="preserve">10, 30, and 38 cm) corresponding to channel widths of 4, 12, and 15 m. … When we compared thinned to unthinned scenarios for a range of initial stand diameters and channel widths in Douglas-fir stands, we found that thinning increases cumulative LWD abundance when the </w:t>
      </w:r>
      <w:proofErr w:type="spellStart"/>
      <w:r w:rsidRPr="00861A1C">
        <w:rPr>
          <w:rFonts w:eastAsia="-moz-fixed" w:cs="-moz-fixed"/>
          <w:szCs w:val="20"/>
          <w:lang w:val="en-US" w:eastAsia="ar-SA"/>
        </w:rPr>
        <w:t>DBHq</w:t>
      </w:r>
      <w:proofErr w:type="spellEnd"/>
      <w:r w:rsidRPr="00861A1C">
        <w:rPr>
          <w:rFonts w:eastAsia="-moz-fixed" w:cs="-moz-fixed"/>
          <w:szCs w:val="20"/>
          <w:lang w:val="en-US" w:eastAsia="ar-SA"/>
        </w:rPr>
        <w:t xml:space="preserve"> of the stand is about 10 cm less than the minimum pool-forming diameter for the adjacent channel (Figure 6). … </w:t>
      </w:r>
      <w:r w:rsidRPr="00861A1C">
        <w:rPr>
          <w:rFonts w:eastAsia="-moz-fixed" w:cs="-moz-fixed"/>
          <w:b/>
          <w:szCs w:val="20"/>
          <w:lang w:val="en-US" w:eastAsia="ar-SA"/>
        </w:rPr>
        <w:t>The models predict that thinning of the riparian forest will not increase recruitment of pool-forming LWD on any channel less than 15 or 20 m wide.</w:t>
      </w:r>
      <w:r w:rsidRPr="00861A1C">
        <w:rPr>
          <w:rFonts w:eastAsia="-moz-fixed" w:cs="-moz-fixed"/>
          <w:szCs w:val="20"/>
          <w:lang w:val="en-US" w:eastAsia="ar-SA"/>
        </w:rPr>
        <w:t xml:space="preserve"> Because relatively small debris can form pools in these channels and the trees reach poolforming size rapidly, thinning simply reduces the availability of adequately sized wood. Thinning may increase LWD recruitment to large channels because thinning reduces competition among trees and increases growth rates.</w:t>
      </w:r>
    </w:p>
    <w:p w:rsidR="00861A1C" w:rsidRPr="00861A1C" w:rsidRDefault="00861A1C" w:rsidP="00861A1C">
      <w:pPr>
        <w:suppressAutoHyphens/>
        <w:spacing w:before="100" w:after="100" w:line="240" w:lineRule="auto"/>
        <w:ind w:left="720"/>
        <w:rPr>
          <w:rFonts w:eastAsia="-moz-fixed" w:cs="-moz-fixed"/>
          <w:szCs w:val="24"/>
          <w:lang w:val="en-US" w:eastAsia="ar-SA"/>
        </w:rPr>
      </w:pPr>
      <w:r w:rsidRPr="00861A1C">
        <w:rPr>
          <w:rFonts w:eastAsia="-moz-fixed" w:cs="-moz-fixed"/>
          <w:noProof/>
          <w:szCs w:val="24"/>
          <w:lang w:val="en-US"/>
        </w:rPr>
        <w:lastRenderedPageBreak/>
        <w:drawing>
          <wp:inline distT="0" distB="0" distL="0" distR="0">
            <wp:extent cx="4648200" cy="32842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48200" cy="3284220"/>
                    </a:xfrm>
                    <a:prstGeom prst="rect">
                      <a:avLst/>
                    </a:prstGeom>
                    <a:solidFill>
                      <a:srgbClr val="FFFFFF"/>
                    </a:solidFill>
                    <a:ln>
                      <a:noFill/>
                    </a:ln>
                  </pic:spPr>
                </pic:pic>
              </a:graphicData>
            </a:graphic>
          </wp:inline>
        </w:drawing>
      </w:r>
    </w:p>
    <w:p w:rsidR="00861A1C" w:rsidRPr="00861A1C" w:rsidRDefault="00861A1C" w:rsidP="00861A1C">
      <w:pPr>
        <w:suppressAutoHyphens/>
        <w:spacing w:before="100" w:after="100" w:line="240" w:lineRule="auto"/>
        <w:ind w:left="720"/>
        <w:rPr>
          <w:rFonts w:eastAsia="-moz-fixed" w:cs="-moz-fixed"/>
          <w:szCs w:val="24"/>
          <w:lang w:val="en-US" w:eastAsia="ar-SA"/>
        </w:rPr>
      </w:pPr>
      <w:r w:rsidRPr="00861A1C">
        <w:rPr>
          <w:rFonts w:eastAsia="-moz-fixed" w:cs="-moz-fixed"/>
          <w:noProof/>
          <w:szCs w:val="24"/>
          <w:lang w:val="en-US"/>
        </w:rPr>
        <w:drawing>
          <wp:inline distT="0" distB="0" distL="0" distR="0">
            <wp:extent cx="3764280" cy="33909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64280" cy="3390900"/>
                    </a:xfrm>
                    <a:prstGeom prst="rect">
                      <a:avLst/>
                    </a:prstGeom>
                    <a:solidFill>
                      <a:srgbClr val="FFFFFF"/>
                    </a:solidFill>
                    <a:ln>
                      <a:noFill/>
                    </a:ln>
                  </pic:spPr>
                </pic:pic>
              </a:graphicData>
            </a:graphic>
          </wp:inline>
        </w:drawing>
      </w:r>
    </w:p>
    <w:p w:rsidR="00861A1C" w:rsidRPr="00861A1C" w:rsidRDefault="00861A1C" w:rsidP="00861A1C">
      <w:pPr>
        <w:suppressAutoHyphens/>
        <w:spacing w:before="100" w:after="100" w:line="240" w:lineRule="auto"/>
        <w:rPr>
          <w:rFonts w:eastAsia="-moz-fixed" w:cs="-moz-fixed"/>
          <w:szCs w:val="24"/>
          <w:lang w:val="en-US" w:eastAsia="ar-SA"/>
        </w:rPr>
      </w:pPr>
      <w:r w:rsidRPr="00861A1C">
        <w:rPr>
          <w:rFonts w:eastAsia="-moz-fixed" w:cs="-moz-fixed"/>
          <w:szCs w:val="24"/>
          <w:lang w:val="en-US" w:eastAsia="ar-SA"/>
        </w:rPr>
        <w:t xml:space="preserve">Beechie, T., G. </w:t>
      </w:r>
      <w:proofErr w:type="spellStart"/>
      <w:r w:rsidRPr="00861A1C">
        <w:rPr>
          <w:rFonts w:eastAsia="-moz-fixed" w:cs="-moz-fixed"/>
          <w:szCs w:val="24"/>
          <w:lang w:val="en-US" w:eastAsia="ar-SA"/>
        </w:rPr>
        <w:t>Pess</w:t>
      </w:r>
      <w:proofErr w:type="spellEnd"/>
      <w:r w:rsidRPr="00861A1C">
        <w:rPr>
          <w:rFonts w:eastAsia="-moz-fixed" w:cs="-moz-fixed"/>
          <w:szCs w:val="24"/>
          <w:lang w:val="en-US" w:eastAsia="ar-SA"/>
        </w:rPr>
        <w:t xml:space="preserve">, P. Kennard, R. </w:t>
      </w:r>
      <w:proofErr w:type="spellStart"/>
      <w:r w:rsidRPr="00861A1C">
        <w:rPr>
          <w:rFonts w:eastAsia="-moz-fixed" w:cs="-moz-fixed"/>
          <w:szCs w:val="24"/>
          <w:lang w:val="en-US" w:eastAsia="ar-SA"/>
        </w:rPr>
        <w:t>Bilby</w:t>
      </w:r>
      <w:proofErr w:type="spellEnd"/>
      <w:r w:rsidRPr="00861A1C">
        <w:rPr>
          <w:rFonts w:eastAsia="-moz-fixed" w:cs="-moz-fixed"/>
          <w:szCs w:val="24"/>
          <w:lang w:val="en-US" w:eastAsia="ar-SA"/>
        </w:rPr>
        <w:t xml:space="preserve">, and S. Bolton. 2000. Modeling Recovery Rates and Pathways for Woody Debris Recruitment in Northwestern Washington Streams. North American Journal of Fisheries Management. 20:436–452. </w:t>
      </w:r>
      <w:hyperlink r:id="rId99" w:history="1">
        <w:r w:rsidRPr="00861A1C">
          <w:rPr>
            <w:rFonts w:eastAsia="-moz-fixed" w:cs="-moz-fixed"/>
            <w:color w:val="0000FF"/>
            <w:szCs w:val="24"/>
            <w:u w:val="single"/>
            <w:lang w:val="en-US" w:eastAsia="ar-SA"/>
          </w:rPr>
          <w:t>https://afspubs.onlinelibrary.wiley.com/doi/abs/10.1577/1548-8675%282000%29020%3C0436%3AMRRAPF%3E2.3.CO%3B2</w:t>
        </w:r>
      </w:hyperlink>
      <w:r w:rsidRPr="00861A1C">
        <w:rPr>
          <w:rFonts w:eastAsia="-moz-fixed" w:cs="-moz-fixed"/>
          <w:szCs w:val="24"/>
          <w:lang w:val="en-US" w:eastAsia="ar-SA"/>
        </w:rPr>
        <w:t>.</w:t>
      </w:r>
    </w:p>
    <w:p w:rsidR="00861A1C" w:rsidRPr="00861A1C" w:rsidRDefault="00861A1C" w:rsidP="00861A1C">
      <w:pPr>
        <w:suppressAutoHyphens/>
        <w:spacing w:before="100" w:after="100" w:line="240" w:lineRule="auto"/>
        <w:rPr>
          <w:rFonts w:eastAsia="-moz-fixed" w:cs="-moz-fixed"/>
          <w:szCs w:val="20"/>
          <w:lang w:val="en-US" w:eastAsia="ar-SA"/>
        </w:rPr>
      </w:pPr>
      <w:r w:rsidRPr="00861A1C">
        <w:rPr>
          <w:rFonts w:eastAsia="-moz-fixed" w:cs="-moz-fixed"/>
          <w:szCs w:val="24"/>
          <w:lang w:val="en-US" w:eastAsia="ar-SA"/>
        </w:rPr>
        <w:t>Don’t make the mistake of assuming that thinning is always consistent with the ACS because it helps grow large trees faster. First, thinning captures mortality and actually delays recruitment of large wood. Second, t</w:t>
      </w:r>
      <w:r w:rsidRPr="00861A1C">
        <w:rPr>
          <w:rFonts w:eastAsia="-moz-fixed" w:cs="-moz-fixed"/>
          <w:szCs w:val="20"/>
          <w:lang w:val="en-US" w:eastAsia="ar-SA"/>
        </w:rPr>
        <w:t xml:space="preserve">he agencies often misinterpret the Northwest Forest Plan ROD by </w:t>
      </w:r>
      <w:r w:rsidRPr="00861A1C">
        <w:rPr>
          <w:rFonts w:eastAsia="-moz-fixed" w:cs="-moz-fixed"/>
          <w:szCs w:val="20"/>
          <w:lang w:val="en-US" w:eastAsia="ar-SA"/>
        </w:rPr>
        <w:lastRenderedPageBreak/>
        <w:t xml:space="preserve">confusing accelerated attainment of ACS objectives with ACS compliance. The NWFP ROD actually says that silviculture in riparian reserves is generally prohibited, and allowed only “if needed to attain” ACS objectives, not (as implied by the EA) if needed to “accelerate” ACS objectives. This is a common “group-think” misinterpretation of the ACS. The appropriate evaluation is to ask “will ACS objectives eventually be met without intervention?” If the answer is “yes,” then silviculture is technically not allowed. Confusion may stem from the fact that the ACS also has a “do not retard” standard, but this is separate from the “if needed” test, and is itself a criteria to limit active management, not an excuse to reject the no action alternative. The “do not retard” standard cannot be interpreted to </w:t>
      </w:r>
      <w:r w:rsidRPr="00861A1C">
        <w:rPr>
          <w:rFonts w:eastAsia="-moz-fixed" w:cs="-moz-fixed"/>
          <w:szCs w:val="20"/>
          <w:u w:val="single"/>
          <w:lang w:val="en-US" w:eastAsia="ar-SA"/>
        </w:rPr>
        <w:t>require</w:t>
      </w:r>
      <w:r w:rsidRPr="00861A1C">
        <w:rPr>
          <w:rFonts w:eastAsia="-moz-fixed" w:cs="-moz-fixed"/>
          <w:szCs w:val="20"/>
          <w:lang w:val="en-US" w:eastAsia="ar-SA"/>
        </w:rPr>
        <w:t xml:space="preserve"> active management whenever and wherever it would accelerate attainment of ACS objectives. That would lead to all kinds of problems, such as cumulative impacts, unintended consequences, and sacrificing some aquatic objectives in the pursuit of others. Oregon Wild is not absolutely opposed to treatment of riparian reserves but we want to avoid the slippery slope of just assuming “it’s all good” without careful analysis and justification.</w:t>
      </w:r>
      <w:r w:rsidRPr="00861A1C">
        <w:rPr>
          <w:rFonts w:eastAsia="-moz-fixed" w:cs="-moz-fixed"/>
          <w:szCs w:val="24"/>
          <w:lang w:val="en-US" w:eastAsia="ar-SA"/>
        </w:rPr>
        <w:t xml:space="preserve"> </w:t>
      </w:r>
    </w:p>
    <w:p w:rsidR="00861A1C" w:rsidRPr="00861A1C" w:rsidRDefault="00861A1C" w:rsidP="00861A1C">
      <w:pPr>
        <w:suppressAutoHyphens/>
        <w:spacing w:before="100" w:after="100" w:line="240" w:lineRule="auto"/>
        <w:rPr>
          <w:rFonts w:eastAsia="-moz-fixed" w:cs="-moz-fixed"/>
          <w:szCs w:val="20"/>
          <w:lang w:val="en-US" w:eastAsia="ar-SA"/>
        </w:rPr>
      </w:pPr>
      <w:r w:rsidRPr="00861A1C">
        <w:rPr>
          <w:rFonts w:eastAsia="-moz-fixed" w:cs="-moz-fixed"/>
          <w:szCs w:val="20"/>
          <w:lang w:val="en-US" w:eastAsia="ar-SA"/>
        </w:rPr>
        <w:t>Under the NWFP: “The risk has been shifted under the Aquatic Conservation Strategy because each project must meet the maintenance and restoration criteria by maintaining or restoring the physical and biological processes required by riparian-dependent resources within a watershed.” 1994 FSEIS p 3&amp;4 – 69. Clearly, this requires the FS to show there is a need for intervention.</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4"/>
          <w:lang w:val="en-US" w:eastAsia="ar-SA"/>
        </w:rPr>
      </w:pPr>
      <w:r w:rsidRPr="00861A1C">
        <w:rPr>
          <w:rFonts w:eastAsia="-moz-fixed" w:cs="-moz-fixed"/>
          <w:szCs w:val="20"/>
          <w:lang w:val="en-US" w:eastAsia="ar-SA"/>
        </w:rPr>
        <w:t>The NEPA analysis must reflect accurate scientific analysis such as that presented by the NMFS:</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A strategy of thinning to accelerate the development of a few healthy, large-diameter trees does not translate into more large wood in streams. … Overall, an unthinned stand will produce a higher number of both live and dead trees across a range of diameter classes and will produce far more dead wood over a much longer time frame relative to a heavily thinned stand. … The tradeoff of getting a few more large standing live trees sooner at the expense of a continuous supply of both large and small trees over the long term period always needs to be considered.</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Numerous studies suggest that all organic matter, including the various sizes of wood, has functional value in streams (and riparian areas), and that these functions vary with size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and Likens 1980, Beechie and Sibley 1997, </w:t>
      </w:r>
      <w:proofErr w:type="spellStart"/>
      <w:r w:rsidRPr="00861A1C">
        <w:rPr>
          <w:rFonts w:eastAsia="-moz-fixed" w:cs="-moz-fixed"/>
          <w:szCs w:val="20"/>
          <w:lang w:val="en-US" w:eastAsia="ar-SA"/>
        </w:rPr>
        <w:t>Gurnell</w:t>
      </w:r>
      <w:proofErr w:type="spellEnd"/>
      <w:r w:rsidRPr="00861A1C">
        <w:rPr>
          <w:rFonts w:eastAsia="-moz-fixed" w:cs="-moz-fixed"/>
          <w:szCs w:val="20"/>
          <w:lang w:val="en-US" w:eastAsia="ar-SA"/>
        </w:rPr>
        <w:t xml:space="preserve"> et al. 2002). Of particular note is that large wood that cannot singly form pools will form pools in combination with other pieces of wood and other obstructions by forming “wood jams.” Wood jams are common feature of natural streams of all sizes, and contain a distribution of wood sizes that, in concert, can form a semipermeable structure that can retain sediment (such as that used for spawning), nutrients and organic material, as well as form pools upstream and downstream of the obstruction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and Likens 1980,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1981, </w:t>
      </w:r>
      <w:proofErr w:type="spellStart"/>
      <w:r w:rsidRPr="00861A1C">
        <w:rPr>
          <w:rFonts w:eastAsia="-moz-fixed" w:cs="-moz-fixed"/>
          <w:szCs w:val="20"/>
          <w:lang w:val="en-US" w:eastAsia="ar-SA"/>
        </w:rPr>
        <w:t>Bilby</w:t>
      </w:r>
      <w:proofErr w:type="spellEnd"/>
      <w:r w:rsidRPr="00861A1C">
        <w:rPr>
          <w:rFonts w:eastAsia="-moz-fixed" w:cs="-moz-fixed"/>
          <w:szCs w:val="20"/>
          <w:lang w:val="en-US" w:eastAsia="ar-SA"/>
        </w:rPr>
        <w:t xml:space="preserve"> and Ward 1991).</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Reid and Hilton (1998) found that 30% of the trees falling into streams were triggered by trees falling from farther upslope. More research on this subject is needed, but it speaks to the indirect importance of trees in the outer portion of the riparian zone for wood delivery to streams.</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Managing for large instream wood also results in the creation of large riparian wood and large snags, both of which are beneficial to numerous species other than salmonids, such as cavity nesting birds and certain amphibians.</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 xml:space="preserve">[NMFS’s Northwest Fisheries Science Center’s quantitative analysis of the East Alsea Landscape Management Project, Pollock, M.M.] (Appendix 1) suggests that typical riparian thinning regimes will result in a mature forest with fewer large diameter trees, </w:t>
      </w:r>
      <w:r w:rsidRPr="00861A1C">
        <w:rPr>
          <w:rFonts w:eastAsia="-moz-fixed" w:cs="-moz-fixed"/>
          <w:szCs w:val="20"/>
          <w:lang w:val="en-US" w:eastAsia="ar-SA"/>
        </w:rPr>
        <w:lastRenderedPageBreak/>
        <w:t xml:space="preserve">fewer large diameter snags, and fewer large diameter pieces of wood on the riparian forest floor and in streams, relative to natural conditions. This largely stems from excessive thinning. In regards to stream habitat, many of the negative impacts created by the existing riparian thinning proposals could be largely avoided with wider no-thin buffers (e.g., see Appendix 1) and removing far fewer trees during thinning operations. </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The exclusive use of the 24-inch/50-ft wood indicator by the USFS and BLM does not satisfy the requirement in 50 CFR 402.14 that both the action agency and NMFS use the best available scientific and commercial data, or (2) the requirement in 50 CFR 402.02 that the action agencies and NMFS analyze all effects of the proposed action … which would mean consideration of a broader range of sizes of wood.</w:t>
      </w:r>
    </w:p>
    <w:p w:rsidR="00861A1C" w:rsidRPr="00861A1C" w:rsidRDefault="00861A1C" w:rsidP="00861A1C">
      <w:pPr>
        <w:suppressAutoHyphens/>
        <w:autoSpaceDE w:val="0"/>
        <w:spacing w:line="240" w:lineRule="auto"/>
        <w:ind w:left="720"/>
        <w:rPr>
          <w:rFonts w:eastAsia="-moz-fixed" w:cs="-moz-fixed"/>
          <w:b/>
          <w:i/>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b/>
          <w:i/>
          <w:szCs w:val="20"/>
          <w:lang w:val="en-US" w:eastAsia="ar-SA"/>
        </w:rPr>
        <w:t>Recommendations</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The USFS and BLM should include all sizes of wood in describing environmental baseline conditions and in analyzing the effects of its proposed actions, not just pieces of wood that are greater than 24 inches in diameter and greater than 50 ft in length.</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The USFS and BLM should adjust their tree diameter targets based on stream size. Databased curves are available for both functional-sized and key pieces of wood (e.g., Fox and Bolton 2007).</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The USFS and BLM should leave more thinned trees on the ground in riparian areas, particularly close to streams, on floodplains, and on steep sideslopes where some trees are likely to slide down into streams, than are required to meet wildlife needs.</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In order to better portray environmental baseline conditions and to understand the likely effects of thinning proposals, the USFS and BLM should develop stand data separately for riparian and upland forests.</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In order to insure adequate recruitment of conifer wood to streams, the USFS and BLM should measure riparian buffers from the outer edge of streamside hardwood forests, where present.</w:t>
      </w:r>
    </w:p>
    <w:p w:rsidR="00861A1C" w:rsidRPr="00861A1C" w:rsidRDefault="00861A1C" w:rsidP="00861A1C">
      <w:pPr>
        <w:numPr>
          <w:ilvl w:val="0"/>
          <w:numId w:val="6"/>
        </w:num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The USFS and BLM should work with NMFS to develop reliable methods of wood recruitment modeling and procedures that could be used routinely in ESA section 7 consultations to promote decisions based on data instead of concepts and generalizations from the scientific literature.</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rPr>
          <w:rFonts w:eastAsia="-moz-fixed" w:cs="-moz-fixed"/>
          <w:szCs w:val="20"/>
          <w:lang w:val="en-US" w:eastAsia="ar-SA"/>
        </w:rPr>
      </w:pPr>
      <w:proofErr w:type="spellStart"/>
      <w:r w:rsidRPr="00861A1C">
        <w:rPr>
          <w:rFonts w:eastAsia="-moz-fixed" w:cs="-moz-fixed"/>
          <w:szCs w:val="20"/>
          <w:lang w:val="en-US" w:eastAsia="ar-SA"/>
        </w:rPr>
        <w:t>Kratz</w:t>
      </w:r>
      <w:proofErr w:type="spellEnd"/>
      <w:r w:rsidRPr="00861A1C">
        <w:rPr>
          <w:rFonts w:eastAsia="-moz-fixed" w:cs="-moz-fixed"/>
          <w:szCs w:val="20"/>
          <w:lang w:val="en-US" w:eastAsia="ar-SA"/>
        </w:rPr>
        <w:t xml:space="preserve">, K.W. 2010. Response to April 1, 2010, Request by the Interagency Coordinating Subgroup for Position Paper to Support the February 23, 2010 Elevation of Two Northwest Forest Plan Issues to the Regional Executives. NOAA/NMFS July 23, 2010. </w:t>
      </w:r>
    </w:p>
    <w:p w:rsidR="00861A1C" w:rsidRPr="00861A1C" w:rsidRDefault="00861A1C" w:rsidP="00861A1C">
      <w:pPr>
        <w:suppressAutoHyphens/>
        <w:autoSpaceDE w:val="0"/>
        <w:spacing w:line="240" w:lineRule="auto"/>
        <w:ind w:left="720"/>
        <w:rPr>
          <w:rFonts w:eastAsia="-moz-fixed" w:cs="-moz-fixed"/>
          <w:szCs w:val="20"/>
          <w:lang w:val="en-US" w:eastAsia="ar-SA"/>
        </w:rPr>
      </w:pPr>
    </w:p>
    <w:p w:rsidR="00861A1C" w:rsidRPr="00861A1C" w:rsidRDefault="00861A1C" w:rsidP="00861A1C">
      <w:pPr>
        <w:suppressAutoHyphens/>
        <w:autoSpaceDE w:val="0"/>
        <w:spacing w:line="240" w:lineRule="auto"/>
        <w:rPr>
          <w:rFonts w:eastAsia="-moz-fixed" w:cs="-moz-fixed"/>
          <w:szCs w:val="20"/>
          <w:lang w:val="en-US" w:eastAsia="ar-SA"/>
        </w:rPr>
      </w:pPr>
      <w:r w:rsidRPr="00861A1C">
        <w:rPr>
          <w:rFonts w:eastAsia="-moz-fixed" w:cs="-moz-fixed"/>
          <w:szCs w:val="20"/>
          <w:lang w:val="en-US" w:eastAsia="ar-SA"/>
        </w:rPr>
        <w:t xml:space="preserve">From Appendix 1 of the NMFS Memo quoted above: </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 xml:space="preserve">Thinning did accelerate the development of large diameter trees by about 20 years relative to the unthinned stand, but this benefit was short-lived because the higher number of trees in the unthinned stand allowed it to produce far more large diameter live and dead trees in the long run. A century after thinning, a 60 foot no cut buffer between a stream and the thinned forest provided 56% of the stream wood relative to an unthinned stand, while a 150 foot no cut buffer provided 91% of the stream wood relative to an unthinned stand. Our results suggest that the thinning regimes proposed by the Siuslaw National Forest will delay the development of key structural elements of forest and stream habitat by more than a century. The delay in stream habitat recovery can be minimized by creating a no cut buffer of 150 feet or more in width between streams and any forest thinning operations. Some of the delay in forest structure development caused by thinning might also be reduced by removing far fewer trees. </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B864C7" w:rsidRDefault="00861A1C" w:rsidP="00861A1C">
      <w:pPr>
        <w:suppressAutoHyphens/>
        <w:autoSpaceDE w:val="0"/>
        <w:spacing w:line="240" w:lineRule="auto"/>
        <w:ind w:left="720"/>
        <w:rPr>
          <w:rFonts w:eastAsia="-moz-fixed" w:cs="-moz-fixed"/>
          <w:b/>
          <w:bCs/>
          <w:sz w:val="19"/>
          <w:szCs w:val="19"/>
          <w:lang w:val="en-US" w:eastAsia="ar-SA"/>
        </w:rPr>
      </w:pPr>
      <w:r w:rsidRPr="00861A1C">
        <w:rPr>
          <w:rFonts w:eastAsia="-moz-fixed" w:cs="-moz-fixed"/>
          <w:szCs w:val="20"/>
          <w:lang w:val="en-US" w:eastAsia="ar-SA"/>
        </w:rPr>
        <w:lastRenderedPageBreak/>
        <w:t>[Analysis based on a 37 year old Douglas-fir stand thinned to 55 TPA]</w:t>
      </w:r>
      <w:r w:rsidRPr="00861A1C">
        <w:rPr>
          <w:rFonts w:eastAsia="-moz-fixed" w:cs="-moz-fixed"/>
          <w:b/>
          <w:bCs/>
          <w:sz w:val="19"/>
          <w:szCs w:val="19"/>
          <w:lang w:val="en-US" w:eastAsia="ar-SA"/>
        </w:rPr>
        <w:t xml:space="preserve"> </w:t>
      </w:r>
    </w:p>
    <w:p w:rsidR="00B864C7" w:rsidRDefault="00B864C7" w:rsidP="00861A1C">
      <w:pPr>
        <w:suppressAutoHyphens/>
        <w:autoSpaceDE w:val="0"/>
        <w:spacing w:line="240" w:lineRule="auto"/>
        <w:ind w:left="720"/>
        <w:rPr>
          <w:rFonts w:eastAsia="-moz-fixed" w:cs="-moz-fixed"/>
          <w:b/>
          <w:bCs/>
          <w:sz w:val="19"/>
          <w:szCs w:val="19"/>
          <w:lang w:val="en-US" w:eastAsia="ar-SA"/>
        </w:rPr>
      </w:pP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b/>
          <w:bCs/>
          <w:szCs w:val="24"/>
          <w:lang w:val="en-US" w:eastAsia="ar-SA"/>
        </w:rPr>
        <w:t>M</w:t>
      </w:r>
      <w:r w:rsidRPr="00861A1C">
        <w:rPr>
          <w:rFonts w:eastAsia="-moz-fixed" w:cs="-moz-fixed"/>
          <w:b/>
          <w:bCs/>
          <w:sz w:val="19"/>
          <w:szCs w:val="19"/>
          <w:lang w:val="en-US" w:eastAsia="ar-SA"/>
        </w:rPr>
        <w:t xml:space="preserve">ORTALITY </w:t>
      </w:r>
      <w:r w:rsidRPr="00861A1C">
        <w:rPr>
          <w:rFonts w:eastAsia="-moz-fixed" w:cs="-moz-fixed"/>
          <w:b/>
          <w:bCs/>
          <w:szCs w:val="24"/>
          <w:lang w:val="en-US" w:eastAsia="ar-SA"/>
        </w:rPr>
        <w:t>T</w:t>
      </w:r>
      <w:r w:rsidRPr="00861A1C">
        <w:rPr>
          <w:rFonts w:eastAsia="-moz-fixed" w:cs="-moz-fixed"/>
          <w:b/>
          <w:bCs/>
          <w:sz w:val="19"/>
          <w:szCs w:val="19"/>
          <w:lang w:val="en-US" w:eastAsia="ar-SA"/>
        </w:rPr>
        <w:t xml:space="preserve">REES — … </w:t>
      </w:r>
      <w:r w:rsidRPr="00861A1C">
        <w:rPr>
          <w:rFonts w:eastAsia="-moz-fixed" w:cs="-moz-fixed"/>
          <w:szCs w:val="20"/>
          <w:lang w:val="en-US" w:eastAsia="ar-SA"/>
        </w:rPr>
        <w:t>Trees in the thinned stand increased diameter rapidly, and in 20 years following thinning, had a greater number of &gt; 18” diameter trees relative to the unthinned stand. However, from 30-100 years after thinning, the unthinned stand had more &gt; 18” dbh trees, and by year 135 had over 5 [dead]TPA, compared to just 0.6 [dead]TPA in the thinned stand. Neither stand produced many trees &gt; 24” dbh by year 135. The thinned stand produced slightly more &gt; 24” [dead]TPA for each decade following thinning through year 115 (e.g. 0.5 v. 0.4 &gt; 24” [dead]TPA at year 115), but by year 135 the unthinned stand was producing more large trees (0.7 v. 0.5 &gt; 24” [dead]TPA). Further, at year 135, the trend of the &gt; 24” dbh [dead]TPA in the unthinned stand was increasing, while in the thinned stand the &gt; 24” dbh class had leveled off, suggesting that beyond year 135 the unthinned stand would continue to produce a greater number of large dead trees. … Comparison of the thinned and unthinned mortality curves graphically illustrates that thinning greatly reduced riparian tree mortality and thus reduces the potential for snags, forest wood and instream wood. It is noteworthy that the proposed thinning reduces tree mortality during the period of stand development when tree mortality and thus snag and wood loading, is at its’ highest. For example, for an unthinned stand at age 135, about 50 years past peak mortality, will still be producing about 10 trees per acre per decade. In contrast, a thinned stand will have about 0.5 [dead]TPA for the same time period. … The 30 foot no cut buffer, which approximates what the Siuslaw National Forest proposed …, would provide less than 30% of the in stream wood relative to a 250 foot no cut buffer at year 135.</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 xml:space="preserve">[T]he vast majority of stands likely grew at densities higher than 55 TPA, and there is no evidence that such low density conifer stands were found in riparian environments. For example, </w:t>
      </w:r>
      <w:proofErr w:type="spellStart"/>
      <w:r w:rsidRPr="00861A1C">
        <w:rPr>
          <w:rFonts w:eastAsia="-moz-fixed" w:cs="-moz-fixed"/>
          <w:szCs w:val="20"/>
          <w:lang w:val="en-US" w:eastAsia="ar-SA"/>
        </w:rPr>
        <w:t>Poage</w:t>
      </w:r>
      <w:proofErr w:type="spellEnd"/>
      <w:r w:rsidRPr="00861A1C">
        <w:rPr>
          <w:rFonts w:eastAsia="-moz-fixed" w:cs="-moz-fixed"/>
          <w:szCs w:val="20"/>
          <w:lang w:val="en-US" w:eastAsia="ar-SA"/>
        </w:rPr>
        <w:t xml:space="preserve"> and </w:t>
      </w:r>
      <w:proofErr w:type="spellStart"/>
      <w:r w:rsidRPr="00861A1C">
        <w:rPr>
          <w:rFonts w:eastAsia="-moz-fixed" w:cs="-moz-fixed"/>
          <w:szCs w:val="20"/>
          <w:lang w:val="en-US" w:eastAsia="ar-SA"/>
        </w:rPr>
        <w:t>Tappeiner</w:t>
      </w:r>
      <w:proofErr w:type="spellEnd"/>
      <w:r w:rsidRPr="00861A1C">
        <w:rPr>
          <w:rFonts w:eastAsia="-moz-fixed" w:cs="-moz-fixed"/>
          <w:szCs w:val="20"/>
          <w:lang w:val="en-US" w:eastAsia="ar-SA"/>
        </w:rPr>
        <w:t xml:space="preserve"> (2002) estimated growth rates from the stumps of 505 large diameter Douglas-fir on upland sites and concluded that at age 50, about 75% of them were growing at tree densities higher than 53 TPA Since riparian forests generally are more productive and have higher tree densities than upland forests (Pollock et al., in review), we expect that the occurrence of young, low density riparian stands would be even less than in upland environments.</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Even if the uncut buffer is 150 feet wide and the thinning is confined to the outer 100 feet of the Riparian Reserve, a century after thinning, the recovery rate of instream wood will still be lowered by about 10%. This is a significant decrease for a program that is ostensibly designed to improve riparian function. We conclude that the thinning of riparian forests to the degree contemplated in the Siuslaw National Forest will delay creation of late successional forest structure by more than a century. … Thinning treatments may exist which will accelerate the</w:t>
      </w:r>
    </w:p>
    <w:p w:rsidR="00861A1C" w:rsidRPr="00861A1C" w:rsidRDefault="00861A1C" w:rsidP="00861A1C">
      <w:pPr>
        <w:suppressAutoHyphens/>
        <w:autoSpaceDE w:val="0"/>
        <w:spacing w:line="240" w:lineRule="auto"/>
        <w:ind w:left="720"/>
        <w:rPr>
          <w:rFonts w:eastAsia="-moz-fixed" w:cs="-moz-fixed"/>
          <w:szCs w:val="20"/>
          <w:lang w:val="en-US" w:eastAsia="ar-SA"/>
        </w:rPr>
      </w:pPr>
      <w:r w:rsidRPr="00861A1C">
        <w:rPr>
          <w:rFonts w:eastAsia="-moz-fixed" w:cs="-moz-fixed"/>
          <w:szCs w:val="20"/>
          <w:lang w:val="en-US" w:eastAsia="ar-SA"/>
        </w:rPr>
        <w:t>development of late successional forest structure in Riparian Reserves and that are consistent with the goals of the Northwest Forest Plan Aquatic Conservation Strategy, but they most assuredly will involve the removal of far fewer trees. … Future research should more comprehensively assess the conditions under which thinning accelerates or retards the development of key structural attributes of riparian forests.</w:t>
      </w:r>
    </w:p>
    <w:p w:rsidR="00B864C7" w:rsidRDefault="00861A1C" w:rsidP="00861A1C">
      <w:pPr>
        <w:suppressAutoHyphens/>
        <w:autoSpaceDE w:val="0"/>
        <w:spacing w:line="240" w:lineRule="auto"/>
        <w:rPr>
          <w:rFonts w:eastAsia="-moz-fixed" w:cs="-moz-fixed"/>
          <w:szCs w:val="24"/>
          <w:lang w:val="en-US" w:eastAsia="ar-SA"/>
        </w:rPr>
      </w:pPr>
      <w:r w:rsidRPr="00861A1C">
        <w:rPr>
          <w:rFonts w:eastAsia="-moz-fixed" w:cs="-moz-fixed"/>
          <w:szCs w:val="20"/>
          <w:lang w:val="en-US" w:eastAsia="ar-SA"/>
        </w:rPr>
        <w:t>Michael M. Pollock and co-authors to be determined. [</w:t>
      </w:r>
      <w:r w:rsidRPr="00861A1C">
        <w:rPr>
          <w:rFonts w:eastAsia="-moz-fixed" w:cs="-moz-fixed"/>
          <w:i/>
          <w:szCs w:val="20"/>
          <w:lang w:val="en-US" w:eastAsia="ar-SA"/>
        </w:rPr>
        <w:t>in review 2010</w:t>
      </w:r>
      <w:r w:rsidRPr="00861A1C">
        <w:rPr>
          <w:rFonts w:eastAsia="-moz-fixed" w:cs="-moz-fixed"/>
          <w:szCs w:val="20"/>
          <w:lang w:val="en-US" w:eastAsia="ar-SA"/>
        </w:rPr>
        <w:t>] Effects of Riparian Thinning on Development of Late-Successional Forest Structure in the Alsea Watershed, Oregon, USA. NOAA Fisheries, Northwest Fisheries Science Center, Seattle, Washington.</w:t>
      </w:r>
    </w:p>
    <w:p w:rsidR="00B864C7" w:rsidRDefault="00B864C7" w:rsidP="00861A1C">
      <w:pPr>
        <w:suppressAutoHyphens/>
        <w:autoSpaceDE w:val="0"/>
        <w:spacing w:line="240" w:lineRule="auto"/>
        <w:rPr>
          <w:rFonts w:eastAsia="-moz-fixed" w:cs="-moz-fixed"/>
          <w:szCs w:val="24"/>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Riparian reserves do a good job of providing connectivity within watersheds, but not between watersheds. Consider extending the riparian buffers to provide headwater linkages across </w:t>
      </w:r>
      <w:r w:rsidRPr="00861A1C">
        <w:rPr>
          <w:rFonts w:eastAsia="-moz-fixed" w:cs="-moz-fixed"/>
          <w:szCs w:val="20"/>
          <w:lang w:val="en-US" w:eastAsia="ar-SA"/>
        </w:rPr>
        <w:lastRenderedPageBreak/>
        <w:t xml:space="preserve">ridgetops in order to provide interbasin connectivity for amphibians and other species. Science Findings, Issue 120 (February 2010) Linked in: Connecting riparian areas to support forest biodiversity, based on science by Kelly Burnett and Deanna Olson. </w:t>
      </w:r>
      <w:hyperlink r:id="rId100" w:history="1">
        <w:r w:rsidRPr="00861A1C">
          <w:rPr>
            <w:rFonts w:eastAsia="-moz-fixed" w:cs="-moz-fixed"/>
            <w:color w:val="0000FF"/>
            <w:szCs w:val="24"/>
            <w:u w:val="single"/>
            <w:lang w:val="en-US" w:eastAsia="ar-SA"/>
          </w:rPr>
          <w:t>http://www.fs.usda.gov/pnw/sciencef/scifi120.pdf</w:t>
        </w:r>
      </w:hyperlink>
      <w:r w:rsidRPr="00861A1C">
        <w:rPr>
          <w:rFonts w:eastAsia="-moz-fixed" w:cs="-moz-fixed"/>
          <w:szCs w:val="24"/>
          <w:lang w:val="en-US" w:eastAsia="ar-SA"/>
        </w:rPr>
        <w:t>.</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Recommendations related to thinning in riparian reserves must be reconsidered in light of new information showing that logging does NOT increase the recruitment of functional wood, and the minor increase in very large live trees comes at great cost in terms of a significant reduction in recruitment of functional wood in medium and large size classes (smaller than “very large.”)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[T]here are long-term habitat tradeoffs associated with different thinning intensities. Species that utilize large diameter live trees will benefit most from heavy thinning, whereas species that utilize large diameter deadwood will benefit most from light or no thinning. Because far more vertebrate species utilize large deadwood rather than large live trees, allowing riparian forests to naturally develop may result in the most rapid and sustained development of structural features important to most terrestrial and aquatic vertebrates.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Over the course of the simulation, the most intensively thinned stands produced a third as many mortality trees &gt;30 cm (145vs. 461) and half as many mortality trees &gt;50 cm (127vs. 250) relative to the unthinned stands (Figures 5a and 5b). In contrast, the heaviest thin produced slightly more mortality trees &gt;100 cm, a cumulative average production of 42 mortality trees &gt;100 cm for the heaviest thin, relative to 37 mortality trees &gt;100 cm for the unthinned stands (Figure 5a).</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Relative to the no thin scenario, thinning reduced the mortality peak of boles in the 30-50 cm and 50-100 cm size classes that occurred 10-60 years posttreatment in the passively managed stands, with the reduction in mortality proportional to the intensity of the thin (Figure 4).</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In summary, thinning minimally increased the production of large diameter deadwood &gt;100 cm, while causing substantial losses in deadwood 30- 50 cm and 50-100 cm diameter, with no acceleration in the production of these size classes (Figure 5). This suggests that the thinning regimes we examined are not an effective approach for increasing the abundance of ecologically functional deadwood. The no thin scenario produced substantially more deadwood across a wide range of sizes useful to a variety of vertebrate species (Table 1).</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Examination of Table 1 suggests that deadwood &gt;30 cm diameter creates habitat that is used by many species, but that deadwood &gt;50 cm provides even more habitat benefits, and that maximizing the production of deadwood&gt;50 cm diameter may be a suitable management target if the goal is to benefit the most vertebrates. There were far fewer species that preferred live trees or deadwood &gt;100 cm, , but larger diameter dead trees will take longer to decompose, extending the length of time that habitat benefits are provided.</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101" w:history="1">
        <w:r w:rsidRPr="00861A1C">
          <w:rPr>
            <w:rFonts w:eastAsia="-moz-fixed" w:cs="-moz-fixed"/>
            <w:color w:val="0000FF"/>
            <w:szCs w:val="20"/>
            <w:u w:val="single"/>
            <w:lang w:val="en-US" w:eastAsia="ar-SA"/>
          </w:rPr>
          <w:t>http://oregon-stream-protection-coalition.com/wp-content/uploads/2014/07/Pollock-and-Beechie.-2014.-Riparian-thinning-and-biodiversity.pdf</w:t>
        </w:r>
      </w:hyperlink>
      <w:r w:rsidRPr="00861A1C">
        <w:rPr>
          <w:rFonts w:eastAsia="-moz-fixed" w:cs="-moz-fixed"/>
          <w:szCs w:val="20"/>
          <w:lang w:val="en-US" w:eastAsia="ar-SA"/>
        </w:rPr>
        <w:t>. This paper provides a nice graphic showing mortality recruitment per decade under various thinning scenarios and showing that no-treatment performs best:</w:t>
      </w:r>
    </w:p>
    <w:p w:rsidR="00B864C7" w:rsidRDefault="00861A1C" w:rsidP="00861A1C">
      <w:pPr>
        <w:suppressAutoHyphens/>
        <w:spacing w:line="240" w:lineRule="auto"/>
        <w:ind w:left="1440"/>
        <w:rPr>
          <w:rFonts w:eastAsia="-moz-fixed" w:cs="-moz-fixed"/>
          <w:szCs w:val="20"/>
          <w:lang w:val="en-US" w:eastAsia="ar-SA"/>
        </w:rPr>
      </w:pPr>
      <w:r w:rsidRPr="00861A1C">
        <w:rPr>
          <w:rFonts w:eastAsia="-moz-fixed" w:cs="-moz-fixed"/>
          <w:noProof/>
          <w:szCs w:val="20"/>
          <w:lang w:val="en-US"/>
        </w:rPr>
        <w:lastRenderedPageBreak/>
        <w:drawing>
          <wp:inline distT="0" distB="0" distL="0" distR="0">
            <wp:extent cx="3429000" cy="3611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29000" cy="3611880"/>
                    </a:xfrm>
                    <a:prstGeom prst="rect">
                      <a:avLst/>
                    </a:prstGeom>
                    <a:noFill/>
                    <a:ln>
                      <a:noFill/>
                    </a:ln>
                  </pic:spPr>
                </pic:pic>
              </a:graphicData>
            </a:graphic>
          </wp:inline>
        </w:drawing>
      </w:r>
    </w:p>
    <w:p w:rsidR="00B864C7" w:rsidRDefault="00B864C7" w:rsidP="00861A1C">
      <w:pPr>
        <w:suppressAutoHyphens/>
        <w:spacing w:line="240" w:lineRule="auto"/>
        <w:ind w:left="1440"/>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In January 2013, the Science Review Team Wood Recruitment Subgroup reported their “Key Points” regarding the effects of commercial thinning on wood recruitment in riparian reserves:</w:t>
      </w:r>
    </w:p>
    <w:p w:rsidR="00B864C7" w:rsidRDefault="00B864C7" w:rsidP="00861A1C">
      <w:pPr>
        <w:suppressAutoHyphens/>
        <w:spacing w:line="240" w:lineRule="auto"/>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In general, there is very little published science about the effects of thinning on dead wood recruitment and virtually none on thinning effects on wood recruitment in riparian zones. We conducted some limited simulation modeling to illustrate some of the relationships between thinning and dead wood recruitment. The simulations (and comparison of models) were not comprehensive or a rigorous analysis of thinning effects and should be viewed as preliminary. Below we provide 15 key points from our efforts: </w:t>
      </w:r>
    </w:p>
    <w:p w:rsidR="00861A1C" w:rsidRPr="00861A1C" w:rsidRDefault="00861A1C"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Key Points </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1. Thinning is most beneficial in dense young stands. Existing literature and stand development theory suggest that the greatest potential ecological benefits of thinning to accelerate the development of older forest structure (e.g. large trees, large dead trees, spatial structural and compositional heterogeneity, etc.) comes in dense uniform plantations </w:t>
      </w:r>
      <w:r w:rsidRPr="00861A1C">
        <w:rPr>
          <w:rFonts w:eastAsia="-moz-fixed" w:cs="-moz-fixed"/>
          <w:szCs w:val="20"/>
          <w:u w:val="single"/>
          <w:lang w:val="en-US" w:eastAsia="ar-SA"/>
        </w:rPr>
        <w:t>less than 80 years and especially less than 50 years old</w:t>
      </w:r>
      <w:r w:rsidRPr="00861A1C">
        <w:rPr>
          <w:rFonts w:eastAsia="-moz-fixed" w:cs="-moz-fixed"/>
          <w:szCs w:val="20"/>
          <w:lang w:val="en-US" w:eastAsia="ar-SA"/>
        </w:rPr>
        <w:t xml:space="preserve">. The benefits of thinning for older forest ecological objectives are less clear in stands over 80 years of age. Hence, our report focused primarily on plantations less than 50 years of age. </w:t>
      </w:r>
    </w:p>
    <w:p w:rsidR="00861A1C" w:rsidRPr="00861A1C" w:rsidRDefault="00861A1C" w:rsidP="00861A1C">
      <w:pPr>
        <w:suppressAutoHyphens/>
        <w:spacing w:line="240" w:lineRule="auto"/>
        <w:ind w:left="720"/>
        <w:rPr>
          <w:rFonts w:eastAsia="Symbol" w:cs="-moz-fixed"/>
          <w:color w:val="222222"/>
          <w:szCs w:val="24"/>
          <w:lang w:val="en-US" w:eastAsia="ar-SA"/>
        </w:rPr>
      </w:pPr>
      <w:r w:rsidRPr="00861A1C">
        <w:rPr>
          <w:rFonts w:eastAsia="-moz-fixed" w:cs="-moz-fixed"/>
          <w:szCs w:val="20"/>
          <w:lang w:val="en-US" w:eastAsia="ar-SA"/>
        </w:rPr>
        <w:t xml:space="preserve"> </w:t>
      </w: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2. Results may not be applicable to all stand conditions. For this synthesis, many of our conclusions were based on modeling the effects of thinning 30 to 40 year old Douglas-fir plantation stands that range in density from 200 to 270 trees per acre (</w:t>
      </w:r>
      <w:proofErr w:type="spellStart"/>
      <w:r w:rsidRPr="00861A1C">
        <w:rPr>
          <w:rFonts w:eastAsia="Symbol" w:cs="-moz-fixed"/>
          <w:color w:val="222222"/>
          <w:szCs w:val="24"/>
          <w:lang w:val="en-US" w:eastAsia="ar-SA"/>
        </w:rPr>
        <w:t>tpa</w:t>
      </w:r>
      <w:proofErr w:type="spellEnd"/>
      <w:r w:rsidRPr="00861A1C">
        <w:rPr>
          <w:rFonts w:eastAsia="Symbol" w:cs="-moz-fixed"/>
          <w:color w:val="222222"/>
          <w:szCs w:val="24"/>
          <w:lang w:val="en-US" w:eastAsia="ar-SA"/>
        </w:rPr>
        <w:t xml:space="preserve">). We consider such stands moderately dense, as young plantation stand densities range from less than 100 to greater than 450 </w:t>
      </w:r>
      <w:proofErr w:type="spellStart"/>
      <w:r w:rsidRPr="00861A1C">
        <w:rPr>
          <w:rFonts w:eastAsia="Symbol" w:cs="-moz-fixed"/>
          <w:color w:val="222222"/>
          <w:szCs w:val="24"/>
          <w:lang w:val="en-US" w:eastAsia="ar-SA"/>
        </w:rPr>
        <w:t>tpa</w:t>
      </w:r>
      <w:proofErr w:type="spellEnd"/>
      <w:r w:rsidRPr="00861A1C">
        <w:rPr>
          <w:rFonts w:eastAsia="Symbol" w:cs="-moz-fixed"/>
          <w:color w:val="222222"/>
          <w:szCs w:val="24"/>
          <w:lang w:val="en-US" w:eastAsia="ar-SA"/>
        </w:rPr>
        <w:t>. In terms of dead wood production, higher density stands are likely to see more benefits from thinning, and lower density stands less benefits. </w:t>
      </w:r>
      <w:r w:rsidRPr="00861A1C">
        <w:rPr>
          <w:rFonts w:eastAsia="Symbol" w:cs="-moz-fixed"/>
          <w:color w:val="FF0000"/>
          <w:szCs w:val="24"/>
          <w:lang w:val="en-US" w:eastAsia="ar-SA"/>
        </w:rPr>
        <w:t>[Portions of this project are probably less dense and less in need of thinning, compared to the very dense, very young stands addressed in this report.]</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3. Accurate assessments of thinning effects requires site-specific information. The effects of thinning regimes on dead wood creation and recruitment (relative to no-thinning) will depend on many factors including initial stand conditions, particularly stand density, and thinning prescription—it is difficult to generalize about the effects of thinning on dead wood without specifying the particulars of the management regime and stand conditions. </w:t>
      </w:r>
      <w:r w:rsidRPr="00861A1C">
        <w:rPr>
          <w:rFonts w:eastAsia="Symbol" w:cs="-moz-fixed"/>
          <w:color w:val="FF0000"/>
          <w:szCs w:val="24"/>
          <w:lang w:val="en-US" w:eastAsia="ar-SA"/>
        </w:rPr>
        <w:t>[The NEPA analysis needs to provide a site-specific, quantitative analysis to show that silviculture is needed to meet ACS objectives in these riparian reserves.]</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4. Conventional [i.e., commercial] thinning generally produces fewer large dead trees. Thinning with removal of trees (conventional thinning) will generally produce fewer large dead trees across a range of sizes over the several decades following thinning and the life-time of the stand relative to equivalent stands that are not thinned. Generally, recruitment of dead wood to streams would likewise be reduced in conventionally thinned stands relative to unthinned stands. </w:t>
      </w:r>
      <w:r w:rsidRPr="00861A1C">
        <w:rPr>
          <w:rFonts w:eastAsia="Symbol" w:cs="-moz-fixed"/>
          <w:color w:val="FF0000"/>
          <w:szCs w:val="24"/>
          <w:lang w:val="en-US" w:eastAsia="ar-SA"/>
        </w:rPr>
        <w:t>[This result is highly relevant to the proposed logging to meet ACS objectives.]</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5. Conventional [i.e., commercial] thinning can accelerate the development of very large diameter trees. In stands that are conventionally thinned, the appearance of very large diameter dead trees (greater than 40”) may be accelerated by 1 to 20 years relative to unthinned plantations, depending on thinning intensity and initial stand conditions. Trees of such sizes typically begin to appear 5 to 10 decades after thinning 30 to 40 year old stands. </w:t>
      </w:r>
      <w:r w:rsidRPr="00861A1C">
        <w:rPr>
          <w:rFonts w:eastAsia="Symbol" w:cs="-moz-fixed"/>
          <w:color w:val="FF0000"/>
          <w:szCs w:val="24"/>
          <w:lang w:val="en-US" w:eastAsia="ar-SA"/>
        </w:rPr>
        <w:t xml:space="preserve">[Note: The appearance of a few “very large” trees in the decades after thinning comes with the loss of a much larger volume of “large functional” trees that were exported from the site before they were allowed to grow and recruit to the stream. Any small gains in </w:t>
      </w:r>
      <w:r w:rsidRPr="00861A1C">
        <w:rPr>
          <w:rFonts w:eastAsia="Symbol" w:cs="-moz-fixed"/>
          <w:i/>
          <w:color w:val="FF0000"/>
          <w:szCs w:val="24"/>
          <w:lang w:val="en-US" w:eastAsia="ar-SA"/>
        </w:rPr>
        <w:t>very large</w:t>
      </w:r>
      <w:r w:rsidRPr="00861A1C">
        <w:rPr>
          <w:rFonts w:eastAsia="Symbol" w:cs="-moz-fixed"/>
          <w:color w:val="FF0000"/>
          <w:szCs w:val="24"/>
          <w:lang w:val="en-US" w:eastAsia="ar-SA"/>
        </w:rPr>
        <w:t xml:space="preserve"> trees, comes at the expense of large numbers of </w:t>
      </w:r>
      <w:r w:rsidRPr="00861A1C">
        <w:rPr>
          <w:rFonts w:eastAsia="Symbol" w:cs="-moz-fixed"/>
          <w:i/>
          <w:color w:val="FF0000"/>
          <w:szCs w:val="24"/>
          <w:lang w:val="en-US" w:eastAsia="ar-SA"/>
        </w:rPr>
        <w:t>large</w:t>
      </w:r>
      <w:r w:rsidRPr="00861A1C">
        <w:rPr>
          <w:rFonts w:eastAsia="Symbol" w:cs="-moz-fixed"/>
          <w:color w:val="FF0000"/>
          <w:szCs w:val="24"/>
          <w:lang w:val="en-US" w:eastAsia="ar-SA"/>
        </w:rPr>
        <w:t xml:space="preserve"> trees, so net benefits to ACS objectives are highly unlikely.]</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6. Nonconventional [i.e., non-commercial] thinning can substantially accelerate dead wood production. Stands thinned with prescriptions that leave some or all of the dead wood may more rapidly produce both large diameter dead trees in the short-term and very large diameter dead trees (especially greater than 40”) in the long-term, relative to unthinned stands. Instream wood placement gets wood into streams much sooner than by natural recruitment, and can offset negative effects of thinning on dead wood production.</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7. Assessments of thinning effects may vary depending on the forest growth model. The previous statements are supported by three stand simulation models (FVS, ORGANON, and ZELIG). However, the magnitude and timing of effects of thinning on dead wood recruitment and stand growth varied among models.</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8. Dead wood in streams comes from multiple sources. Dead wood in streams is primarily recruited through near-stream inputs (e.g. tree mortality and bank erosion) and landslides and debris flows. All types of recruitment are important and the relative importance varies with site and stream characteristics.</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B864C7" w:rsidRDefault="00861A1C" w:rsidP="00861A1C">
      <w:pPr>
        <w:shd w:val="clear" w:color="auto" w:fill="FFFFFF"/>
        <w:suppressAutoHyphens/>
        <w:spacing w:line="240" w:lineRule="auto"/>
        <w:ind w:left="720"/>
        <w:rPr>
          <w:rFonts w:eastAsia="Symbol" w:cs="-moz-fixed"/>
          <w:color w:val="222222"/>
          <w:szCs w:val="24"/>
          <w:lang w:val="en-US" w:eastAsia="ar-SA"/>
        </w:rPr>
      </w:pPr>
      <w:r w:rsidRPr="00861A1C">
        <w:rPr>
          <w:rFonts w:eastAsia="Symbol" w:cs="-moz-fixed"/>
          <w:color w:val="222222"/>
          <w:szCs w:val="24"/>
          <w:lang w:val="en-US" w:eastAsia="ar-SA"/>
        </w:rPr>
        <w:t>9. 95% of near-stream wood inputs come from within 82 to 148 feet of a stream. The distance of near-stream inputs to streams varies with forest conditions and geomorphology. Empirical studies indicate that 95% of total instream wood (from near-stream sources) comes from distances of 82 to 148 feet. Shorter distances occur in young, shorter stands and longer distances occur in older and taller stands. </w:t>
      </w:r>
      <w:r w:rsidRPr="00861A1C">
        <w:rPr>
          <w:rFonts w:eastAsia="Symbol" w:cs="-moz-fixed"/>
          <w:color w:val="FF0000"/>
          <w:szCs w:val="24"/>
          <w:lang w:val="en-US" w:eastAsia="ar-SA"/>
        </w:rPr>
        <w:t xml:space="preserve">[Don't forget: </w:t>
      </w:r>
      <w:r w:rsidRPr="00861A1C">
        <w:rPr>
          <w:rFonts w:eastAsia="Symbol" w:cs="-moz-fixed"/>
          <w:color w:val="FF0000"/>
          <w:szCs w:val="24"/>
          <w:lang w:val="en-US" w:eastAsia="ar-SA"/>
        </w:rPr>
        <w:lastRenderedPageBreak/>
        <w:t>riparian reserves were established to serve both aquatic and terrestrial objectives, and many terrestrial wildlife depend on abundant snags and dead wood.]</w:t>
      </w:r>
    </w:p>
    <w:p w:rsidR="00B864C7" w:rsidRDefault="00B864C7" w:rsidP="00861A1C">
      <w:pPr>
        <w:shd w:val="clear" w:color="auto" w:fill="FFFFFF"/>
        <w:suppressAutoHyphens/>
        <w:spacing w:line="240" w:lineRule="auto"/>
        <w:ind w:left="720"/>
        <w:rPr>
          <w:rFonts w:eastAsia="Symbol" w:cs="-moz-fixed"/>
          <w:color w:val="222222"/>
          <w:szCs w:val="24"/>
          <w:lang w:val="en-US" w:eastAsia="ar-SA"/>
        </w:rPr>
      </w:pPr>
    </w:p>
    <w:p w:rsidR="00861A1C" w:rsidRPr="00861A1C" w:rsidRDefault="00861A1C" w:rsidP="00861A1C">
      <w:pPr>
        <w:shd w:val="clear" w:color="auto" w:fill="FFFFFF"/>
        <w:suppressAutoHyphens/>
        <w:spacing w:line="240" w:lineRule="auto"/>
        <w:ind w:left="720"/>
        <w:rPr>
          <w:rFonts w:eastAsia="-moz-fixed" w:cs="-moz-fixed"/>
          <w:szCs w:val="20"/>
          <w:lang w:val="en-US" w:eastAsia="ar-SA"/>
        </w:rPr>
      </w:pPr>
      <w:r w:rsidRPr="00861A1C">
        <w:rPr>
          <w:rFonts w:eastAsia="Symbol" w:cs="-moz-fixed"/>
          <w:color w:val="222222"/>
          <w:szCs w:val="24"/>
          <w:lang w:val="en-US" w:eastAsia="ar-SA"/>
        </w:rPr>
        <w:t>10. Thinning can increase the amount of pool-forming wood under certain conditions. Thinning can increase the amount of pool-forming wood only when the thinned trees are smaller in diameter than the average diameter of pool-forming wood (which varies with stream size). </w:t>
      </w:r>
      <w:r w:rsidRPr="00861A1C">
        <w:rPr>
          <w:rFonts w:eastAsia="Symbol" w:cs="-moz-fixed"/>
          <w:color w:val="FF0000"/>
          <w:szCs w:val="24"/>
          <w:lang w:val="en-US" w:eastAsia="ar-SA"/>
        </w:rPr>
        <w:t>[Smaller wood is functional in smaller streams, which means that thinning any commercial-sized trees near small streams is unlikely to advance ACS objectives.]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11. The function of instream wood varies with size and location. Large instream wood can serve as stable “key” pieces that create instream obstructions and form wood jams by racking up numerous smaller pieces of wood that are mobile during high flows. Such wood jams typically consist of a wide range of piece sizes and provide multiple ecological functions that vary with stream size and gradient.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12. Effects of thinning on instream wood needs to be placed in a watershed context. Assessing the relative effect of riparian thinning on instream wood loads at a site and over the long term requires an estimation of the likely wood recruitment that will occur from the opposite bank, from upstream transport, and the rate of decay and downstream transport of wood from the site.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13. The ecological effects of thinning needs to be placed in a watershed context. Watershed-scale perspectives are needed to restore streams and riparian vegetation. The ecological effects of thinning on instream habitat will vary depending upon location in the stream network. Riparian management practices can be varied to match the ecological functions of streams.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14. Variation in thinning is essential (i.e. don’t do the same thing everywhere). Variation in thinning prescriptions will produce more variable forest and wood recruitment conditions, which may more closely mimic natural forest conditions. Using a variety of treatments is also consistent with the tenets of adaptive management in situations where the outcomes of treatments are uncertain. </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 </w:t>
      </w:r>
    </w:p>
    <w:p w:rsidR="00861A1C" w:rsidRPr="00861A1C" w:rsidRDefault="00861A1C" w:rsidP="00861A1C">
      <w:pPr>
        <w:suppressAutoHyphens/>
        <w:spacing w:line="240" w:lineRule="auto"/>
        <w:ind w:left="720"/>
        <w:rPr>
          <w:rFonts w:eastAsia="-moz-fixed" w:cs="-moz-fixed"/>
          <w:szCs w:val="24"/>
          <w:lang w:val="en-US" w:eastAsia="ar-SA"/>
        </w:rPr>
      </w:pPr>
      <w:r w:rsidRPr="00861A1C">
        <w:rPr>
          <w:rFonts w:eastAsia="-moz-fixed" w:cs="-moz-fixed"/>
          <w:szCs w:val="20"/>
          <w:lang w:val="en-US" w:eastAsia="ar-SA"/>
        </w:rPr>
        <w:t>15. Healthy, diverse forests contain many dead trees. Numerous terrestrial forest species require large dead or dying trees as essential habitat. Some directly, others indirectly; to support the food web within which they exist. Abundant large snags and large down wood on the forest floor are common features of natural forests and essential for the maintenance of biological diversity.</w:t>
      </w:r>
    </w:p>
    <w:p w:rsidR="00861A1C" w:rsidRPr="00861A1C" w:rsidRDefault="00861A1C" w:rsidP="00861A1C">
      <w:pPr>
        <w:suppressAutoHyphens/>
        <w:spacing w:line="240" w:lineRule="auto"/>
        <w:rPr>
          <w:rFonts w:eastAsia="-moz-fixed" w:cs="-moz-fixed"/>
          <w:szCs w:val="20"/>
          <w:lang w:val="en-US" w:eastAsia="ar-SA"/>
        </w:rPr>
      </w:pPr>
      <w:r w:rsidRPr="00861A1C">
        <w:rPr>
          <w:rFonts w:eastAsia="-moz-fixed" w:cs="-moz-fixed"/>
          <w:szCs w:val="24"/>
          <w:lang w:val="en-US" w:eastAsia="ar-SA"/>
        </w:rPr>
        <w:t xml:space="preserve">Thomas Spies, Michael Pollock, Gordon Reeves, and Tim Beechie 2013. Effects of Riparian Thinning on Wood Recruitment: A Scientific Synthesis - Science Review Team Wood Recruitment Subgroup. Jan 28, 2013, p 36. </w:t>
      </w:r>
      <w:hyperlink r:id="rId103" w:history="1">
        <w:r w:rsidRPr="00861A1C">
          <w:rPr>
            <w:rFonts w:eastAsia="-moz-fixed" w:cs="-moz-fixed"/>
            <w:color w:val="0000FF"/>
            <w:szCs w:val="20"/>
            <w:u w:val="single"/>
            <w:lang w:val="en-US" w:eastAsia="ar-SA"/>
          </w:rPr>
          <w:t>https://web.archive.org/web/20220120055722/http://www.mediate.com/DSConsulting/docs/FINAL%20wood%20recruitment%20document.pdf</w:t>
        </w:r>
      </w:hyperlink>
      <w:r w:rsidRPr="00861A1C">
        <w:rPr>
          <w:rFonts w:eastAsia="-moz-fixed" w:cs="-moz-fixed"/>
          <w:szCs w:val="20"/>
          <w:lang w:val="en-US" w:eastAsia="ar-SA"/>
        </w:rPr>
        <w:t xml:space="preserve">. </w:t>
      </w:r>
      <w:r w:rsidRPr="00861A1C">
        <w:rPr>
          <w:rFonts w:eastAsia="-moz-fixed" w:cs="-moz-fixed"/>
          <w:szCs w:val="24"/>
          <w:lang w:val="en-US" w:eastAsia="ar-SA"/>
        </w:rPr>
        <w:t xml:space="preserve"> </w:t>
      </w:r>
    </w:p>
    <w:p w:rsidR="00861A1C" w:rsidRPr="00861A1C" w:rsidRDefault="00861A1C" w:rsidP="00861A1C">
      <w:pPr>
        <w:suppressAutoHyphens/>
        <w:spacing w:line="240" w:lineRule="auto"/>
        <w:rPr>
          <w:rFonts w:eastAsia="-moz-fixed" w:cs="-moz-fixed"/>
          <w:szCs w:val="20"/>
          <w:lang w:val="en-US" w:eastAsia="ar-SA"/>
        </w:rPr>
      </w:pPr>
    </w:p>
    <w:p w:rsidR="00861A1C" w:rsidRPr="00861A1C" w:rsidRDefault="00861A1C" w:rsidP="00861A1C">
      <w:pPr>
        <w:shd w:val="clear" w:color="auto" w:fill="FFFFFF"/>
        <w:suppressAutoHyphens/>
        <w:spacing w:line="240" w:lineRule="auto"/>
        <w:rPr>
          <w:rFonts w:eastAsia="-moz-fixed" w:cs="-moz-fixed"/>
          <w:color w:val="222222"/>
          <w:szCs w:val="24"/>
          <w:lang w:val="en-US" w:eastAsia="ar-SA"/>
        </w:rPr>
      </w:pPr>
      <w:r w:rsidRPr="00861A1C">
        <w:rPr>
          <w:rFonts w:eastAsia="-moz-fixed" w:cs="-moz-fixed"/>
          <w:color w:val="222222"/>
          <w:szCs w:val="24"/>
          <w:lang w:val="en-US" w:eastAsia="ar-SA"/>
        </w:rPr>
        <w:t>The statement in #5 that "thinning can accelerate development of very large diameter trees" should be kept in proper perspective:</w:t>
      </w:r>
    </w:p>
    <w:p w:rsidR="00861A1C" w:rsidRPr="00861A1C" w:rsidRDefault="00861A1C" w:rsidP="00861A1C">
      <w:pPr>
        <w:numPr>
          <w:ilvl w:val="0"/>
          <w:numId w:val="7"/>
        </w:numPr>
        <w:shd w:val="clear" w:color="auto" w:fill="FFFFFF"/>
        <w:suppressAutoHyphens/>
        <w:spacing w:line="240" w:lineRule="auto"/>
        <w:rPr>
          <w:rFonts w:eastAsia="-moz-fixed" w:cs="-moz-fixed"/>
          <w:color w:val="222222"/>
          <w:szCs w:val="24"/>
          <w:lang w:val="en-US" w:eastAsia="ar-SA"/>
        </w:rPr>
      </w:pPr>
      <w:r w:rsidRPr="00861A1C">
        <w:rPr>
          <w:rFonts w:eastAsia="-moz-fixed" w:cs="-moz-fixed"/>
          <w:color w:val="222222"/>
          <w:szCs w:val="24"/>
          <w:lang w:val="en-US" w:eastAsia="ar-SA"/>
        </w:rPr>
        <w:t>The alleged gain in very large trees is very minor, compared to not logging;</w:t>
      </w:r>
    </w:p>
    <w:p w:rsidR="00861A1C" w:rsidRPr="00861A1C" w:rsidRDefault="00861A1C" w:rsidP="00861A1C">
      <w:pPr>
        <w:numPr>
          <w:ilvl w:val="0"/>
          <w:numId w:val="7"/>
        </w:numPr>
        <w:shd w:val="clear" w:color="auto" w:fill="FFFFFF"/>
        <w:suppressAutoHyphens/>
        <w:spacing w:line="240" w:lineRule="auto"/>
        <w:rPr>
          <w:rFonts w:eastAsia="-moz-fixed" w:cs="-moz-fixed"/>
          <w:color w:val="222222"/>
          <w:szCs w:val="24"/>
          <w:lang w:val="en-US" w:eastAsia="ar-SA"/>
        </w:rPr>
      </w:pPr>
      <w:r w:rsidRPr="00861A1C">
        <w:rPr>
          <w:rFonts w:eastAsia="-moz-fixed" w:cs="-moz-fixed"/>
          <w:color w:val="222222"/>
          <w:szCs w:val="24"/>
          <w:lang w:val="en-US" w:eastAsia="ar-SA"/>
        </w:rPr>
        <w:t>The alleged gain in very large trees is overwhelmed by the significant loss of functional wood in smaller size classes (including “large” wood), and even “medium “ and “small” wood that serves vital functions in small streams that are typical in most projects; and</w:t>
      </w:r>
    </w:p>
    <w:p w:rsidR="00B864C7" w:rsidRDefault="00861A1C" w:rsidP="00861A1C">
      <w:pPr>
        <w:numPr>
          <w:ilvl w:val="0"/>
          <w:numId w:val="7"/>
        </w:numPr>
        <w:shd w:val="clear" w:color="auto" w:fill="FFFFFF"/>
        <w:suppressAutoHyphens/>
        <w:spacing w:line="240" w:lineRule="auto"/>
        <w:rPr>
          <w:rFonts w:eastAsia="-moz-fixed" w:cs="-moz-fixed"/>
          <w:color w:val="222222"/>
          <w:szCs w:val="24"/>
          <w:lang w:val="en-US" w:eastAsia="ar-SA"/>
        </w:rPr>
      </w:pPr>
      <w:r w:rsidRPr="00861A1C">
        <w:rPr>
          <w:rFonts w:eastAsia="-moz-fixed" w:cs="-moz-fixed"/>
          <w:color w:val="222222"/>
          <w:szCs w:val="24"/>
          <w:lang w:val="en-US" w:eastAsia="ar-SA"/>
        </w:rPr>
        <w:lastRenderedPageBreak/>
        <w:t>The alleged gain in very large trees is in the distant future and more speculative; while the loss of smaller functional wood is in the near-term and more certain. Predicting future mortality in thinned stands is difficult. If the trees do not die and fall down there is no benefit in terms of down wood.</w:t>
      </w:r>
    </w:p>
    <w:p w:rsidR="00B864C7" w:rsidRDefault="00B864C7" w:rsidP="00861A1C">
      <w:pPr>
        <w:numPr>
          <w:ilvl w:val="0"/>
          <w:numId w:val="7"/>
        </w:numPr>
        <w:shd w:val="clear" w:color="auto" w:fill="FFFFFF"/>
        <w:suppressAutoHyphens/>
        <w:spacing w:line="240" w:lineRule="auto"/>
        <w:rPr>
          <w:rFonts w:eastAsia="-moz-fixed" w:cs="-moz-fixed"/>
          <w:color w:val="222222"/>
          <w:szCs w:val="24"/>
          <w:lang w:val="en-US" w:eastAsia="ar-SA"/>
        </w:rPr>
      </w:pPr>
    </w:p>
    <w:p w:rsidR="00B864C7" w:rsidRDefault="00861A1C" w:rsidP="00861A1C">
      <w:pPr>
        <w:shd w:val="clear" w:color="auto" w:fill="FFFFFF"/>
        <w:suppressAutoHyphens/>
        <w:spacing w:line="240" w:lineRule="auto"/>
        <w:rPr>
          <w:rFonts w:eastAsia="-moz-fixed" w:cs="-moz-fixed"/>
          <w:color w:val="222222"/>
          <w:szCs w:val="20"/>
          <w:shd w:val="clear" w:color="auto" w:fill="FFFFFF"/>
          <w:lang w:val="en-US" w:eastAsia="ar-SA"/>
        </w:rPr>
      </w:pPr>
      <w:r w:rsidRPr="00861A1C">
        <w:rPr>
          <w:rFonts w:eastAsia="-moz-fixed" w:cs="-moz-fixed"/>
          <w:color w:val="222222"/>
          <w:szCs w:val="24"/>
          <w:lang w:val="en-US" w:eastAsia="ar-SA"/>
        </w:rPr>
        <w:t>The apparent dissonance between the fact that thinning reduces wood recruitment (#4), but also has the potential to increase production of the very large trees (#5) might be resolved by looking to the right mix of different treatments as suggested in #14 – with some riparian reaches left unthinned to provide for recruitment of large amounts of wood in a range of sizes, some areas thinned non-commercially, and some riparian patches thinned to produce those very large trees. </w:t>
      </w:r>
      <w:r w:rsidRPr="00861A1C">
        <w:rPr>
          <w:rFonts w:eastAsia="-moz-fixed" w:cs="-moz-fixed"/>
          <w:color w:val="222222"/>
          <w:szCs w:val="20"/>
          <w:shd w:val="clear" w:color="auto" w:fill="FFFFFF"/>
          <w:lang w:val="en-US" w:eastAsia="ar-SA"/>
        </w:rPr>
        <w:t>Also, the statement in #10 that thinning can increase pool-forming wood depending on stream size, needs more explanation. Most riparian thinning occurs near small streams where small wood can be pool-forming.</w:t>
      </w:r>
      <w:r w:rsidRPr="00861A1C">
        <w:rPr>
          <w:rFonts w:ascii="Arial" w:eastAsia="-moz-fixed" w:hAnsi="Arial"/>
          <w:color w:val="222222"/>
          <w:szCs w:val="20"/>
          <w:shd w:val="clear" w:color="auto" w:fill="FFFFFF"/>
          <w:lang w:val="en-US" w:eastAsia="ar-SA"/>
        </w:rPr>
        <w:t> </w:t>
      </w:r>
    </w:p>
    <w:p w:rsidR="00B864C7" w:rsidRDefault="00B864C7" w:rsidP="00861A1C">
      <w:pPr>
        <w:shd w:val="clear" w:color="auto" w:fill="FFFFFF"/>
        <w:suppressAutoHyphens/>
        <w:spacing w:line="240" w:lineRule="auto"/>
        <w:rPr>
          <w:rFonts w:eastAsia="-moz-fixed" w:cs="-moz-fixed"/>
          <w:color w:val="222222"/>
          <w:szCs w:val="20"/>
          <w:shd w:val="clear" w:color="auto" w:fill="FFFFFF"/>
          <w:lang w:val="en-US" w:eastAsia="ar-SA"/>
        </w:rPr>
      </w:pPr>
    </w:p>
    <w:p w:rsidR="00B864C7" w:rsidRDefault="00861A1C" w:rsidP="00861A1C">
      <w:pPr>
        <w:shd w:val="clear" w:color="auto" w:fill="FFFFFF"/>
        <w:suppressAutoHyphens/>
        <w:spacing w:line="240" w:lineRule="auto"/>
        <w:rPr>
          <w:rFonts w:eastAsia="-moz-fixed" w:cs="-moz-fixed"/>
          <w:color w:val="222222"/>
          <w:szCs w:val="20"/>
          <w:shd w:val="clear" w:color="auto" w:fill="FFFFFF"/>
          <w:lang w:val="en-US" w:eastAsia="ar-SA"/>
        </w:rPr>
      </w:pPr>
      <w:r w:rsidRPr="00861A1C">
        <w:rPr>
          <w:rFonts w:eastAsia="-moz-fixed" w:cs="-moz-fixed"/>
          <w:color w:val="222222"/>
          <w:szCs w:val="20"/>
          <w:shd w:val="clear" w:color="auto" w:fill="FFFFFF"/>
          <w:lang w:val="en-US" w:eastAsia="ar-SA"/>
        </w:rPr>
        <w:t xml:space="preserve">Thinning to produce very large wood in the distant future at the expense of more abundant wood recruited over time is not advised. The SAT Report, upon which the ACS is founded, was clear that continuous input of wood is important. “Riparian zones along larger channels need protection to limit bank erosion due to trampling, grazing, and compaction, to ensure an adequate and continuous supply of large wood to channels …” 1993 SAT Report. </w:t>
      </w:r>
      <w:proofErr w:type="spellStart"/>
      <w:r w:rsidRPr="00861A1C">
        <w:rPr>
          <w:rFonts w:eastAsia="-moz-fixed" w:cs="-moz-fixed"/>
          <w:color w:val="222222"/>
          <w:szCs w:val="20"/>
          <w:shd w:val="clear" w:color="auto" w:fill="FFFFFF"/>
          <w:lang w:val="en-US" w:eastAsia="ar-SA"/>
        </w:rPr>
        <w:t>Ch</w:t>
      </w:r>
      <w:proofErr w:type="spellEnd"/>
      <w:r w:rsidRPr="00861A1C">
        <w:rPr>
          <w:rFonts w:eastAsia="-moz-fixed" w:cs="-moz-fixed"/>
          <w:color w:val="222222"/>
          <w:szCs w:val="20"/>
          <w:shd w:val="clear" w:color="auto" w:fill="FFFFFF"/>
          <w:lang w:val="en-US" w:eastAsia="ar-SA"/>
        </w:rPr>
        <w:t xml:space="preserve"> 5, p 455. Commercial removal of pool forming wood creates a gap in the wood recruitment process and is inconsistent with the goal of continuous wood recruitment.</w:t>
      </w:r>
    </w:p>
    <w:p w:rsidR="00B864C7" w:rsidRDefault="00B864C7" w:rsidP="00861A1C">
      <w:pPr>
        <w:shd w:val="clear" w:color="auto" w:fill="FFFFFF"/>
        <w:suppressAutoHyphens/>
        <w:spacing w:line="240" w:lineRule="auto"/>
        <w:rPr>
          <w:rFonts w:eastAsia="-moz-fixed" w:cs="-moz-fixed"/>
          <w:color w:val="222222"/>
          <w:szCs w:val="20"/>
          <w:shd w:val="clear" w:color="auto" w:fill="FFFFFF"/>
          <w:lang w:val="en-US" w:eastAsia="ar-SA"/>
        </w:rPr>
      </w:pPr>
    </w:p>
    <w:p w:rsidR="00861A1C" w:rsidRPr="00861A1C" w:rsidRDefault="00861A1C" w:rsidP="00861A1C">
      <w:pPr>
        <w:shd w:val="clear" w:color="auto" w:fill="FFFFFF"/>
        <w:suppressAutoHyphens/>
        <w:spacing w:line="240" w:lineRule="auto"/>
        <w:rPr>
          <w:rFonts w:eastAsia="-moz-fixed" w:cs="-moz-fixed"/>
          <w:color w:val="222222"/>
          <w:szCs w:val="20"/>
          <w:shd w:val="clear" w:color="auto" w:fill="FFFFFF"/>
          <w:lang w:val="en-US" w:eastAsia="ar-SA"/>
        </w:rPr>
      </w:pPr>
      <w:r w:rsidRPr="00861A1C">
        <w:rPr>
          <w:rFonts w:eastAsia="-moz-fixed" w:cs="-moz-fixed"/>
          <w:color w:val="222222"/>
          <w:szCs w:val="20"/>
          <w:shd w:val="clear" w:color="auto" w:fill="FFFFFF"/>
          <w:lang w:val="en-US" w:eastAsia="ar-SA"/>
        </w:rPr>
        <w:t>Analyses by National Marine Fisheries Service experts are consistently showing that thinning riparian reserves is adverse to dead wood recruitment, so, rather than accelerating desired riparian habitat conditions, it should be accurately seen as an adverse effect that must be limited and mitigated. A recent analysis done for the Coos Bay BLM’s Lone Pine Project says:</w:t>
      </w: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The Bureau of Land Management (BLM) proposes to harvest timber on a series of tracts (1832 acres) in the Coquille watershed in southwestern Oregon details of which are described in the Lone Pine Biological Assessment (LPBA) (BLM 2013). These lands are managed under the Northwest Forest Plan …</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The BLM (2013) proposes to thin stands estimated to be between 30-80 years of age … </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In this analysis, I utilized data provided by BLM (Appendix A) to assess the effects of the proposed RT and CT thinning treatments on the development of late-successional forest characteristics, with an emphasis on large dead wood production, particularly the production of large dead wood that can fall into streams. The importance of dead wood as habitat components of late-successional forest and stream ecosystems is widely recognized …</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The proposed BLM harvest units … are relatively diverse forests, with a mix of conifer and deciduous species. Douglas-fir is the most common species, followed by bigleaf maple, red alder and grand fir.</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 was able to consolidate the treatments into two basic types, a commercial thin (CT) and a riparian thin (RT). I also added an additional simulation, which was a no thin or natural thin option (NT), so as to be able to compare the effect of the proposed artificial thinning treatments against what would happen if the stands were allowed to naturally self-thin (i.e. a no treatment control).</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Live tree and mortality outputs from the FVS simulations were tabulated and categorized to compare large live tree and dead wood production under the CT, RT sand NT </w:t>
      </w:r>
      <w:r w:rsidRPr="00861A1C">
        <w:rPr>
          <w:rFonts w:eastAsia="-moz-fixed" w:cs="-moz-fixed"/>
          <w:szCs w:val="20"/>
          <w:lang w:val="en-US" w:eastAsia="ar-SA"/>
        </w:rPr>
        <w:lastRenderedPageBreak/>
        <w:t>scenarios for trees 12-24’ and trees &gt; 24” in diameter. The mortality outputs were also used to estimate instream dead wood production over the 50 year period …</w:t>
      </w:r>
    </w:p>
    <w:p w:rsidR="00861A1C" w:rsidRPr="00861A1C" w:rsidRDefault="00861A1C"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RESULTS</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Both the RT and CT treatments substantially reduced the number of large diameter dead trees relative to the NT treatment (Table 2). For example, the RT and CT treatments reduced production of dead trees &gt; 24” diameter by 52% and 67%, respectively, and reduced production of 12-24” diameter dead trees by 69% and 83%, respectively. The thinning treatments did not increase the abundance of large diameter live trees. Relative to the NT treatment, large live trees &gt; 24” diameter were reduced by 6% and 17% for the RT and CT treatments, respectively. Fifty years post-treatment, the two thinning regimes also reduced tree species diversity and structural diversity (Table 2). …</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Instream dead wood production is directly related to the dead wood production in the forest and thus followed a similar trend (Table 3). Relative to the NT treatment, a 30 ft no-cut buffer followed by the RT or CT treatment for the remainder of the SPTH distance, reduced the abundance of instream wood by an average of 38% and 47%, respectively. For a 50 foot no-cut buffer, under similar scenarios, instream wood abundance was reduced by 24% and 31% for the RT and CT treatments, respectively. …</w:t>
      </w:r>
    </w:p>
    <w:p w:rsidR="00861A1C" w:rsidRPr="00861A1C" w:rsidRDefault="00861A1C"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DISCUSSION</w:t>
      </w: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The results from this analysis support a growing body of evidence that indicates riparian thinning, as practiced on federal lands managed under Northwest Forest Plan, delays the recovery of late-successional structure in riparian forests and delays the recovery of instream habitat. Such restoration thinning, as currently practiced, delays rather than accelerates ecosystem recovery, primarily because it reduced the production of large diameter dead wood and reduces the abundance of large diameter live trees, most of which will later die to become large dead wood at some point in the future if left uncut. The thinning regimes proposed in the [Lone Pine] BA are typical of thinning regimes on federal lands in Oregon …</w:t>
      </w:r>
    </w:p>
    <w:p w:rsidR="00B864C7" w:rsidRDefault="00B864C7" w:rsidP="00861A1C">
      <w:pPr>
        <w:suppressAutoHyphens/>
        <w:spacing w:line="240" w:lineRule="auto"/>
        <w:ind w:left="720"/>
        <w:rPr>
          <w:rFonts w:eastAsia="-moz-fixed" w:cs="-moz-fixed"/>
          <w:szCs w:val="20"/>
          <w:lang w:val="en-US" w:eastAsia="ar-SA"/>
        </w:rPr>
      </w:pPr>
    </w:p>
    <w:p w:rsidR="00B864C7"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Of the management options examined, the quickest path to recovery, consistent with the Northwest Forest Plan (USDA and USDI 1994, 2004), is to allow the stands to continue to develop naturally. …</w:t>
      </w:r>
    </w:p>
    <w:p w:rsidR="00B864C7" w:rsidRDefault="00B864C7" w:rsidP="00861A1C">
      <w:pPr>
        <w:suppressAutoHyphens/>
        <w:spacing w:line="240" w:lineRule="auto"/>
        <w:ind w:left="720"/>
        <w:rPr>
          <w:rFonts w:eastAsia="-moz-fixed" w:cs="-moz-fixed"/>
          <w:szCs w:val="20"/>
          <w:lang w:val="en-US" w:eastAsia="ar-SA"/>
        </w:rPr>
      </w:pPr>
    </w:p>
    <w:p w:rsidR="00861A1C" w:rsidRPr="00861A1C" w:rsidRDefault="00861A1C" w:rsidP="00861A1C">
      <w:pPr>
        <w:suppressAutoHyphens/>
        <w:spacing w:line="240" w:lineRule="auto"/>
        <w:ind w:left="720"/>
        <w:rPr>
          <w:rFonts w:eastAsia="-moz-fixed" w:cs="-moz-fixed"/>
          <w:szCs w:val="20"/>
          <w:lang w:val="en-US" w:eastAsia="ar-SA"/>
        </w:rPr>
      </w:pPr>
      <w:r w:rsidRPr="00861A1C">
        <w:rPr>
          <w:rFonts w:eastAsia="-moz-fixed" w:cs="-moz-fixed"/>
          <w:szCs w:val="20"/>
          <w:lang w:val="en-US" w:eastAsia="ar-SA"/>
        </w:rPr>
        <w:t xml:space="preserve">In general, thinning is most likely to accelerate the recovery of structurally complex forests when applied to dense stands of small diameter trees of approximately the same height, and mostly of the same species (e.g. Douglas fir). Diverse stands that have species with different shade tolerances, growth forms and water needs and stands that may be less diverse but have a wide distribution of tree sizes and have already differentiated into competitive dominants and </w:t>
      </w:r>
      <w:proofErr w:type="spellStart"/>
      <w:r w:rsidRPr="00861A1C">
        <w:rPr>
          <w:rFonts w:eastAsia="-moz-fixed" w:cs="-moz-fixed"/>
          <w:szCs w:val="20"/>
          <w:lang w:val="en-US" w:eastAsia="ar-SA"/>
        </w:rPr>
        <w:t>subordinants</w:t>
      </w:r>
      <w:proofErr w:type="spellEnd"/>
      <w:r w:rsidRPr="00861A1C">
        <w:rPr>
          <w:rFonts w:eastAsia="-moz-fixed" w:cs="-moz-fixed"/>
          <w:szCs w:val="20"/>
          <w:lang w:val="en-US" w:eastAsia="ar-SA"/>
        </w:rPr>
        <w:t>, are not good candidates for restoration thinning.</w:t>
      </w: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Pollock, M. 2013. An analysis of the effects of riparian forest harvest on the development of late-successional forest structure and instream wood production - A review of timber harvest in Riparian Reserves proposed by the Bureau of Land Management for federal lands in the Coquille watershed in southwest Oregon as part of the Lone Pine Biological Assessment; v.08.23.2013. NMFS.</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uppressAutoHyphens/>
        <w:spacing w:line="240" w:lineRule="auto"/>
        <w:rPr>
          <w:rFonts w:eastAsia="-moz-fixed" w:cs="-moz-fixed"/>
          <w:szCs w:val="20"/>
          <w:lang w:val="en-US" w:eastAsia="ar-SA"/>
        </w:rPr>
      </w:pPr>
      <w:r w:rsidRPr="00861A1C">
        <w:rPr>
          <w:rFonts w:eastAsia="-moz-fixed" w:cs="-moz-fixed"/>
          <w:szCs w:val="20"/>
          <w:lang w:val="en-US" w:eastAsia="ar-SA"/>
        </w:rPr>
        <w:t xml:space="preserve">The agencies often manage roadside hazards by felling hazard trees within “striking distance” of roads, e.g., 1.5 times the height of the trees. The agencies should apply the same logic to protecting riparian trees. If the agency is worried about trees hitting roads from 1.5 tree heights </w:t>
      </w:r>
      <w:r w:rsidRPr="00861A1C">
        <w:rPr>
          <w:rFonts w:eastAsia="-moz-fixed" w:cs="-moz-fixed"/>
          <w:szCs w:val="20"/>
          <w:lang w:val="en-US" w:eastAsia="ar-SA"/>
        </w:rPr>
        <w:lastRenderedPageBreak/>
        <w:t>away, stream buffers also should be equal to 1.5 tree heights, so that those trees can contribute to instream wood values. If trees within 1.5 tree heights pose a meaningful safety hazard, they also contribute meaningfully to instream wood.</w:t>
      </w:r>
    </w:p>
    <w:p w:rsidR="00B864C7" w:rsidRDefault="00B864C7" w:rsidP="00861A1C">
      <w:pPr>
        <w:suppressAutoHyphens/>
        <w:spacing w:line="240" w:lineRule="auto"/>
        <w:rPr>
          <w:rFonts w:eastAsia="-moz-fixed" w:cs="-moz-fixed"/>
          <w:szCs w:val="20"/>
          <w:lang w:val="en-US" w:eastAsia="ar-SA"/>
        </w:rPr>
      </w:pPr>
    </w:p>
    <w:p w:rsidR="00B864C7" w:rsidRDefault="00861A1C" w:rsidP="00861A1C">
      <w:pPr>
        <w:shd w:val="clear" w:color="auto" w:fill="FFFFFF"/>
        <w:suppressAutoHyphens/>
        <w:spacing w:line="240" w:lineRule="auto"/>
        <w:rPr>
          <w:rFonts w:eastAsia="-moz-fixed" w:cs="-moz-fixed"/>
          <w:color w:val="222222"/>
          <w:szCs w:val="20"/>
          <w:shd w:val="clear" w:color="auto" w:fill="FFFFFF"/>
          <w:lang w:val="en-US" w:eastAsia="ar-SA"/>
        </w:rPr>
      </w:pPr>
      <w:r w:rsidRPr="00861A1C">
        <w:rPr>
          <w:rFonts w:eastAsia="-moz-fixed" w:cs="-moz-fixed"/>
          <w:color w:val="222222"/>
          <w:szCs w:val="20"/>
          <w:shd w:val="clear" w:color="auto" w:fill="FFFFFF"/>
          <w:lang w:val="en-US" w:eastAsia="ar-SA"/>
        </w:rPr>
        <w:t xml:space="preserve">See also, </w:t>
      </w:r>
      <w:proofErr w:type="spellStart"/>
      <w:r w:rsidRPr="00861A1C">
        <w:rPr>
          <w:rFonts w:eastAsia="-moz-fixed" w:cs="-moz-fixed"/>
          <w:color w:val="222222"/>
          <w:szCs w:val="20"/>
          <w:shd w:val="clear" w:color="auto" w:fill="FFFFFF"/>
          <w:lang w:val="en-US" w:eastAsia="ar-SA"/>
        </w:rPr>
        <w:t>Frissell</w:t>
      </w:r>
      <w:proofErr w:type="spellEnd"/>
      <w:r w:rsidRPr="00861A1C">
        <w:rPr>
          <w:rFonts w:eastAsia="-moz-fixed" w:cs="-moz-fixed"/>
          <w:color w:val="222222"/>
          <w:szCs w:val="20"/>
          <w:shd w:val="clear" w:color="auto" w:fill="FFFFFF"/>
          <w:lang w:val="en-US" w:eastAsia="ar-SA"/>
        </w:rPr>
        <w:t xml:space="preserve">, Christopher A., Baker, Rowan. J., </w:t>
      </w:r>
      <w:proofErr w:type="spellStart"/>
      <w:r w:rsidRPr="00861A1C">
        <w:rPr>
          <w:rFonts w:eastAsia="-moz-fixed" w:cs="-moz-fixed"/>
          <w:color w:val="222222"/>
          <w:szCs w:val="20"/>
          <w:shd w:val="clear" w:color="auto" w:fill="FFFFFF"/>
          <w:lang w:val="en-US" w:eastAsia="ar-SA"/>
        </w:rPr>
        <w:t>DellaSala</w:t>
      </w:r>
      <w:proofErr w:type="spellEnd"/>
      <w:r w:rsidRPr="00861A1C">
        <w:rPr>
          <w:rFonts w:eastAsia="-moz-fixed" w:cs="-moz-fixed"/>
          <w:color w:val="222222"/>
          <w:szCs w:val="20"/>
          <w:shd w:val="clear" w:color="auto" w:fill="FFFFFF"/>
          <w:lang w:val="en-US" w:eastAsia="ar-SA"/>
        </w:rPr>
        <w:t xml:space="preserve">, Dominick A., Hughes, Robert M., Karr, James R., McCullough, Dale A., </w:t>
      </w:r>
      <w:proofErr w:type="spellStart"/>
      <w:r w:rsidRPr="00861A1C">
        <w:rPr>
          <w:rFonts w:eastAsia="-moz-fixed" w:cs="-moz-fixed"/>
          <w:color w:val="222222"/>
          <w:szCs w:val="20"/>
          <w:shd w:val="clear" w:color="auto" w:fill="FFFFFF"/>
          <w:lang w:val="en-US" w:eastAsia="ar-SA"/>
        </w:rPr>
        <w:t>Nawa</w:t>
      </w:r>
      <w:proofErr w:type="spellEnd"/>
      <w:r w:rsidRPr="00861A1C">
        <w:rPr>
          <w:rFonts w:eastAsia="-moz-fixed" w:cs="-moz-fixed"/>
          <w:color w:val="222222"/>
          <w:szCs w:val="20"/>
          <w:shd w:val="clear" w:color="auto" w:fill="FFFFFF"/>
          <w:lang w:val="en-US" w:eastAsia="ar-SA"/>
        </w:rPr>
        <w:t xml:space="preserve">, Richard. K., Rhodes, Jon, Scurlock, Mary C., </w:t>
      </w:r>
      <w:proofErr w:type="spellStart"/>
      <w:r w:rsidRPr="00861A1C">
        <w:rPr>
          <w:rFonts w:eastAsia="-moz-fixed" w:cs="-moz-fixed"/>
          <w:color w:val="222222"/>
          <w:szCs w:val="20"/>
          <w:shd w:val="clear" w:color="auto" w:fill="FFFFFF"/>
          <w:lang w:val="en-US" w:eastAsia="ar-SA"/>
        </w:rPr>
        <w:t>Wissmar</w:t>
      </w:r>
      <w:proofErr w:type="spellEnd"/>
      <w:r w:rsidRPr="00861A1C">
        <w:rPr>
          <w:rFonts w:eastAsia="-moz-fixed" w:cs="-moz-fixed"/>
          <w:color w:val="222222"/>
          <w:szCs w:val="20"/>
          <w:shd w:val="clear" w:color="auto" w:fill="FFFFFF"/>
          <w:lang w:val="en-US" w:eastAsia="ar-SA"/>
        </w:rPr>
        <w:t xml:space="preserve">, Robert C. 2014. CONSERVATION OF AQUATIC AND FISHERY RESOURCES IN THE PACIFIC NORTHWEST: Implications of New Science for the Aquatic Conservation Strategy of the Northwest Forest Plan, FINAL REPORT, July 30, 2014. </w:t>
      </w:r>
      <w:hyperlink r:id="rId104" w:history="1">
        <w:r w:rsidRPr="00861A1C">
          <w:rPr>
            <w:rFonts w:eastAsia="-moz-fixed" w:cs="-moz-fixed"/>
            <w:color w:val="0000FF"/>
            <w:szCs w:val="20"/>
            <w:u w:val="single"/>
            <w:shd w:val="clear" w:color="auto" w:fill="FFFFFF"/>
            <w:lang w:val="en-US" w:eastAsia="ar-SA"/>
          </w:rPr>
          <w:t>https://web.archive.org/web/20150203193501/http://coastrange.org/documents/ACS-Finalreport-44pp-0808.pdf</w:t>
        </w:r>
      </w:hyperlink>
      <w:r w:rsidRPr="00861A1C">
        <w:rPr>
          <w:rFonts w:eastAsia="-moz-fixed" w:cs="-moz-fixed"/>
          <w:color w:val="222222"/>
          <w:szCs w:val="20"/>
          <w:shd w:val="clear" w:color="auto" w:fill="FFFFFF"/>
          <w:lang w:val="en-US" w:eastAsia="ar-SA"/>
        </w:rPr>
        <w:t>. This report summarizes the available information and concludes that non-commercial thinning in very young stands might advance aquatic objectives, but that commercial logging is unlikely to provide net benefits due to wood removal, road requirements, soil impacts, etc.</w:t>
      </w:r>
    </w:p>
    <w:p w:rsidR="00B864C7" w:rsidRDefault="00B864C7" w:rsidP="00861A1C">
      <w:pPr>
        <w:shd w:val="clear" w:color="auto" w:fill="FFFFFF"/>
        <w:suppressAutoHyphens/>
        <w:spacing w:line="240" w:lineRule="auto"/>
        <w:rPr>
          <w:rFonts w:eastAsia="-moz-fixed" w:cs="-moz-fixed"/>
          <w:color w:val="222222"/>
          <w:szCs w:val="20"/>
          <w:shd w:val="clear" w:color="auto" w:fill="FFFFFF"/>
          <w:lang w:val="en-US" w:eastAsia="ar-SA"/>
        </w:rPr>
      </w:pPr>
    </w:p>
    <w:p w:rsidR="00B864C7" w:rsidRDefault="00C670A8" w:rsidP="00C670A8">
      <w:pPr>
        <w:keepNext/>
        <w:numPr>
          <w:ilvl w:val="1"/>
          <w:numId w:val="0"/>
        </w:numPr>
        <w:tabs>
          <w:tab w:val="num" w:pos="0"/>
        </w:tabs>
        <w:suppressAutoHyphens/>
        <w:spacing w:line="240" w:lineRule="auto"/>
        <w:ind w:left="576" w:hanging="576"/>
        <w:outlineLvl w:val="1"/>
        <w:rPr>
          <w:rFonts w:ascii="Arial" w:eastAsia="-moz-fixed" w:hAnsi="Arial" w:cs="-moz-fixed"/>
          <w:b/>
          <w:sz w:val="28"/>
          <w:szCs w:val="24"/>
          <w:lang w:val="en-US" w:eastAsia="ar-SA"/>
        </w:rPr>
      </w:pPr>
      <w:bookmarkStart w:id="20" w:name="_Toc194591202"/>
      <w:bookmarkStart w:id="21" w:name="_Toc195695324"/>
      <w:r w:rsidRPr="00C670A8">
        <w:rPr>
          <w:rFonts w:ascii="Arial" w:eastAsia="-moz-fixed" w:hAnsi="Arial" w:cs="-moz-fixed"/>
          <w:b/>
          <w:sz w:val="28"/>
          <w:szCs w:val="20"/>
          <w:lang w:val="en-US" w:eastAsia="ar-SA"/>
        </w:rPr>
        <w:t>Variable density thinning</w:t>
      </w:r>
      <w:bookmarkEnd w:id="20"/>
      <w:bookmarkEnd w:id="21"/>
    </w:p>
    <w:p w:rsidR="00B864C7" w:rsidRDefault="00B864C7" w:rsidP="006042B4">
      <w:pPr>
        <w:rPr>
          <w:lang w:val="en-US" w:eastAsia="ar-SA"/>
        </w:rPr>
      </w:pPr>
    </w:p>
    <w:p w:rsidR="00941D73" w:rsidRDefault="00941D73" w:rsidP="00941D73">
      <w:r>
        <w:rPr>
          <w:rFonts w:eastAsia="-moz-fixed" w:cs="-moz-fixed"/>
          <w:szCs w:val="24"/>
          <w:lang w:val="en-US" w:eastAsia="ar-SA"/>
        </w:rPr>
        <w:t>The E</w:t>
      </w:r>
      <w:r>
        <w:rPr>
          <w:rFonts w:eastAsia="-moz-fixed" w:cs="-moz-fixed"/>
          <w:lang w:eastAsia="ar-SA"/>
        </w:rPr>
        <w:t>A</w:t>
      </w:r>
      <w:r>
        <w:rPr>
          <w:rFonts w:eastAsia="-moz-fixed" w:cs="-moz-fixed"/>
          <w:szCs w:val="24"/>
          <w:lang w:val="en-US" w:eastAsia="ar-SA"/>
        </w:rPr>
        <w:t xml:space="preserve"> projects that </w:t>
      </w:r>
      <w:r w:rsidRPr="00941D73">
        <w:t xml:space="preserve">2213 </w:t>
      </w:r>
      <w:r>
        <w:t xml:space="preserve">acres of young stands proposed for thinning are not suitable owl habitat now, but they will become suitable habitat by 2035. </w:t>
      </w:r>
      <w:r w:rsidR="003701B1">
        <w:t>If this is just a transition from unsuitable habitat to dispersal habitat, our concerns are moderated, but if these stands are transitioning to foraging or NRF, we are more concerned that when these stands</w:t>
      </w:r>
      <w:r>
        <w:t xml:space="preserve"> are thinned, it may have significant effects on spotted owls and their prey. The EA should consider alternatives to minimize and mitigate these impacts</w:t>
      </w:r>
      <w:r w:rsidR="003701B1">
        <w:t xml:space="preserve"> on the conservation of ESA-listed species</w:t>
      </w:r>
      <w:r>
        <w:t>.</w:t>
      </w:r>
    </w:p>
    <w:p w:rsidR="00941D73" w:rsidRPr="00941D73" w:rsidRDefault="00941D73" w:rsidP="00941D73">
      <w:pPr>
        <w:pStyle w:val="Default"/>
        <w:rPr>
          <w:rFonts w:ascii="Arial" w:hAnsi="Arial" w:cs="Arial"/>
          <w:sz w:val="18"/>
          <w:szCs w:val="18"/>
        </w:rPr>
      </w:pPr>
    </w:p>
    <w:p w:rsidR="00B864C7" w:rsidRDefault="00C670A8" w:rsidP="00C670A8">
      <w:pPr>
        <w:suppressAutoHyphens/>
        <w:spacing w:line="240" w:lineRule="auto"/>
        <w:rPr>
          <w:rFonts w:eastAsia="-moz-fixed" w:cs="-moz-fixed"/>
          <w:szCs w:val="24"/>
          <w:lang w:val="en-US" w:eastAsia="ar-SA"/>
        </w:rPr>
      </w:pPr>
      <w:r w:rsidRPr="00C670A8">
        <w:rPr>
          <w:rFonts w:eastAsia="-moz-fixed" w:cs="-moz-fixed"/>
          <w:szCs w:val="24"/>
          <w:lang w:val="en-US" w:eastAsia="ar-SA"/>
        </w:rPr>
        <w:t>Recognizing the need for landscape level diversity of habitat and stand trajectories, the agencies should be doing things very differently from non-federal forest managers. The trends on non-federal lands are toward: younger age and size classes</w:t>
      </w:r>
      <w:r w:rsidRPr="00C670A8">
        <w:rPr>
          <w:rFonts w:eastAsia="-moz-fixed" w:cs="-moz-fixed"/>
          <w:szCs w:val="24"/>
          <w:vertAlign w:val="superscript"/>
          <w:lang w:val="en-US" w:eastAsia="ar-SA"/>
        </w:rPr>
        <w:footnoteReference w:id="1"/>
      </w:r>
      <w:r w:rsidRPr="00C670A8">
        <w:rPr>
          <w:rFonts w:eastAsia="-moz-fixed" w:cs="-moz-fixed"/>
          <w:szCs w:val="24"/>
          <w:lang w:val="en-US" w:eastAsia="ar-SA"/>
        </w:rPr>
        <w:t>, shorter rotations, higher planting density, greater use of herbicides to control competing vegetation, increased use of planting stock with a narrow genetic bandwidth, reduced or delayed pre-commercial and commercial thinning (due to the disappearing price premium for large logs). Talbert and Marshall. 2005. Plantation Productivity in the Douglas-fir Region Under Intensive Silvicultural Practices: Results From Research And Operations. Journal of Forestry. March 2005. pp 65-70. These trends are very bad because they tend to increase conifer dominance at the expense of biodiversity. Federal forest managers should manage forests differently in an effort to moderate conifer dominance and increase biodiversity.</w:t>
      </w:r>
    </w:p>
    <w:p w:rsidR="00B864C7" w:rsidRDefault="00B864C7" w:rsidP="00C670A8">
      <w:pPr>
        <w:suppressAutoHyphens/>
        <w:spacing w:line="240" w:lineRule="auto"/>
        <w:rPr>
          <w:rFonts w:eastAsia="-moz-fixed" w:cs="-moz-fixed"/>
          <w:szCs w:val="24"/>
          <w:lang w:val="en-US" w:eastAsia="ar-SA"/>
        </w:rPr>
      </w:pPr>
    </w:p>
    <w:p w:rsidR="00C670A8" w:rsidRPr="00C670A8" w:rsidRDefault="00C670A8" w:rsidP="00C670A8">
      <w:pPr>
        <w:suppressAutoHyphens/>
        <w:spacing w:line="240" w:lineRule="auto"/>
        <w:rPr>
          <w:rFonts w:eastAsia="-moz-fixed" w:cs="-moz-fixed"/>
          <w:szCs w:val="20"/>
          <w:lang w:val="en-US" w:eastAsia="ar-SA"/>
        </w:rPr>
      </w:pPr>
      <w:r w:rsidRPr="00C670A8">
        <w:rPr>
          <w:rFonts w:eastAsia="-moz-fixed" w:cs="-moz-fixed"/>
          <w:szCs w:val="24"/>
          <w:lang w:val="en-US" w:eastAsia="ar-SA"/>
        </w:rPr>
        <w:t xml:space="preserve">We wish that you would use variable density thinning prescriptions in all young stand thinning projects regardless of land allocation. Uniform spacing basically sets up the need for future thinning that the agency may not have sufficient funding, capacity, and public support to accomplish. Whereas variable density thinning leaves more options for either more or less intensive management in the future and is </w:t>
      </w:r>
      <w:r w:rsidRPr="00C670A8">
        <w:rPr>
          <w:rFonts w:eastAsia="-moz-fixed" w:cs="-moz-fixed"/>
          <w:szCs w:val="20"/>
          <w:lang w:val="en-US" w:eastAsia="ar-SA"/>
        </w:rPr>
        <w:t>a good hedge against uncertainty</w:t>
      </w:r>
      <w:r w:rsidRPr="00C670A8">
        <w:rPr>
          <w:rFonts w:eastAsia="-moz-fixed" w:cs="-moz-fixed"/>
          <w:szCs w:val="24"/>
          <w:lang w:val="en-US" w:eastAsia="ar-SA"/>
        </w:rPr>
        <w:t xml:space="preserve">. The benefits of variable density thinning include: creating a patchy variety of conditions of light, heat, wind, moisture, competitive stress, and hiding cover within the stand and the landscape; setting up the stand so that there are future “winners” and “losers” (the winners become big trees and the losers become snags and coarse woody debris), etc. Andy Carey has found that: </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 xml:space="preserve">“Conventional thinning alone produced few flying squirrels or Douglas' squirrels, but many chipmunks; high plant species diversity but dominated by clonal natives with </w:t>
      </w:r>
      <w:r w:rsidRPr="00C670A8">
        <w:rPr>
          <w:rFonts w:eastAsia="-moz-fixed" w:cs="-moz-fixed"/>
          <w:szCs w:val="20"/>
          <w:lang w:val="en-US" w:eastAsia="ar-SA"/>
        </w:rPr>
        <w:lastRenderedPageBreak/>
        <w:t xml:space="preserve">many exotic species; relatively abundant winter birds, but few woodpeckers; abundant small mammals but in imbalanced communities; and diverse fungi, low in abundance.” </w:t>
      </w:r>
    </w:p>
    <w:p w:rsidR="00B864C7" w:rsidRDefault="00C670A8" w:rsidP="00C670A8">
      <w:pPr>
        <w:suppressAutoHyphens/>
        <w:spacing w:line="240" w:lineRule="auto"/>
        <w:rPr>
          <w:rFonts w:eastAsia="-moz-fixed" w:cs="-moz-fixed"/>
          <w:szCs w:val="24"/>
          <w:lang w:val="en-US" w:eastAsia="ar-SA"/>
        </w:rPr>
      </w:pPr>
      <w:r w:rsidRPr="00C670A8">
        <w:rPr>
          <w:rFonts w:eastAsia="-moz-fixed" w:cs="-moz-fixed"/>
          <w:szCs w:val="20"/>
          <w:lang w:val="en-US" w:eastAsia="ar-SA"/>
        </w:rPr>
        <w:t xml:space="preserve">Carey, Andrew. </w:t>
      </w:r>
      <w:r w:rsidRPr="00C670A8">
        <w:rPr>
          <w:rFonts w:eastAsia="-moz-fixed" w:cs="-moz-fixed"/>
          <w:b/>
          <w:bCs/>
          <w:szCs w:val="20"/>
          <w:lang w:val="en-US" w:eastAsia="ar-SA"/>
        </w:rPr>
        <w:t>THINKING AND THINNING ECOLOGICALLY</w:t>
      </w:r>
      <w:r w:rsidRPr="00C670A8">
        <w:rPr>
          <w:rFonts w:eastAsia="-moz-fixed" w:cs="-moz-fixed"/>
          <w:szCs w:val="20"/>
          <w:lang w:val="en-US" w:eastAsia="ar-SA"/>
        </w:rPr>
        <w:t xml:space="preserve">, slideshow </w:t>
      </w:r>
      <w:hyperlink r:id="rId105" w:history="1">
        <w:r w:rsidRPr="00C670A8">
          <w:rPr>
            <w:rFonts w:eastAsia="-moz-fixed" w:cs="-moz-fixed"/>
            <w:color w:val="0000FF"/>
            <w:szCs w:val="20"/>
            <w:u w:val="single"/>
            <w:lang w:val="en-US" w:eastAsia="ar-SA"/>
          </w:rPr>
          <w:t>http://web.archive.org/web/20030427160424/http://www.fs.fed.us/pnw/olympia/efb/flash/thinking_&amp;_thinning_ecologically.swf</w:t>
        </w:r>
      </w:hyperlink>
      <w:r w:rsidRPr="00C670A8">
        <w:rPr>
          <w:rFonts w:eastAsia="-moz-fixed" w:cs="-moz-fixed"/>
          <w:szCs w:val="20"/>
          <w:lang w:val="en-US" w:eastAsia="ar-SA"/>
        </w:rPr>
        <w:t>.</w:t>
      </w:r>
    </w:p>
    <w:p w:rsidR="00B864C7" w:rsidRDefault="00B864C7" w:rsidP="00C670A8">
      <w:pPr>
        <w:suppressAutoHyphens/>
        <w:spacing w:line="240" w:lineRule="auto"/>
        <w:rPr>
          <w:rFonts w:eastAsia="-moz-fixed" w:cs="-moz-fixed"/>
          <w:szCs w:val="24"/>
          <w:lang w:val="en-US" w:eastAsia="ar-SA"/>
        </w:rPr>
      </w:pPr>
    </w:p>
    <w:p w:rsidR="00C670A8" w:rsidRPr="00C670A8" w:rsidRDefault="00C670A8" w:rsidP="00C670A8">
      <w:pPr>
        <w:suppressAutoHyphens/>
        <w:spacing w:line="240" w:lineRule="auto"/>
        <w:ind w:left="720"/>
        <w:rPr>
          <w:rFonts w:eastAsia="-moz-fixed" w:cs="-moz-fixed"/>
          <w:szCs w:val="24"/>
          <w:lang w:val="en-US" w:eastAsia="ar-SA"/>
        </w:rPr>
      </w:pPr>
      <w:r w:rsidRPr="00C670A8">
        <w:rPr>
          <w:rFonts w:eastAsia="-moz-fixed" w:cs="-moz-fixed"/>
          <w:szCs w:val="24"/>
          <w:lang w:val="en-US" w:eastAsia="ar-SA"/>
        </w:rPr>
        <w:t>Conventional thinning in the Western Hemlock Zone may result in very low flying squirrel populations through negative effects on truffle production and arboreal travelways (</w:t>
      </w:r>
      <w:proofErr w:type="spellStart"/>
      <w:r w:rsidRPr="00C670A8">
        <w:rPr>
          <w:rFonts w:eastAsia="-moz-fixed" w:cs="-moz-fixed"/>
          <w:szCs w:val="24"/>
          <w:lang w:val="en-US" w:eastAsia="ar-SA"/>
        </w:rPr>
        <w:t>Colgan</w:t>
      </w:r>
      <w:proofErr w:type="spellEnd"/>
      <w:r w:rsidRPr="00C670A8">
        <w:rPr>
          <w:rFonts w:eastAsia="-moz-fixed" w:cs="-moz-fixed"/>
          <w:szCs w:val="24"/>
          <w:lang w:val="en-US" w:eastAsia="ar-SA"/>
        </w:rPr>
        <w:t xml:space="preserve"> et al. 1999, Carey 2000b) and reduced foraging by spotted owls (</w:t>
      </w:r>
      <w:proofErr w:type="spellStart"/>
      <w:r w:rsidRPr="00C670A8">
        <w:rPr>
          <w:rFonts w:eastAsia="-moz-fixed" w:cs="-moz-fixed"/>
          <w:szCs w:val="24"/>
          <w:lang w:val="en-US" w:eastAsia="ar-SA"/>
        </w:rPr>
        <w:t>Meiman</w:t>
      </w:r>
      <w:proofErr w:type="spellEnd"/>
      <w:r w:rsidRPr="00C670A8">
        <w:rPr>
          <w:rFonts w:eastAsia="-moz-fixed" w:cs="-moz-fixed"/>
          <w:szCs w:val="24"/>
          <w:lang w:val="en-US" w:eastAsia="ar-SA"/>
        </w:rPr>
        <w:t xml:space="preserve"> et al. 2003) for a long time while increasing numbers of forest-floor rodents (Wilson and Carey 2000). Conventional thinning, however, may result in uniform dense understories unfavorable to both flying squirrels and owl foraging in the midterm. Variable-density thinning, however, hold promise for acceleration of the development of spotted owl habitat and dense prey populations (Carey 1995, 2001, 2003a. Carey et al. 1999a,b; Carey and Wilson 2001; Muir et al. 2002) especially when appropriate attention is paid to decadence (snags, cavity trees, and coarse woody debris) (</w:t>
      </w:r>
      <w:proofErr w:type="spellStart"/>
      <w:r w:rsidRPr="00C670A8">
        <w:rPr>
          <w:rFonts w:eastAsia="-moz-fixed" w:cs="-moz-fixed"/>
          <w:szCs w:val="24"/>
          <w:lang w:val="en-US" w:eastAsia="ar-SA"/>
        </w:rPr>
        <w:t>Bunnell</w:t>
      </w:r>
      <w:proofErr w:type="spellEnd"/>
      <w:r w:rsidRPr="00C670A8">
        <w:rPr>
          <w:rFonts w:eastAsia="-moz-fixed" w:cs="-moz-fixed"/>
          <w:szCs w:val="24"/>
          <w:lang w:val="en-US" w:eastAsia="ar-SA"/>
        </w:rPr>
        <w:t xml:space="preserve"> et al. 1999; Carey et al. 1999a, b; Carey 2002). There may be a short-term impact on truffle production, flying squirrel abundance, and owl foraging, the ecosystem recovers more quickly and begins to develop more quickly and completely than following conventional thinning. Variable-density thinning has all the positive effects of conventional thinning, such and increased growth of trees, crown differentiation, development of understory, and increased flowering and fruiting of understory plants (Harrington et al. 2002, </w:t>
      </w:r>
      <w:proofErr w:type="spellStart"/>
      <w:r w:rsidRPr="00C670A8">
        <w:rPr>
          <w:rFonts w:eastAsia="-moz-fixed" w:cs="-moz-fixed"/>
          <w:szCs w:val="24"/>
          <w:lang w:val="en-US" w:eastAsia="ar-SA"/>
        </w:rPr>
        <w:t>Wender</w:t>
      </w:r>
      <w:proofErr w:type="spellEnd"/>
      <w:r w:rsidRPr="00C670A8">
        <w:rPr>
          <w:rFonts w:eastAsia="-moz-fixed" w:cs="-moz-fixed"/>
          <w:szCs w:val="24"/>
          <w:lang w:val="en-US" w:eastAsia="ar-SA"/>
        </w:rPr>
        <w:t xml:space="preserve"> et al. 2004) that provide important ancillary foods to spotted owl prey (Carey 2000a) without the same extent of negative mechanical impacts, loss of canopy connectivity, loss of spatial heterogeneity, loss of woody plant diversity (variable-density thinning stresses multi-species management).</w:t>
      </w:r>
    </w:p>
    <w:p w:rsidR="00B864C7" w:rsidRDefault="00C670A8" w:rsidP="00C670A8">
      <w:pPr>
        <w:suppressAutoHyphens/>
        <w:spacing w:line="240" w:lineRule="auto"/>
        <w:rPr>
          <w:rFonts w:eastAsia="-moz-fixed" w:cs="-moz-fixed"/>
          <w:szCs w:val="24"/>
          <w:lang w:val="en-US" w:eastAsia="ar-SA"/>
        </w:rPr>
      </w:pPr>
      <w:r w:rsidRPr="00C670A8">
        <w:rPr>
          <w:rFonts w:eastAsia="-moz-fixed" w:cs="-moz-fixed"/>
          <w:szCs w:val="24"/>
          <w:lang w:val="en-US" w:eastAsia="ar-SA"/>
        </w:rPr>
        <w:t xml:space="preserve">Carey, A. 2004 Relationship of Prey and Forest Management. Appendix 5 pp 3-24, 3-25 </w:t>
      </w:r>
      <w:r w:rsidRPr="00C670A8">
        <w:rPr>
          <w:rFonts w:eastAsia="-moz-fixed" w:cs="-moz-fixed"/>
          <w:i/>
          <w:szCs w:val="24"/>
          <w:lang w:val="en-US" w:eastAsia="ar-SA"/>
        </w:rPr>
        <w:t xml:space="preserve">in </w:t>
      </w:r>
      <w:r w:rsidRPr="00C670A8">
        <w:rPr>
          <w:rFonts w:eastAsia="-moz-fixed" w:cs="-moz-fixed"/>
          <w:szCs w:val="24"/>
          <w:lang w:val="en-US" w:eastAsia="ar-SA"/>
        </w:rPr>
        <w:t xml:space="preserve">Courtney, SP; J A </w:t>
      </w:r>
      <w:proofErr w:type="spellStart"/>
      <w:r w:rsidRPr="00C670A8">
        <w:rPr>
          <w:rFonts w:eastAsia="-moz-fixed" w:cs="-moz-fixed"/>
          <w:szCs w:val="24"/>
          <w:lang w:val="en-US" w:eastAsia="ar-SA"/>
        </w:rPr>
        <w:t>Blakesley</w:t>
      </w:r>
      <w:proofErr w:type="spellEnd"/>
      <w:r w:rsidRPr="00C670A8">
        <w:rPr>
          <w:rFonts w:eastAsia="-moz-fixed" w:cs="-moz-fixed"/>
          <w:szCs w:val="24"/>
          <w:lang w:val="en-US" w:eastAsia="ar-SA"/>
        </w:rPr>
        <w:t>. 2004. Scientific evaluation of the status of the Northern Spotted Owl.</w:t>
      </w:r>
      <w:r w:rsidRPr="00C670A8">
        <w:rPr>
          <w:rFonts w:eastAsia="-moz-fixed" w:cs="-moz-fixed"/>
          <w:szCs w:val="20"/>
          <w:lang w:val="en-US" w:eastAsia="ar-SA"/>
        </w:rPr>
        <w:t xml:space="preserve"> </w:t>
      </w:r>
      <w:hyperlink r:id="rId106" w:history="1">
        <w:r w:rsidRPr="00C670A8">
          <w:rPr>
            <w:rFonts w:eastAsia="-moz-fixed" w:cs="-moz-fixed"/>
            <w:color w:val="0000FF"/>
            <w:szCs w:val="24"/>
            <w:u w:val="single"/>
            <w:lang w:val="en-US" w:eastAsia="ar-SA"/>
          </w:rPr>
          <w:t>http://web.archive.org/web/20120423191509/http://www.sei.org/owl/finalreport/Chapter5HabitatAssociations.pdf</w:t>
        </w:r>
      </w:hyperlink>
      <w:r w:rsidRPr="00C670A8">
        <w:rPr>
          <w:rFonts w:eastAsia="-moz-fixed" w:cs="-moz-fixed"/>
          <w:szCs w:val="24"/>
          <w:lang w:val="en-US" w:eastAsia="ar-SA"/>
        </w:rPr>
        <w:t>.</w:t>
      </w:r>
    </w:p>
    <w:p w:rsidR="00B864C7" w:rsidRDefault="00B864C7" w:rsidP="00C670A8">
      <w:pPr>
        <w:suppressAutoHyphens/>
        <w:spacing w:line="240" w:lineRule="auto"/>
        <w:rPr>
          <w:rFonts w:eastAsia="-moz-fixed" w:cs="-moz-fixed"/>
          <w:szCs w:val="24"/>
          <w:lang w:val="en-US" w:eastAsia="ar-SA"/>
        </w:rPr>
      </w:pPr>
    </w:p>
    <w:p w:rsidR="00C670A8" w:rsidRPr="00C670A8" w:rsidRDefault="00C670A8" w:rsidP="00C670A8">
      <w:pPr>
        <w:suppressAutoHyphens/>
        <w:spacing w:line="240" w:lineRule="auto"/>
        <w:rPr>
          <w:rFonts w:eastAsia="-moz-fixed" w:cs="-moz-fixed"/>
          <w:szCs w:val="24"/>
          <w:lang w:val="en-US" w:eastAsia="ar-SA"/>
        </w:rPr>
      </w:pPr>
      <w:r w:rsidRPr="00C670A8">
        <w:rPr>
          <w:rFonts w:eastAsia="-moz-fixed" w:cs="-moz-fixed"/>
          <w:szCs w:val="24"/>
          <w:lang w:val="en-US" w:eastAsia="ar-SA"/>
        </w:rPr>
        <w:t xml:space="preserve">Scientists recognize that "Historically, [dry forests] displayed much spatial heterogeneity, consisting of fine-scale, low contrast structural patchworks" and they recommend that projects like this — </w:t>
      </w:r>
    </w:p>
    <w:p w:rsidR="00C670A8" w:rsidRPr="00C670A8" w:rsidRDefault="00C670A8" w:rsidP="00C670A8">
      <w:pPr>
        <w:suppressAutoHyphens/>
        <w:spacing w:line="240" w:lineRule="auto"/>
        <w:ind w:left="720"/>
        <w:rPr>
          <w:rFonts w:eastAsia="-moz-fixed" w:cs="-moz-fixed"/>
          <w:szCs w:val="24"/>
          <w:lang w:val="en-US" w:eastAsia="ar-SA"/>
        </w:rPr>
      </w:pPr>
      <w:r w:rsidRPr="00C670A8">
        <w:rPr>
          <w:rFonts w:eastAsia="-moz-fixed" w:cs="-moz-fixed"/>
          <w:szCs w:val="24"/>
          <w:lang w:val="en-US" w:eastAsia="ar-SA"/>
        </w:rPr>
        <w:t>"Restore characteristic levels of within-stand spatial heterogeneity - this refers to a non-uniform distribution of forest structural elements, such as trees, snags, and canopy density. Such spatial heterogeneity is characteristic of older forest stands and landscapes in both Moist and Dry Forest regions (Franklin et al. 2002; Franklin and Van Pelt 2004). The practitioner of ecological forestry will typically look to the heterogeneity inherent in stands and landscapes as a beginning point or guide in incorporating heterogeneity in treatments.</w:t>
      </w:r>
      <w:r w:rsidRPr="00C670A8">
        <w:rPr>
          <w:rFonts w:eastAsia="-moz-fixed" w:cs="-moz-fixed"/>
          <w:szCs w:val="24"/>
          <w:lang w:val="en-US" w:eastAsia="ar-SA"/>
        </w:rPr>
        <w:br/>
        <w:t>...</w:t>
      </w:r>
      <w:r w:rsidRPr="00C670A8">
        <w:rPr>
          <w:rFonts w:eastAsia="-moz-fixed" w:cs="-moz-fixed"/>
          <w:szCs w:val="24"/>
          <w:lang w:val="en-US" w:eastAsia="ar-SA"/>
        </w:rPr>
        <w:br/>
      </w:r>
      <w:r w:rsidRPr="00C670A8">
        <w:rPr>
          <w:rFonts w:eastAsia="-moz-fixed" w:cs="-moz-fixed"/>
          <w:b/>
          <w:bCs/>
          <w:szCs w:val="24"/>
          <w:lang w:val="en-US" w:eastAsia="ar-SA"/>
        </w:rPr>
        <w:t>The need for spatial heterogeneity</w:t>
      </w:r>
      <w:r w:rsidRPr="00C670A8">
        <w:rPr>
          <w:rFonts w:eastAsia="-moz-fixed" w:cs="-moz-fixed"/>
          <w:szCs w:val="24"/>
          <w:lang w:val="en-US" w:eastAsia="ar-SA"/>
        </w:rPr>
        <w:br/>
        <w:t>Spatial heterogeneity is an essential element in restoring and sustaining Dry Forests and landscapes. Restoration activities need to build upon and enhance existing residual spatial heterogeneity. Ecological restoration will rarely involve extensive areas of uniform treatments. A complex pattern of open and dense forest, meadows, and glades should result with:</w:t>
      </w:r>
      <w:r w:rsidRPr="00C670A8">
        <w:rPr>
          <w:rFonts w:eastAsia="-moz-fixed" w:cs="-moz-fixed"/>
          <w:szCs w:val="24"/>
          <w:lang w:val="en-US" w:eastAsia="ar-SA"/>
        </w:rPr>
        <w:br/>
        <w:t>1) Small dense patches of seedlings and saplings. Johnson et al. (2008) proposed at least 10% of these “skips”;</w:t>
      </w:r>
      <w:r w:rsidRPr="00C670A8">
        <w:rPr>
          <w:rFonts w:eastAsia="-moz-fixed" w:cs="-moz-fixed"/>
          <w:szCs w:val="24"/>
          <w:lang w:val="en-US" w:eastAsia="ar-SA"/>
        </w:rPr>
        <w:br/>
      </w:r>
      <w:r w:rsidRPr="00C670A8">
        <w:rPr>
          <w:rFonts w:eastAsia="-moz-fixed" w:cs="-moz-fixed"/>
          <w:szCs w:val="24"/>
          <w:lang w:val="en-US" w:eastAsia="ar-SA"/>
        </w:rPr>
        <w:lastRenderedPageBreak/>
        <w:t>2) Medium-sized dense patches (300+ acres in size) scattered over the landscape to help provide habitat for species such as the Northern Spotted Owl and its prey; and</w:t>
      </w:r>
      <w:r w:rsidRPr="00C670A8">
        <w:rPr>
          <w:rFonts w:eastAsia="-moz-fixed" w:cs="-moz-fixed"/>
          <w:szCs w:val="24"/>
          <w:lang w:val="en-US" w:eastAsia="ar-SA"/>
        </w:rPr>
        <w:br/>
        <w:t>3) Variability in landscape-level forest and non-forest patches.</w:t>
      </w:r>
      <w:r w:rsidRPr="00C670A8">
        <w:rPr>
          <w:rFonts w:eastAsia="-moz-fixed" w:cs="-moz-fixed"/>
          <w:szCs w:val="24"/>
          <w:lang w:val="en-US" w:eastAsia="ar-SA"/>
        </w:rPr>
        <w:br/>
        <w:t>...</w:t>
      </w:r>
      <w:r w:rsidRPr="00C670A8">
        <w:rPr>
          <w:rFonts w:eastAsia="-moz-fixed" w:cs="-moz-fixed"/>
          <w:szCs w:val="24"/>
          <w:lang w:val="en-US" w:eastAsia="ar-SA"/>
        </w:rPr>
        <w:br/>
        <w:t>Long-term management of Dry Forest sites in the Pacific Northwest can also be based on principles of ecological forestry. Initial silvicultural activities would be designed to restore ecological conditions that are both sustainable and provide for a full array of ecological values. These are sometimes referred to as “restoration” and include the following considerations:</w:t>
      </w:r>
      <w:r w:rsidRPr="00C670A8">
        <w:rPr>
          <w:rFonts w:eastAsia="-moz-fixed" w:cs="-moz-fixed"/>
          <w:szCs w:val="24"/>
          <w:lang w:val="en-US" w:eastAsia="ar-SA"/>
        </w:rPr>
        <w:br/>
        <w:t>...</w:t>
      </w:r>
      <w:r w:rsidRPr="00C670A8">
        <w:rPr>
          <w:rFonts w:eastAsia="-moz-fixed" w:cs="-moz-fixed"/>
          <w:szCs w:val="24"/>
          <w:lang w:val="en-US" w:eastAsia="ar-SA"/>
        </w:rPr>
        <w:br/>
        <w:t>3) silvicultural activity in harvest areas build upon and enhance the spatial heterogeneity (fine scale, low contrast structural mosaic) that is characteristic of the Dry Forest types, including provision for denser untreated patches;</w:t>
      </w:r>
    </w:p>
    <w:p w:rsidR="00C670A8" w:rsidRPr="00C670A8" w:rsidRDefault="00C670A8" w:rsidP="00C670A8">
      <w:pPr>
        <w:suppressAutoHyphens/>
        <w:spacing w:line="240" w:lineRule="auto"/>
        <w:rPr>
          <w:rFonts w:eastAsia="-moz-fixed" w:cs="-moz-fixed"/>
          <w:szCs w:val="24"/>
          <w:lang w:val="en-US" w:eastAsia="ar-SA"/>
        </w:rPr>
      </w:pPr>
      <w:r w:rsidRPr="00C670A8">
        <w:rPr>
          <w:rFonts w:eastAsia="-moz-fixed" w:cs="-moz-fixed"/>
          <w:szCs w:val="24"/>
          <w:lang w:val="en-US" w:eastAsia="ar-SA"/>
        </w:rPr>
        <w:t xml:space="preserve">John &amp; Franklin. 2009. Restoration of Federal Forests in the Pacific Northwest: Strategies and Management Implications. </w:t>
      </w:r>
      <w:hyperlink r:id="rId107" w:history="1">
        <w:r w:rsidRPr="00C670A8">
          <w:rPr>
            <w:rFonts w:eastAsia="-moz-fixed" w:cs="-moz-fixed"/>
            <w:color w:val="0000FF"/>
            <w:szCs w:val="24"/>
            <w:u w:val="single"/>
            <w:lang w:val="en-US" w:eastAsia="ar-SA"/>
          </w:rPr>
          <w:t>https://web.archive.org/web/20170221082525/http://www.blm.gov/or/districts/medford/plans/files/FranklinJohnson.pdf</w:t>
        </w:r>
      </w:hyperlink>
      <w:r w:rsidRPr="00C670A8">
        <w:rPr>
          <w:rFonts w:eastAsia="-moz-fixed" w:cs="-moz-fixed"/>
          <w:szCs w:val="24"/>
          <w:lang w:val="en-US" w:eastAsia="ar-SA"/>
        </w:rPr>
        <w:t xml:space="preserve">.  </w:t>
      </w:r>
    </w:p>
    <w:p w:rsidR="00C670A8" w:rsidRPr="00C670A8" w:rsidRDefault="00C670A8" w:rsidP="00C670A8">
      <w:pPr>
        <w:suppressAutoHyphens/>
        <w:spacing w:line="240" w:lineRule="auto"/>
        <w:rPr>
          <w:rFonts w:eastAsia="-moz-fixed" w:cs="-moz-fixed"/>
          <w:szCs w:val="20"/>
          <w:lang w:val="en-US" w:eastAsia="ar-SA"/>
        </w:rPr>
      </w:pPr>
    </w:p>
    <w:p w:rsidR="00C670A8" w:rsidRPr="00C670A8" w:rsidRDefault="00C670A8" w:rsidP="00C670A8">
      <w:pPr>
        <w:suppressAutoHyphens/>
        <w:spacing w:line="240" w:lineRule="auto"/>
        <w:rPr>
          <w:rFonts w:eastAsia="-moz-fixed" w:cs="-moz-fixed"/>
          <w:szCs w:val="20"/>
          <w:lang w:val="en-US" w:eastAsia="ar-SA"/>
        </w:rPr>
      </w:pPr>
      <w:r w:rsidRPr="00C670A8">
        <w:rPr>
          <w:rFonts w:eastAsia="-moz-fixed" w:cs="-moz-fixed"/>
          <w:szCs w:val="20"/>
          <w:lang w:val="en-US" w:eastAsia="ar-SA"/>
        </w:rPr>
        <w:t>Prescriptions should retain and enhance existing diversity -</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any treatment prescription that can accommodate already existing variability within the homogenous stands that are to be restored will likely be more efficient at increasing heterogeneity in that stand (</w:t>
      </w:r>
      <w:proofErr w:type="spellStart"/>
      <w:r w:rsidRPr="00C670A8">
        <w:rPr>
          <w:rFonts w:eastAsia="-moz-fixed" w:cs="-moz-fixed"/>
          <w:szCs w:val="20"/>
          <w:lang w:val="en-US" w:eastAsia="ar-SA"/>
        </w:rPr>
        <w:t>Puettmann</w:t>
      </w:r>
      <w:proofErr w:type="spellEnd"/>
      <w:r w:rsidRPr="00C670A8">
        <w:rPr>
          <w:rFonts w:eastAsia="-moz-fixed" w:cs="-moz-fixed"/>
          <w:szCs w:val="20"/>
          <w:lang w:val="en-US" w:eastAsia="ar-SA"/>
        </w:rPr>
        <w:t xml:space="preserve"> et al. 2016). For example, a goal to provide more broadleaf shrubs and trees may be achieved more easily with prescriptions that protect existing patches of broadleafs during harvesting than by creating open conditions that facilitate their development (Davis et al. 2007).</w:t>
      </w:r>
    </w:p>
    <w:p w:rsidR="00B864C7" w:rsidRDefault="00C670A8" w:rsidP="00C670A8">
      <w:p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Spies et al. 2018. Synthesis of science to inform land management within the Northwest Forest Plan area. Chapter 3: Old Growth, Disturbance, Forest Succession, and Management in the Area of the Northwest Forest Plan. GENERAL TECHNICAL REPORT PNW-GTR-966. </w:t>
      </w:r>
      <w:hyperlink r:id="rId108" w:history="1">
        <w:r w:rsidRPr="00C670A8">
          <w:rPr>
            <w:rFonts w:eastAsia="-moz-fixed" w:cs="-moz-fixed"/>
            <w:color w:val="0000FF"/>
            <w:szCs w:val="20"/>
            <w:u w:val="single"/>
            <w:lang w:val="en-US" w:eastAsia="ar-SA"/>
          </w:rPr>
          <w:t>https://www.fs.usda.gov/pnw/pubs/pnw_gtr966_chapter3.pdf</w:t>
        </w:r>
      </w:hyperlink>
      <w:r w:rsidRPr="00C670A8">
        <w:rPr>
          <w:rFonts w:eastAsia="-moz-fixed" w:cs="-moz-fixed"/>
          <w:szCs w:val="20"/>
          <w:lang w:val="en-US" w:eastAsia="ar-SA"/>
        </w:rPr>
        <w:t xml:space="preserve"> </w:t>
      </w:r>
    </w:p>
    <w:p w:rsidR="00B864C7" w:rsidRDefault="00B864C7" w:rsidP="00C670A8">
      <w:pPr>
        <w:suppressAutoHyphens/>
        <w:spacing w:line="240" w:lineRule="auto"/>
        <w:rPr>
          <w:rFonts w:eastAsia="-moz-fixed" w:cs="-moz-fixed"/>
          <w:szCs w:val="20"/>
          <w:lang w:val="en-US" w:eastAsia="ar-SA"/>
        </w:rPr>
      </w:pPr>
    </w:p>
    <w:p w:rsidR="00B864C7" w:rsidRDefault="00C670A8" w:rsidP="00C670A8">
      <w:pPr>
        <w:suppressAutoHyphens/>
        <w:autoSpaceDE w:val="0"/>
        <w:spacing w:line="240" w:lineRule="auto"/>
        <w:rPr>
          <w:rFonts w:eastAsia="-moz-fixed" w:cs="-moz-fixed"/>
          <w:szCs w:val="20"/>
          <w:lang w:val="en-US" w:eastAsia="ar-SA"/>
        </w:rPr>
      </w:pPr>
      <w:r w:rsidRPr="00C670A8">
        <w:rPr>
          <w:rFonts w:eastAsia="-moz-fixed" w:cs="-moz-fixed"/>
          <w:szCs w:val="20"/>
          <w:lang w:val="en-US" w:eastAsia="ar-SA"/>
        </w:rPr>
        <w:t xml:space="preserve">We urge you to prescribe variable spacing for all thinning projects. The great benefits in terms ecosystem processes far outweigh any minor loss of future timber value. The Matrix is not a tree farm. It still has a role to play in providing diverse habitats, so don’t just grow </w:t>
      </w:r>
      <w:r w:rsidRPr="00C670A8">
        <w:rPr>
          <w:rFonts w:eastAsia="-moz-fixed" w:cs="-moz-fixed"/>
          <w:i/>
          <w:szCs w:val="20"/>
          <w:lang w:val="en-US" w:eastAsia="ar-SA"/>
        </w:rPr>
        <w:t>trees</w:t>
      </w:r>
      <w:r w:rsidRPr="00C670A8">
        <w:rPr>
          <w:rFonts w:eastAsia="-moz-fixed" w:cs="-moz-fixed"/>
          <w:szCs w:val="20"/>
          <w:lang w:val="en-US" w:eastAsia="ar-SA"/>
        </w:rPr>
        <w:t xml:space="preserve">, grow </w:t>
      </w:r>
      <w:r w:rsidRPr="00C670A8">
        <w:rPr>
          <w:rFonts w:eastAsia="-moz-fixed" w:cs="-moz-fixed"/>
          <w:i/>
          <w:szCs w:val="20"/>
          <w:lang w:val="en-US" w:eastAsia="ar-SA"/>
        </w:rPr>
        <w:t>forests.</w:t>
      </w:r>
      <w:r w:rsidRPr="00C670A8">
        <w:rPr>
          <w:rFonts w:eastAsia="-moz-fixed" w:cs="-moz-fixed"/>
          <w:szCs w:val="20"/>
          <w:lang w:val="en-US" w:eastAsia="ar-SA"/>
        </w:rPr>
        <w:t xml:space="preserve"> According to the 2003 Draft SEIS for survey and manage, “Matrix was also expected to provide for </w:t>
      </w:r>
      <w:r w:rsidRPr="00C670A8">
        <w:rPr>
          <w:rFonts w:eastAsia="-moz-fixed" w:cs="-moz-fixed"/>
          <w:szCs w:val="20"/>
          <w:u w:val="single"/>
          <w:lang w:val="en-US" w:eastAsia="ar-SA"/>
        </w:rPr>
        <w:t>ecologically diverse early-successional conditions</w:t>
      </w:r>
      <w:r w:rsidRPr="00C670A8">
        <w:rPr>
          <w:rFonts w:eastAsia="-moz-fixed" w:cs="-moz-fixed"/>
          <w:szCs w:val="20"/>
          <w:lang w:val="en-US" w:eastAsia="ar-SA"/>
        </w:rPr>
        <w:t xml:space="preserve"> and planned timber harvest.” (DSEIS page 68). Variable density thinning is appropriate in the matrix because VDT expands future options for multiple-use/sustained yield in its fullest dimension and VDT does not foreclose any matrix objectives. </w:t>
      </w:r>
    </w:p>
    <w:p w:rsidR="00B864C7" w:rsidRDefault="00B864C7" w:rsidP="00C670A8">
      <w:pPr>
        <w:suppressAutoHyphens/>
        <w:autoSpaceDE w:val="0"/>
        <w:spacing w:line="240" w:lineRule="auto"/>
        <w:rPr>
          <w:rFonts w:eastAsia="-moz-fixed" w:cs="-moz-fixed"/>
          <w:szCs w:val="20"/>
          <w:lang w:val="en-US" w:eastAsia="ar-SA"/>
        </w:rPr>
      </w:pPr>
    </w:p>
    <w:p w:rsidR="00C670A8" w:rsidRPr="00C670A8" w:rsidRDefault="00C670A8" w:rsidP="00C670A8">
      <w:pPr>
        <w:suppressAutoHyphens/>
        <w:autoSpaceDE w:val="0"/>
        <w:spacing w:line="240" w:lineRule="auto"/>
        <w:ind w:left="720"/>
        <w:rPr>
          <w:rFonts w:eastAsia="-moz-fixed" w:cs="-moz-fixed"/>
          <w:szCs w:val="20"/>
          <w:lang w:val="en-US" w:eastAsia="ar-SA"/>
        </w:rPr>
      </w:pPr>
      <w:r w:rsidRPr="00C670A8">
        <w:rPr>
          <w:rFonts w:eastAsia="-moz-fixed" w:cs="-moz-fixed"/>
          <w:szCs w:val="20"/>
          <w:lang w:val="en-US" w:eastAsia="ar-SA"/>
        </w:rPr>
        <w:t>A concern with evenly spaced thinnings is that the uniformly open canopy will encourage a homogenous understory dominated by a few species instead of a patchy and heterogeneous understory</w:t>
      </w:r>
    </w:p>
    <w:p w:rsidR="00C670A8" w:rsidRPr="00C670A8" w:rsidRDefault="00C670A8" w:rsidP="00C670A8">
      <w:pPr>
        <w:suppressAutoHyphens/>
        <w:spacing w:line="240" w:lineRule="auto"/>
        <w:rPr>
          <w:rFonts w:eastAsia="-moz-fixed" w:cs="-moz-fixed"/>
          <w:szCs w:val="20"/>
          <w:lang w:val="en-US" w:eastAsia="ar-SA"/>
        </w:rPr>
      </w:pPr>
      <w:proofErr w:type="spellStart"/>
      <w:r w:rsidRPr="00C670A8">
        <w:rPr>
          <w:rFonts w:eastAsia="-moz-fixed" w:cs="-moz-fixed"/>
          <w:szCs w:val="20"/>
          <w:lang w:val="en-US" w:eastAsia="ar-SA"/>
        </w:rPr>
        <w:t>Liane</w:t>
      </w:r>
      <w:proofErr w:type="spellEnd"/>
      <w:r w:rsidRPr="00C670A8">
        <w:rPr>
          <w:rFonts w:eastAsia="-moz-fixed" w:cs="-moz-fixed"/>
          <w:szCs w:val="20"/>
          <w:lang w:val="en-US" w:eastAsia="ar-SA"/>
        </w:rPr>
        <w:t xml:space="preserve"> R. Davis, and Klaus J. </w:t>
      </w:r>
      <w:proofErr w:type="spellStart"/>
      <w:r w:rsidRPr="00C670A8">
        <w:rPr>
          <w:rFonts w:eastAsia="-moz-fixed" w:cs="-moz-fixed"/>
          <w:szCs w:val="20"/>
          <w:lang w:val="en-US" w:eastAsia="ar-SA"/>
        </w:rPr>
        <w:t>Puettmann</w:t>
      </w:r>
      <w:proofErr w:type="spellEnd"/>
      <w:r w:rsidRPr="00C670A8">
        <w:rPr>
          <w:rFonts w:eastAsia="-moz-fixed" w:cs="-moz-fixed"/>
          <w:szCs w:val="20"/>
          <w:lang w:val="en-US" w:eastAsia="ar-SA"/>
        </w:rPr>
        <w:t>, Gabriel F. Tucker. 2007. Overstory Response to Alternative Thinning Treatments in Young Douglas-fir Forests of Western Oregon. Northwest Science 81(1). 2007.</w:t>
      </w:r>
    </w:p>
    <w:p w:rsidR="00C670A8" w:rsidRPr="00C670A8" w:rsidRDefault="00C670A8" w:rsidP="00C670A8">
      <w:pPr>
        <w:suppressAutoHyphens/>
        <w:spacing w:line="240" w:lineRule="auto"/>
        <w:rPr>
          <w:rFonts w:eastAsia="-moz-fixed" w:cs="-moz-fixed"/>
          <w:szCs w:val="20"/>
          <w:lang w:val="en-US" w:eastAsia="ar-SA"/>
        </w:rPr>
      </w:pPr>
    </w:p>
    <w:p w:rsidR="00C670A8" w:rsidRPr="00C670A8" w:rsidRDefault="00C670A8" w:rsidP="00C670A8">
      <w:pPr>
        <w:suppressAutoHyphens/>
        <w:spacing w:line="240" w:lineRule="auto"/>
        <w:rPr>
          <w:rFonts w:eastAsia="-moz-fixed" w:cs="-moz-fixed"/>
          <w:szCs w:val="24"/>
          <w:lang w:val="en-US" w:eastAsia="ar-SA"/>
        </w:rPr>
      </w:pPr>
      <w:r w:rsidRPr="00C670A8">
        <w:rPr>
          <w:rFonts w:eastAsia="-moz-fixed" w:cs="-moz-fixed"/>
          <w:szCs w:val="20"/>
          <w:lang w:val="en-US" w:eastAsia="ar-SA"/>
        </w:rPr>
        <w:t>Refer to the following resources to inform your implementation of variable density thinning:</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4"/>
          <w:lang w:val="en-US" w:eastAsia="ar-SA"/>
        </w:rPr>
        <w:t xml:space="preserve">Duncan S. Wilson, and Klaus J. </w:t>
      </w:r>
      <w:proofErr w:type="spellStart"/>
      <w:r w:rsidRPr="00C670A8">
        <w:rPr>
          <w:rFonts w:eastAsia="-moz-fixed" w:cs="-moz-fixed"/>
          <w:szCs w:val="24"/>
          <w:lang w:val="en-US" w:eastAsia="ar-SA"/>
        </w:rPr>
        <w:t>Puettmann</w:t>
      </w:r>
      <w:proofErr w:type="spellEnd"/>
      <w:r w:rsidRPr="00C670A8">
        <w:rPr>
          <w:rFonts w:eastAsia="-moz-fixed" w:cs="-moz-fixed"/>
          <w:szCs w:val="24"/>
          <w:lang w:val="en-US" w:eastAsia="ar-SA"/>
        </w:rPr>
        <w:t xml:space="preserve">. Density management and biodiversity in young Douglas-fir forests: challenges of managing across scales. DRAFT submitted to Forest Ecology and Management. August 2006. (“Spatially variable treatments provide for variable canopy structure and understory vegetation and results from the LSMEs </w:t>
      </w:r>
      <w:r w:rsidRPr="00C670A8">
        <w:rPr>
          <w:rFonts w:eastAsia="-moz-fixed" w:cs="-moz-fixed"/>
          <w:szCs w:val="24"/>
          <w:lang w:val="en-US" w:eastAsia="ar-SA"/>
        </w:rPr>
        <w:lastRenderedPageBreak/>
        <w:t>suggest incorporating these into thinning prescriptions may be beneficial where biodiversity is of concern. The need for spatially variable treatments is highlighted by the hierarchical habitat-selection framework of various wildlife species. This framework provides a basis for matching spatial variability in forest structure and vegetation to the spatial scales that wildlife species perceive and respond to. Silvicultural prescriptions that increase within-stand variability can provide important habitat features across multiple scales and enhance habitat quality beyond that provided by stand-level prescriptions. … [M]</w:t>
      </w:r>
      <w:proofErr w:type="spellStart"/>
      <w:r w:rsidRPr="00C670A8">
        <w:rPr>
          <w:rFonts w:eastAsia="-moz-fixed" w:cs="-moz-fixed"/>
          <w:szCs w:val="24"/>
          <w:lang w:val="en-US" w:eastAsia="ar-SA"/>
        </w:rPr>
        <w:t>anaging</w:t>
      </w:r>
      <w:proofErr w:type="spellEnd"/>
      <w:r w:rsidRPr="00C670A8">
        <w:rPr>
          <w:rFonts w:eastAsia="-moz-fixed" w:cs="-moz-fixed"/>
          <w:szCs w:val="24"/>
          <w:lang w:val="en-US" w:eastAsia="ar-SA"/>
        </w:rPr>
        <w:t xml:space="preserve"> for biodiversity necessarily includes activities on several disturbance and spatial scales, which may include variable-density thinning, creating gaps and unthinned patches of different sizes, and creating two-storied stands through natural regeneration or underplanting (Carey et al., 1999; Hayes and Hagar, 2002; </w:t>
      </w:r>
      <w:proofErr w:type="spellStart"/>
      <w:r w:rsidRPr="00C670A8">
        <w:rPr>
          <w:rFonts w:eastAsia="-moz-fixed" w:cs="-moz-fixed"/>
          <w:szCs w:val="24"/>
          <w:lang w:val="en-US" w:eastAsia="ar-SA"/>
        </w:rPr>
        <w:t>Puettmann</w:t>
      </w:r>
      <w:proofErr w:type="spellEnd"/>
      <w:r w:rsidRPr="00C670A8">
        <w:rPr>
          <w:rFonts w:eastAsia="-moz-fixed" w:cs="-moz-fixed"/>
          <w:szCs w:val="24"/>
          <w:lang w:val="en-US" w:eastAsia="ar-SA"/>
        </w:rPr>
        <w:t xml:space="preserve"> et al., 2004). … The added objective of increasing understory vegetation for wildlife habitat and other ecological functions likely will require more intensive density management in order to ensure adequate resources for understory development (</w:t>
      </w:r>
      <w:proofErr w:type="spellStart"/>
      <w:r w:rsidRPr="00C670A8">
        <w:rPr>
          <w:rFonts w:eastAsia="-moz-fixed" w:cs="-moz-fixed"/>
          <w:szCs w:val="24"/>
          <w:lang w:val="en-US" w:eastAsia="ar-SA"/>
        </w:rPr>
        <w:t>McComb</w:t>
      </w:r>
      <w:proofErr w:type="spellEnd"/>
      <w:r w:rsidRPr="00C670A8">
        <w:rPr>
          <w:rFonts w:eastAsia="-moz-fixed" w:cs="-moz-fixed"/>
          <w:szCs w:val="24"/>
          <w:lang w:val="en-US" w:eastAsia="ar-SA"/>
        </w:rPr>
        <w:t xml:space="preserve"> et al., 1993; Hayes et al., 1997). … Complex vertical canopy structures are of interest when managing for biodiversity because they have been associated with increased songbird diversity and use (Carey, 1996). … Windstorms and disease that kill trees are common in young stands (Lutz and Halpern, 2006) and may result in natural gaps of widely varying sizes (from single trees to entire stands). … [M]</w:t>
      </w:r>
      <w:proofErr w:type="spellStart"/>
      <w:r w:rsidRPr="00C670A8">
        <w:rPr>
          <w:rFonts w:eastAsia="-moz-fixed" w:cs="-moz-fixed"/>
          <w:szCs w:val="24"/>
          <w:lang w:val="en-US" w:eastAsia="ar-SA"/>
        </w:rPr>
        <w:t>anaging</w:t>
      </w:r>
      <w:proofErr w:type="spellEnd"/>
      <w:r w:rsidRPr="00C670A8">
        <w:rPr>
          <w:rFonts w:eastAsia="-moz-fixed" w:cs="-moz-fixed"/>
          <w:szCs w:val="24"/>
          <w:lang w:val="en-US" w:eastAsia="ar-SA"/>
        </w:rPr>
        <w:t xml:space="preserve"> for understory vegetation and diverse habitat features will require either multiple, or heavy thinnings. Alternatively, variable density thinnings with areas of extremely low density or gap creation may provide long term openings. … Managing large deciduous tree patches to minimize overtopping by conifers will be advantageous for developing large crowns, large durable snags, and heavy seed production. Many songbird and bat species nest or roost in deciduous trees, and retention of these in thinning operations can provide vital features in otherwise suitable habitat (Hayes and Hagar, 2002). … Young stands with high understory vegetation cover and diverse composition will benefit many wildlife species especially where this habitat is rare, such as in dense unthinned stands (Hayes and Hagar, 2002; </w:t>
      </w:r>
      <w:proofErr w:type="spellStart"/>
      <w:r w:rsidRPr="00C670A8">
        <w:rPr>
          <w:rFonts w:eastAsia="-moz-fixed" w:cs="-moz-fixed"/>
          <w:szCs w:val="24"/>
          <w:lang w:val="en-US" w:eastAsia="ar-SA"/>
        </w:rPr>
        <w:t>Beggs</w:t>
      </w:r>
      <w:proofErr w:type="spellEnd"/>
      <w:r w:rsidRPr="00C670A8">
        <w:rPr>
          <w:rFonts w:eastAsia="-moz-fixed" w:cs="-moz-fixed"/>
          <w:szCs w:val="24"/>
          <w:lang w:val="en-US" w:eastAsia="ar-SA"/>
        </w:rPr>
        <w:t>, 2005). … Providing within-stand heterogeneity of understory vegetation can further increase the odds that suitable habitat will be available at the correct spatial scales for multiple species. … Understory deciduous trees and shrubs are especially important habitat, as they provide berries and seeds (</w:t>
      </w:r>
      <w:proofErr w:type="spellStart"/>
      <w:r w:rsidRPr="00C670A8">
        <w:rPr>
          <w:rFonts w:eastAsia="-moz-fixed" w:cs="-moz-fixed"/>
          <w:szCs w:val="24"/>
          <w:lang w:val="en-US" w:eastAsia="ar-SA"/>
        </w:rPr>
        <w:t>Wender</w:t>
      </w:r>
      <w:proofErr w:type="spellEnd"/>
      <w:r w:rsidRPr="00C670A8">
        <w:rPr>
          <w:rFonts w:eastAsia="-moz-fixed" w:cs="-moz-fixed"/>
          <w:szCs w:val="24"/>
          <w:lang w:val="en-US" w:eastAsia="ar-SA"/>
        </w:rPr>
        <w:t xml:space="preserve"> et al., 2004), small mammal cover (Martin and </w:t>
      </w:r>
      <w:proofErr w:type="spellStart"/>
      <w:r w:rsidRPr="00C670A8">
        <w:rPr>
          <w:rFonts w:eastAsia="-moz-fixed" w:cs="-moz-fixed"/>
          <w:szCs w:val="24"/>
          <w:lang w:val="en-US" w:eastAsia="ar-SA"/>
        </w:rPr>
        <w:t>McComb</w:t>
      </w:r>
      <w:proofErr w:type="spellEnd"/>
      <w:r w:rsidRPr="00C670A8">
        <w:rPr>
          <w:rFonts w:eastAsia="-moz-fixed" w:cs="-moz-fixed"/>
          <w:szCs w:val="24"/>
          <w:lang w:val="en-US" w:eastAsia="ar-SA"/>
        </w:rPr>
        <w:t xml:space="preserve">, 2002), contribute to foliage height diversity, and are an important substrate for lichen growth. Abundance of arthropods, an important food source for most neotropical songbirds, has been linked to the deciduous shrub component (Schowalter, 1995; Muir et al., 2002). A diverse understory composition is also beneficial, as deciduous shrubs, grasses and forbs are generally more palatable than evergreen plants and thus serve as an important food source for small mammals and invertebrates (Muir et al., 2002). … Density management tends to homogenize shrub cover slightly when pre-treatment cover is relatively high. In contrast, thinning tends to increase shrub cover and greatly increase within-stand variability where shrub cover is absent before treatment (Harrington et al., 2005). High uniform shrub cover of a few species might reduce diversity of function, and treatments such as variable-density thinning or gap creation have been proposed to increase spatial variability in shrub cover and thus stand diversity. … In contrast to early thinning results, retrospective studies, which documented conditions 10–30 years postharvest, generally showed no effect or a strong increase in tall and short shrub cover. … The distinction between early and late responses to thinning also needs to consider trends in stand dynamics where stands develop higher shrub and herb cover as they move from the stem exclusion to the understory initiation and old-growth stages (Spies, 1991; </w:t>
      </w:r>
      <w:proofErr w:type="spellStart"/>
      <w:r w:rsidRPr="00C670A8">
        <w:rPr>
          <w:rFonts w:eastAsia="-moz-fixed" w:cs="-moz-fixed"/>
          <w:szCs w:val="24"/>
          <w:lang w:val="en-US" w:eastAsia="ar-SA"/>
        </w:rPr>
        <w:t>Wender</w:t>
      </w:r>
      <w:proofErr w:type="spellEnd"/>
      <w:r w:rsidRPr="00C670A8">
        <w:rPr>
          <w:rFonts w:eastAsia="-moz-fixed" w:cs="-moz-fixed"/>
          <w:szCs w:val="24"/>
          <w:lang w:val="en-US" w:eastAsia="ar-SA"/>
        </w:rPr>
        <w:t xml:space="preserve"> et al., 2004). … Herb cover generally responds either neutrally or slightly </w:t>
      </w:r>
      <w:r w:rsidRPr="00C670A8">
        <w:rPr>
          <w:rFonts w:eastAsia="-moz-fixed" w:cs="-moz-fixed"/>
          <w:szCs w:val="24"/>
          <w:lang w:val="en-US" w:eastAsia="ar-SA"/>
        </w:rPr>
        <w:lastRenderedPageBreak/>
        <w:t>negatively to thinning … competition from rapidly increasing shrub cover may have confounded the impacts of overstory removal (</w:t>
      </w:r>
      <w:proofErr w:type="spellStart"/>
      <w:r w:rsidRPr="00C670A8">
        <w:rPr>
          <w:rFonts w:eastAsia="-moz-fixed" w:cs="-moz-fixed"/>
          <w:szCs w:val="24"/>
          <w:lang w:val="en-US" w:eastAsia="ar-SA"/>
        </w:rPr>
        <w:t>Beggs</w:t>
      </w:r>
      <w:proofErr w:type="spellEnd"/>
      <w:r w:rsidRPr="00C670A8">
        <w:rPr>
          <w:rFonts w:eastAsia="-moz-fixed" w:cs="-moz-fixed"/>
          <w:szCs w:val="24"/>
          <w:lang w:val="en-US" w:eastAsia="ar-SA"/>
        </w:rPr>
        <w:t xml:space="preserve">, 2005). … Ten to thirty years after thinning, herb cover was higher in thinned than unthinned stands (Bailey et al., 1998; </w:t>
      </w:r>
      <w:proofErr w:type="spellStart"/>
      <w:r w:rsidRPr="00C670A8">
        <w:rPr>
          <w:rFonts w:eastAsia="-moz-fixed" w:cs="-moz-fixed"/>
          <w:szCs w:val="24"/>
          <w:lang w:val="en-US" w:eastAsia="ar-SA"/>
        </w:rPr>
        <w:t>Thysell</w:t>
      </w:r>
      <w:proofErr w:type="spellEnd"/>
      <w:r w:rsidRPr="00C670A8">
        <w:rPr>
          <w:rFonts w:eastAsia="-moz-fixed" w:cs="-moz-fixed"/>
          <w:szCs w:val="24"/>
          <w:lang w:val="en-US" w:eastAsia="ar-SA"/>
        </w:rPr>
        <w:t xml:space="preserve"> and Carey, 2001). Herb response to thinning, however, may be negatively correlated with the response of the competing shrub and tree layers (He and Barclay, 2000). … Unthinned patches have been proposed to promote diversity and better mimic natural stand development patterns, especially patterns of spatial diversity in overstory cover and species composition (Carey et al. 1999). … Small patches that were 36 and 50-m in diameter (0.1 and 0.2 ha, respectively) at the DMS study were compositionally similar to the thinned stand (200 </w:t>
      </w:r>
      <w:proofErr w:type="spellStart"/>
      <w:r w:rsidRPr="00C670A8">
        <w:rPr>
          <w:rFonts w:eastAsia="-moz-fixed" w:cs="-moz-fixed"/>
          <w:szCs w:val="24"/>
          <w:lang w:val="en-US" w:eastAsia="ar-SA"/>
        </w:rPr>
        <w:t>tph</w:t>
      </w:r>
      <w:proofErr w:type="spellEnd"/>
      <w:r w:rsidRPr="00C670A8">
        <w:rPr>
          <w:rFonts w:eastAsia="-moz-fixed" w:cs="-moz-fixed"/>
          <w:szCs w:val="24"/>
          <w:lang w:val="en-US" w:eastAsia="ar-SA"/>
        </w:rPr>
        <w:t xml:space="preserve"> residual density), whereas the interiors of 71-m diameter patches (0.4 ha) were compositionally similar to the unthinned stands (</w:t>
      </w:r>
      <w:proofErr w:type="spellStart"/>
      <w:r w:rsidRPr="00C670A8">
        <w:rPr>
          <w:rFonts w:eastAsia="-moz-fixed" w:cs="-moz-fixed"/>
          <w:szCs w:val="24"/>
          <w:lang w:val="en-US" w:eastAsia="ar-SA"/>
        </w:rPr>
        <w:t>Wessell</w:t>
      </w:r>
      <w:proofErr w:type="spellEnd"/>
      <w:r w:rsidRPr="00C670A8">
        <w:rPr>
          <w:rFonts w:eastAsia="-moz-fixed" w:cs="-moz-fixed"/>
          <w:szCs w:val="24"/>
          <w:lang w:val="en-US" w:eastAsia="ar-SA"/>
        </w:rPr>
        <w:t>, 2006). Unthinned patches of any size supported several species not present in the thinned stands, suggesting the value of these patches to within-stand heterogeneity and potential for propagation into adjacent areas. … Thinning disturbs existing vegetation and frees up resources, compounding the risk that interfering species will expand and dominate understory vegetation. … Too much regeneration, however, especially of shade-tolerant species, can provide a “secondary stem exclusion” that results in nearly complete loss of shrub and herb cover (</w:t>
      </w:r>
      <w:proofErr w:type="spellStart"/>
      <w:r w:rsidRPr="00C670A8">
        <w:rPr>
          <w:rFonts w:eastAsia="-moz-fixed" w:cs="-moz-fixed"/>
          <w:szCs w:val="24"/>
          <w:lang w:val="en-US" w:eastAsia="ar-SA"/>
        </w:rPr>
        <w:t>Alaback</w:t>
      </w:r>
      <w:proofErr w:type="spellEnd"/>
      <w:r w:rsidRPr="00C670A8">
        <w:rPr>
          <w:rFonts w:eastAsia="-moz-fixed" w:cs="-moz-fixed"/>
          <w:szCs w:val="24"/>
          <w:lang w:val="en-US" w:eastAsia="ar-SA"/>
        </w:rPr>
        <w:t xml:space="preserve"> and Herman, 1988; Bailey and </w:t>
      </w:r>
      <w:proofErr w:type="spellStart"/>
      <w:r w:rsidRPr="00C670A8">
        <w:rPr>
          <w:rFonts w:eastAsia="-moz-fixed" w:cs="-moz-fixed"/>
          <w:szCs w:val="24"/>
          <w:lang w:val="en-US" w:eastAsia="ar-SA"/>
        </w:rPr>
        <w:t>Tappeiner</w:t>
      </w:r>
      <w:proofErr w:type="spellEnd"/>
      <w:r w:rsidRPr="00C670A8">
        <w:rPr>
          <w:rFonts w:eastAsia="-moz-fixed" w:cs="-moz-fixed"/>
          <w:szCs w:val="24"/>
          <w:lang w:val="en-US" w:eastAsia="ar-SA"/>
        </w:rPr>
        <w:t xml:space="preserve">, 1998). Although none of the short-term results of the LSMEs documented this response … In areas where tall shrub cover is of special concern, harvesting activities may be designed to protect shrub patches. … </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Kevin W. Zobrist. 2005. A literature review of management practices to support increased biodiversity in intensively managed Douglas-fir plantations. Final Technical Report to the National Commission on Science for Sustainable Forestry (NCSSF). </w:t>
      </w:r>
      <w:hyperlink r:id="rId109" w:history="1">
        <w:r w:rsidRPr="00C670A8">
          <w:rPr>
            <w:rFonts w:eastAsia="-moz-fixed" w:cs="-moz-fixed"/>
            <w:color w:val="0000FF"/>
            <w:szCs w:val="20"/>
            <w:u w:val="single"/>
            <w:lang w:val="en-US" w:eastAsia="ar-SA"/>
          </w:rPr>
          <w:t>http://www.ruraltech.org/pubs/working/ncssf/tech_a/tech_report_a.pdf</w:t>
        </w:r>
      </w:hyperlink>
      <w:r w:rsidRPr="00C670A8">
        <w:rPr>
          <w:rFonts w:eastAsia="-moz-fixed" w:cs="-moz-fixed"/>
          <w:szCs w:val="20"/>
          <w:lang w:val="en-US" w:eastAsia="ar-SA"/>
        </w:rPr>
        <w:t xml:space="preserve"> (“</w:t>
      </w:r>
      <w:r w:rsidRPr="00C670A8">
        <w:rPr>
          <w:rFonts w:eastAsia="-moz-fixed" w:cs="-moz-fixed"/>
          <w:szCs w:val="24"/>
          <w:lang w:val="en-US" w:eastAsia="ar-SA"/>
        </w:rPr>
        <w:t>To meet the needs of a broad range of species, structural diversity is needed to provide a variety of habitat elements (</w:t>
      </w:r>
      <w:proofErr w:type="spellStart"/>
      <w:r w:rsidRPr="00C670A8">
        <w:rPr>
          <w:rFonts w:eastAsia="-moz-fixed" w:cs="-moz-fixed"/>
          <w:szCs w:val="24"/>
          <w:lang w:val="en-US" w:eastAsia="ar-SA"/>
        </w:rPr>
        <w:t>Helgerson</w:t>
      </w:r>
      <w:proofErr w:type="spellEnd"/>
      <w:r w:rsidRPr="00C670A8">
        <w:rPr>
          <w:rFonts w:eastAsia="-moz-fixed" w:cs="-moz-fixed"/>
          <w:szCs w:val="24"/>
          <w:lang w:val="en-US" w:eastAsia="ar-SA"/>
        </w:rPr>
        <w:t xml:space="preserve"> and Bottorff 2003, Muir et al. 2002). This requires complex three-dimensional canopy attributes and spatial relationships</w:t>
      </w:r>
      <w:r w:rsidRPr="00C670A8">
        <w:rPr>
          <w:rFonts w:eastAsia="-moz-fixed" w:cs="-moz-fixed"/>
          <w:sz w:val="20"/>
          <w:szCs w:val="20"/>
          <w:lang w:val="en-US" w:eastAsia="ar-SA"/>
        </w:rPr>
        <w:t xml:space="preserve"> …</w:t>
      </w:r>
      <w:r w:rsidRPr="00C670A8">
        <w:rPr>
          <w:rFonts w:eastAsia="-moz-fixed" w:cs="-moz-fixed"/>
          <w:szCs w:val="24"/>
          <w:lang w:val="en-US" w:eastAsia="ar-SA"/>
        </w:rPr>
        <w:t xml:space="preserve"> Structural manipulations … should greatly shorten the time necessary for occupancy [by late-seral dependent species]. … Stem exclusion stage … supports few wildlife species. … the positive effects of thinning [is to] allow light to reach the forest floor. This provides better developed understories … Studies have found direct links between thinning and wildlife abundance … more winter birds … abundance of small mammals … Old forest conditions [are] most lacking on the landscape and difficult to replace … Instead of traditional, uniform thinning, irregular thinning with different densities, unthinned areas, and openings can greatly enhance structural diversity (Curtis et al. 1998, </w:t>
      </w:r>
      <w:proofErr w:type="spellStart"/>
      <w:r w:rsidRPr="00C670A8">
        <w:rPr>
          <w:rFonts w:eastAsia="-moz-fixed" w:cs="-moz-fixed"/>
          <w:szCs w:val="24"/>
          <w:lang w:val="en-US" w:eastAsia="ar-SA"/>
        </w:rPr>
        <w:t>Helgerson</w:t>
      </w:r>
      <w:proofErr w:type="spellEnd"/>
      <w:r w:rsidRPr="00C670A8">
        <w:rPr>
          <w:rFonts w:eastAsia="-moz-fixed" w:cs="-moz-fixed"/>
          <w:szCs w:val="24"/>
          <w:lang w:val="en-US" w:eastAsia="ar-SA"/>
        </w:rPr>
        <w:t xml:space="preserve"> and Bottorff 2003). This is also called variable density thinning, which treats alternating areas of usually around 0.25 to 0.5 acres leaving two or more different levels of residual density (Carey and Curtis 1996, Carey and Johnson 1995, Carey et al. 1999b, Carey and Wilson 2001). Variable density thinning is intended to mimic natural forest processes of suppression and mortality to create a structural mosaic and maintain wind stability (Carey et al. 1999b). … Another important way to increase stand-level structural diversity is to retain biological legacies … such as large, live trees, snags, and downed wood can better mimic natural disturbances and give plantations a structure more similar to natural stands (Franklin et al. 2002, Hansen et al. 1991). … The practices described above can be combined to create “biodiversity pathways” for forest management. Biodiversity pathways begin with legacy retention at the time of harvest, less intensive site preparation to conserve downed wood and other forest floor substrates, and planting at wider spacing. Successive variable density thinnings are done over longer rotations. These thinnings are heavier than traditional commercial thinnings and favor multiple species. The goal of biodiversity pathways is to minimize the dense </w:t>
      </w:r>
      <w:r w:rsidRPr="00C670A8">
        <w:rPr>
          <w:rFonts w:eastAsia="-moz-fixed" w:cs="-moz-fixed"/>
          <w:szCs w:val="24"/>
          <w:lang w:val="en-US" w:eastAsia="ar-SA"/>
        </w:rPr>
        <w:lastRenderedPageBreak/>
        <w:t>stem-exclusion stage and accelerate the development of old forest structure and function to support increased biodiversity (Carey and Curtis 1996, Carey et al. 1996).”)</w:t>
      </w:r>
    </w:p>
    <w:p w:rsidR="00C670A8" w:rsidRPr="00C670A8" w:rsidRDefault="00C670A8" w:rsidP="00C670A8">
      <w:pPr>
        <w:numPr>
          <w:ilvl w:val="0"/>
          <w:numId w:val="14"/>
        </w:numPr>
        <w:suppressAutoHyphens/>
        <w:spacing w:line="240" w:lineRule="auto"/>
        <w:rPr>
          <w:rFonts w:eastAsia="-moz-fixed" w:cs="-moz-fixed"/>
          <w:szCs w:val="20"/>
          <w:lang w:val="en-US" w:eastAsia="ar-SA"/>
        </w:rPr>
      </w:pPr>
      <w:proofErr w:type="spellStart"/>
      <w:r w:rsidRPr="00C670A8">
        <w:rPr>
          <w:rFonts w:eastAsia="-moz-fixed" w:cs="-moz-fixed"/>
          <w:szCs w:val="20"/>
          <w:lang w:val="en-US" w:eastAsia="ar-SA"/>
        </w:rPr>
        <w:t>Poage</w:t>
      </w:r>
      <w:proofErr w:type="spellEnd"/>
      <w:r w:rsidRPr="00C670A8">
        <w:rPr>
          <w:rFonts w:eastAsia="-moz-fixed" w:cs="-moz-fixed"/>
          <w:szCs w:val="20"/>
          <w:lang w:val="en-US" w:eastAsia="ar-SA"/>
        </w:rPr>
        <w:t xml:space="preserve">, Nathan, J. 2005, Variability in Older Forest Structure in Western Oregon. U.S. Geological Survey, Open-file Report 2005-1385, 28 p. </w:t>
      </w:r>
      <w:hyperlink r:id="rId110" w:history="1">
        <w:r w:rsidRPr="00C670A8">
          <w:rPr>
            <w:rFonts w:eastAsia="-moz-fixed" w:cs="-moz-fixed"/>
            <w:color w:val="0000FF"/>
            <w:szCs w:val="20"/>
            <w:u w:val="single"/>
            <w:lang w:val="en-US" w:eastAsia="ar-SA"/>
          </w:rPr>
          <w:t>http://fresc.usgs.gov/products/papers/1445_Poage.pdf</w:t>
        </w:r>
      </w:hyperlink>
      <w:r w:rsidRPr="00C670A8">
        <w:rPr>
          <w:rFonts w:eastAsia="-moz-fixed" w:cs="-moz-fixed"/>
          <w:szCs w:val="20"/>
          <w:lang w:val="en-US" w:eastAsia="ar-SA"/>
        </w:rPr>
        <w:t xml:space="preserve"> (Vegetation patterns are highly variable within and between stands. Patch size and density generally decreased with increasing stand diameter class. Observed patterns and trends “are most likely reflection of the normal processes of tree mortality and snag production and decay within stands. As the trees in a patch increase in size, self-thinning reduces patch density and—by creating gaps within a patch—can divide the original patch into two smaller ones. Similarly, tree growth and mortality lead to fewer but larger snags in a patch. Decay also decreases the patch density of snags and can lead to the formation of gaps within patches of snags. The formation of gaps within patches appears somewhat random … ”</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SÁNDOR BARTHA et al. 2004. On the Importance of Fine-Scale Spatial Complexity in Vegetation Restoration Studies. International Journal of Ecology and Environmental Sciences 30: 101-116, 2004 </w:t>
      </w:r>
      <w:hyperlink r:id="rId111" w:history="1">
        <w:r w:rsidRPr="00C670A8">
          <w:rPr>
            <w:rFonts w:eastAsia="-moz-fixed" w:cs="-moz-fixed"/>
            <w:color w:val="0000FF"/>
            <w:szCs w:val="20"/>
            <w:u w:val="single"/>
            <w:lang w:val="en-US" w:eastAsia="ar-SA"/>
          </w:rPr>
          <w:t>https://www.researchgate.net/profile/Giandiego-Campetella/publication/46734299_On_the_importance_of_fine-scale_spatial_complexity_in_vegetation_restoration_studies/links/09e415087057791a8e000000/On-the-importance-of-fine-scale-spatial-complexity-in-vegetation-restoration-studies.pdf</w:t>
        </w:r>
      </w:hyperlink>
      <w:r w:rsidRPr="00C670A8">
        <w:rPr>
          <w:rFonts w:eastAsia="-moz-fixed" w:cs="-moz-fixed"/>
          <w:szCs w:val="20"/>
          <w:lang w:val="en-US" w:eastAsia="ar-SA"/>
        </w:rPr>
        <w:t xml:space="preserve">  (“Effective restoration should start from an understanding of the spontaneous processes of vegetation succession and utilize the natural “self-repair” mechanisms.... This context dependence of local vegetation dynamics is emphasized by the non-equilibrium ecological paradigm. This paradigm views the developing plant community as a complex dissipative system, which involve a methodology with explicit representation of spatiotemporal patterns. …. Descriptive and experimental evidences on natural succession (especially the accumulating data from long-term permanent plots and paleo-pollen spectra) revealed that succession is highly stochastic and the related mechanisms are far more complex than expected. … The variability of succession trajectories and the individualistic nature of local community dynamics can be understood by considering the effects from the spatiotemporal </w:t>
      </w:r>
      <w:proofErr w:type="spellStart"/>
      <w:r w:rsidRPr="00C670A8">
        <w:rPr>
          <w:rFonts w:eastAsia="-moz-fixed" w:cs="-moz-fixed"/>
          <w:szCs w:val="20"/>
          <w:lang w:val="en-US" w:eastAsia="ar-SA"/>
        </w:rPr>
        <w:t>neighbourhoods</w:t>
      </w:r>
      <w:proofErr w:type="spellEnd"/>
      <w:r w:rsidRPr="00C670A8">
        <w:rPr>
          <w:rFonts w:eastAsia="-moz-fixed" w:cs="-moz-fixed"/>
          <w:szCs w:val="20"/>
          <w:lang w:val="en-US" w:eastAsia="ar-SA"/>
        </w:rPr>
        <w:t xml:space="preserve"> at various scales. By temporal </w:t>
      </w:r>
      <w:proofErr w:type="spellStart"/>
      <w:r w:rsidRPr="00C670A8">
        <w:rPr>
          <w:rFonts w:eastAsia="-moz-fixed" w:cs="-moz-fixed"/>
          <w:szCs w:val="20"/>
          <w:lang w:val="en-US" w:eastAsia="ar-SA"/>
        </w:rPr>
        <w:t>neighbourhood</w:t>
      </w:r>
      <w:proofErr w:type="spellEnd"/>
      <w:r w:rsidRPr="00C670A8">
        <w:rPr>
          <w:rFonts w:eastAsia="-moz-fixed" w:cs="-moz-fixed"/>
          <w:szCs w:val="20"/>
          <w:lang w:val="en-US" w:eastAsia="ar-SA"/>
        </w:rPr>
        <w:t xml:space="preserve"> effects we mean the long lasting influence of initial conditions and the accumulating effects of specific events experienced during the site history … The </w:t>
      </w:r>
      <w:proofErr w:type="spellStart"/>
      <w:r w:rsidRPr="00C670A8">
        <w:rPr>
          <w:rFonts w:eastAsia="-moz-fixed" w:cs="-moz-fixed"/>
          <w:szCs w:val="20"/>
          <w:lang w:val="en-US" w:eastAsia="ar-SA"/>
        </w:rPr>
        <w:t>neighbourhood</w:t>
      </w:r>
      <w:proofErr w:type="spellEnd"/>
      <w:r w:rsidRPr="00C670A8">
        <w:rPr>
          <w:rFonts w:eastAsia="-moz-fixed" w:cs="-moz-fixed"/>
          <w:szCs w:val="20"/>
          <w:lang w:val="en-US" w:eastAsia="ar-SA"/>
        </w:rPr>
        <w:t xml:space="preserve"> relationships enfold along a hierarchy of scales. This means that history and spatial context are of vital at finer scales as well. Since restoration is the reassembly of community through human intervention (</w:t>
      </w:r>
      <w:proofErr w:type="spellStart"/>
      <w:r w:rsidRPr="00C670A8">
        <w:rPr>
          <w:rFonts w:eastAsia="-moz-fixed" w:cs="-moz-fixed"/>
          <w:szCs w:val="20"/>
          <w:lang w:val="en-US" w:eastAsia="ar-SA"/>
        </w:rPr>
        <w:t>MacMahon</w:t>
      </w:r>
      <w:proofErr w:type="spellEnd"/>
      <w:r w:rsidRPr="00C670A8">
        <w:rPr>
          <w:rFonts w:eastAsia="-moz-fixed" w:cs="-moz-fixed"/>
          <w:szCs w:val="20"/>
          <w:lang w:val="en-US" w:eastAsia="ar-SA"/>
        </w:rPr>
        <w:t xml:space="preserve"> and Hall 2001), understanding the community’s assembly rules is of considerable importance (Wilson 1999). Fine-scale contingencies are probably more significant in plant communities where individuals are sessile and interactions are local (</w:t>
      </w:r>
      <w:proofErr w:type="spellStart"/>
      <w:r w:rsidRPr="00C670A8">
        <w:rPr>
          <w:rFonts w:eastAsia="-moz-fixed" w:cs="-moz-fixed"/>
          <w:szCs w:val="20"/>
          <w:lang w:val="en-US" w:eastAsia="ar-SA"/>
        </w:rPr>
        <w:t>Czárán</w:t>
      </w:r>
      <w:proofErr w:type="spellEnd"/>
      <w:r w:rsidRPr="00C670A8">
        <w:rPr>
          <w:rFonts w:eastAsia="-moz-fixed" w:cs="-moz-fixed"/>
          <w:szCs w:val="20"/>
          <w:lang w:val="en-US" w:eastAsia="ar-SA"/>
        </w:rPr>
        <w:t xml:space="preserve"> and Bartha 1992). … [W]e propose a simple and quick method appropriate for monitoring the finescale structural complexity of developing vegetation, and well able to collect additional information relevant for manipulating both rates and directions of processes. … The under-estimated complexity of natural systems implies that we might restore over-simplified versions of target communities. … [W]e showed that ignoring the fine-scale, within-stand community patterns, complexity would be underestimated again, and the resulting limited knowledge might lead to wrong restoration decisions. … Our case studies illustrated that the number of realized species combinations (as a measure of fine-scale structural complexity) is a better indicator of the early stage of degradation and the optimum disturbance regimes, than the stand-scale aggregated averages…. We argue that non-equilibrium conditions require specific methodology which </w:t>
      </w:r>
      <w:proofErr w:type="spellStart"/>
      <w:r w:rsidRPr="00C670A8">
        <w:rPr>
          <w:rFonts w:eastAsia="-moz-fixed" w:cs="-moz-fixed"/>
          <w:szCs w:val="20"/>
          <w:lang w:val="en-US" w:eastAsia="ar-SA"/>
        </w:rPr>
        <w:t>ables</w:t>
      </w:r>
      <w:proofErr w:type="spellEnd"/>
      <w:r w:rsidRPr="00C670A8">
        <w:rPr>
          <w:rFonts w:eastAsia="-moz-fixed" w:cs="-moz-fixed"/>
          <w:szCs w:val="20"/>
          <w:lang w:val="en-US" w:eastAsia="ar-SA"/>
        </w:rPr>
        <w:t xml:space="preserve"> [sic] to represent the spatiotemporal variation and dependence at multiple scales.”)</w:t>
      </w:r>
    </w:p>
    <w:p w:rsidR="00C670A8" w:rsidRPr="00C670A8" w:rsidRDefault="00C670A8" w:rsidP="00C670A8">
      <w:pPr>
        <w:numPr>
          <w:ilvl w:val="0"/>
          <w:numId w:val="14"/>
        </w:numPr>
        <w:suppressAutoHyphens/>
        <w:spacing w:line="240" w:lineRule="auto"/>
        <w:rPr>
          <w:rFonts w:eastAsia="-moz-fixed" w:cs="-moz-fixed"/>
          <w:szCs w:val="24"/>
          <w:lang w:val="en-US" w:eastAsia="ar-SA"/>
        </w:rPr>
      </w:pPr>
      <w:r w:rsidRPr="00C670A8">
        <w:rPr>
          <w:rFonts w:eastAsia="-moz-fixed" w:cs="-moz-fixed"/>
          <w:szCs w:val="20"/>
          <w:lang w:val="en-US" w:eastAsia="ar-SA"/>
        </w:rPr>
        <w:lastRenderedPageBreak/>
        <w:t>Franklin J.F.; Van Pelt R. 2004. Spatial Aspects of Structural Complexity in Old-Growth Forests. Journal of Forestry, Volume 102, Number 3, April/May 2004, pp. 22-28(7). (“We find a gradual evolution of (1) canopies from simple, top-loaded, single-layered canopies in young stands to the vertically continuous, bottom-loaded canopies in older forests; and (2) spatial heterogeneity from uniform young stands that are initially dominated by competitive processes to the fine-scale structural patchwork of old-growth forests. … Old temperate forests can be viewed as fine-scale structural mosaics that are developed and maintained as a consequence of chronic disturbances. Forests subject to stand replacement disturbances evolve through an even-aged cohort that is initially homogenized by competitive-based mortality before arriving at the developmental stage where chronic disturbances become the dominant influence on stand structure. … [T]he functional old-growth forest consists of a fine-scale structural mosaic in which all elements of the structural mosaic are needed to achieve a complete old-growth forest.”)</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Competitive mortality tends to homogenize. Episodic intermediate disturbances act on the homogeneous forest to create spatial heterogeneity.</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Non-competitive mortality (insects, disease, wind, low to mixed-severity fire) tends to be contagious, creates canopy gaps and decadence, and tends toward heterogeneity.</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Chronic low- to moderate-intensity disturbance maintains fine scale structural mosaic until an uncommon stand replacing event occurs.</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This fine scale mosaic is characteristic of old forests in both stand-replacing and gap-replacing disturbance regimes.</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Natural canopy gaps tend to be 1/4 to 1/2 acres, a scale that is smaller than those proposed for group selection, so group selection may not be consistent with HRV.</w:t>
      </w:r>
    </w:p>
    <w:p w:rsidR="00C670A8" w:rsidRPr="00C670A8" w:rsidRDefault="00C670A8" w:rsidP="00C670A8">
      <w:pPr>
        <w:numPr>
          <w:ilvl w:val="0"/>
          <w:numId w:val="13"/>
        </w:numPr>
        <w:suppressAutoHyphens/>
        <w:spacing w:line="240" w:lineRule="auto"/>
        <w:ind w:right="-360"/>
        <w:rPr>
          <w:rFonts w:eastAsia="-moz-fixed" w:cs="-moz-fixed"/>
          <w:szCs w:val="24"/>
          <w:lang w:val="en-US" w:eastAsia="ar-SA"/>
        </w:rPr>
      </w:pPr>
      <w:r w:rsidRPr="00C670A8">
        <w:rPr>
          <w:rFonts w:eastAsia="-moz-fixed" w:cs="-moz-fixed"/>
          <w:szCs w:val="24"/>
          <w:lang w:val="en-US" w:eastAsia="ar-SA"/>
        </w:rPr>
        <w:t xml:space="preserve">Spatial patterns exist at multiple scales. [Perhaps ~1/f distribution of habitat patchiness. With many small and a few large patches, but most habitat represented in the large patches. Fractal edge dimensions. Contagious disturbance takes long path. See </w:t>
      </w:r>
      <w:r w:rsidRPr="00C670A8">
        <w:rPr>
          <w:rFonts w:eastAsia="-moz-fixed" w:cs="-moz-fixed"/>
          <w:szCs w:val="20"/>
          <w:lang w:val="en-US" w:eastAsia="ar-SA"/>
        </w:rPr>
        <w:t xml:space="preserve">e.g. </w:t>
      </w:r>
      <w:proofErr w:type="spellStart"/>
      <w:r w:rsidRPr="00C670A8">
        <w:rPr>
          <w:rFonts w:eastAsia="-moz-fixed" w:cs="-moz-fixed"/>
          <w:szCs w:val="20"/>
          <w:lang w:val="en-US" w:eastAsia="ar-SA"/>
        </w:rPr>
        <w:t>Gisiger</w:t>
      </w:r>
      <w:proofErr w:type="spellEnd"/>
      <w:r w:rsidRPr="00C670A8">
        <w:rPr>
          <w:rFonts w:eastAsia="-moz-fixed" w:cs="-moz-fixed"/>
          <w:szCs w:val="20"/>
          <w:lang w:val="en-US" w:eastAsia="ar-SA"/>
        </w:rPr>
        <w:t xml:space="preserve">, T. 2001. Scale invariance in biology: coincidence or footprint of universal mechanism? Bio. Rev. (2001) 76 pp 161-209. </w:t>
      </w:r>
      <w:hyperlink r:id="rId112" w:history="1">
        <w:r w:rsidRPr="00C670A8">
          <w:rPr>
            <w:rFonts w:eastAsia="-moz-fixed" w:cs="-moz-fixed"/>
            <w:color w:val="0000FF"/>
            <w:szCs w:val="20"/>
            <w:u w:val="single"/>
            <w:lang w:val="en-US" w:eastAsia="ar-SA"/>
          </w:rPr>
          <w:t>http://www3.sympatico.ca/thomas.gisiger/Gisiger_2001.pdf</w:t>
        </w:r>
      </w:hyperlink>
      <w:r w:rsidRPr="00C670A8">
        <w:rPr>
          <w:rFonts w:eastAsia="-moz-fixed" w:cs="-moz-fixed"/>
          <w:szCs w:val="20"/>
          <w:lang w:val="en-US" w:eastAsia="ar-SA"/>
        </w:rPr>
        <w:t xml:space="preserve"> </w:t>
      </w:r>
      <w:r w:rsidRPr="00C670A8">
        <w:rPr>
          <w:rFonts w:eastAsia="-moz-fixed" w:cs="-moz-fixed"/>
          <w:szCs w:val="24"/>
          <w:lang w:val="en-US" w:eastAsia="ar-SA"/>
        </w:rPr>
        <w:t xml:space="preserve">and </w:t>
      </w:r>
      <w:proofErr w:type="spellStart"/>
      <w:r w:rsidRPr="00C670A8">
        <w:rPr>
          <w:rFonts w:eastAsia="-moz-fixed" w:cs="-moz-fixed"/>
          <w:szCs w:val="24"/>
          <w:lang w:val="en-US" w:eastAsia="ar-SA"/>
        </w:rPr>
        <w:t>Manrubia</w:t>
      </w:r>
      <w:proofErr w:type="spellEnd"/>
      <w:r w:rsidRPr="00C670A8">
        <w:rPr>
          <w:rFonts w:eastAsia="-moz-fixed" w:cs="-moz-fixed"/>
          <w:szCs w:val="24"/>
          <w:lang w:val="en-US" w:eastAsia="ar-SA"/>
        </w:rPr>
        <w:t xml:space="preserve">, S. C., </w:t>
      </w:r>
      <w:proofErr w:type="spellStart"/>
      <w:r w:rsidRPr="00C670A8">
        <w:rPr>
          <w:rFonts w:eastAsia="-moz-fixed" w:cs="-moz-fixed"/>
          <w:szCs w:val="24"/>
          <w:lang w:val="en-US" w:eastAsia="ar-SA"/>
        </w:rPr>
        <w:t>Solé</w:t>
      </w:r>
      <w:proofErr w:type="spellEnd"/>
      <w:r w:rsidRPr="00C670A8">
        <w:rPr>
          <w:rFonts w:eastAsia="-moz-fixed" w:cs="-moz-fixed"/>
          <w:szCs w:val="24"/>
          <w:lang w:val="en-US" w:eastAsia="ar-SA"/>
        </w:rPr>
        <w:t xml:space="preserve">, R. V. (1997) On forest spatial dynamics with gap formation. Journal of Theoretical Biology 187, 159–164. Sole and </w:t>
      </w:r>
      <w:proofErr w:type="spellStart"/>
      <w:r w:rsidRPr="00C670A8">
        <w:rPr>
          <w:rFonts w:eastAsia="-moz-fixed" w:cs="-moz-fixed"/>
          <w:szCs w:val="24"/>
          <w:lang w:val="en-US" w:eastAsia="ar-SA"/>
        </w:rPr>
        <w:t>Manrubia</w:t>
      </w:r>
      <w:proofErr w:type="spellEnd"/>
      <w:r w:rsidRPr="00C670A8">
        <w:rPr>
          <w:rFonts w:eastAsia="-moz-fixed" w:cs="-moz-fixed"/>
          <w:szCs w:val="24"/>
          <w:lang w:val="en-US" w:eastAsia="ar-SA"/>
        </w:rPr>
        <w:t xml:space="preserve"> </w:t>
      </w:r>
      <w:hyperlink r:id="rId113" w:history="1">
        <w:r w:rsidRPr="00C670A8">
          <w:rPr>
            <w:rFonts w:eastAsia="-moz-fixed" w:cs="-moz-fixed"/>
            <w:color w:val="0000FF"/>
            <w:szCs w:val="20"/>
            <w:u w:val="single"/>
            <w:lang w:val="en-US" w:eastAsia="ar-SA"/>
          </w:rPr>
          <w:t>http://www.sciencedirect.com/science/article/pii/S0022519397904094</w:t>
        </w:r>
      </w:hyperlink>
      <w:r w:rsidRPr="00C670A8">
        <w:rPr>
          <w:rFonts w:eastAsia="-moz-fixed" w:cs="-moz-fixed"/>
          <w:szCs w:val="20"/>
          <w:lang w:val="en-US" w:eastAsia="ar-SA"/>
        </w:rPr>
        <w:t>.</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Epicormic branches are excellent habitat platforms for birds, mammals, and epiphytes.</w:t>
      </w:r>
    </w:p>
    <w:p w:rsidR="00C670A8" w:rsidRPr="00C670A8" w:rsidRDefault="00C670A8" w:rsidP="00C670A8">
      <w:pPr>
        <w:numPr>
          <w:ilvl w:val="0"/>
          <w:numId w:val="13"/>
        </w:numPr>
        <w:suppressAutoHyphens/>
        <w:spacing w:line="240" w:lineRule="auto"/>
        <w:rPr>
          <w:rFonts w:eastAsia="-moz-fixed" w:cs="-moz-fixed"/>
          <w:szCs w:val="24"/>
          <w:lang w:val="en-US" w:eastAsia="ar-SA"/>
        </w:rPr>
      </w:pPr>
      <w:r w:rsidRPr="00C670A8">
        <w:rPr>
          <w:rFonts w:eastAsia="-moz-fixed" w:cs="-moz-fixed"/>
          <w:szCs w:val="24"/>
          <w:lang w:val="en-US" w:eastAsia="ar-SA"/>
        </w:rPr>
        <w:t>Older stands have higher leaf areas.</w:t>
      </w:r>
    </w:p>
    <w:p w:rsidR="00C670A8" w:rsidRPr="00C670A8" w:rsidRDefault="00C670A8" w:rsidP="00C670A8">
      <w:pPr>
        <w:numPr>
          <w:ilvl w:val="0"/>
          <w:numId w:val="13"/>
        </w:numPr>
        <w:suppressAutoHyphens/>
        <w:spacing w:line="240" w:lineRule="auto"/>
        <w:rPr>
          <w:rFonts w:eastAsia="-moz-fixed" w:cs="-moz-fixed"/>
          <w:szCs w:val="20"/>
          <w:lang w:val="en-US" w:eastAsia="ar-SA"/>
        </w:rPr>
      </w:pPr>
      <w:r w:rsidRPr="00C670A8">
        <w:rPr>
          <w:rFonts w:eastAsia="-moz-fixed" w:cs="-moz-fixed"/>
          <w:szCs w:val="24"/>
          <w:lang w:val="en-US" w:eastAsia="ar-SA"/>
        </w:rPr>
        <w:t>All stand development process are simultaneously present within the stand, so new definition of forest "stand" may be need to account for the wide range of processes and conditions present concurrently within an otherwise "uniform" distinguishable stand.</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NOTE: Franklin and Van Pelt may have over-simplified the range of processes in operation within young stands. See: Lutz. J.A. 2005. The Contribution of Mortality to Early Coniferous Forest Development. MS Thesis. University of Washington. </w:t>
      </w:r>
      <w:hyperlink r:id="rId114" w:history="1">
        <w:r w:rsidRPr="00C670A8">
          <w:rPr>
            <w:rFonts w:eastAsia="-moz-fixed" w:cs="-moz-fixed"/>
            <w:color w:val="0000FF"/>
            <w:szCs w:val="20"/>
            <w:u w:val="single"/>
            <w:lang w:val="en-US" w:eastAsia="ar-SA"/>
          </w:rPr>
          <w:t>http://faculty.washington.edu/chalpern/Lutz_2005.pdf</w:t>
        </w:r>
      </w:hyperlink>
      <w:r w:rsidRPr="00C670A8">
        <w:rPr>
          <w:rFonts w:eastAsia="-moz-fixed" w:cs="-moz-fixed"/>
          <w:szCs w:val="20"/>
          <w:lang w:val="en-US" w:eastAsia="ar-SA"/>
        </w:rPr>
        <w:t xml:space="preserve">.This MS Thesis looked at long-term transect data from young forests in Western Oregon and found that non-competitive mortality and gap forming processes are very much in operation in young stands. </w:t>
      </w:r>
      <w:r w:rsidRPr="00C670A8">
        <w:rPr>
          <w:rFonts w:eastAsia="-moz-fixed" w:cs="-moz-fixed"/>
          <w:color w:val="000000"/>
          <w:szCs w:val="20"/>
          <w:lang w:val="en-US" w:eastAsia="ar-SA"/>
        </w:rPr>
        <w:t>A major conclusion of this study is the homogenizing influence of stand growth and competitive mortality in young stands</w:t>
      </w:r>
      <w:r w:rsidRPr="00C670A8">
        <w:rPr>
          <w:rFonts w:ascii="Arial" w:eastAsia="-moz-fixed" w:hAnsi="Arial"/>
          <w:color w:val="000000"/>
          <w:szCs w:val="20"/>
          <w:lang w:val="en-US" w:eastAsia="ar-SA"/>
        </w:rPr>
        <w:t> </w:t>
      </w:r>
      <w:r w:rsidRPr="00C670A8">
        <w:rPr>
          <w:rFonts w:eastAsia="-moz-fixed" w:cs="-moz-fixed"/>
          <w:szCs w:val="20"/>
          <w:lang w:val="en-US" w:eastAsia="ar-SA"/>
        </w:rPr>
        <w:t xml:space="preserve">is significantly counter-balanced by non-competitive mortality that tends toward heterogeneity and structural diversification. This means that if young stand management is to effectively mimic natural patterns and processes, that variable density treatments must be the rule, and the scale of the mosaic </w:t>
      </w:r>
      <w:r w:rsidRPr="00C670A8">
        <w:rPr>
          <w:rFonts w:eastAsia="-moz-fixed" w:cs="-moz-fixed"/>
          <w:szCs w:val="20"/>
          <w:lang w:val="en-US" w:eastAsia="ar-SA"/>
        </w:rPr>
        <w:lastRenderedPageBreak/>
        <w:t xml:space="preserve">must be very fine scale. See also Lutz &amp; Halpern 2006. Tree Mortality During Early Forest Development: A Long-Term Study Of Rates, Causes, And Consequences. Ecological Monographs, 76(2), 2006, pp. 257–275. </w:t>
      </w:r>
      <w:hyperlink r:id="rId115" w:history="1">
        <w:r w:rsidRPr="00C670A8">
          <w:rPr>
            <w:rFonts w:eastAsia="-moz-fixed" w:cs="-moz-fixed"/>
            <w:color w:val="0000FF"/>
            <w:szCs w:val="20"/>
            <w:u w:val="single"/>
            <w:lang w:val="en-US" w:eastAsia="ar-SA"/>
          </w:rPr>
          <w:t>http://cfr501.jamesalutz.com/Lutz_Halpern_Mortality_EM_2006.pdf</w:t>
        </w:r>
      </w:hyperlink>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Carey, Andrew B., Janet </w:t>
      </w:r>
      <w:proofErr w:type="spellStart"/>
      <w:r w:rsidRPr="00C670A8">
        <w:rPr>
          <w:rFonts w:eastAsia="-moz-fixed" w:cs="-moz-fixed"/>
          <w:szCs w:val="20"/>
          <w:lang w:val="en-US" w:eastAsia="ar-SA"/>
        </w:rPr>
        <w:t>Kershner</w:t>
      </w:r>
      <w:proofErr w:type="spellEnd"/>
      <w:r w:rsidRPr="00C670A8">
        <w:rPr>
          <w:rFonts w:eastAsia="-moz-fixed" w:cs="-moz-fixed"/>
          <w:szCs w:val="20"/>
          <w:lang w:val="en-US" w:eastAsia="ar-SA"/>
        </w:rPr>
        <w:t xml:space="preserve">, Brian Biswell, and Laura Dominguez de Toledo. 1999. Ecological Scale and Forest Development: Squirrels, Dietary Fungi, and Vascular Plants in Managed and Unmanaged Forests. Wildlife Monographs, No 142, Supplement to the Journal of Wildlife Management, Vol. 63 No. 1, January 1999. </w:t>
      </w:r>
      <w:hyperlink r:id="rId116" w:history="1">
        <w:r w:rsidRPr="00C670A8">
          <w:rPr>
            <w:rFonts w:eastAsia="-moz-fixed" w:cs="-moz-fixed"/>
            <w:color w:val="0000FF"/>
            <w:szCs w:val="20"/>
            <w:u w:val="single"/>
            <w:lang w:val="en-US" w:eastAsia="ar-SA"/>
          </w:rPr>
          <w:t>http://www.fs.usda.gov/pnw/pubs/journals/pnw_1999_carey003.pdf.</w:t>
        </w:r>
      </w:hyperlink>
      <w:r w:rsidRPr="00C670A8">
        <w:rPr>
          <w:rFonts w:eastAsia="-moz-fixed" w:cs="-moz-fixed"/>
          <w:szCs w:val="20"/>
          <w:lang w:val="en-US" w:eastAsia="ar-SA"/>
        </w:rPr>
        <w:t xml:space="preserve"> (“[S]</w:t>
      </w:r>
      <w:proofErr w:type="spellStart"/>
      <w:r w:rsidRPr="00C670A8">
        <w:rPr>
          <w:rFonts w:eastAsia="-moz-fixed" w:cs="-moz-fixed"/>
          <w:szCs w:val="20"/>
          <w:lang w:val="en-US" w:eastAsia="ar-SA"/>
        </w:rPr>
        <w:t>ilviculture</w:t>
      </w:r>
      <w:proofErr w:type="spellEnd"/>
      <w:r w:rsidRPr="00C670A8">
        <w:rPr>
          <w:rFonts w:eastAsia="-moz-fixed" w:cs="-moz-fixed"/>
          <w:szCs w:val="20"/>
          <w:lang w:val="en-US" w:eastAsia="ar-SA"/>
        </w:rPr>
        <w:t xml:space="preserve"> can contribute to simplification or to diversification of the ecosystem.</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It is our contention that aggradation and redistribution of biomass, living and dead, results in niche diversification, an expansion of the niche hyperspace of the ecosystem and the community it contains....It is this expansion that may result in emergent properties through symbiosis and synergy.... Thus we hypothesize that conservation of biodiversity could be achieved in managed forests through planned human-caused disturbances and gradual change that create a multidimensional space of particular dimensions; it is those dimensions we seek to describe here.</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Crown-class differentiation accounted for more variance in our data set than any other factor. Similarly, Carey et al. (1991b) reported that dbh alone could separate age classes in their sample, and Spies and Franklin (19901) reported that most variance among age classes across the Pacific Northwest could be reduced to a single canonical variate related to the standard deviation of dbh and the density of large trees.</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In our study, crown-class differentiation accounted for 25% of variance in vegetation structure, but proved to be a major dimension of the realized habitat of chipmunk abundance.</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Crown-class differentiation is perhaps the factor of forest development most amenable to management: (1) species composition can be determined managerially at initiation of a new stand by legacy retention, planting, and precommercial thinning, (2) management of stem density and growth rates is well founded (Curtis and Carey 1996), and (3) spacing can be varied tree to tree or patch to patch within stands (Carey 1995, Carey et al. 1996a,b). Growth of large trees and time lead to disease, injury, decay, and death of trees and consequent expansion of multidimensional niche space. Decay processes seem less deterministic; management of decadence is more problematic.</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Of all the habitat elements we measured, coarse woody debris proved to be the best predictor of the realized habitat space, activity; and carrying capacity of northern flying squirrels and carrying capacity for Townsend’s chipmunk.</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If catastrophic disturbance sets the stage, it is small-scale disturbances in the canopy that determines the pace of the ecosystem development. Whitmore (1989) claimed that gaps drive the forest cycle in all forests; but the ecological process of tree death (Franklin et al. 1987) is particularly important in expansion of niche space.</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 xml:space="preserve">... biodiversity is suppressed in competitive exclusion (which historically was rare in many landscapes; </w:t>
      </w:r>
      <w:proofErr w:type="spellStart"/>
      <w:r w:rsidRPr="00C670A8">
        <w:rPr>
          <w:rFonts w:eastAsia="-moz-fixed" w:cs="-moz-fixed"/>
          <w:szCs w:val="20"/>
          <w:lang w:val="en-US" w:eastAsia="ar-SA"/>
        </w:rPr>
        <w:t>Tappeiner</w:t>
      </w:r>
      <w:proofErr w:type="spellEnd"/>
      <w:r w:rsidRPr="00C670A8">
        <w:rPr>
          <w:rFonts w:eastAsia="-moz-fixed" w:cs="-moz-fixed"/>
          <w:szCs w:val="20"/>
          <w:lang w:val="en-US" w:eastAsia="ar-SA"/>
        </w:rPr>
        <w:t xml:space="preserve"> et al. 1997a) and there is expansion of niche space and increased biodiversity in understory-reinitiation and niche-diversification stands.</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lastRenderedPageBreak/>
        <w:t>... Ecosystem dynamics... suggest active ecosystem management would be more effective than passive management (withdrawals or reserves) for conservation of biodiversity in second-growth forests.</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Thinnings, active promotion of decadence, and legacy retention hold potential in managing forests for biodiversity, but spatial scale of management is important.</w:t>
      </w:r>
    </w:p>
    <w:p w:rsidR="00C670A8" w:rsidRPr="00C670A8" w:rsidRDefault="00C670A8" w:rsidP="00C670A8">
      <w:pPr>
        <w:suppressAutoHyphens/>
        <w:spacing w:line="240" w:lineRule="auto"/>
        <w:ind w:left="720"/>
        <w:rPr>
          <w:rFonts w:eastAsia="-moz-fixed" w:cs="-moz-fixed"/>
          <w:b/>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b/>
          <w:szCs w:val="20"/>
          <w:lang w:val="en-US" w:eastAsia="ar-SA"/>
        </w:rPr>
        <w:t>Thinning</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In the Pacific northwest, the best opportunities for conservation of biodiversity through ecosystem management lie in the millions of hectares of second growth forest &lt;50 years old. (</w:t>
      </w:r>
      <w:proofErr w:type="spellStart"/>
      <w:r w:rsidRPr="00C670A8">
        <w:rPr>
          <w:rFonts w:eastAsia="-moz-fixed" w:cs="-moz-fixed"/>
          <w:szCs w:val="20"/>
          <w:lang w:val="en-US" w:eastAsia="ar-SA"/>
        </w:rPr>
        <w:t>DeBell</w:t>
      </w:r>
      <w:proofErr w:type="spellEnd"/>
      <w:r w:rsidRPr="00C670A8">
        <w:rPr>
          <w:rFonts w:eastAsia="-moz-fixed" w:cs="-moz-fixed"/>
          <w:szCs w:val="20"/>
          <w:lang w:val="en-US" w:eastAsia="ar-SA"/>
        </w:rPr>
        <w:t xml:space="preserve"> et al 1997, Hayes et al 1997). Crown class differentiation, canopy stratification, understory development, and habitat breadth can be enhanced through thinning, but spatial patterning is important.... Traditional, light commercial thinning will not preclude or move a stand out of competitive exclusion and will not increase habitat breadth. Heavy thinning with even spacing can cause stands to become drier through increase wind and sunlight, could result in salal brushfields (simple structure with low habitat breadth), and if applied in a dense stand) could disrupt mycorrhizal links and increase probability of massive windthrow (Carey et al 1996b).</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Variable-density thinning on a 0.1-0.5 ha scale that removes subordinate or codominant trees appears to have potential for increasing crown-class differentiation, canopy stratification, understory development, and habitat breadth.... [W]e suggest that maintaining relative densities of 0.5 and 0.35 in a ratio of 2:1 over the stand could result in accelerating the development of stand structure and heterogeneity characteristic of late-seral, natural forests. Hagar et al. (1996) recommended variable-density thinning with relative densities of 0.2 -0.7. Actual choice of relative densities should entail consideration of risk of windthrow, potential for creation of salal or salmonberry (</w:t>
      </w:r>
      <w:r w:rsidRPr="00C670A8">
        <w:rPr>
          <w:rFonts w:eastAsia="-moz-fixed" w:cs="-moz-fixed"/>
          <w:i/>
          <w:szCs w:val="20"/>
          <w:lang w:val="en-US" w:eastAsia="ar-SA"/>
        </w:rPr>
        <w:t xml:space="preserve">Rubus </w:t>
      </w:r>
      <w:proofErr w:type="spellStart"/>
      <w:r w:rsidRPr="00C670A8">
        <w:rPr>
          <w:rFonts w:eastAsia="-moz-fixed" w:cs="-moz-fixed"/>
          <w:i/>
          <w:szCs w:val="20"/>
          <w:lang w:val="en-US" w:eastAsia="ar-SA"/>
        </w:rPr>
        <w:t>spectabilis</w:t>
      </w:r>
      <w:proofErr w:type="spellEnd"/>
      <w:r w:rsidRPr="00C670A8">
        <w:rPr>
          <w:rFonts w:eastAsia="-moz-fixed" w:cs="-moz-fixed"/>
          <w:szCs w:val="20"/>
          <w:lang w:val="en-US" w:eastAsia="ar-SA"/>
        </w:rPr>
        <w:t>) brushfields, the silvics of the species being managed, and site conditions. Multiple thinnings would be necessary to (1) keep the disturbance intermediate to small scale, (2) avoid disrupting connectivity among tree crowns (3) prevent excessive drying of the forest floor, (4) avoid development of a sparse overstory with a dense salal brushfield underneath, and (5) keep the canopy from closing into a stage of competitive exclusion.</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 xml:space="preserve">... Traditional commercial thinning with systematic spacing allowed quick (ca. 10 </w:t>
      </w:r>
      <w:proofErr w:type="spellStart"/>
      <w:r w:rsidRPr="00C670A8">
        <w:rPr>
          <w:rFonts w:eastAsia="-moz-fixed" w:cs="-moz-fixed"/>
          <w:szCs w:val="20"/>
          <w:lang w:val="en-US" w:eastAsia="ar-SA"/>
        </w:rPr>
        <w:t>yr</w:t>
      </w:r>
      <w:proofErr w:type="spellEnd"/>
      <w:r w:rsidRPr="00C670A8">
        <w:rPr>
          <w:rFonts w:eastAsia="-moz-fixed" w:cs="-moz-fixed"/>
          <w:szCs w:val="20"/>
          <w:lang w:val="en-US" w:eastAsia="ar-SA"/>
        </w:rPr>
        <w:t>) canopy closure and return to competitive exclusion; biodiversity targets were not met.... In forests being restored for late-seral wildlife, biodiversity thinnings appeared to have substantial value in creating late-seral forest relatively quickly. In forest managed for economic values....</w:t>
      </w:r>
    </w:p>
    <w:p w:rsidR="00C670A8" w:rsidRPr="00C670A8" w:rsidRDefault="00C670A8" w:rsidP="00C670A8">
      <w:pPr>
        <w:suppressAutoHyphens/>
        <w:spacing w:line="240" w:lineRule="auto"/>
        <w:ind w:left="720"/>
        <w:rPr>
          <w:rFonts w:eastAsia="-moz-fixed" w:cs="-moz-fixed"/>
          <w:b/>
          <w:szCs w:val="20"/>
          <w:lang w:val="en-US" w:eastAsia="ar-SA"/>
        </w:rPr>
      </w:pPr>
      <w:r w:rsidRPr="00C670A8">
        <w:rPr>
          <w:rFonts w:eastAsia="-moz-fixed" w:cs="-moz-fixed"/>
          <w:szCs w:val="20"/>
          <w:lang w:val="en-US" w:eastAsia="ar-SA"/>
        </w:rPr>
        <w:t>...</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b/>
          <w:szCs w:val="20"/>
          <w:lang w:val="en-US" w:eastAsia="ar-SA"/>
        </w:rPr>
        <w:t>Managing for decadence</w:t>
      </w:r>
    </w:p>
    <w:p w:rsidR="00C670A8" w:rsidRPr="00C670A8" w:rsidRDefault="00C670A8" w:rsidP="00C670A8">
      <w:pPr>
        <w:suppressAutoHyphens/>
        <w:spacing w:line="240" w:lineRule="auto"/>
        <w:ind w:left="720"/>
        <w:rPr>
          <w:rFonts w:eastAsia="-moz-fixed" w:cs="-moz-fixed"/>
          <w:szCs w:val="20"/>
          <w:lang w:val="en-US" w:eastAsia="ar-SA"/>
        </w:rPr>
      </w:pPr>
      <w:r w:rsidRPr="00C670A8">
        <w:rPr>
          <w:rFonts w:eastAsia="-moz-fixed" w:cs="-moz-fixed"/>
          <w:szCs w:val="20"/>
          <w:lang w:val="en-US" w:eastAsia="ar-SA"/>
        </w:rPr>
        <w:t>Managing decadence is the most challenging aspect of intentional ecosystem management. Our research shows that decadence is more than snags and logs; it is a process that is influential in multiple aspects of ecosystem development from providing cavities for wildlife, to creating gaps in the canopy, to altering forest floor microclimate and structure.”)</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“To simulate this type of natural disturbance [openings created by beetles], logging in medium-aged mixed montane stands should aim to create gaps with retention of a part of the dead wood. Planting after logging should be delayed, to lengthen this important phase of sunlit conditions otherwise rarely found in a landscape of young and dense commercial forests.” </w:t>
      </w:r>
      <w:proofErr w:type="spellStart"/>
      <w:r w:rsidRPr="00C670A8">
        <w:rPr>
          <w:rFonts w:eastAsia="-moz-fixed" w:cs="-moz-fixed"/>
          <w:szCs w:val="20"/>
          <w:lang w:val="en-US" w:eastAsia="ar-SA"/>
        </w:rPr>
        <w:t>Jorg</w:t>
      </w:r>
      <w:proofErr w:type="spellEnd"/>
      <w:r w:rsidRPr="00C670A8">
        <w:rPr>
          <w:rFonts w:eastAsia="-moz-fixed" w:cs="-moz-fixed"/>
          <w:szCs w:val="20"/>
          <w:lang w:val="en-US" w:eastAsia="ar-SA"/>
        </w:rPr>
        <w:t xml:space="preserve"> Muller, Heinz Butler, Martin </w:t>
      </w:r>
      <w:proofErr w:type="spellStart"/>
      <w:r w:rsidRPr="00C670A8">
        <w:rPr>
          <w:rFonts w:eastAsia="-moz-fixed" w:cs="-moz-fixed"/>
          <w:szCs w:val="20"/>
          <w:lang w:val="en-US" w:eastAsia="ar-SA"/>
        </w:rPr>
        <w:t>Goßner</w:t>
      </w:r>
      <w:proofErr w:type="spellEnd"/>
      <w:r w:rsidRPr="00C670A8">
        <w:rPr>
          <w:rFonts w:eastAsia="-moz-fixed" w:cs="-moz-fixed"/>
          <w:szCs w:val="20"/>
          <w:lang w:val="en-US" w:eastAsia="ar-SA"/>
        </w:rPr>
        <w:t xml:space="preserve">, Thomas </w:t>
      </w:r>
      <w:proofErr w:type="spellStart"/>
      <w:r w:rsidRPr="00C670A8">
        <w:rPr>
          <w:rFonts w:eastAsia="-moz-fixed" w:cs="-moz-fixed"/>
          <w:szCs w:val="20"/>
          <w:lang w:val="en-US" w:eastAsia="ar-SA"/>
        </w:rPr>
        <w:t>Rettelbach</w:t>
      </w:r>
      <w:proofErr w:type="spellEnd"/>
      <w:r w:rsidRPr="00C670A8">
        <w:rPr>
          <w:rFonts w:eastAsia="-moz-fixed" w:cs="-moz-fixed"/>
          <w:szCs w:val="20"/>
          <w:lang w:val="en-US" w:eastAsia="ar-SA"/>
        </w:rPr>
        <w:t xml:space="preserve">, </w:t>
      </w:r>
      <w:r w:rsidRPr="00C670A8">
        <w:rPr>
          <w:rFonts w:eastAsia="-moz-fixed" w:cs="-moz-fixed"/>
          <w:szCs w:val="20"/>
          <w:lang w:val="en-US" w:eastAsia="ar-SA"/>
        </w:rPr>
        <w:lastRenderedPageBreak/>
        <w:t xml:space="preserve">Peter </w:t>
      </w:r>
      <w:proofErr w:type="spellStart"/>
      <w:r w:rsidRPr="00C670A8">
        <w:rPr>
          <w:rFonts w:eastAsia="-moz-fixed" w:cs="-moz-fixed"/>
          <w:szCs w:val="20"/>
          <w:lang w:val="en-US" w:eastAsia="ar-SA"/>
        </w:rPr>
        <w:t>Duelli</w:t>
      </w:r>
      <w:proofErr w:type="spellEnd"/>
      <w:r w:rsidRPr="00C670A8">
        <w:rPr>
          <w:rFonts w:eastAsia="-moz-fixed" w:cs="-moz-fixed"/>
          <w:szCs w:val="20"/>
          <w:lang w:val="en-US" w:eastAsia="ar-SA"/>
        </w:rPr>
        <w:t xml:space="preserve">, 2008. The European spruce bark beetle </w:t>
      </w:r>
      <w:proofErr w:type="spellStart"/>
      <w:r w:rsidRPr="00C670A8">
        <w:rPr>
          <w:rFonts w:eastAsia="-moz-fixed" w:cs="-moz-fixed"/>
          <w:szCs w:val="20"/>
          <w:lang w:val="en-US" w:eastAsia="ar-SA"/>
        </w:rPr>
        <w:t>Ips</w:t>
      </w:r>
      <w:proofErr w:type="spellEnd"/>
      <w:r w:rsidRPr="00C670A8">
        <w:rPr>
          <w:rFonts w:eastAsia="-moz-fixed" w:cs="-moz-fixed"/>
          <w:szCs w:val="20"/>
          <w:lang w:val="en-US" w:eastAsia="ar-SA"/>
        </w:rPr>
        <w:t xml:space="preserve"> </w:t>
      </w:r>
      <w:proofErr w:type="spellStart"/>
      <w:r w:rsidRPr="00C670A8">
        <w:rPr>
          <w:rFonts w:eastAsia="-moz-fixed" w:cs="-moz-fixed"/>
          <w:szCs w:val="20"/>
          <w:lang w:val="en-US" w:eastAsia="ar-SA"/>
        </w:rPr>
        <w:t>typographus</w:t>
      </w:r>
      <w:proofErr w:type="spellEnd"/>
      <w:r w:rsidRPr="00C670A8">
        <w:rPr>
          <w:rFonts w:eastAsia="-moz-fixed" w:cs="-moz-fixed"/>
          <w:szCs w:val="20"/>
          <w:lang w:val="en-US" w:eastAsia="ar-SA"/>
        </w:rPr>
        <w:t xml:space="preserve"> in a national park: from pest to keystone species. </w:t>
      </w:r>
      <w:proofErr w:type="spellStart"/>
      <w:r w:rsidRPr="00C670A8">
        <w:rPr>
          <w:rFonts w:eastAsia="-moz-fixed" w:cs="-moz-fixed"/>
          <w:szCs w:val="20"/>
          <w:lang w:val="en-US" w:eastAsia="ar-SA"/>
        </w:rPr>
        <w:t>Biodivers</w:t>
      </w:r>
      <w:proofErr w:type="spellEnd"/>
      <w:r w:rsidRPr="00C670A8">
        <w:rPr>
          <w:rFonts w:eastAsia="-moz-fixed" w:cs="-moz-fixed"/>
          <w:szCs w:val="20"/>
          <w:lang w:val="en-US" w:eastAsia="ar-SA"/>
        </w:rPr>
        <w:t xml:space="preserve"> </w:t>
      </w:r>
      <w:proofErr w:type="spellStart"/>
      <w:r w:rsidRPr="00C670A8">
        <w:rPr>
          <w:rFonts w:eastAsia="-moz-fixed" w:cs="-moz-fixed"/>
          <w:szCs w:val="20"/>
          <w:lang w:val="en-US" w:eastAsia="ar-SA"/>
        </w:rPr>
        <w:t>Conserv</w:t>
      </w:r>
      <w:proofErr w:type="spellEnd"/>
      <w:r w:rsidRPr="00C670A8">
        <w:rPr>
          <w:rFonts w:eastAsia="-moz-fixed" w:cs="-moz-fixed"/>
          <w:szCs w:val="20"/>
          <w:lang w:val="en-US" w:eastAsia="ar-SA"/>
        </w:rPr>
        <w:t xml:space="preserve"> (2008) 17:2979–3001.</w:t>
      </w:r>
    </w:p>
    <w:p w:rsidR="00C670A8" w:rsidRPr="00C670A8" w:rsidRDefault="00C670A8" w:rsidP="00C670A8">
      <w:pPr>
        <w:numPr>
          <w:ilvl w:val="0"/>
          <w:numId w:val="14"/>
        </w:numPr>
        <w:suppressAutoHyphens/>
        <w:spacing w:line="240" w:lineRule="auto"/>
        <w:rPr>
          <w:rFonts w:eastAsia="-moz-fixed" w:cs="-moz-fixed"/>
          <w:szCs w:val="20"/>
          <w:lang w:val="en-US" w:eastAsia="ar-SA"/>
        </w:rPr>
      </w:pPr>
      <w:r w:rsidRPr="00C670A8">
        <w:rPr>
          <w:rFonts w:eastAsia="-moz-fixed" w:cs="-moz-fixed"/>
          <w:szCs w:val="20"/>
          <w:lang w:val="en-US" w:eastAsia="ar-SA"/>
        </w:rPr>
        <w:t xml:space="preserve">There may be value in varying the shape(s) of harvest units and the harvest and </w:t>
      </w:r>
      <w:proofErr w:type="spellStart"/>
      <w:r w:rsidRPr="00C670A8">
        <w:rPr>
          <w:rFonts w:eastAsia="-moz-fixed" w:cs="-moz-fixed"/>
          <w:szCs w:val="20"/>
          <w:lang w:val="en-US" w:eastAsia="ar-SA"/>
        </w:rPr>
        <w:t>nonharvest</w:t>
      </w:r>
      <w:proofErr w:type="spellEnd"/>
      <w:r w:rsidRPr="00C670A8">
        <w:rPr>
          <w:rFonts w:eastAsia="-moz-fixed" w:cs="-moz-fixed"/>
          <w:szCs w:val="20"/>
          <w:lang w:val="en-US" w:eastAsia="ar-SA"/>
        </w:rPr>
        <w:t xml:space="preserve"> areas within units so they are less blocky and more sinuous with a greater ratio of edge-to-area. This has proven beneficial for pollinators, and may benefit other wildlife as well. </w:t>
      </w:r>
      <w:proofErr w:type="spellStart"/>
      <w:r w:rsidRPr="00C670A8">
        <w:rPr>
          <w:rFonts w:eastAsia="-moz-fixed" w:cs="-moz-fixed"/>
          <w:szCs w:val="20"/>
          <w:lang w:val="en-US" w:eastAsia="ar-SA"/>
        </w:rPr>
        <w:t>Parmentier</w:t>
      </w:r>
      <w:proofErr w:type="spellEnd"/>
      <w:r w:rsidRPr="00C670A8">
        <w:rPr>
          <w:rFonts w:eastAsia="-moz-fixed" w:cs="-moz-fixed"/>
          <w:szCs w:val="20"/>
          <w:lang w:val="en-US" w:eastAsia="ar-SA"/>
        </w:rPr>
        <w:t xml:space="preserve">, L., </w:t>
      </w:r>
      <w:proofErr w:type="spellStart"/>
      <w:r w:rsidRPr="00C670A8">
        <w:rPr>
          <w:rFonts w:eastAsia="-moz-fixed" w:cs="-moz-fixed"/>
          <w:szCs w:val="20"/>
          <w:lang w:val="en-US" w:eastAsia="ar-SA"/>
        </w:rPr>
        <w:t>Kerckvoorde</w:t>
      </w:r>
      <w:proofErr w:type="spellEnd"/>
      <w:r w:rsidRPr="00C670A8">
        <w:rPr>
          <w:rFonts w:eastAsia="-moz-fixed" w:cs="-moz-fixed"/>
          <w:szCs w:val="20"/>
          <w:lang w:val="en-US" w:eastAsia="ar-SA"/>
        </w:rPr>
        <w:t xml:space="preserve">, A. V., </w:t>
      </w:r>
      <w:proofErr w:type="spellStart"/>
      <w:r w:rsidRPr="00C670A8">
        <w:rPr>
          <w:rFonts w:eastAsia="-moz-fixed" w:cs="-moz-fixed"/>
          <w:szCs w:val="20"/>
          <w:lang w:val="en-US" w:eastAsia="ar-SA"/>
        </w:rPr>
        <w:t>Couckuyt</w:t>
      </w:r>
      <w:proofErr w:type="spellEnd"/>
      <w:r w:rsidRPr="00C670A8">
        <w:rPr>
          <w:rFonts w:eastAsia="-moz-fixed" w:cs="-moz-fixed"/>
          <w:szCs w:val="20"/>
          <w:lang w:val="en-US" w:eastAsia="ar-SA"/>
        </w:rPr>
        <w:t xml:space="preserve">, J., </w:t>
      </w:r>
      <w:proofErr w:type="spellStart"/>
      <w:r w:rsidRPr="00C670A8">
        <w:rPr>
          <w:rFonts w:eastAsia="-moz-fixed" w:cs="-moz-fixed"/>
          <w:szCs w:val="20"/>
          <w:lang w:val="en-US" w:eastAsia="ar-SA"/>
        </w:rPr>
        <w:t>Calster</w:t>
      </w:r>
      <w:proofErr w:type="spellEnd"/>
      <w:r w:rsidRPr="00C670A8">
        <w:rPr>
          <w:rFonts w:eastAsia="-moz-fixed" w:cs="-moz-fixed"/>
          <w:szCs w:val="20"/>
          <w:lang w:val="en-US" w:eastAsia="ar-SA"/>
        </w:rPr>
        <w:t xml:space="preserve">, H. V., </w:t>
      </w:r>
      <w:proofErr w:type="spellStart"/>
      <w:r w:rsidRPr="00C670A8">
        <w:rPr>
          <w:rFonts w:eastAsia="-moz-fixed" w:cs="-moz-fixed"/>
          <w:szCs w:val="20"/>
          <w:lang w:val="en-US" w:eastAsia="ar-SA"/>
        </w:rPr>
        <w:t>Smagghe</w:t>
      </w:r>
      <w:proofErr w:type="spellEnd"/>
      <w:r w:rsidRPr="00C670A8">
        <w:rPr>
          <w:rFonts w:eastAsia="-moz-fixed" w:cs="-moz-fixed"/>
          <w:szCs w:val="20"/>
          <w:lang w:val="en-US" w:eastAsia="ar-SA"/>
        </w:rPr>
        <w:t xml:space="preserve">, G., &amp; </w:t>
      </w:r>
      <w:proofErr w:type="spellStart"/>
      <w:r w:rsidRPr="00C670A8">
        <w:rPr>
          <w:rFonts w:eastAsia="-moz-fixed" w:cs="-moz-fixed"/>
          <w:szCs w:val="20"/>
          <w:lang w:val="en-US" w:eastAsia="ar-SA"/>
        </w:rPr>
        <w:t>Haesaert</w:t>
      </w:r>
      <w:proofErr w:type="spellEnd"/>
      <w:r w:rsidRPr="00C670A8">
        <w:rPr>
          <w:rFonts w:eastAsia="-moz-fixed" w:cs="-moz-fixed"/>
          <w:szCs w:val="20"/>
          <w:lang w:val="en-US" w:eastAsia="ar-SA"/>
        </w:rPr>
        <w:t xml:space="preserve">, G. (2025). Sinus management: Meandering mowing as a novel method to improve pollinator biodiversity and habitat heterogeneity in mesic grasslands. </w:t>
      </w:r>
      <w:r w:rsidRPr="00C670A8">
        <w:rPr>
          <w:rFonts w:eastAsia="-moz-fixed" w:cs="-moz-fixed"/>
          <w:i/>
          <w:iCs/>
          <w:szCs w:val="20"/>
          <w:lang w:val="en-US" w:eastAsia="ar-SA"/>
        </w:rPr>
        <w:t>Agriculture, Ecosystems &amp; Environment</w:t>
      </w:r>
      <w:r w:rsidRPr="00C670A8">
        <w:rPr>
          <w:rFonts w:eastAsia="-moz-fixed" w:cs="-moz-fixed"/>
          <w:szCs w:val="20"/>
          <w:lang w:val="en-US" w:eastAsia="ar-SA"/>
        </w:rPr>
        <w:t xml:space="preserve">, </w:t>
      </w:r>
      <w:r w:rsidRPr="00C670A8">
        <w:rPr>
          <w:rFonts w:eastAsia="-moz-fixed" w:cs="-moz-fixed"/>
          <w:i/>
          <w:iCs/>
          <w:szCs w:val="20"/>
          <w:lang w:val="en-US" w:eastAsia="ar-SA"/>
        </w:rPr>
        <w:t>382</w:t>
      </w:r>
      <w:r w:rsidRPr="00C670A8">
        <w:rPr>
          <w:rFonts w:eastAsia="-moz-fixed" w:cs="-moz-fixed"/>
          <w:szCs w:val="20"/>
          <w:lang w:val="en-US" w:eastAsia="ar-SA"/>
        </w:rPr>
        <w:t xml:space="preserve">, 109478. </w:t>
      </w:r>
      <w:hyperlink r:id="rId117" w:history="1">
        <w:r w:rsidRPr="00C670A8">
          <w:rPr>
            <w:rFonts w:eastAsia="-moz-fixed" w:cs="-moz-fixed"/>
            <w:color w:val="0000FF"/>
            <w:szCs w:val="20"/>
            <w:u w:val="single"/>
            <w:lang w:val="en-US" w:eastAsia="ar-SA"/>
          </w:rPr>
          <w:t>https://doi.org/10.1016/j.agee.2025.109478</w:t>
        </w:r>
      </w:hyperlink>
      <w:r w:rsidRPr="00C670A8">
        <w:rPr>
          <w:rFonts w:eastAsia="-moz-fixed" w:cs="-moz-fixed"/>
          <w:szCs w:val="20"/>
          <w:lang w:val="en-US" w:eastAsia="ar-SA"/>
        </w:rPr>
        <w:t xml:space="preserve">. </w:t>
      </w:r>
    </w:p>
    <w:p w:rsidR="00F1799C" w:rsidRDefault="00F1799C"/>
    <w:p w:rsidR="00425A78" w:rsidRPr="00425A78" w:rsidRDefault="00425A78" w:rsidP="00425A78">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22" w:name="_Toc194591341"/>
      <w:bookmarkStart w:id="23" w:name="_Toc195695325"/>
      <w:r w:rsidRPr="00425A78">
        <w:rPr>
          <w:rFonts w:ascii="Arial" w:eastAsia="-moz-fixed" w:hAnsi="Arial" w:cs="-moz-fixed"/>
          <w:b/>
          <w:sz w:val="28"/>
          <w:szCs w:val="20"/>
          <w:lang w:val="en-US" w:eastAsia="ar-SA"/>
        </w:rPr>
        <w:t>Meadow Restoration</w:t>
      </w:r>
      <w:bookmarkEnd w:id="22"/>
      <w:bookmarkEnd w:id="23"/>
    </w:p>
    <w:p w:rsidR="00425A78" w:rsidRPr="00425A78" w:rsidRDefault="00425A78" w:rsidP="00425A78">
      <w:pPr>
        <w:suppressAutoHyphens/>
        <w:spacing w:line="240" w:lineRule="auto"/>
        <w:rPr>
          <w:rFonts w:eastAsia="-moz-fixed" w:cs="-moz-fixed"/>
          <w:szCs w:val="20"/>
          <w:lang w:val="en-US" w:eastAsia="ar-SA"/>
        </w:rPr>
      </w:pPr>
    </w:p>
    <w:p w:rsidR="00425A78" w:rsidRP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Oregon Wild supports careful restoration of meadows, including native plant/animal communities and natural hydrology.</w:t>
      </w:r>
    </w:p>
    <w:p w:rsidR="00425A78" w:rsidRPr="00425A78" w:rsidRDefault="00425A78" w:rsidP="00425A78">
      <w:pPr>
        <w:suppressAutoHyphens/>
        <w:spacing w:line="240" w:lineRule="auto"/>
        <w:rPr>
          <w:rFonts w:eastAsia="-moz-fixed" w:cs="-moz-fixed"/>
          <w:szCs w:val="20"/>
          <w:lang w:val="en-US" w:eastAsia="ar-SA"/>
        </w:rPr>
      </w:pPr>
    </w:p>
    <w:p w:rsidR="00425A78" w:rsidRP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Succession happens. It’s natural. It’s not always a bad thing. Even in meadows.</w:t>
      </w:r>
    </w:p>
    <w:p w:rsidR="00425A78" w:rsidRPr="00425A78" w:rsidRDefault="00425A78" w:rsidP="00425A78">
      <w:pPr>
        <w:suppressAutoHyphens/>
        <w:spacing w:line="240" w:lineRule="auto"/>
        <w:rPr>
          <w:rFonts w:eastAsia="-moz-fixed" w:cs="-moz-fixed"/>
          <w:szCs w:val="20"/>
          <w:lang w:val="en-US" w:eastAsia="ar-SA"/>
        </w:rPr>
      </w:pPr>
    </w:p>
    <w:p w:rsidR="00425A78" w:rsidRP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Fire happens and will kill lots of trees in and around these meadows someday.</w:t>
      </w:r>
    </w:p>
    <w:p w:rsidR="00425A78" w:rsidRPr="00425A78" w:rsidRDefault="00425A78" w:rsidP="00425A78">
      <w:pPr>
        <w:suppressAutoHyphens/>
        <w:spacing w:line="240" w:lineRule="auto"/>
        <w:rPr>
          <w:rFonts w:eastAsia="-moz-fixed" w:cs="-moz-fixed"/>
          <w:szCs w:val="20"/>
          <w:lang w:val="en-US" w:eastAsia="ar-SA"/>
        </w:rPr>
      </w:pPr>
    </w:p>
    <w:p w:rsid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So doing nothing is an option, especially when there are significant trade-offs.</w:t>
      </w:r>
    </w:p>
    <w:p w:rsidR="00BD6F03" w:rsidRDefault="00BD6F03" w:rsidP="00425A78">
      <w:pPr>
        <w:suppressAutoHyphens/>
        <w:spacing w:line="240" w:lineRule="auto"/>
        <w:rPr>
          <w:rFonts w:eastAsia="-moz-fixed" w:cs="-moz-fixed"/>
          <w:szCs w:val="20"/>
          <w:lang w:val="en-US" w:eastAsia="ar-SA"/>
        </w:rPr>
      </w:pPr>
    </w:p>
    <w:p w:rsidR="00BD6F03" w:rsidRPr="00425A78" w:rsidRDefault="00BD6F03" w:rsidP="00425A78">
      <w:pPr>
        <w:suppressAutoHyphens/>
        <w:spacing w:line="240" w:lineRule="auto"/>
        <w:rPr>
          <w:rFonts w:eastAsia="-moz-fixed" w:cs="-moz-fixed"/>
          <w:szCs w:val="20"/>
          <w:lang w:val="en-US" w:eastAsia="ar-SA"/>
        </w:rPr>
      </w:pPr>
      <w:r>
        <w:rPr>
          <w:rFonts w:eastAsia="-moz-fixed" w:cs="-moz-fixed"/>
          <w:szCs w:val="20"/>
          <w:lang w:val="en-US" w:eastAsia="ar-SA"/>
        </w:rPr>
        <w:t xml:space="preserve">The EA says there are 108 acres of suitable northern spotted owl habitat slated for “meadow restoration.” </w:t>
      </w:r>
      <w:r w:rsidR="003701B1">
        <w:rPr>
          <w:rFonts w:eastAsia="-moz-fixed" w:cs="-moz-fixed"/>
          <w:szCs w:val="20"/>
          <w:lang w:val="en-US" w:eastAsia="ar-SA"/>
        </w:rPr>
        <w:t xml:space="preserve">But the EA says that suitability would be maintained. This is a confusing type of meadow restoration. </w:t>
      </w:r>
      <w:r>
        <w:rPr>
          <w:rFonts w:eastAsia="-moz-fixed" w:cs="-moz-fixed"/>
          <w:szCs w:val="20"/>
          <w:lang w:val="en-US" w:eastAsia="ar-SA"/>
        </w:rPr>
        <w:t xml:space="preserve">This is an example of a place where it is </w:t>
      </w:r>
      <w:r w:rsidR="003701B1">
        <w:rPr>
          <w:rFonts w:eastAsia="-moz-fixed" w:cs="-moz-fixed"/>
          <w:szCs w:val="20"/>
          <w:lang w:val="en-US" w:eastAsia="ar-SA"/>
        </w:rPr>
        <w:t xml:space="preserve">probably </w:t>
      </w:r>
      <w:r>
        <w:rPr>
          <w:rFonts w:eastAsia="-moz-fixed" w:cs="-moz-fixed"/>
          <w:szCs w:val="20"/>
          <w:lang w:val="en-US" w:eastAsia="ar-SA"/>
        </w:rPr>
        <w:t>preferable to just let the owls enjoy the habitat while it there, and let fire decide when the site reverts to meadow habitat.</w:t>
      </w:r>
    </w:p>
    <w:p w:rsidR="00425A78" w:rsidRPr="00425A78" w:rsidRDefault="00425A78" w:rsidP="00425A78">
      <w:pPr>
        <w:suppressAutoHyphens/>
        <w:spacing w:line="240" w:lineRule="auto"/>
        <w:rPr>
          <w:rFonts w:eastAsia="-moz-fixed" w:cs="-moz-fixed"/>
          <w:szCs w:val="20"/>
          <w:lang w:val="en-US" w:eastAsia="ar-SA"/>
        </w:rPr>
      </w:pPr>
    </w:p>
    <w:p w:rsidR="00425A78" w:rsidRP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 xml:space="preserve">Please consider the dynamic flux between forests and meadows as a self-organizing system. The extent of meadows as an emergent property of geology, soils, climate, and disturbance regimes. Climate and disturbance regimes have been in flux since the last ice age due to the gradual warming of the climate as the last ice age ended, then the ebb and flow of human populations and their respective land practices. Fire frequency has been influenced by both pre-Europeans, who may have increased fire frequency, and Europeans, who may have decreased fire frequency. We urge the Forest Service to consider letting the extent of meadows continue to be determined by the natural processes that operate in this area. Native American burning has all but ceased, modern land management may or may not continue to suppress fires with unknown success, climate change may increase fire frequency. Please consider an alternative that encourages the continued operation of the self-organizing system that guides the dynamic flux between forests and meadows. </w:t>
      </w:r>
    </w:p>
    <w:p w:rsidR="00425A78" w:rsidRPr="00425A78" w:rsidRDefault="00425A78" w:rsidP="00425A78">
      <w:pPr>
        <w:suppressAutoHyphens/>
        <w:spacing w:line="240" w:lineRule="auto"/>
        <w:rPr>
          <w:rFonts w:eastAsia="-moz-fixed" w:cs="-moz-fixed"/>
          <w:szCs w:val="20"/>
          <w:lang w:val="en-US" w:eastAsia="ar-SA"/>
        </w:rPr>
      </w:pPr>
    </w:p>
    <w:p w:rsidR="00425A78" w:rsidRPr="00425A78" w:rsidRDefault="00425A78" w:rsidP="00425A78">
      <w:pPr>
        <w:suppressAutoHyphens/>
        <w:spacing w:line="240" w:lineRule="auto"/>
        <w:rPr>
          <w:rFonts w:eastAsia="-moz-fixed" w:cs="-moz-fixed"/>
          <w:szCs w:val="20"/>
          <w:lang w:val="en-US" w:eastAsia="ar-SA"/>
        </w:rPr>
      </w:pPr>
      <w:r w:rsidRPr="00425A78">
        <w:rPr>
          <w:rFonts w:eastAsia="-moz-fixed" w:cs="-moz-fixed"/>
          <w:szCs w:val="20"/>
          <w:lang w:val="en-US" w:eastAsia="ar-SA"/>
        </w:rPr>
        <w:t>Here are some recommendations:</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Develop a complete plant list for each meadow and know where the rare plants are and buffer them from potential adverse effects, such as jackpot burning, herbicides, etc.</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Avoid pile burning. It has extreme effects on soil, plants,  and below-ground ecosystems.</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Avoid heavy equipment in meadows. No machine manipulation of slash.</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Avoid road construction.</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Avoid commercial removal of logs.</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 xml:space="preserve">Fell and burn encroaching trees &lt;12” dbh. </w:t>
      </w:r>
      <w:bookmarkStart w:id="24" w:name="_Hlk29989711"/>
      <w:r w:rsidRPr="00425A78">
        <w:rPr>
          <w:rFonts w:ascii="Times New Roman" w:eastAsia="Cambria Math" w:hAnsi="Times New Roman" w:cs="Times New Roman"/>
          <w:sz w:val="24"/>
          <w:szCs w:val="24"/>
          <w:lang w:val="en-US" w:eastAsia="ar-SA"/>
        </w:rPr>
        <w:t>Consider retaining a few patches of slash as per acre habitat features.</w:t>
      </w:r>
    </w:p>
    <w:bookmarkEnd w:id="24"/>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lastRenderedPageBreak/>
        <w:t xml:space="preserve">Use multiple alternative means of killing encroaching trees 12-20 inches dbh, e.g., mechanical girdling, fire girdling, fungi inoculation, blasting tops, etc. </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Retain all trees over 20” dbh and just let natural process sort things out. Fire (or some other natural process) will eventually get them.</w:t>
      </w:r>
    </w:p>
    <w:p w:rsidR="00425A78" w:rsidRPr="00425A78" w:rsidRDefault="00425A78" w:rsidP="00425A78">
      <w:pPr>
        <w:numPr>
          <w:ilvl w:val="0"/>
          <w:numId w:val="18"/>
        </w:numPr>
        <w:suppressAutoHyphens/>
        <w:spacing w:line="240" w:lineRule="auto"/>
        <w:contextualSpacing/>
        <w:rPr>
          <w:rFonts w:ascii="Times New Roman" w:eastAsia="Cambria Math" w:hAnsi="Times New Roman" w:cs="Times New Roman"/>
          <w:sz w:val="24"/>
          <w:szCs w:val="24"/>
          <w:lang w:val="en-US" w:eastAsia="ar-SA"/>
        </w:rPr>
      </w:pPr>
      <w:r w:rsidRPr="00425A78">
        <w:rPr>
          <w:rFonts w:ascii="Times New Roman" w:eastAsia="Cambria Math" w:hAnsi="Times New Roman" w:cs="Times New Roman"/>
          <w:sz w:val="24"/>
          <w:szCs w:val="24"/>
          <w:lang w:val="en-US" w:eastAsia="ar-SA"/>
        </w:rPr>
        <w:t>Retain all Pacific yew trees.</w:t>
      </w:r>
    </w:p>
    <w:p w:rsidR="00425A78" w:rsidRDefault="00425A78"/>
    <w:p w:rsidR="001A2A45" w:rsidRPr="001A2A45" w:rsidRDefault="001A2A45" w:rsidP="001A2A45">
      <w:pPr>
        <w:keepNext/>
        <w:numPr>
          <w:ilvl w:val="1"/>
          <w:numId w:val="0"/>
        </w:numPr>
        <w:tabs>
          <w:tab w:val="num" w:pos="0"/>
        </w:tabs>
        <w:suppressAutoHyphens/>
        <w:spacing w:line="240" w:lineRule="auto"/>
        <w:ind w:left="576" w:hanging="576"/>
        <w:outlineLvl w:val="1"/>
        <w:rPr>
          <w:rFonts w:ascii="Arial" w:eastAsia="-moz-fixed" w:hAnsi="Arial" w:cs="-moz-fixed"/>
          <w:b/>
          <w:sz w:val="28"/>
          <w:szCs w:val="24"/>
          <w:lang w:val="en-US" w:eastAsia="ar-SA"/>
        </w:rPr>
      </w:pPr>
      <w:bookmarkStart w:id="25" w:name="_Toc194591207"/>
      <w:bookmarkStart w:id="26" w:name="_Toc195695326"/>
      <w:r w:rsidRPr="001A2A45">
        <w:rPr>
          <w:rFonts w:ascii="Arial" w:eastAsia="-moz-fixed" w:hAnsi="Arial" w:cs="-moz-fixed"/>
          <w:b/>
          <w:sz w:val="28"/>
          <w:szCs w:val="20"/>
          <w:lang w:val="en-US" w:eastAsia="ar-SA"/>
        </w:rPr>
        <w:t>Manage for Decadence – retain untreated “skips” for recruitment of mortality</w:t>
      </w:r>
      <w:bookmarkEnd w:id="25"/>
      <w:bookmarkEnd w:id="26"/>
    </w:p>
    <w:p w:rsidR="001A2A45" w:rsidRDefault="001A2A45" w:rsidP="001A2A45">
      <w:pPr>
        <w:suppressAutoHyphens/>
        <w:spacing w:line="240" w:lineRule="auto"/>
        <w:rPr>
          <w:rFonts w:eastAsia="-moz-fixed" w:cs="-moz-fixed"/>
          <w:szCs w:val="24"/>
          <w:lang w:val="en-US" w:eastAsia="ar-SA"/>
        </w:rPr>
      </w:pPr>
    </w:p>
    <w:p w:rsidR="00B46AC3" w:rsidRDefault="00B46AC3" w:rsidP="001A2A45">
      <w:pPr>
        <w:suppressAutoHyphens/>
        <w:spacing w:line="240" w:lineRule="auto"/>
        <w:rPr>
          <w:rFonts w:eastAsia="-moz-fixed" w:cs="-moz-fixed"/>
          <w:szCs w:val="24"/>
          <w:lang w:val="en-US" w:eastAsia="ar-SA"/>
        </w:rPr>
      </w:pPr>
      <w:r>
        <w:rPr>
          <w:rFonts w:eastAsia="-moz-fixed" w:cs="-moz-fixed"/>
          <w:szCs w:val="24"/>
          <w:lang w:val="en-US" w:eastAsia="ar-SA"/>
        </w:rPr>
        <w:t>The draft EA has misleading analysis saying that recent fires have increased snag availability, without also disclosing that recent fires will cause a severe shortage of snags in the coming decades when those fire-killed snags fall, and there are too few green trees available to recruit snags. This “snag gap” will last for decades, and thinning will exacerbate it’s ill effects.</w:t>
      </w:r>
      <w:r w:rsidR="00C3593F">
        <w:rPr>
          <w:rFonts w:eastAsia="-moz-fixed" w:cs="-moz-fixed"/>
          <w:szCs w:val="24"/>
          <w:lang w:val="en-US" w:eastAsia="ar-SA"/>
        </w:rPr>
        <w:t xml:space="preserve"> These facts revel an unanalyzed need to scale back the thinning to ensure an adequate pool of green trees are available for snag recruitment in the decades ahead.</w:t>
      </w:r>
    </w:p>
    <w:p w:rsidR="0097674E" w:rsidRDefault="0097674E" w:rsidP="001A2A45">
      <w:pPr>
        <w:suppressAutoHyphens/>
        <w:spacing w:line="240" w:lineRule="auto"/>
        <w:rPr>
          <w:rFonts w:eastAsia="-moz-fixed" w:cs="-moz-fixed"/>
          <w:szCs w:val="24"/>
          <w:lang w:val="en-US" w:eastAsia="ar-SA"/>
        </w:rPr>
      </w:pPr>
    </w:p>
    <w:p w:rsidR="0097674E" w:rsidRDefault="0097674E" w:rsidP="001A2A45">
      <w:pPr>
        <w:suppressAutoHyphens/>
        <w:spacing w:line="240" w:lineRule="auto"/>
      </w:pPr>
      <w:r>
        <w:rPr>
          <w:rFonts w:eastAsia="-moz-fixed" w:cs="-moz-fixed"/>
          <w:szCs w:val="24"/>
          <w:lang w:val="en-US" w:eastAsia="ar-SA"/>
        </w:rPr>
        <w:t>EA (p 46) says “</w:t>
      </w:r>
      <w:r>
        <w:t xml:space="preserve">thinning prescriptions would retain a canopy cover over 40% and thus, adequate numbers of leave trees would be retained if needed for </w:t>
      </w:r>
      <w:proofErr w:type="spellStart"/>
      <w:r>
        <w:t>post harvest</w:t>
      </w:r>
      <w:proofErr w:type="spellEnd"/>
      <w:r>
        <w:t xml:space="preserve"> snag and down wood mitigation and enhancement.” This is unsupported. There is no analysis to disclose that thinning exacerbates the snag deficit caused by wildfires, nor analysis showing whether retaining 40% canopy cover leaves adequate snag recruitment to meet species needs in future decades. </w:t>
      </w:r>
    </w:p>
    <w:p w:rsidR="0097674E" w:rsidRDefault="0097674E" w:rsidP="001A2A45">
      <w:pPr>
        <w:suppressAutoHyphens/>
        <w:spacing w:line="240" w:lineRule="auto"/>
      </w:pPr>
    </w:p>
    <w:p w:rsidR="0097674E" w:rsidRDefault="0097674E" w:rsidP="001A2A45">
      <w:pPr>
        <w:suppressAutoHyphens/>
        <w:spacing w:line="240" w:lineRule="auto"/>
      </w:pPr>
      <w:r>
        <w:t xml:space="preserve">EA (p 46) says “Red-breasted nuthatches, a secondary cavity nester, is a species that would benefit with Alternative 2 because thinning of the younger stands would promote increased structural diversity that benefits this species.” This is illogical and misleading. If red-breasted nuthatches need cavity and snags, but this project will exacerbate an expected shortage of snags in future decades, how would the species benefit? And what does “increased structural diversity” mean? And what does it have to do with the analysis of snags and dead wood habitat? </w:t>
      </w:r>
    </w:p>
    <w:p w:rsidR="00D67F12" w:rsidRDefault="00D67F12" w:rsidP="001A2A45">
      <w:pPr>
        <w:suppressAutoHyphens/>
        <w:spacing w:line="240" w:lineRule="auto"/>
      </w:pPr>
    </w:p>
    <w:p w:rsidR="00D67F12" w:rsidRDefault="00D67F12" w:rsidP="001A2A45">
      <w:pPr>
        <w:suppressAutoHyphens/>
        <w:spacing w:line="240" w:lineRule="auto"/>
        <w:rPr>
          <w:rFonts w:eastAsia="-moz-fixed" w:cs="-moz-fixed"/>
          <w:szCs w:val="24"/>
          <w:lang w:val="en-US" w:eastAsia="ar-SA"/>
        </w:rPr>
      </w:pPr>
      <w:r>
        <w:t>EA (p 46) says “Over the long-term, proposed thinning treatments would result in reduced levels of snag and down wood habitat within thinned stands compared to Alternative 1. This reduction in future recruitment of snags and down wood at the stand level is balanced against accelerating other aspects of late successional forests such as larger diameter trees and multiple canopy layers.” The EA does not explain how this balancing of costs and benefits is measured? How can the Forest Service decide that the benefits of thinning outweigh the harms and justify the action? This is where consideration of a broader range of alternatives would be helpful to illuminate these trade-offs and find potentially more optimal solutions.</w:t>
      </w:r>
    </w:p>
    <w:p w:rsidR="00CF2B9C" w:rsidRDefault="00CF2B9C" w:rsidP="001A2A45">
      <w:pPr>
        <w:suppressAutoHyphens/>
        <w:spacing w:line="240" w:lineRule="auto"/>
        <w:rPr>
          <w:rFonts w:eastAsia="-moz-fixed" w:cs="-moz-fixed"/>
          <w:szCs w:val="24"/>
          <w:lang w:val="en-US" w:eastAsia="ar-SA"/>
        </w:rPr>
      </w:pPr>
    </w:p>
    <w:p w:rsidR="00CF2B9C" w:rsidRDefault="00CF2B9C" w:rsidP="001A2A45">
      <w:pPr>
        <w:suppressAutoHyphens/>
        <w:spacing w:line="240" w:lineRule="auto"/>
        <w:rPr>
          <w:rFonts w:eastAsia="-moz-fixed" w:cs="-moz-fixed"/>
          <w:szCs w:val="24"/>
          <w:lang w:val="en-US" w:eastAsia="ar-SA"/>
        </w:rPr>
      </w:pPr>
      <w:r>
        <w:rPr>
          <w:rFonts w:eastAsia="-moz-fixed" w:cs="-moz-fixed"/>
          <w:szCs w:val="24"/>
          <w:lang w:val="en-US" w:eastAsia="ar-SA"/>
        </w:rPr>
        <w:t>Maintaining high levels of snags and dead wood is critical to maintaining habitat for late successional species, including the northern spotted owl and its prey. Logging that depletes these features over the long term must be fully disclosed.</w:t>
      </w:r>
    </w:p>
    <w:p w:rsidR="00C3593F" w:rsidRDefault="00C3593F" w:rsidP="001A2A45">
      <w:pPr>
        <w:suppressAutoHyphens/>
        <w:spacing w:line="240" w:lineRule="auto"/>
        <w:rPr>
          <w:rFonts w:eastAsia="-moz-fixed" w:cs="-moz-fixed"/>
          <w:szCs w:val="24"/>
          <w:lang w:val="en-US" w:eastAsia="ar-SA"/>
        </w:rPr>
      </w:pPr>
    </w:p>
    <w:p w:rsidR="00C3593F" w:rsidRPr="00C3593F" w:rsidRDefault="00C3593F" w:rsidP="00C3593F">
      <w:pPr>
        <w:suppressAutoHyphens/>
        <w:spacing w:line="240" w:lineRule="auto"/>
        <w:rPr>
          <w:rFonts w:eastAsia="-moz-fixed" w:cs="-moz-fixed"/>
          <w:szCs w:val="20"/>
          <w:lang w:val="en-US" w:eastAsia="ar-SA"/>
        </w:rPr>
      </w:pPr>
      <w:r w:rsidRPr="00C3593F">
        <w:rPr>
          <w:rFonts w:eastAsia="-moz-fixed" w:cs="-moz-fixed"/>
          <w:szCs w:val="20"/>
          <w:lang w:val="en-US" w:eastAsia="ar-SA"/>
        </w:rPr>
        <w:t xml:space="preserve">One of the most significant and lasting effects of stand replacing disturbance such as fire, wind, or regeneration logging is to bring the process of snag recruitment to a virtual standstill for many decades. It may seem counterintuitive but the apparent abundance of large snags after a stand replacing disturbance masks a severe shortage of large snags down the road. Even if snags are not removed by the disturbance, snags created by the disturbance will fall down over time and few if any snags are created. After those snags fall down, the snag population remains low for many decades because the pool of green trees available for snag recruitment is greatly </w:t>
      </w:r>
      <w:r w:rsidRPr="00C3593F">
        <w:rPr>
          <w:rFonts w:eastAsia="-moz-fixed" w:cs="-moz-fixed"/>
          <w:szCs w:val="20"/>
          <w:lang w:val="en-US" w:eastAsia="ar-SA"/>
        </w:rPr>
        <w:lastRenderedPageBreak/>
        <w:t>reduced. This shortage of snags lasts at least until the new stand grows large trees again. This results in a “snag gap” that has serious adverse consequences for diverse wildlife and fish that depend on snags and many other ecological processes.</w:t>
      </w:r>
    </w:p>
    <w:p w:rsidR="00C3593F" w:rsidRPr="00C3593F" w:rsidRDefault="00C3593F" w:rsidP="00C3593F">
      <w:pPr>
        <w:suppressAutoHyphens/>
        <w:spacing w:line="240" w:lineRule="auto"/>
        <w:rPr>
          <w:rFonts w:eastAsia="-moz-fixed" w:cs="-moz-fixed"/>
          <w:szCs w:val="20"/>
          <w:lang w:val="en-US" w:eastAsia="ar-SA"/>
        </w:rPr>
      </w:pPr>
    </w:p>
    <w:p w:rsidR="00C3593F" w:rsidRPr="00C3593F" w:rsidRDefault="00C3593F" w:rsidP="00C3593F">
      <w:pPr>
        <w:suppressAutoHyphens/>
        <w:spacing w:line="240" w:lineRule="auto"/>
        <w:rPr>
          <w:rFonts w:eastAsia="-moz-fixed" w:cs="-moz-fixed"/>
          <w:szCs w:val="20"/>
          <w:lang w:val="en-US" w:eastAsia="ar-SA"/>
        </w:rPr>
      </w:pPr>
      <w:r w:rsidRPr="00C3593F">
        <w:rPr>
          <w:rFonts w:eastAsia="-moz-fixed" w:cs="-moz-fixed"/>
          <w:szCs w:val="20"/>
          <w:lang w:val="en-US" w:eastAsia="ar-SA"/>
        </w:rPr>
        <w:t xml:space="preserve">The shortage of snags in the decades following stand replacing fire is acknowledged by the Forest Service. “In the event of a stand replacing wildfire, snags would be abundant for 0-30 years, followed by a century or more of low snag densities until burned areas regenerate.” Wallowa-Whitman National Forest 2012. Trail Vegetation Management Project EA, page 136. </w:t>
      </w:r>
      <w:hyperlink r:id="rId118" w:history="1">
        <w:r w:rsidRPr="00C3593F">
          <w:rPr>
            <w:rFonts w:eastAsia="-moz-fixed" w:cs="-moz-fixed"/>
            <w:color w:val="0000FF"/>
            <w:szCs w:val="20"/>
            <w:u w:val="single"/>
            <w:lang w:val="en-US" w:eastAsia="ar-SA"/>
          </w:rPr>
          <w:t>https://www.fs.usda.gov/project/wallowa-whitman/?project=34482</w:t>
        </w:r>
      </w:hyperlink>
      <w:r w:rsidRPr="00C3593F">
        <w:rPr>
          <w:rFonts w:eastAsia="-moz-fixed" w:cs="-moz-fixed"/>
          <w:szCs w:val="20"/>
          <w:lang w:val="en-US" w:eastAsia="ar-SA"/>
        </w:rPr>
        <w:t xml:space="preserve">; </w:t>
      </w:r>
      <w:hyperlink r:id="rId119" w:history="1">
        <w:r w:rsidRPr="00C3593F">
          <w:rPr>
            <w:rFonts w:eastAsia="-moz-fixed" w:cs="-moz-fixed"/>
            <w:color w:val="0000FF"/>
            <w:szCs w:val="20"/>
            <w:u w:val="single"/>
            <w:lang w:val="en-US" w:eastAsia="ar-SA"/>
          </w:rPr>
          <w:t>https://usfs-public.app.box.com/v/PinyonPublic/file/932429887055</w:t>
        </w:r>
      </w:hyperlink>
      <w:r w:rsidRPr="00C3593F">
        <w:rPr>
          <w:rFonts w:eastAsia="-moz-fixed" w:cs="-moz-fixed"/>
          <w:szCs w:val="20"/>
          <w:lang w:val="en-US" w:eastAsia="ar-SA"/>
        </w:rPr>
        <w:t xml:space="preserve">. </w:t>
      </w:r>
    </w:p>
    <w:p w:rsidR="00B46AC3" w:rsidRPr="001A2A45" w:rsidRDefault="00B46AC3"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“Two common consequences of conventional thinning practices have been increased uniformity of forest structure and composition, and removal or delay in the development of dead wood as snags or down wood to meet decadence and habitat functions. … Over the past several decades our ecological understanding of decadence and its importance to habitat and biogeochemical processes has increased substantially, but translation of the fundamental knowledge into coherent goals is lagging.”</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Paul D. Anderson 2013. </w:t>
      </w:r>
      <w:r w:rsidRPr="001A2A45">
        <w:rPr>
          <w:rFonts w:eastAsia="-moz-fixed" w:cs="-moz-fixed"/>
          <w:szCs w:val="20"/>
          <w:lang w:val="en-US" w:eastAsia="ar-SA"/>
        </w:rPr>
        <w:t xml:space="preserve">Two Decades of Learning about Thinning in the Ecosystem Management Era. </w:t>
      </w:r>
      <w:hyperlink r:id="rId120" w:history="1">
        <w:r w:rsidRPr="001A2A45">
          <w:rPr>
            <w:rFonts w:eastAsia="-moz-fixed" w:cs="-moz-fixed"/>
            <w:color w:val="0000FF"/>
            <w:szCs w:val="24"/>
            <w:u w:val="single"/>
            <w:lang w:val="en-US" w:eastAsia="ar-SA"/>
          </w:rPr>
          <w:t>https://www.fs.usda.gov/pnw/pubs/pnw_gtr880/pnw_gtr880_001.pdf</w:t>
        </w:r>
      </w:hyperlink>
      <w:r w:rsidRPr="001A2A45">
        <w:rPr>
          <w:rFonts w:eastAsia="-moz-fixed" w:cs="-moz-fixed"/>
          <w:szCs w:val="24"/>
          <w:lang w:val="en-US" w:eastAsia="ar-SA"/>
        </w:rPr>
        <w:t xml:space="preserve">  </w:t>
      </w:r>
      <w:r w:rsidRPr="001A2A45">
        <w:rPr>
          <w:rFonts w:eastAsia="-moz-fixed" w:cs="-moz-fixed"/>
          <w:i/>
          <w:szCs w:val="24"/>
          <w:lang w:val="en-US" w:eastAsia="ar-SA"/>
        </w:rPr>
        <w:t>in</w:t>
      </w:r>
      <w:r w:rsidRPr="001A2A45">
        <w:rPr>
          <w:rFonts w:eastAsia="-moz-fixed" w:cs="-moz-fixed"/>
          <w:szCs w:val="24"/>
          <w:lang w:val="en-US" w:eastAsia="ar-SA"/>
        </w:rPr>
        <w:t xml:space="preserve"> Density Management in the 21st Century: West Side Story PNW-GTR-880. </w:t>
      </w:r>
      <w:hyperlink r:id="rId121" w:history="1">
        <w:r w:rsidRPr="001A2A45">
          <w:rPr>
            <w:rFonts w:eastAsia="-moz-fixed" w:cs="-moz-fixed"/>
            <w:color w:val="0000FF"/>
            <w:szCs w:val="24"/>
            <w:u w:val="single"/>
            <w:lang w:val="en-US" w:eastAsia="ar-SA"/>
          </w:rPr>
          <w:t>https://web.archive.org/web/20170524155257/https://www.fs.fed.us/pnw/pubs/pnw_gtr880.pdf</w:t>
        </w:r>
      </w:hyperlink>
      <w:r w:rsidRPr="001A2A45">
        <w:rPr>
          <w:rFonts w:eastAsia="-moz-fixed" w:cs="-moz-fixed"/>
          <w:szCs w:val="24"/>
          <w:lang w:val="en-US" w:eastAsia="ar-SA"/>
        </w:rPr>
        <w:t xml:space="preserve"> </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szCs w:val="20"/>
          <w:lang w:val="en-US" w:eastAsia="ar-SA"/>
        </w:rPr>
        <w:t xml:space="preserve">“Many species in the Pacific Northwest evolved to use large snags and logs that were historically abundant in the landscape. If snags and logs are lost, biodiversity can be affected and potentially cause a loss of some function in the landscape such as control of forest insects.” </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Mt Hood NF 2011. Huckleberry Thin EA. </w:t>
      </w:r>
      <w:hyperlink r:id="rId122" w:history="1">
        <w:r w:rsidRPr="001A2A45">
          <w:rPr>
            <w:rFonts w:eastAsia="-moz-fixed" w:cs="-moz-fixed"/>
            <w:color w:val="0000FF"/>
            <w:szCs w:val="20"/>
            <w:u w:val="single"/>
            <w:lang w:val="en-US" w:eastAsia="ar-SA"/>
          </w:rPr>
          <w:t>https://usfs-public.app.box.com/v/PinyonPublic/folder/158150413008</w:t>
        </w:r>
      </w:hyperlink>
      <w:r w:rsidRPr="001A2A45">
        <w:rPr>
          <w:rFonts w:eastAsia="-moz-fixed" w:cs="-moz-fixed"/>
          <w:szCs w:val="24"/>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 xml:space="preserve">Many animals in Douglas fir forests are strongly associated with habitat features that are best developed in natural forest, such as large trees, snags, and downed logs. The diversity and density of cavity-nesting birds, for example, are positively correlated with the abundance of snags, especially tall and/or large-diameter snags (Nelson 1988, </w:t>
      </w:r>
      <w:proofErr w:type="spellStart"/>
      <w:r w:rsidRPr="001A2A45">
        <w:rPr>
          <w:rFonts w:eastAsia="-moz-fixed" w:cs="-moz-fixed"/>
          <w:szCs w:val="20"/>
          <w:lang w:val="en-US" w:eastAsia="ar-SA"/>
        </w:rPr>
        <w:t>Zarnowitz</w:t>
      </w:r>
      <w:proofErr w:type="spellEnd"/>
      <w:r w:rsidRPr="001A2A45">
        <w:rPr>
          <w:rFonts w:eastAsia="-moz-fixed" w:cs="-moz-fixed"/>
          <w:szCs w:val="20"/>
          <w:lang w:val="en-US" w:eastAsia="ar-SA"/>
        </w:rPr>
        <w:t xml:space="preserve"> and </w:t>
      </w:r>
      <w:proofErr w:type="spellStart"/>
      <w:r w:rsidRPr="001A2A45">
        <w:rPr>
          <w:rFonts w:eastAsia="-moz-fixed" w:cs="-moz-fixed"/>
          <w:szCs w:val="20"/>
          <w:lang w:val="en-US" w:eastAsia="ar-SA"/>
        </w:rPr>
        <w:t>Manuwal</w:t>
      </w:r>
      <w:proofErr w:type="spellEnd"/>
      <w:r w:rsidRPr="001A2A45">
        <w:rPr>
          <w:rFonts w:eastAsia="-moz-fixed" w:cs="-moz-fixed"/>
          <w:szCs w:val="20"/>
          <w:lang w:val="en-US" w:eastAsia="ar-SA"/>
        </w:rPr>
        <w:t xml:space="preserve"> 1985).</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It is the cycle of structural development through plant growth, and the retention of structural complexity via legacy, that characterizes natural forests in the Coastal Northwest. Intensive wood production practices may alter this cycle both by truncating succession before large structures develop and by removing most existing structures during harvest. Planting and thinning may further promote uniformity in tree species, size, and spacing.</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Studies in unmanaged forests teach us that natural disturbance maintains structural complexity within stands and that this complexity promotes plant and animal diversity.</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Until it is clear that forests managed for wood production can be made suitable for native species, managers should consider retaining within managed forests representative tracts of all natural forest stages, not just old growth.</w:t>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lastRenderedPageBreak/>
        <w:t xml:space="preserve">Hansen, A. J.; Spies, T. A.; Swanson, F. J.; </w:t>
      </w:r>
      <w:proofErr w:type="spellStart"/>
      <w:r w:rsidRPr="001A2A45">
        <w:rPr>
          <w:rFonts w:eastAsia="-moz-fixed" w:cs="-moz-fixed"/>
          <w:szCs w:val="20"/>
          <w:lang w:val="en-US" w:eastAsia="ar-SA"/>
        </w:rPr>
        <w:t>Ohmann</w:t>
      </w:r>
      <w:proofErr w:type="spellEnd"/>
      <w:r w:rsidRPr="001A2A45">
        <w:rPr>
          <w:rFonts w:eastAsia="-moz-fixed" w:cs="-moz-fixed"/>
          <w:szCs w:val="20"/>
          <w:lang w:val="en-US" w:eastAsia="ar-SA"/>
        </w:rPr>
        <w:t xml:space="preserve">, T. L. 1991. Conserving biodiversity in managed forests - Lessons from natural forests. </w:t>
      </w:r>
      <w:proofErr w:type="spellStart"/>
      <w:r w:rsidRPr="001A2A45">
        <w:rPr>
          <w:rFonts w:eastAsia="-moz-fixed" w:cs="-moz-fixed"/>
          <w:szCs w:val="20"/>
          <w:lang w:val="en-US" w:eastAsia="ar-SA"/>
        </w:rPr>
        <w:t>BioScience</w:t>
      </w:r>
      <w:proofErr w:type="spellEnd"/>
      <w:r w:rsidRPr="001A2A45">
        <w:rPr>
          <w:rFonts w:eastAsia="-moz-fixed" w:cs="-moz-fixed"/>
          <w:szCs w:val="20"/>
          <w:lang w:val="en-US" w:eastAsia="ar-SA"/>
        </w:rPr>
        <w:t xml:space="preserve"> 41(6):382- 392. </w:t>
      </w:r>
      <w:hyperlink r:id="rId123" w:history="1">
        <w:r w:rsidRPr="001A2A45">
          <w:rPr>
            <w:rFonts w:eastAsia="-moz-fixed" w:cs="-moz-fixed"/>
            <w:color w:val="0000FF"/>
            <w:szCs w:val="20"/>
            <w:u w:val="single"/>
            <w:lang w:val="en-US" w:eastAsia="ar-SA"/>
          </w:rPr>
          <w:t>http://www.montana.edu/hansen/documents/downloadables/hansenetal1991.pdf</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“Dead wood in the form of snags and downed logs is generally common or abundant. Although a notable part of old-growth stands, such material is actually common in unmanaged stands in all successional stages in the Douglas-fir region.” Franklin &amp; Spies 1983. CHARACTERISTICS OF OLD-GROWTH DOUGLAS-FIR FORESTS. Reprinted New Forests for a Changing World. Proceedings of the 1983 SAF National Convention </w:t>
      </w:r>
      <w:hyperlink r:id="rId124" w:history="1">
        <w:r w:rsidRPr="001A2A45">
          <w:rPr>
            <w:rFonts w:eastAsia="-moz-fixed" w:cs="-moz-fixed"/>
            <w:color w:val="0000FF"/>
            <w:szCs w:val="20"/>
            <w:u w:val="single"/>
            <w:lang w:val="en-US" w:eastAsia="ar-SA"/>
          </w:rPr>
          <w:t>http://andrewsforest.oregonstate.edu/pubs/pdf/pub120.pdf</w:t>
        </w:r>
      </w:hyperlink>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Many natural young and mature stands have some of the attributes of old-growth stands that may not be present in young, managed stands. Perhaps the greatest difference between natural and managed stands is the lower number and volume of large snags and logs in managed plantations (Spies and Cline 1988). Many young natural forests less than 80 years old have high amounts of carry-over of woody debris...</w:t>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Thomas A. Spies and Jerry F. Franklin 1991. The Structure of Natural Young, Mature, and Old-Growth Douglas-Fir Forests in Oregon and Washington </w:t>
      </w:r>
      <w:r w:rsidRPr="001A2A45">
        <w:rPr>
          <w:rFonts w:eastAsia="-moz-fixed" w:cs="-moz-fixed"/>
          <w:i/>
          <w:szCs w:val="20"/>
          <w:lang w:val="en-US" w:eastAsia="ar-SA"/>
        </w:rPr>
        <w:t>in</w:t>
      </w:r>
      <w:r w:rsidRPr="001A2A45">
        <w:rPr>
          <w:rFonts w:eastAsia="-moz-fixed" w:cs="-moz-fixed"/>
          <w:szCs w:val="20"/>
          <w:lang w:val="en-US" w:eastAsia="ar-SA"/>
        </w:rPr>
        <w:t xml:space="preserve"> Leonard F. Ruggiero, Keith B. </w:t>
      </w:r>
      <w:proofErr w:type="spellStart"/>
      <w:r w:rsidRPr="001A2A45">
        <w:rPr>
          <w:rFonts w:eastAsia="-moz-fixed" w:cs="-moz-fixed"/>
          <w:szCs w:val="20"/>
          <w:lang w:val="en-US" w:eastAsia="ar-SA"/>
        </w:rPr>
        <w:t>Aubry</w:t>
      </w:r>
      <w:proofErr w:type="spellEnd"/>
      <w:r w:rsidRPr="001A2A45">
        <w:rPr>
          <w:rFonts w:eastAsia="-moz-fixed" w:cs="-moz-fixed"/>
          <w:szCs w:val="20"/>
          <w:lang w:val="en-US" w:eastAsia="ar-SA"/>
        </w:rPr>
        <w:t xml:space="preserve">, Andrew B. Carey, and Mark H. Huff, technical editors 1991. Wildlife and Vegetation of Unmanaged Douglas-Fir Forests. General Technical Report PNW-GTR-285. </w:t>
      </w:r>
      <w:hyperlink r:id="rId125" w:history="1">
        <w:r w:rsidRPr="001A2A45">
          <w:rPr>
            <w:rFonts w:eastAsia="-moz-fixed" w:cs="-moz-fixed"/>
            <w:color w:val="0000FF"/>
            <w:szCs w:val="20"/>
            <w:u w:val="single"/>
            <w:lang w:val="en-US" w:eastAsia="ar-SA"/>
          </w:rPr>
          <w:t>https://research.fs.usda.gov/treesearch/5630</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The NEPA analysis should help illuminate trade-off between snag quality (snag size) and snag quantity (number of snags) that follows from the choice between thinning and not thinning. This critically important trade-off may be amenable to quantitative analysis if the agency would conduct a stand simulation model. This is one of the key functions of NEPA to illuminate the consequences of alternative management approaches. With respect to dead wood habitat, what mix of treated and untreated areas will result in the best mix of thinned areas with later-fewer-larger snags, and unlogged areas where dead wood recruitment is more rapid, more abundant, only slightly smaller?</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Thinning is often presumed to accelerate attainment of multiple attributes of mature and old-growth forests. This is partially true. Thinning does accelerate the growth rate of the trees that are retained, but thinning has limited effects on canopy structure</w:t>
      </w:r>
      <w:r w:rsidRPr="001A2A45">
        <w:rPr>
          <w:rFonts w:eastAsia="-moz-fixed" w:cs="-moz-fixed"/>
          <w:szCs w:val="24"/>
          <w:vertAlign w:val="superscript"/>
          <w:lang w:val="en-US" w:eastAsia="ar-SA"/>
        </w:rPr>
        <w:footnoteReference w:id="2"/>
      </w:r>
      <w:r w:rsidRPr="001A2A45">
        <w:rPr>
          <w:rFonts w:eastAsia="-moz-fixed" w:cs="-moz-fixed"/>
          <w:szCs w:val="24"/>
          <w:lang w:val="en-US" w:eastAsia="ar-SA"/>
        </w:rPr>
        <w:t xml:space="preserve"> and generally has adverse effects on snags and dead wood. The NWFP ROD highlighted the importance of dead wood accumulation as young forests develop into mature &amp; old-growth: “Desired late-successional and old-growth characteristics that will be created as younger stands change through successional development include: (1) multispecies and multilayered assemblages of trees, (2) </w:t>
      </w:r>
      <w:r w:rsidRPr="001A2A45">
        <w:rPr>
          <w:rFonts w:eastAsia="-moz-fixed" w:cs="-moz-fixed"/>
          <w:b/>
          <w:szCs w:val="24"/>
          <w:lang w:val="en-US" w:eastAsia="ar-SA"/>
        </w:rPr>
        <w:t>moderate-to-high accumulations of large logs and snags</w:t>
      </w:r>
      <w:r w:rsidRPr="001A2A45">
        <w:rPr>
          <w:rFonts w:eastAsia="-moz-fixed" w:cs="-moz-fixed"/>
          <w:szCs w:val="24"/>
          <w:lang w:val="en-US" w:eastAsia="ar-SA"/>
        </w:rPr>
        <w:t xml:space="preserve">, (3) moderate-to-high canopy closure, (4) moderate-to-high numbers of trees with physical imperfections such as cavities, broken tops, and large deformed limbs, and (5) moderate-to-high accumulations of fungi, </w:t>
      </w:r>
      <w:r w:rsidRPr="001A2A45">
        <w:rPr>
          <w:rFonts w:eastAsia="-moz-fixed" w:cs="-moz-fixed"/>
          <w:szCs w:val="24"/>
          <w:lang w:val="en-US" w:eastAsia="ar-SA"/>
        </w:rPr>
        <w:lastRenderedPageBreak/>
        <w:t>lichens, and bryophytes.” 1994 ROD p B-5. Thinning will truncate this important ecological process and degrade the quality of future late-successional habitat. When the logs are removed from the site, this adverse effect can be long-lasting.</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“Natural processes and disturbances such as windthrow fire and the effects of pathogens and insects are also part of old forest development that thinning does not mimic.” </w:t>
      </w:r>
      <w:hyperlink r:id="rId126" w:history="1">
        <w:r w:rsidRPr="001A2A45">
          <w:rPr>
            <w:rFonts w:eastAsia="-moz-fixed" w:cs="-moz-fixed"/>
            <w:color w:val="0000FF"/>
            <w:szCs w:val="24"/>
            <w:u w:val="single"/>
            <w:lang w:val="en-US" w:eastAsia="ar-SA"/>
          </w:rPr>
          <w:t>http://www.fsl.orst.edu/Oldgrowthworkshop/statements/Tappeiner.pdf</w:t>
        </w:r>
      </w:hyperlink>
      <w:r w:rsidRPr="001A2A45">
        <w:rPr>
          <w:rFonts w:eastAsia="-moz-fixed" w:cs="-moz-fixed"/>
          <w:szCs w:val="24"/>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Mid-seral stands that result from past clearcutting leave few if any legacies from the previous stand. Natural young stands tend to have abundant snags and dead wood, but clearcut stands are artificially deprived of dead wood several decades. At the age of thinning, such stands are starting to experience suppression mortality and will tend to accumulate snags and dead wood over time if left unthinned. However, thinning will perpetuate the artificial shortage of snags and dead wood for another several decades. This is a long-term cumulative impacts that needs to be addressed in the NEPA analysis.</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There is a widely held belief that growing big trees faster by thinning, also benefits snag associated wildlife and fish because if there are bigger trees, there must also be bigger snags faster. This assumption does not hold up under scrutiny. Thinning captures mortality and removes it from the forest to the mill. It also increases the vigor of trees and delays mortality. BLM says “Thinning ‘captures’ much of the snag recruitment that results from inter-tree competition and very little density mortality … is expected to occur for 25 years after treatment.” Salem BLM, South Scappoose EA. </w:t>
      </w:r>
      <w:hyperlink r:id="rId127" w:history="1">
        <w:r w:rsidRPr="001A2A45">
          <w:rPr>
            <w:rFonts w:eastAsia="-moz-fixed" w:cs="-moz-fixed"/>
            <w:color w:val="0000FF"/>
            <w:szCs w:val="20"/>
            <w:u w:val="single"/>
            <w:lang w:val="en-US" w:eastAsia="ar-SA"/>
          </w:rPr>
          <w:t>http://www.blm.gov/or/districts/salem/plans/files/SSC_EA.pdf</w:t>
        </w:r>
      </w:hyperlink>
      <w:r w:rsidRPr="001A2A45">
        <w:rPr>
          <w:rFonts w:eastAsia="-moz-fixed" w:cs="-moz-fixed"/>
          <w:szCs w:val="20"/>
          <w:lang w:val="en-US" w:eastAsia="ar-SA"/>
        </w:rPr>
        <w:t xml:space="preserve">.  See this online slideshow which shows the modeled effects of thinning on dead wood habitat. </w:t>
      </w:r>
      <w:hyperlink r:id="rId128" w:history="1">
        <w:r w:rsidRPr="001A2A45">
          <w:rPr>
            <w:rFonts w:eastAsia="-moz-fixed" w:cs="-moz-fixed"/>
            <w:color w:val="0000FF"/>
            <w:szCs w:val="20"/>
            <w:u w:val="single"/>
            <w:lang w:val="en-US" w:eastAsia="ar-SA"/>
          </w:rPr>
          <w:t>http://www.slideshare.net/dougoh/effects-of-logging-on-dead-wood-habitat</w:t>
        </w:r>
      </w:hyperlink>
      <w:r w:rsidRPr="001A2A45">
        <w:rPr>
          <w:rFonts w:eastAsia="-moz-fixed" w:cs="-moz-fixed"/>
          <w:szCs w:val="20"/>
          <w:lang w:val="en-US" w:eastAsia="ar-SA"/>
        </w:rPr>
        <w:t>. Stand simulation models clearly show that we need to count the effects of thinning on dead wood as a “cost” instead of the “benefit”, so we need to consider appropriate methods to avoid and mitigate impacts. Avoidance is just to leave stands unthinned and let them naturally grow and recruit mortality over time. Mitigation can come in several forms. Here are a few ideas:</w:t>
      </w:r>
    </w:p>
    <w:p w:rsidR="001A2A45" w:rsidRPr="001A2A45" w:rsidRDefault="001A2A45" w:rsidP="001A2A45">
      <w:pPr>
        <w:suppressAutoHyphens/>
        <w:spacing w:line="240" w:lineRule="auto"/>
        <w:ind w:left="360"/>
        <w:rPr>
          <w:rFonts w:eastAsia="-moz-fixed" w:cs="-moz-fixed"/>
          <w:szCs w:val="20"/>
          <w:lang w:val="en-US" w:eastAsia="ar-SA"/>
        </w:rPr>
      </w:pPr>
      <w:r w:rsidRPr="001A2A45">
        <w:rPr>
          <w:rFonts w:eastAsia="-moz-fixed" w:cs="-moz-fixed"/>
          <w:szCs w:val="20"/>
          <w:lang w:val="en-US" w:eastAsia="ar-SA"/>
        </w:rPr>
        <w:t xml:space="preserve"> a) truly mimic natural disturbance by thinning with prescribed fire that creates a pulse of dead trees and does not build roads. This could be combined with light thinning;</w:t>
      </w:r>
    </w:p>
    <w:p w:rsidR="001A2A45" w:rsidRPr="001A2A45" w:rsidRDefault="001A2A45" w:rsidP="001A2A45">
      <w:pPr>
        <w:suppressAutoHyphens/>
        <w:spacing w:line="240" w:lineRule="auto"/>
        <w:ind w:left="360"/>
        <w:rPr>
          <w:rFonts w:eastAsia="-moz-fixed" w:cs="-moz-fixed"/>
          <w:szCs w:val="20"/>
          <w:lang w:val="en-US" w:eastAsia="ar-SA"/>
        </w:rPr>
      </w:pPr>
      <w:r w:rsidRPr="001A2A45">
        <w:rPr>
          <w:rFonts w:eastAsia="-moz-fixed" w:cs="-moz-fixed"/>
          <w:szCs w:val="20"/>
          <w:lang w:val="en-US" w:eastAsia="ar-SA"/>
        </w:rPr>
        <w:t xml:space="preserve"> b) retain abundant untreated areas such as riparian areas and other “skips” within thinning areas where natural mortality can proceed without interference, and make sure these areas do not get salvaged or thinned in subsequent entries so that mortality gets recruited to the stands, not to the mill;</w:t>
      </w:r>
    </w:p>
    <w:p w:rsidR="001A2A45" w:rsidRPr="001A2A45" w:rsidRDefault="001A2A45" w:rsidP="001A2A45">
      <w:pPr>
        <w:suppressAutoHyphens/>
        <w:spacing w:line="240" w:lineRule="auto"/>
        <w:ind w:left="360"/>
        <w:rPr>
          <w:rFonts w:eastAsia="-moz-fixed" w:cs="-moz-fixed"/>
          <w:szCs w:val="20"/>
          <w:lang w:val="en-US" w:eastAsia="ar-SA"/>
        </w:rPr>
      </w:pPr>
      <w:r w:rsidRPr="001A2A45">
        <w:rPr>
          <w:rFonts w:eastAsia="-moz-fixed" w:cs="-moz-fixed"/>
          <w:szCs w:val="20"/>
          <w:lang w:val="en-US" w:eastAsia="ar-SA"/>
        </w:rPr>
        <w:t xml:space="preserve"> c) identify which portions of the landscape will remain unthinned in perpetuity and keep the loggers out. Use tools like DecAID determine the appropriate portion of the landscape must be managed to meet the each different tolerance levels in order to attain desired objectives over time for viable populations, carbon storage, soil stability/sediment storage and routing, nutrient cycling, site productivity, water storage, and other ecological services.</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NOTE: simply protecting existing snags or artificially creating a few snags during logging has a very short-term effect that does not address the more fundamental issue of continuous snag recruitment over time.</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One of the big challenges of any restoration thinning regime, is that virtually all logging tends to “capture mortality,” yet the trees that are removed represent future snags and down logs and are valuable (even essential) components of any complex forest</w:t>
      </w:r>
      <w:r w:rsidRPr="001A2A45">
        <w:rPr>
          <w:rFonts w:eastAsia="-moz-fixed" w:cs="-moz-fixed"/>
          <w:szCs w:val="24"/>
          <w:lang w:val="en-US" w:eastAsia="ar-SA"/>
        </w:rPr>
        <w:t xml:space="preserve">. “Carey et al. (1999) found that coarse woody debris amounts declined significantly as a result of variable density thinning, especially the higher decay classes, despite the intent of the treatment to leave all existing debris </w:t>
      </w:r>
      <w:r w:rsidRPr="001A2A45">
        <w:rPr>
          <w:rFonts w:eastAsia="-moz-fixed" w:cs="-moz-fixed"/>
          <w:szCs w:val="24"/>
          <w:lang w:val="en-US" w:eastAsia="ar-SA"/>
        </w:rPr>
        <w:lastRenderedPageBreak/>
        <w:t>in place.”</w:t>
      </w:r>
      <w:r w:rsidRPr="001A2A45">
        <w:rPr>
          <w:rFonts w:eastAsia="-moz-fixed" w:cs="-moz-fixed"/>
          <w:szCs w:val="24"/>
          <w:vertAlign w:val="superscript"/>
          <w:lang w:val="en-US" w:eastAsia="ar-SA"/>
        </w:rPr>
        <w:footnoteReference w:id="3"/>
      </w:r>
      <w:r w:rsidRPr="001A2A45">
        <w:rPr>
          <w:rFonts w:eastAsia="-moz-fixed" w:cs="-moz-fixed"/>
          <w:szCs w:val="24"/>
          <w:lang w:val="en-US" w:eastAsia="ar-SA"/>
        </w:rPr>
        <w:t xml:space="preserve"> </w:t>
      </w:r>
      <w:r w:rsidRPr="001A2A45">
        <w:rPr>
          <w:rFonts w:eastAsia="-moz-fixed" w:cs="-moz-fixed"/>
          <w:szCs w:val="20"/>
          <w:lang w:val="en-US" w:eastAsia="ar-SA"/>
        </w:rPr>
        <w:t>The agency cannot use “average” snag levels as a management objective within treatment areas, because treatments are essentially displacing natural disturbance events which would normally create and retain large numbers of snags, so disturbance areas should have abundant snags, not average levels of snags. Managing for decadence in young stands is not a trivial issue because among the many other valuable attributes of dead wood, it is strongly associated with healthy populations of many small animals species that in turn help support populations of at-risk predators such as spotted owls, goshawk, fisher, marten, etc.</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4"/>
          <w:lang w:val="en-US" w:eastAsia="ar-SA"/>
        </w:rPr>
        <w:t xml:space="preserve">Small logs provide escape cover or shelter for small species. … </w:t>
      </w:r>
      <w:proofErr w:type="spellStart"/>
      <w:r w:rsidRPr="001A2A45">
        <w:rPr>
          <w:rFonts w:eastAsia="-moz-fixed" w:cs="-moz-fixed"/>
          <w:szCs w:val="24"/>
          <w:lang w:val="en-US" w:eastAsia="ar-SA"/>
        </w:rPr>
        <w:t>Tallmon</w:t>
      </w:r>
      <w:proofErr w:type="spellEnd"/>
      <w:r w:rsidRPr="001A2A45">
        <w:rPr>
          <w:rFonts w:eastAsia="-moz-fixed" w:cs="-moz-fixed"/>
          <w:szCs w:val="24"/>
          <w:lang w:val="en-US" w:eastAsia="ar-SA"/>
        </w:rPr>
        <w:t xml:space="preserve"> and Mills (1994) have shown that red-backed voles, a primary prey species for the spotted owl, are highly associated with large down material in more advanced decay stages. Truffles, a dietary staple of the northern flying squirrel, have also been loosely associated with down material.</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 xml:space="preserve">Gregg, M. 2013. Wildlife Report for Management Indicator Species, Species of Concern from the Northwest Forest Plan, and Landbirds - Pole Creek Fire Timber Salvage. </w:t>
      </w:r>
      <w:hyperlink r:id="rId129" w:history="1">
        <w:r w:rsidRPr="001A2A45">
          <w:rPr>
            <w:rFonts w:eastAsia="-moz-fixed" w:cs="-moz-fixed"/>
            <w:color w:val="0000FF"/>
            <w:szCs w:val="20"/>
            <w:u w:val="single"/>
            <w:lang w:val="en-US" w:eastAsia="ar-SA"/>
          </w:rPr>
          <w:t>http://a123.g.akamai.net/7/123/11558/abc123/forestservic.download.akamai.com/11558/www/nepa/94141_FSPLT3_1451590.pdf</w:t>
        </w:r>
      </w:hyperlink>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The snag dynamics white paper on the DecAID website indicates that timber harvest typically results in the loss of a majority of the standing snags (62% of snags within a variety of timber harvest areas were cut down.) </w:t>
      </w:r>
      <w:hyperlink r:id="rId130" w:history="1">
        <w:r w:rsidRPr="001A2A45">
          <w:rPr>
            <w:rFonts w:eastAsia="-moz-fixed" w:cs="-moz-fixed"/>
            <w:iCs/>
            <w:color w:val="0000FF"/>
            <w:szCs w:val="20"/>
            <w:u w:val="single"/>
            <w:lang w:val="en-US" w:eastAsia="ar-SA"/>
          </w:rPr>
          <w:t>http://web.archive.org/web/20060520051245/http://wwwnotes.fs.fed.us:81/pnw/DecAID/DecAID.nsf/HomePageLinks/863EEA66F39752C088256C02007DF2C0?OpenDocument</w:t>
        </w:r>
      </w:hyperlink>
      <w:r w:rsidRPr="001A2A45">
        <w:rPr>
          <w:rFonts w:eastAsia="-moz-fixed" w:cs="-moz-fixed"/>
          <w:iCs/>
          <w:szCs w:val="20"/>
          <w:lang w:val="en-US" w:eastAsia="ar-SA"/>
        </w:rPr>
        <w:t xml:space="preserve">. </w:t>
      </w:r>
      <w:r w:rsidRPr="001A2A45">
        <w:rPr>
          <w:rFonts w:eastAsia="-moz-fixed" w:cs="-moz-fixed"/>
          <w:szCs w:val="20"/>
          <w:lang w:val="en-US" w:eastAsia="ar-SA"/>
        </w:rPr>
        <w:t>Also, in the Windjammer EA the Siuslaw NF noted that at least six times more coarse wood carries over from old-growth forests after wildfire compared to after timber harvest, and the CWD left after logging is smaller and decays faster (</w:t>
      </w:r>
      <w:r w:rsidRPr="001A2A45">
        <w:rPr>
          <w:rFonts w:eastAsia="-moz-fixed" w:cs="-moz-fixed"/>
          <w:i/>
          <w:szCs w:val="20"/>
          <w:lang w:val="en-US" w:eastAsia="ar-SA"/>
        </w:rPr>
        <w:t xml:space="preserve">citing </w:t>
      </w:r>
      <w:r w:rsidRPr="001A2A45">
        <w:rPr>
          <w:rFonts w:eastAsia="-moz-fixed" w:cs="-moz-fixed"/>
          <w:szCs w:val="20"/>
          <w:lang w:val="en-US" w:eastAsia="ar-SA"/>
        </w:rPr>
        <w:t>Spies &amp; Cline 1988)</w:t>
      </w:r>
      <w:r w:rsidRPr="001A2A45">
        <w:rPr>
          <w:rFonts w:eastAsia="-moz-fixed" w:cs="-moz-fixed"/>
          <w:szCs w:val="20"/>
          <w:vertAlign w:val="superscript"/>
          <w:lang w:val="en-US" w:eastAsia="ar-SA"/>
        </w:rPr>
        <w:footnoteReference w:id="4"/>
      </w:r>
      <w:r w:rsidRPr="001A2A45">
        <w:rPr>
          <w:rFonts w:eastAsia="-moz-fixed" w:cs="-moz-fixed"/>
          <w:szCs w:val="20"/>
          <w:lang w:val="en-US" w:eastAsia="ar-SA"/>
        </w:rPr>
        <w:t xml:space="preserve"> so young stands are already deprived of dead wood. </w:t>
      </w:r>
      <w:r w:rsidRPr="001A2A45">
        <w:rPr>
          <w:rFonts w:eastAsia="-moz-fixed" w:cs="-moz-fixed"/>
          <w:szCs w:val="24"/>
          <w:lang w:val="en-US" w:eastAsia="ar-SA"/>
        </w:rPr>
        <w:t xml:space="preserve">This is very troubling. The agency </w:t>
      </w:r>
      <w:r w:rsidRPr="001A2A45">
        <w:rPr>
          <w:rFonts w:eastAsia="-moz-fixed" w:cs="-moz-fixed"/>
          <w:szCs w:val="20"/>
          <w:lang w:val="en-US" w:eastAsia="ar-SA"/>
        </w:rPr>
        <w:t xml:space="preserve">must start by carefully designing the project to keep workers away from existing snags. </w:t>
      </w:r>
      <w:r w:rsidRPr="001A2A45">
        <w:rPr>
          <w:rFonts w:eastAsia="-moz-fixed" w:cs="-moz-fixed"/>
          <w:szCs w:val="24"/>
          <w:lang w:val="en-US" w:eastAsia="ar-SA"/>
        </w:rPr>
        <w:t xml:space="preserve">The agency must then consciously and very deliberately manage for decadence in the design of all thinning efforts. One way to think of this is to figure out how many trees the agency thinks they want to kill and remove a small portion of those while leaving the remainder as standing snags or down wood. </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Harmon (1999) said:</w:t>
      </w: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b/>
          <w:szCs w:val="20"/>
          <w:lang w:val="en-US" w:eastAsia="ar-SA"/>
        </w:rPr>
        <w:t xml:space="preserve">Linking Live and Dead Trees - </w:t>
      </w:r>
      <w:r w:rsidRPr="001A2A45">
        <w:rPr>
          <w:rFonts w:eastAsia="-moz-fixed" w:cs="-moz-fixed"/>
          <w:szCs w:val="20"/>
          <w:lang w:val="en-US" w:eastAsia="ar-SA"/>
        </w:rPr>
        <w:t xml:space="preserve">Although developing a viable morticulture will require new knowledge, in many cases it will require that we apply what we already know. For example, we already know that live trees eventually form dead trees, but it is amazing that this dynamic is often missing from current forest management thinking. … Forest management in the past century has focused on how to lower mortality rates via thinning, fire protection, etc. Ironically, the next century of forest management may be occupied with how to increase mortality when and where we want it. … [H]ow might this new paradigm of morticulture work? It would probably start by answering the question of which species or processes are to be maintained, restored, or otherwise managed (fig. 5). Then the target levels for these functions should be determined. Before assessing the </w:t>
      </w:r>
      <w:r w:rsidRPr="001A2A45">
        <w:rPr>
          <w:rFonts w:eastAsia="-moz-fixed" w:cs="-moz-fixed"/>
          <w:szCs w:val="20"/>
          <w:lang w:val="en-US" w:eastAsia="ar-SA"/>
        </w:rPr>
        <w:lastRenderedPageBreak/>
        <w:t>amount of woody detritus to be maintained or added to meet this functional target, the landscape context for the management action should be assessed. Are there limitations of populations or processes that would limit the desired response? If not, a plan to add wood would be designed to maintain the desired level. But if there are landscape limitations, then these should be addressed before planning at the stand-level proceeds.”)</w:t>
      </w: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noProof/>
          <w:szCs w:val="20"/>
          <w:lang w:val="en-US"/>
        </w:rPr>
        <w:drawing>
          <wp:inline distT="0" distB="0" distL="0" distR="0">
            <wp:extent cx="4930140" cy="358902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30140" cy="3589020"/>
                    </a:xfrm>
                    <a:prstGeom prst="rect">
                      <a:avLst/>
                    </a:prstGeom>
                    <a:noFill/>
                    <a:ln>
                      <a:noFill/>
                    </a:ln>
                  </pic:spPr>
                </pic:pic>
              </a:graphicData>
            </a:graphic>
          </wp:inline>
        </w:drawing>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See Harmon, Mark 1999. Moving towards a New Paradigm for Woody Detritus Management. </w:t>
      </w:r>
      <w:r w:rsidRPr="001A2A45">
        <w:rPr>
          <w:rFonts w:eastAsia="-moz-fixed" w:cs="-moz-fixed"/>
          <w:i/>
          <w:szCs w:val="20"/>
          <w:lang w:val="en-US" w:eastAsia="ar-SA"/>
        </w:rPr>
        <w:t>in</w:t>
      </w:r>
      <w:r w:rsidRPr="001A2A45">
        <w:rPr>
          <w:rFonts w:eastAsia="-moz-fixed" w:cs="-moz-fixed"/>
          <w:szCs w:val="20"/>
          <w:lang w:val="en-US" w:eastAsia="ar-SA"/>
        </w:rPr>
        <w:t xml:space="preserve"> Proceedings of the Symposium on the Ecology and Management of Dead Wood in Western Forests. PSW-GTR-181. </w:t>
      </w:r>
      <w:hyperlink r:id="rId132" w:history="1">
        <w:r w:rsidRPr="001A2A45">
          <w:rPr>
            <w:rFonts w:eastAsia="-moz-fixed" w:cs="-moz-fixed"/>
            <w:color w:val="0000FF"/>
            <w:szCs w:val="20"/>
            <w:u w:val="single"/>
            <w:lang w:val="en-US" w:eastAsia="ar-SA"/>
          </w:rPr>
          <w:t>http://www.fs.usda.gov/psw/publications/documents/gtr-181/</w:t>
        </w:r>
      </w:hyperlink>
    </w:p>
    <w:p w:rsidR="001A2A45" w:rsidRPr="001A2A45" w:rsidRDefault="0061341D" w:rsidP="001A2A45">
      <w:pPr>
        <w:suppressAutoHyphens/>
        <w:spacing w:line="240" w:lineRule="auto"/>
        <w:rPr>
          <w:rFonts w:eastAsia="-moz-fixed" w:cs="-moz-fixed"/>
          <w:szCs w:val="20"/>
          <w:lang w:val="en-US" w:eastAsia="ar-SA"/>
        </w:rPr>
      </w:pPr>
      <w:hyperlink r:id="rId133" w:history="1">
        <w:r w:rsidR="001A2A45" w:rsidRPr="001A2A45">
          <w:rPr>
            <w:rFonts w:eastAsia="-moz-fixed" w:cs="-moz-fixed"/>
            <w:color w:val="0000FF"/>
            <w:szCs w:val="24"/>
            <w:u w:val="single"/>
            <w:lang w:val="en-US" w:eastAsia="ar-SA"/>
          </w:rPr>
          <w:t>https://www.fs.usda.gov/psw/publications/documents/gtr-181/071_Harm.pdf</w:t>
        </w:r>
      </w:hyperlink>
      <w:r w:rsidR="001A2A45" w:rsidRPr="001A2A45">
        <w:rPr>
          <w:rFonts w:eastAsia="-moz-fixed" w:cs="-moz-fixed"/>
          <w:szCs w:val="24"/>
          <w:lang w:val="en-US" w:eastAsia="ar-SA"/>
        </w:rPr>
        <w:t xml:space="preserve">. Using </w:t>
      </w:r>
      <w:r w:rsidR="001A2A45" w:rsidRPr="001A2A45">
        <w:rPr>
          <w:rFonts w:eastAsia="-moz-fixed" w:cs="-moz-fixed"/>
          <w:szCs w:val="20"/>
          <w:lang w:val="en-US" w:eastAsia="ar-SA"/>
        </w:rPr>
        <w:t>DecAID or other tools, the agency needs to identify appropriate goals for snags and dead wood habitat based on the needs of wildlife that are most sensitive to the absence of such habitat features. The agency needs to analyze how to achieve those goals by retaining an adequate population of green trees and maintaining natural mortality processes that can act on those trees.</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This graphic from the Microsoft Teams public meeting held Feb 1, 2023 to discuss the draft report of the “2nd Annual Adaptive Management Workgroup: Management Direction for Large Diameter Trees” clearly shows the close association between the abundance of large live trees and large snags. This makes perfect sense because all snags are a product of large live trees. The NEPA analysis must provide an honest and accurate disclosure of the adverse effects of commercial removal of medium and large trees on the future recruitment of large snags.</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noProof/>
          <w:szCs w:val="20"/>
          <w:lang w:val="en-US"/>
        </w:rPr>
        <w:lastRenderedPageBreak/>
        <w:drawing>
          <wp:inline distT="0" distB="0" distL="0" distR="0">
            <wp:extent cx="5471160" cy="3154680"/>
            <wp:effectExtent l="0" t="0" r="0" b="7620"/>
            <wp:docPr id="32" name="Picture 32" descr="green trees connected to snag abu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green trees connected to snag abundance"/>
                    <pic:cNvPicPr>
                      <a:picLocks noChangeAspect="1" noChangeArrowheads="1"/>
                    </pic:cNvPicPr>
                  </pic:nvPicPr>
                  <pic:blipFill>
                    <a:blip r:embed="rId134" cstate="print">
                      <a:extLst>
                        <a:ext uri="{28A0092B-C50C-407E-A947-70E740481C1C}">
                          <a14:useLocalDpi xmlns:a14="http://schemas.microsoft.com/office/drawing/2010/main" val="0"/>
                        </a:ext>
                      </a:extLst>
                    </a:blip>
                    <a:srcRect t="7779" b="15956"/>
                    <a:stretch>
                      <a:fillRect/>
                    </a:stretch>
                  </pic:blipFill>
                  <pic:spPr bwMode="auto">
                    <a:xfrm>
                      <a:off x="0" y="0"/>
                      <a:ext cx="5471160" cy="3154680"/>
                    </a:xfrm>
                    <a:prstGeom prst="rect">
                      <a:avLst/>
                    </a:prstGeom>
                    <a:noFill/>
                    <a:ln>
                      <a:noFill/>
                    </a:ln>
                  </pic:spPr>
                </pic:pic>
              </a:graphicData>
            </a:graphic>
          </wp:inline>
        </w:drawing>
      </w:r>
    </w:p>
    <w:p w:rsidR="001A2A45" w:rsidRPr="001A2A45" w:rsidRDefault="0061341D" w:rsidP="001A2A45">
      <w:pPr>
        <w:suppressAutoHyphens/>
        <w:spacing w:line="240" w:lineRule="auto"/>
        <w:rPr>
          <w:rFonts w:eastAsia="-moz-fixed" w:cs="-moz-fixed"/>
          <w:szCs w:val="20"/>
          <w:lang w:val="en-US" w:eastAsia="ar-SA"/>
        </w:rPr>
      </w:pPr>
      <w:hyperlink r:id="rId135" w:history="1">
        <w:r w:rsidR="001A2A45" w:rsidRPr="001A2A45">
          <w:rPr>
            <w:rFonts w:eastAsia="-moz-fixed" w:cs="-moz-fixed"/>
            <w:color w:val="0000FF"/>
            <w:szCs w:val="20"/>
            <w:u w:val="single"/>
            <w:lang w:val="en-US" w:eastAsia="ar-SA"/>
          </w:rPr>
          <w:t>https://www.fs.usda.gov/project/?project=58050</w:t>
        </w:r>
      </w:hyperlink>
      <w:r w:rsidR="001A2A45" w:rsidRPr="001A2A45">
        <w:rPr>
          <w:rFonts w:eastAsia="-moz-fixed" w:cs="-moz-fixed"/>
          <w:szCs w:val="20"/>
          <w:lang w:val="en-US" w:eastAsia="ar-SA"/>
        </w:rPr>
        <w:t xml:space="preserve"> </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The agency should recognize the long-term effects of captured mortality on the habitat needs of small mammals and spotted owls.</w:t>
      </w: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szCs w:val="24"/>
          <w:lang w:val="en-US" w:eastAsia="ar-SA"/>
        </w:rPr>
        <w:t xml:space="preserve">Several small mammals, such as the northern flying squirrel form the prey base for the Endangered Species Act (ESA) listed spotted owl and are among the species associated with abundant large dead standing and down wood. This presumably, is why spotted owls prefer to forage in stands with abundant standing and fallen dead wood (Table 2, North et al. 1999). The fruiting bodies of </w:t>
      </w:r>
      <w:proofErr w:type="spellStart"/>
      <w:r w:rsidRPr="001A2A45">
        <w:rPr>
          <w:rFonts w:eastAsia="-moz-fixed" w:cs="-moz-fixed"/>
          <w:szCs w:val="24"/>
          <w:lang w:val="en-US" w:eastAsia="ar-SA"/>
        </w:rPr>
        <w:t>hypogeous</w:t>
      </w:r>
      <w:proofErr w:type="spellEnd"/>
      <w:r w:rsidRPr="001A2A45">
        <w:rPr>
          <w:rFonts w:eastAsia="-moz-fixed" w:cs="-moz-fixed"/>
          <w:szCs w:val="24"/>
          <w:lang w:val="en-US" w:eastAsia="ar-SA"/>
        </w:rPr>
        <w:t xml:space="preserve"> fungi are a food source of northern flying squirrels and are also associated with down logs, suggesting that there are complex, indirect paths through which dead wood supports spotted owls (</w:t>
      </w:r>
      <w:proofErr w:type="spellStart"/>
      <w:r w:rsidRPr="001A2A45">
        <w:rPr>
          <w:rFonts w:eastAsia="-moz-fixed" w:cs="-moz-fixed"/>
          <w:szCs w:val="24"/>
          <w:lang w:val="en-US" w:eastAsia="ar-SA"/>
        </w:rPr>
        <w:t>Amaranthus</w:t>
      </w:r>
      <w:proofErr w:type="spellEnd"/>
      <w:r w:rsidRPr="001A2A45">
        <w:rPr>
          <w:rFonts w:eastAsia="-moz-fixed" w:cs="-moz-fixed"/>
          <w:szCs w:val="24"/>
          <w:lang w:val="en-US" w:eastAsia="ar-SA"/>
        </w:rPr>
        <w:t xml:space="preserve"> et al. 1994, Carey 2000).</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Thomas Spies, Michael Pollock, Gordon Reeves, and Tim Beechie 2013. Effects of Riparian Thinning on Wood Recruitment: A Scientific Synthesis - Science Review Team Wood Recruitment Subgroup. Jan 28, 2013, p 36. </w:t>
      </w:r>
      <w:hyperlink r:id="rId136" w:history="1">
        <w:r w:rsidRPr="001A2A45">
          <w:rPr>
            <w:rFonts w:eastAsia="-moz-fixed" w:cs="-moz-fixed"/>
            <w:color w:val="0000FF"/>
            <w:szCs w:val="24"/>
            <w:u w:val="single"/>
            <w:lang w:val="en-US" w:eastAsia="ar-SA"/>
          </w:rPr>
          <w:t>https://web.archive.org/web/20220120055722/http://www.mediate.com/DSConsulting/docs/FINAL%20wood%20recruitment%20document.pdf</w:t>
        </w:r>
      </w:hyperlink>
      <w:r w:rsidRPr="001A2A45">
        <w:rPr>
          <w:rFonts w:eastAsia="-moz-fixed" w:cs="-moz-fixed"/>
          <w:szCs w:val="24"/>
          <w:lang w:val="en-US" w:eastAsia="ar-SA"/>
        </w:rPr>
        <w:t xml:space="preserve">.  </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The National Science Foundation thinks morticulture is important and so should our land management agencies. </w:t>
      </w:r>
      <w:proofErr w:type="spellStart"/>
      <w:r w:rsidRPr="001A2A45">
        <w:rPr>
          <w:rFonts w:eastAsia="-moz-fixed" w:cs="-moz-fixed"/>
          <w:szCs w:val="24"/>
          <w:lang w:val="en-US" w:eastAsia="ar-SA"/>
        </w:rPr>
        <w:t>Dybas</w:t>
      </w:r>
      <w:proofErr w:type="spellEnd"/>
      <w:r w:rsidRPr="001A2A45">
        <w:rPr>
          <w:rFonts w:eastAsia="-moz-fixed" w:cs="-moz-fixed"/>
          <w:szCs w:val="24"/>
          <w:lang w:val="en-US" w:eastAsia="ar-SA"/>
        </w:rPr>
        <w:t xml:space="preserve"> 2015. Research News - Morticulture: Forests of the living dead. Scientists unearth importance of dead wood to forest ecosystems. </w:t>
      </w:r>
      <w:hyperlink r:id="rId137" w:history="1">
        <w:r w:rsidRPr="001A2A45">
          <w:rPr>
            <w:rFonts w:eastAsia="-moz-fixed" w:cs="-moz-fixed"/>
            <w:color w:val="0000FF"/>
            <w:szCs w:val="24"/>
            <w:u w:val="single"/>
            <w:lang w:val="en-US" w:eastAsia="ar-SA"/>
          </w:rPr>
          <w:t>https://www.nsf.gov/discoveries/disc_summ.jsp?cntn_id=136524</w:t>
        </w:r>
      </w:hyperlink>
      <w:r w:rsidRPr="001A2A45">
        <w:rPr>
          <w:rFonts w:eastAsia="-moz-fixed" w:cs="-moz-fixed"/>
          <w:szCs w:val="24"/>
          <w:lang w:val="en-US" w:eastAsia="ar-SA"/>
        </w:rPr>
        <w:t xml:space="preserve"> </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1A2A45">
        <w:rPr>
          <w:rFonts w:eastAsia="-moz-fixed" w:cs="-moz-fixed"/>
          <w:szCs w:val="24"/>
          <w:vertAlign w:val="superscript"/>
          <w:lang w:val="en-US" w:eastAsia="ar-SA"/>
        </w:rPr>
        <w:t>3</w:t>
      </w:r>
      <w:r w:rsidRPr="001A2A45">
        <w:rPr>
          <w:rFonts w:eastAsia="-moz-fixed" w:cs="-moz-fixed"/>
          <w:szCs w:val="24"/>
          <w:lang w:val="en-US" w:eastAsia="ar-SA"/>
        </w:rPr>
        <w:t xml:space="preserve">/ha of intact snags and a high diversity of tree heights had medium or high foraging use by spotted owls. In these old-growth stands, biological legacies (e.g., large trees and snags) produced by past disturbance provide important forest structures associated with spotted owl foraging.” North, Franklin, Carey, Forsman, Hamer. 1999. Forest Stand </w:t>
      </w:r>
      <w:r w:rsidRPr="001A2A45">
        <w:rPr>
          <w:rFonts w:eastAsia="-moz-fixed" w:cs="-moz-fixed"/>
          <w:szCs w:val="24"/>
          <w:lang w:val="en-US" w:eastAsia="ar-SA"/>
        </w:rPr>
        <w:lastRenderedPageBreak/>
        <w:t xml:space="preserve">Structure of the Northern Spotted Owl’s Foraging Habitat. For. Sci. 45(4):520-527. </w:t>
      </w:r>
      <w:hyperlink r:id="rId138" w:history="1">
        <w:r w:rsidRPr="001A2A45">
          <w:rPr>
            <w:rFonts w:eastAsia="-moz-fixed" w:cs="-moz-fixed"/>
            <w:color w:val="0000FF"/>
            <w:szCs w:val="24"/>
            <w:u w:val="single"/>
            <w:lang w:val="en-US" w:eastAsia="ar-SA"/>
          </w:rPr>
          <w:t>https://andrewsforest.oregonstate.edu/sites/default/files/lter/pubs/pdf/pub3549.pdf</w:t>
        </w:r>
      </w:hyperlink>
      <w:r w:rsidRPr="001A2A45">
        <w:rPr>
          <w:rFonts w:eastAsia="-moz-fixed" w:cs="-moz-fixed"/>
          <w:szCs w:val="24"/>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Techniques for enhancing decadence may include: </w:t>
      </w:r>
    </w:p>
    <w:p w:rsidR="001A2A45" w:rsidRPr="001A2A45" w:rsidRDefault="001A2A45" w:rsidP="001A2A45">
      <w:pPr>
        <w:numPr>
          <w:ilvl w:val="0"/>
          <w:numId w:val="15"/>
        </w:num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Retaining all large snags and large dead wood by keeping workers out of the hazard zone if necessary, </w:t>
      </w:r>
    </w:p>
    <w:p w:rsidR="001A2A45" w:rsidRPr="001A2A45" w:rsidRDefault="001A2A45" w:rsidP="001A2A45">
      <w:pPr>
        <w:numPr>
          <w:ilvl w:val="0"/>
          <w:numId w:val="15"/>
        </w:numPr>
        <w:suppressAutoHyphens/>
        <w:spacing w:line="240" w:lineRule="auto"/>
        <w:rPr>
          <w:rFonts w:eastAsia="-moz-fixed" w:cs="-moz-fixed"/>
          <w:szCs w:val="20"/>
          <w:lang w:val="en-US" w:eastAsia="ar-SA"/>
        </w:rPr>
      </w:pPr>
      <w:r w:rsidRPr="001A2A45">
        <w:rPr>
          <w:rFonts w:eastAsia="-moz-fixed" w:cs="-moz-fixed"/>
          <w:szCs w:val="20"/>
          <w:lang w:val="en-US" w:eastAsia="ar-SA"/>
        </w:rPr>
        <w:t>Intentionally retaining leaning trees, and trees with defects, broken tops, forked tops, etc.</w:t>
      </w:r>
    </w:p>
    <w:p w:rsidR="001A2A45" w:rsidRPr="001A2A45" w:rsidRDefault="001A2A45" w:rsidP="001A2A45">
      <w:pPr>
        <w:numPr>
          <w:ilvl w:val="0"/>
          <w:numId w:val="15"/>
        </w:numPr>
        <w:suppressAutoHyphens/>
        <w:spacing w:line="240" w:lineRule="auto"/>
        <w:rPr>
          <w:rFonts w:eastAsia="-moz-fixed" w:cs="-moz-fixed"/>
          <w:szCs w:val="24"/>
          <w:lang w:val="en-US" w:eastAsia="ar-SA"/>
        </w:rPr>
      </w:pPr>
      <w:r w:rsidRPr="001A2A45">
        <w:rPr>
          <w:rFonts w:eastAsia="-moz-fixed" w:cs="-moz-fixed"/>
          <w:szCs w:val="20"/>
          <w:lang w:val="en-US" w:eastAsia="ar-SA"/>
        </w:rPr>
        <w:t xml:space="preserve">Leaving some untreated skips where future mortality can be expected, </w:t>
      </w:r>
    </w:p>
    <w:p w:rsidR="001A2A45" w:rsidRPr="001A2A45" w:rsidRDefault="001A2A45" w:rsidP="001A2A45">
      <w:pPr>
        <w:numPr>
          <w:ilvl w:val="0"/>
          <w:numId w:val="15"/>
        </w:numPr>
        <w:suppressAutoHyphens/>
        <w:spacing w:line="240" w:lineRule="auto"/>
        <w:rPr>
          <w:rFonts w:eastAsia="-moz-fixed" w:cs="-moz-fixed"/>
          <w:szCs w:val="24"/>
          <w:lang w:val="en-US" w:eastAsia="ar-SA"/>
        </w:rPr>
      </w:pPr>
      <w:r w:rsidRPr="001A2A45">
        <w:rPr>
          <w:rFonts w:eastAsia="-moz-fixed" w:cs="-moz-fixed"/>
          <w:szCs w:val="24"/>
          <w:lang w:val="en-US" w:eastAsia="ar-SA"/>
        </w:rPr>
        <w:t>Mimic natural disturbance processes by killing and leaving some trees.</w:t>
      </w:r>
    </w:p>
    <w:p w:rsidR="001A2A45" w:rsidRPr="001A2A45" w:rsidRDefault="001A2A45" w:rsidP="001A2A45">
      <w:pPr>
        <w:numPr>
          <w:ilvl w:val="0"/>
          <w:numId w:val="15"/>
        </w:num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When determined to be necessary, snag creation must be a creative endeavor. Trees killed in different way will die and decay in different ways. A variety of techniques should be used within and between stands: high-cutting stumps, girdling, topping, burning, infecting with heart rot fungus or other native pathogens, etc. See for instance, James W. Rivers, Fungal inoculations and mechanical wounding of trees have limited efficacy for snag creation two decades after treatment, Forest Ecology and Management, Volume 553, 2024, 121651, ISSN 0378-1127, </w:t>
      </w:r>
      <w:hyperlink r:id="rId139" w:history="1">
        <w:r w:rsidRPr="001A2A45">
          <w:rPr>
            <w:rFonts w:eastAsia="-moz-fixed" w:cs="-moz-fixed"/>
            <w:color w:val="0000FF"/>
            <w:szCs w:val="24"/>
            <w:u w:val="single"/>
            <w:lang w:val="en-US" w:eastAsia="ar-SA"/>
          </w:rPr>
          <w:t>https://doi.org/10.1016/j.foreco.2023.121651</w:t>
        </w:r>
      </w:hyperlink>
      <w:r w:rsidRPr="001A2A45">
        <w:rPr>
          <w:rFonts w:eastAsia="-moz-fixed" w:cs="-moz-fixed"/>
          <w:szCs w:val="24"/>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Artificial snag creation is often proposed as a mitigation, but this has very short-term benefits. Since logging has long-term adverse effects on snag recruitment, it is necessary to adopt mitigation with long-term effects, such as retaining untreated skips embedded within treatments areas where natural mortality processes can flourish.</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The Mt Hood National Forest has made an effort to manage for decadence in the Cloak Thinning EA, 11/2004 </w:t>
      </w:r>
      <w:hyperlink r:id="rId140" w:history="1">
        <w:r w:rsidRPr="001A2A45">
          <w:rPr>
            <w:rFonts w:eastAsia="-moz-fixed" w:cs="-moz-fixed"/>
            <w:color w:val="0000FF"/>
            <w:szCs w:val="24"/>
            <w:u w:val="single"/>
            <w:lang w:val="en-US" w:eastAsia="ar-SA"/>
          </w:rPr>
          <w:t>http://web.archive.org/web/20090116060045/http://www.fs.fed.us/r6/mthood/projects/cloak-thinning/CloakEA.pdf</w:t>
        </w:r>
      </w:hyperlink>
      <w:r w:rsidRPr="001A2A45">
        <w:rPr>
          <w:rFonts w:eastAsia="-moz-fixed" w:cs="-moz-fixed"/>
          <w:szCs w:val="24"/>
          <w:lang w:val="en-US" w:eastAsia="ar-SA"/>
        </w:rPr>
        <w:t xml:space="preserve">. </w:t>
      </w:r>
      <w:r w:rsidRPr="001A2A45">
        <w:rPr>
          <w:rFonts w:eastAsia="-moz-fixed" w:cs="-moz-fixed"/>
          <w:szCs w:val="20"/>
          <w:lang w:val="en-US" w:eastAsia="ar-SA"/>
        </w:rPr>
        <w:t>Design Criteria #6</w:t>
      </w:r>
      <w:r w:rsidRPr="001A2A45">
        <w:rPr>
          <w:rFonts w:eastAsia="-moz-fixed" w:cs="-moz-fixed"/>
          <w:szCs w:val="24"/>
          <w:lang w:val="en-US" w:eastAsia="ar-SA"/>
        </w:rPr>
        <w:t xml:space="preserve"> (p 23) indicates that “live trees would also be selected as leave trees that have the ‘elements of wood decay’ as described in the DecAID advisor. This may include trees with features such as dead tops, broken tops and heart rot.” This technique will be applied not only in thinning native second growth but also in thinning dense young plantations. The agency should incorporate this design element in all projects and instruct marking crews and cutting crews to “look up” so they can retain key elements of structural complexity such as broken tops, forked trees, etc.</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 xml:space="preserve">The Regional Ecosystem office recommends managing dead wood in young stands within reserves to attain </w:t>
      </w:r>
      <w:r w:rsidRPr="001A2A45">
        <w:rPr>
          <w:rFonts w:eastAsia="-moz-fixed" w:cs="-moz-fixed"/>
          <w:i/>
          <w:szCs w:val="20"/>
          <w:lang w:val="en-US" w:eastAsia="ar-SA"/>
        </w:rPr>
        <w:t>biologically optimal</w:t>
      </w:r>
      <w:r w:rsidRPr="001A2A45">
        <w:rPr>
          <w:rFonts w:eastAsia="-moz-fixed" w:cs="-moz-fixed"/>
          <w:szCs w:val="20"/>
          <w:lang w:val="en-US" w:eastAsia="ar-SA"/>
        </w:rPr>
        <w:t xml:space="preserve"> levels, not just </w:t>
      </w:r>
      <w:r w:rsidRPr="001A2A45">
        <w:rPr>
          <w:rFonts w:eastAsia="-moz-fixed" w:cs="-moz-fixed"/>
          <w:i/>
          <w:szCs w:val="20"/>
          <w:lang w:val="en-US" w:eastAsia="ar-SA"/>
        </w:rPr>
        <w:t>average</w:t>
      </w:r>
      <w:r w:rsidRPr="001A2A45">
        <w:rPr>
          <w:rFonts w:eastAsia="-moz-fixed" w:cs="-moz-fixed"/>
          <w:szCs w:val="20"/>
          <w:lang w:val="en-US" w:eastAsia="ar-SA"/>
        </w:rPr>
        <w:t xml:space="preserve"> or </w:t>
      </w:r>
      <w:r w:rsidRPr="001A2A45">
        <w:rPr>
          <w:rFonts w:eastAsia="-moz-fixed" w:cs="-moz-fixed"/>
          <w:i/>
          <w:szCs w:val="20"/>
          <w:lang w:val="en-US" w:eastAsia="ar-SA"/>
        </w:rPr>
        <w:t>reference</w:t>
      </w:r>
      <w:r w:rsidRPr="001A2A45">
        <w:rPr>
          <w:rFonts w:eastAsia="-moz-fixed" w:cs="-moz-fixed"/>
          <w:szCs w:val="20"/>
          <w:lang w:val="en-US" w:eastAsia="ar-SA"/>
        </w:rPr>
        <w:t xml:space="preserve"> levels. REO said “CWD objectives should be based on research that shows optimum levels of habitat for late-successional forest-related species, and not be based simply on measurements within natural stands.” REO 7-9-1996 Criteria to Exempt Specific Silvicultural Activities in Late-Successional Reserves, </w:t>
      </w:r>
      <w:hyperlink r:id="rId141" w:history="1">
        <w:r w:rsidRPr="001A2A45">
          <w:rPr>
            <w:rFonts w:eastAsia="-moz-fixed" w:cs="-moz-fixed"/>
            <w:color w:val="0000FF"/>
            <w:szCs w:val="20"/>
            <w:u w:val="single"/>
            <w:lang w:val="en-US" w:eastAsia="ar-SA"/>
          </w:rPr>
          <w:t>http://www.reo.gov/library/policy/REO-694_comm_thin_criteria.doc</w:t>
        </w:r>
      </w:hyperlink>
      <w:r w:rsidRPr="001A2A45">
        <w:rPr>
          <w:rFonts w:eastAsia="-moz-fixed" w:cs="-moz-fixed"/>
          <w:szCs w:val="20"/>
          <w:lang w:val="en-US" w:eastAsia="ar-SA"/>
        </w:rPr>
        <w:t>. This means that information from DecAID reference stands should be supplemented with DecAID &gt;80% tolerance levels to determine management objectives for dead wood in LSRs.</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The agencies often claim (erroneously) that thinning increases dead wood or improves dead wood habitat, but the laws of conservation of mass prevent the agencies from claiming that they can simultaneously send millions of board feet of wood to the mill and still increase wood in the forest over the long term. The agencies often present the issue of dead wood as if the objective is to produce the first large tree (aka “the hare”), rather than to produce a continuous flow of large trees over the long-term (aka “the tortoise”). By focusing on the treatment that produces a few big trees fast, the agencies ignore important aspects of the decision, including (a) the fact that recruiting dead wood requires two things large trees AND mortality. Logging produces vigorous </w:t>
      </w:r>
      <w:r w:rsidRPr="001A2A45">
        <w:rPr>
          <w:rFonts w:eastAsia="-moz-fixed" w:cs="-moz-fixed"/>
          <w:szCs w:val="24"/>
          <w:lang w:val="en-US" w:eastAsia="ar-SA"/>
        </w:rPr>
        <w:lastRenderedPageBreak/>
        <w:t>trees that are less likely to die and produce snags in the near term, and thinning removes less vigorous trees that are more likely to be recruited as forest structure in the near term, and (b) the fact that thinning reduces the absolute number of trees that can ever be recruited as snags and dead wood. Every tree that leaves the forest on a log truck has an alternate future as a snag and dead wood. The agency ignores this opportunity cost of logging. When forest scenarios are put through an accurate model of stand growth and mortality, in almost all cases thinning will result in a reduced flow of large wood over the long-term. For instance, in a thinning project on the Siuslaw National Forest “modeling stand #502073 over a 100-year cycle [using ORGANON] predicts a total stand mortality of 202 trees (&gt;10 inches dbh) for the unthinned stand, while mortality for the thinned stand was two trees. Therefore, thinning will reduce density-dependent mortality within the stand by 99%.” NOAA 2006. Magnuson Act consultation on Essential Fish Habitat and Response to Siuslaw NF Lobster Project BA. April 4, 2006.</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If the agency asserts that commercial logging benefits snags and dead wood, they must provide quantitative analysis and state their assumptions. </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Zelig modeling by Pabst et. al (figure below, unpublished 2003) has shown no difference in the cumulative number of large snags (&gt;19.7” dbh) in un-thinned vs. thinned + snag creation treatments for the first 35 years.  From 35 to 100 years post-treatment, there are slightly more large snags in the thinned +snag creation stands than in the un-thinned.  But with review including error bars, the difference is negligible.  After 100 years, large snags accumulated at a much higher rate in the un-thinned stands.   Since most silvicultural prescriptions on the WNF include only one thinning entry, with plans for regeneration harvest between 40-80 years after treatment (~80-120 year rotations), thinning + snag creation at the densities modeled does provide a small benefit to large snag availability within that time frame.</w:t>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Cheryl Friesen 2009. THINNING AND DEAD WOOD: “BEST AVAILABLE SCIENCE” December 15, 2009. </w:t>
      </w:r>
      <w:hyperlink r:id="rId142" w:history="1">
        <w:r w:rsidRPr="001A2A45">
          <w:rPr>
            <w:rFonts w:eastAsia="-moz-fixed" w:cs="-moz-fixed"/>
            <w:color w:val="0000FF"/>
            <w:szCs w:val="20"/>
            <w:u w:val="single"/>
            <w:lang w:val="en-US" w:eastAsia="ar-SA"/>
          </w:rPr>
          <w:t>http://ecoshare.info/projects/central-cascade-adaptive-management-partnership/synthesis-papers-tools/</w:t>
        </w:r>
      </w:hyperlink>
      <w:r w:rsidRPr="001A2A45">
        <w:rPr>
          <w:rFonts w:eastAsia="-moz-fixed" w:cs="-moz-fixed"/>
          <w:szCs w:val="20"/>
          <w:lang w:val="en-US" w:eastAsia="ar-SA"/>
        </w:rPr>
        <w:t xml:space="preserve"> In this analysis, the agency assumes that the stand will be regenerated before the long-term benefits of passive management can be realized. It is not proper to rely on this assumption when planning thinning projects in young stands. The future regen is not part of the proposed action, and in reserve allocations regen is not part of the desired future condition.</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We are very concerned that heavy thinning “captures mortality” and increases vigor thereby delaying recruitment of snags and delaying development of critical components of old growth forests. This is especially critical in riparian reserves where recruitment of large wood is important. It is often asserted that thinning grows big trees faster and therefore results in more rapid recruitment of large snags faster, but FVS and other tools show this NOT to be true. Thinning both reduces and delays snag recruitment, by removing trees that would otherwise suffer suppression mortality, and by increasing vigor and delaying overall mortality. Thinning may increase growth of individual trees but the alternative to thinning (i.e. natural growth and succession) does NOT result in NO growth. Unthinned stand continue to grow and actually result in more large snags sooner. The effects of this fact must be reflected in the NEPA analysis. The implications are that heavy thinning should be used sparingly and generous unthinned patches should be retained WITHIN thinned stands in order to continue the snag recruitment process and mitigate for captured mortality.</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4"/>
          <w:lang w:val="en-US" w:eastAsia="ar-SA"/>
        </w:rPr>
        <w:t xml:space="preserve">The vast majority of agency NEPA analyses make erroneous conclusions about the effects of logging on snags and dead wood, claiming that logging is beneficial when available evidence indicates the opposite is true. This is not an error about the degree of effect (small versus large effects), but an error on the character and direction of effects (detrimental versus beneficial). </w:t>
      </w:r>
      <w:r w:rsidRPr="001A2A45">
        <w:rPr>
          <w:rFonts w:eastAsia="-moz-fixed" w:cs="-moz-fixed"/>
          <w:szCs w:val="24"/>
          <w:lang w:val="en-US" w:eastAsia="ar-SA"/>
        </w:rPr>
        <w:lastRenderedPageBreak/>
        <w:t xml:space="preserve">See Heiken, D. 2010. Dead Wood Response to Thinning: Some Examples from Modeling Work. </w:t>
      </w:r>
      <w:hyperlink r:id="rId143" w:history="1">
        <w:r w:rsidRPr="001A2A45">
          <w:rPr>
            <w:rFonts w:eastAsia="-moz-fixed" w:cs="-moz-fixed"/>
            <w:color w:val="0000FF"/>
            <w:szCs w:val="24"/>
            <w:u w:val="single"/>
            <w:lang w:val="en-US" w:eastAsia="ar-SA"/>
          </w:rPr>
          <w:t>https://www.dropbox.com/s/m4671mhsstg61ss/dead_wood_slides_2.pdf?dl=0</w:t>
        </w:r>
      </w:hyperlink>
      <w:r w:rsidRPr="001A2A45">
        <w:rPr>
          <w:rFonts w:eastAsia="-moz-fixed" w:cs="-moz-fixed"/>
          <w:szCs w:val="24"/>
          <w:lang w:val="en-US" w:eastAsia="ar-SA"/>
        </w:rPr>
        <w:t>. First, the agencies have put too much faith in professional opinion, which can be fallible. “Models provide a basis but lack variables in the program. Only on-the-ground work of an experienced forester can take in all the variables. Years of experience cannot be replaced by a computer.” Wallowa-Whitman National Forest. 2011. Muddy Sled DN, Appendix E. Second, the agencies appear to suffer from a malady called “belief perseverance.”</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 xml:space="preserve">“People tend to hold on to their beliefs even when it appears that they shouldn't. Belief perseverance is the tendency to cling to one's initial belief even after receiving new information that contradicts or disconfirms the basis of that belief. … The third type involves </w:t>
      </w:r>
      <w:r w:rsidRPr="001A2A45">
        <w:rPr>
          <w:rFonts w:eastAsia="-moz-fixed" w:cs="-moz-fixed"/>
          <w:i/>
          <w:szCs w:val="20"/>
          <w:lang w:val="en-US" w:eastAsia="ar-SA"/>
        </w:rPr>
        <w:t>naive theories</w:t>
      </w:r>
      <w:r w:rsidRPr="001A2A45">
        <w:rPr>
          <w:rFonts w:eastAsia="-moz-fixed" w:cs="-moz-fixed"/>
          <w:szCs w:val="20"/>
          <w:lang w:val="en-US" w:eastAsia="ar-SA"/>
        </w:rPr>
        <w:t xml:space="preserve">, beliefs about how the world works. … At least three psychological processes underlie belief perseverance. One involves use of the “availability heuristic” to decide what is most likely to happen. … A second process concerns “illusory correlation,” in which one sees or remembers more confirming cases and fewer disconfirming cases than really exists. A third process involves “data distortions,” in which confirming cases are inadvertently created and disconfirming cases are ignored. … Research also has investigated ways to reduce belief perseverance. The most obvious solution, asking people to be unbiased, doesn't work. However, several techniques do reduce the problem. The most successful is to get the person to imagine or explain how the opposite belief might be true. This de-biasing technique is known as </w:t>
      </w:r>
      <w:proofErr w:type="spellStart"/>
      <w:r w:rsidRPr="001A2A45">
        <w:rPr>
          <w:rFonts w:eastAsia="-moz-fixed" w:cs="-moz-fixed"/>
          <w:i/>
          <w:szCs w:val="20"/>
          <w:lang w:val="en-US" w:eastAsia="ar-SA"/>
        </w:rPr>
        <w:t>counterexplanation</w:t>
      </w:r>
      <w:proofErr w:type="spellEnd"/>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 xml:space="preserve">Anderson, C.A. (2007). Belief perseverance (pp. 109-110). In R. F. </w:t>
      </w:r>
      <w:proofErr w:type="spellStart"/>
      <w:r w:rsidRPr="001A2A45">
        <w:rPr>
          <w:rFonts w:eastAsia="-moz-fixed" w:cs="-moz-fixed"/>
          <w:szCs w:val="20"/>
          <w:lang w:val="en-US" w:eastAsia="ar-SA"/>
        </w:rPr>
        <w:t>Baumeister</w:t>
      </w:r>
      <w:proofErr w:type="spellEnd"/>
      <w:r w:rsidRPr="001A2A45">
        <w:rPr>
          <w:rFonts w:eastAsia="-moz-fixed" w:cs="-moz-fixed"/>
          <w:szCs w:val="20"/>
          <w:lang w:val="en-US" w:eastAsia="ar-SA"/>
        </w:rPr>
        <w:t xml:space="preserve"> &amp; K. D. </w:t>
      </w:r>
      <w:proofErr w:type="spellStart"/>
      <w:r w:rsidRPr="001A2A45">
        <w:rPr>
          <w:rFonts w:eastAsia="-moz-fixed" w:cs="-moz-fixed"/>
          <w:szCs w:val="20"/>
          <w:lang w:val="en-US" w:eastAsia="ar-SA"/>
        </w:rPr>
        <w:t>Vohs</w:t>
      </w:r>
      <w:proofErr w:type="spellEnd"/>
      <w:r w:rsidRPr="001A2A45">
        <w:rPr>
          <w:rFonts w:eastAsia="-moz-fixed" w:cs="-moz-fixed"/>
          <w:szCs w:val="20"/>
          <w:lang w:val="en-US" w:eastAsia="ar-SA"/>
        </w:rPr>
        <w:t xml:space="preserve"> (Eds.), Encyclopedia of Social Psychology. Thousand Oaks, CA: Sage. </w:t>
      </w:r>
      <w:hyperlink r:id="rId144" w:history="1">
        <w:r w:rsidRPr="001A2A45">
          <w:rPr>
            <w:rFonts w:eastAsia="-moz-fixed" w:cs="-moz-fixed"/>
            <w:color w:val="0000FF"/>
            <w:szCs w:val="20"/>
            <w:u w:val="single"/>
            <w:lang w:val="en-US" w:eastAsia="ar-SA"/>
          </w:rPr>
          <w:t>http://www.psychology.iastate.edu/faculty/caa/abstracts/2005-2009/07a.pdf</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Looking at recent stand simulation analyses the effects of thinning on recruitment of large wood, e.g. the Curran-</w:t>
      </w:r>
      <w:proofErr w:type="spellStart"/>
      <w:r w:rsidRPr="001A2A45">
        <w:rPr>
          <w:rFonts w:eastAsia="-moz-fixed" w:cs="-moz-fixed"/>
          <w:szCs w:val="20"/>
          <w:lang w:val="en-US" w:eastAsia="ar-SA"/>
        </w:rPr>
        <w:t>Junetta</w:t>
      </w:r>
      <w:proofErr w:type="spellEnd"/>
      <w:r w:rsidRPr="001A2A45">
        <w:rPr>
          <w:rFonts w:eastAsia="-moz-fixed" w:cs="-moz-fixed"/>
          <w:szCs w:val="20"/>
          <w:lang w:val="en-US" w:eastAsia="ar-SA"/>
        </w:rPr>
        <w:t xml:space="preserve"> and Holland </w:t>
      </w:r>
      <w:proofErr w:type="spellStart"/>
      <w:r w:rsidRPr="001A2A45">
        <w:rPr>
          <w:rFonts w:eastAsia="-moz-fixed" w:cs="-moz-fixed"/>
          <w:szCs w:val="20"/>
          <w:lang w:val="en-US" w:eastAsia="ar-SA"/>
        </w:rPr>
        <w:t>Moonsalt</w:t>
      </w:r>
      <w:proofErr w:type="spellEnd"/>
      <w:r w:rsidRPr="001A2A45">
        <w:rPr>
          <w:rFonts w:eastAsia="-moz-fixed" w:cs="-moz-fixed"/>
          <w:szCs w:val="20"/>
          <w:lang w:val="en-US" w:eastAsia="ar-SA"/>
        </w:rPr>
        <w:t xml:space="preserve"> Projects on the Cottage Grove Ranger District, it appears that thinned stands may not reach the 80% DecAID tolerance levels for large snags, not even in 100 years. If thinning really forecloses that opportunity, then we better set aside large areas of the landscape where thinning does not occur and large snag recruitment can occur at natural levels. These unthinned area need to be planned in advance and left unmanaged for very long periods so this process can operate without the interference of foresters who think they can improve on things with chainsaws. The lesson of the stand simulation models is that virtually any logging, reduces and delays recruitment of large snags. This is very significant and very under-appreciated new information.</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0"/>
          <w:lang w:val="en-US" w:eastAsia="ar-SA"/>
        </w:rPr>
        <w:t xml:space="preserve">Using data from stand exams modeled through FVS-FFE (West Cascades variant) the Umpqua NF found that the actual effect of thinning 40-60 year old stands is to capture mortality and </w:t>
      </w:r>
      <w:r w:rsidRPr="001A2A45">
        <w:rPr>
          <w:rFonts w:eastAsia="-moz-fixed" w:cs="-moz-fixed"/>
          <w:i/>
          <w:szCs w:val="20"/>
          <w:lang w:val="en-US" w:eastAsia="ar-SA"/>
        </w:rPr>
        <w:t xml:space="preserve">delay </w:t>
      </w:r>
      <w:r w:rsidRPr="001A2A45">
        <w:rPr>
          <w:rFonts w:eastAsia="-moz-fixed" w:cs="-moz-fixed"/>
          <w:szCs w:val="20"/>
          <w:lang w:val="en-US" w:eastAsia="ar-SA"/>
        </w:rPr>
        <w:t xml:space="preserve">recruitment of large wood for up to 60 years. </w:t>
      </w:r>
      <w:r w:rsidRPr="001A2A45">
        <w:rPr>
          <w:rFonts w:eastAsia="-moz-fixed" w:cs="-moz-fixed"/>
          <w:szCs w:val="24"/>
          <w:lang w:val="en-US" w:eastAsia="ar-SA"/>
        </w:rPr>
        <w:t xml:space="preserve">Other NEPA analyses should emulate the honest disclosure of thinning impacts on snag habitat found in the Cottage Grove District’s Curran </w:t>
      </w:r>
      <w:proofErr w:type="spellStart"/>
      <w:r w:rsidRPr="001A2A45">
        <w:rPr>
          <w:rFonts w:eastAsia="-moz-fixed" w:cs="-moz-fixed"/>
          <w:szCs w:val="24"/>
          <w:lang w:val="en-US" w:eastAsia="ar-SA"/>
        </w:rPr>
        <w:t>Junetta</w:t>
      </w:r>
      <w:proofErr w:type="spellEnd"/>
      <w:r w:rsidRPr="001A2A45">
        <w:rPr>
          <w:rFonts w:eastAsia="-moz-fixed" w:cs="-moz-fixed"/>
          <w:szCs w:val="24"/>
          <w:lang w:val="en-US" w:eastAsia="ar-SA"/>
        </w:rPr>
        <w:t xml:space="preserve"> Thin EA:</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 xml:space="preserve">There is currently an excess of forested land in this area without snags (roughly 5 times higher than what DecAID recommends) and a deficiency in areas with high snag densities (roughly 12% of what DecAID recommends). Management prescriptions should allow for these extremes because they are ecologically important (White et al. 2002, </w:t>
      </w:r>
      <w:proofErr w:type="spellStart"/>
      <w:r w:rsidRPr="001A2A45">
        <w:rPr>
          <w:rFonts w:eastAsia="-moz-fixed" w:cs="-moz-fixed"/>
          <w:szCs w:val="20"/>
          <w:lang w:val="en-US" w:eastAsia="ar-SA"/>
        </w:rPr>
        <w:t>Mellen</w:t>
      </w:r>
      <w:proofErr w:type="spellEnd"/>
      <w:r w:rsidRPr="001A2A45">
        <w:rPr>
          <w:rFonts w:eastAsia="-moz-fixed" w:cs="-moz-fixed"/>
          <w:szCs w:val="20"/>
          <w:lang w:val="en-US" w:eastAsia="ar-SA"/>
        </w:rPr>
        <w:t xml:space="preserve"> et al. 2005). Common natural disturbances that produce areas with high levels of dead wood include wildfire, insects and disease, and wind (blow down) events.</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 xml:space="preserve">The action alternatives cause a decrease in stand levels of snags and down wood caused by incidental falling of snags for logging or safety reasons, and consumption of down </w:t>
      </w:r>
      <w:r w:rsidRPr="001A2A45">
        <w:rPr>
          <w:rFonts w:eastAsia="-moz-fixed" w:cs="-moz-fixed"/>
          <w:szCs w:val="20"/>
          <w:lang w:val="en-US" w:eastAsia="ar-SA"/>
        </w:rPr>
        <w:lastRenderedPageBreak/>
        <w:t>wood during the fuels reduction treatments. Thinning would then reduce the amount of suppression mortality within the thinned portions of stands, indirectly affecting future recruitment of CWD. Existing snags and logs would be protected to the extent practical and safe. However, it is probable that the action alternatives would lower levels of these structures (to approximately one to two snags per acre) through mechanical disturbance from tree falling and harvesting. … To mitigate for effect on large snags, the action alternatives would include the inoculation of two trees per acre on 857 acres and five snags per acre on 379 acres (within CHU OR-20) with locally collected native heart rot fungus. Inoculated trees begin to develop heart rot within five years as they continue to grow (Duncan, 1999), eventually producing larger trees with cavities and future snags that remain standing longer than if girdled. Inoculation is a management tool being used to offset the reduction of suppression mortality caused by thinning and to maintain a component of decadence within these managed stands. Additional snag mitigation would occur within CHU OR-20; six snags per acre would be created by fire during fuels reduction activities. In unit seven, mitigation would occur by girdling trees (&gt;15 inch dbh or largest trees available) to achieve six snags per acre within the thinned portions of the unit.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szCs w:val="20"/>
          <w:lang w:val="en-US" w:eastAsia="ar-SA"/>
        </w:rPr>
        <w:t>Large snag (≥20” DBH) densities within the stands are currently below the levels advised for in DecAID (4.7 snags/acre – 30% tolerance level). Under the no action alternative this level of snags would not be achieved for another two decades (Figure 15). The action alternatives would delay reaching this level by an additional 10 to 30 years (10 years for units thinned to 70 to 90 trees per acre, 30 years for units thinned to 40 to 60 trees per acre).</w:t>
      </w:r>
    </w:p>
    <w:p w:rsidR="001A2A45" w:rsidRPr="001A2A45" w:rsidRDefault="001A2A45" w:rsidP="001A2A45">
      <w:pPr>
        <w:suppressAutoHyphens/>
        <w:spacing w:line="240" w:lineRule="auto"/>
        <w:ind w:left="720"/>
        <w:rPr>
          <w:rFonts w:eastAsia="-moz-fixed" w:cs="-moz-fixed"/>
          <w:b/>
          <w:szCs w:val="20"/>
          <w:lang w:val="en-US" w:eastAsia="ar-SA"/>
        </w:rPr>
      </w:pPr>
      <w:r w:rsidRPr="001A2A45">
        <w:rPr>
          <w:rFonts w:eastAsia="-moz-fixed" w:cs="-moz-fixed"/>
          <w:szCs w:val="20"/>
          <w:lang w:val="en-US" w:eastAsia="ar-SA"/>
        </w:rPr>
        <w:t>…</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b/>
          <w:szCs w:val="20"/>
          <w:lang w:val="en-US" w:eastAsia="ar-SA"/>
        </w:rPr>
        <w:t>Cumulative impacts</w:t>
      </w: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szCs w:val="20"/>
          <w:lang w:val="en-US" w:eastAsia="ar-SA"/>
        </w:rPr>
        <w:t xml:space="preserve">Substantial adverse impacts to levels of CWD at both the stand and landscape-scale have resulted from past clearcut timber harvesting, road building, roadside salvage and fire exclusion. The </w:t>
      </w:r>
      <w:proofErr w:type="spellStart"/>
      <w:r w:rsidRPr="001A2A45">
        <w:rPr>
          <w:rFonts w:eastAsia="-moz-fixed" w:cs="-moz-fixed"/>
          <w:szCs w:val="20"/>
          <w:lang w:val="en-US" w:eastAsia="ar-SA"/>
        </w:rPr>
        <w:t>Layng</w:t>
      </w:r>
      <w:proofErr w:type="spellEnd"/>
      <w:r w:rsidRPr="001A2A45">
        <w:rPr>
          <w:rFonts w:eastAsia="-moz-fixed" w:cs="-moz-fixed"/>
          <w:szCs w:val="20"/>
          <w:lang w:val="en-US" w:eastAsia="ar-SA"/>
        </w:rPr>
        <w:t xml:space="preserve"> Creek inventory showed an overabundance of land area with no snags, and a deficit of land area with high snag densities (caused by fire exclusion). It would take several decades to restore snag and log conditions to within the ranges advised for in DecAID at these two extreme ends of the range of CWD.</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USDA Forest Service. 2007. Curran </w:t>
      </w:r>
      <w:proofErr w:type="spellStart"/>
      <w:r w:rsidRPr="001A2A45">
        <w:rPr>
          <w:rFonts w:eastAsia="-moz-fixed" w:cs="-moz-fixed"/>
          <w:szCs w:val="24"/>
          <w:lang w:val="en-US" w:eastAsia="ar-SA"/>
        </w:rPr>
        <w:t>Junetta</w:t>
      </w:r>
      <w:proofErr w:type="spellEnd"/>
      <w:r w:rsidRPr="001A2A45">
        <w:rPr>
          <w:rFonts w:eastAsia="-moz-fixed" w:cs="-moz-fixed"/>
          <w:szCs w:val="24"/>
          <w:lang w:val="en-US" w:eastAsia="ar-SA"/>
        </w:rPr>
        <w:t xml:space="preserve"> Thin Timber Sale Environmental Assessment. Cottage Grove Ranger District, Umpqua National Forest. June 2007. </w:t>
      </w:r>
      <w:hyperlink r:id="rId145" w:history="1">
        <w:r w:rsidRPr="001A2A45">
          <w:rPr>
            <w:rFonts w:eastAsia="-moz-fixed" w:cs="-moz-fixed"/>
            <w:color w:val="0000FF"/>
            <w:szCs w:val="20"/>
            <w:u w:val="single"/>
            <w:lang w:val="en-US" w:eastAsia="ar-SA"/>
          </w:rPr>
          <w:t>https://usfs-public.app.box.com/v/PinyonPublic/folder/158152590920</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This graph from the Curran </w:t>
      </w:r>
      <w:proofErr w:type="spellStart"/>
      <w:r w:rsidRPr="001A2A45">
        <w:rPr>
          <w:rFonts w:eastAsia="-moz-fixed" w:cs="-moz-fixed"/>
          <w:szCs w:val="24"/>
          <w:lang w:val="en-US" w:eastAsia="ar-SA"/>
        </w:rPr>
        <w:t>Junetta</w:t>
      </w:r>
      <w:proofErr w:type="spellEnd"/>
      <w:r w:rsidRPr="001A2A45">
        <w:rPr>
          <w:rFonts w:eastAsia="-moz-fixed" w:cs="-moz-fixed"/>
          <w:szCs w:val="24"/>
          <w:lang w:val="en-US" w:eastAsia="ar-SA"/>
        </w:rPr>
        <w:t xml:space="preserve"> Thin EA shows that heavy thinning delays by more than 60 years the attainment of habitat objectives for large snags (i.e. mid-point of the gray band representing 30-80% tolerance level).</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ind w:left="720"/>
        <w:rPr>
          <w:rFonts w:eastAsia="-moz-fixed" w:cs="-moz-fixed"/>
          <w:szCs w:val="24"/>
          <w:lang w:val="en-US" w:eastAsia="ar-SA"/>
        </w:rPr>
      </w:pPr>
      <w:r w:rsidRPr="001A2A45">
        <w:rPr>
          <w:rFonts w:eastAsia="-moz-fixed" w:cs="-moz-fixed"/>
          <w:noProof/>
          <w:szCs w:val="24"/>
          <w:lang w:val="en-US"/>
        </w:rPr>
        <w:lastRenderedPageBreak/>
        <w:drawing>
          <wp:inline distT="0" distB="0" distL="0" distR="0">
            <wp:extent cx="5486400" cy="26822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86400" cy="2682240"/>
                    </a:xfrm>
                    <a:prstGeom prst="rect">
                      <a:avLst/>
                    </a:prstGeom>
                    <a:solidFill>
                      <a:srgbClr val="FFFFFF"/>
                    </a:solidFill>
                    <a:ln>
                      <a:noFill/>
                    </a:ln>
                  </pic:spPr>
                </pic:pic>
              </a:graphicData>
            </a:graphic>
          </wp:inline>
        </w:drawing>
      </w:r>
    </w:p>
    <w:p w:rsidR="001A2A45" w:rsidRPr="001A2A45" w:rsidRDefault="0061341D" w:rsidP="001A2A45">
      <w:pPr>
        <w:suppressAutoHyphens/>
        <w:autoSpaceDE w:val="0"/>
        <w:spacing w:after="144" w:line="240" w:lineRule="auto"/>
        <w:rPr>
          <w:rFonts w:ascii="-moz-fixed" w:eastAsia="-moz-fixed" w:hAnsi="-moz-fixed" w:cs="-moz-fixed"/>
          <w:sz w:val="24"/>
          <w:szCs w:val="24"/>
          <w:lang w:val="en-US" w:eastAsia="ar-SA"/>
        </w:rPr>
      </w:pPr>
      <w:hyperlink r:id="rId147" w:history="1">
        <w:r w:rsidR="001A2A45" w:rsidRPr="001A2A45">
          <w:rPr>
            <w:rFonts w:eastAsia="-moz-fixed" w:cs="-moz-fixed"/>
            <w:color w:val="0000FF"/>
            <w:szCs w:val="24"/>
            <w:u w:val="single"/>
            <w:lang w:val="en-US" w:eastAsia="ar-SA"/>
          </w:rPr>
          <w:t>https://usfs-public.app.box.com/v/PinyonPublic/folder/158152590920</w:t>
        </w:r>
      </w:hyperlink>
      <w:r w:rsidR="001A2A45" w:rsidRPr="001A2A45">
        <w:rPr>
          <w:rFonts w:ascii="-moz-fixed" w:eastAsia="-moz-fixed" w:hAnsi="-moz-fixed" w:cs="-moz-fixed"/>
          <w:sz w:val="24"/>
          <w:szCs w:val="24"/>
          <w:lang w:val="en-US" w:eastAsia="ar-SA"/>
        </w:rPr>
        <w:t>.</w:t>
      </w: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The figure below, from Pollock et al (2012), shows that tree removal through thinning can lead to stand development trajectories that miss the reference condition for dead wood. We point this out to highlight one of the trade-offs involved in thinning, and to encourage careful thinking about mitigation. Leaving the cut trees in the woods is a good short-term mitigation, but the small trees do not last long enough to fill the temporal gap between now and when the stand begins recruiting more dead wood on its own. Leaving unthinned patches within treated stands is a good mid-to-long-term mitigation.</w:t>
      </w:r>
    </w:p>
    <w:p w:rsidR="001A2A45" w:rsidRPr="001A2A45" w:rsidRDefault="001A2A45" w:rsidP="001A2A45">
      <w:pPr>
        <w:suppressAutoHyphens/>
        <w:spacing w:line="240" w:lineRule="auto"/>
        <w:ind w:left="720"/>
        <w:rPr>
          <w:rFonts w:eastAsia="-moz-fixed" w:cs="-moz-fixed"/>
          <w:noProof/>
          <w:szCs w:val="20"/>
          <w:lang w:val="en-US"/>
        </w:rPr>
      </w:pPr>
      <w:r w:rsidRPr="001A2A45">
        <w:rPr>
          <w:rFonts w:eastAsia="-moz-fixed" w:cs="-moz-fixed"/>
          <w:noProof/>
          <w:szCs w:val="20"/>
          <w:lang w:val="en-US"/>
        </w:rPr>
        <w:drawing>
          <wp:inline distT="0" distB="0" distL="0" distR="0">
            <wp:extent cx="5128260" cy="37261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28260" cy="3726180"/>
                    </a:xfrm>
                    <a:prstGeom prst="rect">
                      <a:avLst/>
                    </a:prstGeom>
                    <a:noFill/>
                    <a:ln>
                      <a:noFill/>
                    </a:ln>
                  </pic:spPr>
                </pic:pic>
              </a:graphicData>
            </a:graphic>
          </wp:inline>
        </w:drawing>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lastRenderedPageBreak/>
        <w:t xml:space="preserve">Pollock, M. M., T. J. Beechie, and H. </w:t>
      </w:r>
      <w:proofErr w:type="spellStart"/>
      <w:r w:rsidRPr="001A2A45">
        <w:rPr>
          <w:rFonts w:eastAsia="-moz-fixed" w:cs="-moz-fixed"/>
          <w:szCs w:val="20"/>
          <w:lang w:val="en-US" w:eastAsia="ar-SA"/>
        </w:rPr>
        <w:t>Imaki</w:t>
      </w:r>
      <w:proofErr w:type="spellEnd"/>
      <w:r w:rsidRPr="001A2A45">
        <w:rPr>
          <w:rFonts w:eastAsia="-moz-fixed" w:cs="-moz-fixed"/>
          <w:szCs w:val="20"/>
          <w:lang w:val="en-US" w:eastAsia="ar-SA"/>
        </w:rPr>
        <w:t xml:space="preserve">. 2012. Using reference conditions in ecosystem restoration: an example for riparian conifer forests in the Pacific Northwest. Ecosphere 3(11):98. </w:t>
      </w:r>
      <w:hyperlink r:id="rId148" w:history="1">
        <w:r w:rsidRPr="001A2A45">
          <w:rPr>
            <w:rFonts w:eastAsia="-moz-fixed" w:cs="-moz-fixed"/>
            <w:color w:val="0000FF"/>
            <w:szCs w:val="20"/>
            <w:u w:val="single"/>
            <w:lang w:val="en-US" w:eastAsia="ar-SA"/>
          </w:rPr>
          <w:t>http://dx.doi.org/10.1890/ES12-00175.1</w:t>
        </w:r>
      </w:hyperlink>
    </w:p>
    <w:p w:rsidR="001A2A45" w:rsidRPr="001A2A45" w:rsidRDefault="001A2A45" w:rsidP="001A2A45">
      <w:pPr>
        <w:suppressAutoHyphens/>
        <w:autoSpaceDE w:val="0"/>
        <w:spacing w:line="240" w:lineRule="auto"/>
        <w:rPr>
          <w:rFonts w:ascii="New York" w:eastAsia="-moz-fixed" w:hAnsi="New York" w:cs="New York"/>
          <w:sz w:val="20"/>
          <w:szCs w:val="20"/>
          <w:lang w:val="en-US" w:eastAsia="ar-SA"/>
        </w:rPr>
      </w:pPr>
    </w:p>
    <w:p w:rsidR="001A2A45" w:rsidRDefault="001A2A45" w:rsidP="001A2A45">
      <w:pPr>
        <w:suppressAutoHyphens/>
        <w:spacing w:before="120" w:after="120" w:line="240" w:lineRule="auto"/>
        <w:rPr>
          <w:rFonts w:eastAsia="-moz-fixed" w:cs="Times New Roman"/>
          <w:bCs/>
          <w:lang w:val="en-US" w:eastAsia="ar-SA"/>
        </w:rPr>
      </w:pPr>
      <w:r w:rsidRPr="001A2A45">
        <w:rPr>
          <w:rFonts w:eastAsia="-moz-fixed" w:cs="Times New Roman"/>
          <w:bCs/>
          <w:sz w:val="24"/>
          <w:szCs w:val="24"/>
          <w:lang w:val="en-US" w:eastAsia="ar-SA"/>
        </w:rPr>
        <w:t xml:space="preserve">The following three graphs from the Cottage Grove District’s Holland </w:t>
      </w:r>
      <w:proofErr w:type="spellStart"/>
      <w:r w:rsidRPr="001A2A45">
        <w:rPr>
          <w:rFonts w:eastAsia="-moz-fixed" w:cs="Times New Roman"/>
          <w:bCs/>
          <w:sz w:val="24"/>
          <w:szCs w:val="24"/>
          <w:lang w:val="en-US" w:eastAsia="ar-SA"/>
        </w:rPr>
        <w:t>Moonsalt</w:t>
      </w:r>
      <w:proofErr w:type="spellEnd"/>
      <w:r w:rsidRPr="001A2A45">
        <w:rPr>
          <w:rFonts w:eastAsia="-moz-fixed" w:cs="Times New Roman"/>
          <w:bCs/>
          <w:sz w:val="24"/>
          <w:szCs w:val="24"/>
          <w:lang w:val="en-US" w:eastAsia="ar-SA"/>
        </w:rPr>
        <w:t xml:space="preserve"> EA clearly show the adverse effect of logging on large and small snags and down wood. This project involved more than 1,000 acres of commercial thinning of 40-50 year old stands retaining 40-90 trees per acre, plus 364 acres of unthinned “skips” within units (247 acres of that is riparian reserves), and 3 snags/acre created by girdling. Umpqua NF 2009. Holland </w:t>
      </w:r>
      <w:proofErr w:type="spellStart"/>
      <w:r w:rsidRPr="001A2A45">
        <w:rPr>
          <w:rFonts w:eastAsia="-moz-fixed" w:cs="Times New Roman"/>
          <w:bCs/>
          <w:sz w:val="24"/>
          <w:szCs w:val="24"/>
          <w:lang w:val="en-US" w:eastAsia="ar-SA"/>
        </w:rPr>
        <w:t>Moonsalt</w:t>
      </w:r>
      <w:proofErr w:type="spellEnd"/>
      <w:r w:rsidRPr="001A2A45">
        <w:rPr>
          <w:rFonts w:eastAsia="-moz-fixed" w:cs="Times New Roman"/>
          <w:bCs/>
          <w:sz w:val="24"/>
          <w:szCs w:val="24"/>
          <w:lang w:val="en-US" w:eastAsia="ar-SA"/>
        </w:rPr>
        <w:t xml:space="preserve"> Timber Sale Project EA. Cottage Grove Ranger District. May 2009. </w:t>
      </w:r>
      <w:hyperlink r:id="rId149" w:history="1">
        <w:r w:rsidR="00C04BD7" w:rsidRPr="00100363">
          <w:rPr>
            <w:rStyle w:val="Hyperlink"/>
            <w:rFonts w:eastAsia="-moz-fixed" w:cs="New York"/>
            <w:bCs/>
            <w:lang w:val="en-US" w:eastAsia="ar-SA"/>
          </w:rPr>
          <w:t>https://usfs-public.app.box.com/v/PinyonPublic/file/932402012000</w:t>
        </w:r>
        <w:r w:rsidR="00C04BD7" w:rsidRPr="00100363">
          <w:rPr>
            <w:rStyle w:val="Hyperlink"/>
            <w:rFonts w:eastAsia="-moz-fixed" w:cs="Times New Roman"/>
            <w:bCs/>
            <w:lang w:val="en-US" w:eastAsia="ar-SA"/>
          </w:rPr>
          <w:t xml:space="preserve"> p 92</w:t>
        </w:r>
      </w:hyperlink>
    </w:p>
    <w:p w:rsidR="00C04BD7" w:rsidRPr="001A2A45" w:rsidRDefault="00C04BD7" w:rsidP="001A2A45">
      <w:pPr>
        <w:suppressAutoHyphens/>
        <w:spacing w:before="120" w:after="120" w:line="240" w:lineRule="auto"/>
        <w:rPr>
          <w:rFonts w:eastAsia="-moz-fixed" w:cs="New York"/>
          <w:b/>
          <w:bCs/>
          <w:sz w:val="20"/>
          <w:szCs w:val="20"/>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noProof/>
          <w:szCs w:val="24"/>
          <w:lang w:val="en-US"/>
        </w:rPr>
        <w:drawing>
          <wp:inline distT="0" distB="0" distL="0" distR="0">
            <wp:extent cx="3619863" cy="558338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34875" cy="5606536"/>
                    </a:xfrm>
                    <a:prstGeom prst="rect">
                      <a:avLst/>
                    </a:prstGeom>
                    <a:solidFill>
                      <a:srgbClr val="FFFFFF"/>
                    </a:solidFill>
                    <a:ln>
                      <a:noFill/>
                    </a:ln>
                  </pic:spPr>
                </pic:pic>
              </a:graphicData>
            </a:graphic>
          </wp:inline>
        </w:drawing>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lastRenderedPageBreak/>
        <w:t>Eugene BLM’s 2011 Thinning Project EA shows that thinning dense stands 30-70 years old results in a deficit of snags in both the &gt;12-29” dbh size class and the &gt;30” dbh size class compared to untreated areas.</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noProof/>
          <w:szCs w:val="20"/>
          <w:lang w:val="en-US"/>
        </w:rPr>
        <w:drawing>
          <wp:inline distT="0" distB="0" distL="0" distR="0">
            <wp:extent cx="4648200" cy="2819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48200" cy="2819400"/>
                    </a:xfrm>
                    <a:prstGeom prst="rect">
                      <a:avLst/>
                    </a:prstGeom>
                    <a:solidFill>
                      <a:srgbClr val="FFFFFF"/>
                    </a:solidFill>
                    <a:ln>
                      <a:noFill/>
                    </a:ln>
                  </pic:spPr>
                </pic:pic>
              </a:graphicData>
            </a:graphic>
          </wp:inline>
        </w:drawing>
      </w:r>
    </w:p>
    <w:p w:rsidR="001A2A45" w:rsidRPr="001A2A45" w:rsidRDefault="0061341D" w:rsidP="001A2A45">
      <w:pPr>
        <w:suppressAutoHyphens/>
        <w:spacing w:line="240" w:lineRule="auto"/>
        <w:rPr>
          <w:rFonts w:eastAsia="-moz-fixed" w:cs="-moz-fixed"/>
          <w:szCs w:val="20"/>
          <w:lang w:val="en-US" w:eastAsia="ar-SA"/>
        </w:rPr>
      </w:pPr>
      <w:hyperlink r:id="rId152" w:history="1">
        <w:r w:rsidR="001A2A45" w:rsidRPr="001A2A45">
          <w:rPr>
            <w:rFonts w:eastAsia="-moz-fixed" w:cs="-moz-fixed"/>
            <w:color w:val="0000FF"/>
            <w:szCs w:val="20"/>
            <w:u w:val="single"/>
            <w:lang w:val="en-US" w:eastAsia="ar-SA"/>
          </w:rPr>
          <w:t>http://www.blm.gov/or/districts/eugene/plans/files/EA-2011Thinning.pdf</w:t>
        </w:r>
      </w:hyperlink>
      <w:r w:rsidR="001A2A45" w:rsidRPr="001A2A45">
        <w:rPr>
          <w:rFonts w:eastAsia="-moz-fixed" w:cs="-moz-fixed"/>
          <w:szCs w:val="20"/>
          <w:lang w:val="en-US" w:eastAsia="ar-SA"/>
        </w:rPr>
        <w:t xml:space="preserve"> (It is unclear why BLM lumped all snags 12-29” dbh.)</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The 2018 Upper Little Fall Creek Project EA on the Middle Fork District of the Willamette NF shows that thinning stands 40-60 years old will delay attainment of snag objectives by four decades or more:</w:t>
      </w:r>
    </w:p>
    <w:p w:rsidR="001A2A45" w:rsidRPr="001A2A45" w:rsidRDefault="001A2A45" w:rsidP="001A2A45">
      <w:pPr>
        <w:suppressAutoHyphens/>
        <w:spacing w:line="240" w:lineRule="auto"/>
        <w:rPr>
          <w:rFonts w:eastAsia="-moz-fixed" w:cs="-moz-fixed"/>
          <w:noProof/>
          <w:szCs w:val="20"/>
          <w:lang w:val="en-US"/>
        </w:rPr>
      </w:pPr>
      <w:r w:rsidRPr="001A2A45">
        <w:rPr>
          <w:rFonts w:eastAsia="-moz-fixed" w:cs="-moz-fixed"/>
          <w:noProof/>
          <w:szCs w:val="20"/>
          <w:lang w:val="en-US"/>
        </w:rPr>
        <w:drawing>
          <wp:inline distT="0" distB="0" distL="0" distR="0">
            <wp:extent cx="3893127" cy="3595735"/>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933615" cy="3633130"/>
                    </a:xfrm>
                    <a:prstGeom prst="rect">
                      <a:avLst/>
                    </a:prstGeom>
                    <a:noFill/>
                    <a:ln>
                      <a:noFill/>
                    </a:ln>
                  </pic:spPr>
                </pic:pic>
              </a:graphicData>
            </a:graphic>
          </wp:inline>
        </w:drawing>
      </w:r>
    </w:p>
    <w:p w:rsidR="001A2A45" w:rsidRPr="001A2A45" w:rsidRDefault="0061341D" w:rsidP="001A2A45">
      <w:pPr>
        <w:suppressAutoHyphens/>
        <w:spacing w:line="240" w:lineRule="auto"/>
        <w:rPr>
          <w:rFonts w:eastAsia="-moz-fixed" w:cs="-moz-fixed"/>
          <w:szCs w:val="20"/>
          <w:lang w:val="en-US" w:eastAsia="ar-SA"/>
        </w:rPr>
      </w:pPr>
      <w:hyperlink r:id="rId154" w:history="1">
        <w:r w:rsidR="001A2A45" w:rsidRPr="001A2A45">
          <w:rPr>
            <w:rFonts w:eastAsia="-moz-fixed" w:cs="-moz-fixed"/>
            <w:color w:val="0000FF"/>
            <w:szCs w:val="20"/>
            <w:u w:val="single"/>
            <w:lang w:val="en-US" w:eastAsia="ar-SA"/>
          </w:rPr>
          <w:t>https://www.fs.usda.gov/nfs/11558/www/nepa/97467_FSPLT3_4272864.pdf</w:t>
        </w:r>
      </w:hyperlink>
      <w:r w:rsidR="001A2A45" w:rsidRPr="001A2A45">
        <w:rPr>
          <w:rFonts w:eastAsia="-moz-fixed" w:cs="-moz-fixed"/>
          <w:szCs w:val="20"/>
          <w:lang w:val="en-US" w:eastAsia="ar-SA"/>
        </w:rPr>
        <w:t xml:space="preserve">. </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The North Umpqua District’s Upper </w:t>
      </w:r>
      <w:proofErr w:type="spellStart"/>
      <w:r w:rsidRPr="001A2A45">
        <w:rPr>
          <w:rFonts w:eastAsia="-moz-fixed" w:cs="-moz-fixed"/>
          <w:szCs w:val="20"/>
          <w:lang w:val="en-US" w:eastAsia="ar-SA"/>
        </w:rPr>
        <w:t>Cavitt</w:t>
      </w:r>
      <w:proofErr w:type="spellEnd"/>
      <w:r w:rsidRPr="001A2A45">
        <w:rPr>
          <w:rFonts w:eastAsia="-moz-fixed" w:cs="-moz-fixed"/>
          <w:szCs w:val="20"/>
          <w:lang w:val="en-US" w:eastAsia="ar-SA"/>
        </w:rPr>
        <w:t xml:space="preserve"> EA shows:</w:t>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noProof/>
          <w:szCs w:val="20"/>
          <w:lang w:val="en-US"/>
        </w:rPr>
        <w:drawing>
          <wp:inline distT="0" distB="0" distL="0" distR="0">
            <wp:extent cx="5021580" cy="3215640"/>
            <wp:effectExtent l="0" t="0" r="762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21580" cy="3215640"/>
                    </a:xfrm>
                    <a:prstGeom prst="rect">
                      <a:avLst/>
                    </a:prstGeom>
                    <a:solidFill>
                      <a:srgbClr val="FFFFFF"/>
                    </a:solidFill>
                    <a:ln>
                      <a:noFill/>
                    </a:ln>
                  </pic:spPr>
                </pic:pic>
              </a:graphicData>
            </a:graphic>
          </wp:inline>
        </w:drawing>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North Umpqua Ranger District, Upper </w:t>
      </w:r>
      <w:proofErr w:type="spellStart"/>
      <w:r w:rsidRPr="001A2A45">
        <w:rPr>
          <w:rFonts w:eastAsia="-moz-fixed" w:cs="-moz-fixed"/>
          <w:szCs w:val="20"/>
          <w:lang w:val="en-US" w:eastAsia="ar-SA"/>
        </w:rPr>
        <w:t>Cavitt</w:t>
      </w:r>
      <w:proofErr w:type="spellEnd"/>
      <w:r w:rsidRPr="001A2A45">
        <w:rPr>
          <w:rFonts w:eastAsia="-moz-fixed" w:cs="-moz-fixed"/>
          <w:szCs w:val="20"/>
          <w:lang w:val="en-US" w:eastAsia="ar-SA"/>
        </w:rPr>
        <w:t xml:space="preserve"> Timber Sale EA, March 2010. </w:t>
      </w:r>
      <w:hyperlink r:id="rId156" w:history="1">
        <w:r w:rsidRPr="001A2A45">
          <w:rPr>
            <w:rFonts w:eastAsia="-moz-fixed" w:cs="-moz-fixed"/>
            <w:color w:val="0000FF"/>
            <w:szCs w:val="20"/>
            <w:u w:val="single"/>
            <w:lang w:val="en-US" w:eastAsia="ar-SA"/>
          </w:rPr>
          <w:t>http://a123.g.akamai.net/7/123/11558/abc123/forestservic.download.akamai.com/11558/www/nepa/59334_FSPLT1_026735.pdf</w:t>
        </w:r>
      </w:hyperlink>
      <w:r w:rsidRPr="001A2A45">
        <w:rPr>
          <w:rFonts w:eastAsia="-moz-fixed" w:cs="-moz-fixed"/>
          <w:szCs w:val="20"/>
          <w:lang w:val="en-US" w:eastAsia="ar-SA"/>
        </w:rPr>
        <w:t xml:space="preserve"> (The “slight delay” is actually 6 decades if the goal it to attain even the midpoint of the 50% tolerance level.)</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Roseburg BLM’s Third Elk Commercial Tinning EA shows the following effects of on snag recruitment from commercially thinning trees 34-57 years old from 85% of an 800 acre project area retaining 80-120 square feet of basal area per acre. </w:t>
      </w:r>
      <w:hyperlink r:id="rId157" w:history="1">
        <w:r w:rsidRPr="001A2A45">
          <w:rPr>
            <w:rFonts w:eastAsia="-moz-fixed" w:cs="-moz-fixed"/>
            <w:color w:val="0000FF"/>
            <w:szCs w:val="20"/>
            <w:u w:val="single"/>
            <w:lang w:val="en-US" w:eastAsia="ar-SA"/>
          </w:rPr>
          <w:t>http://www.blm.gov/or/districts/roseburg/plans/files/ThirdElkEA.pdf</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0"/>
          <w:lang w:val="en-US" w:eastAsia="ar-SA"/>
        </w:rPr>
      </w:pPr>
    </w:p>
    <w:tbl>
      <w:tblPr>
        <w:tblW w:w="0" w:type="auto"/>
        <w:tblInd w:w="-55" w:type="dxa"/>
        <w:tblLayout w:type="fixed"/>
        <w:tblLook w:val="0000" w:firstRow="0" w:lastRow="0" w:firstColumn="0" w:lastColumn="0" w:noHBand="0" w:noVBand="0"/>
      </w:tblPr>
      <w:tblGrid>
        <w:gridCol w:w="3672"/>
        <w:gridCol w:w="1295"/>
        <w:gridCol w:w="1297"/>
        <w:gridCol w:w="1295"/>
        <w:gridCol w:w="1407"/>
      </w:tblGrid>
      <w:tr w:rsidR="001A2A45" w:rsidRPr="001A2A45" w:rsidTr="006042B4">
        <w:tc>
          <w:tcPr>
            <w:tcW w:w="3672" w:type="dxa"/>
            <w:vMerge w:val="restart"/>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napToGrid w:val="0"/>
              <w:spacing w:line="240" w:lineRule="auto"/>
              <w:rPr>
                <w:rFonts w:ascii="Arial" w:eastAsia="-moz-fixed" w:hAnsi="Arial"/>
                <w:szCs w:val="20"/>
                <w:lang w:val="en-US" w:eastAsia="ar-SA"/>
              </w:rPr>
            </w:pPr>
            <w:bookmarkStart w:id="27" w:name="OLE_LINK2"/>
            <w:bookmarkStart w:id="28" w:name="OLE_LINK1"/>
            <w:bookmarkEnd w:id="27"/>
            <w:bookmarkEnd w:id="28"/>
          </w:p>
        </w:tc>
        <w:tc>
          <w:tcPr>
            <w:tcW w:w="2592" w:type="dxa"/>
            <w:gridSpan w:val="2"/>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Snags recruited in years 1-20</w:t>
            </w:r>
          </w:p>
        </w:tc>
        <w:tc>
          <w:tcPr>
            <w:tcW w:w="2702" w:type="dxa"/>
            <w:gridSpan w:val="2"/>
            <w:tcBorders>
              <w:top w:val="single" w:sz="4" w:space="0" w:color="000000"/>
              <w:left w:val="single" w:sz="4" w:space="0" w:color="000000"/>
              <w:bottom w:val="single" w:sz="4" w:space="0" w:color="000000"/>
              <w:right w:val="single" w:sz="4" w:space="0" w:color="000000"/>
            </w:tcBorders>
            <w:shd w:val="clear" w:color="auto" w:fill="auto"/>
          </w:tcPr>
          <w:p w:rsidR="001A2A45" w:rsidRPr="001A2A45" w:rsidRDefault="001A2A45" w:rsidP="001A2A45">
            <w:pPr>
              <w:suppressAutoHyphens/>
              <w:spacing w:line="240" w:lineRule="auto"/>
              <w:rPr>
                <w:rFonts w:eastAsia="-moz-fixed" w:cs="-moz-fixed"/>
                <w:szCs w:val="20"/>
                <w:lang w:val="en-US" w:eastAsia="ar-SA"/>
              </w:rPr>
            </w:pPr>
            <w:r w:rsidRPr="001A2A45">
              <w:rPr>
                <w:rFonts w:ascii="Arial" w:eastAsia="-moz-fixed" w:hAnsi="Arial"/>
                <w:szCs w:val="20"/>
                <w:lang w:val="en-US" w:eastAsia="ar-SA"/>
              </w:rPr>
              <w:t>Snags recruited in years 21-50</w:t>
            </w:r>
          </w:p>
        </w:tc>
      </w:tr>
      <w:tr w:rsidR="001A2A45" w:rsidRPr="001A2A45" w:rsidTr="006042B4">
        <w:tc>
          <w:tcPr>
            <w:tcW w:w="3672" w:type="dxa"/>
            <w:vMerge/>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napToGrid w:val="0"/>
              <w:spacing w:line="240" w:lineRule="auto"/>
              <w:rPr>
                <w:rFonts w:ascii="Arial" w:eastAsia="-moz-fixed" w:hAnsi="Arial"/>
                <w:szCs w:val="20"/>
                <w:lang w:val="en-US" w:eastAsia="ar-SA"/>
              </w:rPr>
            </w:pP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Total snags</w:t>
            </w:r>
          </w:p>
        </w:tc>
        <w:tc>
          <w:tcPr>
            <w:tcW w:w="1297"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Snags/ acre</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Total snags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1A2A45" w:rsidRPr="001A2A45" w:rsidRDefault="001A2A45" w:rsidP="001A2A45">
            <w:pPr>
              <w:suppressAutoHyphens/>
              <w:spacing w:line="240" w:lineRule="auto"/>
              <w:rPr>
                <w:rFonts w:eastAsia="-moz-fixed" w:cs="-moz-fixed"/>
                <w:szCs w:val="20"/>
                <w:lang w:val="en-US" w:eastAsia="ar-SA"/>
              </w:rPr>
            </w:pPr>
            <w:r w:rsidRPr="001A2A45">
              <w:rPr>
                <w:rFonts w:ascii="Arial" w:eastAsia="-moz-fixed" w:hAnsi="Arial"/>
                <w:szCs w:val="20"/>
                <w:lang w:val="en-US" w:eastAsia="ar-SA"/>
              </w:rPr>
              <w:t>Snags/ acre</w:t>
            </w:r>
          </w:p>
        </w:tc>
      </w:tr>
      <w:tr w:rsidR="001A2A45" w:rsidRPr="001A2A45" w:rsidTr="006042B4">
        <w:tc>
          <w:tcPr>
            <w:tcW w:w="3672"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 xml:space="preserve">Snags With logging </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4,190</w:t>
            </w:r>
          </w:p>
        </w:tc>
        <w:tc>
          <w:tcPr>
            <w:tcW w:w="1297"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5.2</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5,530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1A2A45" w:rsidRPr="001A2A45" w:rsidRDefault="001A2A45" w:rsidP="001A2A45">
            <w:pPr>
              <w:suppressAutoHyphens/>
              <w:spacing w:line="240" w:lineRule="auto"/>
              <w:rPr>
                <w:rFonts w:eastAsia="-moz-fixed" w:cs="-moz-fixed"/>
                <w:szCs w:val="20"/>
                <w:lang w:val="en-US" w:eastAsia="ar-SA"/>
              </w:rPr>
            </w:pPr>
            <w:r w:rsidRPr="001A2A45">
              <w:rPr>
                <w:rFonts w:ascii="Arial" w:eastAsia="-moz-fixed" w:hAnsi="Arial"/>
                <w:szCs w:val="20"/>
                <w:lang w:val="en-US" w:eastAsia="ar-SA"/>
              </w:rPr>
              <w:t>7</w:t>
            </w:r>
          </w:p>
        </w:tc>
      </w:tr>
      <w:tr w:rsidR="001A2A45" w:rsidRPr="001A2A45" w:rsidTr="006042B4">
        <w:tc>
          <w:tcPr>
            <w:tcW w:w="3672"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Snags Without logging</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11,770</w:t>
            </w:r>
          </w:p>
        </w:tc>
        <w:tc>
          <w:tcPr>
            <w:tcW w:w="1297"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14.8</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szCs w:val="20"/>
                <w:lang w:val="en-US" w:eastAsia="ar-SA"/>
              </w:rPr>
            </w:pPr>
            <w:r w:rsidRPr="001A2A45">
              <w:rPr>
                <w:rFonts w:ascii="Arial" w:eastAsia="-moz-fixed" w:hAnsi="Arial"/>
                <w:szCs w:val="20"/>
                <w:lang w:val="en-US" w:eastAsia="ar-SA"/>
              </w:rPr>
              <w:t>13,830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1A2A45" w:rsidRPr="001A2A45" w:rsidRDefault="001A2A45" w:rsidP="001A2A45">
            <w:pPr>
              <w:suppressAutoHyphens/>
              <w:spacing w:line="240" w:lineRule="auto"/>
              <w:rPr>
                <w:rFonts w:eastAsia="-moz-fixed" w:cs="-moz-fixed"/>
                <w:szCs w:val="20"/>
                <w:lang w:val="en-US" w:eastAsia="ar-SA"/>
              </w:rPr>
            </w:pPr>
            <w:r w:rsidRPr="001A2A45">
              <w:rPr>
                <w:rFonts w:ascii="Arial" w:eastAsia="-moz-fixed" w:hAnsi="Arial"/>
                <w:szCs w:val="20"/>
                <w:lang w:val="en-US" w:eastAsia="ar-SA"/>
              </w:rPr>
              <w:t>17.4</w:t>
            </w:r>
          </w:p>
        </w:tc>
      </w:tr>
      <w:tr w:rsidR="001A2A45" w:rsidRPr="001A2A45" w:rsidTr="006042B4">
        <w:tc>
          <w:tcPr>
            <w:tcW w:w="3672"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b/>
                <w:szCs w:val="20"/>
                <w:lang w:val="en-US" w:eastAsia="ar-SA"/>
              </w:rPr>
            </w:pPr>
            <w:r w:rsidRPr="001A2A45">
              <w:rPr>
                <w:rFonts w:ascii="Arial" w:eastAsia="-moz-fixed" w:hAnsi="Arial"/>
                <w:b/>
                <w:szCs w:val="20"/>
                <w:lang w:val="en-US" w:eastAsia="ar-SA"/>
              </w:rPr>
              <w:t>Snag deficit caused by logging</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b/>
                <w:szCs w:val="20"/>
                <w:lang w:val="en-US" w:eastAsia="ar-SA"/>
              </w:rPr>
            </w:pPr>
            <w:r w:rsidRPr="001A2A45">
              <w:rPr>
                <w:rFonts w:ascii="Arial" w:eastAsia="-moz-fixed" w:hAnsi="Arial"/>
                <w:b/>
                <w:szCs w:val="20"/>
                <w:lang w:val="en-US" w:eastAsia="ar-SA"/>
              </w:rPr>
              <w:t>7,580</w:t>
            </w:r>
          </w:p>
        </w:tc>
        <w:tc>
          <w:tcPr>
            <w:tcW w:w="1297"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b/>
                <w:szCs w:val="20"/>
                <w:lang w:val="en-US" w:eastAsia="ar-SA"/>
              </w:rPr>
            </w:pPr>
            <w:r w:rsidRPr="001A2A45">
              <w:rPr>
                <w:rFonts w:ascii="Arial" w:eastAsia="-moz-fixed" w:hAnsi="Arial"/>
                <w:b/>
                <w:szCs w:val="20"/>
                <w:lang w:val="en-US" w:eastAsia="ar-SA"/>
              </w:rPr>
              <w:t>9.5</w:t>
            </w:r>
          </w:p>
        </w:tc>
        <w:tc>
          <w:tcPr>
            <w:tcW w:w="1295" w:type="dxa"/>
            <w:tcBorders>
              <w:top w:val="single" w:sz="4" w:space="0" w:color="000000"/>
              <w:left w:val="single" w:sz="4" w:space="0" w:color="000000"/>
              <w:bottom w:val="single" w:sz="4" w:space="0" w:color="000000"/>
            </w:tcBorders>
            <w:shd w:val="clear" w:color="auto" w:fill="auto"/>
          </w:tcPr>
          <w:p w:rsidR="001A2A45" w:rsidRPr="001A2A45" w:rsidRDefault="001A2A45" w:rsidP="001A2A45">
            <w:pPr>
              <w:suppressAutoHyphens/>
              <w:spacing w:line="240" w:lineRule="auto"/>
              <w:rPr>
                <w:rFonts w:ascii="Arial" w:eastAsia="-moz-fixed" w:hAnsi="Arial"/>
                <w:b/>
                <w:szCs w:val="20"/>
                <w:lang w:val="en-US" w:eastAsia="ar-SA"/>
              </w:rPr>
            </w:pPr>
            <w:r w:rsidRPr="001A2A45">
              <w:rPr>
                <w:rFonts w:ascii="Arial" w:eastAsia="-moz-fixed" w:hAnsi="Arial"/>
                <w:b/>
                <w:szCs w:val="20"/>
                <w:lang w:val="en-US" w:eastAsia="ar-SA"/>
              </w:rPr>
              <w:t>8,300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1A2A45" w:rsidRPr="001A2A45" w:rsidRDefault="001A2A45" w:rsidP="001A2A45">
            <w:pPr>
              <w:suppressAutoHyphens/>
              <w:spacing w:line="240" w:lineRule="auto"/>
              <w:rPr>
                <w:rFonts w:eastAsia="-moz-fixed" w:cs="-moz-fixed"/>
                <w:szCs w:val="20"/>
                <w:lang w:val="en-US" w:eastAsia="ar-SA"/>
              </w:rPr>
            </w:pPr>
            <w:r w:rsidRPr="001A2A45">
              <w:rPr>
                <w:rFonts w:ascii="Arial" w:eastAsia="-moz-fixed" w:hAnsi="Arial"/>
                <w:b/>
                <w:szCs w:val="20"/>
                <w:lang w:val="en-US" w:eastAsia="ar-SA"/>
              </w:rPr>
              <w:t>10.4</w:t>
            </w:r>
          </w:p>
        </w:tc>
      </w:tr>
    </w:tbl>
    <w:p w:rsidR="001A2A45" w:rsidRPr="001A2A45" w:rsidRDefault="001A2A45" w:rsidP="001A2A45">
      <w:pPr>
        <w:suppressAutoHyphens/>
        <w:spacing w:line="240" w:lineRule="auto"/>
        <w:rPr>
          <w:rFonts w:eastAsia="-moz-fixed" w:cs="-moz-fixed"/>
          <w:szCs w:val="20"/>
          <w:lang w:val="en-US" w:eastAsia="ar-SA"/>
        </w:rPr>
      </w:pPr>
    </w:p>
    <w:p w:rsidR="001A2A45" w:rsidRDefault="00C04BD7" w:rsidP="001A2A45">
      <w:pPr>
        <w:suppressAutoHyphens/>
        <w:spacing w:line="240" w:lineRule="auto"/>
        <w:rPr>
          <w:rFonts w:eastAsia="-moz-fixed" w:cs="-moz-fixed"/>
          <w:szCs w:val="20"/>
          <w:lang w:val="en-US" w:eastAsia="ar-SA"/>
        </w:rPr>
      </w:pPr>
      <w:r>
        <w:rPr>
          <w:rFonts w:eastAsia="-moz-fixed" w:cs="-moz-fixed"/>
          <w:szCs w:val="20"/>
          <w:lang w:val="en-US" w:eastAsia="ar-SA"/>
        </w:rPr>
        <w:t>/ / /</w:t>
      </w:r>
    </w:p>
    <w:p w:rsidR="00C04BD7" w:rsidRDefault="00C04BD7" w:rsidP="001A2A45">
      <w:pPr>
        <w:suppressAutoHyphens/>
        <w:spacing w:line="240" w:lineRule="auto"/>
        <w:rPr>
          <w:rFonts w:eastAsia="-moz-fixed" w:cs="-moz-fixed"/>
          <w:szCs w:val="20"/>
          <w:lang w:val="en-US" w:eastAsia="ar-SA"/>
        </w:rPr>
      </w:pPr>
    </w:p>
    <w:p w:rsidR="00C04BD7" w:rsidRDefault="00C04BD7" w:rsidP="001A2A45">
      <w:pPr>
        <w:suppressAutoHyphens/>
        <w:spacing w:line="240" w:lineRule="auto"/>
        <w:rPr>
          <w:rFonts w:eastAsia="-moz-fixed" w:cs="-moz-fixed"/>
          <w:szCs w:val="20"/>
          <w:lang w:val="en-US" w:eastAsia="ar-SA"/>
        </w:rPr>
      </w:pPr>
      <w:r>
        <w:rPr>
          <w:rFonts w:eastAsia="-moz-fixed" w:cs="-moz-fixed"/>
          <w:szCs w:val="20"/>
          <w:lang w:val="en-US" w:eastAsia="ar-SA"/>
        </w:rPr>
        <w:t>/ / /</w:t>
      </w:r>
    </w:p>
    <w:p w:rsidR="00C04BD7" w:rsidRDefault="00C04BD7" w:rsidP="001A2A45">
      <w:pPr>
        <w:suppressAutoHyphens/>
        <w:spacing w:line="240" w:lineRule="auto"/>
        <w:rPr>
          <w:rFonts w:eastAsia="-moz-fixed" w:cs="-moz-fixed"/>
          <w:szCs w:val="20"/>
          <w:lang w:val="en-US" w:eastAsia="ar-SA"/>
        </w:rPr>
      </w:pPr>
    </w:p>
    <w:p w:rsidR="00C04BD7" w:rsidRDefault="00C04BD7" w:rsidP="001A2A45">
      <w:pPr>
        <w:suppressAutoHyphens/>
        <w:spacing w:line="240" w:lineRule="auto"/>
        <w:rPr>
          <w:rFonts w:eastAsia="-moz-fixed" w:cs="-moz-fixed"/>
          <w:szCs w:val="20"/>
          <w:lang w:val="en-US" w:eastAsia="ar-SA"/>
        </w:rPr>
      </w:pPr>
      <w:r>
        <w:rPr>
          <w:rFonts w:eastAsia="-moz-fixed" w:cs="-moz-fixed"/>
          <w:szCs w:val="20"/>
          <w:lang w:val="en-US" w:eastAsia="ar-SA"/>
        </w:rPr>
        <w:t xml:space="preserve">/ / / </w:t>
      </w:r>
    </w:p>
    <w:p w:rsidR="00C04BD7" w:rsidRDefault="00C04BD7">
      <w:pPr>
        <w:rPr>
          <w:rFonts w:eastAsia="-moz-fixed" w:cs="-moz-fixed"/>
          <w:szCs w:val="20"/>
          <w:lang w:val="en-US" w:eastAsia="ar-SA"/>
        </w:rPr>
      </w:pPr>
      <w:r>
        <w:rPr>
          <w:rFonts w:eastAsia="-moz-fixed" w:cs="-moz-fixed"/>
          <w:szCs w:val="20"/>
          <w:lang w:val="en-US" w:eastAsia="ar-SA"/>
        </w:rPr>
        <w:br w:type="page"/>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lastRenderedPageBreak/>
        <w:t>Salem BLM’s Bottleneck LSR Enhancement Project EA (</w:t>
      </w:r>
      <w:hyperlink r:id="rId158" w:history="1">
        <w:r w:rsidRPr="001A2A45">
          <w:rPr>
            <w:rFonts w:eastAsia="-moz-fixed" w:cs="-moz-fixed"/>
            <w:color w:val="0000FF"/>
            <w:szCs w:val="20"/>
            <w:u w:val="single"/>
            <w:lang w:val="en-US" w:eastAsia="ar-SA"/>
          </w:rPr>
          <w:t>http://www.blm.gov/or/districts/salem/plans/files/sdo_080-07-16_eafonsi.pdf</w:t>
        </w:r>
      </w:hyperlink>
      <w:r w:rsidRPr="001A2A45">
        <w:rPr>
          <w:rFonts w:eastAsia="-moz-fixed" w:cs="-moz-fixed"/>
          <w:szCs w:val="20"/>
          <w:lang w:val="en-US" w:eastAsia="ar-SA"/>
        </w:rPr>
        <w:t xml:space="preserve">) includes </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noProof/>
          <w:szCs w:val="20"/>
          <w:lang w:val="en-US"/>
        </w:rPr>
        <mc:AlternateContent>
          <mc:Choice Requires="wpg">
            <w:drawing>
              <wp:inline distT="0" distB="0" distL="0" distR="0">
                <wp:extent cx="5480050" cy="26225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622550"/>
                          <a:chOff x="0" y="0"/>
                          <a:chExt cx="8630" cy="4130"/>
                        </a:xfrm>
                      </wpg:grpSpPr>
                      <wps:wsp>
                        <wps:cNvPr id="35" name="Rectangle 6"/>
                        <wps:cNvSpPr>
                          <a:spLocks noChangeArrowheads="1"/>
                        </wps:cNvSpPr>
                        <wps:spPr bwMode="auto">
                          <a:xfrm>
                            <a:off x="0" y="0"/>
                            <a:ext cx="8621" cy="41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pic:pic xmlns:pic="http://schemas.openxmlformats.org/drawingml/2006/picture">
                        <pic:nvPicPr>
                          <pic:cNvPr id="36" name="Picture 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629" cy="4129"/>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inline>
            </w:drawing>
          </mc:Choice>
          <mc:Fallback>
            <w:pict>
              <v:group w14:anchorId="3472DD7E" id="Group 34" o:spid="_x0000_s1026" style="width:431.5pt;height:206.5pt;mso-position-horizontal-relative:char;mso-position-vertical-relative:line" coordsize="8630,4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">
                <v:rect id="Rectangle 6" o:spid="_x0000_s1027" style="position:absolute;width:8621;height:41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" filled="f" stroked="f" strokecolor="gray">
                  <v:stroke joinstyle="roun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8629;height:4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" strokecolor="gray">
                  <v:fill recolor="t" type="frame"/>
                  <v:stroke joinstyle="round"/>
                  <v:imagedata r:id="rId160" o:title=""/>
                </v:shape>
                <w10:anchorlock/>
              </v:group>
            </w:pict>
          </mc:Fallback>
        </mc:AlternateContent>
      </w:r>
      <w:r w:rsidRPr="001A2A45">
        <w:rPr>
          <w:rFonts w:eastAsia="-moz-fixed" w:cs="-moz-fixed"/>
          <w:szCs w:val="20"/>
          <w:lang w:val="en-US" w:eastAsia="ar-SA"/>
        </w:rPr>
        <w:t xml:space="preserve"> </w:t>
      </w: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Table 9 which clearly shows that thinning will adversely affect mortality processes. Mortality would be 70 </w:t>
      </w:r>
      <w:proofErr w:type="spellStart"/>
      <w:r w:rsidRPr="001A2A45">
        <w:rPr>
          <w:rFonts w:eastAsia="-moz-fixed" w:cs="-moz-fixed"/>
          <w:szCs w:val="20"/>
          <w:lang w:val="en-US" w:eastAsia="ar-SA"/>
        </w:rPr>
        <w:t>tpa</w:t>
      </w:r>
      <w:proofErr w:type="spellEnd"/>
      <w:r w:rsidRPr="001A2A45">
        <w:rPr>
          <w:rFonts w:eastAsia="-moz-fixed" w:cs="-moz-fixed"/>
          <w:szCs w:val="20"/>
          <w:lang w:val="en-US" w:eastAsia="ar-SA"/>
        </w:rPr>
        <w:t xml:space="preserve"> without treatment, or 0.1 </w:t>
      </w:r>
      <w:proofErr w:type="spellStart"/>
      <w:r w:rsidRPr="001A2A45">
        <w:rPr>
          <w:rFonts w:eastAsia="-moz-fixed" w:cs="-moz-fixed"/>
          <w:szCs w:val="20"/>
          <w:lang w:val="en-US" w:eastAsia="ar-SA"/>
        </w:rPr>
        <w:t>tpa</w:t>
      </w:r>
      <w:proofErr w:type="spellEnd"/>
      <w:r w:rsidRPr="001A2A45">
        <w:rPr>
          <w:rFonts w:eastAsia="-moz-fixed" w:cs="-moz-fixed"/>
          <w:szCs w:val="20"/>
          <w:lang w:val="en-US" w:eastAsia="ar-SA"/>
        </w:rPr>
        <w:t xml:space="preserve"> with thinning, thus sacrificing 69.9 trees per acre averaging 20.3" dbh that </w:t>
      </w:r>
      <w:r w:rsidRPr="001A2A45">
        <w:rPr>
          <w:rFonts w:eastAsia="-moz-fixed" w:cs="-moz-fixed"/>
          <w:i/>
          <w:szCs w:val="20"/>
          <w:lang w:val="en-US" w:eastAsia="ar-SA"/>
        </w:rPr>
        <w:t>would be</w:t>
      </w:r>
      <w:r w:rsidRPr="001A2A45">
        <w:rPr>
          <w:rFonts w:eastAsia="-moz-fixed" w:cs="-moz-fixed"/>
          <w:szCs w:val="20"/>
          <w:lang w:val="en-US" w:eastAsia="ar-SA"/>
        </w:rPr>
        <w:t xml:space="preserve"> recruited to the large snag and down wood pool over the next 30 years except that they will instead be cut and taken to the mill. (A "large tree" is often defined as 50 cm or 20 inches dbh. Thinning captures mortality and delays development of large wood.) Strangely, in spite of these facts, the Bottleneck EA claims that thinning would be beneficial. (e.g., “Long-term increase in quality CWD recruitment” and “Long-term increase in quality instream large woody debris (LWD) recruitment” The analysis fails to recognize any trade-off between dead wood size and quantity.)</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This analysis is likely transferable to any thinning project, though the DecAID tolerance levels might be different for different forest types. The agency must come up with way to manage for decadence in order to avoid and mitigate for the fact that thinning captures and delays mortality. Data-free analysis that concludes that “thinning grows big trees faster to create big snags faster” does not cut it anymore.</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The significant adverse effects of multiple thinning entries must also be recognized.</w:t>
      </w:r>
    </w:p>
    <w:p w:rsidR="001A2A45" w:rsidRPr="001A2A45" w:rsidRDefault="0061341D" w:rsidP="001A2A45">
      <w:pPr>
        <w:suppressAutoHyphens/>
        <w:autoSpaceDE w:val="0"/>
        <w:autoSpaceDN w:val="0"/>
        <w:adjustRightInd w:val="0"/>
        <w:spacing w:line="240" w:lineRule="auto"/>
        <w:ind w:left="720"/>
        <w:rPr>
          <w:rFonts w:eastAsia="-moz-fixed" w:cs="-moz-fixed"/>
          <w:szCs w:val="20"/>
          <w:lang w:val="en-US" w:eastAsia="ar-SA"/>
        </w:rPr>
      </w:pPr>
      <w:r>
        <w:rPr>
          <w:rFonts w:ascii="Times New Roman" w:eastAsia="Times New Roman" w:hAnsi="Times New Roman" w:cs="Times New Roman"/>
          <w:szCs w:val="24"/>
          <w:lang w:val="en-US" w:eastAsia="ar-S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8pt;height:283.2pt">
            <v:imagedata r:id="rId161" o:title=""/>
          </v:shape>
        </w:pict>
      </w:r>
    </w:p>
    <w:p w:rsidR="001A2A45" w:rsidRPr="001A2A45" w:rsidRDefault="001A2A45" w:rsidP="001A2A45">
      <w:pPr>
        <w:suppressAutoHyphens/>
        <w:autoSpaceDE w:val="0"/>
        <w:autoSpaceDN w:val="0"/>
        <w:adjustRightInd w:val="0"/>
        <w:spacing w:line="240" w:lineRule="auto"/>
        <w:ind w:left="720" w:right="360"/>
        <w:rPr>
          <w:rFonts w:eastAsia="-moz-fixed" w:cs="-moz-fixed"/>
          <w:b/>
          <w:szCs w:val="20"/>
          <w:lang w:val="en-US" w:eastAsia="ar-SA"/>
        </w:rPr>
      </w:pPr>
      <w:r w:rsidRPr="001A2A45">
        <w:rPr>
          <w:rFonts w:eastAsia="-moz-fixed" w:cs="-moz-fixed"/>
          <w:b/>
          <w:szCs w:val="20"/>
          <w:lang w:val="en-US" w:eastAsia="ar-SA"/>
        </w:rPr>
        <w:t>Prescription C = thin from below stands averaging 40 years old (Coast Range) 1 time, retaining 75 TPA of largest trees, and creating 6 created snags from trees in understory that would have been thinned.</w:t>
      </w:r>
    </w:p>
    <w:p w:rsidR="001A2A45" w:rsidRPr="001A2A45" w:rsidRDefault="001A2A45" w:rsidP="001A2A45">
      <w:pPr>
        <w:suppressAutoHyphens/>
        <w:autoSpaceDE w:val="0"/>
        <w:autoSpaceDN w:val="0"/>
        <w:adjustRightInd w:val="0"/>
        <w:spacing w:line="240" w:lineRule="auto"/>
        <w:ind w:left="720"/>
        <w:rPr>
          <w:rFonts w:ascii="Helv" w:eastAsia="-moz-fixed" w:hAnsi="Helv" w:cs="Helv"/>
          <w:b/>
          <w:i/>
          <w:color w:val="000000"/>
          <w:sz w:val="20"/>
          <w:szCs w:val="20"/>
          <w:lang w:val="en-US" w:eastAsia="ar-SA"/>
        </w:rPr>
      </w:pPr>
      <w:r w:rsidRPr="001A2A45">
        <w:rPr>
          <w:rFonts w:eastAsia="-moz-fixed" w:cs="-moz-fixed"/>
          <w:b/>
          <w:i/>
          <w:szCs w:val="20"/>
          <w:lang w:val="en-US" w:eastAsia="ar-SA"/>
        </w:rPr>
        <w:t xml:space="preserve">(note:  </w:t>
      </w:r>
      <w:r w:rsidRPr="001A2A45">
        <w:rPr>
          <w:rFonts w:ascii="Helv" w:eastAsia="-moz-fixed" w:hAnsi="Helv" w:cs="Helv"/>
          <w:b/>
          <w:i/>
          <w:color w:val="000000"/>
          <w:sz w:val="20"/>
          <w:szCs w:val="20"/>
          <w:lang w:val="en-US" w:eastAsia="ar-SA"/>
        </w:rPr>
        <w:t xml:space="preserve">the snags in this graph are cumulative production over time without accounting for decay and fall down--hence the numbers/acre do not represent what you might see standing, but the trends are useful. Error bars are not displayed in this figure, but they can be found in the original paper).) </w:t>
      </w:r>
    </w:p>
    <w:p w:rsidR="001A2A45" w:rsidRPr="001A2A45" w:rsidRDefault="001A2A45" w:rsidP="001A2A45">
      <w:pPr>
        <w:suppressAutoHyphens/>
        <w:autoSpaceDE w:val="0"/>
        <w:autoSpaceDN w:val="0"/>
        <w:adjustRightInd w:val="0"/>
        <w:spacing w:line="240" w:lineRule="auto"/>
        <w:ind w:left="720" w:right="990"/>
        <w:rPr>
          <w:rFonts w:eastAsia="-moz-fixed" w:cs="-moz-fixed"/>
          <w:b/>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Cheryl Friesen 2009. THINNING AND DEAD WOOD: “BEST AVAILABLE SCIENCE” December 15, 2009. </w:t>
      </w:r>
      <w:hyperlink r:id="rId162" w:history="1">
        <w:r w:rsidRPr="001A2A45">
          <w:rPr>
            <w:rFonts w:eastAsia="-moz-fixed" w:cs="-moz-fixed"/>
            <w:color w:val="0000FF"/>
            <w:szCs w:val="20"/>
            <w:u w:val="single"/>
            <w:lang w:val="en-US" w:eastAsia="ar-SA"/>
          </w:rPr>
          <w:t>http://ecoshare.info/projects/central-cascade-adaptive-management-partnership/synthesis-papers-tools/</w:t>
        </w:r>
      </w:hyperlink>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The final spotted owl recovery plan (FRP) (p 50) describes spotted owl habitat as including “a high incidence of large trees with various deformities (large cavities, broken tops, mistletoe infections, and other evidence of decadence); large snags; large accumulations of fallen trees and other woody debris on the ground; …” These features, especially the large accumulations of down wood, cannot develop under an aggressive thinning regime.</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The FRP (p 119) says “recovery and maintenance of the Spotted Owl populations may well depend on, in part, restoration of habitat lost (to timber harvests, wildfire, [</w:t>
      </w:r>
      <w:proofErr w:type="spellStart"/>
      <w:r w:rsidRPr="001A2A45">
        <w:rPr>
          <w:rFonts w:eastAsia="-moz-fixed" w:cs="-moz-fixed"/>
          <w:szCs w:val="20"/>
          <w:lang w:val="en-US" w:eastAsia="ar-SA"/>
        </w:rPr>
        <w:t>etc</w:t>
      </w:r>
      <w:proofErr w:type="spellEnd"/>
      <w:r w:rsidRPr="001A2A45">
        <w:rPr>
          <w:rFonts w:eastAsia="-moz-fixed" w:cs="-moz-fixed"/>
          <w:szCs w:val="20"/>
          <w:lang w:val="en-US" w:eastAsia="ar-SA"/>
        </w:rPr>
        <w:t>] … Methods include (1) retention of biological legacies, … (4) management of decadence processes …” This means the agencies must retain abundant green trees and facilitating natural mortality processes that continuously and episodically recruit dead wood.</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 xml:space="preserve">The spotted owl recovery plan (Recovery Action 5, FRP page 20) encourages actions such as thinning that have short-term impacts and long-term benefits. The recovery plan does not define “short-term,” but the WOPR FEIS (p 4-479) says that short-term impacts last for 10 years, yet thinning will delay recruitment of desired levels of dead wood for much longer than 10 </w:t>
      </w:r>
      <w:r w:rsidRPr="001A2A45">
        <w:rPr>
          <w:rFonts w:eastAsia="-moz-fixed" w:cs="-moz-fixed"/>
          <w:szCs w:val="20"/>
          <w:lang w:val="en-US" w:eastAsia="ar-SA"/>
        </w:rPr>
        <w:lastRenderedPageBreak/>
        <w:t xml:space="preserve">years. Also, these activities must have </w:t>
      </w:r>
      <w:r w:rsidRPr="001A2A45">
        <w:rPr>
          <w:rFonts w:eastAsia="-moz-fixed" w:cs="-moz-fixed"/>
          <w:i/>
          <w:szCs w:val="20"/>
          <w:lang w:val="en-US" w:eastAsia="ar-SA"/>
        </w:rPr>
        <w:t>demonstrated</w:t>
      </w:r>
      <w:r w:rsidRPr="001A2A45">
        <w:rPr>
          <w:rFonts w:eastAsia="-moz-fixed" w:cs="-moz-fixed"/>
          <w:szCs w:val="20"/>
          <w:lang w:val="en-US" w:eastAsia="ar-SA"/>
        </w:rPr>
        <w:t xml:space="preserve"> long-term benefits. In most cases, long-term benefits of logging are assumed, but not yet demonstrated. See the SAT Report. </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0"/>
          <w:lang w:val="en-US" w:eastAsia="ar-SA"/>
        </w:rPr>
        <w:t>As part of the Road 70 Restoration Project, Seattle Public Utilities conducted 120 acres of cut-and-leave thinning in 60 year old stands in the Cedar River Watershed. This more closely mimics natural disturbance relative to traditional commercial thinning.</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Andrews et al (2005) used modeling to show that variable thinning could accelerate the development of forests that resemble known spotted owl nest sites. However, this study cautioned that their study could not address habitat breadth. “</w:t>
      </w:r>
      <w:r w:rsidRPr="001A2A45">
        <w:rPr>
          <w:rFonts w:eastAsia="-moz-fixed" w:cs="-moz-fixed"/>
          <w:szCs w:val="20"/>
          <w:lang w:val="en-US" w:eastAsia="ar-SA"/>
        </w:rPr>
        <w:t>Habitat breadth results from fine scale spatial heterogeneity that produces structural and compositional diversity-tree species diversity, foliage-height diversity, and variety of recurring vegetation site-types.”</w:t>
      </w:r>
      <w:r w:rsidRPr="001A2A45">
        <w:rPr>
          <w:rFonts w:eastAsia="-moz-fixed" w:cs="-moz-fixed"/>
          <w:szCs w:val="20"/>
          <w:vertAlign w:val="superscript"/>
          <w:lang w:val="en-US" w:eastAsia="ar-SA"/>
        </w:rPr>
        <w:footnoteReference w:id="5"/>
      </w:r>
      <w:r w:rsidRPr="001A2A45">
        <w:rPr>
          <w:rFonts w:eastAsia="-moz-fixed" w:cs="-moz-fixed"/>
          <w:szCs w:val="20"/>
          <w:lang w:val="en-US" w:eastAsia="ar-SA"/>
        </w:rPr>
        <w:t xml:space="preserve"> </w:t>
      </w:r>
      <w:r w:rsidRPr="001A2A45">
        <w:rPr>
          <w:rFonts w:eastAsia="-moz-fixed" w:cs="-moz-fixed"/>
          <w:szCs w:val="24"/>
          <w:lang w:val="en-US" w:eastAsia="ar-SA"/>
        </w:rPr>
        <w:t xml:space="preserve">“Nesting sites are one component of the habitat requirements of spotted owls. The forest structure at spotted owl nesting sites may not provide other life-history requirements of spotted owls. … Provisions need to be made for the retention and production of snags and course woody material under these scenarios [variable density thinning to create spotted owl nest sites].” Andrews, Perkins, </w:t>
      </w:r>
      <w:proofErr w:type="spellStart"/>
      <w:r w:rsidRPr="001A2A45">
        <w:rPr>
          <w:rFonts w:eastAsia="-moz-fixed" w:cs="-moz-fixed"/>
          <w:szCs w:val="24"/>
          <w:lang w:val="en-US" w:eastAsia="ar-SA"/>
        </w:rPr>
        <w:t>Thrailkill</w:t>
      </w:r>
      <w:proofErr w:type="spellEnd"/>
      <w:r w:rsidRPr="001A2A45">
        <w:rPr>
          <w:rFonts w:eastAsia="-moz-fixed" w:cs="-moz-fixed"/>
          <w:szCs w:val="24"/>
          <w:lang w:val="en-US" w:eastAsia="ar-SA"/>
        </w:rPr>
        <w:t xml:space="preserve">, </w:t>
      </w:r>
      <w:proofErr w:type="spellStart"/>
      <w:r w:rsidRPr="001A2A45">
        <w:rPr>
          <w:rFonts w:eastAsia="-moz-fixed" w:cs="-moz-fixed"/>
          <w:szCs w:val="24"/>
          <w:lang w:val="en-US" w:eastAsia="ar-SA"/>
        </w:rPr>
        <w:t>Poage</w:t>
      </w:r>
      <w:proofErr w:type="spellEnd"/>
      <w:r w:rsidRPr="001A2A45">
        <w:rPr>
          <w:rFonts w:eastAsia="-moz-fixed" w:cs="-moz-fixed"/>
          <w:szCs w:val="24"/>
          <w:lang w:val="en-US" w:eastAsia="ar-SA"/>
        </w:rPr>
        <w:t xml:space="preserve">, </w:t>
      </w:r>
      <w:proofErr w:type="spellStart"/>
      <w:r w:rsidRPr="001A2A45">
        <w:rPr>
          <w:rFonts w:eastAsia="-moz-fixed" w:cs="-moz-fixed"/>
          <w:szCs w:val="24"/>
          <w:lang w:val="en-US" w:eastAsia="ar-SA"/>
        </w:rPr>
        <w:t>Tappeneiner</w:t>
      </w:r>
      <w:proofErr w:type="spellEnd"/>
      <w:r w:rsidRPr="001A2A45">
        <w:rPr>
          <w:rFonts w:eastAsia="-moz-fixed" w:cs="-moz-fixed"/>
          <w:szCs w:val="24"/>
          <w:lang w:val="en-US" w:eastAsia="ar-SA"/>
        </w:rPr>
        <w:t xml:space="preserve">. 2005. Silvicultural Approaches to Develop Northern Spotted Owl Nesting Sites, Central Coast Ranges, Oregon. West. J. Appl. For. 20(1):13-27. </w:t>
      </w:r>
      <w:hyperlink r:id="rId163" w:history="1">
        <w:r w:rsidRPr="001A2A45">
          <w:rPr>
            <w:rFonts w:eastAsia="-moz-fixed" w:cs="-moz-fixed"/>
            <w:color w:val="0000FF"/>
            <w:szCs w:val="24"/>
            <w:u w:val="single"/>
            <w:lang w:val="en-US" w:eastAsia="ar-SA"/>
          </w:rPr>
          <w:t>https://academic.oup.com/wjaf/article-abstract/20/1/13/4717986</w:t>
        </w:r>
      </w:hyperlink>
      <w:r w:rsidRPr="001A2A45">
        <w:rPr>
          <w:rFonts w:eastAsia="-moz-fixed" w:cs="-moz-fixed"/>
          <w:szCs w:val="24"/>
          <w:lang w:val="en-US" w:eastAsia="ar-SA"/>
        </w:rPr>
        <w:t xml:space="preserve">. </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4"/>
          <w:lang w:val="en-US" w:eastAsia="ar-SA"/>
        </w:rPr>
      </w:pPr>
      <w:r w:rsidRPr="001A2A45">
        <w:rPr>
          <w:rFonts w:eastAsia="-moz-fixed" w:cs="-moz-fixed"/>
          <w:szCs w:val="24"/>
          <w:lang w:val="en-US" w:eastAsia="ar-SA"/>
        </w:rPr>
        <w:t xml:space="preserve">The agency’s discussion of the effects of logging on snags is often flawed because it focuses on the effects of logging on </w:t>
      </w:r>
      <w:r w:rsidRPr="001A2A45">
        <w:rPr>
          <w:rFonts w:eastAsia="-moz-fixed" w:cs="-moz-fixed"/>
          <w:i/>
          <w:szCs w:val="24"/>
          <w:lang w:val="en-US" w:eastAsia="ar-SA"/>
        </w:rPr>
        <w:t>existing</w:t>
      </w:r>
      <w:r w:rsidRPr="001A2A45">
        <w:rPr>
          <w:rFonts w:eastAsia="-moz-fixed" w:cs="-moz-fixed"/>
          <w:szCs w:val="24"/>
          <w:lang w:val="en-US" w:eastAsia="ar-SA"/>
        </w:rPr>
        <w:t xml:space="preserve"> snags, instead of focusing on the </w:t>
      </w:r>
      <w:r w:rsidRPr="001A2A45">
        <w:rPr>
          <w:rFonts w:eastAsia="-moz-fixed" w:cs="-moz-fixed"/>
          <w:i/>
          <w:szCs w:val="24"/>
          <w:lang w:val="en-US" w:eastAsia="ar-SA"/>
        </w:rPr>
        <w:t>process</w:t>
      </w:r>
      <w:r w:rsidRPr="001A2A45">
        <w:rPr>
          <w:rFonts w:eastAsia="-moz-fixed" w:cs="-moz-fixed"/>
          <w:szCs w:val="24"/>
          <w:lang w:val="en-US" w:eastAsia="ar-SA"/>
        </w:rPr>
        <w:t xml:space="preserve"> of creating snags (i.e., a process that requires lots of growing trees that are retained in the forest until they become snags). The most important effect of logging on snags, is NOT how many snags will be cut vs. retained, but how many green trees will be cut vs retained.</w:t>
      </w:r>
    </w:p>
    <w:p w:rsidR="001A2A45" w:rsidRPr="001A2A45" w:rsidRDefault="001A2A45" w:rsidP="001A2A45">
      <w:pPr>
        <w:suppressAutoHyphens/>
        <w:spacing w:line="240" w:lineRule="auto"/>
        <w:rPr>
          <w:rFonts w:eastAsia="-moz-fixed" w:cs="-moz-fixed"/>
          <w:szCs w:val="24"/>
          <w:lang w:val="en-US" w:eastAsia="ar-SA"/>
        </w:rPr>
      </w:pPr>
    </w:p>
    <w:p w:rsidR="001A2A45" w:rsidRPr="001A2A45" w:rsidRDefault="001A2A45" w:rsidP="001A2A45">
      <w:pPr>
        <w:suppressAutoHyphens/>
        <w:spacing w:line="240" w:lineRule="auto"/>
        <w:rPr>
          <w:rFonts w:eastAsia="-moz-fixed" w:cs="-moz-fixed"/>
          <w:szCs w:val="20"/>
          <w:lang w:val="en-US" w:eastAsia="ar-SA"/>
        </w:rPr>
      </w:pPr>
      <w:r w:rsidRPr="001A2A45">
        <w:rPr>
          <w:rFonts w:eastAsia="-moz-fixed" w:cs="-moz-fixed"/>
          <w:szCs w:val="24"/>
          <w:lang w:val="en-US" w:eastAsia="ar-SA"/>
        </w:rPr>
        <w:t xml:space="preserve">Another aspect of managing for decadence involves creatively using logging slash to create structures that provide usable wildlife habitat. Some piles might need to be burned to reduce fire hazard but some slash should be retained to store carbon and provide habitat. A key aspect is to avoid creating homogeneous piles. Try making some piles large, some small; some piles dense, some loose; some piles in organized bundles, some haphazard; some piles widely spaced, some closely clumped, etc. </w:t>
      </w:r>
      <w:r w:rsidRPr="001A2A45">
        <w:rPr>
          <w:rFonts w:eastAsia="-moz-fixed" w:cs="-moz-fixed"/>
          <w:szCs w:val="20"/>
          <w:lang w:val="en-US" w:eastAsia="ar-SA"/>
        </w:rPr>
        <w:t xml:space="preserve">Additional ideas can found in this Army Corps Report: Martin &amp; Steele 1986. Brush Piles. Section 5.3.1 Army Corps of Engineers Wildlife Resources Management Manual. </w:t>
      </w:r>
      <w:hyperlink r:id="rId164" w:history="1">
        <w:r w:rsidRPr="001A2A45">
          <w:rPr>
            <w:rFonts w:eastAsia="-moz-fixed" w:cs="-moz-fixed"/>
            <w:color w:val="0000FF"/>
            <w:szCs w:val="20"/>
            <w:u w:val="single"/>
            <w:lang w:val="en-US" w:eastAsia="ar-SA"/>
          </w:rPr>
          <w:t>http://el.erdc.usace.army.mil/elpubs/pdf/EL86_13.pdf</w:t>
        </w:r>
      </w:hyperlink>
      <w:r w:rsidRPr="001A2A45">
        <w:rPr>
          <w:rFonts w:eastAsia="-moz-fixed" w:cs="-moz-fixed"/>
          <w:szCs w:val="20"/>
          <w:lang w:val="en-US" w:eastAsia="ar-SA"/>
        </w:rPr>
        <w:t xml:space="preserve">. </w:t>
      </w:r>
      <w:r w:rsidRPr="001A2A45">
        <w:rPr>
          <w:rFonts w:eastAsia="-moz-fixed" w:cs="-moz-fixed"/>
          <w:i/>
          <w:szCs w:val="20"/>
          <w:lang w:val="en-US" w:eastAsia="ar-SA"/>
        </w:rPr>
        <w:t>See also</w:t>
      </w:r>
      <w:r w:rsidRPr="001A2A45">
        <w:rPr>
          <w:rFonts w:eastAsia="-moz-fixed" w:cs="-moz-fixed"/>
          <w:szCs w:val="20"/>
          <w:lang w:val="en-US" w:eastAsia="ar-SA"/>
        </w:rPr>
        <w:t xml:space="preserve">, Amy </w:t>
      </w:r>
      <w:proofErr w:type="spellStart"/>
      <w:r w:rsidRPr="001A2A45">
        <w:rPr>
          <w:rFonts w:eastAsia="-moz-fixed" w:cs="-moz-fixed"/>
          <w:szCs w:val="20"/>
          <w:lang w:val="en-US" w:eastAsia="ar-SA"/>
        </w:rPr>
        <w:t>Grotta</w:t>
      </w:r>
      <w:proofErr w:type="spellEnd"/>
      <w:r w:rsidRPr="001A2A45">
        <w:rPr>
          <w:rFonts w:eastAsia="-moz-fixed" w:cs="-moz-fixed"/>
          <w:szCs w:val="20"/>
          <w:lang w:val="en-US" w:eastAsia="ar-SA"/>
        </w:rPr>
        <w:t xml:space="preserve">, 2019. Don’t want to burn? Other options for treating slash after a timber harvest. </w:t>
      </w:r>
      <w:hyperlink r:id="rId165" w:history="1">
        <w:r w:rsidRPr="001A2A45">
          <w:rPr>
            <w:rFonts w:eastAsia="-moz-fixed" w:cs="-moz-fixed"/>
            <w:color w:val="0000FF"/>
            <w:szCs w:val="20"/>
            <w:u w:val="single"/>
            <w:lang w:val="en-US" w:eastAsia="ar-SA"/>
          </w:rPr>
          <w:t>http://blogs.oregonstate.edu/treetopics/2019/10/16/dont-want-to-burn-other-options-for-treating-slash-after-a-timber-harvest/</w:t>
        </w:r>
      </w:hyperlink>
      <w:r w:rsidRPr="001A2A45">
        <w:rPr>
          <w:rFonts w:eastAsia="-moz-fixed" w:cs="-moz-fixed"/>
          <w:szCs w:val="20"/>
          <w:lang w:val="en-US" w:eastAsia="ar-SA"/>
        </w:rPr>
        <w:t xml:space="preserve">; </w:t>
      </w:r>
      <w:r w:rsidRPr="001A2A45">
        <w:rPr>
          <w:rFonts w:eastAsia="-moz-fixed" w:cs="-moz-fixed"/>
          <w:i/>
          <w:szCs w:val="20"/>
          <w:lang w:val="en-US" w:eastAsia="ar-SA"/>
        </w:rPr>
        <w:t>And see</w:t>
      </w:r>
      <w:r w:rsidRPr="001A2A45">
        <w:rPr>
          <w:rFonts w:eastAsia="-moz-fixed" w:cs="-moz-fixed"/>
          <w:szCs w:val="20"/>
          <w:lang w:val="en-US" w:eastAsia="ar-SA"/>
        </w:rPr>
        <w:t xml:space="preserve">, Jon Cox, Ken Bevis, Fran </w:t>
      </w:r>
      <w:proofErr w:type="spellStart"/>
      <w:r w:rsidRPr="001A2A45">
        <w:rPr>
          <w:rFonts w:eastAsia="-moz-fixed" w:cs="-moz-fixed"/>
          <w:szCs w:val="20"/>
          <w:lang w:val="en-US" w:eastAsia="ar-SA"/>
        </w:rPr>
        <w:t>Cafferata</w:t>
      </w:r>
      <w:proofErr w:type="spellEnd"/>
      <w:r w:rsidRPr="001A2A45">
        <w:rPr>
          <w:rFonts w:eastAsia="-moz-fixed" w:cs="-moz-fixed"/>
          <w:szCs w:val="20"/>
          <w:lang w:val="en-US" w:eastAsia="ar-SA"/>
        </w:rPr>
        <w:t xml:space="preserve">, and Susan Barnes 2023. Habitat Piles Tools for Family Forestland Owners. Woodland Fish &amp; Wildlife Project of the Western Forestry and Conservation Association. </w:t>
      </w:r>
      <w:hyperlink r:id="rId166" w:history="1">
        <w:r w:rsidRPr="001A2A45">
          <w:rPr>
            <w:rFonts w:eastAsia="-moz-fixed" w:cs="-moz-fixed"/>
            <w:color w:val="0000FF"/>
            <w:szCs w:val="20"/>
            <w:u w:val="single"/>
            <w:lang w:val="en-US" w:eastAsia="ar-SA"/>
          </w:rPr>
          <w:t>https://woodlandfishandwildlife.com/wp-content/uploads/2023/05/WFW-2023-Habitat-Piles-final_reduced.pdf</w:t>
        </w:r>
      </w:hyperlink>
      <w:r w:rsidRPr="001A2A45">
        <w:rPr>
          <w:rFonts w:eastAsia="-moz-fixed" w:cs="-moz-fixed"/>
          <w:szCs w:val="20"/>
          <w:lang w:val="en-US" w:eastAsia="ar-SA"/>
        </w:rPr>
        <w:t xml:space="preserve">. Burn piles may also be used as an opportunity to produce </w:t>
      </w:r>
      <w:proofErr w:type="spellStart"/>
      <w:r w:rsidRPr="001A2A45">
        <w:rPr>
          <w:rFonts w:eastAsia="-moz-fixed" w:cs="-moz-fixed"/>
          <w:szCs w:val="20"/>
          <w:lang w:val="en-US" w:eastAsia="ar-SA"/>
        </w:rPr>
        <w:t>biochar</w:t>
      </w:r>
      <w:proofErr w:type="spellEnd"/>
      <w:r w:rsidRPr="001A2A45">
        <w:rPr>
          <w:rFonts w:eastAsia="-moz-fixed" w:cs="-moz-fixed"/>
          <w:szCs w:val="20"/>
          <w:lang w:val="en-US" w:eastAsia="ar-SA"/>
        </w:rPr>
        <w:t xml:space="preserve"> that helps improve soil and store carbon. </w:t>
      </w:r>
      <w:hyperlink r:id="rId167" w:history="1">
        <w:r w:rsidRPr="001A2A45">
          <w:rPr>
            <w:rFonts w:eastAsia="-moz-fixed" w:cs="-moz-fixed"/>
            <w:color w:val="0000FF"/>
            <w:szCs w:val="20"/>
            <w:u w:val="single"/>
            <w:lang w:val="en-US" w:eastAsia="ar-SA"/>
          </w:rPr>
          <w:t>https://www.fs.usda.gov/research/rmrs/understory/making-biochar-hand-built-piles</w:t>
        </w:r>
      </w:hyperlink>
      <w:r w:rsidRPr="001A2A45">
        <w:rPr>
          <w:rFonts w:eastAsia="-moz-fixed" w:cs="-moz-fixed"/>
          <w:szCs w:val="20"/>
          <w:lang w:val="en-US" w:eastAsia="ar-SA"/>
        </w:rPr>
        <w:t>.</w:t>
      </w:r>
    </w:p>
    <w:p w:rsidR="001A2A45" w:rsidRPr="001A2A45" w:rsidRDefault="001A2A45" w:rsidP="001A2A45">
      <w:pPr>
        <w:suppressAutoHyphens/>
        <w:spacing w:line="240" w:lineRule="auto"/>
        <w:rPr>
          <w:rFonts w:eastAsia="-moz-fixed" w:cs="-moz-fixed"/>
          <w:szCs w:val="20"/>
          <w:lang w:val="en-US" w:eastAsia="ar-SA"/>
        </w:rPr>
      </w:pPr>
    </w:p>
    <w:p w:rsidR="001A2A45" w:rsidRPr="001A2A45" w:rsidRDefault="001A2A45" w:rsidP="001A2A45">
      <w:pPr>
        <w:suppressAutoHyphens/>
        <w:spacing w:line="240" w:lineRule="auto"/>
        <w:ind w:left="720"/>
        <w:rPr>
          <w:rFonts w:eastAsia="-moz-fixed" w:cs="-moz-fixed"/>
          <w:b/>
          <w:bCs/>
          <w:szCs w:val="20"/>
          <w:lang w:val="en-US" w:eastAsia="ar-SA"/>
        </w:rPr>
      </w:pPr>
      <w:r w:rsidRPr="001A2A45">
        <w:rPr>
          <w:rFonts w:eastAsia="-moz-fixed" w:cs="-moz-fixed"/>
          <w:szCs w:val="20"/>
          <w:lang w:val="en-US" w:eastAsia="ar-SA"/>
        </w:rPr>
        <w:t xml:space="preserve">“Sixty-four thinning treatments were simulated for four rotation intervals (260, 180, 100, and 80 years) starting with a 40-year-old managed Douglas-fir stand. … In general, heavy thinning of existing stands at ages 40 and 60 years promoted rapid development of large boles, vertical diversity, and tree-species diversity, but provided the least amount </w:t>
      </w:r>
      <w:r w:rsidRPr="001A2A45">
        <w:rPr>
          <w:rFonts w:eastAsia="-moz-fixed" w:cs="-moz-fixed"/>
          <w:szCs w:val="20"/>
          <w:lang w:val="en-US" w:eastAsia="ar-SA"/>
        </w:rPr>
        <w:lastRenderedPageBreak/>
        <w:t>of extracted volume and required artificial creation of dead wood. … Natural recruitment of snags was related to thinning densities (fig. 3A). In general, the amount of time to satisfy the snag criterion decreased with decreasing thinning densities in the first entry. This was due to faster development of large boles at lower stem densities and thus a greater potential for recruitment of large snags. Also, the amount of time to satisfy this criterion decreased with increasing thinning densities in both the second and third entry. This simply reflected the tendency for more stems to die with increasing stem densities. … Snag density at stand age 260 generally increased with increasing thinning density in the first entry and somewhat with increasing thinning density in the subsequent two thinning entries. This reflected the greater source of potential snags with increasing stem density. … Developmental trends for log mass (fig. 4) were similar to those for snag density. Leaving fewer stems in the first entry but more subcanopy stems in the second and third entries generally resulted in faster accumulation of log mass. … Artificial snag recruitment was important for maintaining snag densities when thinning to 62 TPH in the last entry or 99 TPH in the second entry (fig. 7A). These thinning treatments resulted in lower rates of natural mortality of large boles and required the artificial creation of two to four snags per hectare (figs. 7B through 7D) to satisfy the snag criterion at about the same time as live criteria (fig. 6G). … Treatments providing the most rapid attainment of live, late-successional conditions (i.e., all-≤297-≥186) required artificial creation of up to six snags per hectare to satisfy the snag criterion at about the same time as the live criteria (figs. 13A through 13D). Thinning to 99 TPH at stand age 60 or to 62 TPH at age 80 tended to delay the development of large snags … Log mass tended to be limiting (fig. 17A). Even with the addition of 15 Mg/ha of logs, the log-mass threshold level could not be satisfied by age 100 in the heavy thinning regimes … The stand age when the log-mass criterion was satisfied also differed among initial stand conditions. Starting with fewer but larger canopy stems delayed satisfying the log-mass criterion by up to two decades …</w:t>
      </w:r>
    </w:p>
    <w:p w:rsidR="001A2A45" w:rsidRPr="001A2A45" w:rsidRDefault="001A2A45" w:rsidP="001A2A45">
      <w:pPr>
        <w:suppressAutoHyphens/>
        <w:spacing w:line="240" w:lineRule="auto"/>
        <w:ind w:left="720"/>
        <w:rPr>
          <w:rFonts w:eastAsia="-moz-fixed" w:cs="-moz-fixed"/>
          <w:szCs w:val="20"/>
          <w:lang w:val="en-US" w:eastAsia="ar-SA"/>
        </w:rPr>
      </w:pPr>
      <w:r w:rsidRPr="001A2A45">
        <w:rPr>
          <w:rFonts w:eastAsia="-moz-fixed" w:cs="-moz-fixed"/>
          <w:b/>
          <w:bCs/>
          <w:szCs w:val="20"/>
          <w:lang w:val="en-US" w:eastAsia="ar-SA"/>
        </w:rPr>
        <w:t>Management Implications</w:t>
      </w:r>
    </w:p>
    <w:p w:rsidR="001A2A45" w:rsidRPr="001A2A45" w:rsidRDefault="001A2A45" w:rsidP="001A2A45">
      <w:pPr>
        <w:suppressAutoHyphens/>
        <w:spacing w:line="240" w:lineRule="auto"/>
        <w:ind w:left="720"/>
        <w:rPr>
          <w:rFonts w:eastAsia="-moz-fixed" w:cs="-moz-fixed"/>
          <w:bCs/>
          <w:szCs w:val="20"/>
          <w:lang w:val="en-US" w:eastAsia="ar-SA"/>
        </w:rPr>
      </w:pPr>
      <w:r w:rsidRPr="001A2A45">
        <w:rPr>
          <w:rFonts w:eastAsia="-moz-fixed" w:cs="-moz-fixed"/>
          <w:szCs w:val="20"/>
          <w:lang w:val="en-US" w:eastAsia="ar-SA"/>
        </w:rPr>
        <w:t>Results of this study illustrated two important relations between rapid development of late-successional attributes and long-term stand conditions. First, treatments that promote rapid development of an attribute will not necessarily produce the highest levels of the attribute over the course of a rotation. In this study, treatments providing rapid development of live, late-successional attributes generally produced relatively lower densities of shade-tolerant stems, lower amounts of Douglas-fir basal area, and fewer snags and logs over a rotation compared to other treatments.”</w:t>
      </w:r>
    </w:p>
    <w:p w:rsidR="00B864C7" w:rsidRDefault="001A2A45" w:rsidP="001A2A45">
      <w:pPr>
        <w:suppressAutoHyphens/>
        <w:spacing w:line="240" w:lineRule="auto"/>
        <w:rPr>
          <w:rFonts w:eastAsia="-moz-fixed" w:cs="-moz-fixed"/>
          <w:szCs w:val="20"/>
          <w:lang w:val="en-US" w:eastAsia="ar-SA"/>
        </w:rPr>
      </w:pPr>
      <w:r w:rsidRPr="001A2A45">
        <w:rPr>
          <w:rFonts w:eastAsia="-moz-fixed" w:cs="-moz-fixed"/>
          <w:bCs/>
          <w:szCs w:val="20"/>
          <w:lang w:val="en-US" w:eastAsia="ar-SA"/>
        </w:rPr>
        <w:t xml:space="preserve">Garman, Steven L.; </w:t>
      </w:r>
      <w:proofErr w:type="spellStart"/>
      <w:r w:rsidRPr="001A2A45">
        <w:rPr>
          <w:rFonts w:eastAsia="-moz-fixed" w:cs="-moz-fixed"/>
          <w:bCs/>
          <w:szCs w:val="20"/>
          <w:lang w:val="en-US" w:eastAsia="ar-SA"/>
        </w:rPr>
        <w:t>Cissel</w:t>
      </w:r>
      <w:proofErr w:type="spellEnd"/>
      <w:r w:rsidRPr="001A2A45">
        <w:rPr>
          <w:rFonts w:eastAsia="-moz-fixed" w:cs="-moz-fixed"/>
          <w:bCs/>
          <w:szCs w:val="20"/>
          <w:lang w:val="en-US" w:eastAsia="ar-SA"/>
        </w:rPr>
        <w:t>, John H.; Mayo, James H. 2003. Accelerating development of late-successional conditions in young managed Douglas-fir stands: a simulation study. Gen. Tech. Rep. PNW-GTR-557. Portland, OR: U.S. Department of Agriculture, Forest Service, Pacific Northwest Research Station. 57 p.</w:t>
      </w:r>
      <w:r w:rsidRPr="001A2A45">
        <w:rPr>
          <w:rFonts w:eastAsia="-moz-fixed" w:cs="-moz-fixed"/>
          <w:szCs w:val="20"/>
          <w:lang w:val="en-US" w:eastAsia="ar-SA"/>
        </w:rPr>
        <w:t xml:space="preserve"> </w:t>
      </w:r>
      <w:hyperlink r:id="rId168" w:history="1">
        <w:r w:rsidRPr="001A2A45">
          <w:rPr>
            <w:rFonts w:eastAsia="-moz-fixed" w:cs="-moz-fixed"/>
            <w:color w:val="0000FF"/>
            <w:szCs w:val="20"/>
            <w:u w:val="single"/>
            <w:lang w:val="en-US" w:eastAsia="ar-SA"/>
          </w:rPr>
          <w:t>http://andrewsforest.oregonstate.edu/pubs/pdf/pub2722.pdf</w:t>
        </w:r>
      </w:hyperlink>
      <w:r w:rsidRPr="001A2A45">
        <w:rPr>
          <w:rFonts w:eastAsia="-moz-fixed" w:cs="-moz-fixed"/>
          <w:szCs w:val="20"/>
          <w:lang w:val="en-US" w:eastAsia="ar-SA"/>
        </w:rPr>
        <w:t>.</w:t>
      </w:r>
    </w:p>
    <w:p w:rsidR="00B864C7" w:rsidRDefault="00B864C7" w:rsidP="001A2A45">
      <w:pPr>
        <w:suppressAutoHyphens/>
        <w:spacing w:line="240" w:lineRule="auto"/>
        <w:rPr>
          <w:rFonts w:eastAsia="-moz-fixed" w:cs="-moz-fixed"/>
          <w:szCs w:val="20"/>
          <w:lang w:val="en-US" w:eastAsia="ar-SA"/>
        </w:rPr>
      </w:pPr>
    </w:p>
    <w:p w:rsidR="00B864C7" w:rsidRDefault="000719FF" w:rsidP="000719FF">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29" w:name="_Toc194591204"/>
      <w:bookmarkStart w:id="30" w:name="_Toc195695327"/>
      <w:r w:rsidRPr="000719FF">
        <w:rPr>
          <w:rFonts w:ascii="Arial" w:eastAsia="-moz-fixed" w:hAnsi="Arial" w:cs="-moz-fixed"/>
          <w:b/>
          <w:sz w:val="28"/>
          <w:szCs w:val="20"/>
          <w:lang w:val="en-US" w:eastAsia="ar-SA"/>
        </w:rPr>
        <w:t>Thinning in the Matrix must be Restorative and Variable</w:t>
      </w:r>
      <w:bookmarkEnd w:id="29"/>
      <w:bookmarkEnd w:id="30"/>
    </w:p>
    <w:p w:rsidR="00B864C7" w:rsidRDefault="00B864C7" w:rsidP="002D5BB0">
      <w:pPr>
        <w:rPr>
          <w:lang w:val="en-US" w:eastAsia="ar-SA"/>
        </w:rPr>
      </w:pPr>
    </w:p>
    <w:p w:rsidR="000719FF" w:rsidRPr="000719FF"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 xml:space="preserve">The NWFP conservation scheme has its origins in the 1990 report of the Interagency Scientific Committee (ISC Report) which explained that matrix lands are intended for several conservation purposes: </w:t>
      </w:r>
    </w:p>
    <w:p w:rsidR="000719FF" w:rsidRPr="000719FF" w:rsidRDefault="000719FF" w:rsidP="000719FF">
      <w:pPr>
        <w:numPr>
          <w:ilvl w:val="0"/>
          <w:numId w:val="16"/>
        </w:numPr>
        <w:suppressAutoHyphens/>
        <w:spacing w:line="240" w:lineRule="auto"/>
        <w:rPr>
          <w:rFonts w:eastAsia="-moz-fixed" w:cs="-moz-fixed"/>
          <w:szCs w:val="20"/>
          <w:lang w:val="en-US" w:eastAsia="ar-SA"/>
        </w:rPr>
      </w:pPr>
      <w:r w:rsidRPr="000719FF">
        <w:rPr>
          <w:rFonts w:eastAsia="-moz-fixed" w:cs="-moz-fixed"/>
          <w:szCs w:val="20"/>
          <w:lang w:val="en-US" w:eastAsia="ar-SA"/>
        </w:rPr>
        <w:t>To provide connectivity for dispersal and interaction of owls among HCAs. ….</w:t>
      </w:r>
    </w:p>
    <w:p w:rsidR="000719FF" w:rsidRPr="000719FF" w:rsidRDefault="000719FF" w:rsidP="000719FF">
      <w:pPr>
        <w:numPr>
          <w:ilvl w:val="0"/>
          <w:numId w:val="16"/>
        </w:numPr>
        <w:suppressAutoHyphens/>
        <w:spacing w:line="240" w:lineRule="auto"/>
        <w:rPr>
          <w:rFonts w:eastAsia="-moz-fixed" w:cs="-moz-fixed"/>
          <w:szCs w:val="20"/>
          <w:lang w:val="en-US" w:eastAsia="ar-SA"/>
        </w:rPr>
      </w:pPr>
      <w:r w:rsidRPr="000719FF">
        <w:rPr>
          <w:rFonts w:eastAsia="-moz-fixed" w:cs="-moz-fixed"/>
          <w:szCs w:val="20"/>
          <w:lang w:val="en-US" w:eastAsia="ar-SA"/>
        </w:rPr>
        <w:t>To maintain options for returning owls to the forest matrix by retaining older forest structures in the managed landscape.</w:t>
      </w:r>
    </w:p>
    <w:p w:rsidR="000719FF" w:rsidRPr="000719FF" w:rsidRDefault="000719FF" w:rsidP="000719FF">
      <w:pPr>
        <w:numPr>
          <w:ilvl w:val="0"/>
          <w:numId w:val="16"/>
        </w:numPr>
        <w:suppressAutoHyphens/>
        <w:spacing w:line="240" w:lineRule="auto"/>
        <w:rPr>
          <w:rFonts w:eastAsia="-moz-fixed" w:cs="-moz-fixed"/>
          <w:szCs w:val="20"/>
          <w:lang w:val="en-US" w:eastAsia="ar-SA"/>
        </w:rPr>
      </w:pPr>
      <w:r w:rsidRPr="000719FF">
        <w:rPr>
          <w:rFonts w:eastAsia="-moz-fixed" w:cs="-moz-fixed"/>
          <w:szCs w:val="20"/>
          <w:lang w:val="en-US" w:eastAsia="ar-SA"/>
        </w:rPr>
        <w:t>To develop and apply experimental silvicultural treatments that may support a viable owl population in the forest matrix.</w:t>
      </w:r>
    </w:p>
    <w:p w:rsidR="000719FF" w:rsidRPr="000719FF" w:rsidRDefault="000719FF" w:rsidP="000719FF">
      <w:pPr>
        <w:numPr>
          <w:ilvl w:val="0"/>
          <w:numId w:val="16"/>
        </w:numPr>
        <w:suppressAutoHyphens/>
        <w:spacing w:line="240" w:lineRule="auto"/>
        <w:rPr>
          <w:rFonts w:eastAsia="-moz-fixed" w:cs="-moz-fixed"/>
          <w:szCs w:val="20"/>
          <w:lang w:val="en-US" w:eastAsia="ar-SA"/>
        </w:rPr>
      </w:pPr>
      <w:r w:rsidRPr="000719FF">
        <w:rPr>
          <w:rFonts w:eastAsia="-moz-fixed" w:cs="-moz-fixed"/>
          <w:szCs w:val="20"/>
          <w:lang w:val="en-US" w:eastAsia="ar-SA"/>
        </w:rPr>
        <w:lastRenderedPageBreak/>
        <w:t xml:space="preserve">To contribute toward a short-term viable population (less than 50 years). </w:t>
      </w: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 xml:space="preserve">1990 ISC Report, p 318. (Thomas, J.W.; Forsman, E.D.; Lint, J.B. et al. 1990. A conservation strategy for the northern spotted owl: a report of the Interagency Scientific Committee to address the conservation of the northern spotted owl. Portland, OR. </w:t>
      </w:r>
      <w:hyperlink r:id="rId169" w:history="1">
        <w:r w:rsidRPr="000719FF">
          <w:rPr>
            <w:rFonts w:eastAsia="-moz-fixed" w:cs="-moz-fixed"/>
            <w:color w:val="0000FF"/>
            <w:szCs w:val="20"/>
            <w:u w:val="single"/>
            <w:lang w:val="en-US" w:eastAsia="ar-SA"/>
          </w:rPr>
          <w:t>https://www.fws.gov/sites/default/files/documents/ConservationStrategyForTheNorthernSpottedOw_May1990.pdf</w:t>
        </w:r>
      </w:hyperlink>
      <w:r w:rsidRPr="000719FF">
        <w:rPr>
          <w:rFonts w:eastAsia="-moz-fixed" w:cs="-moz-fixed"/>
          <w:szCs w:val="20"/>
          <w:lang w:val="en-US" w:eastAsia="ar-SA"/>
        </w:rPr>
        <w:t>).</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The quality of matrix lands for meeting these objectives is directly related to the extent that it resembles nesting, roosting, and foraging habitat. If structurally simple stands in the matrix can be modified to be more complex in terms of species diversity, niche diversity, and dead wood abundance, they will support better foraging opportunities which will greatly improve the quality of dispersal habitat.</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 xml:space="preserve">The agency should not rely on outdated science suggesting that 40% canopy cover represents owl dispersal habitat. New information indicates that spotted owl dispersal habitat should be managed for “at least 80%” canopy cover. See Stan G. Sovern, Eric D. Forsman, Katie M. </w:t>
      </w:r>
      <w:proofErr w:type="spellStart"/>
      <w:r w:rsidRPr="000719FF">
        <w:rPr>
          <w:rFonts w:eastAsia="-moz-fixed" w:cs="-moz-fixed"/>
          <w:szCs w:val="20"/>
          <w:lang w:val="en-US" w:eastAsia="ar-SA"/>
        </w:rPr>
        <w:t>Dugger</w:t>
      </w:r>
      <w:proofErr w:type="spellEnd"/>
      <w:r w:rsidRPr="000719FF">
        <w:rPr>
          <w:rFonts w:eastAsia="-moz-fixed" w:cs="-moz-fixed"/>
          <w:szCs w:val="20"/>
          <w:lang w:val="en-US" w:eastAsia="ar-SA"/>
        </w:rPr>
        <w:t xml:space="preserve">, Margaret Taylor. 2015. Roosting Habitat Use and Selection By Northern Spotted Owls During Natal Dispersal. The Journal of Wildlife Management 79(2):254–262; 2015; DOI: 10.1002/jwmg.834. </w:t>
      </w:r>
      <w:hyperlink r:id="rId170" w:history="1">
        <w:r w:rsidRPr="000719FF">
          <w:rPr>
            <w:rFonts w:eastAsia="-moz-fixed" w:cs="-moz-fixed"/>
            <w:color w:val="0000FF"/>
            <w:szCs w:val="20"/>
            <w:u w:val="single"/>
            <w:lang w:val="en-US" w:eastAsia="ar-SA"/>
          </w:rPr>
          <w:t>https://osu-wams-blogs-uploads.s3.amazonaws.com/blogs.dir/2742/files/2016/09/Sovern-et-al.-2015.pdf</w:t>
        </w:r>
      </w:hyperlink>
      <w:r w:rsidRPr="000719FF">
        <w:rPr>
          <w:rFonts w:eastAsia="-moz-fixed" w:cs="-moz-fixed"/>
          <w:szCs w:val="20"/>
          <w:lang w:val="en-US" w:eastAsia="ar-SA"/>
        </w:rPr>
        <w:t xml:space="preserve">  (“</w:t>
      </w:r>
      <w:r w:rsidRPr="000719FF">
        <w:rPr>
          <w:rFonts w:eastAsia="-moz-fixed" w:cs="-moz-fixed"/>
          <w:b/>
          <w:szCs w:val="20"/>
          <w:lang w:val="en-US" w:eastAsia="ar-SA"/>
        </w:rPr>
        <w:t>Roost Site Selection</w:t>
      </w:r>
      <w:r w:rsidRPr="000719FF">
        <w:rPr>
          <w:rFonts w:eastAsia="-moz-fixed" w:cs="-moz-fixed"/>
          <w:szCs w:val="20"/>
          <w:lang w:val="en-US" w:eastAsia="ar-SA"/>
        </w:rPr>
        <w:t xml:space="preserve">. In contrast to the assumption that stands with relatively open canopies provide suitable dispersal habitat for spotted owls, our results suggest that dispersing juveniles selected stands for roosting that had relatively high canopy closure (x = 66 </w:t>
      </w:r>
      <w:r w:rsidRPr="000719FF">
        <w:rPr>
          <w:rFonts w:eastAsia="-moz-fixed" w:cs="-moz-fixed"/>
          <w:szCs w:val="20"/>
          <w:u w:val="single"/>
          <w:lang w:val="en-US" w:eastAsia="ar-SA"/>
        </w:rPr>
        <w:t>+</w:t>
      </w:r>
      <w:r w:rsidRPr="000719FF">
        <w:rPr>
          <w:rFonts w:eastAsia="-moz-fixed" w:cs="-moz-fixed"/>
          <w:szCs w:val="20"/>
          <w:lang w:val="en-US" w:eastAsia="ar-SA"/>
        </w:rPr>
        <w:t xml:space="preserve"> 2%). … Two hypotheses could explain why dispersing owls selected closed-canopy stands. First, several researchers (Barrows 1981, Forsman et al. 1984, Weathers et al. 2001) have shown that temperature and precipitation appear to influence selection for roost trees and attributes within a roost tree, such as perch height and percent overhead cover. … Second, juvenile northern spotted owls may have selected for closed-canopy forest because their preferred prey were most abundant … </w:t>
      </w:r>
      <w:r w:rsidRPr="000719FF">
        <w:rPr>
          <w:rFonts w:eastAsia="-moz-fixed" w:cs="-moz-fixed"/>
          <w:b/>
          <w:szCs w:val="20"/>
          <w:lang w:val="en-US" w:eastAsia="ar-SA"/>
        </w:rPr>
        <w:t>Landscape Scale Selection</w:t>
      </w:r>
      <w:r w:rsidRPr="000719FF">
        <w:rPr>
          <w:rFonts w:eastAsia="-moz-fixed" w:cs="-moz-fixed"/>
          <w:szCs w:val="20"/>
          <w:lang w:val="en-US" w:eastAsia="ar-SA"/>
        </w:rPr>
        <w:t>. … [O]</w:t>
      </w:r>
      <w:proofErr w:type="spellStart"/>
      <w:r w:rsidRPr="000719FF">
        <w:rPr>
          <w:rFonts w:eastAsia="-moz-fixed" w:cs="-moz-fixed"/>
          <w:szCs w:val="20"/>
          <w:lang w:val="en-US" w:eastAsia="ar-SA"/>
        </w:rPr>
        <w:t>ur</w:t>
      </w:r>
      <w:proofErr w:type="spellEnd"/>
      <w:r w:rsidRPr="000719FF">
        <w:rPr>
          <w:rFonts w:eastAsia="-moz-fixed" w:cs="-moz-fixed"/>
          <w:szCs w:val="20"/>
          <w:lang w:val="en-US" w:eastAsia="ar-SA"/>
        </w:rPr>
        <w:t xml:space="preserve"> mean estimate of canopy closure from plots at roosts (66%), which was likely an underestimate of canopy cover, was considerably higher than the minimum values recommended by Thomas et al. (1990) [i.e. 50-11-40]. … </w:t>
      </w:r>
      <w:r w:rsidRPr="000719FF">
        <w:rPr>
          <w:rFonts w:eastAsia="-moz-fixed" w:cs="-moz-fixed"/>
          <w:b/>
          <w:szCs w:val="20"/>
          <w:lang w:val="en-US" w:eastAsia="ar-SA"/>
        </w:rPr>
        <w:t>Management Implications</w:t>
      </w:r>
      <w:r w:rsidRPr="000719FF">
        <w:rPr>
          <w:rFonts w:eastAsia="-moz-fixed" w:cs="-moz-fixed"/>
          <w:szCs w:val="20"/>
          <w:lang w:val="en-US" w:eastAsia="ar-SA"/>
        </w:rPr>
        <w:t>. … Based on our study, we recommend that managers should pursue a strategy that exceeds the canopy cover guidelines recommended by Thomas et al. (1990) when managing dispersal habitat for spotted owls. Based on our estimate of mean canopy closure (66%), and our estimate of mean canopy cover from overlaying a dot grid on the same areas (approx. 14% larger), we recommend that the target for canopy cover in stands managed for dispersing spotted owls should be at least 80%.”)</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Owl habitat is characterized by large trees, high canopy closure, abundant dead wood, well-developed understories. A few of these qualities can be attained with traditional uniform thinning (large trees and canopy closure), but all of them are more likely to be attained with variable density thinning and managing for decadence. In particular, canopy closure and well-developed understories are best achieved with variable density thinning.</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4"/>
          <w:lang w:val="en-US" w:eastAsia="ar-SA"/>
        </w:rPr>
      </w:pPr>
      <w:r w:rsidRPr="000719FF">
        <w:rPr>
          <w:rFonts w:eastAsia="-moz-fixed" w:cs="-moz-fixed"/>
          <w:szCs w:val="24"/>
          <w:lang w:val="en-US" w:eastAsia="ar-SA"/>
        </w:rPr>
        <w:t xml:space="preserve">The agency should design matrix thins to support abundant and diverse populations of owl prey species. </w:t>
      </w:r>
      <w:r w:rsidRPr="000719FF">
        <w:rPr>
          <w:rFonts w:eastAsia="-moz-fixed" w:cs="-moz-fixed"/>
          <w:szCs w:val="20"/>
          <w:lang w:val="en-US" w:eastAsia="ar-SA"/>
        </w:rPr>
        <w:t>“[H]</w:t>
      </w:r>
      <w:proofErr w:type="spellStart"/>
      <w:r w:rsidRPr="000719FF">
        <w:rPr>
          <w:rFonts w:eastAsia="-moz-fixed" w:cs="-moz-fixed"/>
          <w:szCs w:val="20"/>
          <w:lang w:val="en-US" w:eastAsia="ar-SA"/>
        </w:rPr>
        <w:t>abitat</w:t>
      </w:r>
      <w:proofErr w:type="spellEnd"/>
      <w:r w:rsidRPr="000719FF">
        <w:rPr>
          <w:rFonts w:eastAsia="-moz-fixed" w:cs="-moz-fixed"/>
          <w:szCs w:val="20"/>
          <w:lang w:val="en-US" w:eastAsia="ar-SA"/>
        </w:rPr>
        <w:t xml:space="preserve"> elements that support prey [include] (mistletoe, snags, down wood, forage lichens, truffles abundance)” NSO FRP p 114. </w:t>
      </w:r>
      <w:r w:rsidRPr="000719FF">
        <w:rPr>
          <w:rFonts w:eastAsia="-moz-fixed" w:cs="-moz-fixed"/>
          <w:szCs w:val="24"/>
          <w:lang w:val="en-US" w:eastAsia="ar-SA"/>
        </w:rPr>
        <w:t xml:space="preserve">Where owl prey base is diverse and abundant spotted owl home ranges tend to be smaller which is energetically advantageous and enhances owl survival rates. Carey, A. 2004 Relationship of Prey and Forest Management. Appendix 5 pp 3-24, 3-25 </w:t>
      </w:r>
      <w:r w:rsidRPr="000719FF">
        <w:rPr>
          <w:rFonts w:eastAsia="-moz-fixed" w:cs="-moz-fixed"/>
          <w:i/>
          <w:szCs w:val="24"/>
          <w:lang w:val="en-US" w:eastAsia="ar-SA"/>
        </w:rPr>
        <w:t xml:space="preserve">in </w:t>
      </w:r>
      <w:r w:rsidRPr="000719FF">
        <w:rPr>
          <w:rFonts w:eastAsia="-moz-fixed" w:cs="-moz-fixed"/>
          <w:szCs w:val="24"/>
          <w:lang w:val="en-US" w:eastAsia="ar-SA"/>
        </w:rPr>
        <w:t xml:space="preserve">Courtney, SP; J A </w:t>
      </w:r>
      <w:proofErr w:type="spellStart"/>
      <w:r w:rsidRPr="000719FF">
        <w:rPr>
          <w:rFonts w:eastAsia="-moz-fixed" w:cs="-moz-fixed"/>
          <w:szCs w:val="24"/>
          <w:lang w:val="en-US" w:eastAsia="ar-SA"/>
        </w:rPr>
        <w:t>Blakesley</w:t>
      </w:r>
      <w:proofErr w:type="spellEnd"/>
      <w:r w:rsidRPr="000719FF">
        <w:rPr>
          <w:rFonts w:eastAsia="-moz-fixed" w:cs="-moz-fixed"/>
          <w:szCs w:val="24"/>
          <w:lang w:val="en-US" w:eastAsia="ar-SA"/>
        </w:rPr>
        <w:t>. 2004. Scientific evaluation of the status of the Northern Spotted Owl.</w:t>
      </w:r>
      <w:r w:rsidRPr="000719FF">
        <w:rPr>
          <w:rFonts w:eastAsia="-moz-fixed" w:cs="-moz-fixed"/>
          <w:szCs w:val="20"/>
          <w:lang w:val="en-US" w:eastAsia="ar-SA"/>
        </w:rPr>
        <w:t xml:space="preserve"> </w:t>
      </w:r>
      <w:hyperlink r:id="rId171" w:history="1">
        <w:r w:rsidRPr="000719FF">
          <w:rPr>
            <w:rFonts w:eastAsia="-moz-fixed" w:cs="-moz-fixed"/>
            <w:color w:val="0000FF"/>
            <w:szCs w:val="24"/>
            <w:u w:val="single"/>
            <w:lang w:val="en-US" w:eastAsia="ar-SA"/>
          </w:rPr>
          <w:t>http://web.archive.org/web/20120423191509/http://www.sei.org/owl/finalreport/Chapter5HabitatAssociations.pdf</w:t>
        </w:r>
      </w:hyperlink>
      <w:r w:rsidRPr="000719FF">
        <w:rPr>
          <w:rFonts w:eastAsia="-moz-fixed" w:cs="-moz-fixed"/>
          <w:szCs w:val="24"/>
          <w:lang w:val="en-US" w:eastAsia="ar-SA"/>
        </w:rPr>
        <w:t>. “Numerous patches of low foraging quality can have negative impacts on owl demography and behavior (Carey et al 1992).” id. and this is precisely what uniform thinning that “captures mortality” will do to current and future spotted owl home ranges. A large number of owl prey species have some association with snags and down wood either as sites for denning or as a source of fungal food supplies. Traditional thinning will reduce the recruitment of dead trees and down wood and further simplify the forest structure for many decades. Establishing diverse micro-habitats and creating and retaining large numbers of snags and down wood will help the spotted owl through the habitat bottleneck that it is now going through.</w:t>
      </w:r>
    </w:p>
    <w:p w:rsidR="00B864C7" w:rsidRDefault="00B864C7" w:rsidP="000719FF">
      <w:pPr>
        <w:suppressAutoHyphens/>
        <w:spacing w:line="240" w:lineRule="auto"/>
        <w:rPr>
          <w:rFonts w:eastAsia="-moz-fixed" w:cs="-moz-fixed"/>
          <w:szCs w:val="24"/>
          <w:lang w:val="en-US" w:eastAsia="ar-SA"/>
        </w:rPr>
      </w:pPr>
    </w:p>
    <w:p w:rsidR="00B864C7" w:rsidRDefault="000719FF" w:rsidP="000719FF">
      <w:pPr>
        <w:suppressAutoHyphens/>
        <w:spacing w:line="240" w:lineRule="auto"/>
        <w:rPr>
          <w:rFonts w:eastAsia="-moz-fixed" w:cs="-moz-fixed"/>
          <w:szCs w:val="24"/>
          <w:lang w:val="en-US" w:eastAsia="ar-SA"/>
        </w:rPr>
      </w:pPr>
      <w:r w:rsidRPr="000719FF">
        <w:rPr>
          <w:rFonts w:eastAsia="-moz-fixed" w:cs="-moz-fixed"/>
          <w:szCs w:val="24"/>
          <w:lang w:val="en-US" w:eastAsia="ar-SA"/>
        </w:rPr>
        <w:t xml:space="preserve">Small mammal populations also appear to increase with understory cover which can follow some forms of thinning. </w:t>
      </w:r>
      <w:proofErr w:type="spellStart"/>
      <w:r w:rsidRPr="000719FF">
        <w:rPr>
          <w:rFonts w:eastAsia="-moz-fixed" w:cs="-moz-fixed"/>
          <w:szCs w:val="24"/>
          <w:lang w:val="en-US" w:eastAsia="ar-SA"/>
        </w:rPr>
        <w:t>Waldien</w:t>
      </w:r>
      <w:proofErr w:type="spellEnd"/>
      <w:r w:rsidRPr="000719FF">
        <w:rPr>
          <w:rFonts w:eastAsia="-moz-fixed" w:cs="-moz-fixed"/>
          <w:szCs w:val="24"/>
          <w:lang w:val="en-US" w:eastAsia="ar-SA"/>
        </w:rPr>
        <w:t xml:space="preserve"> and Hayes. 2006. Influence of Alternative Silviculture on Small Mammals. USGS/CFER Fact Sheet. July 2006. </w:t>
      </w:r>
      <w:hyperlink r:id="rId172" w:history="1">
        <w:r w:rsidRPr="000719FF">
          <w:rPr>
            <w:rFonts w:eastAsia="-moz-fixed" w:cs="-moz-fixed"/>
            <w:color w:val="0000FF"/>
            <w:szCs w:val="24"/>
            <w:u w:val="single"/>
            <w:lang w:val="en-US" w:eastAsia="ar-SA"/>
          </w:rPr>
          <w:t>http://www.fsl.orst.edu/cfer/pdfs/CFERFS05.pdf</w:t>
        </w:r>
      </w:hyperlink>
      <w:r w:rsidRPr="000719FF">
        <w:rPr>
          <w:rFonts w:eastAsia="-moz-fixed" w:cs="-moz-fixed"/>
          <w:szCs w:val="24"/>
          <w:lang w:val="en-US" w:eastAsia="ar-SA"/>
        </w:rPr>
        <w:t>.</w:t>
      </w:r>
    </w:p>
    <w:p w:rsidR="00B864C7" w:rsidRDefault="00B864C7" w:rsidP="000719FF">
      <w:pPr>
        <w:suppressAutoHyphens/>
        <w:spacing w:line="240" w:lineRule="auto"/>
        <w:rPr>
          <w:rFonts w:eastAsia="-moz-fixed" w:cs="-moz-fixed"/>
          <w:szCs w:val="24"/>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4"/>
          <w:lang w:val="en-US" w:eastAsia="ar-SA"/>
        </w:rPr>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0719FF">
        <w:rPr>
          <w:rFonts w:eastAsia="-moz-fixed" w:cs="-moz-fixed"/>
          <w:szCs w:val="24"/>
          <w:vertAlign w:val="superscript"/>
          <w:lang w:val="en-US" w:eastAsia="ar-SA"/>
        </w:rPr>
        <w:t>3</w:t>
      </w:r>
      <w:r w:rsidRPr="000719FF">
        <w:rPr>
          <w:rFonts w:eastAsia="-moz-fixed" w:cs="-moz-fixed"/>
          <w:szCs w:val="24"/>
          <w:lang w:val="en-US" w:eastAsia="ar-SA"/>
        </w:rPr>
        <w:t xml:space="preserve">/ha of intact snags and a high diversity of tree heights had medium or high foraging use by spotted owls. In these old-growth stands, biological legacies (e.g., large trees and snags) produced by past disturbance provide important forest structures associated with spotted owl foraging.” North, Franklin, Carey, Forsman, Hamer. 1999. Forest Stand Structure of the Northern Spotted Owl’s Foraging Habitat. For. Sci. 45(4):520-527. </w:t>
      </w:r>
      <w:hyperlink r:id="rId173" w:history="1">
        <w:r w:rsidRPr="000719FF">
          <w:rPr>
            <w:rFonts w:eastAsia="-moz-fixed" w:cs="-moz-fixed"/>
            <w:color w:val="0000FF"/>
            <w:szCs w:val="24"/>
            <w:u w:val="single"/>
            <w:lang w:val="en-US" w:eastAsia="ar-SA"/>
          </w:rPr>
          <w:t>https://andrewsforest.oregonstate.edu/sites/default/files/lter/pubs/pdf/pub3549.pdf</w:t>
        </w:r>
      </w:hyperlink>
      <w:r w:rsidRPr="000719FF">
        <w:rPr>
          <w:rFonts w:eastAsia="-moz-fixed" w:cs="-moz-fixed"/>
          <w:szCs w:val="24"/>
          <w:lang w:val="en-US" w:eastAsia="ar-SA"/>
        </w:rPr>
        <w:t>.</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4"/>
          <w:lang w:val="en-US" w:eastAsia="ar-SA"/>
        </w:rPr>
        <w:t xml:space="preserve">Some have concluded that light, uniform thinnings in young stands are unlikely to attain biodiversity conservation objectives. See Duncan S. Wilson, and Klaus J. </w:t>
      </w:r>
      <w:proofErr w:type="spellStart"/>
      <w:r w:rsidRPr="000719FF">
        <w:rPr>
          <w:rFonts w:eastAsia="-moz-fixed" w:cs="-moz-fixed"/>
          <w:szCs w:val="24"/>
          <w:lang w:val="en-US" w:eastAsia="ar-SA"/>
        </w:rPr>
        <w:t>Puettmann</w:t>
      </w:r>
      <w:proofErr w:type="spellEnd"/>
      <w:r w:rsidRPr="000719FF">
        <w:rPr>
          <w:rFonts w:eastAsia="-moz-fixed" w:cs="-moz-fixed"/>
          <w:szCs w:val="24"/>
          <w:lang w:val="en-US" w:eastAsia="ar-SA"/>
        </w:rPr>
        <w:t>. Density management and biodiversity in young Douglas-fir forests: challenges of managing across scales. DRAFT submitted to Forest Ecology and Management. August 2006.</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Given all the new information on the risks and uncertainties faced by spotted owls, thinning projects in the Matrix should apply variable density thinning techniques because variable density thinning and managing for decadence will help increase the complexity of the forest (structural complexity and plant species diversity) thereby increasing populations of owl prey species and enhancing owl foraging opportunities within owl dispersal/foraging habitat.</w:t>
      </w:r>
      <w:r w:rsidRPr="000719FF">
        <w:rPr>
          <w:rFonts w:eastAsia="-moz-fixed" w:cs="-moz-fixed"/>
          <w:szCs w:val="20"/>
          <w:lang w:val="en-US" w:eastAsia="ar-SA"/>
        </w:rPr>
        <w:br/>
      </w:r>
      <w:r w:rsidRPr="000719FF">
        <w:rPr>
          <w:rFonts w:eastAsia="-moz-fixed" w:cs="-moz-fixed"/>
          <w:szCs w:val="20"/>
          <w:lang w:val="en-US" w:eastAsia="ar-SA"/>
        </w:rPr>
        <w:br/>
        <w:t>VDT will not conflict with matrix objectives. Matrix objectives include timber production as well as habitat and species diversity. Variable thinning will produce potentially more wood products in the short-term as well as significant wood products in the long-term. There is absolutely no requirement that the agencies MAXIMIZE timber production. The ecological benefits of variable density thinning are significant and should not be forgone. There are operational challenges with implementing effective variable thinning prescriptions but the agencies must embrace the challenges and instead of retreating from the ecological objectives of the matrix, the agencies must apply their best thinking and creativity to the objective of creating species-diverse and structurally rich and complex mid-seral forest habitat.</w:t>
      </w:r>
    </w:p>
    <w:p w:rsidR="00B864C7" w:rsidRDefault="00B864C7" w:rsidP="000719FF">
      <w:pPr>
        <w:suppressAutoHyphens/>
        <w:spacing w:line="240" w:lineRule="auto"/>
        <w:rPr>
          <w:rFonts w:eastAsia="-moz-fixed" w:cs="-moz-fixed"/>
          <w:szCs w:val="20"/>
          <w:lang w:val="en-US" w:eastAsia="ar-SA"/>
        </w:rPr>
      </w:pPr>
    </w:p>
    <w:p w:rsidR="000719FF" w:rsidRPr="000719FF" w:rsidRDefault="000719FF" w:rsidP="000719FF">
      <w:pPr>
        <w:suppressAutoHyphens/>
        <w:spacing w:line="240" w:lineRule="auto"/>
        <w:rPr>
          <w:rFonts w:eastAsia="-moz-fixed" w:cs="-moz-fixed"/>
          <w:szCs w:val="24"/>
          <w:lang w:val="en-US" w:eastAsia="ar-SA"/>
        </w:rPr>
      </w:pPr>
      <w:r w:rsidRPr="000719FF">
        <w:rPr>
          <w:rFonts w:eastAsia="-moz-fixed" w:cs="-moz-fixed"/>
          <w:szCs w:val="20"/>
          <w:lang w:val="en-US" w:eastAsia="ar-SA"/>
        </w:rPr>
        <w:t xml:space="preserve">The matrix is supposed to provide wildlife habitat and connectivity and VDT will help the matrix achieve these objectives while also improving the growth of favored commercial tree species. Matrix is not a tree farm. It still has a role to play in providing diverse habitats, so don’t just grow trees, grow forests. </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lastRenderedPageBreak/>
        <w:t xml:space="preserve">The matrix is an integral part of the management direction included in these standards and guidelines. Production of timber and other commodities is an important objective for the matrix. However, forests in the matrix function as connectivity between Late-Successional Reserves and provide habitat for a variety of organisms associated with both late-successional and younger forests. </w:t>
      </w:r>
      <w:r w:rsidRPr="000719FF">
        <w:rPr>
          <w:rFonts w:eastAsia="-moz-fixed" w:cs="-moz-fixed"/>
          <w:szCs w:val="24"/>
          <w:u w:val="single"/>
          <w:lang w:val="en-US" w:eastAsia="ar-SA"/>
        </w:rPr>
        <w:t>Standards and guidelines for the matrix are designed to provide for important ecological functions such as dispersal of organisms, carryover of some species from one stand to the next, and maintenance of ecologically valuable structural components such as down logs, snags, and large trees.</w:t>
      </w:r>
      <w:r w:rsidRPr="000719FF">
        <w:rPr>
          <w:rFonts w:eastAsia="-moz-fixed" w:cs="-moz-fixed"/>
          <w:szCs w:val="24"/>
          <w:lang w:val="en-US" w:eastAsia="ar-SA"/>
        </w:rPr>
        <w:t xml:space="preserve"> The matrix will also add ecological diversity by providing early-successional habitat.</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t>…</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t xml:space="preserve">Matrix objectives for silviculture should include: (1) production of commercial yields of wood, including those species such as Pacific yew and western red cedar that require extended rotations, (2) retention of moderate levels of ecologically valuable old-growth components such as snags, logs, and relatively large green trees, and (3) </w:t>
      </w:r>
      <w:r w:rsidRPr="000719FF">
        <w:rPr>
          <w:rFonts w:eastAsia="-moz-fixed" w:cs="-moz-fixed"/>
          <w:szCs w:val="24"/>
          <w:u w:val="single"/>
          <w:lang w:val="en-US" w:eastAsia="ar-SA"/>
        </w:rPr>
        <w:t>increasing ecological diversity by providing early-successional habitat</w:t>
      </w:r>
      <w:r w:rsidRPr="000719FF">
        <w:rPr>
          <w:rFonts w:eastAsia="-moz-fixed" w:cs="-moz-fixed"/>
          <w:szCs w:val="24"/>
          <w:lang w:val="en-US" w:eastAsia="ar-SA"/>
        </w:rPr>
        <w:t>.</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t>…</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t xml:space="preserve">Stands in the matrix can be managed for timber and other commodity production, and to </w:t>
      </w:r>
      <w:r w:rsidRPr="000719FF">
        <w:rPr>
          <w:rFonts w:eastAsia="-moz-fixed" w:cs="-moz-fixed"/>
          <w:szCs w:val="24"/>
          <w:u w:val="single"/>
          <w:lang w:val="en-US" w:eastAsia="ar-SA"/>
        </w:rPr>
        <w:t>perform an important role in maintaining biodiversity</w:t>
      </w:r>
      <w:r w:rsidRPr="000719FF">
        <w:rPr>
          <w:rFonts w:eastAsia="-moz-fixed" w:cs="-moz-fixed"/>
          <w:szCs w:val="24"/>
          <w:lang w:val="en-US" w:eastAsia="ar-SA"/>
        </w:rPr>
        <w:t xml:space="preserve">. Silvicultural treatments of forest stands in the matrix can provide for retention of old-growth ecosystem components such as large green trees, snags and down logs, and depending on site and forest type, can </w:t>
      </w:r>
      <w:r w:rsidRPr="000719FF">
        <w:rPr>
          <w:rFonts w:eastAsia="-moz-fixed" w:cs="-moz-fixed"/>
          <w:szCs w:val="24"/>
          <w:u w:val="single"/>
          <w:lang w:val="en-US" w:eastAsia="ar-SA"/>
        </w:rPr>
        <w:t>provide for a diversity of species</w:t>
      </w:r>
      <w:r w:rsidRPr="000719FF">
        <w:rPr>
          <w:rFonts w:eastAsia="-moz-fixed" w:cs="-moz-fixed"/>
          <w:szCs w:val="24"/>
          <w:lang w:val="en-US" w:eastAsia="ar-SA"/>
        </w:rPr>
        <w:t xml:space="preserve">. Retention of green trees following timber harvest in the matrix provides a legacy that bridges past and future forests. Retaining green trees serves several important functions including </w:t>
      </w:r>
      <w:r w:rsidRPr="000719FF">
        <w:rPr>
          <w:rFonts w:eastAsia="-moz-fixed" w:cs="-moz-fixed"/>
          <w:szCs w:val="24"/>
          <w:u w:val="single"/>
          <w:lang w:val="en-US" w:eastAsia="ar-SA"/>
        </w:rPr>
        <w:t>snag recruitment, promoting multistoried canopies</w:t>
      </w:r>
      <w:r w:rsidRPr="000719FF">
        <w:rPr>
          <w:rFonts w:eastAsia="-moz-fixed" w:cs="-moz-fixed"/>
          <w:szCs w:val="24"/>
          <w:lang w:val="en-US" w:eastAsia="ar-SA"/>
        </w:rPr>
        <w:t>, and providing shade and suitable habitat for many organisms in the matrix.</w:t>
      </w:r>
    </w:p>
    <w:p w:rsidR="00B864C7" w:rsidRDefault="000719FF" w:rsidP="000719FF">
      <w:pPr>
        <w:suppressAutoHyphens/>
        <w:autoSpaceDE w:val="0"/>
        <w:spacing w:line="240" w:lineRule="auto"/>
        <w:rPr>
          <w:rFonts w:eastAsia="-moz-fixed" w:cs="-moz-fixed"/>
          <w:sz w:val="20"/>
          <w:szCs w:val="20"/>
          <w:lang w:val="en-US" w:eastAsia="ar-SA"/>
        </w:rPr>
      </w:pPr>
      <w:r w:rsidRPr="000719FF">
        <w:rPr>
          <w:rFonts w:eastAsia="-moz-fixed" w:cs="-moz-fixed"/>
          <w:szCs w:val="24"/>
          <w:lang w:val="en-US" w:eastAsia="ar-SA"/>
        </w:rPr>
        <w:t xml:space="preserve">1994 NWFP ROD pp B-1 to B-6 (emphasis added) </w:t>
      </w:r>
      <w:hyperlink r:id="rId174" w:history="1">
        <w:r w:rsidRPr="000719FF">
          <w:rPr>
            <w:rFonts w:eastAsia="-moz-fixed" w:cs="-moz-fixed"/>
            <w:color w:val="0000FF"/>
            <w:szCs w:val="24"/>
            <w:u w:val="single"/>
            <w:lang w:val="en-US" w:eastAsia="ar-SA"/>
          </w:rPr>
          <w:t>https://web.archive.org/web/20170214000554/https://www.blm.gov/or/plans/nwfpnepa/FSEIS-2000/ROD-SandG.pdf</w:t>
        </w:r>
      </w:hyperlink>
      <w:r w:rsidRPr="000719FF">
        <w:rPr>
          <w:rFonts w:eastAsia="-moz-fixed" w:cs="-moz-fixed"/>
          <w:szCs w:val="24"/>
          <w:lang w:val="en-US" w:eastAsia="ar-SA"/>
        </w:rPr>
        <w:t>. Clearly VDT, will meet matrix objectives by providing wood products, and by promoting multistoried canopies, providing diversity of species, creating and maintaining structural features such as snags, logs, and large trees, and providing opportunities for early-seral species to persist in mid-seral stands.</w:t>
      </w:r>
    </w:p>
    <w:p w:rsidR="00B864C7" w:rsidRDefault="00B864C7" w:rsidP="000719FF">
      <w:pPr>
        <w:suppressAutoHyphens/>
        <w:autoSpaceDE w:val="0"/>
        <w:spacing w:line="240" w:lineRule="auto"/>
        <w:rPr>
          <w:rFonts w:eastAsia="-moz-fixed" w:cs="-moz-fixed"/>
          <w:sz w:val="20"/>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 xml:space="preserve">According to the 2003 Draft SEIS for survey and manage, “Matrix was also expected to provide for ecologically diverse early-successional conditions and planned timber harvest.” (DSEIS page 68). Variable density thinning is appropriate in the matrix because VDT expands future options for multiple-use/sustained yield in its fullest dimension and VDT does not foreclose any matrix objectives. </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Variable Density prescriptions will also improve connectivity by enhancing foraging opportunities for dispersing predators such as spotted owls (and other raptors), marten, fisher, etc. Young and mid-seral forest may not provide ideal nesting/denning conditions but they often do provide for important dispersal functions. If these young and mid-seral forests are species-diverse and structural complex, they are more likely to have healthy populations of small mammals, birds, and other prey species relied upon by predator species of concern.</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Variable density thinning can create a variety of micro-habitats that may be suitable for different species. Andy Carey found that VDT could establish patchy habitat patterns that could lead to the development of small mammal populations that are not only more dense but more diverse compared to uniformly thinned stands.</w:t>
      </w:r>
    </w:p>
    <w:p w:rsidR="00B864C7" w:rsidRDefault="00B864C7" w:rsidP="000719FF">
      <w:pPr>
        <w:suppressAutoHyphens/>
        <w:spacing w:line="240" w:lineRule="auto"/>
        <w:rPr>
          <w:rFonts w:eastAsia="-moz-fixed" w:cs="-moz-fixed"/>
          <w:szCs w:val="20"/>
          <w:lang w:val="en-US" w:eastAsia="ar-SA"/>
        </w:rPr>
      </w:pPr>
    </w:p>
    <w:p w:rsidR="00B864C7" w:rsidRDefault="000719FF" w:rsidP="000719FF">
      <w:pPr>
        <w:suppressAutoHyphens/>
        <w:autoSpaceDE w:val="0"/>
        <w:spacing w:line="240" w:lineRule="auto"/>
        <w:ind w:left="720"/>
        <w:rPr>
          <w:rFonts w:ascii="Courier" w:eastAsia="-moz-fixed" w:hAnsi="Courier" w:cs="Courier"/>
          <w:szCs w:val="24"/>
          <w:lang w:val="en-US" w:eastAsia="ar-SA"/>
        </w:rPr>
      </w:pPr>
      <w:r w:rsidRPr="000719FF">
        <w:rPr>
          <w:rFonts w:eastAsia="-moz-fixed" w:cs="-moz-fixed"/>
          <w:szCs w:val="24"/>
          <w:lang w:val="en-US" w:eastAsia="ar-SA"/>
        </w:rPr>
        <w:t xml:space="preserve">Our results support hypotheses that: (1) biocomplexity resulting from interactions of decadence, understory development, and overstory composition provides pre-interactive </w:t>
      </w:r>
      <w:r w:rsidRPr="000719FF">
        <w:rPr>
          <w:rFonts w:eastAsia="-moz-fixed" w:cs="-moz-fixed"/>
          <w:szCs w:val="24"/>
          <w:lang w:val="en-US" w:eastAsia="ar-SA"/>
        </w:rPr>
        <w:lastRenderedPageBreak/>
        <w:t>niche diversification with predictable, diverse, small mammal communities; (2) these communities incorporate numerous species and multiple trophic pathways, and thus, their integrity measures resiliency and sustainability.</w:t>
      </w:r>
    </w:p>
    <w:p w:rsidR="00B864C7" w:rsidRDefault="00B864C7" w:rsidP="000719FF">
      <w:pPr>
        <w:suppressAutoHyphens/>
        <w:autoSpaceDE w:val="0"/>
        <w:spacing w:line="240" w:lineRule="auto"/>
        <w:ind w:left="720"/>
        <w:rPr>
          <w:rFonts w:ascii="Courier" w:eastAsia="-moz-fixed" w:hAnsi="Courier" w:cs="Courier"/>
          <w:szCs w:val="24"/>
          <w:lang w:val="en-US" w:eastAsia="ar-SA"/>
        </w:rPr>
      </w:pP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szCs w:val="24"/>
          <w:lang w:val="en-US" w:eastAsia="ar-SA"/>
        </w:rPr>
        <w:t>Thus, increasing complexity of the environment through increasing horizontal and vertical heterogeneity in vegetation structure, species diversity in vascular plant composition, and forest-floor structure with coarse woody debris may simultaneously (1) increase multidimensional habitat space (Carey et al., 1999a), (2) reduce frequencies and intensities of interspecies interactions (Grant, 1972; Carey et al., 1980), (3) increase or maintain the already high abundance and diversity of seed fall, fungal fruiting bodies, and invertebrates characteristic of mesic, temperate coniferous forests (Church field, 1990), and (4) allow not only coexistence, but abundance of potentially competing species within communities (Carey and Johnson, 1995, this study). As a result of this complexity, Pacific Northwest forests support the greatest diversity of shrews in North America (Rose, 1994) …</w:t>
      </w:r>
    </w:p>
    <w:p w:rsidR="000719FF" w:rsidRPr="000719FF" w:rsidRDefault="000719FF" w:rsidP="000719FF">
      <w:pPr>
        <w:suppressAutoHyphens/>
        <w:autoSpaceDE w:val="0"/>
        <w:spacing w:line="240" w:lineRule="auto"/>
        <w:ind w:left="720"/>
        <w:rPr>
          <w:rFonts w:eastAsia="-moz-fixed" w:cs="-moz-fixed"/>
          <w:lang w:val="en-US" w:eastAsia="ar-SA"/>
        </w:rPr>
      </w:pPr>
      <w:r w:rsidRPr="000719FF">
        <w:rPr>
          <w:rFonts w:eastAsia="-moz-fixed" w:cs="-moz-fixed"/>
          <w:szCs w:val="24"/>
          <w:lang w:val="en-US" w:eastAsia="ar-SA"/>
        </w:rPr>
        <w:t xml:space="preserve"> … </w:t>
      </w:r>
    </w:p>
    <w:p w:rsidR="000719FF" w:rsidRPr="000719FF" w:rsidRDefault="000719FF" w:rsidP="000719FF">
      <w:pPr>
        <w:suppressAutoHyphens/>
        <w:autoSpaceDE w:val="0"/>
        <w:spacing w:line="240" w:lineRule="auto"/>
        <w:ind w:left="720"/>
        <w:rPr>
          <w:rFonts w:eastAsia="-moz-fixed" w:cs="-moz-fixed"/>
          <w:szCs w:val="24"/>
          <w:lang w:val="en-US" w:eastAsia="ar-SA"/>
        </w:rPr>
      </w:pPr>
      <w:r w:rsidRPr="000719FF">
        <w:rPr>
          <w:rFonts w:eastAsia="-moz-fixed" w:cs="-moz-fixed"/>
          <w:lang w:val="en-US" w:eastAsia="ar-SA"/>
        </w:rPr>
        <w:t xml:space="preserve">These studies do suggest that </w:t>
      </w:r>
      <w:r w:rsidRPr="000719FF">
        <w:rPr>
          <w:rFonts w:eastAsia="-moz-fixed" w:cs="-moz-fixed"/>
          <w:szCs w:val="24"/>
          <w:lang w:val="en-US" w:eastAsia="ar-SA"/>
        </w:rPr>
        <w:t xml:space="preserve">management can homogenize and simplify (reduce decadence, amounts of coarse woody debris, variety of tree species, diversity and abundance of understory vegetation, and spatial heterogeneity) forest ecosystems. We found local extirpations of a number of species and particularly absence of </w:t>
      </w:r>
      <w:r w:rsidRPr="000719FF">
        <w:rPr>
          <w:rFonts w:eastAsia="-moz-fixed" w:cs="-moz-fixed"/>
          <w:i/>
          <w:iCs/>
          <w:szCs w:val="24"/>
          <w:lang w:val="en-US" w:eastAsia="ar-SA"/>
        </w:rPr>
        <w:t xml:space="preserve">G. </w:t>
      </w:r>
      <w:proofErr w:type="spellStart"/>
      <w:r w:rsidRPr="000719FF">
        <w:rPr>
          <w:rFonts w:eastAsia="-moz-fixed" w:cs="-moz-fixed"/>
          <w:i/>
          <w:iCs/>
          <w:szCs w:val="24"/>
          <w:lang w:val="en-US" w:eastAsia="ar-SA"/>
        </w:rPr>
        <w:t>sabrinus</w:t>
      </w:r>
      <w:proofErr w:type="spellEnd"/>
      <w:r w:rsidRPr="000719FF">
        <w:rPr>
          <w:rFonts w:eastAsia="-moz-fixed" w:cs="-moz-fixed"/>
          <w:i/>
          <w:iCs/>
          <w:szCs w:val="24"/>
          <w:lang w:val="en-US" w:eastAsia="ar-SA"/>
        </w:rPr>
        <w:t xml:space="preserve"> </w:t>
      </w:r>
      <w:r w:rsidRPr="000719FF">
        <w:rPr>
          <w:rFonts w:eastAsia="-moz-fixed" w:cs="-moz-fixed"/>
          <w:szCs w:val="24"/>
          <w:lang w:val="en-US" w:eastAsia="ar-SA"/>
        </w:rPr>
        <w:t xml:space="preserve">and </w:t>
      </w:r>
      <w:r w:rsidRPr="000719FF">
        <w:rPr>
          <w:rFonts w:eastAsia="-moz-fixed" w:cs="-moz-fixed"/>
          <w:i/>
          <w:iCs/>
          <w:szCs w:val="24"/>
          <w:lang w:val="en-US" w:eastAsia="ar-SA"/>
        </w:rPr>
        <w:t xml:space="preserve">T. </w:t>
      </w:r>
      <w:proofErr w:type="spellStart"/>
      <w:r w:rsidRPr="000719FF">
        <w:rPr>
          <w:rFonts w:eastAsia="-moz-fixed" w:cs="-moz-fixed"/>
          <w:i/>
          <w:iCs/>
          <w:szCs w:val="24"/>
          <w:lang w:val="en-US" w:eastAsia="ar-SA"/>
        </w:rPr>
        <w:t>townsendii</w:t>
      </w:r>
      <w:proofErr w:type="spellEnd"/>
      <w:r w:rsidRPr="000719FF">
        <w:rPr>
          <w:rFonts w:eastAsia="-moz-fixed" w:cs="-moz-fixed"/>
          <w:i/>
          <w:iCs/>
          <w:szCs w:val="24"/>
          <w:lang w:val="en-US" w:eastAsia="ar-SA"/>
        </w:rPr>
        <w:t xml:space="preserve"> </w:t>
      </w:r>
      <w:r w:rsidRPr="000719FF">
        <w:rPr>
          <w:rFonts w:eastAsia="-moz-fixed" w:cs="-moz-fixed"/>
          <w:szCs w:val="24"/>
          <w:lang w:val="en-US" w:eastAsia="ar-SA"/>
        </w:rPr>
        <w:t xml:space="preserve">in multiple plots. These absences raise questions about long-term viability of these species in managed landscapes. Management-induced homogeneity and simplification (1) is a real danger to diversity, resiliency, and susceptibility to invasions of exotic plants (Carey, 1998; Carey et al., 2000; Halpern et al., 1999; Heckman, 1999; </w:t>
      </w:r>
      <w:proofErr w:type="spellStart"/>
      <w:r w:rsidRPr="000719FF">
        <w:rPr>
          <w:rFonts w:eastAsia="-moz-fixed" w:cs="-moz-fixed"/>
          <w:szCs w:val="24"/>
          <w:lang w:val="en-US" w:eastAsia="ar-SA"/>
        </w:rPr>
        <w:t>Thysell</w:t>
      </w:r>
      <w:proofErr w:type="spellEnd"/>
      <w:r w:rsidRPr="000719FF">
        <w:rPr>
          <w:rFonts w:eastAsia="-moz-fixed" w:cs="-moz-fixed"/>
          <w:szCs w:val="24"/>
          <w:lang w:val="en-US" w:eastAsia="ar-SA"/>
        </w:rPr>
        <w:t xml:space="preserve"> and Carey, 2000), (2) may result in small-mammal communities non-supportive of predators populations (Carey et al., 1992; Carey and Peeler, 1995), …</w:t>
      </w:r>
    </w:p>
    <w:p w:rsidR="00B864C7" w:rsidRDefault="000719FF" w:rsidP="000719FF">
      <w:pPr>
        <w:suppressAutoHyphens/>
        <w:spacing w:line="240" w:lineRule="auto"/>
        <w:rPr>
          <w:rFonts w:eastAsia="-moz-fixed" w:cs="-moz-fixed"/>
          <w:szCs w:val="20"/>
          <w:lang w:val="en-US" w:eastAsia="ar-SA"/>
        </w:rPr>
      </w:pPr>
      <w:r w:rsidRPr="000719FF">
        <w:rPr>
          <w:rFonts w:eastAsia="-moz-fixed" w:cs="-moz-fixed"/>
          <w:szCs w:val="24"/>
          <w:lang w:val="en-US" w:eastAsia="ar-SA"/>
        </w:rPr>
        <w:t xml:space="preserve">Andrew B. Carey, Constance A. Harrington; Small mammals in young forests: implications for management for sustainability; Forest Ecology and Management (2001) 154(1-2): 289-309; </w:t>
      </w:r>
      <w:hyperlink r:id="rId175" w:history="1">
        <w:r w:rsidRPr="000719FF">
          <w:rPr>
            <w:rFonts w:eastAsia="-moz-fixed" w:cs="-moz-fixed"/>
            <w:color w:val="0000FF"/>
            <w:szCs w:val="24"/>
            <w:u w:val="single"/>
            <w:lang w:val="en-US" w:eastAsia="ar-SA"/>
          </w:rPr>
          <w:t>http://www.fs.usda.gov/pnw/pubs/journals/pnw_2001_carey003.pdf</w:t>
        </w:r>
      </w:hyperlink>
      <w:r w:rsidRPr="000719FF">
        <w:rPr>
          <w:rFonts w:eastAsia="-moz-fixed" w:cs="-moz-fixed"/>
          <w:szCs w:val="24"/>
          <w:lang w:val="en-US" w:eastAsia="ar-SA"/>
        </w:rPr>
        <w:t>.</w:t>
      </w:r>
    </w:p>
    <w:p w:rsidR="00B864C7" w:rsidRDefault="00B864C7" w:rsidP="000719FF">
      <w:pPr>
        <w:suppressAutoHyphens/>
        <w:spacing w:line="240" w:lineRule="auto"/>
        <w:rPr>
          <w:rFonts w:eastAsia="-moz-fixed" w:cs="-moz-fixed"/>
          <w:szCs w:val="20"/>
          <w:lang w:val="en-US" w:eastAsia="ar-SA"/>
        </w:rPr>
      </w:pPr>
    </w:p>
    <w:p w:rsidR="000719FF" w:rsidRDefault="000719FF" w:rsidP="000719FF">
      <w:pPr>
        <w:suppressAutoHyphens/>
        <w:spacing w:line="240" w:lineRule="auto"/>
        <w:rPr>
          <w:rFonts w:eastAsia="-moz-fixed" w:cs="-moz-fixed"/>
          <w:szCs w:val="20"/>
          <w:lang w:val="en-US" w:eastAsia="ar-SA"/>
        </w:rPr>
      </w:pPr>
      <w:r w:rsidRPr="000719FF">
        <w:rPr>
          <w:rFonts w:eastAsia="-moz-fixed" w:cs="-moz-fixed"/>
          <w:szCs w:val="20"/>
          <w:lang w:val="en-US" w:eastAsia="ar-SA"/>
        </w:rPr>
        <w:t>High density and diversity of prey species is clearly advantageous for spotted owls. Dense populations of prey allow for smaller home ranges which is energetically advantageous, while diverse populations reduces the risk that any one species population will decline and leave the owl vulnerable. “[E]</w:t>
      </w:r>
      <w:proofErr w:type="spellStart"/>
      <w:r w:rsidRPr="000719FF">
        <w:rPr>
          <w:rFonts w:eastAsia="-moz-fixed" w:cs="-moz-fixed"/>
          <w:szCs w:val="20"/>
          <w:lang w:val="en-US" w:eastAsia="ar-SA"/>
        </w:rPr>
        <w:t>xperiments</w:t>
      </w:r>
      <w:proofErr w:type="spellEnd"/>
      <w:r w:rsidRPr="000719FF">
        <w:rPr>
          <w:rFonts w:eastAsia="-moz-fixed" w:cs="-moz-fixed"/>
          <w:szCs w:val="20"/>
          <w:lang w:val="en-US" w:eastAsia="ar-SA"/>
        </w:rPr>
        <w:t xml:space="preserve"> in both terrestrial and aquatic microcosms have tended to find that increasing the number of prey items enhances stability.” Kevin Shear </w:t>
      </w:r>
      <w:proofErr w:type="spellStart"/>
      <w:r w:rsidRPr="000719FF">
        <w:rPr>
          <w:rFonts w:eastAsia="-moz-fixed" w:cs="-moz-fixed"/>
          <w:szCs w:val="20"/>
          <w:lang w:val="en-US" w:eastAsia="ar-SA"/>
        </w:rPr>
        <w:t>Mccann</w:t>
      </w:r>
      <w:proofErr w:type="spellEnd"/>
      <w:r w:rsidRPr="000719FF">
        <w:rPr>
          <w:rFonts w:eastAsia="-moz-fixed" w:cs="-moz-fixed"/>
          <w:szCs w:val="20"/>
          <w:lang w:val="en-US" w:eastAsia="ar-SA"/>
        </w:rPr>
        <w:t xml:space="preserve">, The diversity–stability debate. Nature 405, 228 - 233 (11 May 2000). </w:t>
      </w:r>
      <w:hyperlink r:id="rId176" w:history="1">
        <w:r w:rsidRPr="000719FF">
          <w:rPr>
            <w:rFonts w:eastAsia="-moz-fixed" w:cs="-moz-fixed"/>
            <w:color w:val="0000FF"/>
            <w:szCs w:val="20"/>
            <w:u w:val="single"/>
            <w:lang w:val="en-US" w:eastAsia="ar-SA"/>
          </w:rPr>
          <w:t>http://www.iterations.com/protected/dwnload_files/diversity_stability_debate.pdf</w:t>
        </w:r>
      </w:hyperlink>
      <w:r w:rsidRPr="000719FF">
        <w:rPr>
          <w:rFonts w:eastAsia="-moz-fixed" w:cs="-moz-fixed"/>
          <w:szCs w:val="20"/>
          <w:lang w:val="en-US" w:eastAsia="ar-SA"/>
        </w:rPr>
        <w:t>. Thinning variably will enhance the habitat for more than one prey species. If one species declines, the owl has other options so diverse prey base tends to have a stabilizing effect on owl populations. The agency can have all these ecological benefits from restoration silviculture and still support some jobs and produce some wood products.</w:t>
      </w:r>
    </w:p>
    <w:p w:rsidR="007508D2" w:rsidRPr="000719FF" w:rsidRDefault="007508D2" w:rsidP="000D1E7B">
      <w:pPr>
        <w:rPr>
          <w:lang w:val="en-US" w:eastAsia="ar-SA"/>
        </w:rPr>
      </w:pPr>
    </w:p>
    <w:p w:rsidR="007508D2" w:rsidRPr="007508D2" w:rsidRDefault="007508D2" w:rsidP="007508D2">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31" w:name="_Toc194591511"/>
      <w:bookmarkStart w:id="32" w:name="_Hlk187325659"/>
      <w:bookmarkStart w:id="33" w:name="_Toc195695328"/>
      <w:r w:rsidRPr="007508D2">
        <w:rPr>
          <w:rFonts w:ascii="Arial" w:eastAsia="-moz-fixed" w:hAnsi="Arial" w:cs="-moz-fixed"/>
          <w:b/>
          <w:sz w:val="28"/>
          <w:szCs w:val="20"/>
          <w:lang w:val="en-US" w:eastAsia="ar-SA"/>
        </w:rPr>
        <w:t>Fuel breaks / PODs</w:t>
      </w:r>
      <w:bookmarkEnd w:id="31"/>
      <w:r w:rsidR="002D5BB0">
        <w:rPr>
          <w:rFonts w:ascii="Arial" w:eastAsia="-moz-fixed" w:hAnsi="Arial" w:cs="-moz-fixed"/>
          <w:b/>
          <w:sz w:val="28"/>
          <w:szCs w:val="20"/>
          <w:lang w:val="en-US" w:eastAsia="ar-SA"/>
        </w:rPr>
        <w:t xml:space="preserve"> /PCLs</w:t>
      </w:r>
      <w:bookmarkEnd w:id="33"/>
    </w:p>
    <w:p w:rsidR="00BD6F03" w:rsidRDefault="00BD6F03" w:rsidP="007508D2">
      <w:pPr>
        <w:suppressAutoHyphens/>
        <w:spacing w:line="240" w:lineRule="auto"/>
        <w:rPr>
          <w:rFonts w:eastAsia="-moz-fixed" w:cs="-moz-fixed"/>
          <w:szCs w:val="20"/>
          <w:lang w:val="en-US" w:eastAsia="ar-SA"/>
        </w:rPr>
      </w:pPr>
      <w:r>
        <w:rPr>
          <w:rFonts w:eastAsia="-moz-fixed" w:cs="-moz-fixed"/>
          <w:szCs w:val="20"/>
          <w:lang w:val="en-US" w:eastAsia="ar-SA"/>
        </w:rPr>
        <w:t xml:space="preserve">The EA says that </w:t>
      </w:r>
      <w:r w:rsidR="00941D73">
        <w:rPr>
          <w:rFonts w:eastAsia="-moz-fixed" w:cs="-moz-fixed"/>
          <w:szCs w:val="20"/>
          <w:lang w:val="en-US" w:eastAsia="ar-SA"/>
        </w:rPr>
        <w:t xml:space="preserve">852 acres of suitable spotted owl habitat will be subject to fuel treatment. This risk degrading habitat values for both owls and their prey. </w:t>
      </w:r>
      <w:r>
        <w:rPr>
          <w:rFonts w:eastAsia="-moz-fixed" w:cs="-moz-fixed"/>
          <w:szCs w:val="20"/>
          <w:lang w:val="en-US" w:eastAsia="ar-SA"/>
        </w:rPr>
        <w:t xml:space="preserve">It is important to avoid activities that would degrade suitable northern spotted owl habitat, including both RA32 other suitable habitat. </w:t>
      </w:r>
      <w:r w:rsidR="00941D73">
        <w:rPr>
          <w:rFonts w:eastAsia="-moz-fixed" w:cs="-moz-fixed"/>
          <w:szCs w:val="20"/>
          <w:lang w:val="en-US" w:eastAsia="ar-SA"/>
        </w:rPr>
        <w:t>The EA does not fully disclose those impacts and the EA fails to consider alternatives that would minimize or mitigate those impacts.</w:t>
      </w:r>
    </w:p>
    <w:p w:rsidR="00BD6F03" w:rsidRDefault="00BD6F03" w:rsidP="007508D2">
      <w:pPr>
        <w:suppressAutoHyphens/>
        <w:spacing w:line="240" w:lineRule="auto"/>
        <w:rPr>
          <w:rFonts w:eastAsia="-moz-fixed" w:cs="-moz-fixed"/>
          <w:szCs w:val="20"/>
          <w:lang w:val="en-US" w:eastAsia="ar-SA"/>
        </w:rPr>
      </w:pP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szCs w:val="20"/>
          <w:lang w:val="en-US" w:eastAsia="ar-SA"/>
        </w:rPr>
        <w:t xml:space="preserve">If used correctly, fuel breaks can be a useful tool for fire management. Done incorrectly they can make the situation worse, and cause a lot of unintended adverse trade-offs. </w:t>
      </w:r>
      <w:r w:rsidRPr="007508D2">
        <w:rPr>
          <w:rFonts w:eastAsia="-moz-fixed" w:cs="-moz-fixed"/>
          <w:lang w:val="en-US" w:eastAsia="ar-SA"/>
        </w:rPr>
        <w:t xml:space="preserve">Shaded fuel breaks </w:t>
      </w:r>
      <w:r w:rsidRPr="007508D2">
        <w:rPr>
          <w:rFonts w:eastAsia="-moz-fixed" w:cs="-moz-fixed"/>
          <w:lang w:val="en-US" w:eastAsia="ar-SA"/>
        </w:rPr>
        <w:lastRenderedPageBreak/>
        <w:t xml:space="preserve">implemented non-commercially with significant canopy retention may be an effective fuel treatment, IF they are maintained over time. If fuel breaks remove too much canopy and are accomplished with heavy equipment that disturbs too much soil, fuel breaks can stimulate the growth of hazardous fuels and weeds, making fire hazard worse instead of better, while making long-term maintenance more difficult and more expensive. </w:t>
      </w: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 xml:space="preserve">Fuel breaks can have significant trade-offs, including: spreading weeds through soil and canopy disturbance, habitat fragmentation and edge effects, exacerbating barriers to wildlife movement, impaired wildlife connectivity, loss of wildlife cover, loss of snag and dead wood habitat, facilitating unauthorized OHVs, increased carbon emissions, etc. NEPA analysis is needed to disclose and consider these trade-offs and develop alternatives that avoid, minimize, and mitigate adverse effects. </w:t>
      </w: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 xml:space="preserve">Fuel breaks are largely untested with potentially uncertain ecological effects. </w:t>
      </w:r>
    </w:p>
    <w:p w:rsidR="007508D2" w:rsidRPr="007508D2" w:rsidRDefault="007508D2" w:rsidP="007508D2">
      <w:pPr>
        <w:suppressAutoHyphens/>
        <w:spacing w:line="240" w:lineRule="auto"/>
        <w:ind w:left="720"/>
        <w:rPr>
          <w:rFonts w:eastAsia="-moz-fixed" w:cs="-moz-fixed"/>
          <w:lang w:val="en-US" w:eastAsia="ar-SA"/>
        </w:rPr>
      </w:pPr>
      <w:proofErr w:type="spellStart"/>
      <w:r w:rsidRPr="007508D2">
        <w:rPr>
          <w:rFonts w:eastAsia="-moz-fixed" w:cs="-moz-fixed"/>
          <w:lang w:val="en-US" w:eastAsia="ar-SA"/>
        </w:rPr>
        <w:t>Shinneman</w:t>
      </w:r>
      <w:proofErr w:type="spellEnd"/>
      <w:r w:rsidRPr="007508D2">
        <w:rPr>
          <w:rFonts w:eastAsia="-moz-fixed" w:cs="-moz-fixed"/>
          <w:lang w:val="en-US" w:eastAsia="ar-SA"/>
        </w:rPr>
        <w:t> </w:t>
      </w:r>
      <w:r w:rsidRPr="007508D2">
        <w:rPr>
          <w:rFonts w:eastAsia="-moz-fixed" w:cs="-moz-fixed"/>
          <w:i/>
          <w:iCs/>
          <w:lang w:val="en-US" w:eastAsia="ar-SA"/>
        </w:rPr>
        <w:t>et al</w:t>
      </w:r>
      <w:r w:rsidRPr="007508D2">
        <w:rPr>
          <w:rFonts w:eastAsia="-moz-fixed" w:cs="-moz-fixed"/>
          <w:lang w:val="en-US" w:eastAsia="ar-SA"/>
        </w:rPr>
        <w:t xml:space="preserve">. (2019) reported that there is little scientific information available regarding their [fuel breaks] ecological effects. They report that fuel breaks can: (1) directly alter ecosystems; (2) create edges and edge effects; (3) serve as vectors for wildlife movement and plant invasions; and (4) preemptively fragment otherwise contiguous sagebrush landscapes.  </w:t>
      </w: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 xml:space="preserve">Kauffman, </w:t>
      </w:r>
      <w:proofErr w:type="spellStart"/>
      <w:r w:rsidRPr="007508D2">
        <w:rPr>
          <w:rFonts w:eastAsia="-moz-fixed" w:cs="-moz-fixed"/>
          <w:lang w:val="en-US" w:eastAsia="ar-SA"/>
        </w:rPr>
        <w:t>Beschta</w:t>
      </w:r>
      <w:proofErr w:type="spellEnd"/>
      <w:r w:rsidRPr="007508D2">
        <w:rPr>
          <w:rFonts w:eastAsia="-moz-fixed" w:cs="-moz-fixed"/>
          <w:lang w:val="en-US" w:eastAsia="ar-SA"/>
        </w:rPr>
        <w:t xml:space="preserve"> et al 2020. Comments on Boise BLM’s Tri-State Fuel Break Project. 22 Dec 2020. </w:t>
      </w:r>
      <w:hyperlink r:id="rId177" w:history="1">
        <w:r w:rsidRPr="007508D2">
          <w:rPr>
            <w:rFonts w:eastAsia="-moz-fixed" w:cs="-moz-fixed"/>
            <w:color w:val="0000FF"/>
            <w:u w:val="single"/>
            <w:lang w:val="en-US" w:eastAsia="ar-SA"/>
          </w:rPr>
          <w:t>https://drive.google.com/open?id=1AEA3PTs31Sv_-RZZnMsduhHCb1hniZ_e</w:t>
        </w:r>
      </w:hyperlink>
      <w:r w:rsidRPr="007508D2">
        <w:rPr>
          <w:rFonts w:eastAsia="-moz-fixed" w:cs="-moz-fixed"/>
          <w:lang w:val="en-US" w:eastAsia="ar-SA"/>
        </w:rPr>
        <w:t xml:space="preserve"> </w:t>
      </w:r>
      <w:r w:rsidRPr="007508D2">
        <w:rPr>
          <w:rFonts w:eastAsia="-moz-fixed" w:cs="-moz-fixed"/>
          <w:i/>
          <w:lang w:val="en-US" w:eastAsia="ar-SA"/>
        </w:rPr>
        <w:t>citing</w:t>
      </w:r>
      <w:r w:rsidRPr="007508D2">
        <w:rPr>
          <w:rFonts w:eastAsia="-moz-fixed" w:cs="-moz-fixed"/>
          <w:lang w:val="en-US" w:eastAsia="ar-SA"/>
        </w:rPr>
        <w:t xml:space="preserve"> </w:t>
      </w:r>
      <w:proofErr w:type="spellStart"/>
      <w:r w:rsidRPr="007508D2">
        <w:rPr>
          <w:rFonts w:eastAsia="-moz-fixed" w:cs="-moz-fixed"/>
          <w:lang w:val="en-US" w:eastAsia="ar-SA"/>
        </w:rPr>
        <w:t>Shinneman</w:t>
      </w:r>
      <w:proofErr w:type="spellEnd"/>
      <w:r w:rsidRPr="007508D2">
        <w:rPr>
          <w:rFonts w:eastAsia="-moz-fixed" w:cs="-moz-fixed"/>
          <w:lang w:val="en-US" w:eastAsia="ar-SA"/>
        </w:rPr>
        <w:t xml:space="preserve">, Douglas J.; </w:t>
      </w:r>
      <w:proofErr w:type="spellStart"/>
      <w:r w:rsidRPr="007508D2">
        <w:rPr>
          <w:rFonts w:eastAsia="-moz-fixed" w:cs="-moz-fixed"/>
          <w:lang w:val="en-US" w:eastAsia="ar-SA"/>
        </w:rPr>
        <w:t>Germino</w:t>
      </w:r>
      <w:proofErr w:type="spellEnd"/>
      <w:r w:rsidRPr="007508D2">
        <w:rPr>
          <w:rFonts w:eastAsia="-moz-fixed" w:cs="-moz-fixed"/>
          <w:lang w:val="en-US" w:eastAsia="ar-SA"/>
        </w:rPr>
        <w:t xml:space="preserve">, Matthew J.; </w:t>
      </w:r>
      <w:proofErr w:type="spellStart"/>
      <w:r w:rsidRPr="007508D2">
        <w:rPr>
          <w:rFonts w:eastAsia="-moz-fixed" w:cs="-moz-fixed"/>
          <w:lang w:val="en-US" w:eastAsia="ar-SA"/>
        </w:rPr>
        <w:t>Pilliod</w:t>
      </w:r>
      <w:proofErr w:type="spellEnd"/>
      <w:r w:rsidRPr="007508D2">
        <w:rPr>
          <w:rFonts w:eastAsia="-moz-fixed" w:cs="-moz-fixed"/>
          <w:lang w:val="en-US" w:eastAsia="ar-SA"/>
        </w:rPr>
        <w:t xml:space="preserve">, David S.; Aldridge, Cameron L.; </w:t>
      </w:r>
      <w:proofErr w:type="spellStart"/>
      <w:r w:rsidRPr="007508D2">
        <w:rPr>
          <w:rFonts w:eastAsia="-moz-fixed" w:cs="-moz-fixed"/>
          <w:lang w:val="en-US" w:eastAsia="ar-SA"/>
        </w:rPr>
        <w:t>Vaillant</w:t>
      </w:r>
      <w:proofErr w:type="spellEnd"/>
      <w:r w:rsidRPr="007508D2">
        <w:rPr>
          <w:rFonts w:eastAsia="-moz-fixed" w:cs="-moz-fixed"/>
          <w:lang w:val="en-US" w:eastAsia="ar-SA"/>
        </w:rPr>
        <w:t xml:space="preserve">, Nicole M.; Coates, Peter S. 2019. The ecological uncertainty of wildfire fuel breaks: examples from the sagebrush steppe. Frontiers in Ecology and the Environment 17(5):279-288. </w:t>
      </w:r>
      <w:hyperlink r:id="rId178" w:history="1">
        <w:r w:rsidRPr="007508D2">
          <w:rPr>
            <w:rFonts w:eastAsia="-moz-fixed" w:cs="-moz-fixed"/>
            <w:color w:val="0000FF"/>
            <w:u w:val="single"/>
            <w:lang w:val="en-US" w:eastAsia="ar-SA"/>
          </w:rPr>
          <w:t>https://doi.org/10.1002/fee.2045</w:t>
        </w:r>
      </w:hyperlink>
      <w:r w:rsidRPr="007508D2">
        <w:rPr>
          <w:rFonts w:eastAsia="-moz-fixed" w:cs="-moz-fixed"/>
          <w:lang w:val="en-US" w:eastAsia="ar-SA"/>
        </w:rPr>
        <w:t>. (“Fuel breaks are increasingly being implemented at broad scales (100s to 10,000s of square kilometers) in fire</w:t>
      </w:r>
      <w:r w:rsidRPr="007508D2">
        <w:rPr>
          <w:rFonts w:ascii="Times New Roman" w:eastAsia="-moz-fixed" w:hAnsi="Times New Roman" w:cs="Times New Roman"/>
          <w:lang w:val="en-US" w:eastAsia="ar-SA"/>
        </w:rPr>
        <w:t>‐</w:t>
      </w:r>
      <w:r w:rsidRPr="007508D2">
        <w:rPr>
          <w:rFonts w:eastAsia="-moz-fixed" w:cs="-moz-fixed"/>
          <w:lang w:val="en-US" w:eastAsia="ar-SA"/>
        </w:rPr>
        <w:t xml:space="preserve">prone landscapes globally, yet there is little scientific information available regarding their ecological effects (e.g. habitat fragmentation). … Given uncertain outcomes, we examine how implementation of fuel breaks might (1) directly alter ecosystems, (2) create edges and edge effects, (3) serve as vectors for wildlife movement and plant invasions, (4) fragment otherwise contiguous sagebrush landscapes, and (5) benefit from scientific investigation intended to disentangle their ecological costs and benefits.”). See also </w:t>
      </w:r>
      <w:proofErr w:type="spellStart"/>
      <w:r w:rsidRPr="007508D2">
        <w:rPr>
          <w:rFonts w:eastAsia="-moz-fixed" w:cs="-moz-fixed"/>
          <w:lang w:val="en-US" w:eastAsia="ar-SA"/>
        </w:rPr>
        <w:t>Shinneman</w:t>
      </w:r>
      <w:proofErr w:type="spellEnd"/>
      <w:r w:rsidRPr="007508D2">
        <w:rPr>
          <w:rFonts w:eastAsia="-moz-fixed" w:cs="-moz-fixed"/>
          <w:lang w:val="en-US" w:eastAsia="ar-SA"/>
        </w:rPr>
        <w:t xml:space="preserve">, D.J., Aldridge, C.L., Coates, P.S., </w:t>
      </w:r>
      <w:proofErr w:type="spellStart"/>
      <w:r w:rsidRPr="007508D2">
        <w:rPr>
          <w:rFonts w:eastAsia="-moz-fixed" w:cs="-moz-fixed"/>
          <w:lang w:val="en-US" w:eastAsia="ar-SA"/>
        </w:rPr>
        <w:t>Germino</w:t>
      </w:r>
      <w:proofErr w:type="spellEnd"/>
      <w:r w:rsidRPr="007508D2">
        <w:rPr>
          <w:rFonts w:eastAsia="-moz-fixed" w:cs="-moz-fixed"/>
          <w:lang w:val="en-US" w:eastAsia="ar-SA"/>
        </w:rPr>
        <w:t xml:space="preserve">, M.J., </w:t>
      </w:r>
      <w:proofErr w:type="spellStart"/>
      <w:r w:rsidRPr="007508D2">
        <w:rPr>
          <w:rFonts w:eastAsia="-moz-fixed" w:cs="-moz-fixed"/>
          <w:lang w:val="en-US" w:eastAsia="ar-SA"/>
        </w:rPr>
        <w:t>Pilliod</w:t>
      </w:r>
      <w:proofErr w:type="spellEnd"/>
      <w:r w:rsidRPr="007508D2">
        <w:rPr>
          <w:rFonts w:eastAsia="-moz-fixed" w:cs="-moz-fixed"/>
          <w:lang w:val="en-US" w:eastAsia="ar-SA"/>
        </w:rPr>
        <w:t xml:space="preserve">, D.S., and </w:t>
      </w:r>
      <w:proofErr w:type="spellStart"/>
      <w:r w:rsidRPr="007508D2">
        <w:rPr>
          <w:rFonts w:eastAsia="-moz-fixed" w:cs="-moz-fixed"/>
          <w:lang w:val="en-US" w:eastAsia="ar-SA"/>
        </w:rPr>
        <w:t>Vaillant</w:t>
      </w:r>
      <w:proofErr w:type="spellEnd"/>
      <w:r w:rsidRPr="007508D2">
        <w:rPr>
          <w:rFonts w:eastAsia="-moz-fixed" w:cs="-moz-fixed"/>
          <w:lang w:val="en-US" w:eastAsia="ar-SA"/>
        </w:rPr>
        <w:t xml:space="preserve">, N.M., 2018, A conservation paradox in the Great Basin—Altering sagebrush landscapes with fuel breaks to reduce habitat loss from wildfire: U.S. Geological Survey Open-File Report 2018–1034, 70 p., </w:t>
      </w:r>
      <w:hyperlink r:id="rId179" w:history="1">
        <w:r w:rsidRPr="007508D2">
          <w:rPr>
            <w:rFonts w:eastAsia="-moz-fixed" w:cs="-moz-fixed"/>
            <w:color w:val="0000FF"/>
            <w:u w:val="single"/>
            <w:lang w:val="en-US" w:eastAsia="ar-SA"/>
          </w:rPr>
          <w:t>https://doi.org/10.3133/ofr20181034</w:t>
        </w:r>
      </w:hyperlink>
      <w:r w:rsidRPr="007508D2">
        <w:rPr>
          <w:rFonts w:eastAsia="-moz-fixed" w:cs="-moz-fixed"/>
          <w:lang w:val="en-US" w:eastAsia="ar-SA"/>
        </w:rPr>
        <w:t xml:space="preserve">. </w:t>
      </w: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pacing w:line="240" w:lineRule="auto"/>
        <w:contextualSpacing/>
        <w:rPr>
          <w:rFonts w:eastAsia="Cambria Math" w:cs="Times New Roman"/>
          <w:lang w:val="en-US" w:eastAsia="ar-SA"/>
        </w:rPr>
      </w:pPr>
      <w:r w:rsidRPr="007508D2">
        <w:rPr>
          <w:rFonts w:eastAsia="Times New Roman" w:cs="Times New Roman"/>
          <w:color w:val="000000"/>
          <w:lang w:val="en-US" w:eastAsia="ar-SA"/>
        </w:rPr>
        <w:t xml:space="preserve">PODs and fuel breaks should be explicitly planned and designed to facilitate the return of fire to the landscape, not to perpetuate the failed policy of continued suppression of wildfire. If the fuels breaks are intended for continued fire suppression, then the NEPA analysis should disclose the adverse environmental effects of that outdated policy. </w:t>
      </w:r>
      <w:r w:rsidRPr="007508D2">
        <w:rPr>
          <w:rFonts w:eastAsia="Cambria Math" w:cs="Times New Roman"/>
          <w:lang w:val="en-US" w:eastAsia="ar-SA"/>
        </w:rPr>
        <w:t xml:space="preserve">Timothy </w:t>
      </w:r>
      <w:proofErr w:type="spellStart"/>
      <w:r w:rsidRPr="007508D2">
        <w:rPr>
          <w:rFonts w:eastAsia="Cambria Math" w:cs="Times New Roman"/>
          <w:lang w:val="en-US" w:eastAsia="ar-SA"/>
        </w:rPr>
        <w:t>Ingalsbee</w:t>
      </w:r>
      <w:proofErr w:type="spellEnd"/>
      <w:r w:rsidRPr="007508D2">
        <w:rPr>
          <w:rFonts w:eastAsia="Cambria Math" w:cs="Times New Roman"/>
          <w:lang w:val="en-US" w:eastAsia="ar-SA"/>
        </w:rPr>
        <w:t xml:space="preserve"> 2005. Fuelbreaks for Wildland Fire Management: A Moat or a Drawbridge for Ecosystem Fire Restoration? Journal of Fire Ecology, Pages: 85-99. DOI:10.4996/fireecology.0101085.</w:t>
      </w:r>
      <w:r w:rsidRPr="007508D2">
        <w:rPr>
          <w:rFonts w:eastAsia="Cambria Math" w:cs="Cambria Math"/>
          <w:lang w:val="en-US" w:eastAsia="ar-SA"/>
        </w:rPr>
        <w:t xml:space="preserve"> </w:t>
      </w:r>
      <w:hyperlink r:id="rId180" w:history="1">
        <w:r w:rsidRPr="007508D2">
          <w:rPr>
            <w:rFonts w:eastAsia="Cambria Math" w:cs="Times New Roman"/>
            <w:color w:val="0000FF"/>
            <w:u w:val="single"/>
            <w:lang w:val="en-US" w:eastAsia="ar-SA"/>
          </w:rPr>
          <w:t>https://web.archive.org/web/20070818123112/http://www.fireecology.net/pdfs/7_ingalsbee.pdf</w:t>
        </w:r>
      </w:hyperlink>
      <w:r w:rsidRPr="007508D2">
        <w:rPr>
          <w:rFonts w:eastAsia="Cambria Math" w:cs="Times New Roman"/>
          <w:lang w:val="en-US" w:eastAsia="ar-SA"/>
        </w:rPr>
        <w:t>.</w:t>
      </w:r>
    </w:p>
    <w:p w:rsidR="007508D2" w:rsidRPr="007508D2" w:rsidRDefault="007508D2" w:rsidP="007508D2">
      <w:pPr>
        <w:suppressAutoHyphens/>
        <w:spacing w:line="240" w:lineRule="auto"/>
        <w:rPr>
          <w:rFonts w:eastAsia="-moz-fixed" w:cs="Times New Roman"/>
          <w:lang w:val="en-US" w:eastAsia="ar-SA"/>
        </w:rPr>
      </w:pPr>
    </w:p>
    <w:p w:rsidR="007508D2" w:rsidRPr="007508D2" w:rsidRDefault="007508D2" w:rsidP="007508D2">
      <w:pPr>
        <w:suppressAutoHyphens/>
        <w:spacing w:line="240" w:lineRule="auto"/>
        <w:rPr>
          <w:rFonts w:eastAsia="-moz-fixed" w:cs="Times New Roman"/>
          <w:lang w:val="en-US" w:eastAsia="ar-SA"/>
        </w:rPr>
      </w:pPr>
      <w:r w:rsidRPr="007508D2">
        <w:rPr>
          <w:rFonts w:eastAsia="-moz-fixed" w:cs="Times New Roman"/>
          <w:lang w:val="en-US" w:eastAsia="ar-SA"/>
        </w:rPr>
        <w:t>We think some of the trade-offs of shaded fuel breaks and PODs can be minimized by following guidelines, such as:</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 xml:space="preserve">Well-shaded fuel breaks will be much more effective than linear clearings. Maintaining a reasonably dense canopy will mitigate habitat fragmentation effects, as well as lower </w:t>
      </w:r>
      <w:r w:rsidRPr="007508D2">
        <w:rPr>
          <w:rFonts w:eastAsia="Cambria Math" w:cs="Times New Roman"/>
          <w:lang w:val="en-US" w:eastAsia="ar-SA"/>
        </w:rPr>
        <w:lastRenderedPageBreak/>
        <w:t>maintenance costs by suppressing growth of surface and ladder fuels. Focus on small (&lt;9” dbh) surface and ladder fuels within 150 feet of roads;</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 xml:space="preserve">Focus fuel break treatments near roads. Fire management goals can typically be met by focusing on small fuels within 150 feet from roads. In a survey of fuel breaks in California “average width of fuel breaks in this sample was 116.9 meters” </w:t>
      </w:r>
      <w:r w:rsidRPr="007508D2">
        <w:rPr>
          <w:rFonts w:eastAsia="Cambria Math"/>
          <w:color w:val="222222"/>
          <w:shd w:val="clear" w:color="auto" w:fill="FFFFFF"/>
          <w:lang w:val="en-US" w:eastAsia="ar-SA"/>
        </w:rPr>
        <w:t>which is ~59 meters each side of the road, or </w:t>
      </w:r>
      <w:r w:rsidRPr="007508D2">
        <w:rPr>
          <w:rFonts w:eastAsia="Cambria Math" w:cs="Times New Roman"/>
          <w:lang w:val="en-US" w:eastAsia="ar-SA"/>
        </w:rPr>
        <w:t>less than 200 feet from roads. Stephens, Collin, Omi, Johnson 2023. FINAL REPORT: Manager Perspectives on Fuel Break Effectiveness and Configurations.   JFSP PROJECT ID: 19-2-01,  March 2023.</w:t>
      </w:r>
      <w:r w:rsidRPr="007508D2">
        <w:rPr>
          <w:rFonts w:eastAsia="Cambria Math" w:cs="Cambria Math"/>
          <w:lang w:val="en-US" w:eastAsia="ar-SA"/>
        </w:rPr>
        <w:t xml:space="preserve"> </w:t>
      </w:r>
      <w:hyperlink r:id="rId181" w:history="1">
        <w:r w:rsidRPr="007508D2">
          <w:rPr>
            <w:rFonts w:eastAsia="Cambria Math" w:cs="Times New Roman"/>
            <w:color w:val="0000FF"/>
            <w:u w:val="single"/>
            <w:lang w:val="en-US" w:eastAsia="ar-SA"/>
          </w:rPr>
          <w:t>https://mcusercontent.com/5f6de7b069a57255f980944b4/files/68ab7c9b-a224-e68b-a3fa-97077e22b662/19_2_01_1.pdf</w:t>
        </w:r>
      </w:hyperlink>
      <w:r w:rsidRPr="007508D2">
        <w:rPr>
          <w:rFonts w:eastAsia="Cambria Math" w:cs="Times New Roman"/>
          <w:lang w:val="en-US" w:eastAsia="ar-SA"/>
        </w:rPr>
        <w:t xml:space="preserve">. </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Focus on treating plantations and previously logged stands. Avoid/minimize treating mature &amp; old-growth, riparian areas, and roadless/unroaded areas.</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Treatments in reserves and land allocations with an ecological mandate should be avoided where possible, and minimized/modified to retain more large wood and diverse vegetation to meet objectives for the RMP.</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Use manual treatments (hand felling, lop-and-scatter, burning small piles) instead of heavy equipment. This will protect soil, water quality, and fire resilient native plants;</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Retain dense, mid-to-high canopy to help maintain a cool, moist microclimate, retain fuel moisture, help suppress the growth of surface and ladder fuels (which also minimizes maintenance costs), and provide a bit more cover to mitigate for adverse effects on wildlife mobility;</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Retain deciduous hardwoods which can serve as heat sinks during fires;</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Cambria Math"/>
          <w:lang w:val="en-US" w:eastAsia="ar-SA"/>
        </w:rPr>
        <w:t>A</w:t>
      </w:r>
      <w:r w:rsidRPr="007508D2">
        <w:rPr>
          <w:rFonts w:eastAsia="Cambria Math" w:cs="Cambria Math"/>
          <w:color w:val="000000"/>
          <w:shd w:val="clear" w:color="auto" w:fill="FFFFFF"/>
          <w:lang w:val="en-US" w:eastAsia="ar-SA"/>
        </w:rPr>
        <w:t>djust prescriptions</w:t>
      </w:r>
      <w:r w:rsidRPr="007508D2">
        <w:rPr>
          <w:rFonts w:eastAsia="Cambria Math"/>
          <w:color w:val="000000"/>
          <w:shd w:val="clear" w:color="auto" w:fill="FFFFFF"/>
          <w:lang w:val="en-US" w:eastAsia="ar-SA"/>
        </w:rPr>
        <w:t xml:space="preserve"> in response to different forest types, retaining a bit more density in moist forest types, and a bit less in dry forest types</w:t>
      </w:r>
      <w:r w:rsidRPr="007508D2">
        <w:rPr>
          <w:rFonts w:eastAsia="Cambria Math" w:cs="Cambria Math"/>
          <w:color w:val="000000"/>
          <w:shd w:val="clear" w:color="auto" w:fill="FFFFFF"/>
          <w:lang w:val="en-US" w:eastAsia="ar-SA"/>
        </w:rPr>
        <w:t>;</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Retain important elements of diversity where possible, such as Pacific yew, and some patches of shrubs that produce berries, nuts, nectar, etc. (food for wildlife), and to provide intermittent opportunities for wildlife crossing the road;</w:t>
      </w:r>
    </w:p>
    <w:p w:rsidR="007508D2" w:rsidRPr="007508D2" w:rsidRDefault="007508D2" w:rsidP="007508D2">
      <w:pPr>
        <w:numPr>
          <w:ilvl w:val="0"/>
          <w:numId w:val="17"/>
        </w:numPr>
        <w:suppressAutoHyphens/>
        <w:spacing w:line="240" w:lineRule="auto"/>
        <w:contextualSpacing/>
        <w:rPr>
          <w:rFonts w:eastAsia="Cambria Math" w:cs="Times New Roman"/>
          <w:lang w:val="en-US" w:eastAsia="ar-SA"/>
        </w:rPr>
      </w:pPr>
      <w:r w:rsidRPr="007508D2">
        <w:rPr>
          <w:rFonts w:eastAsia="Cambria Math" w:cs="Times New Roman"/>
          <w:lang w:val="en-US" w:eastAsia="ar-SA"/>
        </w:rPr>
        <w:t>Consider and minimize the effects on large and small wildlife that need to cross roads. Opening the forest reduces cover and increases barriers to safe movement of wildlife;</w:t>
      </w:r>
    </w:p>
    <w:p w:rsidR="007508D2" w:rsidRPr="007508D2" w:rsidRDefault="007508D2" w:rsidP="007508D2">
      <w:pPr>
        <w:numPr>
          <w:ilvl w:val="0"/>
          <w:numId w:val="17"/>
        </w:numPr>
        <w:suppressAutoHyphens/>
        <w:spacing w:line="240" w:lineRule="auto"/>
        <w:contextualSpacing/>
        <w:rPr>
          <w:rFonts w:eastAsia="Times New Roman" w:cs="Times New Roman"/>
          <w:color w:val="000000"/>
          <w:lang w:val="en-US" w:eastAsia="ar-SA"/>
        </w:rPr>
      </w:pPr>
      <w:r w:rsidRPr="007508D2">
        <w:rPr>
          <w:rFonts w:eastAsia="Cambria Math" w:cs="Times New Roman"/>
          <w:lang w:val="en-US" w:eastAsia="ar-SA"/>
        </w:rPr>
        <w:t xml:space="preserve">Treat a well-planned network of roads that ideally create polygons with a high ratio of area/perimeter. Too much redundancy will create cumulative impacts. </w:t>
      </w:r>
      <w:r w:rsidRPr="007508D2">
        <w:rPr>
          <w:rFonts w:eastAsia="Times New Roman" w:cs="Times New Roman"/>
          <w:color w:val="000000"/>
          <w:lang w:val="en-US" w:eastAsia="ar-SA"/>
        </w:rPr>
        <w:t>Larger PODs have a more favorable ratio of area/perimeter, which reduces cumulative effects. Possibly consider smaller PODs within the WUI, and larger PODs further out. Reduce cumulative effects by avoiding redundant fuel breaks, e.g. avoid treating nearby parallel roads.</w:t>
      </w:r>
    </w:p>
    <w:p w:rsidR="007508D2" w:rsidRPr="007508D2" w:rsidRDefault="007508D2" w:rsidP="007508D2">
      <w:pPr>
        <w:numPr>
          <w:ilvl w:val="0"/>
          <w:numId w:val="17"/>
        </w:numPr>
        <w:suppressAutoHyphens/>
        <w:spacing w:line="240" w:lineRule="auto"/>
        <w:contextualSpacing/>
        <w:rPr>
          <w:rFonts w:eastAsia="Times New Roman" w:cs="Times New Roman"/>
          <w:color w:val="000000"/>
          <w:lang w:val="en-US" w:eastAsia="ar-SA"/>
        </w:rPr>
      </w:pPr>
      <w:r w:rsidRPr="007508D2">
        <w:rPr>
          <w:rFonts w:eastAsia="Times New Roman" w:cs="Times New Roman"/>
          <w:color w:val="000000"/>
          <w:lang w:val="en-US" w:eastAsia="ar-SA"/>
        </w:rPr>
        <w:t>Plan and account for recurring maintenance costs, e.g., manual thinning, prescribed fire, weed control, etc. Avoid commercial logging in the first instance because log values will not be a recurring feature of POD maintenance. The fuels removed should be smaller over time, not larger.</w:t>
      </w:r>
    </w:p>
    <w:p w:rsidR="007508D2" w:rsidRPr="007508D2" w:rsidRDefault="007508D2" w:rsidP="007508D2">
      <w:pPr>
        <w:numPr>
          <w:ilvl w:val="0"/>
          <w:numId w:val="17"/>
        </w:numPr>
        <w:suppressAutoHyphens/>
        <w:spacing w:line="240" w:lineRule="auto"/>
        <w:contextualSpacing/>
        <w:rPr>
          <w:rFonts w:eastAsia="Times New Roman" w:cs="Times New Roman"/>
          <w:color w:val="000000"/>
          <w:lang w:val="en-US" w:eastAsia="ar-SA"/>
        </w:rPr>
      </w:pPr>
      <w:r w:rsidRPr="007508D2">
        <w:rPr>
          <w:rFonts w:eastAsia="Times New Roman" w:cs="Times New Roman"/>
          <w:color w:val="000000"/>
          <w:lang w:val="en-US" w:eastAsia="ar-SA"/>
        </w:rPr>
        <w:t>PODs planning must be truly interdisciplinary, not just in name only.</w:t>
      </w:r>
    </w:p>
    <w:p w:rsidR="007508D2" w:rsidRPr="007508D2" w:rsidRDefault="007508D2" w:rsidP="007508D2">
      <w:pPr>
        <w:numPr>
          <w:ilvl w:val="0"/>
          <w:numId w:val="17"/>
        </w:numPr>
        <w:suppressAutoHyphens/>
        <w:spacing w:line="240" w:lineRule="auto"/>
        <w:contextualSpacing/>
        <w:rPr>
          <w:rFonts w:eastAsia="Times New Roman" w:cs="Times New Roman"/>
          <w:color w:val="000000"/>
          <w:lang w:val="en-US" w:eastAsia="ar-SA"/>
        </w:rPr>
      </w:pPr>
      <w:r w:rsidRPr="007508D2">
        <w:rPr>
          <w:rFonts w:eastAsia="Times New Roman" w:cs="Times New Roman"/>
          <w:color w:val="000000"/>
          <w:lang w:val="en-US" w:eastAsia="ar-SA"/>
        </w:rPr>
        <w:t>NEPA analysis of PODs should be both programmatic and site-specific.</w:t>
      </w:r>
    </w:p>
    <w:p w:rsidR="007508D2" w:rsidRPr="007508D2" w:rsidRDefault="007508D2" w:rsidP="007508D2">
      <w:pPr>
        <w:suppressAutoHyphens/>
        <w:spacing w:line="240" w:lineRule="auto"/>
        <w:rPr>
          <w:rFonts w:eastAsia="-moz-fixed" w:cs="Times New Roman"/>
          <w:lang w:val="en-US" w:eastAsia="ar-SA"/>
        </w:rPr>
      </w:pPr>
      <w:r w:rsidRPr="007508D2">
        <w:rPr>
          <w:rFonts w:eastAsia="-moz-fixed" w:cs="Times New Roman"/>
          <w:lang w:val="en-US" w:eastAsia="ar-SA"/>
        </w:rPr>
        <w:t>Please develop a NEPA alternative that follows these guidelines.</w:t>
      </w: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Times New Roman"/>
          <w:lang w:val="en-US" w:eastAsia="ar-SA"/>
        </w:rPr>
      </w:pPr>
      <w:r w:rsidRPr="007508D2">
        <w:rPr>
          <w:rFonts w:eastAsia="-moz-fixed" w:cs="Times New Roman"/>
          <w:lang w:val="en-US" w:eastAsia="ar-SA"/>
        </w:rPr>
        <w:t xml:space="preserve">The NEPA analysis should consider the environmental effects of connected actions, including recurring </w:t>
      </w:r>
      <w:r w:rsidRPr="007508D2">
        <w:rPr>
          <w:rFonts w:eastAsia="-moz-fixed" w:cs="-moz-fixed"/>
          <w:lang w:val="en-US" w:eastAsia="ar-SA"/>
        </w:rPr>
        <w:t>maintenance</w:t>
      </w:r>
      <w:r w:rsidRPr="007508D2">
        <w:rPr>
          <w:rFonts w:eastAsia="-moz-fixed" w:cs="Times New Roman"/>
          <w:lang w:val="en-US" w:eastAsia="ar-SA"/>
        </w:rPr>
        <w:t xml:space="preserve"> and fire suppression activities. The NEPA analysis should disclose the essential connection between fuelbreaks and fire suppression, and disclose what kinds of potential suppression activities, such as fireline construction with hand crews or bulldozers, fire retardant chemical dumping, backfire and burnout operations, hazard tree felling could occur within the fuelbreaks, and disclose the general effects on soils, watersheds, and species of interest.</w:t>
      </w:r>
    </w:p>
    <w:p w:rsidR="007508D2" w:rsidRPr="007508D2" w:rsidRDefault="007508D2" w:rsidP="007508D2">
      <w:pPr>
        <w:suppressAutoHyphens/>
        <w:spacing w:line="240" w:lineRule="auto"/>
        <w:rPr>
          <w:rFonts w:eastAsia="-moz-fixed" w:cs="Times New Roman"/>
          <w:lang w:val="en-US" w:eastAsia="ar-SA"/>
        </w:rPr>
      </w:pP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Weeds are a potential big problem with fuel breaks, especially the combination of frequent disturbance caused by recurring maintenance, and road use as a vector for weeds.</w:t>
      </w:r>
    </w:p>
    <w:p w:rsidR="007508D2" w:rsidRPr="007508D2" w:rsidRDefault="007508D2" w:rsidP="007508D2">
      <w:pPr>
        <w:suppressAutoHyphens/>
        <w:spacing w:line="240" w:lineRule="auto"/>
        <w:ind w:left="720"/>
        <w:rPr>
          <w:rFonts w:eastAsia="-moz-fixed" w:cs="-moz-fixed"/>
          <w:lang w:val="en-US" w:eastAsia="ar-SA"/>
        </w:rPr>
      </w:pPr>
      <w:r w:rsidRPr="007508D2">
        <w:rPr>
          <w:rFonts w:eastAsia="-moz-fixed" w:cs="-moz-fixed"/>
          <w:lang w:val="en-US" w:eastAsia="ar-SA"/>
        </w:rPr>
        <w:t>"[W]e found that 19 of the 24 fuel breaks had significantly higher relative nonnative cover than the adjacent wildland areas.... Time since construction was strongly associated with nonnative abundance when we evaluated all of the fuel breaks together.... A number of different species assumed dominance... suggesting that many nonnative species may be well adapted to take advantage of the conditions provided by fuel treatments.... [F]</w:t>
      </w:r>
      <w:proofErr w:type="spellStart"/>
      <w:r w:rsidRPr="007508D2">
        <w:rPr>
          <w:rFonts w:eastAsia="-moz-fixed" w:cs="-moz-fixed"/>
          <w:lang w:val="en-US" w:eastAsia="ar-SA"/>
        </w:rPr>
        <w:t>uel</w:t>
      </w:r>
      <w:proofErr w:type="spellEnd"/>
      <w:r w:rsidRPr="007508D2">
        <w:rPr>
          <w:rFonts w:eastAsia="-moz-fixed" w:cs="-moz-fixed"/>
          <w:lang w:val="en-US" w:eastAsia="ar-SA"/>
        </w:rPr>
        <w:t xml:space="preserve"> breaks with more canopy and ground cover may be less likely to be invaded.... We found that nonnative cover decreased with distance from the fuel break, suggesting that fuel breaks act as sources of nonnative plant seeds during the invasion of adjacent areas." </w:t>
      </w: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 xml:space="preserve">Merriam, K.E., Keeley, J.E., and </w:t>
      </w:r>
      <w:proofErr w:type="spellStart"/>
      <w:r w:rsidRPr="007508D2">
        <w:rPr>
          <w:rFonts w:eastAsia="-moz-fixed" w:cs="-moz-fixed"/>
          <w:lang w:val="en-US" w:eastAsia="ar-SA"/>
        </w:rPr>
        <w:t>Beyers</w:t>
      </w:r>
      <w:proofErr w:type="spellEnd"/>
      <w:r w:rsidRPr="007508D2">
        <w:rPr>
          <w:rFonts w:eastAsia="-moz-fixed" w:cs="-moz-fixed"/>
          <w:lang w:val="en-US" w:eastAsia="ar-SA"/>
        </w:rPr>
        <w:t xml:space="preserve">, J.L., 2007, The role of fuel breaks in the invasion of nonnative plants: U.S. Geological Survey Scientific Investigations Report 2006-5185, 69 p. </w:t>
      </w:r>
      <w:hyperlink r:id="rId182" w:anchor="_blank" w:history="1">
        <w:r w:rsidRPr="007508D2">
          <w:rPr>
            <w:rFonts w:eastAsia="-moz-fixed" w:cs="-moz-fixed"/>
            <w:color w:val="0000FF"/>
            <w:u w:val="single"/>
            <w:lang w:val="en-US" w:eastAsia="ar-SA"/>
          </w:rPr>
          <w:t>http://pubs.usgs.gov/sir/2006/5185/pdf/sir_2006-5185.pdf</w:t>
        </w:r>
      </w:hyperlink>
      <w:r w:rsidRPr="007508D2">
        <w:rPr>
          <w:rFonts w:eastAsia="-moz-fixed" w:cs="-moz-fixed"/>
          <w:lang w:val="en-US" w:eastAsia="ar-SA"/>
        </w:rPr>
        <w:t>.</w:t>
      </w:r>
    </w:p>
    <w:bookmarkEnd w:id="32"/>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moz-fixed"/>
          <w:lang w:val="en-US" w:eastAsia="ar-SA"/>
        </w:rPr>
      </w:pPr>
      <w:r w:rsidRPr="007508D2">
        <w:rPr>
          <w:rFonts w:eastAsia="-moz-fixed" w:cs="-moz-fixed"/>
          <w:lang w:val="en-US" w:eastAsia="ar-SA"/>
        </w:rPr>
        <w:t xml:space="preserve">In another publication, </w:t>
      </w:r>
      <w:r w:rsidRPr="007508D2">
        <w:rPr>
          <w:rFonts w:eastAsia="-moz-fixed" w:cs="-moz-fixed"/>
          <w:color w:val="000000"/>
          <w:lang w:val="en-US" w:eastAsia="ar-SA"/>
        </w:rPr>
        <w:t xml:space="preserve">the authors warn that fuel breaks are of unproven effectiveness in the face of extreme fire weather, and suggest that an extensive system of fuel breaks would “create edges and edge effects, serve as vectors for wildlife movement and plant invasions (like cheatgrass), and fragment otherwise contiguous sagebrush landscapes.” </w:t>
      </w:r>
      <w:r w:rsidRPr="007508D2">
        <w:rPr>
          <w:rFonts w:eastAsia="-moz-fixed" w:cs="-moz-fixed"/>
          <w:lang w:val="en-US" w:eastAsia="ar-SA"/>
        </w:rPr>
        <w:t xml:space="preserve">Douglas J </w:t>
      </w:r>
      <w:proofErr w:type="spellStart"/>
      <w:r w:rsidRPr="007508D2">
        <w:rPr>
          <w:rFonts w:eastAsia="-moz-fixed" w:cs="-moz-fixed"/>
          <w:lang w:val="en-US" w:eastAsia="ar-SA"/>
        </w:rPr>
        <w:t>Shinneman</w:t>
      </w:r>
      <w:proofErr w:type="spellEnd"/>
      <w:r w:rsidRPr="007508D2">
        <w:rPr>
          <w:rFonts w:eastAsia="-moz-fixed" w:cs="-moz-fixed"/>
          <w:lang w:val="en-US" w:eastAsia="ar-SA"/>
        </w:rPr>
        <w:t xml:space="preserve">, Matthew J </w:t>
      </w:r>
      <w:proofErr w:type="spellStart"/>
      <w:r w:rsidRPr="007508D2">
        <w:rPr>
          <w:rFonts w:eastAsia="-moz-fixed" w:cs="-moz-fixed"/>
          <w:lang w:val="en-US" w:eastAsia="ar-SA"/>
        </w:rPr>
        <w:t>Germino</w:t>
      </w:r>
      <w:proofErr w:type="spellEnd"/>
      <w:r w:rsidRPr="007508D2">
        <w:rPr>
          <w:rFonts w:eastAsia="-moz-fixed" w:cs="-moz-fixed"/>
          <w:lang w:val="en-US" w:eastAsia="ar-SA"/>
        </w:rPr>
        <w:t xml:space="preserve">, David S </w:t>
      </w:r>
      <w:proofErr w:type="spellStart"/>
      <w:r w:rsidRPr="007508D2">
        <w:rPr>
          <w:rFonts w:eastAsia="-moz-fixed" w:cs="-moz-fixed"/>
          <w:lang w:val="en-US" w:eastAsia="ar-SA"/>
        </w:rPr>
        <w:t>Pilliod</w:t>
      </w:r>
      <w:proofErr w:type="spellEnd"/>
      <w:r w:rsidRPr="007508D2">
        <w:rPr>
          <w:rFonts w:eastAsia="-moz-fixed" w:cs="-moz-fixed"/>
          <w:lang w:val="en-US" w:eastAsia="ar-SA"/>
        </w:rPr>
        <w:t xml:space="preserve">, Cameron L Aldridge, Nicole M </w:t>
      </w:r>
      <w:proofErr w:type="spellStart"/>
      <w:r w:rsidRPr="007508D2">
        <w:rPr>
          <w:rFonts w:eastAsia="-moz-fixed" w:cs="-moz-fixed"/>
          <w:lang w:val="en-US" w:eastAsia="ar-SA"/>
        </w:rPr>
        <w:t>Vaillant</w:t>
      </w:r>
      <w:proofErr w:type="spellEnd"/>
      <w:r w:rsidRPr="007508D2">
        <w:rPr>
          <w:rFonts w:eastAsia="-moz-fixed" w:cs="-moz-fixed"/>
          <w:lang w:val="en-US" w:eastAsia="ar-SA"/>
        </w:rPr>
        <w:t xml:space="preserve">, Peter S Coates 2019. The ecological uncertainty of wildfire fuel breaks: examples from the sagebrush steppe. Frontiers in Ecology and Management. Vol 17, Issue 5, June 2019. Pages 279-288. </w:t>
      </w:r>
      <w:hyperlink r:id="rId183" w:history="1">
        <w:r w:rsidRPr="007508D2">
          <w:rPr>
            <w:rFonts w:eastAsia="-moz-fixed" w:cs="-moz-fixed"/>
            <w:color w:val="0000FF"/>
            <w:u w:val="single"/>
            <w:lang w:val="en-US" w:eastAsia="ar-SA"/>
          </w:rPr>
          <w:t>https://esajournals.onlinelibrary.wiley.com/doi/pdf/10.1002/fee.2045</w:t>
        </w:r>
      </w:hyperlink>
      <w:r w:rsidRPr="007508D2">
        <w:rPr>
          <w:rFonts w:eastAsia="-moz-fixed" w:cs="-moz-fixed"/>
          <w:lang w:val="en-US" w:eastAsia="ar-SA"/>
        </w:rPr>
        <w:t xml:space="preserve"> (“Given uncertain outcomes, we examine how implementation of fuel breaks might (1) directly alter ecosystems, (2) create edges and edge effects, (3) serve as vectors for wildlife movement and plant invasions, (4) fragment otherwise contiguous sagebrush landscapes, and (5) benefit from scientific investigation intended to disentangle their ecological costs and benefits.”).</w:t>
      </w:r>
    </w:p>
    <w:p w:rsidR="007508D2" w:rsidRPr="007508D2" w:rsidRDefault="007508D2" w:rsidP="007508D2">
      <w:pPr>
        <w:suppressAutoHyphens/>
        <w:spacing w:line="240" w:lineRule="auto"/>
        <w:rPr>
          <w:rFonts w:eastAsia="-moz-fixed" w:cs="-moz-fixed"/>
          <w:lang w:val="en-US" w:eastAsia="ar-SA"/>
        </w:rPr>
      </w:pPr>
    </w:p>
    <w:p w:rsidR="007508D2" w:rsidRPr="007508D2" w:rsidRDefault="007508D2" w:rsidP="007508D2">
      <w:pPr>
        <w:suppressAutoHyphens/>
        <w:spacing w:line="240" w:lineRule="auto"/>
        <w:rPr>
          <w:rFonts w:eastAsia="-moz-fixed" w:cs="Times New Roman"/>
          <w:lang w:val="en-US" w:eastAsia="ar-SA"/>
        </w:rPr>
      </w:pPr>
      <w:r w:rsidRPr="007508D2">
        <w:rPr>
          <w:rFonts w:eastAsia="-moz-fixed" w:cs="-moz-fixed"/>
          <w:lang w:val="en-US" w:eastAsia="ar-SA"/>
        </w:rPr>
        <w:t xml:space="preserve">Fuel breaks can incrementally serve a variety of potential purposes during fire suppression efforts, however in a survey of fuel breaks in California “… only four first stopped at the fuel break without aid from suppression resources, while 29 either required the use of suppression resources or failed, which is in agreement with previous research …” In testing various fuel break configurations, the authors found, “In the fuel break only scenario, all model runs showed a slight increase in burn probability in the near vicinity of the fuel break. … likely due to the increase in light and flashy fuels in the fuel break area. … The final modeling scenario of a simulated firing operation shows large decreases in burn probability on the lee side of all fuel breaks.” </w:t>
      </w:r>
      <w:r w:rsidRPr="007508D2">
        <w:rPr>
          <w:rFonts w:eastAsia="-moz-fixed" w:cs="Times New Roman"/>
          <w:lang w:val="en-US" w:eastAsia="ar-SA"/>
        </w:rPr>
        <w:t xml:space="preserve">Stephens, Collin, Omi, Johnson 2023. FINAL REPORT: Manager Perspectives on Fuel Break Effectiveness and Configurations.   JFSP PROJECT ID: 19-2-01,  March 2023. </w:t>
      </w:r>
      <w:hyperlink r:id="rId184" w:history="1">
        <w:r w:rsidRPr="007508D2">
          <w:rPr>
            <w:rFonts w:eastAsia="-moz-fixed" w:cs="Times New Roman"/>
            <w:color w:val="0000FF"/>
            <w:u w:val="single"/>
            <w:lang w:val="en-US" w:eastAsia="ar-SA"/>
          </w:rPr>
          <w:t>https://mcusercontent.com/5f6de7b069a57255f980944b4/files/68ab7c9b-a224-e68b-a3fa-97077e22b662/19_2_01_1.pdf</w:t>
        </w:r>
      </w:hyperlink>
      <w:r w:rsidRPr="007508D2">
        <w:rPr>
          <w:rFonts w:eastAsia="-moz-fixed" w:cs="Times New Roman"/>
          <w:lang w:val="en-US" w:eastAsia="ar-SA"/>
        </w:rPr>
        <w:t xml:space="preserve">. The effectiveness of fuel breaks depends a lot on whether they are used as firing lines for burnout operations. </w:t>
      </w:r>
    </w:p>
    <w:p w:rsidR="007508D2" w:rsidRPr="007508D2" w:rsidRDefault="007508D2" w:rsidP="007508D2">
      <w:pPr>
        <w:suppressAutoHyphens/>
        <w:spacing w:line="240" w:lineRule="auto"/>
        <w:rPr>
          <w:rFonts w:eastAsia="-moz-fixed" w:cs="Times New Roman"/>
          <w:lang w:val="en-US" w:eastAsia="ar-SA"/>
        </w:rPr>
      </w:pPr>
    </w:p>
    <w:p w:rsidR="007508D2" w:rsidRPr="007508D2" w:rsidRDefault="007508D2" w:rsidP="007508D2">
      <w:pPr>
        <w:suppressAutoHyphens/>
        <w:spacing w:line="240" w:lineRule="auto"/>
        <w:rPr>
          <w:rFonts w:eastAsia="-moz-fixed" w:cs="-moz-fixed"/>
          <w:color w:val="292526"/>
          <w:szCs w:val="24"/>
          <w:lang w:val="en-US" w:eastAsia="ar-SA"/>
        </w:rPr>
      </w:pPr>
      <w:r w:rsidRPr="007508D2">
        <w:rPr>
          <w:rFonts w:eastAsia="-moz-fixed" w:cs="-moz-fixed"/>
          <w:szCs w:val="24"/>
          <w:lang w:val="en-US" w:eastAsia="ar-SA"/>
        </w:rPr>
        <w:t>The efficacy of fuel breaks needs to be closely examined.</w:t>
      </w:r>
    </w:p>
    <w:p w:rsidR="007508D2" w:rsidRPr="007508D2" w:rsidRDefault="007508D2" w:rsidP="007508D2">
      <w:pPr>
        <w:suppressAutoHyphens/>
        <w:autoSpaceDE w:val="0"/>
        <w:spacing w:line="240" w:lineRule="auto"/>
        <w:ind w:left="720"/>
        <w:rPr>
          <w:rFonts w:eastAsia="-moz-fixed" w:cs="-moz-fixed"/>
          <w:color w:val="000000"/>
          <w:szCs w:val="24"/>
          <w:lang w:val="en-US" w:eastAsia="ar-SA"/>
        </w:rPr>
      </w:pPr>
      <w:r w:rsidRPr="007508D2">
        <w:rPr>
          <w:rFonts w:eastAsia="-moz-fixed" w:cs="-moz-fixed"/>
          <w:color w:val="292526"/>
          <w:szCs w:val="24"/>
          <w:lang w:val="en-US" w:eastAsia="ar-SA"/>
        </w:rPr>
        <w:t xml:space="preserve">…fuel break performance and benefit is based on the questionable expectation that fire suppression will be capable of “stopping” fires after initial attack fails (see Expectations above). Large fires escape initial attack for many reasons that include resource scarcity due to high numbers of ignitions, and spotting and crown fire behaviors that make holding a pre-defined position by firefighters untenable and perhaps dangerous. Furthermore, the only firefighting tactics supported by fuel breaks are categorized as “indirect” (Brown and Davis 1973). This means that the rest of firefighting tactics (direct </w:t>
      </w:r>
      <w:r w:rsidRPr="007508D2">
        <w:rPr>
          <w:rFonts w:eastAsia="-moz-fixed" w:cs="-moz-fixed"/>
          <w:color w:val="292526"/>
          <w:szCs w:val="24"/>
          <w:lang w:val="en-US" w:eastAsia="ar-SA"/>
        </w:rPr>
        <w:lastRenderedPageBreak/>
        <w:t>attack and parallel attack) are not enhanced regardless of the current fire behavior or fire position on the landscape relative to the location of the fuel break. A large fire that slows before reaching a fuel break (because of a change in weather conditions, nighttime, etc.) must be attacked (by direct or parallel tactics) with no benefit of the fuel break. Utilizing fuel breaks involves a large burnout operation, which may be of a size equal to the original wildfire, take place regardless of the fire behavior at its current location, and produce negative effects on wildland vegetation greater than the original wildfire. Maintenance costs of fuel breaks are often ignored by proponents but maintenance is a perpetual burden that is likely to divert efforts from managing fuels and vegetation on the remaining majority of the landscape.</w:t>
      </w:r>
    </w:p>
    <w:p w:rsidR="007508D2" w:rsidRPr="007508D2" w:rsidRDefault="007508D2" w:rsidP="007508D2">
      <w:pPr>
        <w:suppressAutoHyphens/>
        <w:autoSpaceDE w:val="0"/>
        <w:spacing w:line="240" w:lineRule="auto"/>
        <w:ind w:left="720"/>
        <w:rPr>
          <w:rFonts w:eastAsia="-moz-fixed" w:cs="-moz-fixed"/>
          <w:color w:val="000000"/>
          <w:szCs w:val="24"/>
          <w:lang w:val="en-US" w:eastAsia="ar-SA"/>
        </w:rPr>
      </w:pPr>
      <w:r w:rsidRPr="007508D2">
        <w:rPr>
          <w:rFonts w:eastAsia="-moz-fixed" w:cs="-moz-fixed"/>
          <w:color w:val="000000"/>
          <w:szCs w:val="24"/>
          <w:lang w:val="en-US" w:eastAsia="ar-SA"/>
        </w:rPr>
        <w:t>…</w:t>
      </w:r>
    </w:p>
    <w:p w:rsidR="007508D2" w:rsidRPr="007508D2" w:rsidRDefault="007508D2" w:rsidP="007508D2">
      <w:pPr>
        <w:suppressAutoHyphens/>
        <w:autoSpaceDE w:val="0"/>
        <w:spacing w:line="240" w:lineRule="auto"/>
        <w:ind w:left="720"/>
        <w:rPr>
          <w:rFonts w:eastAsia="-moz-fixed" w:cs="-moz-fixed"/>
          <w:color w:val="000000"/>
          <w:szCs w:val="24"/>
          <w:lang w:val="en-US" w:eastAsia="ar-SA"/>
        </w:rPr>
      </w:pPr>
      <w:r w:rsidRPr="007508D2">
        <w:rPr>
          <w:rFonts w:eastAsia="-moz-fixed" w:cs="-moz-fixed"/>
          <w:color w:val="000000"/>
          <w:szCs w:val="24"/>
          <w:lang w:val="en-US" w:eastAsia="ar-SA"/>
        </w:rPr>
        <w:t>Evidence that fuel breaks surrounding urban zones are sufficient to reduce threats to urban values is lacking. Because of their location on the periphery of wildlands, fuel breaks cannot reduce losses of wildland values associated with a community. Although it is commonly argued that fuel breaks will reduce wildfire intensities adjacent to residential development and thereby allows firefighters to protect homes, wildland-urban fire disasters tend to occur during severe fire conditions when fire behavior characteristics often overwhelm fire protection resources.</w:t>
      </w:r>
    </w:p>
    <w:p w:rsidR="00F616EF" w:rsidRPr="00F616EF" w:rsidRDefault="007508D2" w:rsidP="00F616EF">
      <w:pPr>
        <w:suppressAutoHyphens/>
        <w:autoSpaceDE w:val="0"/>
        <w:spacing w:line="240" w:lineRule="auto"/>
        <w:rPr>
          <w:rFonts w:eastAsia="-moz-fixed" w:cs="-moz-fixed"/>
          <w:szCs w:val="20"/>
          <w:lang w:val="en-US" w:eastAsia="ar-SA"/>
        </w:rPr>
      </w:pPr>
      <w:r w:rsidRPr="007508D2">
        <w:rPr>
          <w:rFonts w:eastAsia="-moz-fixed" w:cs="-moz-fixed"/>
          <w:color w:val="000000"/>
          <w:szCs w:val="24"/>
          <w:lang w:val="en-US" w:eastAsia="ar-SA"/>
        </w:rPr>
        <w:t xml:space="preserve">Finney and Cohen. 2003. Expectation and Evaluation of Fuel Management Objectives. USDA Forest Service Proceedings RMRS-P-29. </w:t>
      </w:r>
      <w:hyperlink r:id="rId185" w:history="1">
        <w:r w:rsidRPr="007508D2">
          <w:rPr>
            <w:rFonts w:eastAsia="-moz-fixed" w:cs="-moz-fixed"/>
            <w:color w:val="0000FF"/>
            <w:szCs w:val="24"/>
            <w:u w:val="single"/>
            <w:lang w:val="en-US" w:eastAsia="ar-SA"/>
          </w:rPr>
          <w:t>http://www.fs.usda.gov/rm/pubs/rmrs_p029/rmrs_p029_351_366.pdf</w:t>
        </w:r>
      </w:hyperlink>
      <w:r w:rsidRPr="007508D2">
        <w:rPr>
          <w:rFonts w:eastAsia="-moz-fixed" w:cs="-moz-fixed"/>
          <w:color w:val="000000"/>
          <w:szCs w:val="24"/>
          <w:lang w:val="en-US" w:eastAsia="ar-SA"/>
        </w:rPr>
        <w:t xml:space="preserve"> </w:t>
      </w:r>
    </w:p>
    <w:p w:rsidR="00F616EF" w:rsidRDefault="00F616EF"/>
    <w:p w:rsidR="00F616EF" w:rsidRPr="00F616EF" w:rsidRDefault="00F616EF" w:rsidP="00F616EF">
      <w:pPr>
        <w:keepNext/>
        <w:numPr>
          <w:ilvl w:val="1"/>
          <w:numId w:val="0"/>
        </w:numPr>
        <w:tabs>
          <w:tab w:val="num" w:pos="0"/>
          <w:tab w:val="left" w:pos="7110"/>
        </w:tabs>
        <w:suppressAutoHyphens/>
        <w:spacing w:line="240" w:lineRule="auto"/>
        <w:ind w:left="576" w:hanging="576"/>
        <w:outlineLvl w:val="1"/>
        <w:rPr>
          <w:rFonts w:ascii="Arial" w:eastAsia="-moz-fixed" w:hAnsi="Arial" w:cs="-moz-fixed"/>
          <w:b/>
          <w:sz w:val="28"/>
          <w:szCs w:val="24"/>
          <w:lang w:val="en-US" w:eastAsia="ar-SA"/>
        </w:rPr>
      </w:pPr>
      <w:bookmarkStart w:id="34" w:name="_Toc194591212"/>
      <w:bookmarkStart w:id="35" w:name="_Toc195695329"/>
      <w:r w:rsidRPr="00F616EF">
        <w:rPr>
          <w:rFonts w:ascii="Arial" w:eastAsia="-moz-fixed" w:hAnsi="Arial" w:cs="-moz-fixed"/>
          <w:b/>
          <w:sz w:val="28"/>
          <w:szCs w:val="20"/>
          <w:lang w:val="en-US" w:eastAsia="ar-SA"/>
        </w:rPr>
        <w:t>Logging habitat to save it from fire.</w:t>
      </w:r>
      <w:bookmarkEnd w:id="34"/>
      <w:bookmarkEnd w:id="35"/>
    </w:p>
    <w:p w:rsidR="00F616EF" w:rsidRDefault="00F616EF" w:rsidP="00F616EF">
      <w:r>
        <w:t xml:space="preserve">The EA (p 47) says that the fuel breaks will degrade late successional habitat but also benefit late successional habitat: “fuels treatments can benefit other forest species in the long term if wildfire spread and fire risks to adjacent older stands are reduced, which could be much greater than the 852 acres that would be affected.” This is misleading unsupported by evidence or </w:t>
      </w:r>
      <w:proofErr w:type="spellStart"/>
      <w:r>
        <w:t>analaysis</w:t>
      </w:r>
      <w:proofErr w:type="spellEnd"/>
      <w:r>
        <w:t>.</w:t>
      </w:r>
    </w:p>
    <w:p w:rsidR="00F616EF" w:rsidRPr="00F616EF" w:rsidRDefault="00F616EF" w:rsidP="00F616EF">
      <w:pPr>
        <w:tabs>
          <w:tab w:val="left" w:pos="7110"/>
        </w:tabs>
        <w:suppressAutoHyphens/>
        <w:spacing w:before="100" w:after="100" w:line="240" w:lineRule="auto"/>
        <w:rPr>
          <w:rFonts w:eastAsia="-moz-fixed" w:cs="-moz-fixed"/>
          <w:szCs w:val="24"/>
          <w:lang w:val="en-US" w:eastAsia="ar-SA"/>
        </w:rPr>
      </w:pPr>
      <w:r w:rsidRPr="00F616EF">
        <w:rPr>
          <w:rFonts w:eastAsia="-moz-fixed" w:cs="-moz-fixed"/>
          <w:szCs w:val="24"/>
          <w:lang w:val="en-US" w:eastAsia="ar-SA"/>
        </w:rPr>
        <w:t xml:space="preserve">When logging intended to benefit habitat will also reduce the quality of habitat, the NEPA analysis must include some evaluation of ecological costs and benefits — e.g., the probability that logging will degrade habitat vs. the probability that fuel reduction treatments will interact favorably with fire and thus benefit habitat. This evaluation requires an estimate of the probability of future wildfire. To assume, as many analyses do, a 100% chance of future wildfire over-estimates the likelihood of treatments will interact with fire, thus over-estimating the ecological value of fuel treatments, and under-estimating the ecological effects of logging on habitat. See Heiken, D. 2010. Log it to save it? The search for an ecological rationale for fuel reduction logging in Spotted Owl habitat. Oregon Wild. v 1.0. May 2010. </w:t>
      </w:r>
      <w:hyperlink r:id="rId186" w:history="1">
        <w:r w:rsidRPr="00F616EF">
          <w:rPr>
            <w:rFonts w:eastAsia="-moz-fixed" w:cs="-moz-fixed"/>
            <w:color w:val="0000FF"/>
            <w:szCs w:val="24"/>
            <w:u w:val="single"/>
            <w:lang w:val="en-US" w:eastAsia="ar-SA"/>
          </w:rPr>
          <w:t>https://www.dropbox.com/s/pi15rap4nvwxhtt/Heiken_Log_it_to_save_it_v.1.0.pdf?dl=0</w:t>
        </w:r>
      </w:hyperlink>
      <w:r w:rsidRPr="00F616EF">
        <w:rPr>
          <w:rFonts w:eastAsia="-moz-fixed" w:cs="-moz-fixed"/>
          <w:szCs w:val="24"/>
          <w:lang w:val="en-US" w:eastAsia="ar-SA"/>
        </w:rPr>
        <w:t>.</w:t>
      </w: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There is a strong interest among the federal land management agencies to conduct widespread logging in suitable spotted owl habitat in order to reduce the effect of fire. The agencies view fuel reduction logging as beneficial to owl habitat because some modeling shows that fire behavior is moderated by fuel reduction, but proponents never seem to conduct a careful evaluation of the relative probability, and the relative harms, of logging versus wildfire. A careful analysis shows that logging to control fire and expecting to benefit spotted owl habitat is analogous to rolling a die and expecting to roll a six every time.</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This is an example of the “base rate fallacy” or “neglecting priors” from Bayesian statistics. The probability of a forest stand NOT burning are far greater than the probability of a forest stand burning. Attempts to address a problem that is unlikely to occur, such as by thinning a forest </w:t>
      </w:r>
      <w:r w:rsidRPr="00F616EF">
        <w:rPr>
          <w:rFonts w:eastAsia="-moz-fixed" w:cs="-moz-fixed"/>
          <w:szCs w:val="24"/>
          <w:lang w:val="en-US" w:eastAsia="ar-SA"/>
        </w:rPr>
        <w:lastRenderedPageBreak/>
        <w:t xml:space="preserve">that is unlikely to burn, runs a high risk that unintended negative effects will overwhelm beneficial effects. </w:t>
      </w:r>
      <w:hyperlink r:id="rId187" w:history="1">
        <w:r w:rsidRPr="00F616EF">
          <w:rPr>
            <w:rFonts w:eastAsia="-moz-fixed" w:cs="-moz-fixed"/>
            <w:color w:val="0000FF"/>
            <w:szCs w:val="24"/>
            <w:u w:val="single"/>
            <w:lang w:val="en-US" w:eastAsia="ar-SA"/>
          </w:rPr>
          <w:t>https://en.wikipedia.org/wiki/Base_rate_fallacy</w:t>
        </w:r>
      </w:hyperlink>
      <w:r w:rsidRPr="00F616EF">
        <w:rPr>
          <w:rFonts w:eastAsia="-moz-fixed" w:cs="-moz-fixed"/>
          <w:szCs w:val="24"/>
          <w:lang w:val="en-US" w:eastAsia="ar-SA"/>
        </w:rPr>
        <w:t xml:space="preserve"> Tips for avoiding the pitfalls ignoring Bayesian thinking include:</w:t>
      </w:r>
    </w:p>
    <w:p w:rsidR="00F616EF" w:rsidRPr="00F616EF" w:rsidRDefault="00F616EF" w:rsidP="00F616EF">
      <w:pPr>
        <w:numPr>
          <w:ilvl w:val="0"/>
          <w:numId w:val="21"/>
        </w:numPr>
        <w:tabs>
          <w:tab w:val="left" w:pos="720"/>
        </w:tabs>
        <w:suppressAutoHyphens/>
        <w:spacing w:line="240" w:lineRule="auto"/>
        <w:rPr>
          <w:rFonts w:eastAsia="-moz-fixed" w:cs="-moz-fixed"/>
          <w:szCs w:val="24"/>
          <w:lang w:val="en-US" w:eastAsia="ar-SA"/>
        </w:rPr>
      </w:pPr>
      <w:r w:rsidRPr="00F616EF">
        <w:rPr>
          <w:rFonts w:eastAsia="-moz-fixed" w:cs="-moz-fixed"/>
          <w:szCs w:val="24"/>
          <w:lang w:val="en-US" w:eastAsia="ar-SA"/>
        </w:rPr>
        <w:t>Remember prior/background probability of events/contingencies.</w:t>
      </w:r>
    </w:p>
    <w:p w:rsidR="00F616EF" w:rsidRPr="00F616EF" w:rsidRDefault="00F616EF" w:rsidP="00F616EF">
      <w:pPr>
        <w:numPr>
          <w:ilvl w:val="0"/>
          <w:numId w:val="21"/>
        </w:numPr>
        <w:tabs>
          <w:tab w:val="left" w:pos="720"/>
        </w:tabs>
        <w:suppressAutoHyphens/>
        <w:spacing w:line="240" w:lineRule="auto"/>
        <w:rPr>
          <w:rFonts w:eastAsia="-moz-fixed" w:cs="-moz-fixed"/>
          <w:szCs w:val="24"/>
          <w:lang w:val="en-US" w:eastAsia="ar-SA"/>
        </w:rPr>
      </w:pPr>
      <w:r w:rsidRPr="00F616EF">
        <w:rPr>
          <w:rFonts w:eastAsia="-moz-fixed" w:cs="-moz-fixed"/>
          <w:szCs w:val="24"/>
          <w:lang w:val="en-US" w:eastAsia="ar-SA"/>
        </w:rPr>
        <w:t>Imagine your theory of the situation is wrong. How would the world look different? Consider the no action alternative.</w:t>
      </w:r>
    </w:p>
    <w:p w:rsidR="00F616EF" w:rsidRPr="00F616EF" w:rsidRDefault="00F616EF" w:rsidP="00F616EF">
      <w:pPr>
        <w:numPr>
          <w:ilvl w:val="0"/>
          <w:numId w:val="21"/>
        </w:numPr>
        <w:tabs>
          <w:tab w:val="left" w:pos="720"/>
        </w:tabs>
        <w:suppressAutoHyphens/>
        <w:spacing w:line="240" w:lineRule="auto"/>
        <w:rPr>
          <w:rFonts w:eastAsia="-moz-fixed" w:cs="-moz-fixed"/>
          <w:szCs w:val="24"/>
          <w:lang w:val="en-US" w:eastAsia="ar-SA"/>
        </w:rPr>
      </w:pPr>
      <w:r w:rsidRPr="00F616EF">
        <w:rPr>
          <w:rFonts w:eastAsia="-moz-fixed" w:cs="-moz-fixed"/>
          <w:szCs w:val="24"/>
          <w:lang w:val="en-US" w:eastAsia="ar-SA"/>
        </w:rPr>
        <w:t>Update incrementally. New data points should lead to small changes in thinking not wholesale reversals</w:t>
      </w:r>
    </w:p>
    <w:p w:rsidR="00F616EF" w:rsidRPr="00F616EF" w:rsidRDefault="00F616EF" w:rsidP="00F616EF">
      <w:pPr>
        <w:tabs>
          <w:tab w:val="left" w:pos="7110"/>
        </w:tabs>
        <w:suppressAutoHyphens/>
        <w:spacing w:line="240" w:lineRule="auto"/>
        <w:rPr>
          <w:rFonts w:eastAsia="-moz-fixed" w:cs="-moz-fixed"/>
          <w:szCs w:val="24"/>
          <w:lang w:val="en-US" w:eastAsia="ar-SA"/>
        </w:rPr>
      </w:pPr>
      <w:hyperlink r:id="rId188" w:history="1">
        <w:r w:rsidRPr="00F616EF">
          <w:rPr>
            <w:rFonts w:eastAsia="-moz-fixed" w:cs="-moz-fixed"/>
            <w:color w:val="0000FF"/>
            <w:szCs w:val="24"/>
            <w:u w:val="single"/>
            <w:lang w:val="en-US" w:eastAsia="ar-SA"/>
          </w:rPr>
          <w:t>https://youtu.be/BrK7X_XlGB8</w:t>
        </w:r>
      </w:hyperlink>
      <w:r w:rsidRPr="00F616EF">
        <w:rPr>
          <w:rFonts w:eastAsia="-moz-fixed" w:cs="-moz-fixed"/>
          <w:szCs w:val="24"/>
          <w:lang w:val="en-US" w:eastAsia="ar-SA"/>
        </w:rPr>
        <w:t xml:space="preserve">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Strangely, the probabilistic aspects of this issue have been largely ignored in the owl science literature, but recently explored in the forest-carbon literature which recently showed that although thinning can modify fire behavior, logging to reduce fire effects is likely to remove more carbon by logging than will be saved by modifying fire. Mitchell, Harmon, O'Connell. 2009. Forest fuel reduction alters fire severity and long-term carbon storage in three Pacific Northwest ecosystems. Ecological Applications. 19(3), 2009, pp. 643–655</w:t>
      </w:r>
      <w:r w:rsidRPr="00F616EF">
        <w:rPr>
          <w:rFonts w:eastAsia="-moz-fixed" w:cs="-moz-fixed"/>
          <w:szCs w:val="20"/>
          <w:lang w:val="en-US" w:eastAsia="ar-SA"/>
        </w:rPr>
        <w:t xml:space="preserve"> </w:t>
      </w:r>
      <w:hyperlink r:id="rId189" w:history="1">
        <w:r w:rsidRPr="00F616EF">
          <w:rPr>
            <w:rFonts w:eastAsia="-moz-fixed" w:cs="-moz-fixed"/>
            <w:color w:val="0000FF"/>
            <w:szCs w:val="24"/>
            <w:u w:val="single"/>
            <w:lang w:val="en-US" w:eastAsia="ar-SA"/>
          </w:rPr>
          <w:t>https://web.archive.org/web/20111024074629/http://www.fs.fed.us/pnw/pubs/journals/pnw_2009_mitchell001.pdf</w:t>
        </w:r>
      </w:hyperlink>
      <w:r w:rsidRPr="00F616EF">
        <w:rPr>
          <w:rFonts w:eastAsia="-moz-fixed" w:cs="-moz-fixed"/>
          <w:szCs w:val="24"/>
          <w:lang w:val="en-US" w:eastAsia="ar-SA"/>
        </w:rPr>
        <w:t xml:space="preserve">. The reason for this seemingly counterintuitive outcome is a result of the “law of averages.” As explained by </w:t>
      </w:r>
      <w:proofErr w:type="spellStart"/>
      <w:r w:rsidRPr="00F616EF">
        <w:rPr>
          <w:rFonts w:eastAsia="-moz-fixed" w:cs="-moz-fixed"/>
          <w:szCs w:val="24"/>
          <w:lang w:val="en-US" w:eastAsia="ar-SA"/>
        </w:rPr>
        <w:t>Cathcart</w:t>
      </w:r>
      <w:proofErr w:type="spellEnd"/>
      <w:r w:rsidRPr="00F616EF">
        <w:rPr>
          <w:rFonts w:eastAsia="-moz-fixed" w:cs="-moz-fixed"/>
          <w:szCs w:val="24"/>
          <w:lang w:val="en-US" w:eastAsia="ar-SA"/>
        </w:rPr>
        <w:t xml:space="preserve"> et al 2009 —</w:t>
      </w:r>
    </w:p>
    <w:p w:rsidR="00F616EF" w:rsidRPr="00F616EF" w:rsidRDefault="00F616EF" w:rsidP="00F616EF">
      <w:pPr>
        <w:tabs>
          <w:tab w:val="left" w:pos="7110"/>
        </w:tabs>
        <w:suppressAutoHyphens/>
        <w:autoSpaceDE w:val="0"/>
        <w:spacing w:line="240" w:lineRule="auto"/>
        <w:ind w:left="720"/>
        <w:rPr>
          <w:rFonts w:ascii="Courier" w:eastAsia="-moz-fixed" w:hAnsi="Courier" w:cs="Courier"/>
          <w:lang w:val="en-US" w:eastAsia="ar-SA"/>
        </w:rPr>
      </w:pPr>
      <w:r w:rsidRPr="00F616EF">
        <w:rPr>
          <w:rFonts w:eastAsia="-moz-fixed" w:cs="-moz-fixed"/>
          <w:szCs w:val="24"/>
          <w:lang w:val="en-US" w:eastAsia="ar-SA"/>
        </w:rPr>
        <w:t xml:space="preserve">The question is—if the implementation of fuels treatments within the </w:t>
      </w:r>
      <w:proofErr w:type="spellStart"/>
      <w:r w:rsidRPr="00F616EF">
        <w:rPr>
          <w:rFonts w:eastAsia="-moz-fixed" w:cs="-moz-fixed"/>
          <w:szCs w:val="24"/>
          <w:lang w:val="en-US" w:eastAsia="ar-SA"/>
        </w:rPr>
        <w:t>Drews</w:t>
      </w:r>
      <w:proofErr w:type="spellEnd"/>
      <w:r w:rsidRPr="00F616EF">
        <w:rPr>
          <w:rFonts w:eastAsia="-moz-fixed" w:cs="-moz-fixed"/>
          <w:szCs w:val="24"/>
          <w:lang w:val="en-US" w:eastAsia="ar-SA"/>
        </w:rPr>
        <w:t xml:space="preserve"> Creek watershed had the beneficial effect of reducing the likelihood of wildfire intensity and extent as simulated in this study, why is the expected carbon offset from fuels treatment so negative? The answer lies in the probabilistic nature of wildfire. Fuels treatment comes with a carbon loss from biomass removal and prescribed fire with a probability of 1. In contrast, the benefit of avoided wildfire emissions is probabilistic. The law of averages is heavily influenced that given a wildfire ignition somewhere within the watershed, the probability that a stand is not burned by the corresponding wildfire is 0.98 (1 minus the average overall conditional burn probability …</w:t>
      </w:r>
    </w:p>
    <w:p w:rsidR="00F616EF" w:rsidRPr="00F616EF" w:rsidRDefault="00F616EF" w:rsidP="00F616EF">
      <w:pPr>
        <w:tabs>
          <w:tab w:val="left" w:pos="7110"/>
        </w:tabs>
        <w:suppressAutoHyphens/>
        <w:autoSpaceDE w:val="0"/>
        <w:spacing w:line="240" w:lineRule="auto"/>
        <w:rPr>
          <w:rFonts w:ascii="Courier" w:eastAsia="-moz-fixed" w:hAnsi="Courier" w:cs="Courier"/>
          <w:lang w:val="en-US" w:eastAsia="ar-SA"/>
        </w:rPr>
      </w:pP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Thus, the expected benefit of avoided wildfire emissions is an average that includes the predominant scenario that no wildfire reaches the stand. And if the predominate scenario for each stand is that the fire never reaches it, there is no avoided CO2 emissions benefit to be had from treatment. So even though severe wildfire can be a significant CO2 emissions event, its chance of occurring and reaching a given stand relative to where the wildfire started is still very low, with or without fuel treatments on the landscape.</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szCs w:val="24"/>
          <w:lang w:val="en-US" w:eastAsia="ar-SA"/>
        </w:rPr>
        <w:t xml:space="preserve">Jim </w:t>
      </w:r>
      <w:proofErr w:type="spellStart"/>
      <w:r w:rsidRPr="00F616EF">
        <w:rPr>
          <w:rFonts w:eastAsia="-moz-fixed" w:cs="-moz-fixed"/>
          <w:szCs w:val="24"/>
          <w:lang w:val="en-US" w:eastAsia="ar-SA"/>
        </w:rPr>
        <w:t>Cathcart</w:t>
      </w:r>
      <w:proofErr w:type="spellEnd"/>
      <w:r w:rsidRPr="00F616EF">
        <w:rPr>
          <w:rFonts w:eastAsia="-moz-fixed" w:cs="-moz-fixed"/>
          <w:szCs w:val="24"/>
          <w:lang w:val="en-US" w:eastAsia="ar-SA"/>
        </w:rPr>
        <w:t xml:space="preserve">, Alan A. Ager, Andrew McMahan, Mark Finney, and Brian Watt 2009. Carbon Benefits from Fuel Treatments. USDA Forest Service Proceedings RMRS-P-61. 2010. </w:t>
      </w:r>
      <w:hyperlink r:id="rId190" w:history="1">
        <w:r w:rsidRPr="00F616EF">
          <w:rPr>
            <w:rFonts w:eastAsia="-moz-fixed" w:cs="-moz-fixed"/>
            <w:color w:val="0000FF"/>
            <w:szCs w:val="20"/>
            <w:u w:val="single"/>
            <w:lang w:val="en-US" w:eastAsia="ar-SA"/>
          </w:rPr>
          <w:t>https://www.fs.usda.gov/rm/pubs/rmrs_p061/rmrs_p061_061_079.pdf</w:t>
        </w:r>
      </w:hyperlink>
      <w:r w:rsidRPr="00F616EF">
        <w:rPr>
          <w:rFonts w:eastAsia="-moz-fixed" w:cs="-moz-fixed"/>
          <w:szCs w:val="24"/>
          <w:lang w:val="en-US" w:eastAsia="ar-SA"/>
        </w:rPr>
        <w:t>.</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szCs w:val="24"/>
          <w:lang w:val="en-US" w:eastAsia="ar-SA"/>
        </w:rPr>
        <w:t>Both carbon and spotted owl habitat tend to accumulate in relatively dense forests with intermediate or longer fire return intervals. Thus, we can likely read these studies and replace the word "carbon" with the word "spotted owl habitat" and the results will likely hold.</w:t>
      </w:r>
      <w:r w:rsidRPr="00F616EF">
        <w:rPr>
          <w:rFonts w:eastAsia="-moz-fixed" w:cs="-moz-fixed"/>
          <w:szCs w:val="24"/>
          <w:lang w:val="en-US" w:eastAsia="ar-SA"/>
        </w:rPr>
        <w:br/>
      </w:r>
      <w:r w:rsidRPr="00F616EF">
        <w:rPr>
          <w:rFonts w:eastAsia="-moz-fixed" w:cs="-moz-fixed"/>
          <w:szCs w:val="24"/>
          <w:lang w:val="en-US" w:eastAsia="ar-SA"/>
        </w:rPr>
        <w:br/>
        <w:t xml:space="preserve">In an effort to advance the discussion and help the agencies conduct better risk assessments in the NEPA context we have prepared a white paper in an attempt to clarify the critical considerations in a probabilistic risk assessment that compares the risk of logging versus wildfire. Heiken, D. 2010. Log it to save it? The search for an ecological rationale for fuel reduction logging in Spotted Owl habitat. Oregon Wild. v 1.0. May 2010. </w:t>
      </w:r>
      <w:hyperlink r:id="rId191" w:history="1">
        <w:r w:rsidRPr="00F616EF">
          <w:rPr>
            <w:rFonts w:eastAsia="-moz-fixed" w:cs="-moz-fixed"/>
            <w:color w:val="0000FF"/>
            <w:szCs w:val="24"/>
            <w:u w:val="single"/>
            <w:lang w:val="en-US" w:eastAsia="ar-SA"/>
          </w:rPr>
          <w:t>https://www.dropbox.com/s/pi15rap4nvwxhtt/Heiken_Log_it_to_save_it_v.1.0.pdf?dl=0</w:t>
        </w:r>
      </w:hyperlink>
      <w:r w:rsidRPr="00F616EF">
        <w:rPr>
          <w:rFonts w:eastAsia="-moz-fixed" w:cs="-moz-fixed"/>
          <w:szCs w:val="24"/>
          <w:lang w:val="en-US" w:eastAsia="ar-SA"/>
        </w:rPr>
        <w:t xml:space="preserve">. This report is most relevant in SW Oregon but the proposed evaluative framework is applicable </w:t>
      </w:r>
      <w:r w:rsidRPr="00F616EF">
        <w:rPr>
          <w:rFonts w:eastAsia="-moz-fixed" w:cs="-moz-fixed"/>
          <w:szCs w:val="24"/>
          <w:lang w:val="en-US" w:eastAsia="ar-SA"/>
        </w:rPr>
        <w:lastRenderedPageBreak/>
        <w:t xml:space="preserve">in the east Cascades, northern California, and elsewhere. This report focuses on studies that have so far focused on carbon and spotted owl habitat, but the analysis is relevant for any species or forest value that requires relatively dense forest cover, such as American marten, Pacific fisher, pileated woodpecker, northern goshawk, etc. See for instance, </w:t>
      </w:r>
      <w:proofErr w:type="spellStart"/>
      <w:r w:rsidRPr="00F616EF">
        <w:rPr>
          <w:rFonts w:eastAsia="-moz-fixed" w:cs="-moz-fixed"/>
          <w:szCs w:val="24"/>
          <w:lang w:val="en-US" w:eastAsia="ar-SA"/>
        </w:rPr>
        <w:t>Aubry</w:t>
      </w:r>
      <w:proofErr w:type="spellEnd"/>
      <w:r w:rsidRPr="00F616EF">
        <w:rPr>
          <w:rFonts w:eastAsia="-moz-fixed" w:cs="-moz-fixed"/>
          <w:szCs w:val="24"/>
          <w:lang w:val="en-US" w:eastAsia="ar-SA"/>
        </w:rPr>
        <w:t xml:space="preserve"> et al 2013. Meta-Analyses of Habitat Selection by Fishers at Resting Sites in the Paciﬁc Coastal Region. The Journal of Wildlife Management 77(5):965–974; 2013; DOI: 10.1002/jwmg.563. See also, Moriarty, K. M., Epps, C. W. and Zielinski, W. J. (2016), Forest thinning changes movement patterns and habitat use by Pacific marten. The Journal of Wildlife Management. doi: 10.1002/jwmg.1060. </w:t>
      </w:r>
      <w:hyperlink r:id="rId192" w:history="1">
        <w:r w:rsidRPr="00F616EF">
          <w:rPr>
            <w:rFonts w:eastAsia="-moz-fixed" w:cs="-moz-fixed"/>
            <w:color w:val="0000FF"/>
            <w:szCs w:val="24"/>
            <w:u w:val="single"/>
            <w:lang w:val="en-US" w:eastAsia="ar-SA"/>
          </w:rPr>
          <w:t>https://www.fs.usda.gov/pnw/pubs/journals/pnw_2016_moriarty001.pdf</w:t>
        </w:r>
      </w:hyperlink>
      <w:r w:rsidRPr="00F616EF">
        <w:rPr>
          <w:rFonts w:eastAsia="-moz-fixed" w:cs="-moz-fixed"/>
          <w:szCs w:val="24"/>
          <w:lang w:val="en-US" w:eastAsia="ar-SA"/>
        </w:rPr>
        <w:t>. (Abstract: “martens avoided stands with simplified structure, and the altered patterns of movement we observed in those stands suggested that such treatments may negatively affect the ability of martens to forage without increased risk of predation. Fuel treatments that simplify stand structure negatively affected marten movements and habitat connectivity. Given these risks, and because treating fuels is less justified in high elevation forests, the risks can be minimized by applying treatments below the elevations where martens typically occur.”) And see, Katie M. Moriarty 2014. Ph.D. Dissertation. Habitat Use and Movement Behavior of Pacific Marten (</w:t>
      </w:r>
      <w:proofErr w:type="spellStart"/>
      <w:r w:rsidRPr="00F616EF">
        <w:rPr>
          <w:rFonts w:eastAsia="-moz-fixed" w:cs="-moz-fixed"/>
          <w:szCs w:val="24"/>
          <w:lang w:val="en-US" w:eastAsia="ar-SA"/>
        </w:rPr>
        <w:t>Martes</w:t>
      </w:r>
      <w:proofErr w:type="spellEnd"/>
      <w:r w:rsidRPr="00F616EF">
        <w:rPr>
          <w:rFonts w:eastAsia="-moz-fixed" w:cs="-moz-fixed"/>
          <w:szCs w:val="24"/>
          <w:lang w:val="en-US" w:eastAsia="ar-SA"/>
        </w:rPr>
        <w:t xml:space="preserve"> </w:t>
      </w:r>
      <w:proofErr w:type="spellStart"/>
      <w:r w:rsidRPr="00F616EF">
        <w:rPr>
          <w:rFonts w:eastAsia="-moz-fixed" w:cs="-moz-fixed"/>
          <w:szCs w:val="24"/>
          <w:lang w:val="en-US" w:eastAsia="ar-SA"/>
        </w:rPr>
        <w:t>caurina</w:t>
      </w:r>
      <w:proofErr w:type="spellEnd"/>
      <w:r w:rsidRPr="00F616EF">
        <w:rPr>
          <w:rFonts w:eastAsia="-moz-fixed" w:cs="-moz-fixed"/>
          <w:szCs w:val="24"/>
          <w:lang w:val="en-US" w:eastAsia="ar-SA"/>
        </w:rPr>
        <w:t xml:space="preserve">) in Response to Forest Management Practices in Lassen National Forest, California. November 21, 2014. </w:t>
      </w:r>
      <w:hyperlink r:id="rId193" w:history="1">
        <w:r w:rsidRPr="00F616EF">
          <w:rPr>
            <w:rFonts w:eastAsia="-moz-fixed" w:cs="-moz-fixed"/>
            <w:color w:val="0000FF"/>
            <w:szCs w:val="24"/>
            <w:u w:val="single"/>
            <w:lang w:val="en-US" w:eastAsia="ar-SA"/>
          </w:rPr>
          <w:t>https://ir.library.oregonstate.edu/xmlui/bitstream/handle/1957/54574/141203_Moriarty_OSU_Dissertation_FINAL.pdf</w:t>
        </w:r>
      </w:hyperlink>
      <w:r w:rsidRPr="00F616EF">
        <w:rPr>
          <w:rFonts w:eastAsia="-moz-fixed" w:cs="-moz-fixed"/>
          <w:szCs w:val="24"/>
          <w:lang w:val="en-US" w:eastAsia="ar-SA"/>
        </w:rPr>
        <w:t xml:space="preserve">. And see: Kirkland, J. 2016. Science Findings #192. Striving for Balance: Maintaining Marten Habitat While Reducing Fuels. Dec 2016.   </w:t>
      </w:r>
      <w:hyperlink r:id="rId194" w:history="1">
        <w:r w:rsidRPr="00F616EF">
          <w:rPr>
            <w:rFonts w:eastAsia="-moz-fixed" w:cs="-moz-fixed"/>
            <w:color w:val="0000FF"/>
            <w:szCs w:val="24"/>
            <w:u w:val="single"/>
            <w:lang w:val="en-US" w:eastAsia="ar-SA"/>
          </w:rPr>
          <w:t>https://www.fs.usda.gov/pnw/sciencef/scifi192.pdf</w:t>
        </w:r>
      </w:hyperlink>
      <w:r w:rsidRPr="00F616EF">
        <w:rPr>
          <w:rFonts w:eastAsia="-moz-fixed" w:cs="-moz-fixed"/>
          <w:szCs w:val="24"/>
          <w:lang w:val="en-US" w:eastAsia="ar-SA"/>
        </w:rPr>
        <w:t xml:space="preserve">  (“[R]</w:t>
      </w:r>
      <w:proofErr w:type="spellStart"/>
      <w:r w:rsidRPr="00F616EF">
        <w:rPr>
          <w:rFonts w:eastAsia="-moz-fixed" w:cs="-moz-fixed"/>
          <w:szCs w:val="24"/>
          <w:lang w:val="en-US" w:eastAsia="ar-SA"/>
        </w:rPr>
        <w:t>esearchers</w:t>
      </w:r>
      <w:proofErr w:type="spellEnd"/>
      <w:r w:rsidRPr="00F616EF">
        <w:rPr>
          <w:rFonts w:eastAsia="-moz-fixed" w:cs="-moz-fixed"/>
          <w:szCs w:val="24"/>
          <w:lang w:val="en-US" w:eastAsia="ar-SA"/>
        </w:rPr>
        <w:t xml:space="preserve"> fitted martens with GPS collars and tracked their behavior to learn how the animals responded in forest stands that differed in structural complexity-variability in tree size, depth and overlap of crowns, and distance and uniformity of spacing among trees. The martens traveled several miles a day in search of food, but they avoided open areas and thinned stands (forest areas where small-diameter trees and understory have been removed), most likely because they were more vulnerable to predators in those spaces. They thrived in forests with complex canopies and connected stands, which allowed them to move more freely in search of food with less risk of predation.”) See also, </w:t>
      </w:r>
      <w:proofErr w:type="spellStart"/>
      <w:r w:rsidRPr="00F616EF">
        <w:rPr>
          <w:rFonts w:eastAsia="-moz-fixed" w:cs="-moz-fixed"/>
          <w:szCs w:val="20"/>
          <w:lang w:val="en-US" w:eastAsia="ar-SA"/>
        </w:rPr>
        <w:t>Heinemeyer</w:t>
      </w:r>
      <w:proofErr w:type="spellEnd"/>
      <w:r w:rsidRPr="00F616EF">
        <w:rPr>
          <w:rFonts w:eastAsia="-moz-fixed" w:cs="-moz-fixed"/>
          <w:szCs w:val="20"/>
          <w:lang w:val="en-US" w:eastAsia="ar-SA"/>
        </w:rPr>
        <w:t>, K. S. 2002. Translating individual movements into population patterns: American marten in fragmented forested landscapes. Dissertation, University of California, Santa Cruz, USA.</w:t>
      </w:r>
    </w:p>
    <w:p w:rsidR="00F616EF" w:rsidRPr="00F616EF" w:rsidRDefault="00F616EF" w:rsidP="00F616EF">
      <w:pPr>
        <w:tabs>
          <w:tab w:val="left" w:pos="7110"/>
        </w:tabs>
        <w:suppressAutoHyphens/>
        <w:autoSpaceDE w:val="0"/>
        <w:spacing w:line="240" w:lineRule="auto"/>
        <w:rPr>
          <w:rFonts w:eastAsia="-moz-fixed" w:cs="-moz-fixed"/>
          <w:noProof/>
          <w:szCs w:val="20"/>
          <w:lang w:val="en-US"/>
        </w:rPr>
      </w:pP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noProof/>
          <w:szCs w:val="20"/>
          <w:lang w:val="en-US"/>
        </w:rPr>
        <w:drawing>
          <wp:inline distT="0" distB="0" distL="0" distR="0">
            <wp:extent cx="5943600" cy="23698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43600" cy="2369820"/>
                    </a:xfrm>
                    <a:prstGeom prst="rect">
                      <a:avLst/>
                    </a:prstGeom>
                    <a:noFill/>
                    <a:ln>
                      <a:noFill/>
                    </a:ln>
                  </pic:spPr>
                </pic:pic>
              </a:graphicData>
            </a:graphic>
          </wp:inline>
        </w:drawing>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szCs w:val="24"/>
          <w:lang w:val="en-US" w:eastAsia="ar-SA"/>
        </w:rPr>
        <w:br/>
        <w:t xml:space="preserve">To justify such fuel reduction logging in suitable owl habitat on ecological grounds requires </w:t>
      </w:r>
      <w:r w:rsidRPr="00F616EF">
        <w:rPr>
          <w:rFonts w:eastAsia="-moz-fixed" w:cs="-moz-fixed"/>
          <w:szCs w:val="24"/>
          <w:lang w:val="en-US" w:eastAsia="ar-SA"/>
        </w:rPr>
        <w:lastRenderedPageBreak/>
        <w:t xml:space="preserve">several findings: (1) that wildfire is highly likely to occur at the site of the treatment, (2) that if fire does occur it is likely to be a severe stand-replacing event, and (3) that spotted owls are more likely to be harmed and imperiled by wildfire than by logging at a scale necessary to reduce fire hazard. Available evidence does not support any of these findings, which raises serious questions about the need for and efficacy of logging to reduce fuels in western Oregon and other forests lacking frequent fire return intervals. </w:t>
      </w:r>
      <w:r w:rsidRPr="00F616EF">
        <w:rPr>
          <w:rFonts w:eastAsia="-moz-fixed" w:cs="-moz-fixed"/>
          <w:szCs w:val="24"/>
          <w:lang w:val="en-US" w:eastAsia="ar-SA"/>
        </w:rPr>
        <w:br/>
      </w:r>
      <w:r w:rsidRPr="00F616EF">
        <w:rPr>
          <w:rFonts w:eastAsia="-moz-fixed" w:cs="-moz-fixed"/>
          <w:szCs w:val="24"/>
          <w:lang w:val="en-US" w:eastAsia="ar-SA"/>
        </w:rPr>
        <w:br/>
        <w:t xml:space="preserve">The probabilistic element of the risk equation demands careful consideration. Both logging and fire have meaningful consequences, so the issue really boils down to a comparative probabilistic risk assessment where risk is characterized by two quantities: (1) the magnitude (severity) of the possible adverse consequence(s), and (2) the likelihood (probability) of occurrence of each consequence. </w:t>
      </w:r>
    </w:p>
    <w:p w:rsidR="00F616EF" w:rsidRPr="00F616EF" w:rsidRDefault="00F616EF" w:rsidP="00F616EF">
      <w:pPr>
        <w:tabs>
          <w:tab w:val="left" w:pos="7110"/>
        </w:tabs>
        <w:suppressAutoHyphens/>
        <w:spacing w:line="240" w:lineRule="auto"/>
        <w:rPr>
          <w:rFonts w:ascii="Arial" w:eastAsia="-moz-fixed" w:hAnsi="Arial"/>
          <w:b/>
          <w:bCs/>
          <w:szCs w:val="24"/>
          <w:lang w:val="en-US" w:eastAsia="ar-SA"/>
        </w:rPr>
      </w:pPr>
      <w:r w:rsidRPr="00F616EF">
        <w:rPr>
          <w:rFonts w:eastAsia="-moz-fixed" w:cs="-moz-fixed"/>
          <w:szCs w:val="24"/>
          <w:lang w:val="en-US" w:eastAsia="ar-SA"/>
        </w:rPr>
        <w:t xml:space="preserve"> </w:t>
      </w:r>
    </w:p>
    <w:tbl>
      <w:tblPr>
        <w:tblW w:w="0" w:type="auto"/>
        <w:tblInd w:w="-110" w:type="dxa"/>
        <w:tblLayout w:type="fixed"/>
        <w:tblLook w:val="0000" w:firstRow="0" w:lastRow="0" w:firstColumn="0" w:lastColumn="0" w:noHBand="0" w:noVBand="0"/>
      </w:tblPr>
      <w:tblGrid>
        <w:gridCol w:w="1188"/>
        <w:gridCol w:w="2880"/>
        <w:gridCol w:w="3059"/>
        <w:gridCol w:w="1949"/>
      </w:tblGrid>
      <w:tr w:rsidR="00F616EF" w:rsidRPr="00F616EF" w:rsidTr="00B9572A">
        <w:tc>
          <w:tcPr>
            <w:tcW w:w="9076" w:type="dxa"/>
            <w:gridSpan w:val="4"/>
            <w:tcBorders>
              <w:top w:val="single" w:sz="8" w:space="0" w:color="000000"/>
              <w:left w:val="single" w:sz="8" w:space="0" w:color="000000"/>
              <w:bottom w:val="single" w:sz="8" w:space="0" w:color="000000"/>
              <w:right w:val="single" w:sz="8" w:space="0" w:color="000000"/>
            </w:tcBorders>
            <w:shd w:val="clear" w:color="auto" w:fill="auto"/>
          </w:tcPr>
          <w:p w:rsidR="00F616EF" w:rsidRPr="00F616EF" w:rsidRDefault="00F616EF" w:rsidP="00F616EF">
            <w:pPr>
              <w:tabs>
                <w:tab w:val="left" w:pos="7110"/>
              </w:tabs>
              <w:suppressAutoHyphens/>
              <w:spacing w:line="240" w:lineRule="auto"/>
              <w:jc w:val="center"/>
              <w:rPr>
                <w:rFonts w:eastAsia="-moz-fixed" w:cs="-moz-fixed"/>
                <w:szCs w:val="20"/>
                <w:lang w:val="en-US" w:eastAsia="ar-SA"/>
              </w:rPr>
            </w:pPr>
            <w:r w:rsidRPr="00F616EF">
              <w:rPr>
                <w:rFonts w:ascii="Arial" w:eastAsia="-moz-fixed" w:hAnsi="Arial"/>
                <w:b/>
                <w:bCs/>
                <w:szCs w:val="24"/>
                <w:lang w:val="en-US" w:eastAsia="ar-SA"/>
              </w:rPr>
              <w:t>Framework for Assessing the Risk of Wildfire vs Fuel Reduction Logging</w:t>
            </w:r>
          </w:p>
        </w:tc>
      </w:tr>
      <w:tr w:rsidR="00F616EF" w:rsidRPr="00F616EF" w:rsidTr="00B9572A">
        <w:tblPrEx>
          <w:tblCellMar>
            <w:left w:w="0" w:type="dxa"/>
            <w:right w:w="0" w:type="dxa"/>
          </w:tblCellMar>
        </w:tblPrEx>
        <w:tc>
          <w:tcPr>
            <w:tcW w:w="1188"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Cs w:val="24"/>
                <w:lang w:val="en-US" w:eastAsia="ar-SA"/>
              </w:rPr>
            </w:pPr>
            <w:r w:rsidRPr="00F616EF">
              <w:rPr>
                <w:rFonts w:ascii="Arial" w:eastAsia="-moz-fixed" w:hAnsi="Arial"/>
                <w:szCs w:val="24"/>
                <w:lang w:val="en-US" w:eastAsia="ar-SA"/>
              </w:rPr>
              <w:t> </w:t>
            </w:r>
          </w:p>
        </w:tc>
        <w:tc>
          <w:tcPr>
            <w:tcW w:w="2880"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Cs w:val="24"/>
                <w:lang w:val="en-US" w:eastAsia="ar-SA"/>
              </w:rPr>
            </w:pPr>
            <w:r w:rsidRPr="00F616EF">
              <w:rPr>
                <w:rFonts w:ascii="Arial" w:eastAsia="-moz-fixed" w:hAnsi="Arial"/>
                <w:szCs w:val="24"/>
                <w:lang w:val="en-US" w:eastAsia="ar-SA"/>
              </w:rPr>
              <w:t>Likelihood of event</w:t>
            </w:r>
          </w:p>
        </w:tc>
        <w:tc>
          <w:tcPr>
            <w:tcW w:w="3059"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Cs w:val="24"/>
                <w:lang w:val="en-US" w:eastAsia="ar-SA"/>
              </w:rPr>
            </w:pPr>
            <w:r w:rsidRPr="00F616EF">
              <w:rPr>
                <w:rFonts w:ascii="Arial" w:eastAsia="-moz-fixed" w:hAnsi="Arial"/>
                <w:szCs w:val="24"/>
                <w:lang w:val="en-US" w:eastAsia="ar-SA"/>
              </w:rPr>
              <w:t>Magnitude of harm</w:t>
            </w:r>
          </w:p>
        </w:tc>
        <w:tc>
          <w:tcPr>
            <w:tcW w:w="1949" w:type="dxa"/>
            <w:tcBorders>
              <w:left w:val="single" w:sz="8" w:space="0" w:color="000000"/>
              <w:bottom w:val="single" w:sz="8" w:space="0" w:color="000000"/>
              <w:right w:val="single" w:sz="8" w:space="0" w:color="000000"/>
            </w:tcBorders>
            <w:shd w:val="clear" w:color="auto" w:fill="auto"/>
          </w:tcPr>
          <w:p w:rsidR="00F616EF" w:rsidRPr="00F616EF" w:rsidRDefault="00F616EF" w:rsidP="00F616EF">
            <w:pPr>
              <w:tabs>
                <w:tab w:val="left" w:pos="7110"/>
              </w:tabs>
              <w:suppressAutoHyphens/>
              <w:spacing w:line="240" w:lineRule="auto"/>
              <w:rPr>
                <w:rFonts w:eastAsia="-moz-fixed" w:cs="-moz-fixed"/>
                <w:szCs w:val="20"/>
                <w:lang w:val="en-US" w:eastAsia="ar-SA"/>
              </w:rPr>
            </w:pPr>
            <w:r w:rsidRPr="00F616EF">
              <w:rPr>
                <w:rFonts w:ascii="Arial" w:eastAsia="-moz-fixed" w:hAnsi="Arial"/>
                <w:szCs w:val="24"/>
                <w:lang w:val="en-US" w:eastAsia="ar-SA"/>
              </w:rPr>
              <w:t>Net Benefit</w:t>
            </w:r>
          </w:p>
        </w:tc>
      </w:tr>
      <w:tr w:rsidR="00F616EF" w:rsidRPr="00F616EF" w:rsidTr="00B9572A">
        <w:tblPrEx>
          <w:tblCellMar>
            <w:left w:w="0" w:type="dxa"/>
            <w:right w:w="0" w:type="dxa"/>
          </w:tblCellMar>
        </w:tblPrEx>
        <w:tc>
          <w:tcPr>
            <w:tcW w:w="1188"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Cs w:val="24"/>
                <w:lang w:val="en-US" w:eastAsia="ar-SA"/>
              </w:rPr>
              <w:t>Wildfire</w:t>
            </w:r>
          </w:p>
        </w:tc>
        <w:tc>
          <w:tcPr>
            <w:tcW w:w="2880"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 w:val="18"/>
                <w:szCs w:val="18"/>
                <w:lang w:val="en-US" w:eastAsia="ar-SA"/>
              </w:rPr>
              <w:t>LOW: Stand replacing wildfire is not common in western Oregon. Fire suppression policy prevails. The chance that any given acre of forest will experience wildfire is low.</w:t>
            </w:r>
          </w:p>
        </w:tc>
        <w:tc>
          <w:tcPr>
            <w:tcW w:w="3059"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 w:val="18"/>
                <w:szCs w:val="18"/>
                <w:lang w:val="en-US" w:eastAsia="ar-SA"/>
              </w:rPr>
              <w:t>LOW: The majority of wildfire effects are not stand replacing. Fire is a natural process to which native wildlife are adapted. There is still a deficit of natural fire processes on the landscape.</w:t>
            </w:r>
          </w:p>
        </w:tc>
        <w:tc>
          <w:tcPr>
            <w:tcW w:w="1949" w:type="dxa"/>
            <w:tcBorders>
              <w:left w:val="single" w:sz="8" w:space="0" w:color="000000"/>
              <w:bottom w:val="single" w:sz="8" w:space="0" w:color="000000"/>
              <w:right w:val="single" w:sz="8" w:space="0" w:color="000000"/>
            </w:tcBorders>
            <w:shd w:val="clear" w:color="auto" w:fill="auto"/>
          </w:tcPr>
          <w:p w:rsidR="00F616EF" w:rsidRPr="00F616EF" w:rsidRDefault="00F616EF" w:rsidP="00F616EF">
            <w:pPr>
              <w:tabs>
                <w:tab w:val="left" w:pos="7110"/>
              </w:tabs>
              <w:suppressAutoHyphens/>
              <w:spacing w:line="240" w:lineRule="auto"/>
              <w:rPr>
                <w:rFonts w:eastAsia="-moz-fixed" w:cs="-moz-fixed"/>
                <w:szCs w:val="20"/>
                <w:lang w:val="en-US" w:eastAsia="ar-SA"/>
              </w:rPr>
            </w:pPr>
            <w:r w:rsidRPr="00F616EF">
              <w:rPr>
                <w:rFonts w:ascii="Arial" w:eastAsia="-moz-fixed" w:hAnsi="Arial"/>
                <w:sz w:val="18"/>
                <w:szCs w:val="18"/>
                <w:lang w:val="en-US" w:eastAsia="ar-SA"/>
              </w:rPr>
              <w:t>Fire is likely less harmful to habitat than fuel reduction logging.</w:t>
            </w:r>
          </w:p>
        </w:tc>
      </w:tr>
      <w:tr w:rsidR="00F616EF" w:rsidRPr="00F616EF" w:rsidTr="00B9572A">
        <w:tblPrEx>
          <w:tblCellMar>
            <w:left w:w="0" w:type="dxa"/>
            <w:right w:w="0" w:type="dxa"/>
          </w:tblCellMar>
        </w:tblPrEx>
        <w:tc>
          <w:tcPr>
            <w:tcW w:w="1188"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Cs w:val="24"/>
                <w:lang w:val="en-US" w:eastAsia="ar-SA"/>
              </w:rPr>
              <w:t>Logging</w:t>
            </w:r>
          </w:p>
        </w:tc>
        <w:tc>
          <w:tcPr>
            <w:tcW w:w="2880"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 w:val="18"/>
                <w:szCs w:val="18"/>
                <w:lang w:val="en-US" w:eastAsia="ar-SA"/>
              </w:rPr>
              <w:t>HIGH: To be effective in controlling fire, logging must be very extensive, and sustained. Many more acres would need to be logged than would burn.</w:t>
            </w:r>
          </w:p>
        </w:tc>
        <w:tc>
          <w:tcPr>
            <w:tcW w:w="3059" w:type="dxa"/>
            <w:tcBorders>
              <w:left w:val="single" w:sz="8" w:space="0" w:color="000000"/>
              <w:bottom w:val="single" w:sz="8" w:space="0" w:color="000000"/>
            </w:tcBorders>
            <w:shd w:val="clear" w:color="auto" w:fill="auto"/>
          </w:tcPr>
          <w:p w:rsidR="00F616EF" w:rsidRPr="00F616EF" w:rsidRDefault="00F616EF" w:rsidP="00F616EF">
            <w:pPr>
              <w:tabs>
                <w:tab w:val="left" w:pos="7110"/>
              </w:tabs>
              <w:suppressAutoHyphens/>
              <w:spacing w:line="240" w:lineRule="auto"/>
              <w:rPr>
                <w:rFonts w:ascii="Arial" w:eastAsia="-moz-fixed" w:hAnsi="Arial"/>
                <w:sz w:val="18"/>
                <w:szCs w:val="18"/>
                <w:lang w:val="en-US" w:eastAsia="ar-SA"/>
              </w:rPr>
            </w:pPr>
            <w:r w:rsidRPr="00F616EF">
              <w:rPr>
                <w:rFonts w:ascii="Arial" w:eastAsia="-moz-fixed" w:hAnsi="Arial"/>
                <w:sz w:val="18"/>
                <w:szCs w:val="18"/>
                <w:lang w:val="en-US" w:eastAsia="ar-SA"/>
              </w:rPr>
              <w:t>HIGH: Widespread logging will have significant impacts on canopy, microclimate, understory vegetation, down wood, and long-term effects on recruitment of large trees and snags.</w:t>
            </w:r>
          </w:p>
        </w:tc>
        <w:tc>
          <w:tcPr>
            <w:tcW w:w="1949" w:type="dxa"/>
            <w:tcBorders>
              <w:left w:val="single" w:sz="8" w:space="0" w:color="000000"/>
              <w:bottom w:val="single" w:sz="8" w:space="0" w:color="000000"/>
              <w:right w:val="single" w:sz="8" w:space="0" w:color="000000"/>
            </w:tcBorders>
            <w:shd w:val="clear" w:color="auto" w:fill="auto"/>
          </w:tcPr>
          <w:p w:rsidR="00F616EF" w:rsidRPr="00F616EF" w:rsidRDefault="00F616EF" w:rsidP="00F616EF">
            <w:pPr>
              <w:tabs>
                <w:tab w:val="left" w:pos="7110"/>
              </w:tabs>
              <w:suppressAutoHyphens/>
              <w:spacing w:line="240" w:lineRule="auto"/>
              <w:rPr>
                <w:rFonts w:eastAsia="-moz-fixed" w:cs="-moz-fixed"/>
                <w:szCs w:val="20"/>
                <w:lang w:val="en-US" w:eastAsia="ar-SA"/>
              </w:rPr>
            </w:pPr>
            <w:r w:rsidRPr="00F616EF">
              <w:rPr>
                <w:rFonts w:ascii="Arial" w:eastAsia="-moz-fixed" w:hAnsi="Arial"/>
                <w:sz w:val="18"/>
                <w:szCs w:val="18"/>
                <w:lang w:val="en-US" w:eastAsia="ar-SA"/>
              </w:rPr>
              <w:t>Fuel reduction logging is likely more harmful to habitat than wildfire.</w:t>
            </w:r>
          </w:p>
        </w:tc>
      </w:tr>
    </w:tbl>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The white paper is organized around these risk evaluation parameters.</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suppressAutoHyphens/>
        <w:spacing w:line="240" w:lineRule="auto"/>
        <w:rPr>
          <w:rFonts w:eastAsia="-moz-fixed" w:cs="-moz-fixed"/>
          <w:szCs w:val="20"/>
          <w:lang w:val="en-US" w:eastAsia="ar-SA"/>
        </w:rPr>
      </w:pPr>
      <w:r w:rsidRPr="00F616EF">
        <w:rPr>
          <w:rFonts w:eastAsia="-moz-fixed" w:cs="-moz-fixed"/>
          <w:szCs w:val="20"/>
          <w:lang w:val="en-US" w:eastAsia="ar-SA"/>
        </w:rPr>
        <w:t>An insurance analogy might help. People buy fire insurance for their homes because they can pay a small amount in order to receive benefits in the improbable event of fire. Fuel reduction logging is like an insurance policy that hedges against the chance that fire might occur, but instead of paying with money we are paying with late successional habitat units (because logging late successional habitat to reduce fuels unavoidably degrades and removes habitat). We are also expecting benefits in habitat units. This means the agency can conduct an analysis to show whether the fire insurance payments are worth it from a habitat perspective. The agency can quantify whether logging results in a greater assurance of habitat maintenance, or not. When this analysis is conducted it is clear that fuel reduction logging is just not worth it, because, simply put, the price of insurance is far too high. Logging will degrade habitat across many acres that will never experience any benefits from modified wildfire. Fuel reduction logging is like paying 100 habitat units for insurance and receiving 10 habitat units of benefits.</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In spite of what we often hear, federal forests are not at imminent risk of destruction by wildfire. Fire return intervals remain relatively long, due to both natural factors and active fire suppression policies. Wildfire severity also remains moderate. Most wildfires are NOT stand replacing. Most fires are in fact low and moderate severity. </w:t>
      </w:r>
    </w:p>
    <w:p w:rsidR="00F616EF" w:rsidRPr="00F616EF" w:rsidRDefault="00F616EF" w:rsidP="00F616EF">
      <w:pPr>
        <w:tabs>
          <w:tab w:val="left" w:pos="7110"/>
        </w:tabs>
        <w:suppressAutoHyphens/>
        <w:spacing w:line="240" w:lineRule="auto"/>
        <w:rPr>
          <w:rFonts w:eastAsia="-moz-fixed" w:cs="-moz-fixed"/>
          <w:szCs w:val="20"/>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The location, timing, and severity of future fire events cannot be predicted making it difficult to determine which forests will benefit from treatment - consequently fuel treatments must be extensive and many stands will be treated unnecessarily, thus incurring all the costs of fuel logging, but receiving none of the beneficial effects on fire behavior.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lastRenderedPageBreak/>
        <w:t xml:space="preserve">Furthermore, logging for purposes of fuel reduction has impacts on owl and prey habitat that remain under-appreciated, especially the reduction of complex woody structure, and the long-term reduction in recruitment of large snags and dead wood. Fuel reduction logging also has complex effects on fire hazard with potential to increase fire hazard, especially when fuel reduction efforts involve removal of canopy trees. </w:t>
      </w:r>
      <w:proofErr w:type="spellStart"/>
      <w:r w:rsidRPr="00F616EF">
        <w:rPr>
          <w:rFonts w:eastAsia="-moz-fixed" w:cs="-moz-fixed"/>
          <w:szCs w:val="24"/>
          <w:lang w:val="en-US" w:eastAsia="ar-SA"/>
        </w:rPr>
        <w:t>Ganey</w:t>
      </w:r>
      <w:proofErr w:type="spellEnd"/>
      <w:r w:rsidRPr="00F616EF">
        <w:rPr>
          <w:rFonts w:eastAsia="-moz-fixed" w:cs="-moz-fixed"/>
          <w:szCs w:val="24"/>
          <w:lang w:val="en-US" w:eastAsia="ar-SA"/>
        </w:rPr>
        <w:t xml:space="preserve"> et al (2017) said “Existing studies on the effects of fuels reduction treatments on spotted owls universally suggest negative effects from these treatments (</w:t>
      </w:r>
      <w:proofErr w:type="spellStart"/>
      <w:r w:rsidRPr="00F616EF">
        <w:rPr>
          <w:rFonts w:eastAsia="-moz-fixed" w:cs="-moz-fixed"/>
          <w:szCs w:val="24"/>
          <w:lang w:val="en-US" w:eastAsia="ar-SA"/>
        </w:rPr>
        <w:t>Meiman</w:t>
      </w:r>
      <w:proofErr w:type="spellEnd"/>
      <w:r w:rsidRPr="00F616EF">
        <w:rPr>
          <w:rFonts w:eastAsia="-moz-fixed" w:cs="-moz-fixed"/>
          <w:szCs w:val="24"/>
          <w:lang w:val="en-US" w:eastAsia="ar-SA"/>
        </w:rPr>
        <w:t xml:space="preserve"> et al. 2003, </w:t>
      </w:r>
      <w:proofErr w:type="spellStart"/>
      <w:r w:rsidRPr="00F616EF">
        <w:rPr>
          <w:rFonts w:eastAsia="-moz-fixed" w:cs="-moz-fixed"/>
          <w:szCs w:val="24"/>
          <w:lang w:val="en-US" w:eastAsia="ar-SA"/>
        </w:rPr>
        <w:t>Seamans</w:t>
      </w:r>
      <w:proofErr w:type="spellEnd"/>
      <w:r w:rsidRPr="00F616EF">
        <w:rPr>
          <w:rFonts w:eastAsia="-moz-fixed" w:cs="-moz-fixed"/>
          <w:szCs w:val="24"/>
          <w:lang w:val="en-US" w:eastAsia="ar-SA"/>
        </w:rPr>
        <w:t xml:space="preserve"> and Gutiérrez 2007, Stephens et al. 2014a, </w:t>
      </w:r>
      <w:proofErr w:type="spellStart"/>
      <w:r w:rsidRPr="00F616EF">
        <w:rPr>
          <w:rFonts w:eastAsia="-moz-fixed" w:cs="-moz-fixed"/>
          <w:szCs w:val="24"/>
          <w:lang w:val="en-US" w:eastAsia="ar-SA"/>
        </w:rPr>
        <w:t>Tempel</w:t>
      </w:r>
      <w:proofErr w:type="spellEnd"/>
      <w:r w:rsidRPr="00F616EF">
        <w:rPr>
          <w:rFonts w:eastAsia="-moz-fixed" w:cs="-moz-fixed"/>
          <w:szCs w:val="24"/>
          <w:lang w:val="en-US" w:eastAsia="ar-SA"/>
        </w:rPr>
        <w:t xml:space="preserve"> et al. 2014).” </w:t>
      </w:r>
      <w:proofErr w:type="spellStart"/>
      <w:r w:rsidRPr="00F616EF">
        <w:rPr>
          <w:rFonts w:eastAsia="-moz-fixed" w:cs="-moz-fixed"/>
          <w:szCs w:val="24"/>
          <w:lang w:val="en-US" w:eastAsia="ar-SA"/>
        </w:rPr>
        <w:t>Ganey</w:t>
      </w:r>
      <w:proofErr w:type="spellEnd"/>
      <w:r w:rsidRPr="00F616EF">
        <w:rPr>
          <w:rFonts w:eastAsia="-moz-fixed" w:cs="-moz-fixed"/>
          <w:szCs w:val="24"/>
          <w:lang w:val="en-US" w:eastAsia="ar-SA"/>
        </w:rPr>
        <w:t xml:space="preserve">, J.L., H.Y. Wan, S.A. Cushman, and C.D. </w:t>
      </w:r>
      <w:proofErr w:type="spellStart"/>
      <w:r w:rsidRPr="00F616EF">
        <w:rPr>
          <w:rFonts w:eastAsia="-moz-fixed" w:cs="-moz-fixed"/>
          <w:szCs w:val="24"/>
          <w:lang w:val="en-US" w:eastAsia="ar-SA"/>
        </w:rPr>
        <w:t>Vojta</w:t>
      </w:r>
      <w:proofErr w:type="spellEnd"/>
      <w:r w:rsidRPr="00F616EF">
        <w:rPr>
          <w:rFonts w:eastAsia="-moz-fixed" w:cs="-moz-fixed"/>
          <w:szCs w:val="24"/>
          <w:lang w:val="en-US" w:eastAsia="ar-SA"/>
        </w:rPr>
        <w:t xml:space="preserve">. 2017. Conflicting perspectives on spotted owls, wildfire, and forest restoration. Fire Ecology 13(3): 146–165. doi: 10.4996/ fireecology.130318020. </w:t>
      </w:r>
      <w:hyperlink r:id="rId196" w:history="1">
        <w:r w:rsidRPr="00F616EF">
          <w:rPr>
            <w:rFonts w:eastAsia="-moz-fixed" w:cs="-moz-fixed"/>
            <w:color w:val="0000FF"/>
            <w:szCs w:val="24"/>
            <w:u w:val="single"/>
            <w:lang w:val="en-US" w:eastAsia="ar-SA"/>
          </w:rPr>
          <w:t>http://fireecologyjournal.org/docs/Journal/pdf/Volume13/Issue03/ganey-318.pdf</w:t>
        </w:r>
      </w:hyperlink>
      <w:r w:rsidRPr="00F616EF">
        <w:rPr>
          <w:rFonts w:eastAsia="-moz-fixed" w:cs="-moz-fixed"/>
          <w:szCs w:val="24"/>
          <w:lang w:val="en-US" w:eastAsia="ar-SA"/>
        </w:rPr>
        <w:t xml:space="preserve">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BLM admits that “The treatment of a stand to improve its fire resiliency commonly reduces the immediate value of the stand for northern spotted owls.” </w:t>
      </w:r>
      <w:r w:rsidRPr="00F616EF">
        <w:rPr>
          <w:rFonts w:eastAsia="-moz-fixed" w:cs="-moz-fixed"/>
          <w:szCs w:val="20"/>
          <w:lang w:val="en-US" w:eastAsia="ar-SA"/>
        </w:rPr>
        <w:t xml:space="preserve">BLM 2016. PRMP and FEIS for the Resource Management Plans in Western Oregon. </w:t>
      </w:r>
      <w:r w:rsidRPr="00F616EF">
        <w:rPr>
          <w:rFonts w:eastAsia="-moz-fixed" w:cs="-moz-fixed"/>
          <w:szCs w:val="24"/>
          <w:lang w:val="en-US" w:eastAsia="ar-SA"/>
        </w:rPr>
        <w:t>Appendix W</w:t>
      </w:r>
      <w:r w:rsidRPr="00F616EF">
        <w:rPr>
          <w:rFonts w:eastAsia="-moz-fixed" w:cs="-moz-fixed"/>
          <w:szCs w:val="20"/>
          <w:lang w:val="en-US" w:eastAsia="ar-SA"/>
        </w:rPr>
        <w:t xml:space="preserve"> - Response to Comments</w:t>
      </w:r>
      <w:r w:rsidRPr="00F616EF">
        <w:rPr>
          <w:rFonts w:eastAsia="-moz-fixed" w:cs="-moz-fixed"/>
          <w:szCs w:val="24"/>
          <w:lang w:val="en-US" w:eastAsia="ar-SA"/>
        </w:rPr>
        <w:t>, p 1985.</w:t>
      </w:r>
      <w:r w:rsidRPr="00F616EF">
        <w:rPr>
          <w:rFonts w:eastAsia="-moz-fixed" w:cs="-moz-fixed"/>
          <w:szCs w:val="20"/>
          <w:lang w:val="en-US" w:eastAsia="ar-SA"/>
        </w:rPr>
        <w:t xml:space="preserve"> </w:t>
      </w:r>
      <w:hyperlink r:id="rId197" w:history="1">
        <w:r w:rsidRPr="00F616EF">
          <w:rPr>
            <w:rFonts w:eastAsia="-moz-fixed" w:cs="-moz-fixed"/>
            <w:color w:val="0000FF"/>
            <w:szCs w:val="24"/>
            <w:u w:val="single"/>
            <w:lang w:val="en-US" w:eastAsia="ar-SA"/>
          </w:rPr>
          <w:t>https://web.archive.org/web/20190304042302/http://www.blm.gov/or/plans/rmpswesternoregon/files/prmp/RMPWO_Vol_4_Appendix_W.pdf</w:t>
        </w:r>
      </w:hyperlink>
      <w:r w:rsidRPr="00F616EF">
        <w:rPr>
          <w:rFonts w:eastAsia="-moz-fixed" w:cs="-moz-fixed"/>
          <w:szCs w:val="24"/>
          <w:lang w:val="en-US" w:eastAsia="ar-SA"/>
        </w:rPr>
        <w:t xml:space="preserve">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It is important to recognize that forest wildlife evolved in ecosystems with fire so wildfire may not be adverse to wildlife. Bond (2016) reports changing evidence about the effects of fire on the three subspecies of spotted owls.</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As spotted owls are associated with dense, late-successional forests, biologists typically assumed that fires that burned at high intensity were similar to clearcut logging and had a negative impact on long-term survival of the species. Many land managers now believe that high-severity fires pose the greatest natural risk to owl habitat (Davis et al., 2016). Fire, however, is a different type of disturbance than logging. Before data were collected from spotted owls in burned forests, it was not unreasonable to assume that high-severity fire might eliminate habitat because it reduces canopy cover, kills trees, and consumes coarse woody debris—all of which comprise important structure for owls and their prey—but current research is revealing that a surprising number of spotted owl sites continue to be occupied and reproductively successful after experiencing fires of all intensities and that populations are quite resilient to fire. Further, spotted owls utilize complex early seral forests for foraging, providing evidence that severely burned forests can benefit spotted owls depending upon its extent and configuration (Bond et al., 2009; Comfort et al., 2016). Spotted owls evolved in landscapes where severe fire was an important component historically (Baker, 2015) …</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4"/>
          <w:lang w:val="en-US" w:eastAsia="ar-SA"/>
        </w:rPr>
        <w:t xml:space="preserve">One reason why spotted owls remain in burned territories is that fire enhances habitat for some of their primary prey species. … </w:t>
      </w:r>
      <w:r w:rsidRPr="00F616EF">
        <w:rPr>
          <w:rFonts w:eastAsia="-moz-fixed" w:cs="-moz-fixed"/>
          <w:szCs w:val="20"/>
          <w:lang w:val="en-US" w:eastAsia="ar-SA"/>
        </w:rPr>
        <w:t>Many small mammal species are more abundant in shrub- and herb-dominated habitats, vegetation typical of recently burned complex early seral forests.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w:t>
      </w:r>
    </w:p>
    <w:p w:rsidR="00F616EF" w:rsidRPr="00F616EF" w:rsidRDefault="00F616EF" w:rsidP="00F616EF">
      <w:pPr>
        <w:tabs>
          <w:tab w:val="left" w:pos="7110"/>
        </w:tabs>
        <w:suppressAutoHyphens/>
        <w:spacing w:line="240" w:lineRule="auto"/>
        <w:ind w:left="720"/>
        <w:rPr>
          <w:rFonts w:eastAsia="-moz-fixed" w:cs="-moz-fixed"/>
          <w:b/>
          <w:szCs w:val="20"/>
          <w:lang w:val="en-US" w:eastAsia="ar-SA"/>
        </w:rPr>
      </w:pPr>
      <w:r w:rsidRPr="00F616EF">
        <w:rPr>
          <w:rFonts w:eastAsia="-moz-fixed" w:cs="-moz-fixed"/>
          <w:b/>
          <w:szCs w:val="20"/>
          <w:lang w:val="en-US" w:eastAsia="ar-SA"/>
        </w:rPr>
        <w:t>Conclusions: An Emerging New Paradigm About Spotted Owls and Severe Wildfire</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Most spotted owl pairs generally survive and continue to reproduce in breeding sites that experienced severe fire across the range of the three owl subspecies.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Lower-quality sites (often vacant and nonreproductive) have lower occupancy with increasing amounts of severe fire, whereas higher-quality sites (occupied and reproductive before fire) remain occupied at similar rates as long-unburned forests, regardless of amount of severe fire.</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Spotted owls nest and roost in forested stands with high canopy cover (unburned/low burned) even in burned landscapes.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lastRenderedPageBreak/>
        <w:t>• Spotted owls forage in severely burned stands.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Home-range sizes are similar in burned and unburned landscapes.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Postfire logging is correlated with site abandonment and reduces survival.</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Studies of spotted owls in burned forests not subjected to postfire logging are necessary in order to separate and understand the relative influence of each disturbance.</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Contrary to current perceptions and recovery efforts for the spotted owl (USFWS, 2011, 2012), high-severity fire does not appear to be an immediate, dire threat to owl populations that requires massive landscape-level fuel-reduction treatments to mitigate fire effects (see, e.g., Hanson et al., 2009). Empirical studies conducted from 1 to 15 years after fires demonstrate that most burned sites occupied by spotted owl pairs remain occupied and reproductive at the same rates as long-unburned sites, regardless of the amount of high-severity fire in core areas. Burned sites where owls are not detected immediately after fire are often recolonized later, demonstrating the folly of concluding those sites permanently “lost” to spotted owls.</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w:t>
      </w:r>
    </w:p>
    <w:p w:rsidR="00F616EF" w:rsidRPr="00F616EF" w:rsidRDefault="00F616EF" w:rsidP="00F616EF">
      <w:pPr>
        <w:tabs>
          <w:tab w:val="left" w:pos="7110"/>
        </w:tabs>
        <w:suppressAutoHyphens/>
        <w:spacing w:line="240" w:lineRule="auto"/>
        <w:ind w:left="720"/>
        <w:rPr>
          <w:rFonts w:eastAsia="-moz-fixed" w:cs="-moz-fixed"/>
          <w:szCs w:val="20"/>
          <w:lang w:val="en-US" w:eastAsia="ar-SA"/>
        </w:rPr>
      </w:pPr>
      <w:r w:rsidRPr="00F616EF">
        <w:rPr>
          <w:rFonts w:eastAsia="-moz-fixed" w:cs="-moz-fixed"/>
          <w:szCs w:val="20"/>
          <w:lang w:val="en-US" w:eastAsia="ar-SA"/>
        </w:rPr>
        <w:t xml:space="preserve">Harvesting timber to lower risk of fire has adverse effects on spotted owls (e.g., </w:t>
      </w:r>
      <w:proofErr w:type="spellStart"/>
      <w:r w:rsidRPr="00F616EF">
        <w:rPr>
          <w:rFonts w:eastAsia="-moz-fixed" w:cs="-moz-fixed"/>
          <w:szCs w:val="20"/>
          <w:lang w:val="en-US" w:eastAsia="ar-SA"/>
        </w:rPr>
        <w:t>Tempel</w:t>
      </w:r>
      <w:proofErr w:type="spellEnd"/>
      <w:r w:rsidRPr="00F616EF">
        <w:rPr>
          <w:rFonts w:eastAsia="-moz-fixed" w:cs="-moz-fixed"/>
          <w:szCs w:val="20"/>
          <w:lang w:val="en-US" w:eastAsia="ar-SA"/>
        </w:rPr>
        <w:t xml:space="preserve"> et al., 2014), whereas fire itself has both costs and benefits depending on many factors. It is important to critically weigh these costs and benefits, especially since spotted owls evolved in landscapes shaped by wildfires (Baker, 2015). </w:t>
      </w:r>
      <w:proofErr w:type="spellStart"/>
      <w:r w:rsidRPr="00F616EF">
        <w:rPr>
          <w:rFonts w:eastAsia="-moz-fixed" w:cs="-moz-fixed"/>
          <w:szCs w:val="20"/>
          <w:lang w:val="en-US" w:eastAsia="ar-SA"/>
        </w:rPr>
        <w:t>Odion</w:t>
      </w:r>
      <w:proofErr w:type="spellEnd"/>
      <w:r w:rsidRPr="00F616EF">
        <w:rPr>
          <w:rFonts w:eastAsia="-moz-fixed" w:cs="-moz-fixed"/>
          <w:szCs w:val="20"/>
          <w:lang w:val="en-US" w:eastAsia="ar-SA"/>
        </w:rPr>
        <w:t xml:space="preserve"> et al. (2014) simulated changes in northern spotted owl habitat over a 40-year period following fire and the type of thinning typically proposed by federal land managers. The simulation showed that thinning over large landscapes would remove 3.4–6.0 times more late-successional forest over time in the Klamath and dry Cascades than forest fires would, even given a future increase in the amount of high-severity fire.</w:t>
      </w: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Bond, M.L. 2016. The Heat Is On: Spotted Owls and Wildfire. Reference Module in Earth Systems and Environmental Sciences</w:t>
      </w:r>
      <w:hyperlink r:id="rId198" w:history="1">
        <w:r w:rsidRPr="00F616EF">
          <w:rPr>
            <w:rFonts w:eastAsia="-moz-fixed" w:cs="-moz-fixed"/>
            <w:color w:val="0000FF"/>
            <w:szCs w:val="24"/>
            <w:u w:val="single"/>
            <w:lang w:val="en-US" w:eastAsia="ar-SA"/>
          </w:rPr>
          <w:t>http://dx.doi.org/10.1016/B978-0-12-409548-9.10014-4</w:t>
        </w:r>
      </w:hyperlink>
      <w:r w:rsidRPr="00F616EF">
        <w:rPr>
          <w:rFonts w:eastAsia="-moz-fixed" w:cs="-moz-fixed"/>
          <w:szCs w:val="24"/>
          <w:lang w:val="en-US" w:eastAsia="ar-SA"/>
        </w:rPr>
        <w:t>. See also, Lynn N. Schofield, Stephanie A. Eyes, Rodney B. Siegel, Sarah L. Stock. 2020. Habitat selection by spotted owls after a megafire in Yosemite National Park. Forest Ecology and Management, Volume 478, 2020, 118511, ISSN 0378-1127,</w:t>
      </w:r>
    </w:p>
    <w:p w:rsidR="00F616EF" w:rsidRPr="00F616EF" w:rsidRDefault="00F616EF" w:rsidP="00F616EF">
      <w:pPr>
        <w:tabs>
          <w:tab w:val="left" w:pos="7110"/>
        </w:tabs>
        <w:suppressAutoHyphens/>
        <w:spacing w:line="240" w:lineRule="auto"/>
        <w:rPr>
          <w:rFonts w:eastAsia="-moz-fixed" w:cs="-moz-fixed"/>
          <w:szCs w:val="24"/>
          <w:lang w:val="en-US" w:eastAsia="ar-SA"/>
        </w:rPr>
      </w:pPr>
      <w:hyperlink r:id="rId199" w:history="1">
        <w:r w:rsidRPr="00F616EF">
          <w:rPr>
            <w:rFonts w:eastAsia="-moz-fixed" w:cs="-moz-fixed"/>
            <w:color w:val="0000FF"/>
            <w:szCs w:val="24"/>
            <w:u w:val="single"/>
            <w:lang w:val="en-US" w:eastAsia="ar-SA"/>
          </w:rPr>
          <w:t>https://doi.org/10.1016/j.foreco.2020.118511</w:t>
        </w:r>
      </w:hyperlink>
      <w:r w:rsidRPr="00F616EF">
        <w:rPr>
          <w:rFonts w:eastAsia="-moz-fixed" w:cs="-moz-fixed"/>
          <w:szCs w:val="24"/>
          <w:lang w:val="en-US" w:eastAsia="ar-SA"/>
        </w:rPr>
        <w:t>. (“We examined specific habitat characteristics associated with [California] spotted owl presence before and after the [Rim] fire to understand how fire-induced changes in habitat structure may influence spotted owl territory selection. Spotted owls persisted and nested within the fire perimeter throughout the four post-fire years of our study at rates similar to what we observed in areas of Yosemite that were unaffected by the fire. However, within the fire perimeter, spotted owls avoided areas characterized by &gt;30% percent high severity fire. Prior to the fire, spotted owls selected for areas of high canopy cover relative to the rest of the landscape; after the fire, even though territory centers shifted substantially from pre-fire locations, pre-fire canopy cover remained a stronger predictor of spotted owl presence than post-fire canopy cover, or any other pre- or post-fire habitat variables we assessed.”).</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Another study showed that suitable spotted owl habitat is relatively resilient to fire effects.</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Pre-fire nesting/roosting habitat had lower probability of burning at moderate or high severity compared to other forest types under high burning conditions. Our results indicate that northern spotted owl habitat can buffer the negative effects of climate change by enhancing biodiversity and resistance to high-severity fires, which are predicted to increase in frequency and extent with climate change. Within this region, protecting large blocks of old forests could be an integral component of management plans that successfully maintain variability of forests in this mixed-ownership and mixed-severity fire regime landscape and enhance conservation of many species.</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proofErr w:type="spellStart"/>
      <w:r w:rsidRPr="00F616EF">
        <w:rPr>
          <w:rFonts w:eastAsia="-moz-fixed" w:cs="-moz-fixed"/>
          <w:szCs w:val="20"/>
          <w:lang w:val="en-US" w:eastAsia="ar-SA"/>
        </w:rPr>
        <w:lastRenderedPageBreak/>
        <w:t>Lesmeister</w:t>
      </w:r>
      <w:proofErr w:type="spellEnd"/>
      <w:r w:rsidRPr="00F616EF">
        <w:rPr>
          <w:rFonts w:eastAsia="-moz-fixed" w:cs="-moz-fixed"/>
          <w:szCs w:val="20"/>
          <w:lang w:val="en-US" w:eastAsia="ar-SA"/>
        </w:rPr>
        <w:t xml:space="preserve">, D. B., S. G. Sovern, R. J. Davis, D. M. Bell, M. J. Gregory, and J. C. </w:t>
      </w:r>
      <w:proofErr w:type="spellStart"/>
      <w:r w:rsidRPr="00F616EF">
        <w:rPr>
          <w:rFonts w:eastAsia="-moz-fixed" w:cs="-moz-fixed"/>
          <w:szCs w:val="20"/>
          <w:lang w:val="en-US" w:eastAsia="ar-SA"/>
        </w:rPr>
        <w:t>Vogeler</w:t>
      </w:r>
      <w:proofErr w:type="spellEnd"/>
      <w:r w:rsidRPr="00F616EF">
        <w:rPr>
          <w:rFonts w:eastAsia="-moz-fixed" w:cs="-moz-fixed"/>
          <w:szCs w:val="20"/>
          <w:lang w:val="en-US" w:eastAsia="ar-SA"/>
        </w:rPr>
        <w:t xml:space="preserve">. 2019. Mixed-severity wildfire and habitat of an old-forest obligate. Ecosphere 10(4):e02696. 10.1002/ecs2.2696. </w:t>
      </w:r>
      <w:hyperlink r:id="rId200" w:history="1">
        <w:r w:rsidRPr="00F616EF">
          <w:rPr>
            <w:rFonts w:eastAsia="-moz-fixed" w:cs="-moz-fixed"/>
            <w:color w:val="0000FF"/>
            <w:szCs w:val="20"/>
            <w:u w:val="single"/>
            <w:lang w:val="en-US" w:eastAsia="ar-SA"/>
          </w:rPr>
          <w:t>https://esajournals.onlinelibrary.wiley.com/doi/pdf/10.1002/ecs2.2696</w:t>
        </w:r>
      </w:hyperlink>
      <w:r w:rsidRPr="00F616EF">
        <w:rPr>
          <w:rFonts w:eastAsia="-moz-fixed" w:cs="-moz-fixed"/>
          <w:szCs w:val="20"/>
          <w:lang w:val="en-US" w:eastAsia="ar-SA"/>
        </w:rPr>
        <w:t>.</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p>
    <w:p w:rsidR="00F616EF" w:rsidRPr="00F616EF" w:rsidRDefault="00F616EF" w:rsidP="00F616EF">
      <w:pPr>
        <w:suppressAutoHyphens/>
        <w:autoSpaceDE w:val="0"/>
        <w:spacing w:line="240" w:lineRule="auto"/>
        <w:rPr>
          <w:rFonts w:eastAsia="-moz-fixed" w:cs="-moz-fixed"/>
          <w:szCs w:val="20"/>
          <w:lang w:val="en-US" w:eastAsia="ar-SA"/>
        </w:rPr>
      </w:pPr>
      <w:proofErr w:type="spellStart"/>
      <w:r w:rsidRPr="00F616EF">
        <w:rPr>
          <w:rFonts w:eastAsia="-moz-fixed" w:cs="-moz-fixed"/>
          <w:szCs w:val="20"/>
          <w:lang w:val="en-US" w:eastAsia="ar-SA"/>
        </w:rPr>
        <w:t>Lesmeister</w:t>
      </w:r>
      <w:proofErr w:type="spellEnd"/>
      <w:r w:rsidRPr="00F616EF">
        <w:rPr>
          <w:rFonts w:eastAsia="-moz-fixed" w:cs="-moz-fixed"/>
          <w:szCs w:val="20"/>
          <w:lang w:val="en-US" w:eastAsia="ar-SA"/>
        </w:rPr>
        <w:t xml:space="preserve"> et al (2021)--</w:t>
      </w:r>
    </w:p>
    <w:p w:rsidR="00F616EF" w:rsidRPr="00F616EF" w:rsidRDefault="00F616EF" w:rsidP="00F616EF">
      <w:pPr>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 xml:space="preserve">We examined the relationship between fire severity and suitable nesting forest in 472 large wildfires (&gt; 200 ha) that occurred in the northern spotted owl range during 1987–2017. … Averaged over all fires, the interior nesting forest burned at lower severity than edge or non-nesting forest. These relationships were consistent within the low severity, very frequent, and mixed severity, frequent fire regime areas. … Over the 30-year study, we found a strong positive trend in the proportion of wildfires that burned at high severity in the non-nesting forests, but not in the suitable nesting forest types. Conclusions: Under most wildfire conditions, the microclimate of interior patches of suitable nesting forests likely </w:t>
      </w:r>
      <w:proofErr w:type="spellStart"/>
      <w:r w:rsidRPr="00F616EF">
        <w:rPr>
          <w:rFonts w:eastAsia="-moz-fixed" w:cs="-moz-fixed"/>
          <w:szCs w:val="20"/>
          <w:lang w:val="en-US" w:eastAsia="ar-SA"/>
        </w:rPr>
        <w:t>ifmitigated</w:t>
      </w:r>
      <w:proofErr w:type="spellEnd"/>
      <w:r w:rsidRPr="00F616EF">
        <w:rPr>
          <w:rFonts w:eastAsia="-moz-fixed" w:cs="-moz-fixed"/>
          <w:szCs w:val="20"/>
          <w:lang w:val="en-US" w:eastAsia="ar-SA"/>
        </w:rPr>
        <w:t xml:space="preserve"> fire severity and thus functioned as fire refugia (i.e., burning at lower severity than the surrounding landscape). With changing climate, the future of interior forest as fire refugia is unknown, but trends suggest older forests can dampen the effect of increased wildfire activity and be an important component of landscapes with fire resiliency.</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proofErr w:type="spellStart"/>
      <w:r w:rsidRPr="00F616EF">
        <w:rPr>
          <w:rFonts w:eastAsia="-moz-fixed" w:cs="-moz-fixed"/>
          <w:szCs w:val="20"/>
          <w:lang w:val="en-US" w:eastAsia="ar-SA"/>
        </w:rPr>
        <w:t>Lesmeister</w:t>
      </w:r>
      <w:proofErr w:type="spellEnd"/>
      <w:r w:rsidRPr="00F616EF">
        <w:rPr>
          <w:rFonts w:eastAsia="-moz-fixed" w:cs="-moz-fixed"/>
          <w:szCs w:val="20"/>
          <w:lang w:val="en-US" w:eastAsia="ar-SA"/>
        </w:rPr>
        <w:t xml:space="preserve">, D.B., Davis, R.J., Sovern, S.G. et al. Northern spotted owl nesting forests as fire refugia: a 30-year synthesis of large wildfires. fire ecol 17, 32 (2021). </w:t>
      </w:r>
      <w:hyperlink r:id="rId201" w:history="1">
        <w:r w:rsidRPr="00F616EF">
          <w:rPr>
            <w:rFonts w:eastAsia="-moz-fixed" w:cs="-moz-fixed"/>
            <w:color w:val="0000FF"/>
            <w:szCs w:val="20"/>
            <w:u w:val="single"/>
            <w:lang w:val="en-US" w:eastAsia="ar-SA"/>
          </w:rPr>
          <w:t>https://doi.org/10.1186/s42408-021-00118-z</w:t>
        </w:r>
      </w:hyperlink>
      <w:r w:rsidRPr="00F616EF">
        <w:rPr>
          <w:rFonts w:eastAsia="-moz-fixed" w:cs="-moz-fixed"/>
          <w:szCs w:val="20"/>
          <w:lang w:val="en-US" w:eastAsia="ar-SA"/>
        </w:rPr>
        <w:t xml:space="preserve">; </w:t>
      </w:r>
      <w:hyperlink r:id="rId202" w:history="1">
        <w:r w:rsidRPr="00F616EF">
          <w:rPr>
            <w:rFonts w:eastAsia="-moz-fixed" w:cs="-moz-fixed"/>
            <w:color w:val="0000FF"/>
            <w:szCs w:val="20"/>
            <w:u w:val="single"/>
            <w:lang w:val="en-US" w:eastAsia="ar-SA"/>
          </w:rPr>
          <w:t>https://fireecology.springeropen.com/counter/pdf/10.1186/s42408-021-00118-z.pdf</w:t>
        </w:r>
      </w:hyperlink>
      <w:r w:rsidRPr="00F616EF">
        <w:rPr>
          <w:rFonts w:eastAsia="-moz-fixed" w:cs="-moz-fixed"/>
          <w:szCs w:val="20"/>
          <w:lang w:val="en-US" w:eastAsia="ar-SA"/>
        </w:rPr>
        <w:t xml:space="preserve">.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When all this evidence is put together, it becomes clear that "saving" the spotted owl by logging its habitat to reduce fuels often does not make any sense.</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Similar conclusions were reached is several studies, reviews, and expert commentaries, such as: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ascii="Times New Roman" w:eastAsia="-moz-fixed" w:hAnsi="Times New Roman" w:cs="Times New Roman"/>
          <w:szCs w:val="24"/>
          <w:lang w:val="en-US" w:eastAsia="ar-SA"/>
        </w:rPr>
      </w:pPr>
      <w:proofErr w:type="spellStart"/>
      <w:r w:rsidRPr="00F616EF">
        <w:rPr>
          <w:rFonts w:ascii="Times New Roman" w:eastAsia="Times New Roman" w:hAnsi="Times New Roman" w:cs="Times New Roman"/>
          <w:color w:val="000000"/>
          <w:szCs w:val="24"/>
          <w:lang w:val="en-US"/>
        </w:rPr>
        <w:t>Lehmkuhl</w:t>
      </w:r>
      <w:proofErr w:type="spellEnd"/>
      <w:r w:rsidRPr="00F616EF">
        <w:rPr>
          <w:rFonts w:ascii="Times New Roman" w:eastAsia="Times New Roman" w:hAnsi="Times New Roman" w:cs="Times New Roman"/>
          <w:color w:val="000000"/>
          <w:szCs w:val="24"/>
          <w:lang w:val="en-US"/>
        </w:rPr>
        <w:t xml:space="preserve"> et al. (2015) found -</w:t>
      </w:r>
    </w:p>
    <w:p w:rsidR="00F616EF" w:rsidRPr="00F616EF" w:rsidRDefault="00F616EF" w:rsidP="00F616EF">
      <w:pPr>
        <w:shd w:val="clear" w:color="auto" w:fill="FFFFFF"/>
        <w:tabs>
          <w:tab w:val="left" w:pos="7110"/>
        </w:tabs>
        <w:spacing w:line="240" w:lineRule="auto"/>
        <w:ind w:left="720"/>
        <w:rPr>
          <w:rFonts w:ascii="Times New Roman" w:eastAsia="Times New Roman" w:hAnsi="Times New Roman" w:cs="Times New Roman"/>
          <w:color w:val="222222"/>
          <w:szCs w:val="24"/>
          <w:lang w:val="en-US"/>
        </w:rPr>
      </w:pPr>
      <w:r w:rsidRPr="00F616EF">
        <w:rPr>
          <w:rFonts w:ascii="Times New Roman" w:eastAsia="Times New Roman" w:hAnsi="Times New Roman" w:cs="Times New Roman"/>
          <w:color w:val="222222"/>
          <w:szCs w:val="24"/>
          <w:lang w:val="en-US"/>
        </w:rPr>
        <w:t>3. </w:t>
      </w:r>
      <w:r w:rsidRPr="00F616EF">
        <w:rPr>
          <w:rFonts w:ascii="Times New Roman" w:eastAsia="Times New Roman" w:hAnsi="Times New Roman" w:cs="Times New Roman"/>
          <w:b/>
          <w:bCs/>
          <w:color w:val="222222"/>
          <w:szCs w:val="24"/>
          <w:lang w:val="en-US"/>
        </w:rPr>
        <w:t>Tradeoffs between fire resistance and NSO habitat quality are real. </w:t>
      </w:r>
      <w:r w:rsidRPr="00F616EF">
        <w:rPr>
          <w:rFonts w:ascii="Times New Roman" w:eastAsia="Times New Roman" w:hAnsi="Times New Roman" w:cs="Times New Roman"/>
          <w:color w:val="222222"/>
          <w:szCs w:val="24"/>
          <w:lang w:val="en-US"/>
        </w:rPr>
        <w:t>Our results demonstrate that balancing the goals of increasing fire resilience while maintaining habitat function, especially nesting and roosting, for the NSO in the same individual stand is a difficult, if not an impossible, task. Even lighter thinning treatments typically reduce canopy cover below 40 percent. The reality is that nesting and roosting NSO habitat is by definition very susceptible to high-severity fire; owl habitat value and fire risk are in direct conflict on any given acre. …</w:t>
      </w:r>
    </w:p>
    <w:p w:rsidR="00F616EF" w:rsidRPr="00F616EF" w:rsidRDefault="00F616EF" w:rsidP="00F616EF">
      <w:pPr>
        <w:shd w:val="clear" w:color="auto" w:fill="FFFFFF"/>
        <w:tabs>
          <w:tab w:val="left" w:pos="7110"/>
        </w:tabs>
        <w:spacing w:line="240" w:lineRule="auto"/>
        <w:rPr>
          <w:rFonts w:ascii="Times New Roman" w:eastAsia="Times New Roman" w:hAnsi="Times New Roman" w:cs="Times New Roman"/>
          <w:szCs w:val="24"/>
          <w:lang w:val="en-US"/>
        </w:rPr>
      </w:pPr>
      <w:proofErr w:type="spellStart"/>
      <w:r w:rsidRPr="00F616EF">
        <w:rPr>
          <w:rFonts w:ascii="Times New Roman" w:eastAsia="Times New Roman" w:hAnsi="Times New Roman" w:cs="Times New Roman"/>
          <w:color w:val="000000"/>
          <w:szCs w:val="24"/>
          <w:lang w:val="en-US"/>
        </w:rPr>
        <w:t>Lehmkuhl</w:t>
      </w:r>
      <w:proofErr w:type="spellEnd"/>
      <w:r w:rsidRPr="00F616EF">
        <w:rPr>
          <w:rFonts w:ascii="Times New Roman" w:eastAsia="Times New Roman" w:hAnsi="Times New Roman" w:cs="Times New Roman"/>
          <w:color w:val="000000"/>
          <w:szCs w:val="24"/>
          <w:lang w:val="en-US"/>
        </w:rPr>
        <w:t>, John; Gaines, William; Peterson, Dave W.; Bailey, John; Youngblood, Andrew, tech. eds. 2015. Silviculture and monitoring guidelines for integrating restoration of dry mixed-conifer forest and spotted owl habitat management in the eastern Cascade Range. Gen. Tech. Rep. PNW-GTR-915. Portland, OR: U.S. Department of Agriculture, Forest Service, Pacific Northwest Research Station. 158 p. ​</w:t>
      </w:r>
      <w:hyperlink r:id="rId203" w:history="1">
        <w:r w:rsidRPr="00F616EF">
          <w:rPr>
            <w:rFonts w:ascii="Times New Roman" w:eastAsia="Times New Roman" w:hAnsi="Times New Roman" w:cs="Times New Roman"/>
            <w:color w:val="0000FF"/>
            <w:szCs w:val="24"/>
            <w:u w:val="single"/>
            <w:shd w:val="clear" w:color="auto" w:fill="FFFFFF"/>
            <w:lang w:val="en-US"/>
          </w:rPr>
          <w:t>http://www.fs.usda.gov/pnw/pubs/pnw_gtr915.pdf</w:t>
        </w:r>
      </w:hyperlink>
      <w:r w:rsidRPr="00F616EF">
        <w:rPr>
          <w:rFonts w:ascii="Times New Roman" w:eastAsia="Times New Roman" w:hAnsi="Times New Roman" w:cs="Times New Roman"/>
          <w:szCs w:val="24"/>
          <w:lang w:val="en-US"/>
        </w:rPr>
        <w:t xml:space="preserve">. The authors, however, made no meaningful attempt to resolve these trade-offs. </w:t>
      </w:r>
    </w:p>
    <w:p w:rsidR="00F616EF" w:rsidRPr="00F616EF" w:rsidRDefault="00F616EF" w:rsidP="00F616EF">
      <w:pPr>
        <w:shd w:val="clear" w:color="auto" w:fill="FFFFFF"/>
        <w:tabs>
          <w:tab w:val="left" w:pos="7110"/>
        </w:tab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proofErr w:type="spellStart"/>
      <w:r w:rsidRPr="00F616EF">
        <w:rPr>
          <w:rFonts w:eastAsia="-moz-fixed" w:cs="-moz-fixed"/>
          <w:szCs w:val="24"/>
          <w:lang w:val="en-US" w:eastAsia="ar-SA"/>
        </w:rPr>
        <w:t>Odion</w:t>
      </w:r>
      <w:proofErr w:type="spellEnd"/>
      <w:r w:rsidRPr="00F616EF">
        <w:rPr>
          <w:rFonts w:eastAsia="-moz-fixed" w:cs="-moz-fixed"/>
          <w:szCs w:val="24"/>
          <w:lang w:val="en-US" w:eastAsia="ar-SA"/>
        </w:rPr>
        <w:t xml:space="preserve"> et al. (2014), who looked at the relative effects of fire versus thinning and fire on spotted owl habitat in two regions of interest: the Klamath and dry Cascades --</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 xml:space="preserve">Using empirical data, we calculated the future amount of spotted owl habitat that may be maintained with these rates of high-severity fire and ongoing forest regrowth rates with and without commercial thinning. Over 40 years, habitat loss would be far greater than with no thinning because, under a “best case” scenario, thinning reduced 3.4 and 6.0 times more dense, late-successional forest than it prevented from burning in high-severity fire in the Klamath and dry Cascades, respectively. Even if rates of fire increase substantially, the requirement that the long-term benefits of commercial thinning clearly </w:t>
      </w:r>
      <w:r w:rsidRPr="00F616EF">
        <w:rPr>
          <w:rFonts w:eastAsia="-moz-fixed" w:cs="-moz-fixed"/>
          <w:szCs w:val="24"/>
          <w:lang w:val="en-US" w:eastAsia="ar-SA"/>
        </w:rPr>
        <w:lastRenderedPageBreak/>
        <w:t>outweigh adverse impacts is not attainable with commercial thinning in spotted owl habitat. It is also becoming increasingly recognized that exclusion of high-severity fire may not benefit spotted owls in areas where owls evolved with reoccurring fires in the landscape.</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 xml:space="preserve">We found that the habitat recruitment rate exceeded the rate of severe fire by a factor of 4.5 in the Klamath and 10 in the dry Cascades, leading to a deterministic increase in dense forest habitat over time, assuming no other disturbance  events. In contrast, previous published assessments of fire on spotted owls have not explicitly considered fire and forest regrowth rates (Wilson and Baker 1998, Lee and Irwin 2005, </w:t>
      </w:r>
      <w:proofErr w:type="spellStart"/>
      <w:r w:rsidRPr="00F616EF">
        <w:rPr>
          <w:rFonts w:eastAsia="-moz-fixed" w:cs="-moz-fixed"/>
          <w:szCs w:val="24"/>
          <w:lang w:val="en-US" w:eastAsia="ar-SA"/>
        </w:rPr>
        <w:t>Roloff</w:t>
      </w:r>
      <w:proofErr w:type="spellEnd"/>
      <w:r w:rsidRPr="00F616EF">
        <w:rPr>
          <w:rFonts w:eastAsia="-moz-fixed" w:cs="-moz-fixed"/>
          <w:szCs w:val="24"/>
          <w:lang w:val="en-US" w:eastAsia="ar-SA"/>
        </w:rPr>
        <w:t xml:space="preserve"> et al. 2005, 2012, </w:t>
      </w:r>
      <w:proofErr w:type="spellStart"/>
      <w:r w:rsidRPr="00F616EF">
        <w:rPr>
          <w:rFonts w:eastAsia="-moz-fixed" w:cs="-moz-fixed"/>
          <w:szCs w:val="24"/>
          <w:lang w:val="en-US" w:eastAsia="ar-SA"/>
        </w:rPr>
        <w:t>Calkin</w:t>
      </w:r>
      <w:proofErr w:type="spellEnd"/>
      <w:r w:rsidRPr="00F616EF">
        <w:rPr>
          <w:rFonts w:eastAsia="-moz-fixed" w:cs="-moz-fixed"/>
          <w:szCs w:val="24"/>
          <w:lang w:val="en-US" w:eastAsia="ar-SA"/>
        </w:rPr>
        <w:t xml:space="preserve"> et al. 2005, Hummel and </w:t>
      </w:r>
      <w:proofErr w:type="spellStart"/>
      <w:r w:rsidRPr="00F616EF">
        <w:rPr>
          <w:rFonts w:eastAsia="-moz-fixed" w:cs="-moz-fixed"/>
          <w:szCs w:val="24"/>
          <w:lang w:val="en-US" w:eastAsia="ar-SA"/>
        </w:rPr>
        <w:t>Calkin</w:t>
      </w:r>
      <w:proofErr w:type="spellEnd"/>
      <w:r w:rsidRPr="00F616EF">
        <w:rPr>
          <w:rFonts w:eastAsia="-moz-fixed" w:cs="-moz-fixed"/>
          <w:szCs w:val="24"/>
          <w:lang w:val="en-US" w:eastAsia="ar-SA"/>
        </w:rPr>
        <w:t xml:space="preserve"> 2005, Ager et al. 2007, </w:t>
      </w:r>
      <w:proofErr w:type="spellStart"/>
      <w:r w:rsidRPr="00F616EF">
        <w:rPr>
          <w:rFonts w:eastAsia="-moz-fixed" w:cs="-moz-fixed"/>
          <w:szCs w:val="24"/>
          <w:lang w:val="en-US" w:eastAsia="ar-SA"/>
        </w:rPr>
        <w:t>Lehmkuhl</w:t>
      </w:r>
      <w:proofErr w:type="spellEnd"/>
      <w:r w:rsidRPr="00F616EF">
        <w:rPr>
          <w:rFonts w:eastAsia="-moz-fixed" w:cs="-moz-fixed"/>
          <w:szCs w:val="24"/>
          <w:lang w:val="en-US" w:eastAsia="ar-SA"/>
        </w:rPr>
        <w:t xml:space="preserve"> et al. 2007). Not including the probability of high-severity fire, which is low, leads to highly inflated projections of the effects of thinning versus not thinning on high-severity fire (Rhodes and Baker 2008, Campbell et al. 2012). </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 xml:space="preserve"> Our calculations of thinning effects included rates of forest regrowth along with high-severity fire. The calculations illustrate how the requirement that the long-term benefits of thinning clearly outweigh adverse impacts (USFWS 2011) is not attainable as long as treatments have adverse impacts on spotted owl habitat. This is because the amount of dense, late-successional forest that might be prevented from burning severely would be a fraction of the area that would be thinned.</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This would not be a concern if thinning effects were neutral, but the commercial thinning prescriptions being implemented call for forests with basal area reduced by nearly half to 13.5-27.5 m2/ha, which is mostly well below the minimum level known to function as nesting and roosting habitat (ca. 23 m2/ha) (Buchanan et al. 1995, 1998). … Even an immediate doubling of fire rates due to climate change or other factors would result in far less habitat affected by high-severity fire than thinning. In addition, much of the high-severity fire might occur regardless of thinning, especially if the efficacy of thinning in reducing high-severity fire is reduced as fire becomes more controlled by climate and weather (Cruz and Alexander 2010). Clearly, the strategy of trying to maintain more dense, late-successional forest habitat by reducing fire does not work if the method for reducing fire adversely affects far more of this forest habitat than would high-severity fire, and the high-severity fire might occur anyway because it is largely controlled by climate and weather.</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w:t>
      </w:r>
    </w:p>
    <w:p w:rsidR="00F616EF" w:rsidRPr="00F616EF" w:rsidRDefault="00F616EF" w:rsidP="00F616EF">
      <w:pPr>
        <w:tabs>
          <w:tab w:val="left" w:pos="7110"/>
        </w:tabs>
        <w:suppressAutoHyphens/>
        <w:spacing w:line="240" w:lineRule="auto"/>
        <w:ind w:left="720"/>
        <w:rPr>
          <w:rFonts w:eastAsia="-moz-fixed" w:cs="-moz-fixed"/>
          <w:szCs w:val="24"/>
          <w:lang w:val="en-US" w:eastAsia="ar-SA"/>
        </w:rPr>
      </w:pPr>
      <w:r w:rsidRPr="00F616EF">
        <w:rPr>
          <w:rFonts w:eastAsia="-moz-fixed" w:cs="-moz-fixed"/>
          <w:szCs w:val="24"/>
          <w:lang w:val="en-US" w:eastAsia="ar-SA"/>
        </w:rPr>
        <w:t>While much of the concern about fire and thinning in dry forests of the Pacific Northwest has focused on spotted owls, it may also apply to other biota associated with dense, old forests, including species of conservation concern, such as Pacific fisher (</w:t>
      </w:r>
      <w:proofErr w:type="spellStart"/>
      <w:r w:rsidRPr="00F616EF">
        <w:rPr>
          <w:rFonts w:eastAsia="-moz-fixed" w:cs="-moz-fixed"/>
          <w:i/>
          <w:szCs w:val="24"/>
          <w:lang w:val="en-US" w:eastAsia="ar-SA"/>
        </w:rPr>
        <w:t>Martes</w:t>
      </w:r>
      <w:proofErr w:type="spellEnd"/>
      <w:r w:rsidRPr="00F616EF">
        <w:rPr>
          <w:rFonts w:eastAsia="-moz-fixed" w:cs="-moz-fixed"/>
          <w:i/>
          <w:szCs w:val="24"/>
          <w:lang w:val="en-US" w:eastAsia="ar-SA"/>
        </w:rPr>
        <w:t xml:space="preserve"> </w:t>
      </w:r>
      <w:proofErr w:type="spellStart"/>
      <w:r w:rsidRPr="00F616EF">
        <w:rPr>
          <w:rFonts w:eastAsia="-moz-fixed" w:cs="-moz-fixed"/>
          <w:i/>
          <w:szCs w:val="24"/>
          <w:lang w:val="en-US" w:eastAsia="ar-SA"/>
        </w:rPr>
        <w:t>pennanti</w:t>
      </w:r>
      <w:proofErr w:type="spellEnd"/>
      <w:r w:rsidRPr="00F616EF">
        <w:rPr>
          <w:rFonts w:eastAsia="-moz-fixed" w:cs="-moz-fixed"/>
          <w:i/>
          <w:szCs w:val="24"/>
          <w:lang w:val="en-US" w:eastAsia="ar-SA"/>
        </w:rPr>
        <w:t xml:space="preserve"> </w:t>
      </w:r>
      <w:proofErr w:type="spellStart"/>
      <w:r w:rsidRPr="00F616EF">
        <w:rPr>
          <w:rFonts w:eastAsia="-moz-fixed" w:cs="-moz-fixed"/>
          <w:i/>
          <w:szCs w:val="24"/>
          <w:lang w:val="en-US" w:eastAsia="ar-SA"/>
        </w:rPr>
        <w:t>pacifica</w:t>
      </w:r>
      <w:proofErr w:type="spellEnd"/>
      <w:r w:rsidRPr="00F616EF">
        <w:rPr>
          <w:rFonts w:eastAsia="-moz-fixed" w:cs="-moz-fixed"/>
          <w:szCs w:val="24"/>
          <w:lang w:val="en-US" w:eastAsia="ar-SA"/>
        </w:rPr>
        <w:t>), which research indicates may benefit from mixed-severity fire (Hanson 2013), the Northern Goshawk (</w:t>
      </w:r>
      <w:r w:rsidRPr="00F616EF">
        <w:rPr>
          <w:rFonts w:eastAsia="-moz-fixed" w:cs="-moz-fixed"/>
          <w:i/>
          <w:szCs w:val="24"/>
          <w:lang w:val="en-US" w:eastAsia="ar-SA"/>
        </w:rPr>
        <w:t xml:space="preserve">Accipiter </w:t>
      </w:r>
      <w:proofErr w:type="spellStart"/>
      <w:r w:rsidRPr="00F616EF">
        <w:rPr>
          <w:rFonts w:eastAsia="-moz-fixed" w:cs="-moz-fixed"/>
          <w:i/>
          <w:szCs w:val="24"/>
          <w:lang w:val="en-US" w:eastAsia="ar-SA"/>
        </w:rPr>
        <w:t>gentilis</w:t>
      </w:r>
      <w:proofErr w:type="spellEnd"/>
      <w:r w:rsidRPr="00F616EF">
        <w:rPr>
          <w:rFonts w:eastAsia="-moz-fixed" w:cs="-moz-fixed"/>
          <w:szCs w:val="24"/>
          <w:lang w:val="en-US" w:eastAsia="ar-SA"/>
        </w:rPr>
        <w:t>), and, following fire, the Black-backed Woodpecker (</w:t>
      </w:r>
      <w:proofErr w:type="spellStart"/>
      <w:r w:rsidRPr="00F616EF">
        <w:rPr>
          <w:rFonts w:eastAsia="-moz-fixed" w:cs="-moz-fixed"/>
          <w:i/>
          <w:szCs w:val="24"/>
          <w:lang w:val="en-US" w:eastAsia="ar-SA"/>
        </w:rPr>
        <w:t>Picoides</w:t>
      </w:r>
      <w:proofErr w:type="spellEnd"/>
      <w:r w:rsidRPr="00F616EF">
        <w:rPr>
          <w:rFonts w:eastAsia="-moz-fixed" w:cs="-moz-fixed"/>
          <w:i/>
          <w:szCs w:val="24"/>
          <w:lang w:val="en-US" w:eastAsia="ar-SA"/>
        </w:rPr>
        <w:t xml:space="preserve"> </w:t>
      </w:r>
      <w:proofErr w:type="spellStart"/>
      <w:r w:rsidRPr="00F616EF">
        <w:rPr>
          <w:rFonts w:eastAsia="-moz-fixed" w:cs="-moz-fixed"/>
          <w:i/>
          <w:szCs w:val="24"/>
          <w:lang w:val="en-US" w:eastAsia="ar-SA"/>
        </w:rPr>
        <w:t>arcticus</w:t>
      </w:r>
      <w:proofErr w:type="spellEnd"/>
      <w:r w:rsidRPr="00F616EF">
        <w:rPr>
          <w:rFonts w:eastAsia="-moz-fixed" w:cs="-moz-fixed"/>
          <w:szCs w:val="24"/>
          <w:lang w:val="en-US" w:eastAsia="ar-SA"/>
        </w:rPr>
        <w:t>), … Our findings highlight the need to be cautious about conclusions that thinning treatments are needed for species found in dense forest and that they will not have unintended consequences (e.g., Stephens et al.2012) until long-term, cumulative impacts are better understood. As we found with spotted owls, long-term and unintended consequences may be substantial for species that rely on dense, late-successional forests,</w:t>
      </w: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t xml:space="preserve">Dennis C. </w:t>
      </w:r>
      <w:proofErr w:type="spellStart"/>
      <w:r w:rsidRPr="00F616EF">
        <w:rPr>
          <w:rFonts w:eastAsia="-moz-fixed" w:cs="-moz-fixed"/>
          <w:szCs w:val="24"/>
          <w:lang w:val="en-US" w:eastAsia="ar-SA"/>
        </w:rPr>
        <w:t>Odion</w:t>
      </w:r>
      <w:proofErr w:type="spellEnd"/>
      <w:r w:rsidRPr="00F616EF">
        <w:rPr>
          <w:rFonts w:eastAsia="-moz-fixed" w:cs="-moz-fixed"/>
          <w:szCs w:val="24"/>
          <w:lang w:val="en-US" w:eastAsia="ar-SA"/>
        </w:rPr>
        <w:t xml:space="preserve">, Chad T. Hanson, Dominick. A. </w:t>
      </w:r>
      <w:proofErr w:type="spellStart"/>
      <w:r w:rsidRPr="00F616EF">
        <w:rPr>
          <w:rFonts w:eastAsia="-moz-fixed" w:cs="-moz-fixed"/>
          <w:szCs w:val="24"/>
          <w:lang w:val="en-US" w:eastAsia="ar-SA"/>
        </w:rPr>
        <w:t>DellaSala</w:t>
      </w:r>
      <w:proofErr w:type="spellEnd"/>
      <w:r w:rsidRPr="00F616EF">
        <w:rPr>
          <w:rFonts w:eastAsia="-moz-fixed" w:cs="-moz-fixed"/>
          <w:szCs w:val="24"/>
          <w:lang w:val="en-US" w:eastAsia="ar-SA"/>
        </w:rPr>
        <w:t xml:space="preserve">, William L. Baker, and Monica L. Bond. 2014. Effects of Fire and Commercial Thinning on Future Habitat of the Northern Spotted Owl. The Open Ecology Journal, 2014, 7, 37-51 37. </w:t>
      </w:r>
      <w:hyperlink r:id="rId204" w:history="1">
        <w:r w:rsidRPr="00F616EF">
          <w:rPr>
            <w:rFonts w:eastAsia="-moz-fixed" w:cs="-moz-fixed"/>
            <w:color w:val="0000FF"/>
            <w:szCs w:val="24"/>
            <w:u w:val="single"/>
            <w:lang w:val="en-US" w:eastAsia="ar-SA"/>
          </w:rPr>
          <w:t>http://benthamopen.com/toecolj/articles/V007/37TOECOLJ.pdf</w:t>
        </w:r>
      </w:hyperlink>
      <w:r w:rsidRPr="00F616EF">
        <w:rPr>
          <w:rFonts w:eastAsia="-moz-fixed" w:cs="-moz-fixed"/>
          <w:szCs w:val="24"/>
          <w:lang w:val="en-US" w:eastAsia="ar-SA"/>
        </w:rPr>
        <w:t xml:space="preserve">  </w:t>
      </w:r>
    </w:p>
    <w:p w:rsidR="00F616EF" w:rsidRPr="00F616EF" w:rsidRDefault="00F616EF" w:rsidP="00F616EF">
      <w:pPr>
        <w:tabs>
          <w:tab w:val="left" w:pos="7110"/>
        </w:tabs>
        <w:suppressAutoHyphens/>
        <w:spacing w:line="240" w:lineRule="auto"/>
        <w:rPr>
          <w:rFonts w:eastAsia="-moz-fixed" w:cs="-moz-fixed"/>
          <w:szCs w:val="24"/>
          <w:lang w:val="en-US" w:eastAsia="ar-SA"/>
        </w:rPr>
      </w:pPr>
    </w:p>
    <w:p w:rsidR="00F616EF" w:rsidRPr="00F616EF" w:rsidRDefault="00F616EF" w:rsidP="00F616EF">
      <w:pPr>
        <w:tabs>
          <w:tab w:val="left" w:pos="7110"/>
        </w:tabs>
        <w:suppressAutoHyphens/>
        <w:spacing w:line="240" w:lineRule="auto"/>
        <w:rPr>
          <w:rFonts w:eastAsia="-moz-fixed" w:cs="-moz-fixed"/>
          <w:szCs w:val="24"/>
          <w:lang w:val="en-US" w:eastAsia="ar-SA"/>
        </w:rPr>
      </w:pPr>
      <w:r w:rsidRPr="00F616EF">
        <w:rPr>
          <w:rFonts w:eastAsia="-moz-fixed" w:cs="-moz-fixed"/>
          <w:szCs w:val="24"/>
          <w:lang w:val="en-US" w:eastAsia="ar-SA"/>
        </w:rPr>
        <w:lastRenderedPageBreak/>
        <w:t xml:space="preserve">The Wildlife Society (TWS) peer review of the 2010 Draft Recovery Plan for the Spotted Owl. The draft plan called for extensive logging to reduce fire hazard (“inaction is not an option”). TWS used state-and-transition model to evaluate the effects of opening dry forests to reduce fire hazard versus the effects of wildfire. </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ascii="Courier" w:eastAsia="-moz-fixed" w:hAnsi="Courier" w:cs="Courier"/>
          <w:szCs w:val="24"/>
          <w:lang w:val="en-US" w:eastAsia="ar-SA"/>
        </w:rPr>
        <w:t xml:space="preserve"> </w:t>
      </w:r>
      <w:r w:rsidRPr="00F616EF">
        <w:rPr>
          <w:rFonts w:eastAsia="-moz-fixed" w:cs="-moz-fixed"/>
          <w:szCs w:val="24"/>
          <w:lang w:val="en-US" w:eastAsia="ar-SA"/>
        </w:rPr>
        <w:t>The results of running the model with 2/3rds of the landscape treated leads to open forest becoming predominant after a couple of decades, occupying 51 percent of the forested landscape, while mature, closed forest drops to 29 and 24 percent of the Klamath and dry Cascades forests, respectively (Appendix A, Figure 5, shows the Cascades). Treatments that maintain open forests in 2/3rds of the landscape put such a limit on the amount of closed forest that can occur, even if high severity fires were to be completely eliminated under this scenario, there would only be 35 percent of the landscape occupied by closed forests. In contrast, to the extensive treatment scenario, treating only 20 percent of the landscape reduces mature, closed canopy forest by about 11 percent (Appendix A, Figure 6).</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 xml:space="preserve"> One justification for the extensive treatment scenario promoted in the 2010 DRRP is that it is needed because of increased fire hypothesized to occur under climate change. By doubling the rate of high severity fire by 2050 with 2/3rds of the landscape treated, closed canopy forest is reduced to 25 percent in the Klamath compared to 60 percent without treatment and 23 percent in the dry Cascades compared to 54 percent without treatment.</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 xml:space="preserve"> Under what scenario might treatments that open forest canopies lead to more closed canopy spotted owl habitat? The direct cost to close forests with treatments that open them is simply equal to the proportion of the landscape that is treated. This reduction in closed canopy forest can only be offset over time if the ratio of forest regrowth to stand-replacing fire is below 1 (5-8 times more fire than today), and shifts to above 1 with the treatments (and most or all stand replacing fire in treated sites is eliminated, as modeled here). Another scenario that allows closed forests to increase would be if treating small areas eliminated essentially all future stand replacing fire, not only in treated areas, but across the entire landscape. This scenario obviously relies on substantially greater control over fire than is currently feasible, and it would increase impacts of fire exclusion if effective.</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 xml:space="preserve"> In sum, to recognize effects of fire and treatments on future amounts of closed forest habitat, it is necessary to explicitly and simultaneously consider the rates of fire, forest recruitment, and forest treatment over time, which has not yet been done by the Service.</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The potential impacts of fuel treatments on spotted owls are not considered. … We also know little about the impacts of fire, yet this has been treated as a major threat, leading to proposing more fuel treatments. However, it is uncertain at this time which is a bigger threats, fires or treatments to reduce risk of fires. … If the plan intends to use the best available science to describe ongoing impacts to spotted owl habitat, information and literature about disturbances to reduce fuels should be included.</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4"/>
          <w:lang w:val="en-US" w:eastAsia="ar-SA"/>
        </w:rPr>
        <w:t>… there has been no formal accounting of how closed canopy forests can be maintained with the widespread treatments that are being proposed.</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szCs w:val="24"/>
          <w:lang w:val="en-US" w:eastAsia="ar-SA"/>
        </w:rPr>
        <w:t xml:space="preserve">The Wildlife Society 2010. Peer Review of the Draft Revised Recovery Plan for Northern Spotted Owl. November 15, 2010. </w:t>
      </w:r>
      <w:hyperlink r:id="rId205" w:history="1">
        <w:r w:rsidRPr="00F616EF">
          <w:rPr>
            <w:rFonts w:eastAsia="-moz-fixed" w:cs="-moz-fixed"/>
            <w:color w:val="0000FF"/>
            <w:szCs w:val="24"/>
            <w:u w:val="single"/>
            <w:lang w:val="en-US" w:eastAsia="ar-SA"/>
          </w:rPr>
          <w:t>https://web.archive.org/web/20130404023135/http://www.fws.gov/oregonfwo/Species/Data/NorthernSpottedOwl/Recovery/Library/Documents/TWSDraftRPReview.pdf</w:t>
        </w:r>
      </w:hyperlink>
      <w:r w:rsidRPr="00F616EF">
        <w:rPr>
          <w:rFonts w:eastAsia="-moz-fixed" w:cs="-moz-fixed"/>
          <w:szCs w:val="24"/>
          <w:lang w:val="en-US" w:eastAsia="ar-SA"/>
        </w:rPr>
        <w:t>.</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eastAsia="-moz-fixed" w:cs="-moz-fixed"/>
          <w:szCs w:val="24"/>
          <w:lang w:val="en-US" w:eastAsia="ar-SA"/>
        </w:rPr>
        <w:t>This analysis is consisten</w:t>
      </w:r>
      <w:r w:rsidRPr="00F616EF">
        <w:rPr>
          <w:rFonts w:eastAsia="-moz-fixed" w:cs="-moz-fixed"/>
          <w:szCs w:val="20"/>
          <w:lang w:val="en-US" w:eastAsia="ar-SA"/>
        </w:rPr>
        <w:t>t with the findings of Raphael et al (2013) used a state-and-transition model to explore the effects of landscape fuel reduction logging on spotted owls and found</w:t>
      </w:r>
      <w:r w:rsidRPr="00F616EF">
        <w:rPr>
          <w:rFonts w:eastAsia="-moz-fixed" w:cs="-moz-fixed"/>
          <w:szCs w:val="24"/>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4"/>
          <w:lang w:val="en-US" w:eastAsia="ar-SA"/>
        </w:rPr>
      </w:pPr>
      <w:r w:rsidRPr="00F616EF">
        <w:rPr>
          <w:rFonts w:eastAsia="-moz-fixed" w:cs="-moz-fixed"/>
          <w:szCs w:val="20"/>
          <w:lang w:val="en-US" w:eastAsia="ar-SA"/>
        </w:rPr>
        <w:lastRenderedPageBreak/>
        <w:t xml:space="preserve">Active fuel reduction activities in moderate habitat contributed to substantial short-term (simulation years 0 to 30) population declines under the larger area, higher intensity scenarios. … The combination of BDOW interactions and high-intensity, larger-area treatments contributed to the most substantial NSO population bottlenecks. The combined effects of aggressive fuel </w:t>
      </w:r>
      <w:r w:rsidRPr="00F616EF">
        <w:rPr>
          <w:rFonts w:eastAsia="-moz-fixed" w:cs="-moz-fixed"/>
          <w:szCs w:val="24"/>
          <w:lang w:val="en-US" w:eastAsia="ar-SA"/>
        </w:rPr>
        <w:t>reduction treatment approaches and interactions with BDOWs have the potential to contribute to increased extinction risk for NSOs in both analysis areas. … It appears that management regimes that take out owl habitat through treatments (either current or potential future) do not reduce the amount of habitat that is lost to wildfire enough to make up for the habitats lost through treatments.</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r w:rsidRPr="00F616EF">
        <w:rPr>
          <w:rFonts w:eastAsia="-moz-fixed" w:cs="-moz-fixed"/>
          <w:szCs w:val="24"/>
          <w:lang w:val="en-US" w:eastAsia="ar-SA"/>
        </w:rPr>
        <w:t xml:space="preserve">Principle Investigator: Dr. Martin G. Raphael. Project Title: Assessing the Compatibility of Fuel Treatments, Wildfire Risk, and Conservation of Northern Spotted Owl Habitats and Populations in the Eastern Cascades: A Multi-scale Analysis. JFSP 09-1-08-31 Final Report, Page 19. </w:t>
      </w:r>
      <w:hyperlink r:id="rId206" w:history="1">
        <w:r w:rsidRPr="00F616EF">
          <w:rPr>
            <w:rFonts w:eastAsia="-moz-fixed" w:cs="-moz-fixed"/>
            <w:color w:val="0000FF"/>
            <w:szCs w:val="20"/>
            <w:u w:val="single"/>
            <w:lang w:val="en-US" w:eastAsia="ar-SA"/>
          </w:rPr>
          <w:t>https://web.archive.org/web/20150529205509/https://www.firescience.gov/projects/09-1-08-31/project/09-1-08-31_final_report.pdf</w:t>
        </w:r>
      </w:hyperlink>
      <w:r w:rsidRPr="00F616EF">
        <w:rPr>
          <w:rFonts w:eastAsia="-moz-fixed" w:cs="-moz-fixed"/>
          <w:color w:val="0000FF"/>
          <w:szCs w:val="20"/>
          <w:u w:val="single"/>
          <w:lang w:val="en-US" w:eastAsia="ar-SA"/>
        </w:rPr>
        <w:t xml:space="preserve">.  </w:t>
      </w:r>
      <w:r w:rsidRPr="00F616EF">
        <w:rPr>
          <w:rFonts w:eastAsia="-moz-fixed" w:cs="-moz-fixed"/>
          <w:szCs w:val="24"/>
          <w:lang w:val="en-US" w:eastAsia="ar-SA"/>
        </w:rPr>
        <w:t>This study also highlights the fact that natural landscapes (under the influence of natural forces like climate, photosynthesis, and natural disturbance) have a lot of ecological inertia, and well-intentioned management interventions are unlikely to significantly change the trajectory.</w:t>
      </w:r>
    </w:p>
    <w:p w:rsidR="00F616EF" w:rsidRPr="00F616EF" w:rsidRDefault="00F616EF" w:rsidP="00F616EF">
      <w:pPr>
        <w:tabs>
          <w:tab w:val="left" w:pos="7110"/>
        </w:tabs>
        <w:suppressAutoHyphens/>
        <w:autoSpaceDE w:val="0"/>
        <w:spacing w:line="240" w:lineRule="auto"/>
        <w:rPr>
          <w:rFonts w:eastAsia="-moz-fixed" w:cs="-moz-fixed"/>
          <w:szCs w:val="24"/>
          <w:lang w:val="en-US" w:eastAsia="ar-SA"/>
        </w:rPr>
      </w:pP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eastAsia="-moz-fixed" w:cs="-moz-fixed"/>
          <w:szCs w:val="24"/>
          <w:lang w:val="en-US" w:eastAsia="ar-SA"/>
        </w:rPr>
        <w:t xml:space="preserve">In early 2012, FWS released their proposed rules for spotted owl critical habitat and an announcement of their intention to encourage widespread “active management” within suitable, critical habitat. Fed. Reg. March 8, 2012. </w:t>
      </w:r>
      <w:hyperlink r:id="rId207" w:history="1">
        <w:r w:rsidRPr="00F616EF">
          <w:rPr>
            <w:rFonts w:eastAsia="-moz-fixed" w:cs="-moz-fixed"/>
            <w:color w:val="0000FF"/>
            <w:szCs w:val="24"/>
            <w:u w:val="single"/>
            <w:lang w:val="en-US" w:eastAsia="ar-SA"/>
          </w:rPr>
          <w:t>http://www.gpo.gov/fdsys/pkg/FR-2012-03-08/pdf/2012-5042.pdf</w:t>
        </w:r>
      </w:hyperlink>
      <w:r w:rsidRPr="00F616EF">
        <w:rPr>
          <w:rFonts w:eastAsia="-moz-fixed" w:cs="-moz-fixed"/>
          <w:szCs w:val="24"/>
          <w:lang w:val="en-US" w:eastAsia="ar-SA"/>
        </w:rPr>
        <w:t>. This brought out critics in the scientific community who call for more rigorous analysis of the consequences before widespread adoption of logging as a means of habitat management. Several scientific societies said:</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[W]e are concerned that the decision to move forward with untested “active management” of federally owned forest lands at the landscape level prior to validation through the scientific peer-review process represents a potentially serious lapse in the application of the scientific process. This decision may conflict with the DOI’s scientific integrity policy as well as the mandates of several environmental laws …</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 xml:space="preserve">The Department of the Interior’s Fish and Wildlife Service (FWS) considers active forest management as including those techniques that involve aggressive forest thinning and associated forest canopy reductions in dry forests and modified regeneration harvests in mature moist forests. Given that the primary driver of the spotted owl’s decline has been the destruction of old-growth forest habitat by logging, which will be the means used to achieve the anticipated forest thinning and regeneration harvests, we are especially concerned about the potential habitat impacts of adopting untested “active management” forestry technique. Accordingly, we request that the DOI prepare an Environmental Impact Statement (EIS) under NEPA to provide a rational, scientific approach for the testing of active management forestry in order to ensure that such techniques are validated through the peer-review process prior to their utilization at any commercial or landscape scale in the spotted owl’s critical habitat. </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 xml:space="preserve">The Presidential Memorandum accompanying the proposed critical habitat designation also noted: “on the basis of extensive scientific analysis, areas identified as critical habitat should be subject to active management, including logging in order to produce the variety of stands of trees required for healthy forests. The proposal rejects the more conservative view among conservation biologists that land managers should take a ‘hands off’ approach to such forest habitat in order to promote this species’ health.” We are concerned that this memorandum overstates the quality and quantity of scientific </w:t>
      </w:r>
      <w:r w:rsidRPr="00F616EF">
        <w:rPr>
          <w:rFonts w:eastAsia="-moz-fixed" w:cs="-moz-fixed"/>
          <w:szCs w:val="20"/>
          <w:lang w:val="en-US" w:eastAsia="ar-SA"/>
        </w:rPr>
        <w:lastRenderedPageBreak/>
        <w:t xml:space="preserve">research on the potential benefits of active forest management, especially in the Pacific Northwest on a federally threatened species. In particular, we are unaware of any substantial or significant scientific literature that demonstrates that active forest management enhances the recovery of spotted owls. </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after a full scientific peer-review of the data collected, the FWS and DOI would be able to make a fully informed decision regarding short- and long-term management of critical habitat. We believe that such an approach is clearly warranted given that the spotted owl is a closed canopy dependent species and active management may degrade habitat for the owl and encourage further expansion of the barred owl. Notably, recent evidence has shown spotted owl extirpation rates related to barred owl invasions are highest for spotted owls with low levels of old growth habitat in nesting areas or high levels of forest fragmentation[</w:t>
      </w:r>
      <w:proofErr w:type="spellStart"/>
      <w:r w:rsidRPr="00F616EF">
        <w:rPr>
          <w:rFonts w:eastAsia="-moz-fixed" w:cs="-moz-fixed"/>
          <w:szCs w:val="20"/>
          <w:lang w:val="en-US" w:eastAsia="ar-SA"/>
        </w:rPr>
        <w:t>fn</w:t>
      </w:r>
      <w:proofErr w:type="spellEnd"/>
      <w:r w:rsidRPr="00F616EF">
        <w:rPr>
          <w:rFonts w:eastAsia="-moz-fixed" w:cs="-moz-fixed"/>
          <w:szCs w:val="20"/>
          <w:lang w:val="en-US" w:eastAsia="ar-SA"/>
        </w:rPr>
        <w:t>]. Scaling up logging activities throughout the Pacific Northwest, particularly on BLM lands in western Oregon where “active management” is ostensibly going to be integral to pending resource management plan revisions, is therefore premature and not representative of the best available science.</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eastAsia="-moz-fixed" w:cs="-moz-fixed"/>
          <w:szCs w:val="20"/>
          <w:lang w:val="en-US" w:eastAsia="ar-SA"/>
        </w:rPr>
        <w:t xml:space="preserve">Society for Conservation Biology, The Wildlife Society, American Ornithologists Union. 4-2-2012 letter to Secretary of Interior Salazar. </w:t>
      </w:r>
      <w:hyperlink r:id="rId208" w:history="1">
        <w:r w:rsidRPr="00F616EF">
          <w:rPr>
            <w:rFonts w:eastAsia="-moz-fixed" w:cs="-moz-fixed"/>
            <w:color w:val="0000FF"/>
            <w:szCs w:val="20"/>
            <w:u w:val="single"/>
            <w:lang w:val="en-US" w:eastAsia="ar-SA"/>
          </w:rPr>
          <w:t>http://www.eenews.net/assets/2012/04/02/document_gw_01.pdf</w:t>
        </w:r>
      </w:hyperlink>
      <w:r w:rsidRPr="00F616EF">
        <w:rPr>
          <w:rFonts w:eastAsia="-moz-fixed" w:cs="-moz-fixed"/>
          <w:szCs w:val="20"/>
          <w:lang w:val="en-US" w:eastAsia="ar-SA"/>
        </w:rPr>
        <w:t xml:space="preserve"> [</w:t>
      </w:r>
      <w:proofErr w:type="spellStart"/>
      <w:r w:rsidRPr="00F616EF">
        <w:rPr>
          <w:rFonts w:eastAsia="-moz-fixed" w:cs="-moz-fixed"/>
          <w:szCs w:val="20"/>
          <w:lang w:val="en-US" w:eastAsia="ar-SA"/>
        </w:rPr>
        <w:t>fn</w:t>
      </w:r>
      <w:proofErr w:type="spellEnd"/>
      <w:r w:rsidRPr="00F616EF">
        <w:rPr>
          <w:rFonts w:eastAsia="-moz-fixed" w:cs="-moz-fixed"/>
          <w:szCs w:val="20"/>
          <w:lang w:val="en-US" w:eastAsia="ar-SA"/>
        </w:rPr>
        <w:t xml:space="preserve">] </w:t>
      </w:r>
      <w:r w:rsidRPr="00F616EF">
        <w:rPr>
          <w:rFonts w:eastAsia="-moz-fixed" w:cs="-moz-fixed"/>
          <w:i/>
          <w:szCs w:val="20"/>
          <w:lang w:val="en-US" w:eastAsia="ar-SA"/>
        </w:rPr>
        <w:t>citing</w:t>
      </w:r>
      <w:r w:rsidRPr="00F616EF">
        <w:rPr>
          <w:rFonts w:eastAsia="-moz-fixed" w:cs="-moz-fixed"/>
          <w:szCs w:val="20"/>
          <w:lang w:val="en-US" w:eastAsia="ar-SA"/>
        </w:rPr>
        <w:t xml:space="preserve"> </w:t>
      </w:r>
      <w:proofErr w:type="spellStart"/>
      <w:r w:rsidRPr="00F616EF">
        <w:rPr>
          <w:rFonts w:eastAsia="-moz-fixed" w:cs="-moz-fixed"/>
          <w:szCs w:val="20"/>
          <w:lang w:val="en-US" w:eastAsia="ar-SA"/>
        </w:rPr>
        <w:t>Dugger</w:t>
      </w:r>
      <w:proofErr w:type="spellEnd"/>
      <w:r w:rsidRPr="00F616EF">
        <w:rPr>
          <w:rFonts w:eastAsia="-moz-fixed" w:cs="-moz-fixed"/>
          <w:szCs w:val="20"/>
          <w:lang w:val="en-US" w:eastAsia="ar-SA"/>
        </w:rPr>
        <w:t xml:space="preserve">, K.M., R.G. Anthony, and L.S. Andrews. 2012. Transit dynamics of invasive competition: barred owls, spotted owls, habitat, and the demons of competition present. Ecological Applications (2011) Volume: 21: 2459-2468. </w:t>
      </w:r>
      <w:hyperlink r:id="rId209" w:history="1">
        <w:r w:rsidRPr="00F616EF">
          <w:rPr>
            <w:rFonts w:eastAsia="-moz-fixed" w:cs="-moz-fixed"/>
            <w:color w:val="0000FF"/>
            <w:szCs w:val="20"/>
            <w:u w:val="single"/>
            <w:lang w:val="en-US" w:eastAsia="ar-SA"/>
          </w:rPr>
          <w:t>https://fw.oregonstate.edu/sites/agscid7/files/dugger_et_al._2011_ecolapps.pdf</w:t>
        </w:r>
      </w:hyperlink>
      <w:r w:rsidRPr="00F616EF">
        <w:rPr>
          <w:rFonts w:eastAsia="-moz-fixed" w:cs="-moz-fixed"/>
          <w:szCs w:val="20"/>
          <w:lang w:val="en-US" w:eastAsia="ar-SA"/>
        </w:rPr>
        <w:t xml:space="preserve">. </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eastAsia="-moz-fixed" w:cs="-moz-fixed"/>
          <w:szCs w:val="20"/>
          <w:lang w:val="en-US" w:eastAsia="ar-SA"/>
        </w:rPr>
        <w:t xml:space="preserve">Part of the problem is that modifying fire behavior requires fuel modification (and habitat modification) across large areas. </w:t>
      </w:r>
      <w:proofErr w:type="spellStart"/>
      <w:r w:rsidRPr="00F616EF">
        <w:rPr>
          <w:rFonts w:eastAsia="-moz-fixed" w:cs="-moz-fixed"/>
          <w:szCs w:val="20"/>
          <w:lang w:val="en-US" w:eastAsia="ar-SA"/>
        </w:rPr>
        <w:t>Charnely</w:t>
      </w:r>
      <w:proofErr w:type="spellEnd"/>
      <w:r w:rsidRPr="00F616EF">
        <w:rPr>
          <w:rFonts w:eastAsia="-moz-fixed" w:cs="-moz-fixed"/>
          <w:szCs w:val="20"/>
          <w:lang w:val="en-US" w:eastAsia="ar-SA"/>
        </w:rPr>
        <w:t xml:space="preserve"> et al 2015 said – </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r w:rsidRPr="00F616EF">
        <w:rPr>
          <w:rFonts w:eastAsia="-moz-fixed" w:cs="-moz-fixed"/>
          <w:szCs w:val="20"/>
          <w:lang w:val="en-US" w:eastAsia="ar-SA"/>
        </w:rPr>
        <w:t>… large areas (thousands of acres) must be treated to change fire behavior and reduce its spread and intensity. Randomly-located fuels treatments begin to affect fire behavior when 20 to 30 percent of the landscape is treated (Finney et al. 2007). ... The entire landscape does not need to be treated to reduce wildfire risk, but a significant portion does.</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ascii="Times New Roman" w:eastAsia="-moz-fixed" w:hAnsi="Times New Roman" w:cs="Times New Roman"/>
          <w:szCs w:val="20"/>
          <w:lang w:val="en-US" w:eastAsia="ar-SA"/>
        </w:rPr>
        <w:t>​</w:t>
      </w:r>
      <w:proofErr w:type="spellStart"/>
      <w:r w:rsidRPr="00F616EF">
        <w:rPr>
          <w:rFonts w:eastAsia="-moz-fixed" w:cs="-moz-fixed"/>
          <w:szCs w:val="20"/>
          <w:lang w:val="en-US" w:eastAsia="ar-SA"/>
        </w:rPr>
        <w:t>Charnley</w:t>
      </w:r>
      <w:proofErr w:type="spellEnd"/>
      <w:r w:rsidRPr="00F616EF">
        <w:rPr>
          <w:rFonts w:eastAsia="-moz-fixed" w:cs="-moz-fixed"/>
          <w:szCs w:val="20"/>
          <w:lang w:val="en-US" w:eastAsia="ar-SA"/>
        </w:rPr>
        <w:t>, S., Poe, M., Ager, A., Spies, T., Platt, E., Olsen, K.O. 2015. “A Burning Problem: Social Dynamics of Disaster Risk Reduction through Wildfire Mitigation.” Human Organization 74 (4): 329–40. http://dx.doi.org/10.17730/0018-7259-74.4.329.</w:t>
      </w:r>
      <w:r w:rsidRPr="00F616EF">
        <w:rPr>
          <w:rFonts w:ascii="Times New Roman" w:eastAsia="-moz-fixed" w:hAnsi="Times New Roman" w:cs="Times New Roman"/>
          <w:szCs w:val="20"/>
          <w:lang w:val="en-US" w:eastAsia="ar-SA"/>
        </w:rPr>
        <w:t>​</w:t>
      </w:r>
      <w:r w:rsidRPr="00F616EF">
        <w:rPr>
          <w:rFonts w:eastAsia="-moz-fixed" w:cs="-moz-fixed"/>
          <w:szCs w:val="20"/>
          <w:lang w:val="en-US" w:eastAsia="ar-SA"/>
        </w:rPr>
        <w:t xml:space="preserve"> </w:t>
      </w: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hyperlink r:id="rId210" w:history="1">
        <w:r w:rsidRPr="00F616EF">
          <w:rPr>
            <w:rFonts w:eastAsia="-moz-fixed" w:cs="-moz-fixed"/>
            <w:color w:val="0000FF"/>
            <w:szCs w:val="20"/>
            <w:u w:val="single"/>
            <w:lang w:val="en-US" w:eastAsia="ar-SA"/>
          </w:rPr>
          <w:t>http://www.fs.usda.gov/pnw/pubs/journals/pnw_2015_charnley003.pdf</w:t>
        </w:r>
      </w:hyperlink>
      <w:r w:rsidRPr="00F616EF">
        <w:rPr>
          <w:rFonts w:eastAsia="-moz-fixed" w:cs="-moz-fixed"/>
          <w:szCs w:val="20"/>
          <w:lang w:val="en-US" w:eastAsia="ar-SA"/>
        </w:rPr>
        <w:t xml:space="preserve"> Fuel treatments must be repeated as the fuels grow back, so this is not a one-time entry. Repeated landscape fuel treatments at this scale will have significant unavoidable effects on owl populations.</w:t>
      </w:r>
    </w:p>
    <w:p w:rsidR="00F616EF" w:rsidRPr="00F616EF" w:rsidRDefault="00F616EF" w:rsidP="00F616EF">
      <w:pPr>
        <w:tabs>
          <w:tab w:val="left" w:pos="7110"/>
        </w:tabs>
        <w:suppressAutoHyphens/>
        <w:autoSpaceDE w:val="0"/>
        <w:spacing w:line="240" w:lineRule="auto"/>
        <w:ind w:left="720"/>
        <w:rPr>
          <w:rFonts w:eastAsia="-moz-fixed" w:cs="-moz-fixed"/>
          <w:szCs w:val="20"/>
          <w:lang w:val="en-US" w:eastAsia="ar-SA"/>
        </w:rPr>
      </w:pPr>
    </w:p>
    <w:p w:rsidR="00F616EF" w:rsidRPr="00F616EF" w:rsidRDefault="00F616EF" w:rsidP="00F616EF">
      <w:pPr>
        <w:tabs>
          <w:tab w:val="left" w:pos="7110"/>
        </w:tabs>
        <w:suppressAutoHyphens/>
        <w:autoSpaceDE w:val="0"/>
        <w:spacing w:line="240" w:lineRule="auto"/>
        <w:rPr>
          <w:rFonts w:eastAsia="-moz-fixed" w:cs="-moz-fixed"/>
          <w:szCs w:val="20"/>
          <w:lang w:val="en-US" w:eastAsia="ar-SA"/>
        </w:rPr>
      </w:pPr>
      <w:r w:rsidRPr="00F616EF">
        <w:rPr>
          <w:rFonts w:eastAsia="-moz-fixed" w:cs="-moz-fixed"/>
          <w:szCs w:val="24"/>
          <w:lang w:val="en-US" w:eastAsia="ar-SA"/>
        </w:rPr>
        <w:t xml:space="preserve">There are now </w:t>
      </w:r>
      <w:proofErr w:type="spellStart"/>
      <w:r w:rsidRPr="00F616EF">
        <w:rPr>
          <w:rFonts w:eastAsia="-moz-fixed" w:cs="-moz-fixed"/>
          <w:szCs w:val="24"/>
          <w:lang w:val="en-US" w:eastAsia="ar-SA"/>
        </w:rPr>
        <w:t>webtools</w:t>
      </w:r>
      <w:proofErr w:type="spellEnd"/>
      <w:r w:rsidRPr="00F616EF">
        <w:rPr>
          <w:rFonts w:eastAsia="-moz-fixed" w:cs="-moz-fixed"/>
          <w:szCs w:val="24"/>
          <w:lang w:val="en-US" w:eastAsia="ar-SA"/>
        </w:rPr>
        <w:t xml:space="preserve"> available that can help the agencies deal with uncertainty surrounding the efficacy of fuel reduction. For instance, this web-based spreadsheet (</w:t>
      </w:r>
      <w:hyperlink r:id="rId211" w:history="1">
        <w:r w:rsidRPr="00F616EF">
          <w:rPr>
            <w:rFonts w:eastAsia="-moz-fixed" w:cs="-moz-fixed"/>
            <w:color w:val="0000FF"/>
            <w:szCs w:val="24"/>
            <w:u w:val="single"/>
            <w:lang w:val="en-US" w:eastAsia="ar-SA"/>
          </w:rPr>
          <w:t>http://getguesstimate.com/</w:t>
        </w:r>
      </w:hyperlink>
      <w:r w:rsidRPr="00F616EF">
        <w:rPr>
          <w:rFonts w:eastAsia="-moz-fixed" w:cs="-moz-fixed"/>
          <w:szCs w:val="24"/>
          <w:lang w:val="en-US" w:eastAsia="ar-SA"/>
        </w:rPr>
        <w:t>) allows users to create models with confidence intervals around input variables. Then it runs thousands of Monte Carlo simulations to come up with estimates of model behavior. The agencies could use this to estimate the probability that fuel treatments would interact with fire and provide ecological benefits.</w:t>
      </w:r>
    </w:p>
    <w:p w:rsidR="00584D6E" w:rsidRDefault="00584D6E"/>
    <w:p w:rsidR="00584D6E" w:rsidRPr="00584D6E" w:rsidRDefault="00584D6E" w:rsidP="00584D6E">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36" w:name="_Toc194591362"/>
      <w:bookmarkStart w:id="37" w:name="_Toc195695330"/>
      <w:r w:rsidRPr="00584D6E">
        <w:rPr>
          <w:rFonts w:ascii="Arial" w:eastAsia="-moz-fixed" w:hAnsi="Arial" w:cs="-moz-fixed"/>
          <w:b/>
          <w:sz w:val="28"/>
          <w:szCs w:val="20"/>
          <w:lang w:val="en-US" w:eastAsia="ar-SA"/>
        </w:rPr>
        <w:t>Avoid “before-and-after” carbon accounting</w:t>
      </w:r>
      <w:bookmarkEnd w:id="36"/>
      <w:bookmarkEnd w:id="37"/>
    </w:p>
    <w:p w:rsidR="00584D6E" w:rsidRDefault="00584D6E" w:rsidP="00584D6E">
      <w:pPr>
        <w:suppressAutoHyphens/>
        <w:spacing w:line="240" w:lineRule="auto"/>
        <w:rPr>
          <w:rFonts w:eastAsia="-moz-fixed" w:cs="-moz-fixed"/>
          <w:szCs w:val="20"/>
          <w:lang w:val="en-US" w:eastAsia="ar-SA"/>
        </w:rPr>
      </w:pPr>
    </w:p>
    <w:p w:rsidR="00584D6E" w:rsidRDefault="00584D6E" w:rsidP="00584D6E">
      <w:r>
        <w:t xml:space="preserve">EA (p 73) says “as stands continue to develop and grow following treatment, the retained trees and regeneration would continue to accumulate carbon, offsetting over time some of the carbon removed through the proposed action.” This is misleading. Under the no action alternative, </w:t>
      </w:r>
      <w:r>
        <w:lastRenderedPageBreak/>
        <w:t>forests keep growing and accumulating carbon, much more so than under the logging alternative.  The proper way to do NEPA is to compare carbon storage with logging and without logging, not before and after logging and forest regrowth.</w:t>
      </w:r>
    </w:p>
    <w:p w:rsidR="00045F23" w:rsidRDefault="00045F23" w:rsidP="00584D6E"/>
    <w:p w:rsidR="00045F23" w:rsidRDefault="00045F23" w:rsidP="00584D6E">
      <w:r>
        <w:t xml:space="preserve">The EA </w:t>
      </w:r>
      <w:r w:rsidR="00B32F93">
        <w:t xml:space="preserve">(p 73) </w:t>
      </w:r>
      <w:r>
        <w:t>also says that “</w:t>
      </w:r>
      <w:r>
        <w:t>Retained trees would have higher growth rates</w:t>
      </w:r>
      <w:r>
        <w:t>” in the thinned stands, but the EA fails to disclose that after logging there are far fewer trees accumulating carbon, and under the no action alternative there are many more trees accumulating carbon, and the measure that matters for the climate is stand scale carbon accumulation, not the tree-scale carbon accumulation.</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Some NEPA analyses </w:t>
      </w:r>
      <w:r>
        <w:rPr>
          <w:rFonts w:eastAsia="-moz-fixed" w:cs="-moz-fixed"/>
          <w:szCs w:val="20"/>
          <w:lang w:val="en-US" w:eastAsia="ar-SA"/>
        </w:rPr>
        <w:t>suggest</w:t>
      </w:r>
      <w:r w:rsidRPr="00584D6E">
        <w:rPr>
          <w:rFonts w:eastAsia="-moz-fixed" w:cs="-moz-fixed"/>
          <w:szCs w:val="20"/>
          <w:lang w:val="en-US" w:eastAsia="ar-SA"/>
        </w:rPr>
        <w:t xml:space="preserve"> that logging is </w:t>
      </w:r>
      <w:r w:rsidRPr="00584D6E">
        <w:rPr>
          <w:rFonts w:eastAsia="-moz-fixed" w:cs="-moz-fixed"/>
          <w:i/>
          <w:szCs w:val="20"/>
          <w:lang w:val="en-US" w:eastAsia="ar-SA"/>
        </w:rPr>
        <w:t>carbon neutral</w:t>
      </w:r>
      <w:r w:rsidRPr="00584D6E">
        <w:rPr>
          <w:rFonts w:eastAsia="-moz-fixed" w:cs="-moz-fixed"/>
          <w:szCs w:val="20"/>
          <w:lang w:val="en-US" w:eastAsia="ar-SA"/>
        </w:rPr>
        <w:t xml:space="preserve"> </w:t>
      </w:r>
      <w:r>
        <w:rPr>
          <w:rFonts w:eastAsia="-moz-fixed" w:cs="-moz-fixed"/>
          <w:szCs w:val="20"/>
          <w:lang w:val="en-US" w:eastAsia="ar-SA"/>
        </w:rPr>
        <w:t xml:space="preserve">(or nearly so) </w:t>
      </w:r>
      <w:r w:rsidRPr="00584D6E">
        <w:rPr>
          <w:rFonts w:eastAsia="-moz-fixed" w:cs="-moz-fixed"/>
          <w:szCs w:val="20"/>
          <w:lang w:val="en-US" w:eastAsia="ar-SA"/>
        </w:rPr>
        <w:t xml:space="preserve">because the forest captures and stores the same pre-harvest amount of carbon after a period of regrowth. This is highly misleading. The proper analysis requires comparison of the amount of carbon </w:t>
      </w:r>
      <w:r w:rsidRPr="00584D6E">
        <w:rPr>
          <w:rFonts w:eastAsia="-moz-fixed" w:cs="-moz-fixed"/>
          <w:i/>
          <w:szCs w:val="20"/>
          <w:lang w:val="en-US" w:eastAsia="ar-SA"/>
        </w:rPr>
        <w:t>with</w:t>
      </w:r>
      <w:r w:rsidRPr="00584D6E">
        <w:rPr>
          <w:rFonts w:eastAsia="-moz-fixed" w:cs="-moz-fixed"/>
          <w:szCs w:val="20"/>
          <w:lang w:val="en-US" w:eastAsia="ar-SA"/>
        </w:rPr>
        <w:t xml:space="preserve"> the project and </w:t>
      </w:r>
      <w:r w:rsidRPr="00584D6E">
        <w:rPr>
          <w:rFonts w:eastAsia="-moz-fixed" w:cs="-moz-fixed"/>
          <w:i/>
          <w:szCs w:val="20"/>
          <w:lang w:val="en-US" w:eastAsia="ar-SA"/>
        </w:rPr>
        <w:t>without</w:t>
      </w:r>
      <w:r w:rsidRPr="00584D6E">
        <w:rPr>
          <w:rFonts w:eastAsia="-moz-fixed" w:cs="-moz-fixed"/>
          <w:szCs w:val="20"/>
          <w:lang w:val="en-US" w:eastAsia="ar-SA"/>
        </w:rPr>
        <w:t xml:space="preserve"> the project, not </w:t>
      </w:r>
      <w:r w:rsidRPr="00584D6E">
        <w:rPr>
          <w:rFonts w:eastAsia="-moz-fixed" w:cs="-moz-fixed"/>
          <w:i/>
          <w:szCs w:val="20"/>
          <w:lang w:val="en-US" w:eastAsia="ar-SA"/>
        </w:rPr>
        <w:t>before</w:t>
      </w:r>
      <w:r w:rsidRPr="00584D6E">
        <w:rPr>
          <w:rFonts w:eastAsia="-moz-fixed" w:cs="-moz-fixed"/>
          <w:szCs w:val="20"/>
          <w:lang w:val="en-US" w:eastAsia="ar-SA"/>
        </w:rPr>
        <w:t xml:space="preserve"> and </w:t>
      </w:r>
      <w:r w:rsidRPr="00584D6E">
        <w:rPr>
          <w:rFonts w:eastAsia="-moz-fixed" w:cs="-moz-fixed"/>
          <w:i/>
          <w:szCs w:val="20"/>
          <w:lang w:val="en-US" w:eastAsia="ar-SA"/>
        </w:rPr>
        <w:t>after</w:t>
      </w:r>
      <w:r w:rsidRPr="00584D6E">
        <w:rPr>
          <w:rFonts w:eastAsia="-moz-fixed" w:cs="-moz-fixed"/>
          <w:szCs w:val="20"/>
          <w:lang w:val="en-US" w:eastAsia="ar-SA"/>
        </w:rPr>
        <w:t xml:space="preserve"> logging. This is not only required to accurately determine the effect of vegetation removal on forest carbon storage but it is also consistent with NEPA requirements to compare </w:t>
      </w:r>
      <w:r w:rsidRPr="00584D6E">
        <w:rPr>
          <w:rFonts w:eastAsia="-moz-fixed" w:cs="-moz-fixed"/>
          <w:i/>
          <w:szCs w:val="20"/>
          <w:lang w:val="en-US" w:eastAsia="ar-SA"/>
        </w:rPr>
        <w:t>action</w:t>
      </w:r>
      <w:r w:rsidRPr="00584D6E">
        <w:rPr>
          <w:rFonts w:eastAsia="-moz-fixed" w:cs="-moz-fixed"/>
          <w:szCs w:val="20"/>
          <w:lang w:val="en-US" w:eastAsia="ar-SA"/>
        </w:rPr>
        <w:t xml:space="preserve"> and </w:t>
      </w:r>
      <w:r w:rsidRPr="00584D6E">
        <w:rPr>
          <w:rFonts w:eastAsia="-moz-fixed" w:cs="-moz-fixed"/>
          <w:i/>
          <w:szCs w:val="20"/>
          <w:lang w:val="en-US" w:eastAsia="ar-SA"/>
        </w:rPr>
        <w:t>no action</w:t>
      </w:r>
      <w:r w:rsidRPr="00584D6E">
        <w:rPr>
          <w:rFonts w:eastAsia="-moz-fixed" w:cs="-moz-fixed"/>
          <w:szCs w:val="20"/>
          <w:lang w:val="en-US" w:eastAsia="ar-SA"/>
        </w:rPr>
        <w:t xml:space="preserve"> alternatives.</w:t>
      </w: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Comparing carbon in the system at two points in time is unscientific. A proper analysis requires measuring carbon in the system of interest over time compared to a reference or control.</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ind w:left="720"/>
        <w:rPr>
          <w:rFonts w:eastAsia="-moz-fixed" w:cs="-moz-fixed"/>
          <w:noProof/>
          <w:szCs w:val="20"/>
          <w:lang w:val="en-US"/>
        </w:rPr>
      </w:pPr>
      <w:r w:rsidRPr="00584D6E">
        <w:rPr>
          <w:rFonts w:eastAsia="-moz-fixed" w:cs="-moz-fixed"/>
          <w:noProof/>
          <w:szCs w:val="20"/>
          <w:lang w:val="en-US"/>
        </w:rPr>
        <w:drawing>
          <wp:inline distT="0" distB="0" distL="0" distR="0">
            <wp:extent cx="4533900" cy="29946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533900" cy="2994660"/>
                    </a:xfrm>
                    <a:prstGeom prst="rect">
                      <a:avLst/>
                    </a:prstGeom>
                    <a:noFill/>
                    <a:ln>
                      <a:noFill/>
                    </a:ln>
                  </pic:spPr>
                </pic:pic>
              </a:graphicData>
            </a:graphic>
          </wp:inline>
        </w:drawing>
      </w:r>
    </w:p>
    <w:p w:rsidR="00584D6E" w:rsidRPr="00584D6E" w:rsidRDefault="00584D6E" w:rsidP="00584D6E">
      <w:pPr>
        <w:suppressAutoHyphens/>
        <w:spacing w:line="240" w:lineRule="auto"/>
        <w:rPr>
          <w:rFonts w:eastAsia="-moz-fixed" w:cs="-moz-fixed"/>
          <w:noProof/>
          <w:szCs w:val="20"/>
          <w:lang w:val="en-US"/>
        </w:rPr>
      </w:pPr>
      <w:r w:rsidRPr="00584D6E">
        <w:rPr>
          <w:rFonts w:eastAsia="-moz-fixed" w:cs="-moz-fixed"/>
          <w:noProof/>
          <w:szCs w:val="20"/>
          <w:lang w:val="en-US"/>
        </w:rPr>
        <w:t xml:space="preserve">The approach shown above is improper. As explained by Mark Harmon: </w:t>
      </w:r>
    </w:p>
    <w:p w:rsidR="00584D6E" w:rsidRPr="00584D6E" w:rsidRDefault="00584D6E" w:rsidP="00584D6E">
      <w:pPr>
        <w:suppressAutoHyphens/>
        <w:spacing w:line="240" w:lineRule="auto"/>
        <w:ind w:left="720"/>
        <w:rPr>
          <w:rFonts w:eastAsia="-moz-fixed" w:cs="-moz-fixed"/>
          <w:szCs w:val="20"/>
          <w:lang w:val="en-US" w:eastAsia="ar-SA"/>
        </w:rPr>
      </w:pPr>
      <w:r w:rsidRPr="00584D6E">
        <w:rPr>
          <w:rFonts w:eastAsia="-moz-fixed" w:cs="-moz-fixed"/>
          <w:noProof/>
          <w:szCs w:val="20"/>
          <w:lang w:val="en-US"/>
        </w:rPr>
        <w:t>All too often explanations of forest carbon dynamics are not science-based.  Why? They involve using the system as its own reference or control. That is not a scientific assessment method.  So while it sounds scientific to explain how after a harvest the forest regrows and hence there is no carbon impact, one cannot tell the impact. We can tell over time that the amount returns to the original level, but we still cannot assess the impact scientifically. The fact the system is renewable and sustainable is largely irrelevant in answering the question of whether the system is carbon neutral.</w:t>
      </w: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Mark Harmon 2020. Forest Carbon Basics: Five Key Guidelines, Presentation to Many Rivers Group of the Sierra Club, Banking on Carbon Webinar, Oct 13, 2020.</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A better approach is shown below, and explained by Mark Harmon: </w:t>
      </w:r>
    </w:p>
    <w:p w:rsidR="00584D6E" w:rsidRPr="00584D6E" w:rsidRDefault="00584D6E" w:rsidP="00584D6E">
      <w:pPr>
        <w:suppressAutoHyphens/>
        <w:spacing w:line="240" w:lineRule="auto"/>
        <w:ind w:left="720"/>
        <w:rPr>
          <w:rFonts w:eastAsia="-moz-fixed" w:cs="-moz-fixed"/>
          <w:szCs w:val="20"/>
          <w:lang w:val="en-US" w:eastAsia="ar-SA"/>
        </w:rPr>
      </w:pPr>
      <w:r w:rsidRPr="00584D6E">
        <w:rPr>
          <w:rFonts w:eastAsia="-moz-fixed" w:cs="-moz-fixed"/>
          <w:szCs w:val="20"/>
          <w:lang w:val="en-US" w:eastAsia="ar-SA"/>
        </w:rPr>
        <w:lastRenderedPageBreak/>
        <w:t>Here is an example in which there is an independent control or alternative.  We can see that there is a difference between the two systems and that the so-called renewable, sustainable system stores on average 35% less than the reference.  So if we switch from the reference system to the renewable, sustainable system we must lose carbon from that part of the system.</w:t>
      </w:r>
    </w:p>
    <w:p w:rsidR="00584D6E" w:rsidRPr="00584D6E" w:rsidRDefault="00584D6E" w:rsidP="00584D6E">
      <w:pPr>
        <w:suppressAutoHyphens/>
        <w:spacing w:line="240" w:lineRule="auto"/>
        <w:ind w:left="720"/>
        <w:rPr>
          <w:rFonts w:eastAsia="-moz-fixed" w:cs="-moz-fixed"/>
          <w:szCs w:val="20"/>
          <w:lang w:val="en-US" w:eastAsia="ar-SA"/>
        </w:rPr>
      </w:pPr>
      <w:r w:rsidRPr="00584D6E">
        <w:rPr>
          <w:rFonts w:eastAsia="-moz-fixed" w:cs="-moz-fixed"/>
          <w:noProof/>
          <w:szCs w:val="20"/>
          <w:lang w:val="en-US"/>
        </w:rPr>
        <w:drawing>
          <wp:inline distT="0" distB="0" distL="0" distR="0">
            <wp:extent cx="4602480" cy="3482340"/>
            <wp:effectExtent l="0" t="0" r="762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602480" cy="3482340"/>
                    </a:xfrm>
                    <a:prstGeom prst="rect">
                      <a:avLst/>
                    </a:prstGeom>
                    <a:noFill/>
                    <a:ln>
                      <a:noFill/>
                    </a:ln>
                  </pic:spPr>
                </pic:pic>
              </a:graphicData>
            </a:graphic>
          </wp:inline>
        </w:drawing>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NEPA requires comparison of alternatives based on high quality information and accurate scientific analysis, which requires evaluating the carbon consequences of different forest management systems and comparing that to the carbon consequences of not logging.</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Similarly, </w:t>
      </w:r>
      <w:proofErr w:type="spellStart"/>
      <w:r w:rsidRPr="00584D6E">
        <w:rPr>
          <w:rFonts w:eastAsia="-moz-fixed" w:cs="-moz-fixed"/>
          <w:szCs w:val="20"/>
          <w:lang w:val="en-US" w:eastAsia="ar-SA"/>
        </w:rPr>
        <w:t>Cardellichio</w:t>
      </w:r>
      <w:proofErr w:type="spellEnd"/>
      <w:r w:rsidRPr="00584D6E">
        <w:rPr>
          <w:rFonts w:eastAsia="-moz-fixed" w:cs="-moz-fixed"/>
          <w:szCs w:val="20"/>
          <w:lang w:val="en-US" w:eastAsia="ar-SA"/>
        </w:rPr>
        <w:t xml:space="preserve"> et al (2010) explain:</w:t>
      </w:r>
    </w:p>
    <w:p w:rsidR="00584D6E" w:rsidRPr="00584D6E" w:rsidRDefault="00584D6E" w:rsidP="00584D6E">
      <w:pPr>
        <w:suppressAutoHyphens/>
        <w:spacing w:line="240" w:lineRule="auto"/>
        <w:ind w:left="720"/>
        <w:rPr>
          <w:rFonts w:eastAsia="-moz-fixed" w:cs="-moz-fixed"/>
          <w:szCs w:val="20"/>
          <w:lang w:val="en-US" w:eastAsia="ar-SA"/>
        </w:rPr>
      </w:pPr>
      <w:r w:rsidRPr="00584D6E">
        <w:rPr>
          <w:rFonts w:eastAsia="-moz-fixed" w:cs="-moz-fixed"/>
          <w:szCs w:val="20"/>
          <w:lang w:val="en-US" w:eastAsia="ar-SA"/>
        </w:rPr>
        <w:t>The only way to properly evaluate the net carbon impacts of energy from forest biomass [or any vegetation management] is to estimate … net change in atmospheric CO</w:t>
      </w:r>
      <w:r w:rsidRPr="00584D6E">
        <w:rPr>
          <w:rFonts w:eastAsia="-moz-fixed" w:cs="-moz-fixed"/>
          <w:szCs w:val="20"/>
          <w:vertAlign w:val="subscript"/>
          <w:lang w:val="en-US" w:eastAsia="ar-SA"/>
        </w:rPr>
        <w:t>2</w:t>
      </w:r>
      <w:r w:rsidRPr="00584D6E">
        <w:rPr>
          <w:rFonts w:eastAsia="-moz-fixed" w:cs="-moz-fixed"/>
          <w:szCs w:val="20"/>
          <w:lang w:val="en-US" w:eastAsia="ar-SA"/>
        </w:rPr>
        <w:t xml:space="preserve"> levels over time </w:t>
      </w:r>
      <w:r w:rsidRPr="00584D6E">
        <w:rPr>
          <w:rFonts w:eastAsia="-moz-fixed" w:cs="-moz-fixed"/>
          <w:i/>
          <w:szCs w:val="20"/>
          <w:lang w:val="en-US" w:eastAsia="ar-SA"/>
        </w:rPr>
        <w:t>with</w:t>
      </w:r>
      <w:r w:rsidRPr="00584D6E">
        <w:rPr>
          <w:rFonts w:eastAsia="-moz-fixed" w:cs="-moz-fixed"/>
          <w:szCs w:val="20"/>
          <w:lang w:val="en-US" w:eastAsia="ar-SA"/>
        </w:rPr>
        <w:t xml:space="preserve"> and </w:t>
      </w:r>
      <w:r w:rsidRPr="00584D6E">
        <w:rPr>
          <w:rFonts w:eastAsia="-moz-fixed" w:cs="-moz-fixed"/>
          <w:i/>
          <w:szCs w:val="20"/>
          <w:lang w:val="en-US" w:eastAsia="ar-SA"/>
        </w:rPr>
        <w:t>without</w:t>
      </w:r>
      <w:r w:rsidRPr="00584D6E">
        <w:rPr>
          <w:rFonts w:eastAsia="-moz-fixed" w:cs="-moz-fixed"/>
          <w:szCs w:val="20"/>
          <w:lang w:val="en-US" w:eastAsia="ar-SA"/>
        </w:rPr>
        <w:t xml:space="preserve"> the harvest of wood biomass for energy. …[I]t is necessary to construct a baseline, or control, scenario (that is no biomass harvest). … Once a baseline is established, one can assess how switching to wood biomass would change atmospheric carbon levels. … [T]he information provided by only comparing forest carbon stocks before and after biomass harvest could be a very misleading indicator of the impact of biomass energy on the atmosphere.</w:t>
      </w:r>
    </w:p>
    <w:p w:rsidR="00584D6E" w:rsidRPr="00584D6E" w:rsidRDefault="00584D6E" w:rsidP="00584D6E">
      <w:pPr>
        <w:suppressAutoHyphens/>
        <w:spacing w:line="240" w:lineRule="auto"/>
        <w:rPr>
          <w:rFonts w:eastAsia="-moz-fixed" w:cs="-moz-fixed"/>
          <w:szCs w:val="20"/>
          <w:lang w:val="en-US" w:eastAsia="ar-SA"/>
        </w:rPr>
      </w:pPr>
      <w:proofErr w:type="spellStart"/>
      <w:r w:rsidRPr="00584D6E">
        <w:rPr>
          <w:rFonts w:eastAsia="-moz-fixed" w:cs="-moz-fixed"/>
          <w:szCs w:val="20"/>
          <w:lang w:val="en-US" w:eastAsia="ar-SA"/>
        </w:rPr>
        <w:t>Cardellichio</w:t>
      </w:r>
      <w:proofErr w:type="spellEnd"/>
      <w:r w:rsidRPr="00584D6E">
        <w:rPr>
          <w:rFonts w:eastAsia="-moz-fixed" w:cs="-moz-fixed"/>
          <w:szCs w:val="20"/>
          <w:lang w:val="en-US" w:eastAsia="ar-SA"/>
        </w:rPr>
        <w:t xml:space="preserve">, P., Walker, T. 2010. Commentary: The </w:t>
      </w:r>
      <w:proofErr w:type="spellStart"/>
      <w:r w:rsidRPr="00584D6E">
        <w:rPr>
          <w:rFonts w:eastAsia="-moz-fixed" w:cs="-moz-fixed"/>
          <w:szCs w:val="20"/>
          <w:lang w:val="en-US" w:eastAsia="ar-SA"/>
        </w:rPr>
        <w:t>Manomet</w:t>
      </w:r>
      <w:proofErr w:type="spellEnd"/>
      <w:r w:rsidRPr="00584D6E">
        <w:rPr>
          <w:rFonts w:eastAsia="-moz-fixed" w:cs="-moz-fixed"/>
          <w:szCs w:val="20"/>
          <w:lang w:val="en-US" w:eastAsia="ar-SA"/>
        </w:rPr>
        <w:t xml:space="preserve"> Study Got the Biomass Carbon Accounting Right. The Forestry Source. 4 Nov 2010. </w:t>
      </w:r>
      <w:hyperlink r:id="rId214" w:history="1">
        <w:r w:rsidRPr="00584D6E">
          <w:rPr>
            <w:rFonts w:eastAsia="-moz-fixed" w:cs="-moz-fixed"/>
            <w:color w:val="0000FF"/>
            <w:szCs w:val="20"/>
            <w:u w:val="single"/>
            <w:lang w:val="en-US" w:eastAsia="ar-SA"/>
          </w:rPr>
          <w:t>https://web.archive.org/web/20110420145203/http://www.nxtbook.com:80/nxtbooks/saf/forestrysource_201011/index.php</w:t>
        </w:r>
      </w:hyperlink>
      <w:r w:rsidRPr="00584D6E">
        <w:rPr>
          <w:rFonts w:eastAsia="-moz-fixed" w:cs="-moz-fixed"/>
          <w:szCs w:val="20"/>
          <w:lang w:val="en-US" w:eastAsia="ar-SA"/>
        </w:rPr>
        <w:t>.</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Even a before-after ecological study design should employ a control. See Krebs, C. J. 1999. Ecological methodology. Second edition. Addison Wesley Longman </w:t>
      </w:r>
      <w:proofErr w:type="spellStart"/>
      <w:r w:rsidRPr="00584D6E">
        <w:rPr>
          <w:rFonts w:eastAsia="-moz-fixed" w:cs="-moz-fixed"/>
          <w:szCs w:val="20"/>
          <w:lang w:val="en-US" w:eastAsia="ar-SA"/>
        </w:rPr>
        <w:t>Inc</w:t>
      </w:r>
      <w:proofErr w:type="spellEnd"/>
      <w:r w:rsidRPr="00584D6E">
        <w:rPr>
          <w:rFonts w:eastAsia="-moz-fixed" w:cs="-moz-fixed"/>
          <w:szCs w:val="20"/>
          <w:lang w:val="en-US" w:eastAsia="ar-SA"/>
        </w:rPr>
        <w:t>, Menlo Park, California, USA.</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lastRenderedPageBreak/>
        <w:t>Any analysis that asserts that carbon uptake via future forest growth will mitigate for GHG emissions caused by logging must carefully account for several factors:</w:t>
      </w: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1. The climate impacts of the extra GHG in the atmosphere during the period of regrowth. Logging causes a real and significant transfer of GHG to the atmosphere and those emissions have greenhouse effects that begin immediately and do not subside until the forest has fully regrown (or more accurately reaches </w:t>
      </w:r>
      <w:r w:rsidRPr="00584D6E">
        <w:rPr>
          <w:rFonts w:eastAsia="-moz-fixed" w:cs="-moz-fixed"/>
          <w:i/>
          <w:szCs w:val="20"/>
          <w:lang w:val="en-US" w:eastAsia="ar-SA"/>
        </w:rPr>
        <w:t>climate parity</w:t>
      </w:r>
      <w:r w:rsidRPr="00584D6E">
        <w:rPr>
          <w:rFonts w:eastAsia="-moz-fixed" w:cs="-moz-fixed"/>
          <w:szCs w:val="20"/>
          <w:lang w:val="en-US" w:eastAsia="ar-SA"/>
        </w:rPr>
        <w:t>), which might take decades or hundreds of years. A proper NEPA analysis requires accounting for the additional warming caused by extra GHG in the atmosphere during the regrowth period.</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pacing w:line="240" w:lineRule="auto"/>
        <w:rPr>
          <w:rFonts w:ascii="Times New Roman" w:eastAsia="Times New Roman" w:hAnsi="Times New Roman" w:cs="Times New Roman"/>
          <w:color w:val="222222"/>
          <w:szCs w:val="24"/>
          <w:lang w:val="en-US"/>
        </w:rPr>
      </w:pPr>
      <w:r w:rsidRPr="00584D6E">
        <w:rPr>
          <w:rFonts w:eastAsia="-moz-fixed" w:cs="-moz-fixed"/>
          <w:szCs w:val="20"/>
          <w:lang w:val="en-US" w:eastAsia="ar-SA"/>
        </w:rPr>
        <w:t>2. Future climate benefits from future carbon uptake must be discounted.</w:t>
      </w:r>
      <w:r w:rsidRPr="00584D6E">
        <w:rPr>
          <w:rFonts w:ascii="Times New Roman" w:eastAsia="Times New Roman" w:hAnsi="Times New Roman" w:cs="Times New Roman"/>
          <w:color w:val="222222"/>
          <w:szCs w:val="24"/>
          <w:lang w:val="en-US"/>
        </w:rPr>
        <w:t xml:space="preserve"> Under well-established economic principles of uncertainty and discounting, it is clear that the net present value of current carbon storage in existing mature forests exceeds the net present value of distant future benefits of forest regrowth or substitution. This graph shows why the near term matters (most of the warming happens within 20 years and then slowly continues to increase):</w:t>
      </w:r>
    </w:p>
    <w:p w:rsidR="00584D6E" w:rsidRPr="00584D6E" w:rsidRDefault="00584D6E" w:rsidP="00584D6E">
      <w:pPr>
        <w:spacing w:line="240" w:lineRule="auto"/>
        <w:ind w:left="720"/>
        <w:rPr>
          <w:rFonts w:ascii="Times New Roman" w:eastAsia="Times New Roman" w:hAnsi="Times New Roman" w:cs="Times New Roman"/>
          <w:color w:val="222222"/>
          <w:szCs w:val="24"/>
          <w:lang w:val="en-US"/>
        </w:rPr>
      </w:pPr>
      <w:r w:rsidRPr="00584D6E">
        <w:rPr>
          <w:rFonts w:eastAsia="-moz-fixed" w:cs="-moz-fixed"/>
          <w:noProof/>
          <w:szCs w:val="20"/>
          <w:lang w:val="en-US"/>
        </w:rPr>
        <w:drawing>
          <wp:inline distT="0" distB="0" distL="0" distR="0">
            <wp:extent cx="4998720" cy="30632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998720" cy="3063240"/>
                    </a:xfrm>
                    <a:prstGeom prst="rect">
                      <a:avLst/>
                    </a:prstGeom>
                    <a:noFill/>
                    <a:ln>
                      <a:noFill/>
                    </a:ln>
                  </pic:spPr>
                </pic:pic>
              </a:graphicData>
            </a:graphic>
          </wp:inline>
        </w:drawing>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ascii="Times New Roman" w:eastAsia="Times New Roman" w:hAnsi="Times New Roman" w:cs="Times New Roman"/>
          <w:color w:val="222222"/>
          <w:szCs w:val="24"/>
          <w:lang w:val="en-US"/>
        </w:rPr>
      </w:pPr>
      <w:r w:rsidRPr="00584D6E">
        <w:rPr>
          <w:rFonts w:eastAsia="-moz-fixed" w:cs="-moz-fixed"/>
          <w:szCs w:val="20"/>
          <w:lang w:val="en-US" w:eastAsia="ar-SA"/>
        </w:rPr>
        <w:t xml:space="preserve">3. </w:t>
      </w:r>
      <w:r w:rsidRPr="00584D6E">
        <w:rPr>
          <w:rFonts w:ascii="Times New Roman" w:eastAsia="Times New Roman" w:hAnsi="Times New Roman" w:cs="Times New Roman"/>
          <w:color w:val="222222"/>
          <w:szCs w:val="24"/>
          <w:lang w:val="en-US"/>
        </w:rPr>
        <w:t xml:space="preserve">Near-term carbon storage (and avoided emissions) are far more valuable as a climate solution compared to carbon uptake in the distant future. Near-term climate solutions are critically important while the economy transitions to low carbon technologies, yet it will take over a century for forest regrowth or substitution to off-set the initial carbon debt caused by logging. </w:t>
      </w:r>
    </w:p>
    <w:p w:rsidR="00584D6E" w:rsidRPr="00584D6E" w:rsidRDefault="00584D6E" w:rsidP="00584D6E">
      <w:pPr>
        <w:spacing w:line="240" w:lineRule="auto"/>
        <w:rPr>
          <w:rFonts w:ascii="Times New Roman" w:eastAsia="Times New Roman" w:hAnsi="Times New Roman" w:cs="Times New Roman"/>
          <w:color w:val="222222"/>
          <w:szCs w:val="24"/>
          <w:lang w:val="en-US"/>
        </w:rPr>
      </w:pPr>
    </w:p>
    <w:p w:rsidR="00584D6E" w:rsidRPr="00584D6E" w:rsidRDefault="00584D6E" w:rsidP="00584D6E">
      <w:pPr>
        <w:spacing w:line="240" w:lineRule="auto"/>
        <w:rPr>
          <w:rFonts w:ascii="Times New Roman" w:eastAsia="Times New Roman" w:hAnsi="Times New Roman" w:cs="Times New Roman"/>
          <w:color w:val="222222"/>
          <w:szCs w:val="24"/>
          <w:lang w:val="en-US"/>
        </w:rPr>
      </w:pPr>
      <w:r w:rsidRPr="00584D6E">
        <w:rPr>
          <w:rFonts w:ascii="Times New Roman" w:eastAsia="Times New Roman" w:hAnsi="Times New Roman" w:cs="Times New Roman"/>
          <w:color w:val="222222"/>
          <w:szCs w:val="24"/>
          <w:lang w:val="en-US"/>
        </w:rPr>
        <w:t xml:space="preserve">The IPCC made a policy decision to place more emphasis on emissions in the near-term because the majority of warming happens within 10-20 years after emissions. The importance avoiding emissions in the near-term highlights the fact that forests are more valuable as places to store carbon and wood products are less valuable. This is because every effort to transfer carbon from the forest into wood products results in a net near-term pulse of carbon to the atmosphere, and this carbon "debt" is not repaid until the distant future when the replacement forest grows (not to the point that it stores the same amount of carbon as before harvest, but rather to a point that recaptures all the carbon PLUS mitigates for the climate impacts caused during the "carbon debt" payback period.) See </w:t>
      </w:r>
      <w:proofErr w:type="spellStart"/>
      <w:r w:rsidRPr="00584D6E">
        <w:rPr>
          <w:rFonts w:ascii="Times New Roman" w:eastAsia="Times New Roman" w:hAnsi="Times New Roman" w:cs="Times New Roman"/>
          <w:color w:val="222222"/>
          <w:szCs w:val="24"/>
          <w:lang w:val="en-US"/>
        </w:rPr>
        <w:t>Katsumasa</w:t>
      </w:r>
      <w:proofErr w:type="spellEnd"/>
      <w:r w:rsidRPr="00584D6E">
        <w:rPr>
          <w:rFonts w:ascii="Times New Roman" w:eastAsia="Times New Roman" w:hAnsi="Times New Roman" w:cs="Times New Roman"/>
          <w:color w:val="222222"/>
          <w:szCs w:val="24"/>
          <w:lang w:val="en-US"/>
        </w:rPr>
        <w:t xml:space="preserve"> Tanaka &amp; Brian C. O’Neill. 2018. The Paris Agreement zero-emissions goal is not always consistent with the 1.5 °C and 2 °C temperature targets. Nature Climate Change (2018) doi:10.1038/s41558-018-0097-x. </w:t>
      </w:r>
      <w:hyperlink r:id="rId216" w:history="1">
        <w:r w:rsidRPr="00584D6E">
          <w:rPr>
            <w:rFonts w:ascii="Times New Roman" w:eastAsia="Times New Roman" w:hAnsi="Times New Roman" w:cs="Times New Roman"/>
            <w:color w:val="0000FF"/>
            <w:szCs w:val="24"/>
            <w:u w:val="single"/>
            <w:lang w:val="en-US"/>
          </w:rPr>
          <w:t>https://www.nature.com/articles/s41558-018-0097-x#Abs1</w:t>
        </w:r>
      </w:hyperlink>
      <w:r w:rsidRPr="00584D6E">
        <w:rPr>
          <w:rFonts w:ascii="Times New Roman" w:eastAsia="Times New Roman" w:hAnsi="Times New Roman" w:cs="Times New Roman"/>
          <w:color w:val="222222"/>
          <w:szCs w:val="24"/>
          <w:lang w:val="en-US"/>
        </w:rPr>
        <w:t xml:space="preserve">, and see </w:t>
      </w:r>
      <w:proofErr w:type="spellStart"/>
      <w:r w:rsidRPr="00584D6E">
        <w:rPr>
          <w:rFonts w:eastAsia="-moz-fixed" w:cs="-moz-fixed"/>
          <w:szCs w:val="20"/>
          <w:lang w:val="en-US" w:eastAsia="ar-SA"/>
        </w:rPr>
        <w:t>Brack</w:t>
      </w:r>
      <w:proofErr w:type="spellEnd"/>
      <w:r w:rsidRPr="00584D6E">
        <w:rPr>
          <w:rFonts w:eastAsia="-moz-fixed" w:cs="-moz-fixed"/>
          <w:szCs w:val="20"/>
          <w:lang w:val="en-US" w:eastAsia="ar-SA"/>
        </w:rPr>
        <w:t xml:space="preserve">, Duncan 2017. Woody Biomass for Power and Heat: Impacts on the Global Climate. Chatham House. </w:t>
      </w:r>
      <w:hyperlink r:id="rId217" w:history="1">
        <w:r w:rsidRPr="00584D6E">
          <w:rPr>
            <w:rFonts w:eastAsia="-moz-fixed" w:cs="-moz-fixed"/>
            <w:color w:val="0000FF"/>
            <w:szCs w:val="20"/>
            <w:u w:val="single"/>
            <w:lang w:val="en-US" w:eastAsia="ar-SA"/>
          </w:rPr>
          <w:t>https://www.chathamhouse.org/sites/files/chathamhouse/publications/research/2017-02-23-woody-biomass-global-climate-brack-embargoed.pdf</w:t>
        </w:r>
      </w:hyperlink>
      <w:r w:rsidRPr="00584D6E">
        <w:rPr>
          <w:rFonts w:ascii="Times New Roman" w:eastAsia="Times New Roman" w:hAnsi="Times New Roman" w:cs="Times New Roman"/>
          <w:color w:val="222222"/>
          <w:szCs w:val="24"/>
          <w:lang w:val="en-US"/>
        </w:rPr>
        <w:t>.</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38" w:name="_Toc194591363"/>
      <w:bookmarkStart w:id="39" w:name="_Toc195695331"/>
      <w:r w:rsidRPr="00584D6E">
        <w:rPr>
          <w:rFonts w:ascii="Arial" w:eastAsia="-moz-fixed" w:hAnsi="Arial" w:cs="-moz-fixed"/>
          <w:b/>
          <w:sz w:val="28"/>
          <w:szCs w:val="20"/>
          <w:lang w:val="en-US" w:eastAsia="ar-SA"/>
        </w:rPr>
        <w:t>Wood Products Are a Source of GHG Emissions, not a Sink. The Carbon Value of Wood Products is Over-estimated.</w:t>
      </w:r>
      <w:bookmarkEnd w:id="38"/>
      <w:bookmarkEnd w:id="39"/>
      <w:r w:rsidRPr="00584D6E">
        <w:rPr>
          <w:rFonts w:ascii="Arial" w:eastAsia="-moz-fixed" w:hAnsi="Arial" w:cs="-moz-fixed"/>
          <w:b/>
          <w:sz w:val="28"/>
          <w:szCs w:val="20"/>
          <w:lang w:val="en-US" w:eastAsia="ar-SA"/>
        </w:rPr>
        <w:t xml:space="preserve"> </w:t>
      </w:r>
    </w:p>
    <w:p w:rsidR="00584D6E" w:rsidRPr="00584D6E" w:rsidRDefault="00584D6E" w:rsidP="00584D6E">
      <w:pPr>
        <w:suppressAutoHyphens/>
        <w:spacing w:line="240" w:lineRule="auto"/>
        <w:rPr>
          <w:rFonts w:eastAsia="-moz-fixed" w:cs="-moz-fixed"/>
          <w:szCs w:val="20"/>
          <w:lang w:val="en-US" w:eastAsia="ar-SA"/>
        </w:rPr>
      </w:pPr>
      <w:r w:rsidRPr="00584D6E">
        <w:rPr>
          <w:rFonts w:eastAsia="Times New Roman" w:cs="-moz-fixed"/>
          <w:color w:val="222222"/>
          <w:szCs w:val="20"/>
          <w:lang w:val="en-US" w:eastAsia="ar-SA"/>
        </w:rPr>
        <w:t>Forest Service NEPA analyses often state “</w:t>
      </w:r>
      <w:r w:rsidRPr="00584D6E">
        <w:rPr>
          <w:rFonts w:eastAsia="-moz-fixed" w:cs="-moz-fixed"/>
          <w:szCs w:val="20"/>
          <w:lang w:val="en-US" w:eastAsia="ar-SA"/>
        </w:rPr>
        <w:t>Utilizing trees to create long-lived wood products sequesters carbon (IPCC 2007) (FAO 2007) (</w:t>
      </w:r>
      <w:proofErr w:type="spellStart"/>
      <w:r w:rsidRPr="00584D6E">
        <w:rPr>
          <w:rFonts w:eastAsia="-moz-fixed" w:cs="-moz-fixed"/>
          <w:szCs w:val="20"/>
          <w:lang w:val="en-US" w:eastAsia="ar-SA"/>
        </w:rPr>
        <w:t>Stavins</w:t>
      </w:r>
      <w:proofErr w:type="spellEnd"/>
      <w:r w:rsidRPr="00584D6E">
        <w:rPr>
          <w:rFonts w:eastAsia="-moz-fixed" w:cs="-moz-fixed"/>
          <w:szCs w:val="20"/>
          <w:lang w:val="en-US" w:eastAsia="ar-SA"/>
        </w:rPr>
        <w:t xml:space="preserve"> 2005) (Upton 2007). Some have shown that using wood to build houses has a more favorable carbon balance when compared to other building materials such as steel, concrete or plastic (Wilson 2006).” This is inaccurate and misleading. </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From a climate perspective, wood products represent net carbon emissions, NOT net carbon sequestration, because only a small fraction of the carbon in a logged forest ends up in wood products. Logging to create wood products causes the majority of forest carbon to be transferred to the atmosphere, not to wood products. Science clearly shows that carbon is more safely stored in forests, not in wood products.</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More than 200 scientists recently wrote to Congress saying –</w:t>
      </w:r>
    </w:p>
    <w:p w:rsidR="00584D6E" w:rsidRPr="00584D6E" w:rsidRDefault="00584D6E" w:rsidP="00584D6E">
      <w:pPr>
        <w:suppressAutoHyphens/>
        <w:spacing w:line="240" w:lineRule="auto"/>
        <w:ind w:left="720"/>
        <w:rPr>
          <w:rFonts w:eastAsia="-moz-fixed" w:cs="-moz-fixed"/>
          <w:szCs w:val="20"/>
          <w:lang w:val="en-US" w:eastAsia="ar-SA"/>
        </w:rPr>
      </w:pPr>
      <w:r w:rsidRPr="00584D6E">
        <w:rPr>
          <w:rFonts w:eastAsia="-moz-fixed" w:cs="-moz-fixed"/>
          <w:szCs w:val="20"/>
          <w:lang w:val="en-US" w:eastAsia="ar-SA"/>
        </w:rPr>
        <w:t>We find no scientific evidence to support increased logging to store more carbon in wood products, such as dimensional lumber or cross-laminated timber (CLT) for tall buildings, as a natural climate solution. The growing consensus of scientific findings is that, to effectively mitigate the worst impacts of climate change, we must not only move beyond fossil fuel consumption but must also substantially increase protection of our native forests in order to absorb more CO2 from the atmosphere and store more, not less, carbon in our forests (</w:t>
      </w:r>
      <w:proofErr w:type="spellStart"/>
      <w:r w:rsidRPr="00584D6E">
        <w:rPr>
          <w:rFonts w:eastAsia="-moz-fixed" w:cs="-moz-fixed"/>
          <w:szCs w:val="20"/>
          <w:lang w:val="en-US" w:eastAsia="ar-SA"/>
        </w:rPr>
        <w:t>Depro</w:t>
      </w:r>
      <w:proofErr w:type="spellEnd"/>
      <w:r w:rsidRPr="00584D6E">
        <w:rPr>
          <w:rFonts w:eastAsia="-moz-fixed" w:cs="-moz-fixed"/>
          <w:szCs w:val="20"/>
          <w:lang w:val="en-US" w:eastAsia="ar-SA"/>
        </w:rPr>
        <w:t xml:space="preserve"> et al. 2008, Harris et al. 2016, </w:t>
      </w:r>
      <w:proofErr w:type="spellStart"/>
      <w:r w:rsidRPr="00584D6E">
        <w:rPr>
          <w:rFonts w:eastAsia="-moz-fixed" w:cs="-moz-fixed"/>
          <w:szCs w:val="20"/>
          <w:lang w:val="en-US" w:eastAsia="ar-SA"/>
        </w:rPr>
        <w:t>Woodwell</w:t>
      </w:r>
      <w:proofErr w:type="spellEnd"/>
      <w:r w:rsidRPr="00584D6E">
        <w:rPr>
          <w:rFonts w:eastAsia="-moz-fixed" w:cs="-moz-fixed"/>
          <w:szCs w:val="20"/>
          <w:lang w:val="en-US" w:eastAsia="ar-SA"/>
        </w:rPr>
        <w:t xml:space="preserve"> 2016, </w:t>
      </w:r>
      <w:proofErr w:type="spellStart"/>
      <w:r w:rsidRPr="00584D6E">
        <w:rPr>
          <w:rFonts w:eastAsia="-moz-fixed" w:cs="-moz-fixed"/>
          <w:szCs w:val="20"/>
          <w:lang w:val="en-US" w:eastAsia="ar-SA"/>
        </w:rPr>
        <w:t>Erb</w:t>
      </w:r>
      <w:proofErr w:type="spellEnd"/>
      <w:r w:rsidRPr="00584D6E">
        <w:rPr>
          <w:rFonts w:eastAsia="-moz-fixed" w:cs="-moz-fixed"/>
          <w:szCs w:val="20"/>
          <w:lang w:val="en-US" w:eastAsia="ar-SA"/>
        </w:rPr>
        <w:t xml:space="preserve"> et al. 2018, IPCC 2018, Law et al. 2018, Harmon 2019, </w:t>
      </w:r>
      <w:proofErr w:type="spellStart"/>
      <w:r w:rsidRPr="00584D6E">
        <w:rPr>
          <w:rFonts w:eastAsia="-moz-fixed" w:cs="-moz-fixed"/>
          <w:szCs w:val="20"/>
          <w:lang w:val="en-US" w:eastAsia="ar-SA"/>
        </w:rPr>
        <w:t>Moomaw</w:t>
      </w:r>
      <w:proofErr w:type="spellEnd"/>
      <w:r w:rsidRPr="00584D6E">
        <w:rPr>
          <w:rFonts w:eastAsia="-moz-fixed" w:cs="-moz-fixed"/>
          <w:szCs w:val="20"/>
          <w:lang w:val="en-US" w:eastAsia="ar-SA"/>
        </w:rPr>
        <w:t xml:space="preserve"> et al. 2019).</w:t>
      </w:r>
    </w:p>
    <w:p w:rsidR="00584D6E" w:rsidRPr="00584D6E" w:rsidRDefault="00584D6E" w:rsidP="00584D6E">
      <w:pPr>
        <w:suppressAutoHyphens/>
        <w:spacing w:line="240" w:lineRule="auto"/>
        <w:rPr>
          <w:rFonts w:eastAsia="-moz-fixed" w:cs="-moz-fixed"/>
          <w:szCs w:val="20"/>
          <w:lang w:val="en-US" w:eastAsia="ar-SA"/>
        </w:rPr>
      </w:pPr>
      <w:proofErr w:type="spellStart"/>
      <w:r w:rsidRPr="00584D6E">
        <w:rPr>
          <w:rFonts w:eastAsia="-moz-fixed" w:cs="-moz-fixed"/>
          <w:szCs w:val="20"/>
          <w:lang w:val="en-US" w:eastAsia="ar-SA"/>
        </w:rPr>
        <w:t>Moomaw</w:t>
      </w:r>
      <w:proofErr w:type="spellEnd"/>
      <w:r w:rsidRPr="00584D6E">
        <w:rPr>
          <w:rFonts w:eastAsia="-moz-fixed" w:cs="-moz-fixed"/>
          <w:szCs w:val="20"/>
          <w:lang w:val="en-US" w:eastAsia="ar-SA"/>
        </w:rPr>
        <w:t xml:space="preserve"> et al 2020. Scientists Letter to Congress Urging Protection of Forests to Mitigate the Climate Crisis. May 13, 2020. </w:t>
      </w:r>
      <w:hyperlink r:id="rId218" w:history="1">
        <w:r w:rsidRPr="00584D6E">
          <w:rPr>
            <w:rFonts w:eastAsia="-moz-fixed" w:cs="-moz-fixed"/>
            <w:color w:val="0000FF"/>
            <w:szCs w:val="20"/>
            <w:u w:val="single"/>
            <w:lang w:val="en-US" w:eastAsia="ar-SA"/>
          </w:rPr>
          <w:t>https://96a.96e.myftpupload.com/wp-content/uploads/2020/05/200TopClimateScientistCongressProtectForestsForClimateChange13May20.pdf</w:t>
        </w:r>
      </w:hyperlink>
      <w:r w:rsidRPr="00584D6E">
        <w:rPr>
          <w:rFonts w:eastAsia="-moz-fixed" w:cs="-moz-fixed"/>
          <w:szCs w:val="20"/>
          <w:lang w:val="en-US" w:eastAsia="ar-SA"/>
        </w:rPr>
        <w:t>.</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Carbon emissions from the forest sector are often reported as net emissions which account for forest growth. This is not a proper way to account for emissions. The emissions from logging and the wood products supply chain must be reported separately, because carbon uptake via forest growth occurs whether forests are logged or not. </w:t>
      </w:r>
      <w:proofErr w:type="spellStart"/>
      <w:r w:rsidRPr="00584D6E">
        <w:rPr>
          <w:rFonts w:eastAsia="-moz-fixed" w:cs="-moz-fixed"/>
          <w:szCs w:val="20"/>
          <w:lang w:val="en-US" w:eastAsia="ar-SA"/>
        </w:rPr>
        <w:t>Bysouth</w:t>
      </w:r>
      <w:proofErr w:type="spellEnd"/>
      <w:r w:rsidRPr="00584D6E">
        <w:rPr>
          <w:rFonts w:eastAsia="-moz-fixed" w:cs="-moz-fixed"/>
          <w:szCs w:val="20"/>
          <w:lang w:val="en-US" w:eastAsia="ar-SA"/>
        </w:rPr>
        <w:t xml:space="preserve">, D., </w:t>
      </w:r>
      <w:proofErr w:type="spellStart"/>
      <w:r w:rsidRPr="00584D6E">
        <w:rPr>
          <w:rFonts w:eastAsia="-moz-fixed" w:cs="-moz-fixed"/>
          <w:szCs w:val="20"/>
          <w:lang w:val="en-US" w:eastAsia="ar-SA"/>
        </w:rPr>
        <w:t>Boan</w:t>
      </w:r>
      <w:proofErr w:type="spellEnd"/>
      <w:r w:rsidRPr="00584D6E">
        <w:rPr>
          <w:rFonts w:eastAsia="-moz-fixed" w:cs="-moz-fixed"/>
          <w:szCs w:val="20"/>
          <w:lang w:val="en-US" w:eastAsia="ar-SA"/>
        </w:rPr>
        <w:t xml:space="preserve">, J. J., Malcolm, J. R., &amp; Taylor, A. R. (2024). High emissions </w:t>
      </w:r>
      <w:proofErr w:type="spellStart"/>
      <w:r w:rsidRPr="00584D6E">
        <w:rPr>
          <w:rFonts w:eastAsia="-moz-fixed" w:cs="-moz-fixed"/>
          <w:szCs w:val="20"/>
          <w:lang w:val="en-US" w:eastAsia="ar-SA"/>
        </w:rPr>
        <w:t>or</w:t>
      </w:r>
      <w:proofErr w:type="spellEnd"/>
      <w:r w:rsidRPr="00584D6E">
        <w:rPr>
          <w:rFonts w:eastAsia="-moz-fixed" w:cs="-moz-fixed"/>
          <w:szCs w:val="20"/>
          <w:lang w:val="en-US" w:eastAsia="ar-SA"/>
        </w:rPr>
        <w:t xml:space="preserve"> carbon neutral? Inclusion of “anthropogenic” forest sinks leads to underreporting of forestry emissions. </w:t>
      </w:r>
      <w:r w:rsidRPr="00584D6E">
        <w:rPr>
          <w:rFonts w:eastAsia="-moz-fixed" w:cs="-moz-fixed"/>
          <w:i/>
          <w:iCs/>
          <w:szCs w:val="20"/>
          <w:lang w:val="en-US" w:eastAsia="ar-SA"/>
        </w:rPr>
        <w:t>Frontiers in Forests and Global Change</w:t>
      </w:r>
      <w:r w:rsidRPr="00584D6E">
        <w:rPr>
          <w:rFonts w:eastAsia="-moz-fixed" w:cs="-moz-fixed"/>
          <w:szCs w:val="20"/>
          <w:lang w:val="en-US" w:eastAsia="ar-SA"/>
        </w:rPr>
        <w:t xml:space="preserve">, </w:t>
      </w:r>
      <w:r w:rsidRPr="00584D6E">
        <w:rPr>
          <w:rFonts w:eastAsia="-moz-fixed" w:cs="-moz-fixed"/>
          <w:i/>
          <w:iCs/>
          <w:szCs w:val="20"/>
          <w:lang w:val="en-US" w:eastAsia="ar-SA"/>
        </w:rPr>
        <w:t>6</w:t>
      </w:r>
      <w:r w:rsidRPr="00584D6E">
        <w:rPr>
          <w:rFonts w:eastAsia="-moz-fixed" w:cs="-moz-fixed"/>
          <w:szCs w:val="20"/>
          <w:lang w:val="en-US" w:eastAsia="ar-SA"/>
        </w:rPr>
        <w:t xml:space="preserve">, 1297301. </w:t>
      </w:r>
      <w:hyperlink r:id="rId219" w:history="1">
        <w:r w:rsidRPr="00584D6E">
          <w:rPr>
            <w:rFonts w:eastAsia="-moz-fixed" w:cs="-moz-fixed"/>
            <w:color w:val="0000FF"/>
            <w:szCs w:val="20"/>
            <w:u w:val="single"/>
            <w:lang w:val="en-US" w:eastAsia="ar-SA"/>
          </w:rPr>
          <w:t>https://doi.org/10.3389/ffgc.2023.1297301</w:t>
        </w:r>
      </w:hyperlink>
      <w:r w:rsidRPr="00584D6E">
        <w:rPr>
          <w:rFonts w:eastAsia="-moz-fixed" w:cs="-moz-fixed"/>
          <w:szCs w:val="20"/>
          <w:lang w:val="en-US" w:eastAsia="ar-SA"/>
        </w:rPr>
        <w:t xml:space="preserve">; Polanyi, </w:t>
      </w:r>
      <w:proofErr w:type="spellStart"/>
      <w:r w:rsidRPr="00584D6E">
        <w:rPr>
          <w:rFonts w:eastAsia="-moz-fixed" w:cs="-moz-fixed"/>
          <w:szCs w:val="20"/>
          <w:lang w:val="en-US" w:eastAsia="ar-SA"/>
        </w:rPr>
        <w:t>Skeene</w:t>
      </w:r>
      <w:proofErr w:type="spellEnd"/>
      <w:r w:rsidRPr="00584D6E">
        <w:rPr>
          <w:rFonts w:eastAsia="-moz-fixed" w:cs="-moz-fixed"/>
          <w:szCs w:val="20"/>
          <w:lang w:val="en-US" w:eastAsia="ar-SA"/>
        </w:rPr>
        <w:t xml:space="preserve">, and Simard 2024. LOGGING EMISSIONS UPDATE - Reported greenhouse gas (GHG) emissions from logging in Canada double after revision to government data. </w:t>
      </w:r>
      <w:hyperlink r:id="rId220" w:history="1">
        <w:r w:rsidRPr="00584D6E">
          <w:rPr>
            <w:rFonts w:eastAsia="-moz-fixed" w:cs="-moz-fixed"/>
            <w:color w:val="0000FF"/>
            <w:szCs w:val="20"/>
            <w:u w:val="single"/>
            <w:lang w:val="en-US" w:eastAsia="ar-SA"/>
          </w:rPr>
          <w:t>https://naturecanada.ca/wp-content/uploads/2024/09/2024-Logging-Emissions-Update-Report.pdf</w:t>
        </w:r>
      </w:hyperlink>
      <w:r w:rsidRPr="00584D6E">
        <w:rPr>
          <w:rFonts w:eastAsia="-moz-fixed" w:cs="-moz-fixed"/>
          <w:szCs w:val="20"/>
          <w:lang w:val="en-US" w:eastAsia="ar-SA"/>
        </w:rPr>
        <w:t>. The NEPA analysis must accurately disclose to the public and the decision-maker the benefits of forest growth and continued carbon sequestration if the forest is conserved, versus all the GHG emissions from logging and associated activities.</w:t>
      </w:r>
    </w:p>
    <w:p w:rsidR="00584D6E" w:rsidRPr="00584D6E" w:rsidRDefault="00584D6E" w:rsidP="00584D6E">
      <w:pPr>
        <w:suppressAutoHyphens/>
        <w:spacing w:line="240" w:lineRule="auto"/>
        <w:rPr>
          <w:rFonts w:eastAsia="-moz-fixed" w:cs="-moz-fixed"/>
          <w:szCs w:val="20"/>
          <w:lang w:val="en-US" w:eastAsia="ar-SA"/>
        </w:rPr>
      </w:pP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World Resources Institute conducted a thorough analysis and concluded that increased use of wood does not provide climate benefits and has significant trade-offs, such as adverse effects on biodiversity.</w:t>
      </w:r>
    </w:p>
    <w:p w:rsidR="00584D6E" w:rsidRPr="00584D6E" w:rsidRDefault="00584D6E" w:rsidP="00584D6E">
      <w:pPr>
        <w:numPr>
          <w:ilvl w:val="1"/>
          <w:numId w:val="22"/>
        </w:numPr>
        <w:suppressAutoHyphens/>
        <w:spacing w:line="240" w:lineRule="auto"/>
        <w:rPr>
          <w:rFonts w:eastAsia="Times New Roman" w:cs="Times New Roman"/>
          <w:color w:val="222222"/>
          <w:szCs w:val="24"/>
          <w:lang w:val="en-US"/>
        </w:rPr>
      </w:pPr>
      <w:r w:rsidRPr="00584D6E">
        <w:rPr>
          <w:rFonts w:eastAsia="Times New Roman" w:cs="Times New Roman"/>
          <w:color w:val="222222"/>
          <w:szCs w:val="24"/>
          <w:lang w:val="en-US"/>
        </w:rPr>
        <w:t>Most wood (and its stored carbon) is lost during production.</w:t>
      </w:r>
    </w:p>
    <w:p w:rsidR="00584D6E" w:rsidRPr="00584D6E" w:rsidRDefault="00584D6E" w:rsidP="00584D6E">
      <w:pPr>
        <w:numPr>
          <w:ilvl w:val="1"/>
          <w:numId w:val="22"/>
        </w:numPr>
        <w:suppressAutoHyphens/>
        <w:spacing w:line="240" w:lineRule="auto"/>
        <w:rPr>
          <w:rFonts w:eastAsia="Times New Roman" w:cs="Times New Roman"/>
          <w:color w:val="222222"/>
          <w:szCs w:val="24"/>
          <w:lang w:val="en-US"/>
        </w:rPr>
      </w:pPr>
      <w:r w:rsidRPr="00584D6E">
        <w:rPr>
          <w:rFonts w:eastAsia="Times New Roman" w:cs="Times New Roman"/>
          <w:color w:val="222222"/>
          <w:szCs w:val="24"/>
          <w:lang w:val="en-US"/>
        </w:rPr>
        <w:t>Harvesting wood is not carbon-neutral.</w:t>
      </w:r>
    </w:p>
    <w:p w:rsidR="00584D6E" w:rsidRPr="00584D6E" w:rsidRDefault="00584D6E" w:rsidP="00584D6E">
      <w:pPr>
        <w:numPr>
          <w:ilvl w:val="1"/>
          <w:numId w:val="22"/>
        </w:numPr>
        <w:suppressAutoHyphens/>
        <w:spacing w:line="240" w:lineRule="auto"/>
        <w:rPr>
          <w:rFonts w:eastAsia="Times New Roman" w:cs="Times New Roman"/>
          <w:color w:val="222222"/>
          <w:szCs w:val="24"/>
          <w:lang w:val="en-US"/>
        </w:rPr>
      </w:pPr>
      <w:r w:rsidRPr="00584D6E">
        <w:rPr>
          <w:rFonts w:eastAsia="Times New Roman" w:cs="Times New Roman"/>
          <w:color w:val="222222"/>
          <w:szCs w:val="24"/>
          <w:lang w:val="en-US"/>
        </w:rPr>
        <w:lastRenderedPageBreak/>
        <w:t>Using wood in construction will most likely increase climate warming for decades.</w:t>
      </w:r>
    </w:p>
    <w:p w:rsidR="00584D6E" w:rsidRPr="00584D6E" w:rsidRDefault="00584D6E" w:rsidP="00584D6E">
      <w:pPr>
        <w:numPr>
          <w:ilvl w:val="1"/>
          <w:numId w:val="22"/>
        </w:numPr>
        <w:suppressAutoHyphens/>
        <w:spacing w:line="240" w:lineRule="auto"/>
        <w:rPr>
          <w:rFonts w:eastAsia="Times New Roman" w:cs="Times New Roman"/>
          <w:color w:val="222222"/>
          <w:szCs w:val="24"/>
          <w:lang w:val="en-US"/>
        </w:rPr>
      </w:pPr>
      <w:r w:rsidRPr="00584D6E">
        <w:rPr>
          <w:rFonts w:eastAsia="Times New Roman" w:cs="Times New Roman"/>
          <w:color w:val="222222"/>
          <w:szCs w:val="24"/>
          <w:lang w:val="en-US"/>
        </w:rPr>
        <w:t>Relying only on plantation forests in warm climates for mass timber might yield climate benefits from a specific hectare, but not when factoring in the growing needs for wood.</w:t>
      </w:r>
    </w:p>
    <w:p w:rsidR="00584D6E" w:rsidRPr="00584D6E" w:rsidRDefault="00584D6E" w:rsidP="00584D6E">
      <w:pPr>
        <w:numPr>
          <w:ilvl w:val="1"/>
          <w:numId w:val="22"/>
        </w:numPr>
        <w:suppressAutoHyphens/>
        <w:spacing w:line="240" w:lineRule="auto"/>
        <w:rPr>
          <w:rFonts w:eastAsia="Times New Roman" w:cs="Times New Roman"/>
          <w:color w:val="222222"/>
          <w:szCs w:val="24"/>
          <w:lang w:val="en-US"/>
        </w:rPr>
      </w:pPr>
      <w:r w:rsidRPr="00584D6E">
        <w:rPr>
          <w:rFonts w:eastAsia="Times New Roman" w:cs="Times New Roman"/>
          <w:color w:val="222222"/>
          <w:szCs w:val="24"/>
          <w:lang w:val="en-US"/>
        </w:rPr>
        <w:t>Mass timber would have large adverse effects on the world’s forests.</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 xml:space="preserve">Tim </w:t>
      </w:r>
      <w:proofErr w:type="spellStart"/>
      <w:r w:rsidRPr="00584D6E">
        <w:rPr>
          <w:rFonts w:eastAsia="Times New Roman" w:cs="Times New Roman"/>
          <w:color w:val="222222"/>
          <w:szCs w:val="24"/>
          <w:lang w:val="en-US"/>
        </w:rPr>
        <w:t>Searchinger</w:t>
      </w:r>
      <w:proofErr w:type="spellEnd"/>
      <w:r w:rsidRPr="00584D6E">
        <w:rPr>
          <w:rFonts w:eastAsia="Times New Roman" w:cs="Times New Roman"/>
          <w:color w:val="222222"/>
          <w:szCs w:val="24"/>
          <w:lang w:val="en-US"/>
        </w:rPr>
        <w:t xml:space="preserve">, </w:t>
      </w:r>
      <w:proofErr w:type="spellStart"/>
      <w:r w:rsidRPr="00584D6E">
        <w:rPr>
          <w:rFonts w:eastAsia="Times New Roman" w:cs="Times New Roman"/>
          <w:color w:val="222222"/>
          <w:szCs w:val="24"/>
          <w:lang w:val="en-US"/>
        </w:rPr>
        <w:t>Liqing</w:t>
      </w:r>
      <w:proofErr w:type="spellEnd"/>
      <w:r w:rsidRPr="00584D6E">
        <w:rPr>
          <w:rFonts w:eastAsia="Times New Roman" w:cs="Times New Roman"/>
          <w:color w:val="222222"/>
          <w:szCs w:val="24"/>
          <w:lang w:val="en-US"/>
        </w:rPr>
        <w:t xml:space="preserve"> Peng, Richard Waite and Jessica </w:t>
      </w:r>
      <w:proofErr w:type="spellStart"/>
      <w:r w:rsidRPr="00584D6E">
        <w:rPr>
          <w:rFonts w:eastAsia="Times New Roman" w:cs="Times New Roman"/>
          <w:color w:val="222222"/>
          <w:szCs w:val="24"/>
          <w:lang w:val="en-US"/>
        </w:rPr>
        <w:t>Zionts</w:t>
      </w:r>
      <w:proofErr w:type="spellEnd"/>
      <w:r w:rsidRPr="00584D6E">
        <w:rPr>
          <w:rFonts w:eastAsia="Times New Roman" w:cs="Times New Roman"/>
          <w:color w:val="222222"/>
          <w:szCs w:val="24"/>
          <w:lang w:val="en-US"/>
        </w:rPr>
        <w:t xml:space="preserve">. July 20, 2023. Wood Is Not the Climate-friendly Building Material Some Claim it to Be. </w:t>
      </w:r>
      <w:hyperlink r:id="rId221" w:history="1">
        <w:r w:rsidRPr="00584D6E">
          <w:rPr>
            <w:rFonts w:eastAsia="Times New Roman" w:cs="Times New Roman"/>
            <w:color w:val="0000FF"/>
            <w:szCs w:val="24"/>
            <w:u w:val="single"/>
            <w:lang w:val="en-US"/>
          </w:rPr>
          <w:t>https://www.wri.org/insights/mass-timber-wood-construction-climate-change</w:t>
        </w:r>
      </w:hyperlink>
      <w:r w:rsidRPr="00584D6E">
        <w:rPr>
          <w:rFonts w:eastAsia="Times New Roman" w:cs="Times New Roman"/>
          <w:color w:val="222222"/>
          <w:szCs w:val="24"/>
          <w:lang w:val="en-US"/>
        </w:rPr>
        <w:t xml:space="preserve">, </w:t>
      </w:r>
      <w:r w:rsidRPr="00584D6E">
        <w:rPr>
          <w:rFonts w:eastAsia="Times New Roman" w:cs="Times New Roman"/>
          <w:i/>
          <w:color w:val="222222"/>
          <w:szCs w:val="24"/>
          <w:lang w:val="en-US"/>
        </w:rPr>
        <w:t>citing</w:t>
      </w:r>
      <w:r w:rsidRPr="00584D6E">
        <w:rPr>
          <w:rFonts w:eastAsia="Times New Roman" w:cs="Times New Roman"/>
          <w:color w:val="222222"/>
          <w:szCs w:val="24"/>
          <w:lang w:val="en-US"/>
        </w:rPr>
        <w:t xml:space="preserve"> Timothy </w:t>
      </w:r>
      <w:proofErr w:type="spellStart"/>
      <w:r w:rsidRPr="00584D6E">
        <w:rPr>
          <w:rFonts w:eastAsia="Times New Roman" w:cs="Times New Roman"/>
          <w:color w:val="222222"/>
          <w:szCs w:val="24"/>
          <w:lang w:val="en-US"/>
        </w:rPr>
        <w:t>Searchinger</w:t>
      </w:r>
      <w:proofErr w:type="spellEnd"/>
      <w:r w:rsidRPr="00584D6E">
        <w:rPr>
          <w:rFonts w:eastAsia="Times New Roman" w:cs="Times New Roman"/>
          <w:color w:val="222222"/>
          <w:szCs w:val="24"/>
          <w:lang w:val="en-US"/>
        </w:rPr>
        <w:t xml:space="preserve">, </w:t>
      </w:r>
      <w:proofErr w:type="spellStart"/>
      <w:r w:rsidRPr="00584D6E">
        <w:rPr>
          <w:rFonts w:eastAsia="Times New Roman" w:cs="Times New Roman"/>
          <w:color w:val="222222"/>
          <w:szCs w:val="24"/>
          <w:lang w:val="en-US"/>
        </w:rPr>
        <w:t>Liqing</w:t>
      </w:r>
      <w:proofErr w:type="spellEnd"/>
      <w:r w:rsidRPr="00584D6E">
        <w:rPr>
          <w:rFonts w:eastAsia="Times New Roman" w:cs="Times New Roman"/>
          <w:color w:val="222222"/>
          <w:szCs w:val="24"/>
          <w:lang w:val="en-US"/>
        </w:rPr>
        <w:t xml:space="preserve"> Peng, Jessica </w:t>
      </w:r>
      <w:proofErr w:type="spellStart"/>
      <w:r w:rsidRPr="00584D6E">
        <w:rPr>
          <w:rFonts w:eastAsia="Times New Roman" w:cs="Times New Roman"/>
          <w:color w:val="222222"/>
          <w:szCs w:val="24"/>
          <w:lang w:val="en-US"/>
        </w:rPr>
        <w:t>Zionts</w:t>
      </w:r>
      <w:proofErr w:type="spellEnd"/>
      <w:r w:rsidRPr="00584D6E">
        <w:rPr>
          <w:rFonts w:eastAsia="Times New Roman" w:cs="Times New Roman"/>
          <w:color w:val="222222"/>
          <w:szCs w:val="24"/>
          <w:lang w:val="en-US"/>
        </w:rPr>
        <w:t xml:space="preserve">, And Richard Waite 2023 The  Global Land Squeeze: Managing The Growing Competition For Land. World Resources Institute. </w:t>
      </w:r>
      <w:hyperlink r:id="rId222" w:history="1">
        <w:r w:rsidRPr="00584D6E">
          <w:rPr>
            <w:rFonts w:eastAsia="Times New Roman" w:cs="Times New Roman"/>
            <w:color w:val="0000FF"/>
            <w:szCs w:val="24"/>
            <w:u w:val="single"/>
            <w:lang w:val="en-US"/>
          </w:rPr>
          <w:t>https://doi.org/10.46830/wrirpt.20.00042</w:t>
        </w:r>
      </w:hyperlink>
      <w:r w:rsidRPr="00584D6E">
        <w:rPr>
          <w:rFonts w:eastAsia="Times New Roman" w:cs="Times New Roman"/>
          <w:color w:val="222222"/>
          <w:szCs w:val="24"/>
          <w:lang w:val="en-US"/>
        </w:rPr>
        <w:t xml:space="preserve">; </w:t>
      </w:r>
    </w:p>
    <w:p w:rsidR="00584D6E" w:rsidRPr="00584D6E" w:rsidRDefault="00584D6E" w:rsidP="00584D6E">
      <w:pPr>
        <w:spacing w:line="240" w:lineRule="auto"/>
        <w:rPr>
          <w:rFonts w:eastAsia="Times New Roman" w:cs="Times New Roman"/>
          <w:color w:val="222222"/>
          <w:szCs w:val="24"/>
          <w:lang w:val="en-US"/>
        </w:rPr>
      </w:pPr>
      <w:hyperlink r:id="rId223" w:history="1">
        <w:r w:rsidRPr="00584D6E">
          <w:rPr>
            <w:rFonts w:eastAsia="Times New Roman" w:cs="Times New Roman"/>
            <w:color w:val="0000FF"/>
            <w:szCs w:val="24"/>
            <w:u w:val="single"/>
            <w:lang w:val="en-US"/>
          </w:rPr>
          <w:t>https://files.wri.org/d8/s3fs-public/2023-07/the-global-land-squeeze-report.pdf</w:t>
        </w:r>
      </w:hyperlink>
      <w:r w:rsidRPr="00584D6E">
        <w:rPr>
          <w:rFonts w:eastAsia="Times New Roman" w:cs="Times New Roman"/>
          <w:color w:val="222222"/>
          <w:szCs w:val="24"/>
          <w:lang w:val="en-US"/>
        </w:rPr>
        <w:t xml:space="preserve"> (“▪ Initiatives to increase demands for bioenergy and mass timber for construction would vastly increase land-use competition.</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 Wood use is not “carbon neutral,” even if forests are managed “sustainably,” once one accounts for the loss in forest carbon from harvests. In most scenarios, harvesting additional wood, even for construction, will likely increase atmospheric carbon for decades.</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 Solutions require strategies that produce, protect, reduce, and restore: produce more food and wood on already managed land, protect native habitats, reduce demand for land-intensive products, and, if successful, restore forests and other habitats.</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 In general, policies should not increase demand for land-based products until the world shows that it can meet rising food and wood demands without additional land conversion.</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Our analysis also shows that “sustainable forest management,” as conventionally understood, does not mean that wood use is carbon neutral or that using wood in construction in place of concrete and steel necessarily provides a net climate benefit. Harvesting wood comes with a time-discounted cost in lost carbon in the forest. The climate benefits of harvesting wood include the storage of some of that forest carbon elsewhere and avoided emissions from other carbon-intensive products such as concrete and steel. But the climate costs are reduced storage of carbon in the forest.</w:t>
      </w:r>
    </w:p>
    <w:p w:rsidR="00584D6E" w:rsidRPr="00584D6E" w:rsidRDefault="00584D6E" w:rsidP="00584D6E">
      <w:pPr>
        <w:spacing w:line="240" w:lineRule="auto"/>
        <w:rPr>
          <w:rFonts w:eastAsia="Times New Roman" w:cs="Times New Roman"/>
          <w:color w:val="222222"/>
          <w:szCs w:val="24"/>
          <w:lang w:val="en-US"/>
        </w:rPr>
      </w:pPr>
      <w:r w:rsidRPr="00584D6E">
        <w:rPr>
          <w:rFonts w:eastAsia="Times New Roman" w:cs="Times New Roman"/>
          <w:color w:val="222222"/>
          <w:szCs w:val="24"/>
          <w:lang w:val="en-US"/>
        </w:rPr>
        <w:t>According to our analysis, large net climate benefits from wood harvesting probably require that a high percentage of this wood is used to replace concrete and steel in construction—perhaps at levels not realistic—and that the wood come from or be associated with the establishment of fast-growing forest plantations. If these plantations come at the expense of natural forests, they would have high biodiversity costs.”).</w:t>
      </w:r>
    </w:p>
    <w:p w:rsidR="00584D6E" w:rsidRPr="00584D6E" w:rsidRDefault="00584D6E" w:rsidP="00584D6E">
      <w:pPr>
        <w:spacing w:line="240" w:lineRule="auto"/>
        <w:rPr>
          <w:rFonts w:ascii="Times New Roman" w:eastAsia="Times New Roman" w:hAnsi="Times New Roman" w:cs="Times New Roman"/>
          <w:color w:val="222222"/>
          <w:szCs w:val="24"/>
          <w:lang w:val="en-US"/>
        </w:rPr>
      </w:pPr>
    </w:p>
    <w:p w:rsidR="00584D6E" w:rsidRPr="00584D6E" w:rsidRDefault="00584D6E" w:rsidP="00584D6E">
      <w:pPr>
        <w:suppressAutoHyphens/>
        <w:spacing w:line="240" w:lineRule="auto"/>
        <w:rPr>
          <w:rFonts w:eastAsia="-moz-fixed" w:cs="-moz-fixed"/>
          <w:szCs w:val="20"/>
          <w:lang w:val="en-US" w:eastAsia="ar-SA"/>
        </w:rPr>
      </w:pPr>
      <w:r w:rsidRPr="00584D6E">
        <w:rPr>
          <w:rFonts w:eastAsia="-moz-fixed" w:cs="-moz-fixed"/>
          <w:szCs w:val="20"/>
          <w:lang w:val="en-US" w:eastAsia="ar-SA"/>
        </w:rPr>
        <w:t xml:space="preserve">Applying discounting to the carbon costs of forest management improves accuracy. Peng, L., </w:t>
      </w:r>
      <w:proofErr w:type="spellStart"/>
      <w:r w:rsidRPr="00584D6E">
        <w:rPr>
          <w:rFonts w:eastAsia="-moz-fixed" w:cs="-moz-fixed"/>
          <w:szCs w:val="20"/>
          <w:lang w:val="en-US" w:eastAsia="ar-SA"/>
        </w:rPr>
        <w:t>Searchinger</w:t>
      </w:r>
      <w:proofErr w:type="spellEnd"/>
      <w:r w:rsidRPr="00584D6E">
        <w:rPr>
          <w:rFonts w:eastAsia="-moz-fixed" w:cs="-moz-fixed"/>
          <w:szCs w:val="20"/>
          <w:lang w:val="en-US" w:eastAsia="ar-SA"/>
        </w:rPr>
        <w:t xml:space="preserve">, T.D., </w:t>
      </w:r>
      <w:proofErr w:type="spellStart"/>
      <w:r w:rsidRPr="00584D6E">
        <w:rPr>
          <w:rFonts w:eastAsia="-moz-fixed" w:cs="-moz-fixed"/>
          <w:szCs w:val="20"/>
          <w:lang w:val="en-US" w:eastAsia="ar-SA"/>
        </w:rPr>
        <w:t>Zionts</w:t>
      </w:r>
      <w:proofErr w:type="spellEnd"/>
      <w:r w:rsidRPr="00584D6E">
        <w:rPr>
          <w:rFonts w:eastAsia="-moz-fixed" w:cs="-moz-fixed"/>
          <w:szCs w:val="20"/>
          <w:lang w:val="en-US" w:eastAsia="ar-SA"/>
        </w:rPr>
        <w:t xml:space="preserve">, J. et al. The carbon costs of global wood harvests. Nature (2023). </w:t>
      </w:r>
      <w:hyperlink r:id="rId224" w:history="1">
        <w:r w:rsidRPr="00584D6E">
          <w:rPr>
            <w:rFonts w:eastAsia="-moz-fixed" w:cs="-moz-fixed"/>
            <w:color w:val="0000FF"/>
            <w:szCs w:val="20"/>
            <w:u w:val="single"/>
            <w:lang w:val="en-US" w:eastAsia="ar-SA"/>
          </w:rPr>
          <w:t>https://doi.org/10.1038/s41586-023-06187-1</w:t>
        </w:r>
      </w:hyperlink>
      <w:r w:rsidRPr="00584D6E">
        <w:rPr>
          <w:rFonts w:eastAsia="-moz-fixed" w:cs="-moz-fixed"/>
          <w:szCs w:val="20"/>
          <w:lang w:val="en-US" w:eastAsia="ar-SA"/>
        </w:rPr>
        <w:t xml:space="preserve">. </w:t>
      </w:r>
      <w:hyperlink r:id="rId225" w:history="1">
        <w:r w:rsidRPr="00584D6E">
          <w:rPr>
            <w:rFonts w:eastAsia="-moz-fixed" w:cs="-moz-fixed"/>
            <w:color w:val="0000FF"/>
            <w:szCs w:val="20"/>
            <w:u w:val="single"/>
            <w:lang w:val="en-US" w:eastAsia="ar-SA"/>
          </w:rPr>
          <w:t>https://www.nature.com/articles/s41586-023-06187-1.pdf</w:t>
        </w:r>
      </w:hyperlink>
      <w:r w:rsidRPr="00584D6E">
        <w:rPr>
          <w:rFonts w:eastAsia="-moz-fixed" w:cs="-moz-fixed"/>
          <w:szCs w:val="20"/>
          <w:lang w:val="en-US" w:eastAsia="ar-SA"/>
        </w:rPr>
        <w:t xml:space="preserve"> (“[H]</w:t>
      </w:r>
      <w:proofErr w:type="spellStart"/>
      <w:r w:rsidRPr="00584D6E">
        <w:rPr>
          <w:rFonts w:eastAsia="-moz-fixed" w:cs="-moz-fixed"/>
          <w:szCs w:val="20"/>
          <w:lang w:val="en-US" w:eastAsia="ar-SA"/>
        </w:rPr>
        <w:t>arvests</w:t>
      </w:r>
      <w:proofErr w:type="spellEnd"/>
      <w:r w:rsidRPr="00584D6E">
        <w:rPr>
          <w:rFonts w:eastAsia="-moz-fixed" w:cs="-moz-fixed"/>
          <w:szCs w:val="20"/>
          <w:lang w:val="en-US" w:eastAsia="ar-SA"/>
        </w:rPr>
        <w:t xml:space="preserve"> of wood have major, although often ignored, carbon costs that should be attributed to human activity. ... [W]e present results of a new model that uses [4%] time discounting to estimate the present and future carbon costs of global wood harvests under </w:t>
      </w:r>
      <w:proofErr w:type="spellStart"/>
      <w:r w:rsidRPr="00584D6E">
        <w:rPr>
          <w:rFonts w:eastAsia="-moz-fixed" w:cs="-moz-fixed"/>
          <w:szCs w:val="20"/>
          <w:lang w:val="en-US" w:eastAsia="ar-SA"/>
        </w:rPr>
        <w:t>diferent</w:t>
      </w:r>
      <w:proofErr w:type="spellEnd"/>
      <w:r w:rsidRPr="00584D6E">
        <w:rPr>
          <w:rFonts w:eastAsia="-moz-fixed" w:cs="-moz-fixed"/>
          <w:szCs w:val="20"/>
          <w:lang w:val="en-US" w:eastAsia="ar-SA"/>
        </w:rPr>
        <w:t xml:space="preserve"> scenarios. We </w:t>
      </w:r>
      <w:proofErr w:type="spellStart"/>
      <w:r w:rsidRPr="00584D6E">
        <w:rPr>
          <w:rFonts w:eastAsia="-moz-fixed" w:cs="-moz-fixed"/>
          <w:szCs w:val="20"/>
          <w:lang w:val="en-US" w:eastAsia="ar-SA"/>
        </w:rPr>
        <w:t>fnd</w:t>
      </w:r>
      <w:proofErr w:type="spellEnd"/>
      <w:r w:rsidRPr="00584D6E">
        <w:rPr>
          <w:rFonts w:eastAsia="-moz-fixed" w:cs="-moz-fixed"/>
          <w:szCs w:val="20"/>
          <w:lang w:val="en-US" w:eastAsia="ar-SA"/>
        </w:rPr>
        <w:t xml:space="preserve"> that forest harvests between 2010 and 2050 will probably have annualized carbon costs of 3.5–4.2</w:t>
      </w:r>
      <w:r w:rsidRPr="00584D6E">
        <w:rPr>
          <w:rFonts w:ascii="Times New Roman" w:eastAsia="-moz-fixed" w:hAnsi="Times New Roman" w:cs="Times New Roman"/>
          <w:szCs w:val="20"/>
          <w:lang w:val="en-US" w:eastAsia="ar-SA"/>
        </w:rPr>
        <w:t> </w:t>
      </w:r>
      <w:r w:rsidRPr="00584D6E">
        <w:rPr>
          <w:rFonts w:eastAsia="-moz-fixed" w:cs="-moz-fixed"/>
          <w:szCs w:val="20"/>
          <w:lang w:val="en-US" w:eastAsia="ar-SA"/>
        </w:rPr>
        <w:t>Gt CO2e</w:t>
      </w:r>
      <w:r w:rsidRPr="00584D6E">
        <w:rPr>
          <w:rFonts w:ascii="Times New Roman" w:eastAsia="-moz-fixed" w:hAnsi="Times New Roman" w:cs="Times New Roman"/>
          <w:szCs w:val="20"/>
          <w:lang w:val="en-US" w:eastAsia="ar-SA"/>
        </w:rPr>
        <w:t> </w:t>
      </w:r>
      <w:r w:rsidRPr="00584D6E">
        <w:rPr>
          <w:rFonts w:eastAsia="-moz-fixed" w:cs="-moz-fixed"/>
          <w:szCs w:val="20"/>
          <w:lang w:val="en-US" w:eastAsia="ar-SA"/>
        </w:rPr>
        <w:t>yr</w:t>
      </w:r>
      <w:r w:rsidRPr="00584D6E">
        <w:rPr>
          <w:rFonts w:eastAsia="-moz-fixed" w:cs="Georgia"/>
          <w:szCs w:val="20"/>
          <w:lang w:val="en-US" w:eastAsia="ar-SA"/>
        </w:rPr>
        <w:t>−</w:t>
      </w:r>
      <w:r w:rsidRPr="00584D6E">
        <w:rPr>
          <w:rFonts w:eastAsia="-moz-fixed" w:cs="-moz-fixed"/>
          <w:szCs w:val="20"/>
          <w:lang w:val="en-US" w:eastAsia="ar-SA"/>
        </w:rPr>
        <w:t xml:space="preserve">1. </w:t>
      </w:r>
      <w:r w:rsidRPr="00584D6E">
        <w:rPr>
          <w:rFonts w:eastAsia="-moz-fixed" w:cs="Georgia"/>
          <w:szCs w:val="20"/>
          <w:lang w:val="en-US" w:eastAsia="ar-SA"/>
        </w:rPr>
        <w:t>…</w:t>
      </w:r>
      <w:r w:rsidRPr="00584D6E">
        <w:rPr>
          <w:rFonts w:eastAsia="-moz-fixed" w:cs="-moz-fixed"/>
          <w:szCs w:val="20"/>
          <w:lang w:val="en-US" w:eastAsia="ar-SA"/>
        </w:rPr>
        <w:t xml:space="preserve"> These findings are, in a sense, good news because they imply that if people could reduce forest harvests, forest growth could do more to reduce atmospheric carbon, a potential  mitigation ‘wedge’ that is rarely identified in climate strategies.”).</w:t>
      </w:r>
    </w:p>
    <w:p w:rsidR="00584D6E" w:rsidRPr="00584D6E" w:rsidRDefault="00584D6E" w:rsidP="00584D6E">
      <w:pPr>
        <w:spacing w:line="240" w:lineRule="auto"/>
        <w:rPr>
          <w:rFonts w:ascii="Times New Roman" w:eastAsia="Times New Roman" w:hAnsi="Times New Roman" w:cs="Times New Roman"/>
          <w:color w:val="222222"/>
          <w:szCs w:val="24"/>
          <w:lang w:val="en-US"/>
        </w:rPr>
      </w:pPr>
    </w:p>
    <w:p w:rsidR="00584D6E" w:rsidRPr="00584D6E" w:rsidRDefault="00584D6E" w:rsidP="00584D6E">
      <w:pPr>
        <w:spacing w:line="240" w:lineRule="auto"/>
        <w:ind w:left="720"/>
        <w:rPr>
          <w:rFonts w:ascii="Times New Roman" w:eastAsia="Times New Roman" w:hAnsi="Times New Roman" w:cs="Times New Roman"/>
          <w:color w:val="222222"/>
          <w:szCs w:val="24"/>
          <w:lang w:val="en-US"/>
        </w:rPr>
      </w:pPr>
    </w:p>
    <w:p w:rsidR="00584D6E" w:rsidRPr="00584D6E" w:rsidRDefault="00584D6E" w:rsidP="00584D6E">
      <w:pPr>
        <w:spacing w:line="240" w:lineRule="auto"/>
        <w:ind w:left="720"/>
        <w:rPr>
          <w:rFonts w:eastAsia="Times New Roman" w:cs="Times New Roman"/>
          <w:color w:val="222222"/>
          <w:lang w:val="en-US"/>
        </w:rPr>
      </w:pPr>
      <w:r w:rsidRPr="00584D6E">
        <w:rPr>
          <w:rFonts w:eastAsia="Times New Roman" w:cs="Times New Roman"/>
          <w:color w:val="222222"/>
          <w:lang w:val="en-US"/>
        </w:rPr>
        <w:t xml:space="preserve">Various forest management mitigation strategies based on modifying conventional management of forests for commodity production in ways that reduce logging emissions </w:t>
      </w:r>
      <w:r w:rsidRPr="00584D6E">
        <w:rPr>
          <w:rFonts w:eastAsia="Times New Roman" w:cs="Times New Roman"/>
          <w:color w:val="222222"/>
          <w:lang w:val="en-US"/>
        </w:rPr>
        <w:lastRenderedPageBreak/>
        <w:t>and take account of the carbon stored in wood products have been proposed as constituting the most effective mitigation (</w:t>
      </w:r>
      <w:proofErr w:type="spellStart"/>
      <w:r w:rsidRPr="00584D6E">
        <w:rPr>
          <w:rFonts w:eastAsia="Times New Roman" w:cs="Times New Roman"/>
          <w:color w:val="222222"/>
          <w:lang w:val="en-US"/>
        </w:rPr>
        <w:t>Fusset</w:t>
      </w:r>
      <w:proofErr w:type="spellEnd"/>
      <w:r w:rsidRPr="00584D6E">
        <w:rPr>
          <w:rFonts w:eastAsia="Times New Roman" w:cs="Times New Roman"/>
          <w:color w:val="222222"/>
          <w:lang w:val="en-US"/>
        </w:rPr>
        <w:t xml:space="preserve"> al 2020, </w:t>
      </w:r>
      <w:proofErr w:type="spellStart"/>
      <w:r w:rsidRPr="00584D6E">
        <w:rPr>
          <w:rFonts w:eastAsia="Times New Roman" w:cs="Times New Roman"/>
          <w:color w:val="222222"/>
          <w:lang w:val="en-US"/>
        </w:rPr>
        <w:t>Verkerk</w:t>
      </w:r>
      <w:proofErr w:type="spellEnd"/>
      <w:r w:rsidRPr="00584D6E">
        <w:rPr>
          <w:rFonts w:eastAsia="Times New Roman" w:cs="Times New Roman"/>
          <w:color w:val="222222"/>
          <w:lang w:val="en-US"/>
        </w:rPr>
        <w:t xml:space="preserve"> et al 2020). However, other empirical case studies have challenged these proposals (Keith et al 2015) and shown that alternative forest management practices such as reduced impact logging do little to reduce atmospheric CO2 compared to forest protection and regrowth (i.e. allowing growth to continue) whereas tree harvesting immediately releases large amounts of CO2 (Law et al 2018).</w:t>
      </w:r>
    </w:p>
    <w:p w:rsidR="00584D6E" w:rsidRPr="00584D6E" w:rsidRDefault="00584D6E" w:rsidP="00584D6E">
      <w:pPr>
        <w:suppressAutoHyphens/>
        <w:spacing w:line="240" w:lineRule="auto"/>
        <w:rPr>
          <w:rFonts w:eastAsia="-moz-fixed" w:cs="Times New Roman"/>
          <w:lang w:val="en-US" w:eastAsia="ar-SA"/>
        </w:rPr>
      </w:pPr>
      <w:r w:rsidRPr="00584D6E">
        <w:rPr>
          <w:rFonts w:eastAsia="-moz-fixed" w:cs="Times New Roman"/>
          <w:lang w:val="en-US" w:eastAsia="ar-SA"/>
        </w:rPr>
        <w:t xml:space="preserve">Brendan Mackey et al 2022. Net carbon accounting and reporting are a barrier to understanding the mitigation value of forest protection in developed countries. Environ. Res. Lett. 17 054028. DOI 10.1088/1748-9326/ac661b. </w:t>
      </w:r>
      <w:hyperlink r:id="rId226" w:history="1">
        <w:r w:rsidRPr="00584D6E">
          <w:rPr>
            <w:rFonts w:eastAsia="-moz-fixed" w:cs="Times New Roman"/>
            <w:color w:val="0000FF"/>
            <w:u w:val="single"/>
            <w:lang w:val="en-US" w:eastAsia="ar-SA"/>
          </w:rPr>
          <w:t>https://iopscience.iop.org/article/10.1088/1748-9326/ac661b/pdf</w:t>
        </w:r>
      </w:hyperlink>
      <w:r w:rsidRPr="00584D6E">
        <w:rPr>
          <w:rFonts w:eastAsia="-moz-fixed" w:cs="Times New Roman"/>
          <w:lang w:val="en-US" w:eastAsia="ar-SA"/>
        </w:rPr>
        <w:t xml:space="preserve">. </w:t>
      </w:r>
    </w:p>
    <w:p w:rsidR="00584D6E" w:rsidRPr="00584D6E" w:rsidRDefault="00584D6E" w:rsidP="00584D6E">
      <w:pPr>
        <w:spacing w:line="240" w:lineRule="auto"/>
        <w:rPr>
          <w:rFonts w:eastAsia="Times New Roman" w:cs="Times New Roman"/>
          <w:color w:val="222222"/>
          <w:lang w:val="en-US"/>
        </w:rPr>
      </w:pPr>
    </w:p>
    <w:p w:rsidR="00584D6E" w:rsidRPr="00584D6E" w:rsidRDefault="00584D6E" w:rsidP="00584D6E">
      <w:pPr>
        <w:spacing w:line="240" w:lineRule="auto"/>
        <w:rPr>
          <w:rFonts w:eastAsia="Times New Roman" w:cs="Times New Roman"/>
          <w:color w:val="222222"/>
          <w:lang w:val="en-US"/>
        </w:rPr>
      </w:pPr>
      <w:r w:rsidRPr="00584D6E">
        <w:rPr>
          <w:rFonts w:eastAsia="Times New Roman" w:cs="Times New Roman"/>
          <w:color w:val="222222"/>
          <w:lang w:val="en-US"/>
        </w:rPr>
        <w:t xml:space="preserve">Some argue that wood products are a good place to store carbon. This is a counter-productive </w:t>
      </w:r>
      <w:r w:rsidRPr="00584D6E">
        <w:rPr>
          <w:rFonts w:eastAsia="Times New Roman" w:cs="-moz-fixed"/>
          <w:color w:val="222222"/>
          <w:lang w:val="en-US" w:eastAsia="ar-SA"/>
        </w:rPr>
        <w:t xml:space="preserve">climate strategy, because – </w:t>
      </w:r>
    </w:p>
    <w:p w:rsidR="00584D6E" w:rsidRPr="00584D6E" w:rsidRDefault="00584D6E" w:rsidP="00584D6E">
      <w:pPr>
        <w:spacing w:line="240" w:lineRule="auto"/>
        <w:rPr>
          <w:rFonts w:eastAsia="Times New Roman" w:cs="Times New Roman"/>
          <w:color w:val="222222"/>
          <w:lang w:val="en-US"/>
        </w:rPr>
      </w:pPr>
    </w:p>
    <w:p w:rsidR="00584D6E" w:rsidRPr="00584D6E" w:rsidRDefault="00584D6E" w:rsidP="00584D6E">
      <w:pPr>
        <w:suppressAutoHyphens/>
        <w:spacing w:line="240" w:lineRule="auto"/>
        <w:rPr>
          <w:rFonts w:eastAsia="-moz-fixed" w:cs="-moz-fixed"/>
          <w:lang w:val="en-US" w:eastAsia="ar-SA"/>
        </w:rPr>
      </w:pPr>
      <w:r w:rsidRPr="00584D6E">
        <w:rPr>
          <w:rFonts w:eastAsia="-moz-fixed" w:cs="-moz-fixed"/>
          <w:i/>
          <w:lang w:val="en-US" w:eastAsia="ar-SA"/>
        </w:rPr>
        <w:t>Only a small fraction of carbon from logged forests ends up in long-term storage in wood products, most is transferred to the atmosphere.</w:t>
      </w:r>
      <w:r w:rsidRPr="00584D6E">
        <w:rPr>
          <w:rFonts w:eastAsia="-moz-fixed" w:cs="-moz-fixed"/>
          <w:lang w:val="en-US" w:eastAsia="ar-SA"/>
        </w:rPr>
        <w:t xml:space="preserve"> Of all the carbon that is killed and/or exposed to accelerated decay in a logging operation only a small fraction ends up as durable goods and buildings -- most ends up as slash, sawdust, waste/trim, hog fuel, and non-durable goods like paper. Some say that converting forest to wood products "delays" emissions, but in fact logging accelerates emissions because they are the result of a process that kills trees that would continue to actively sequester carbon if not logged, and logging involves tremendous waste in the logging process, milling process, construction/manufacturing process. </w:t>
      </w:r>
    </w:p>
    <w:p w:rsidR="00584D6E" w:rsidRPr="00584D6E" w:rsidRDefault="00584D6E" w:rsidP="00584D6E">
      <w:pPr>
        <w:suppressAutoHyphens/>
        <w:spacing w:line="240" w:lineRule="auto"/>
        <w:rPr>
          <w:rFonts w:eastAsia="-moz-fixed" w:cs="-moz-fixed"/>
          <w:lang w:val="en-US" w:eastAsia="ar-SA"/>
        </w:rPr>
      </w:pPr>
    </w:p>
    <w:p w:rsidR="00584D6E" w:rsidRPr="00584D6E" w:rsidRDefault="00584D6E" w:rsidP="00584D6E">
      <w:pPr>
        <w:suppressAutoHyphens/>
        <w:spacing w:line="240" w:lineRule="auto"/>
        <w:rPr>
          <w:rFonts w:eastAsia="-moz-fixed" w:cs="-moz-fixed"/>
          <w:lang w:val="en-US" w:eastAsia="ar-SA"/>
        </w:rPr>
      </w:pPr>
      <w:r w:rsidRPr="00584D6E">
        <w:rPr>
          <w:rFonts w:eastAsia="-moz-fixed" w:cs="-moz-fixed"/>
          <w:lang w:val="en-US" w:eastAsia="ar-SA"/>
        </w:rPr>
        <w:t xml:space="preserve">OFRI says “in 2013. Of the [log] volume delivered to sawmills, 49.4% became finished lumber or other sawn products and 48% became mill residues…”  </w:t>
      </w:r>
      <w:proofErr w:type="spellStart"/>
      <w:r w:rsidRPr="00584D6E">
        <w:rPr>
          <w:rFonts w:eastAsia="-moz-fixed" w:cs="-moz-fixed"/>
          <w:lang w:val="en-US" w:eastAsia="ar-SA"/>
        </w:rPr>
        <w:t>Kuusela</w:t>
      </w:r>
      <w:proofErr w:type="spellEnd"/>
      <w:r w:rsidRPr="00584D6E">
        <w:rPr>
          <w:rFonts w:eastAsia="-moz-fixed" w:cs="-moz-fixed"/>
          <w:lang w:val="en-US" w:eastAsia="ar-SA"/>
        </w:rPr>
        <w:t xml:space="preserve">, Rossi et al 2019. Forest Resources And Markets: Trends And Economic Impacts. The 2019 Forest Report. OFRI. </w:t>
      </w:r>
      <w:hyperlink r:id="rId227" w:history="1">
        <w:r w:rsidRPr="00584D6E">
          <w:rPr>
            <w:rFonts w:eastAsia="-moz-fixed" w:cs="-moz-fixed"/>
            <w:color w:val="0000FF"/>
            <w:u w:val="single"/>
            <w:lang w:val="en-US" w:eastAsia="ar-SA"/>
          </w:rPr>
          <w:t>https://theforestreport.org/wp-content/uploads/2019/07/OFRI-2019-Forest-Sector-Economic-Report-Web.pdf</w:t>
        </w:r>
      </w:hyperlink>
      <w:r w:rsidRPr="00584D6E">
        <w:rPr>
          <w:rFonts w:eastAsia="-moz-fixed" w:cs="-moz-fixed"/>
          <w:lang w:val="en-US" w:eastAsia="ar-SA"/>
        </w:rPr>
        <w:t xml:space="preserve">. There are additional losses throughout the wood products supply chain, resulting in logging waste, milling waste, plus GHG emissions from processing and transportation. </w:t>
      </w:r>
      <w:r w:rsidRPr="00584D6E">
        <w:rPr>
          <w:rFonts w:eastAsia="-moz-fixed" w:cs="-moz-fixed"/>
          <w:lang w:val="en-US" w:eastAsia="ar-SA"/>
        </w:rPr>
        <w:cr/>
      </w:r>
    </w:p>
    <w:p w:rsidR="00584D6E" w:rsidRPr="00584D6E" w:rsidRDefault="00584D6E" w:rsidP="00584D6E">
      <w:pPr>
        <w:suppressAutoHyphens/>
        <w:spacing w:line="240" w:lineRule="auto"/>
        <w:ind w:left="720"/>
        <w:rPr>
          <w:rFonts w:eastAsia="-moz-fixed" w:cs="-moz-fixed"/>
          <w:lang w:val="en-US" w:eastAsia="ar-SA"/>
        </w:rPr>
      </w:pPr>
      <w:r w:rsidRPr="00584D6E">
        <w:rPr>
          <w:rFonts w:eastAsia="-moz-fixed"/>
          <w:noProof/>
          <w:color w:val="000000"/>
          <w:lang w:val="en-US"/>
        </w:rPr>
        <w:drawing>
          <wp:inline distT="0" distB="0" distL="0" distR="0">
            <wp:extent cx="4785360" cy="2827020"/>
            <wp:effectExtent l="0" t="0" r="0" b="0"/>
            <wp:docPr id="16" name="Picture 16" descr="https://lh6.googleusercontent.com/ZmGON42ZdUnKNuPJdk1ih_GxUPg0sKkiuq5N8OH20B3gtIZXz9nLfGhydGigU0c7ZryGP2IW6wubKTPyNfZjVHPjMk-exr9sim4wCjiq6GpoL1oNjjMKGijdhJbo4WgSFbcEa6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ZmGON42ZdUnKNuPJdk1ih_GxUPg0sKkiuq5N8OH20B3gtIZXz9nLfGhydGigU0c7ZryGP2IW6wubKTPyNfZjVHPjMk-exr9sim4wCjiq6GpoL1oNjjMKGijdhJbo4WgSFbcEa6gZ"/>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785360" cy="2827020"/>
                    </a:xfrm>
                    <a:prstGeom prst="rect">
                      <a:avLst/>
                    </a:prstGeom>
                    <a:noFill/>
                    <a:ln>
                      <a:noFill/>
                    </a:ln>
                  </pic:spPr>
                </pic:pic>
              </a:graphicData>
            </a:graphic>
          </wp:inline>
        </w:drawing>
      </w:r>
    </w:p>
    <w:p w:rsidR="00584D6E" w:rsidRPr="00584D6E" w:rsidRDefault="00584D6E" w:rsidP="00584D6E">
      <w:pPr>
        <w:suppressAutoHyphens/>
        <w:spacing w:line="240" w:lineRule="auto"/>
        <w:rPr>
          <w:rFonts w:eastAsia="-moz-fixed" w:cs="-moz-fixed"/>
          <w:lang w:val="en-US" w:eastAsia="ar-SA"/>
        </w:rPr>
      </w:pPr>
    </w:p>
    <w:p w:rsidR="00584D6E" w:rsidRPr="00584D6E" w:rsidRDefault="00584D6E" w:rsidP="00584D6E">
      <w:pPr>
        <w:suppressAutoHyphens/>
        <w:spacing w:line="240" w:lineRule="auto"/>
        <w:rPr>
          <w:rFonts w:eastAsia="-moz-fixed" w:cs="-moz-fixed"/>
          <w:lang w:val="en-US" w:eastAsia="ar-SA"/>
        </w:rPr>
      </w:pPr>
      <w:r w:rsidRPr="00584D6E">
        <w:rPr>
          <w:rFonts w:eastAsia="-moz-fixed" w:cs="-moz-fixed"/>
          <w:i/>
          <w:lang w:val="en-US" w:eastAsia="ar-SA"/>
        </w:rPr>
        <w:lastRenderedPageBreak/>
        <w:t>Carbon remains stored much longer in forests than in wood products.</w:t>
      </w:r>
      <w:r w:rsidRPr="00584D6E">
        <w:rPr>
          <w:rFonts w:eastAsia="-moz-fixed" w:cs="-moz-fixed"/>
          <w:lang w:val="en-US" w:eastAsia="ar-SA"/>
        </w:rPr>
        <w:t xml:space="preserve">  Much of the wood products which can reasonably be considered "durable" are in fact less durable than leaving the carbon stored safely inside a mature tree that might live to be hundreds of years old. Most of our wood products are disposable. It turns out that well-conserved forests on average store carbon more securely than our “throw-away” culture and economy does. Law, B. &amp; M.E. Harmon 2011. Forest sector carbon management, measurement and verification, and discussion of policy related to mitigation and adaptation of forests to climate change. Carbon Management 2011 2(1). </w:t>
      </w:r>
      <w:hyperlink r:id="rId229" w:history="1">
        <w:r w:rsidRPr="00584D6E">
          <w:rPr>
            <w:rFonts w:eastAsia="-moz-fixed" w:cs="-moz-fixed"/>
            <w:color w:val="0000FF"/>
            <w:u w:val="single"/>
            <w:lang w:val="en-US" w:eastAsia="ar-SA"/>
          </w:rPr>
          <w:t>https://archives.corvallisoregon.gov/public/ElectronicFile.aspx?dbid=0&amp;docid=4256162</w:t>
        </w:r>
      </w:hyperlink>
      <w:r w:rsidRPr="00584D6E">
        <w:rPr>
          <w:rFonts w:eastAsia="-moz-fixed" w:cs="-moz-fixed"/>
          <w:lang w:val="en-US" w:eastAsia="ar-SA"/>
        </w:rPr>
        <w:t xml:space="preserve">  (“To the extent that management can direct carbon into longer lived pools, it can increase the stores of carbon in the forest sector. Harvest of carbon is one proposed strategy to increase carbon stores. However, harvesting carbon will increase the losses from the forest itself and to increase the overall forest sector carbon store, the lifespan of wood products carbon (including manufacturing losses) would have to exceed that of the forest. Under current practices this is unlikely to be the case. A substantial fraction (25–65%) of harvested carbon is lost to the atmosphere during manufacturing and construction depending on the product type and manufacturing method. The average lifespan of wood buildings is 80 years in the USA, which is determined as the time at which half the wood is no longer in use and either decomposes, burns or, to a lesser extent, is recycled. However, many forest trees have the potential to live hundreds of years (e.g. 800 years in the Pacific northwest USA). Mortality rates of trees are generally low, averaging less than 2% of live mass per year in mature and old forests; for example, in Oregon, mortality rates average 0.35–1.25% in forests that are older than 200 years in the Coast Range and Blue Mountains, respectively [8]. Moreover, the average longevity of dead wood and soil carbon is comparable to that of live trees. When the loss of carbon associated with wood products manufacturing is factored in, it is highly unlikely that harvesting carbon and placing it into wood products will increase carbon stores in the overall forest sector. This explains why in all analyses conducted to date, wood products stores never form the majority of total forest sector stores.”)</w:t>
      </w:r>
    </w:p>
    <w:p w:rsidR="00584D6E" w:rsidRPr="00584D6E" w:rsidRDefault="00584D6E" w:rsidP="00584D6E">
      <w:pPr>
        <w:suppressAutoHyphens/>
        <w:spacing w:line="240" w:lineRule="auto"/>
        <w:rPr>
          <w:rFonts w:eastAsia="-moz-fixed" w:cs="-moz-fixed"/>
          <w:lang w:val="en-US" w:eastAsia="ar-SA"/>
        </w:rPr>
      </w:pPr>
    </w:p>
    <w:p w:rsidR="00584D6E" w:rsidRPr="00584D6E" w:rsidRDefault="00584D6E" w:rsidP="00584D6E">
      <w:pPr>
        <w:suppressAutoHyphens/>
        <w:spacing w:line="240" w:lineRule="auto"/>
        <w:rPr>
          <w:rFonts w:eastAsia="-moz-fixed" w:cs="-moz-fixed"/>
          <w:lang w:val="en-US" w:eastAsia="ar-SA"/>
        </w:rPr>
      </w:pPr>
      <w:r w:rsidRPr="00584D6E">
        <w:rPr>
          <w:rFonts w:eastAsia="-moz-fixed" w:cs="-moz-fixed"/>
          <w:lang w:val="en-US" w:eastAsia="ar-SA"/>
        </w:rPr>
        <w:t>“Of the cumulative wood harvested in the past 115 years, 65% is in the atmosphere, 16% is in landfills, and 19% is in long-lived products (</w:t>
      </w:r>
      <w:proofErr w:type="spellStart"/>
      <w:r w:rsidRPr="00584D6E">
        <w:rPr>
          <w:rFonts w:eastAsia="-moz-fixed" w:cs="-moz-fixed"/>
          <w:lang w:val="en-US" w:eastAsia="ar-SA"/>
        </w:rPr>
        <w:t>Hudiburg</w:t>
      </w:r>
      <w:proofErr w:type="spellEnd"/>
      <w:r w:rsidRPr="00584D6E">
        <w:rPr>
          <w:rFonts w:eastAsia="-moz-fixed" w:cs="-moz-fixed"/>
          <w:lang w:val="en-US" w:eastAsia="ar-SA"/>
        </w:rPr>
        <w:t xml:space="preserve"> et al. 2019).” Law, B. 2021. Response to Questions for the Record, </w:t>
      </w:r>
      <w:r w:rsidRPr="00584D6E">
        <w:rPr>
          <w:rFonts w:eastAsia="-moz-fixed" w:cs="-moz-fixed"/>
          <w:i/>
          <w:lang w:val="en-US" w:eastAsia="ar-SA"/>
        </w:rPr>
        <w:t>attached to</w:t>
      </w:r>
      <w:r w:rsidRPr="00584D6E">
        <w:rPr>
          <w:rFonts w:eastAsia="-moz-fixed" w:cs="-moz-fixed"/>
          <w:lang w:val="en-US" w:eastAsia="ar-SA"/>
        </w:rPr>
        <w:t xml:space="preserve"> STATEMENT OF DR. BEVERLY LAW, PROFESSOR EMERITUS, OREGON STATE UNIVERSITY,  BEFORE THE UNITED STATES HOUSE OF REPRESENTATIVES,  SUBCOMMITTEE ON NATIONAL PARKS, FORESTS AND PUBLIC LANDS,  APRIL 29, 2021, CONCERNING “WILDFIRE IN A WARMING WORLD: OPPORTUNITIES TO IMPROVE COMMUNITY COLLABORATION, CLIMATE RESILIENCE, AND WORKFORCE CAPACITY” </w:t>
      </w:r>
      <w:hyperlink r:id="rId230" w:history="1">
        <w:r w:rsidRPr="00584D6E">
          <w:rPr>
            <w:rFonts w:eastAsia="-moz-fixed" w:cs="-moz-fixed"/>
            <w:color w:val="0000FF"/>
            <w:u w:val="single"/>
            <w:lang w:val="en-US" w:eastAsia="ar-SA"/>
          </w:rPr>
          <w:t>https://web.archive.org/web/20210501190104/https://naturalresources.house.gov/imo/media/doc/Law,%20Beverly%20-%20Testimony%20-%20NPFPL%20Ov%20Hrg%2004.29.21.pdf</w:t>
        </w:r>
      </w:hyperlink>
      <w:r w:rsidRPr="00584D6E">
        <w:rPr>
          <w:rFonts w:eastAsia="-moz-fixed" w:cs="-moz-fixed"/>
          <w:lang w:val="en-US" w:eastAsia="ar-SA"/>
        </w:rPr>
        <w:t xml:space="preserve"> (link to Statement, without Response to Questions) </w:t>
      </w:r>
      <w:r w:rsidRPr="00584D6E">
        <w:rPr>
          <w:rFonts w:eastAsia="-moz-fixed" w:cs="-moz-fixed"/>
          <w:i/>
          <w:lang w:val="en-US" w:eastAsia="ar-SA"/>
        </w:rPr>
        <w:t>citing</w:t>
      </w:r>
      <w:r w:rsidRPr="00584D6E">
        <w:rPr>
          <w:rFonts w:eastAsia="-moz-fixed" w:cs="-moz-fixed"/>
          <w:lang w:val="en-US" w:eastAsia="ar-SA"/>
        </w:rPr>
        <w:t xml:space="preserve"> </w:t>
      </w:r>
      <w:proofErr w:type="spellStart"/>
      <w:r w:rsidRPr="00584D6E">
        <w:rPr>
          <w:rFonts w:eastAsia="-moz-fixed" w:cs="-moz-fixed"/>
          <w:lang w:val="en-US" w:eastAsia="ar-SA"/>
        </w:rPr>
        <w:t>Hudiburg</w:t>
      </w:r>
      <w:proofErr w:type="spellEnd"/>
      <w:r w:rsidRPr="00584D6E">
        <w:rPr>
          <w:rFonts w:eastAsia="-moz-fixed" w:cs="-moz-fixed"/>
          <w:lang w:val="en-US" w:eastAsia="ar-SA"/>
        </w:rPr>
        <w:t xml:space="preserve">, T.W, B.E. Law, W.R. </w:t>
      </w:r>
      <w:proofErr w:type="spellStart"/>
      <w:r w:rsidRPr="00584D6E">
        <w:rPr>
          <w:rFonts w:eastAsia="-moz-fixed" w:cs="-moz-fixed"/>
          <w:lang w:val="en-US" w:eastAsia="ar-SA"/>
        </w:rPr>
        <w:t>Moomaw</w:t>
      </w:r>
      <w:proofErr w:type="spellEnd"/>
      <w:r w:rsidRPr="00584D6E">
        <w:rPr>
          <w:rFonts w:eastAsia="-moz-fixed" w:cs="-moz-fixed"/>
          <w:lang w:val="en-US" w:eastAsia="ar-SA"/>
        </w:rPr>
        <w:t xml:space="preserve">, M.E. Harmon, J.E. </w:t>
      </w:r>
      <w:proofErr w:type="spellStart"/>
      <w:r w:rsidRPr="00584D6E">
        <w:rPr>
          <w:rFonts w:eastAsia="-moz-fixed" w:cs="-moz-fixed"/>
          <w:lang w:val="en-US" w:eastAsia="ar-SA"/>
        </w:rPr>
        <w:t>Stenzel</w:t>
      </w:r>
      <w:proofErr w:type="spellEnd"/>
      <w:r w:rsidRPr="00584D6E">
        <w:rPr>
          <w:rFonts w:eastAsia="-moz-fixed" w:cs="-moz-fixed"/>
          <w:lang w:val="en-US" w:eastAsia="ar-SA"/>
        </w:rPr>
        <w:t xml:space="preserve">. 2019. Meeting GHG reduction targets requires accounting for all forest sector emissions. </w:t>
      </w:r>
      <w:proofErr w:type="spellStart"/>
      <w:r w:rsidRPr="00584D6E">
        <w:rPr>
          <w:rFonts w:eastAsia="-moz-fixed" w:cs="-moz-fixed"/>
          <w:lang w:val="en-US" w:eastAsia="ar-SA"/>
        </w:rPr>
        <w:t>Env</w:t>
      </w:r>
      <w:proofErr w:type="spellEnd"/>
      <w:r w:rsidRPr="00584D6E">
        <w:rPr>
          <w:rFonts w:eastAsia="-moz-fixed" w:cs="-moz-fixed"/>
          <w:lang w:val="en-US" w:eastAsia="ar-SA"/>
        </w:rPr>
        <w:t xml:space="preserve">. Res. Lett. 14: 095005. </w:t>
      </w:r>
      <w:hyperlink r:id="rId231" w:history="1">
        <w:r w:rsidRPr="00584D6E">
          <w:rPr>
            <w:rFonts w:eastAsia="-moz-fixed" w:cs="-moz-fixed"/>
            <w:color w:val="0000FF"/>
            <w:u w:val="single"/>
            <w:lang w:val="en-US" w:eastAsia="ar-SA"/>
          </w:rPr>
          <w:t>https://iopscience.iop.org/article/10.1088/1748-9326/ab28bb/pdf</w:t>
        </w:r>
      </w:hyperlink>
      <w:r w:rsidRPr="00584D6E">
        <w:rPr>
          <w:rFonts w:eastAsia="-moz-fixed" w:cs="-moz-fixed"/>
          <w:lang w:val="en-US" w:eastAsia="ar-SA"/>
        </w:rPr>
        <w:t>.</w:t>
      </w:r>
    </w:p>
    <w:p w:rsidR="00B32F93" w:rsidRDefault="00B32F93"/>
    <w:p w:rsidR="00B32F93" w:rsidRPr="00B32F93" w:rsidRDefault="00B32F93" w:rsidP="00B32F93">
      <w:pPr>
        <w:keepNext/>
        <w:numPr>
          <w:ilvl w:val="1"/>
          <w:numId w:val="0"/>
        </w:numPr>
        <w:tabs>
          <w:tab w:val="num" w:pos="0"/>
        </w:tabs>
        <w:suppressAutoHyphens/>
        <w:spacing w:line="240" w:lineRule="auto"/>
        <w:ind w:left="576" w:hanging="576"/>
        <w:outlineLvl w:val="1"/>
        <w:rPr>
          <w:rFonts w:ascii="Arial" w:eastAsia="-moz-fixed" w:hAnsi="Arial"/>
          <w:b/>
          <w:sz w:val="28"/>
          <w:szCs w:val="28"/>
          <w:lang w:val="en-US" w:eastAsia="ar-SA"/>
        </w:rPr>
      </w:pPr>
      <w:bookmarkStart w:id="40" w:name="_Toc194591360"/>
      <w:bookmarkStart w:id="41" w:name="_Toc195695332"/>
      <w:r w:rsidRPr="00B32F93">
        <w:rPr>
          <w:rFonts w:ascii="Arial" w:eastAsia="-moz-fixed" w:hAnsi="Arial"/>
          <w:b/>
          <w:sz w:val="28"/>
          <w:szCs w:val="28"/>
          <w:lang w:val="en-US" w:eastAsia="ar-SA"/>
        </w:rPr>
        <w:t>Risk reduction logging does not increase carbon storage.</w:t>
      </w:r>
      <w:bookmarkEnd w:id="40"/>
      <w:bookmarkEnd w:id="41"/>
    </w:p>
    <w:p w:rsidR="00B32F93" w:rsidRDefault="00B32F93" w:rsidP="00B32F93">
      <w:r>
        <w:t>EA (p 73) says “To the extent that these PCL treatments enable safe and effective wildfire suppression that reduces wildfire spread, these treatments may reduce potential emissions associated with future fire.”</w:t>
      </w:r>
      <w:r>
        <w:t xml:space="preserve"> This is unsupported by evidence or analysis.</w:t>
      </w:r>
    </w:p>
    <w:p w:rsidR="00B32F93" w:rsidRDefault="00B32F93" w:rsidP="00B32F93">
      <w:pPr>
        <w:suppressAutoHyphens/>
        <w:spacing w:line="240" w:lineRule="auto"/>
        <w:rPr>
          <w:rFonts w:ascii="Times New Roman" w:eastAsia="-moz-fixed" w:hAnsi="Times New Roman" w:cs="Times New Roman"/>
          <w:szCs w:val="20"/>
          <w:lang w:val="en-US" w:eastAsia="ar-SA"/>
        </w:rPr>
      </w:pPr>
    </w:p>
    <w:p w:rsidR="00B32F93" w:rsidRPr="00B32F93" w:rsidRDefault="00B32F93" w:rsidP="00B32F93">
      <w:pPr>
        <w:suppressAutoHyphens/>
        <w:spacing w:line="240" w:lineRule="auto"/>
        <w:rPr>
          <w:rFonts w:eastAsia="-moz-fixed" w:cs="-moz-fixed"/>
          <w:szCs w:val="24"/>
          <w:lang w:val="en-US" w:eastAsia="ar-SA"/>
        </w:rPr>
      </w:pPr>
      <w:r w:rsidRPr="00B32F93">
        <w:rPr>
          <w:rFonts w:eastAsia="-moz-fixed" w:cs="Times New Roman"/>
          <w:szCs w:val="20"/>
          <w:lang w:val="en-US" w:eastAsia="ar-SA"/>
        </w:rPr>
        <w:t xml:space="preserve">Logging proponents often claim that logging will increase carbon storage </w:t>
      </w:r>
      <w:r w:rsidRPr="00B32F93">
        <w:rPr>
          <w:rFonts w:eastAsia="-moz-fixed" w:cs="-moz-fixed"/>
          <w:szCs w:val="20"/>
          <w:lang w:val="en-US" w:eastAsia="ar-SA"/>
        </w:rPr>
        <w:t xml:space="preserve">in the forest by limiting </w:t>
      </w:r>
      <w:r w:rsidRPr="00B32F93">
        <w:rPr>
          <w:rFonts w:eastAsia="-moz-fixed" w:cs="Times New Roman"/>
          <w:szCs w:val="20"/>
          <w:lang w:val="en-US" w:eastAsia="ar-SA"/>
        </w:rPr>
        <w:t xml:space="preserve">carbon emissions caused by natural processes such as fire and insect-induced mortality. </w:t>
      </w:r>
      <w:r w:rsidRPr="00B32F93">
        <w:rPr>
          <w:rFonts w:eastAsia="-moz-fixed" w:cs="Times New Roman"/>
          <w:szCs w:val="20"/>
          <w:lang w:val="en-US" w:eastAsia="ar-SA"/>
        </w:rPr>
        <w:lastRenderedPageBreak/>
        <w:t>This is</w:t>
      </w:r>
      <w:r w:rsidRPr="00B32F93">
        <w:rPr>
          <w:rFonts w:eastAsia="-moz-fixed" w:cs="Times New Roman"/>
          <w:color w:val="222222"/>
          <w:szCs w:val="20"/>
          <w:shd w:val="clear" w:color="auto" w:fill="FFFFFF"/>
          <w:lang w:val="en-US" w:eastAsia="ar-SA"/>
        </w:rPr>
        <w:t xml:space="preserve"> simply counter-factual. In most cases, managing forests in an effort to control natural processes that release carbon will only make things worse by releasing MORE carbon. This is mostly because no one can predict where fire or insects will occur, so the treatments must be applied to broad landscapes, yet the probability of fire or insects at any given location remains low, and only a small fraction of the treated areas will actually experience fire or insects. As a result, many acres will be treated "unnecessarily" and therefore the cumulative carbon emissions from logging to control fire and insects (plus the carbon emissions from fire and insects that occur in spite of control efforts) are greater than emissions from fire and insects alone. </w:t>
      </w:r>
      <w:r w:rsidRPr="00B32F93">
        <w:rPr>
          <w:rFonts w:eastAsia="-moz-fixed" w:cs="-moz-fixed"/>
          <w:szCs w:val="24"/>
          <w:lang w:val="en-US" w:eastAsia="ar-SA"/>
        </w:rPr>
        <w:t>A careful analysis shows that logging to control fire and expecting to increase carbon storage is analogous to rolling a die and expecting to roll a six every time.</w:t>
      </w:r>
    </w:p>
    <w:p w:rsidR="00B32F93" w:rsidRPr="00B32F93" w:rsidRDefault="00B32F93" w:rsidP="00B32F93">
      <w:pPr>
        <w:suppressAutoHyphens/>
        <w:spacing w:line="240" w:lineRule="auto"/>
        <w:rPr>
          <w:rFonts w:ascii="Times New Roman" w:eastAsia="-moz-fixed" w:hAnsi="Times New Roman" w:cs="Times New Roman"/>
          <w:color w:val="222222"/>
          <w:szCs w:val="20"/>
          <w:shd w:val="clear" w:color="auto" w:fill="FFFFFF"/>
          <w:lang w:val="en-US" w:eastAsia="ar-SA"/>
        </w:rPr>
      </w:pPr>
    </w:p>
    <w:p w:rsidR="00B32F93" w:rsidRPr="00B32F93" w:rsidRDefault="00B32F93" w:rsidP="00B32F93">
      <w:pPr>
        <w:suppressAutoHyphens/>
        <w:spacing w:line="240" w:lineRule="auto"/>
        <w:rPr>
          <w:rFonts w:eastAsia="-moz-fixed" w:cs="-moz-fixed"/>
          <w:szCs w:val="24"/>
          <w:lang w:val="en-US" w:eastAsia="ar-SA"/>
        </w:rPr>
      </w:pPr>
      <w:r w:rsidRPr="00B32F93">
        <w:rPr>
          <w:rFonts w:eastAsia="-moz-fixed" w:cs="-moz-fixed"/>
          <w:szCs w:val="24"/>
          <w:lang w:val="en-US" w:eastAsia="ar-SA"/>
        </w:rPr>
        <w:t xml:space="preserve">This is an example of the “base rate fallacy” or “neglecting priors” from Bayesian statistics. The probability of a forest NOT burning are far greater than the probability of a forest burning. Attempts to address a problem that is unlikely to occur, such as by thinning a forest that is unlikely to burn, runs a high risk that unintended negatives effects will overwhelm beneficial effects. </w:t>
      </w:r>
      <w:hyperlink r:id="rId232" w:history="1">
        <w:r w:rsidRPr="00B32F93">
          <w:rPr>
            <w:rFonts w:eastAsia="-moz-fixed" w:cs="-moz-fixed"/>
            <w:color w:val="0000FF"/>
            <w:szCs w:val="24"/>
            <w:u w:val="single"/>
            <w:lang w:val="en-US" w:eastAsia="ar-SA"/>
          </w:rPr>
          <w:t>https://en.wikipedia.org/wiki/Base_rate_fallacy</w:t>
        </w:r>
      </w:hyperlink>
      <w:r w:rsidRPr="00B32F93">
        <w:rPr>
          <w:rFonts w:eastAsia="-moz-fixed" w:cs="-moz-fixed"/>
          <w:szCs w:val="24"/>
          <w:lang w:val="en-US" w:eastAsia="ar-SA"/>
        </w:rPr>
        <w:t xml:space="preserve"> </w:t>
      </w:r>
    </w:p>
    <w:p w:rsidR="00B32F93" w:rsidRPr="00B32F93" w:rsidRDefault="00B32F93" w:rsidP="00B32F93">
      <w:pPr>
        <w:suppressAutoHyphens/>
        <w:spacing w:line="240" w:lineRule="auto"/>
        <w:rPr>
          <w:rFonts w:eastAsia="-moz-fixed" w:cs="-moz-fixed"/>
          <w:szCs w:val="24"/>
          <w:lang w:val="en-US" w:eastAsia="ar-SA"/>
        </w:rPr>
      </w:pPr>
    </w:p>
    <w:p w:rsidR="00B32F93" w:rsidRPr="00B32F93" w:rsidRDefault="00B32F93" w:rsidP="00B32F93">
      <w:pPr>
        <w:suppressAutoHyphens/>
        <w:spacing w:line="240" w:lineRule="auto"/>
        <w:ind w:left="720"/>
        <w:rPr>
          <w:rFonts w:eastAsia="-moz-fixed" w:cs="-moz-fixed"/>
          <w:szCs w:val="20"/>
          <w:lang w:val="en-US" w:eastAsia="ar-SA"/>
        </w:rPr>
      </w:pPr>
      <w:r w:rsidRPr="00B32F93">
        <w:rPr>
          <w:rFonts w:eastAsia="-moz-fixed" w:cs="-moz-fixed"/>
          <w:szCs w:val="20"/>
          <w:lang w:val="en-US" w:eastAsia="ar-SA"/>
        </w:rPr>
        <w:t>[T]here is no guarantee that thinning across vast landscapes will stabilize carbon stores. Rather the best available scientific study has shown that thinning reduces carbon stores more than fire itself and reduces carbon stores whether or not fire burns that particular forest.</w:t>
      </w:r>
    </w:p>
    <w:p w:rsidR="00B32F93" w:rsidRPr="00B32F93" w:rsidRDefault="00B32F93" w:rsidP="00B32F93">
      <w:pPr>
        <w:suppressAutoHyphens/>
        <w:spacing w:line="240" w:lineRule="auto"/>
        <w:rPr>
          <w:rFonts w:eastAsia="-moz-fixed" w:cs="-moz-fixed"/>
          <w:szCs w:val="20"/>
          <w:lang w:val="en-US" w:eastAsia="ar-SA"/>
        </w:rPr>
      </w:pPr>
      <w:r w:rsidRPr="00B32F93">
        <w:rPr>
          <w:rFonts w:eastAsia="-moz-fixed" w:cs="-moz-fixed"/>
          <w:szCs w:val="20"/>
          <w:lang w:val="en-US" w:eastAsia="ar-SA"/>
        </w:rPr>
        <w:t xml:space="preserve">Law, B. 2021. Response to Questions for the Record, </w:t>
      </w:r>
      <w:r w:rsidRPr="00B32F93">
        <w:rPr>
          <w:rFonts w:eastAsia="-moz-fixed" w:cs="-moz-fixed"/>
          <w:i/>
          <w:szCs w:val="20"/>
          <w:lang w:val="en-US" w:eastAsia="ar-SA"/>
        </w:rPr>
        <w:t>attached to</w:t>
      </w:r>
      <w:r w:rsidRPr="00B32F93">
        <w:rPr>
          <w:rFonts w:eastAsia="-moz-fixed" w:cs="-moz-fixed"/>
          <w:szCs w:val="20"/>
          <w:lang w:val="en-US" w:eastAsia="ar-SA"/>
        </w:rPr>
        <w:t xml:space="preserve"> Statement Of Dr. Beverly Law, Professor Emeritus, Oregon State University,  Before The United States House Of Representatives,  Subcommittee On National Parks, Forests And Public Lands,  April 29, 2021, Concerning “Wildfire In A Warming World: Opportunities To Improve Community Collaboration, Climate Resilience, And Workforce Capacity” </w:t>
      </w:r>
      <w:hyperlink r:id="rId233" w:history="1">
        <w:r w:rsidRPr="00B32F93">
          <w:rPr>
            <w:rFonts w:eastAsia="-moz-fixed" w:cs="-moz-fixed"/>
            <w:color w:val="0000FF"/>
            <w:szCs w:val="20"/>
            <w:u w:val="single"/>
            <w:lang w:val="en-US" w:eastAsia="ar-SA"/>
          </w:rPr>
          <w:t>https://web.archive.org/web/20210501190104/https://naturalresources.house.gov/imo/media/doc/Law,%20Beverly%20-%20Testimony%20-%20NPFPL%20Ov%20Hrg%2004.29.21.pdf</w:t>
        </w:r>
      </w:hyperlink>
      <w:r w:rsidRPr="00B32F93">
        <w:rPr>
          <w:rFonts w:eastAsia="-moz-fixed" w:cs="-moz-fixed"/>
          <w:szCs w:val="20"/>
          <w:lang w:val="en-US" w:eastAsia="ar-SA"/>
        </w:rPr>
        <w:t xml:space="preserve"> (link to Statement, without Response to Questions).</w:t>
      </w:r>
    </w:p>
    <w:p w:rsidR="00B32F93" w:rsidRPr="00B32F93" w:rsidRDefault="00B32F93" w:rsidP="00B32F93">
      <w:pPr>
        <w:suppressAutoHyphens/>
        <w:spacing w:line="240" w:lineRule="auto"/>
        <w:rPr>
          <w:rFonts w:eastAsia="-moz-fixed" w:cs="-moz-fixed"/>
          <w:szCs w:val="24"/>
          <w:lang w:val="en-US" w:eastAsia="ar-SA"/>
        </w:rPr>
      </w:pPr>
    </w:p>
    <w:p w:rsidR="00B32F93" w:rsidRPr="00B32F93" w:rsidRDefault="00B32F93" w:rsidP="00B32F93">
      <w:pPr>
        <w:suppressAutoHyphens/>
        <w:spacing w:line="240" w:lineRule="auto"/>
        <w:rPr>
          <w:rFonts w:eastAsia="-moz-fixed" w:cs="-moz-fixed"/>
          <w:szCs w:val="24"/>
          <w:lang w:val="en-US" w:eastAsia="ar-SA"/>
        </w:rPr>
      </w:pPr>
      <w:r w:rsidRPr="00B32F93">
        <w:rPr>
          <w:rFonts w:eastAsia="-moz-fixed" w:cs="-moz-fixed"/>
          <w:szCs w:val="24"/>
          <w:lang w:val="en-US" w:eastAsia="ar-SA"/>
        </w:rPr>
        <w:t>The 2018 US Forest Service Northwest Forest Plan Science Synthesis concluded that fuel reduction is unlikely to be an effective climate mitigation strategy.</w:t>
      </w:r>
    </w:p>
    <w:p w:rsidR="00B32F93" w:rsidRPr="00B32F93" w:rsidRDefault="00B32F93" w:rsidP="00B32F93">
      <w:pPr>
        <w:suppressAutoHyphens/>
        <w:spacing w:line="240" w:lineRule="auto"/>
        <w:ind w:left="720"/>
        <w:rPr>
          <w:rFonts w:eastAsia="-moz-fixed" w:cs="-moz-fixed"/>
          <w:szCs w:val="20"/>
          <w:lang w:val="en-US" w:eastAsia="ar-SA"/>
        </w:rPr>
      </w:pPr>
      <w:r w:rsidRPr="00B32F93">
        <w:rPr>
          <w:rFonts w:eastAsia="-moz-fixed" w:cs="-moz-fixed"/>
          <w:szCs w:val="20"/>
          <w:lang w:val="en-US" w:eastAsia="ar-SA"/>
        </w:rPr>
        <w:t>Some studies from other regions in the Western United States (i.e., the Southwest and Sierra Nevada) suggest that thinning and fuel reduction can mitigate carbon loss from fire. Fuel reduction may reduce losses of carbon at stand levels compared with the consequences of high-severity wildfire burning in stands with high fuel loads (</w:t>
      </w:r>
      <w:proofErr w:type="spellStart"/>
      <w:r w:rsidRPr="00B32F93">
        <w:rPr>
          <w:rFonts w:eastAsia="-moz-fixed" w:cs="-moz-fixed"/>
          <w:szCs w:val="20"/>
          <w:lang w:val="en-US" w:eastAsia="ar-SA"/>
        </w:rPr>
        <w:t>Finkral</w:t>
      </w:r>
      <w:proofErr w:type="spellEnd"/>
      <w:r w:rsidRPr="00B32F93">
        <w:rPr>
          <w:rFonts w:eastAsia="-moz-fixed" w:cs="-moz-fixed"/>
          <w:szCs w:val="20"/>
          <w:lang w:val="en-US" w:eastAsia="ar-SA"/>
        </w:rPr>
        <w:t xml:space="preserve"> and Evans 2008; </w:t>
      </w:r>
      <w:proofErr w:type="spellStart"/>
      <w:r w:rsidRPr="00B32F93">
        <w:rPr>
          <w:rFonts w:eastAsia="-moz-fixed" w:cs="-moz-fixed"/>
          <w:szCs w:val="20"/>
          <w:lang w:val="en-US" w:eastAsia="ar-SA"/>
        </w:rPr>
        <w:t>Hurteau</w:t>
      </w:r>
      <w:proofErr w:type="spellEnd"/>
      <w:r w:rsidRPr="00B32F93">
        <w:rPr>
          <w:rFonts w:eastAsia="-moz-fixed" w:cs="-moz-fixed"/>
          <w:szCs w:val="20"/>
          <w:lang w:val="en-US" w:eastAsia="ar-SA"/>
        </w:rPr>
        <w:t xml:space="preserve"> and North 2009; </w:t>
      </w:r>
      <w:proofErr w:type="spellStart"/>
      <w:r w:rsidRPr="00B32F93">
        <w:rPr>
          <w:rFonts w:eastAsia="-moz-fixed" w:cs="-moz-fixed"/>
          <w:szCs w:val="20"/>
          <w:lang w:val="en-US" w:eastAsia="ar-SA"/>
        </w:rPr>
        <w:t>Hurteau</w:t>
      </w:r>
      <w:proofErr w:type="spellEnd"/>
      <w:r w:rsidRPr="00B32F93">
        <w:rPr>
          <w:rFonts w:eastAsia="-moz-fixed" w:cs="-moz-fixed"/>
          <w:szCs w:val="20"/>
          <w:lang w:val="en-US" w:eastAsia="ar-SA"/>
        </w:rPr>
        <w:t xml:space="preserve"> et al. 2008, 2011, 2016; North and </w:t>
      </w:r>
      <w:proofErr w:type="spellStart"/>
      <w:r w:rsidRPr="00B32F93">
        <w:rPr>
          <w:rFonts w:eastAsia="-moz-fixed" w:cs="-moz-fixed"/>
          <w:szCs w:val="20"/>
          <w:lang w:val="en-US" w:eastAsia="ar-SA"/>
        </w:rPr>
        <w:t>Hurteau</w:t>
      </w:r>
      <w:proofErr w:type="spellEnd"/>
      <w:r w:rsidRPr="00B32F93">
        <w:rPr>
          <w:rFonts w:eastAsia="-moz-fixed" w:cs="-moz-fixed"/>
          <w:szCs w:val="20"/>
          <w:lang w:val="en-US" w:eastAsia="ar-SA"/>
        </w:rPr>
        <w:t xml:space="preserve"> 2011; North et al. 2009, Stephens et al. 2009). However, </w:t>
      </w:r>
      <w:r w:rsidRPr="00B32F93">
        <w:rPr>
          <w:rFonts w:eastAsia="-moz-fixed" w:cs="-moz-fixed"/>
          <w:szCs w:val="20"/>
          <w:u w:val="single"/>
          <w:lang w:val="en-US" w:eastAsia="ar-SA"/>
        </w:rPr>
        <w:t>because the probability of treated areas burning is generally low</w:t>
      </w:r>
      <w:r w:rsidRPr="00B32F93">
        <w:rPr>
          <w:rFonts w:eastAsia="-moz-fixed" w:cs="-moz-fixed"/>
          <w:szCs w:val="20"/>
          <w:lang w:val="en-US" w:eastAsia="ar-SA"/>
        </w:rPr>
        <w:t xml:space="preserve"> (Barnett et al. 2016), and most biomass is not consumed by fire, slight differences in losses resulting from combustion in fire compared with losses from fuel reduction are </w:t>
      </w:r>
      <w:r w:rsidRPr="00B32F93">
        <w:rPr>
          <w:rFonts w:eastAsia="-moz-fixed" w:cs="-moz-fixed"/>
          <w:szCs w:val="20"/>
          <w:u w:val="single"/>
          <w:lang w:val="en-US" w:eastAsia="ar-SA"/>
        </w:rPr>
        <w:t>unlikely to make fuel reduction a viable mitigation strategy</w:t>
      </w:r>
      <w:r w:rsidRPr="00B32F93">
        <w:rPr>
          <w:rFonts w:eastAsia="-moz-fixed" w:cs="-moz-fixed"/>
          <w:szCs w:val="20"/>
          <w:lang w:val="en-US" w:eastAsia="ar-SA"/>
        </w:rPr>
        <w:t xml:space="preserve"> (Ager et al. 2010, Campbell et al. 2012, Kline et al. 2016, Mitchell et al. 2009, </w:t>
      </w:r>
      <w:proofErr w:type="spellStart"/>
      <w:r w:rsidRPr="00B32F93">
        <w:rPr>
          <w:rFonts w:eastAsia="-moz-fixed" w:cs="-moz-fixed"/>
          <w:szCs w:val="20"/>
          <w:lang w:val="en-US" w:eastAsia="ar-SA"/>
        </w:rPr>
        <w:t>Restaino</w:t>
      </w:r>
      <w:proofErr w:type="spellEnd"/>
      <w:r w:rsidRPr="00B32F93">
        <w:rPr>
          <w:rFonts w:eastAsia="-moz-fixed" w:cs="-moz-fixed"/>
          <w:szCs w:val="20"/>
          <w:lang w:val="en-US" w:eastAsia="ar-SA"/>
        </w:rPr>
        <w:t xml:space="preserve"> and Peterson 2013, Spies et al. 2017).</w:t>
      </w:r>
    </w:p>
    <w:p w:rsidR="00B32F93" w:rsidRPr="00B32F93" w:rsidRDefault="00B32F93" w:rsidP="00B32F93">
      <w:pPr>
        <w:suppressAutoHyphens/>
        <w:spacing w:line="240" w:lineRule="auto"/>
        <w:rPr>
          <w:rFonts w:eastAsia="-moz-fixed" w:cs="-moz-fixed"/>
          <w:szCs w:val="20"/>
          <w:lang w:val="en-US" w:eastAsia="ar-SA"/>
        </w:rPr>
      </w:pPr>
      <w:r w:rsidRPr="00B32F93">
        <w:rPr>
          <w:rFonts w:eastAsia="-moz-fixed" w:cs="-moz-fixed"/>
          <w:szCs w:val="20"/>
          <w:lang w:val="en-US" w:eastAsia="ar-SA"/>
        </w:rPr>
        <w:t xml:space="preserve">USDA 2018. Synthesis of Science to Inform Land Management Within the Northwest Forest Plan Area. General Technical Report. PNW-GTR-966 Vol. 1. June 2018. </w:t>
      </w:r>
      <w:hyperlink r:id="rId234" w:history="1">
        <w:r w:rsidRPr="00B32F93">
          <w:rPr>
            <w:rFonts w:eastAsia="-moz-fixed" w:cs="-moz-fixed"/>
            <w:color w:val="0000FF"/>
            <w:szCs w:val="20"/>
            <w:u w:val="single"/>
            <w:lang w:val="en-US" w:eastAsia="ar-SA"/>
          </w:rPr>
          <w:t>https://www.fs.usda.gov/pnw/pubs/pnw_gtr966.pdf</w:t>
        </w:r>
      </w:hyperlink>
      <w:r w:rsidRPr="00B32F93">
        <w:rPr>
          <w:rFonts w:eastAsia="-moz-fixed" w:cs="-moz-fixed"/>
          <w:szCs w:val="20"/>
          <w:lang w:val="en-US" w:eastAsia="ar-SA"/>
        </w:rPr>
        <w:t>.</w:t>
      </w:r>
    </w:p>
    <w:p w:rsidR="00B32F93" w:rsidRPr="00B32F93" w:rsidRDefault="00B32F93" w:rsidP="00B32F93">
      <w:pPr>
        <w:suppressAutoHyphens/>
        <w:spacing w:line="240" w:lineRule="auto"/>
        <w:rPr>
          <w:rFonts w:ascii="Times New Roman" w:eastAsia="-moz-fixed" w:hAnsi="Times New Roman" w:cs="Times New Roman"/>
          <w:color w:val="222222"/>
          <w:szCs w:val="20"/>
          <w:shd w:val="clear" w:color="auto" w:fill="FFFFFF"/>
          <w:lang w:val="en-US" w:eastAsia="ar-SA"/>
        </w:rPr>
      </w:pPr>
    </w:p>
    <w:p w:rsidR="00B32F93" w:rsidRPr="00B32F93" w:rsidRDefault="00B32F93" w:rsidP="00B32F93">
      <w:pPr>
        <w:suppressAutoHyphens/>
        <w:spacing w:line="240" w:lineRule="auto"/>
        <w:rPr>
          <w:rFonts w:eastAsia="-moz-fixed" w:cs="Times New Roman"/>
          <w:color w:val="222222"/>
          <w:szCs w:val="20"/>
          <w:shd w:val="clear" w:color="auto" w:fill="FFFFFF"/>
          <w:lang w:val="en-US" w:eastAsia="ar-SA"/>
        </w:rPr>
      </w:pPr>
      <w:r w:rsidRPr="00B32F93">
        <w:rPr>
          <w:rFonts w:eastAsia="-moz-fixed" w:cs="Times New Roman"/>
          <w:color w:val="222222"/>
          <w:szCs w:val="20"/>
          <w:shd w:val="clear" w:color="auto" w:fill="FFFFFF"/>
          <w:lang w:val="en-US" w:eastAsia="ar-SA"/>
        </w:rPr>
        <w:t xml:space="preserve">Let’s start with a simple truism of risk management: </w:t>
      </w:r>
    </w:p>
    <w:p w:rsidR="00B32F93" w:rsidRPr="00B32F93" w:rsidRDefault="00B32F93" w:rsidP="00B32F93">
      <w:pPr>
        <w:suppressAutoHyphens/>
        <w:spacing w:line="240" w:lineRule="auto"/>
        <w:ind w:left="720"/>
        <w:rPr>
          <w:rFonts w:eastAsia="-moz-fixed" w:cs="Times New Roman"/>
          <w:color w:val="222222"/>
          <w:szCs w:val="20"/>
          <w:shd w:val="clear" w:color="auto" w:fill="FFFFFF"/>
          <w:lang w:val="en-US" w:eastAsia="ar-SA"/>
        </w:rPr>
      </w:pPr>
      <w:r w:rsidRPr="00B32F93">
        <w:rPr>
          <w:rFonts w:eastAsia="-moz-fixed" w:cs="Times New Roman"/>
          <w:color w:val="222222"/>
          <w:szCs w:val="20"/>
          <w:shd w:val="clear" w:color="auto" w:fill="FFFFFF"/>
          <w:lang w:val="en-US" w:eastAsia="ar-SA"/>
        </w:rPr>
        <w:t xml:space="preserve">Speculative negative emissions technologies may be worse than chimeras if they result in the false comfort that continued … emissions can simply be offset, thereby diverting financial and policy resources from conventional mitigation. This would be reckless. It is </w:t>
      </w:r>
      <w:r w:rsidRPr="00B32F93">
        <w:rPr>
          <w:rFonts w:eastAsia="-moz-fixed" w:cs="Times New Roman"/>
          <w:color w:val="222222"/>
          <w:szCs w:val="20"/>
          <w:shd w:val="clear" w:color="auto" w:fill="FFFFFF"/>
          <w:lang w:val="en-US" w:eastAsia="ar-SA"/>
        </w:rPr>
        <w:lastRenderedPageBreak/>
        <w:t>clearly less risky not to emit a tonne of CO2 in the first place, than to emit one in expectation of being able to sequester it for an unknown period of time, at unknown cost, with unknown consequences, at an unknown date and place in the future.</w:t>
      </w:r>
    </w:p>
    <w:p w:rsidR="00B32F93" w:rsidRPr="00B32F93" w:rsidRDefault="00B32F93" w:rsidP="00B32F93">
      <w:pPr>
        <w:suppressAutoHyphens/>
        <w:spacing w:line="240" w:lineRule="auto"/>
        <w:rPr>
          <w:rFonts w:eastAsia="-moz-fixed" w:cs="Times New Roman"/>
          <w:szCs w:val="20"/>
          <w:lang w:val="en-US" w:eastAsia="ar-SA"/>
        </w:rPr>
      </w:pPr>
      <w:r w:rsidRPr="00B32F93">
        <w:rPr>
          <w:rFonts w:eastAsia="-moz-fixed" w:cs="Times New Roman"/>
          <w:color w:val="222222"/>
          <w:szCs w:val="20"/>
          <w:shd w:val="clear" w:color="auto" w:fill="FFFFFF"/>
          <w:lang w:val="en-US" w:eastAsia="ar-SA"/>
        </w:rPr>
        <w:t xml:space="preserve">Carbon Brief staff 2016. In-depth: Experts assess the feasibility of ‘negative emissions’ </w:t>
      </w:r>
      <w:r w:rsidRPr="00B32F93">
        <w:rPr>
          <w:rFonts w:eastAsia="-moz-fixed" w:cs="Times New Roman"/>
          <w:i/>
          <w:color w:val="222222"/>
          <w:szCs w:val="20"/>
          <w:shd w:val="clear" w:color="auto" w:fill="FFFFFF"/>
          <w:lang w:val="en-US" w:eastAsia="ar-SA"/>
        </w:rPr>
        <w:t>citing</w:t>
      </w:r>
      <w:r w:rsidRPr="00B32F93">
        <w:rPr>
          <w:rFonts w:eastAsia="-moz-fixed" w:cs="Times New Roman"/>
          <w:color w:val="222222"/>
          <w:szCs w:val="20"/>
          <w:shd w:val="clear" w:color="auto" w:fill="FFFFFF"/>
          <w:lang w:val="en-US" w:eastAsia="ar-SA"/>
        </w:rPr>
        <w:t xml:space="preserve"> Rob Bailey, Director of Energy, Environment and Resources, Chatham House. </w:t>
      </w:r>
      <w:hyperlink r:id="rId235" w:history="1">
        <w:r w:rsidRPr="00B32F93">
          <w:rPr>
            <w:rFonts w:eastAsia="-moz-fixed" w:cs="Times New Roman"/>
            <w:color w:val="0000FF"/>
            <w:szCs w:val="20"/>
            <w:u w:val="single"/>
            <w:shd w:val="clear" w:color="auto" w:fill="FFFFFF"/>
            <w:lang w:val="en-US" w:eastAsia="ar-SA"/>
          </w:rPr>
          <w:t>http://www.carbonbrief.org/in-depth-experts-assess-the-feasibility-of-negative-emissions#bailey</w:t>
        </w:r>
      </w:hyperlink>
      <w:r w:rsidRPr="00B32F93">
        <w:rPr>
          <w:rFonts w:eastAsia="-moz-fixed" w:cs="Times New Roman"/>
          <w:color w:val="222222"/>
          <w:szCs w:val="20"/>
          <w:shd w:val="clear" w:color="auto" w:fill="FFFFFF"/>
          <w:lang w:val="en-US" w:eastAsia="ar-SA"/>
        </w:rPr>
        <w:t xml:space="preserve"> </w:t>
      </w:r>
    </w:p>
    <w:p w:rsidR="00B32F93" w:rsidRPr="00B32F93" w:rsidRDefault="00B32F93" w:rsidP="00B32F93">
      <w:pPr>
        <w:suppressAutoHyphens/>
        <w:spacing w:line="240" w:lineRule="auto"/>
        <w:rPr>
          <w:rFonts w:eastAsia="-moz-fixed" w:cs="-moz-fixed"/>
          <w:szCs w:val="20"/>
          <w:lang w:val="en-US" w:eastAsia="ar-SA"/>
        </w:rPr>
      </w:pPr>
    </w:p>
    <w:p w:rsidR="00B32F93" w:rsidRPr="00B32F93" w:rsidRDefault="00B32F93" w:rsidP="00B32F93">
      <w:pPr>
        <w:suppressAutoHyphens/>
        <w:spacing w:line="240" w:lineRule="auto"/>
        <w:rPr>
          <w:rFonts w:eastAsia="-moz-fixed" w:cs="-moz-fixed"/>
          <w:szCs w:val="20"/>
          <w:lang w:val="en-US" w:eastAsia="ar-SA"/>
        </w:rPr>
      </w:pPr>
      <w:r w:rsidRPr="00B32F93">
        <w:rPr>
          <w:rFonts w:eastAsia="-moz-fixed" w:cs="-moz-fixed"/>
          <w:szCs w:val="24"/>
          <w:lang w:val="en-US" w:eastAsia="ar-SA"/>
        </w:rPr>
        <w:t>Law &amp; Harmon (2011) conducted a literature review and concluded …</w:t>
      </w:r>
    </w:p>
    <w:p w:rsidR="00B32F93" w:rsidRPr="00B32F93" w:rsidRDefault="00B32F93" w:rsidP="00B32F93">
      <w:pPr>
        <w:suppressAutoHyphens/>
        <w:spacing w:line="240" w:lineRule="auto"/>
        <w:ind w:left="720"/>
        <w:rPr>
          <w:rFonts w:eastAsia="-moz-fixed" w:cs="-moz-fixed"/>
          <w:szCs w:val="20"/>
          <w:lang w:val="en-US" w:eastAsia="ar-SA"/>
        </w:rPr>
      </w:pPr>
      <w:r w:rsidRPr="00B32F93">
        <w:rPr>
          <w:rFonts w:eastAsia="-moz-fixed" w:cs="-moz-fixed"/>
          <w:szCs w:val="20"/>
          <w:lang w:val="en-US" w:eastAsia="ar-SA"/>
        </w:rPr>
        <w:t>Thinning forests to reduce potential carbon losses due to wildfire is in direct conflict with carbon sequestration goals, and, if implemented, would result in a net emission of CO2 to the atmosphere because the amount of carbon removed to change fire behavior is often far larger than that saved by changing fire behavior, and more area has to be harvested than will ultimately burn over the period of effectiveness of the thinning treatment.</w:t>
      </w:r>
    </w:p>
    <w:p w:rsidR="00B32F93" w:rsidRPr="00B32F93" w:rsidRDefault="00B32F93" w:rsidP="00B32F93">
      <w:pPr>
        <w:suppressAutoHyphens/>
        <w:spacing w:line="240" w:lineRule="auto"/>
        <w:rPr>
          <w:rFonts w:eastAsia="-moz-fixed" w:cs="-moz-fixed"/>
          <w:szCs w:val="20"/>
          <w:lang w:val="en-US" w:eastAsia="ar-SA"/>
        </w:rPr>
      </w:pPr>
      <w:r w:rsidRPr="00B32F93">
        <w:rPr>
          <w:rFonts w:eastAsia="-moz-fixed" w:cs="-moz-fixed"/>
          <w:szCs w:val="20"/>
          <w:lang w:val="en-US" w:eastAsia="ar-SA"/>
        </w:rPr>
        <w:t xml:space="preserve">Law, B. &amp; M.E. Harmon 2011. Forest sector carbon management, measurement and verification, and discussion of policy related to mitigation and adaptation of forests to climate change. Carbon Management 2011 2(1). </w:t>
      </w:r>
      <w:hyperlink r:id="rId236" w:history="1">
        <w:r w:rsidRPr="00B32F93">
          <w:rPr>
            <w:rFonts w:eastAsia="-moz-fixed" w:cs="-moz-fixed"/>
            <w:color w:val="0000FF"/>
            <w:szCs w:val="20"/>
            <w:u w:val="single"/>
            <w:lang w:val="en-US" w:eastAsia="ar-SA"/>
          </w:rPr>
          <w:t>https://archives.corvallisoregon.gov/public/ElectronicFile.aspx?dbid=0&amp;docid=4256162</w:t>
        </w:r>
      </w:hyperlink>
      <w:r w:rsidRPr="00B32F93">
        <w:rPr>
          <w:rFonts w:eastAsia="-moz-fixed" w:cs="-moz-fixed"/>
          <w:szCs w:val="20"/>
          <w:lang w:val="en-US" w:eastAsia="ar-SA"/>
        </w:rPr>
        <w:t>.</w:t>
      </w:r>
    </w:p>
    <w:p w:rsidR="00B32F93" w:rsidRDefault="00B32F93"/>
    <w:p w:rsidR="00ED4070" w:rsidRDefault="00ED4070"/>
    <w:p w:rsidR="00ED4070" w:rsidRPr="00ED4070" w:rsidRDefault="00ED4070" w:rsidP="00ED4070">
      <w:pPr>
        <w:suppressAutoHyphens/>
        <w:spacing w:line="240" w:lineRule="auto"/>
        <w:rPr>
          <w:rFonts w:eastAsia="-moz-fixed" w:cs="-moz-fixed"/>
          <w:szCs w:val="20"/>
          <w:lang w:val="en-US" w:eastAsia="ar-SA"/>
        </w:rPr>
      </w:pPr>
      <w:r w:rsidRPr="00ED4070">
        <w:rPr>
          <w:rFonts w:eastAsia="-moz-fixed" w:cs="-moz-fixed"/>
          <w:szCs w:val="20"/>
          <w:lang w:val="en-US" w:eastAsia="ar-SA"/>
        </w:rPr>
        <w:t>Campbell and Agar (2013) conducted a sensitivity analysis and found robust results indicating that fuel reduction does not increase forest carbon storage.</w:t>
      </w:r>
    </w:p>
    <w:p w:rsidR="00ED4070" w:rsidRPr="00ED4070" w:rsidRDefault="00ED4070" w:rsidP="00ED4070">
      <w:pPr>
        <w:suppressAutoHyphens/>
        <w:spacing w:line="240" w:lineRule="auto"/>
        <w:ind w:left="720"/>
        <w:rPr>
          <w:rFonts w:eastAsia="-moz-fixed" w:cs="-moz-fixed"/>
          <w:szCs w:val="20"/>
          <w:lang w:val="en-US" w:eastAsia="ar-SA"/>
        </w:rPr>
      </w:pPr>
      <w:r w:rsidRPr="00ED4070">
        <w:rPr>
          <w:rFonts w:eastAsia="-moz-fixed" w:cs="-moz-fixed"/>
          <w:szCs w:val="20"/>
          <w:lang w:val="en-US" w:eastAsia="ar-SA"/>
        </w:rPr>
        <w:t>… we attempt to remove some of the confusion surrounding this subject by performing a sensitivity analysis wherein long-term, landscape-wide carbon stocks are simulated under a wide range of treatment efficacy, treatment lifespan, fire impacts, forest recovery rates, forest decay rates, and the longevity of wood products. Our results indicate a surprising insensitivity of long-term carbon stocks to both management and biological variables. After 80 years, … a 1600% change in either treatment application rate or efficacy in arresting fire spread resulted in only a 10% change in total system carbon. This insensitivity of long-term carbon stocks is due in part by the infrequency of treatment/wildfire interaction and in part by the controls imposed by maximum forest biomass. None of the fuel treatment simulation scenarios resulted in increased system carbon.</w:t>
      </w:r>
    </w:p>
    <w:p w:rsidR="00ED4070" w:rsidRPr="00ED4070" w:rsidRDefault="00ED4070" w:rsidP="00ED4070">
      <w:pPr>
        <w:suppressAutoHyphens/>
        <w:spacing w:line="240" w:lineRule="auto"/>
        <w:rPr>
          <w:rFonts w:eastAsia="-moz-fixed" w:cs="-moz-fixed"/>
          <w:szCs w:val="20"/>
          <w:lang w:val="en-US" w:eastAsia="ar-SA"/>
        </w:rPr>
      </w:pPr>
      <w:r w:rsidRPr="00ED4070">
        <w:rPr>
          <w:rFonts w:eastAsia="-moz-fixed" w:cs="-moz-fixed"/>
          <w:szCs w:val="20"/>
          <w:lang w:val="en-US" w:eastAsia="ar-SA"/>
        </w:rPr>
        <w:t xml:space="preserve">Campbell, J, Agar, A (2013) Forest wildfire, fuel reduction treatments, and landscape carbon stocks: A sensitivity analysis. Journal of Environmental Management 121 (2013) 124-132 </w:t>
      </w:r>
      <w:hyperlink r:id="rId237" w:history="1">
        <w:r w:rsidRPr="00ED4070">
          <w:rPr>
            <w:rFonts w:eastAsia="-moz-fixed" w:cs="-moz-fixed"/>
            <w:color w:val="0000FF"/>
            <w:szCs w:val="20"/>
            <w:u w:val="single"/>
            <w:lang w:val="en-US" w:eastAsia="ar-SA"/>
          </w:rPr>
          <w:t>http://fes.forestry.oregonstate.edu/sites/fes.forestry.oregonstate.edu/files/PDFs/Campbell_2013_JEM.pdf</w:t>
        </w:r>
      </w:hyperlink>
      <w:r w:rsidRPr="00ED4070">
        <w:rPr>
          <w:rFonts w:eastAsia="-moz-fixed" w:cs="-moz-fixed"/>
          <w:szCs w:val="20"/>
          <w:lang w:val="en-US" w:eastAsia="ar-SA"/>
        </w:rPr>
        <w:t xml:space="preserve"> </w:t>
      </w:r>
    </w:p>
    <w:p w:rsidR="00ED4070" w:rsidRPr="00ED4070" w:rsidRDefault="00ED4070" w:rsidP="00ED4070">
      <w:pPr>
        <w:suppressAutoHyphens/>
        <w:spacing w:line="240" w:lineRule="auto"/>
        <w:rPr>
          <w:rFonts w:eastAsia="-moz-fixed" w:cs="-moz-fixed"/>
          <w:szCs w:val="20"/>
          <w:lang w:val="en-US" w:eastAsia="ar-SA"/>
        </w:rPr>
      </w:pPr>
    </w:p>
    <w:p w:rsidR="00ED4070" w:rsidRPr="00ED4070" w:rsidRDefault="00ED4070" w:rsidP="00ED4070">
      <w:pPr>
        <w:suppressAutoHyphens/>
        <w:spacing w:line="240" w:lineRule="auto"/>
        <w:rPr>
          <w:rFonts w:eastAsia="-moz-fixed" w:cs="-moz-fixed"/>
          <w:szCs w:val="20"/>
          <w:lang w:val="en-US" w:eastAsia="ar-SA"/>
        </w:rPr>
      </w:pPr>
      <w:r w:rsidRPr="00ED4070">
        <w:rPr>
          <w:rFonts w:eastAsia="-moz-fixed" w:cs="-moz-fixed"/>
          <w:szCs w:val="20"/>
          <w:lang w:val="en-US" w:eastAsia="ar-SA"/>
        </w:rPr>
        <w:t>This graph shows that logging for fuel reduction rarely interacts with wildfire, which explains why the carbon emissions from widespread fuel reduction logging vastly exceeds the carbon emissions avoided in the rare cases where fuel reduction does interact favorably with wildfire.</w:t>
      </w:r>
    </w:p>
    <w:p w:rsidR="00ED4070" w:rsidRPr="00ED4070" w:rsidRDefault="00ED4070" w:rsidP="00ED4070">
      <w:pPr>
        <w:suppressAutoHyphens/>
        <w:spacing w:line="240" w:lineRule="auto"/>
        <w:ind w:left="720"/>
        <w:rPr>
          <w:rFonts w:ascii="Arial" w:eastAsia="-moz-fixed" w:hAnsi="Arial"/>
          <w:color w:val="000000"/>
          <w:lang w:val="en-US" w:eastAsia="ar-SA"/>
        </w:rPr>
      </w:pPr>
      <w:r w:rsidRPr="00ED4070">
        <w:rPr>
          <w:rFonts w:ascii="Arial" w:eastAsia="-moz-fixed" w:hAnsi="Arial"/>
          <w:color w:val="000000"/>
          <w:lang w:val="en-US" w:eastAsia="ar-SA"/>
        </w:rPr>
        <w:lastRenderedPageBreak/>
        <w:fldChar w:fldCharType="begin"/>
      </w:r>
      <w:r w:rsidRPr="00ED4070">
        <w:rPr>
          <w:rFonts w:ascii="Arial" w:eastAsia="-moz-fixed" w:hAnsi="Arial"/>
          <w:color w:val="000000"/>
          <w:lang w:val="en-US" w:eastAsia="ar-SA"/>
        </w:rPr>
        <w:instrText xml:space="preserve"> INCLUDEPICTURE "https://lh5.googleusercontent.com/OTzRBt0tDYRyyOhse_tZpJsC3KGjbT7--PRnRPEtWwF6Y97zGEdCBTmPRWxDOMF47pcasQWvyd-rjnLFIRreHUEMw9VU7As5EQZQWBoUtjPsXje7yQ_-9N_HoOuSY2JUyQ8OhdOz" \* MERGEFORMATINET </w:instrText>
      </w:r>
      <w:r w:rsidRPr="00ED4070">
        <w:rPr>
          <w:rFonts w:ascii="Arial" w:eastAsia="-moz-fixed" w:hAnsi="Arial"/>
          <w:color w:val="000000"/>
          <w:lang w:val="en-US" w:eastAsia="ar-SA"/>
        </w:rPr>
        <w:fldChar w:fldCharType="separate"/>
      </w:r>
      <w:r w:rsidRPr="00ED4070">
        <w:rPr>
          <w:rFonts w:ascii="Arial" w:eastAsia="-moz-fixed" w:hAnsi="Arial"/>
          <w:color w:val="000000"/>
          <w:lang w:val="en-US" w:eastAsia="ar-SA"/>
        </w:rPr>
        <w:pict>
          <v:shape id="_x0000_i1077" type="#_x0000_t75" style="width:389.4pt;height:219.6pt">
            <v:imagedata r:id="rId238" r:href="rId239"/>
          </v:shape>
        </w:pict>
      </w:r>
      <w:r w:rsidRPr="00ED4070">
        <w:rPr>
          <w:rFonts w:ascii="Arial" w:eastAsia="-moz-fixed" w:hAnsi="Arial"/>
          <w:color w:val="000000"/>
          <w:lang w:val="en-US" w:eastAsia="ar-SA"/>
        </w:rPr>
        <w:fldChar w:fldCharType="end"/>
      </w:r>
    </w:p>
    <w:p w:rsidR="00584D6E" w:rsidRDefault="00584D6E"/>
    <w:p w:rsidR="00ED4070" w:rsidRPr="00ED4070" w:rsidRDefault="00ED4070" w:rsidP="00ED4070">
      <w:pPr>
        <w:suppressAutoHyphens/>
        <w:spacing w:line="240" w:lineRule="auto"/>
        <w:rPr>
          <w:rFonts w:eastAsia="-moz-fixed" w:cs="-moz-fixed"/>
          <w:szCs w:val="20"/>
          <w:lang w:val="en-US" w:eastAsia="ar-SA"/>
        </w:rPr>
      </w:pPr>
      <w:r w:rsidRPr="00ED4070">
        <w:rPr>
          <w:rFonts w:eastAsia="-moz-fixed" w:cs="-moz-fixed"/>
          <w:szCs w:val="20"/>
          <w:lang w:val="en-US" w:eastAsia="ar-SA"/>
        </w:rPr>
        <w:t xml:space="preserve">Lindsay </w:t>
      </w:r>
      <w:proofErr w:type="spellStart"/>
      <w:r w:rsidRPr="00ED4070">
        <w:rPr>
          <w:rFonts w:eastAsia="-moz-fixed" w:cs="-moz-fixed"/>
          <w:szCs w:val="20"/>
          <w:lang w:val="en-US" w:eastAsia="ar-SA"/>
        </w:rPr>
        <w:t>Chiono</w:t>
      </w:r>
      <w:proofErr w:type="spellEnd"/>
      <w:r w:rsidRPr="00ED4070">
        <w:rPr>
          <w:rFonts w:eastAsia="-moz-fixed" w:cs="-moz-fixed"/>
          <w:szCs w:val="20"/>
          <w:lang w:val="en-US" w:eastAsia="ar-SA"/>
        </w:rPr>
        <w:t xml:space="preserve"> (2011) of the Wildland Fire Science Laboratory at UC Berkeley prepared a synthesis of the research for resource managers and said: </w:t>
      </w:r>
    </w:p>
    <w:p w:rsidR="00ED4070" w:rsidRPr="00ED4070" w:rsidRDefault="00ED4070" w:rsidP="00ED4070">
      <w:pPr>
        <w:suppressAutoHyphens/>
        <w:spacing w:line="240" w:lineRule="auto"/>
        <w:ind w:left="540"/>
        <w:rPr>
          <w:rFonts w:eastAsia="-moz-fixed" w:cs="-moz-fixed"/>
          <w:szCs w:val="20"/>
          <w:lang w:val="en-US" w:eastAsia="ar-SA"/>
        </w:rPr>
      </w:pPr>
      <w:r w:rsidRPr="00ED4070">
        <w:rPr>
          <w:rFonts w:eastAsia="-moz-fixed" w:cs="-moz-fixed"/>
          <w:szCs w:val="20"/>
          <w:lang w:val="en-US" w:eastAsia="ar-SA"/>
        </w:rPr>
        <w:t>[T]he net carbon impact of fuel treatments is further complicated by the probabilistic nature of wildfire occurrence and the impermanence of post-treatment stand conditions … [T]</w:t>
      </w:r>
      <w:proofErr w:type="spellStart"/>
      <w:r w:rsidRPr="00ED4070">
        <w:rPr>
          <w:rFonts w:eastAsia="-moz-fixed" w:cs="-moz-fixed"/>
          <w:szCs w:val="20"/>
          <w:lang w:val="en-US" w:eastAsia="ar-SA"/>
        </w:rPr>
        <w:t>reatment</w:t>
      </w:r>
      <w:proofErr w:type="spellEnd"/>
      <w:r w:rsidRPr="00ED4070">
        <w:rPr>
          <w:rFonts w:eastAsia="-moz-fixed" w:cs="-moz-fixed"/>
          <w:szCs w:val="20"/>
          <w:lang w:val="en-US" w:eastAsia="ar-SA"/>
        </w:rPr>
        <w:t xml:space="preserve"> activities produce an immediate carbon emission while future wildfire emissions are uncertain … Depending on the intensity of treatment, the quantity of carbon removed may be substantial enough to negate gains from avoided wildfire emissions. East of the Cascade crest in Oregon, a modeling study of carbon dynamics that included modeled wildfires found that while understory removal treatments slightly enhanced carbon storage over the long term, higher levels of biomass removal reduced mean ecosystem carbon (Mitchell et al., 2009).” … [W]hen treatments must be repeated in the interim between wildfires in order to maintain low hazard conditions. Similarly, when wildfire frequency is low, the quantity of carbon removed in treatments over time can overwhelm likely wildfire losses. Net emissions were most pronounced in the west Cascades where historical fire return intervals were very long… [I]n southern Oregon and northern California, </w:t>
      </w:r>
      <w:proofErr w:type="spellStart"/>
      <w:r w:rsidRPr="00ED4070">
        <w:rPr>
          <w:rFonts w:eastAsia="-moz-fixed" w:cs="-moz-fixed"/>
          <w:szCs w:val="20"/>
          <w:lang w:val="en-US" w:eastAsia="ar-SA"/>
        </w:rPr>
        <w:t>Goslee</w:t>
      </w:r>
      <w:proofErr w:type="spellEnd"/>
      <w:r w:rsidRPr="00ED4070">
        <w:rPr>
          <w:rFonts w:eastAsia="-moz-fixed" w:cs="-moz-fixed"/>
          <w:szCs w:val="20"/>
          <w:lang w:val="en-US" w:eastAsia="ar-SA"/>
        </w:rPr>
        <w:t xml:space="preserve"> and others (2010) took an approach that incorporates the stochastic nature of wildfire occurrence. Rather than scheduling a wildfire event soon after fuel treatment, a calculation that maximizes treatment benefits, they used an estimate of the local fire return interval for the period of 2001 to 2008 -- an annual burn probability of 0.6% -- to assess carbon emissions. Partly owing to this low wildfire risk, they found that fuel treatments, which included commercial timber harvest and pile burning of noncommercial biomass, produced an effective immediate net emission of 10-20.8 tons of carbon per acre. … [S]</w:t>
      </w:r>
      <w:proofErr w:type="spellStart"/>
      <w:r w:rsidRPr="00ED4070">
        <w:rPr>
          <w:rFonts w:eastAsia="-moz-fixed" w:cs="-moz-fixed"/>
          <w:szCs w:val="20"/>
          <w:lang w:val="en-US" w:eastAsia="ar-SA"/>
        </w:rPr>
        <w:t>ome</w:t>
      </w:r>
      <w:proofErr w:type="spellEnd"/>
      <w:r w:rsidRPr="00ED4070">
        <w:rPr>
          <w:rFonts w:eastAsia="-moz-fixed" w:cs="-moz-fixed"/>
          <w:szCs w:val="20"/>
          <w:lang w:val="en-US" w:eastAsia="ar-SA"/>
        </w:rPr>
        <w:t xml:space="preserve"> general principles have begun to emerge. Achieving a net carbon gain appears more likely when the quantity of carbon removed during treatment is minimized, when harvested biomass is converted to long-lived wood products, and where the risk of wildfire occurrence is high… Conversely, cumulative emissions from fuels reduction activities repeated in order to maintain low hazard conditions over time can overwhelm avoided wildfire emissions, resulting in a net carbon loss.</w:t>
      </w:r>
    </w:p>
    <w:p w:rsidR="00ED4070" w:rsidRPr="00ED4070" w:rsidRDefault="00ED4070" w:rsidP="00ED4070">
      <w:pPr>
        <w:suppressAutoHyphens/>
        <w:spacing w:line="240" w:lineRule="auto"/>
        <w:rPr>
          <w:rFonts w:eastAsia="-moz-fixed" w:cs="-moz-fixed"/>
          <w:szCs w:val="20"/>
          <w:lang w:val="en-US" w:eastAsia="ar-SA"/>
        </w:rPr>
      </w:pPr>
      <w:proofErr w:type="spellStart"/>
      <w:r w:rsidRPr="00ED4070">
        <w:rPr>
          <w:rFonts w:eastAsia="-moz-fixed" w:cs="-moz-fixed"/>
          <w:szCs w:val="20"/>
          <w:lang w:val="en-US" w:eastAsia="ar-SA"/>
        </w:rPr>
        <w:t>Chiono</w:t>
      </w:r>
      <w:proofErr w:type="spellEnd"/>
      <w:r w:rsidRPr="00ED4070">
        <w:rPr>
          <w:rFonts w:eastAsia="-moz-fixed" w:cs="-moz-fixed"/>
          <w:szCs w:val="20"/>
          <w:lang w:val="en-US" w:eastAsia="ar-SA"/>
        </w:rPr>
        <w:t xml:space="preserve">, Lindsay 2011. Balancing the Carbon Costs and Benefits of Fuels Management. Research Synthesis for Resource Managers. Joint Fire Science Program Knowledge Exchange.  </w:t>
      </w:r>
      <w:hyperlink r:id="rId240" w:history="1">
        <w:r w:rsidRPr="00ED4070">
          <w:rPr>
            <w:rFonts w:eastAsia="-moz-fixed" w:cs="-moz-fixed"/>
            <w:color w:val="0000FF"/>
            <w:szCs w:val="20"/>
            <w:u w:val="single"/>
            <w:lang w:val="en-US" w:eastAsia="ar-SA"/>
          </w:rPr>
          <w:t>https://static1.squarespace.com/static/545a90ede4b026480c02c5c7/t/5527ebd9e4b0f620d0cb5b58/1428679641640/CFSC_Chiono_Carbon_and_Fuel_Mngmt.pdf</w:t>
        </w:r>
      </w:hyperlink>
      <w:r w:rsidRPr="00ED4070">
        <w:rPr>
          <w:rFonts w:eastAsia="-moz-fixed" w:cs="-moz-fixed"/>
          <w:szCs w:val="20"/>
          <w:lang w:val="en-US" w:eastAsia="ar-SA"/>
        </w:rPr>
        <w:t xml:space="preserve">.   </w:t>
      </w:r>
    </w:p>
    <w:p w:rsidR="00ED4070" w:rsidRDefault="00ED4070"/>
    <w:p w:rsidR="00ED4070" w:rsidRDefault="00ED4070"/>
    <w:p w:rsidR="00C13CE6" w:rsidRDefault="00AE6ACC" w:rsidP="002702C8">
      <w:r>
        <w:t>==</w:t>
      </w:r>
    </w:p>
    <w:p w:rsidR="000E4475" w:rsidRDefault="000E4475" w:rsidP="00C13CE6"/>
    <w:p w:rsidR="00C13CE6" w:rsidRPr="00C13CE6" w:rsidRDefault="00C13CE6" w:rsidP="00C13CE6">
      <w:r w:rsidRPr="00C13CE6">
        <w:t>Each substantive issue discussed in these comments should be (</w:t>
      </w:r>
      <w:proofErr w:type="spellStart"/>
      <w:r w:rsidRPr="00C13CE6">
        <w:t>i</w:t>
      </w:r>
      <w:proofErr w:type="spellEnd"/>
      <w:r w:rsidRPr="00C13CE6">
        <w:t>) incorporated into the purpose and need for the project, (ii) used to develop NEPA alternatives that balance tradeoffs in different ways, (iii) carefully analyzed and documented as part of the effects analysis, and (iv) considered for mitigation.</w:t>
      </w:r>
    </w:p>
    <w:p w:rsidR="00C13CE6" w:rsidRPr="00C13CE6" w:rsidRDefault="00C13CE6" w:rsidP="00C13CE6"/>
    <w:p w:rsidR="00C13CE6" w:rsidRPr="00C13CE6" w:rsidRDefault="00C13CE6" w:rsidP="00C13CE6">
      <w:r w:rsidRPr="00C13CE6">
        <w:t>Please post to the project website, links to all relevant ESA and EFH consultation documents, RMPs, watershed analyses, and other supporting documents relied on in the NEPA analysis.</w:t>
      </w:r>
    </w:p>
    <w:p w:rsidR="00C13CE6" w:rsidRPr="00C13CE6" w:rsidRDefault="00C13CE6" w:rsidP="00C13CE6"/>
    <w:p w:rsidR="00C13CE6" w:rsidRPr="00C13CE6" w:rsidRDefault="00C13CE6" w:rsidP="00C13CE6">
      <w:r w:rsidRPr="00C13CE6">
        <w:t xml:space="preserve">Please post to the project website before the public comment period, georeferenced maps of the proposed activity units that can be used to navigate in the field using apps such as </w:t>
      </w:r>
      <w:proofErr w:type="spellStart"/>
      <w:r w:rsidRPr="00C13CE6">
        <w:t>Avenza</w:t>
      </w:r>
      <w:proofErr w:type="spellEnd"/>
      <w:r w:rsidRPr="00C13CE6">
        <w:t xml:space="preserve">. </w:t>
      </w:r>
    </w:p>
    <w:p w:rsidR="00C13CE6" w:rsidRPr="00C13CE6" w:rsidRDefault="00C13CE6" w:rsidP="00C13CE6"/>
    <w:p w:rsidR="00C13CE6" w:rsidRPr="00C13CE6" w:rsidRDefault="002C57D2" w:rsidP="00C13CE6">
      <w:r>
        <w:t xml:space="preserve">Please provide Oregon Wild with timely notice of any forthcoming comment opportunities, and any draft and final decisions on this project. </w:t>
      </w:r>
      <w:r w:rsidR="00D24693">
        <w:t>If the agency discovers new information or changed circumstance or modifies the project or the analysis after the decision, Oregon Wild requests to be notified and provided an opportunity to comment.</w:t>
      </w:r>
    </w:p>
    <w:p w:rsidR="00C13CE6" w:rsidRPr="00C13CE6" w:rsidRDefault="00C13CE6" w:rsidP="00C13CE6"/>
    <w:p w:rsidR="00B864C7" w:rsidRDefault="00C13CE6" w:rsidP="00C13CE6">
      <w:r w:rsidRPr="00C13CE6">
        <w:t>Note: If</w:t>
      </w:r>
      <w:r w:rsidR="004061D4">
        <w:t xml:space="preserve"> any of these web links in these comments </w:t>
      </w:r>
      <w:r w:rsidRPr="00C13CE6">
        <w:t xml:space="preserve">are dead, they may be resurrected using the </w:t>
      </w:r>
      <w:proofErr w:type="spellStart"/>
      <w:r w:rsidRPr="00C13CE6">
        <w:t>Wayback</w:t>
      </w:r>
      <w:proofErr w:type="spellEnd"/>
      <w:r w:rsidRPr="00C13CE6">
        <w:t xml:space="preserve"> Machine at Archive.org. </w:t>
      </w:r>
      <w:hyperlink r:id="rId241" w:history="1">
        <w:r w:rsidRPr="00C13CE6">
          <w:rPr>
            <w:color w:val="0000FF"/>
            <w:u w:val="single"/>
          </w:rPr>
          <w:t>http://wayback.archive.org/web/</w:t>
        </w:r>
      </w:hyperlink>
    </w:p>
    <w:p w:rsidR="00B864C7" w:rsidRDefault="00B864C7" w:rsidP="00C13CE6"/>
    <w:p w:rsidR="00C13CE6" w:rsidRDefault="00C13CE6" w:rsidP="00C13CE6"/>
    <w:p w:rsidR="00B864C7" w:rsidRPr="00C13CE6" w:rsidRDefault="00B864C7" w:rsidP="00C13CE6"/>
    <w:p w:rsidR="00C13CE6" w:rsidRPr="00C13CE6" w:rsidRDefault="00C13CE6" w:rsidP="00C13CE6">
      <w:r w:rsidRPr="00C13CE6">
        <w:t>Sincerely,</w:t>
      </w:r>
    </w:p>
    <w:p w:rsidR="00C13CE6" w:rsidRPr="00C13CE6" w:rsidRDefault="00C13CE6" w:rsidP="00C13CE6">
      <w:r w:rsidRPr="00C13CE6">
        <w:rPr>
          <w:noProof/>
          <w:lang w:val="en-US"/>
        </w:rPr>
        <w:drawing>
          <wp:inline distT="0" distB="0" distL="0" distR="0" wp14:anchorId="31B2C7D4" wp14:editId="32A8E2BD">
            <wp:extent cx="1546860" cy="502920"/>
            <wp:effectExtent l="0" t="0" r="0" b="0"/>
            <wp:docPr id="4" name="Picture 4"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6A6A" w:rsidRDefault="00C13CE6" w:rsidP="00C13CE6">
      <w:r w:rsidRPr="00C13CE6">
        <w:t>Doug Heiken</w:t>
      </w:r>
      <w:r w:rsidR="00496A6A">
        <w:t xml:space="preserve"> (he/him)</w:t>
      </w:r>
    </w:p>
    <w:p w:rsidR="00F32678" w:rsidRPr="00C13CE6" w:rsidRDefault="00F32678" w:rsidP="00C13CE6">
      <w:r>
        <w:t xml:space="preserve">Oregon Wild </w:t>
      </w:r>
    </w:p>
    <w:p w:rsidR="00B864C7" w:rsidRDefault="0061341D" w:rsidP="00C13CE6">
      <w:hyperlink r:id="rId243" w:history="1">
        <w:r w:rsidR="00C13CE6" w:rsidRPr="00C13CE6">
          <w:rPr>
            <w:rStyle w:val="Hyperlink"/>
          </w:rPr>
          <w:t>dh@oregonwild.org</w:t>
        </w:r>
      </w:hyperlink>
      <w:r w:rsidR="00C13CE6" w:rsidRPr="00C13CE6">
        <w:t xml:space="preserve"> </w:t>
      </w:r>
    </w:p>
    <w:p w:rsidR="00B864C7" w:rsidRDefault="00B864C7" w:rsidP="00C13CE6"/>
    <w:p w:rsidR="00F32678" w:rsidRDefault="00F32678">
      <w:pPr>
        <w:rPr>
          <w:rFonts w:eastAsia="Georgia" w:cs="Georgia"/>
        </w:rPr>
      </w:pPr>
      <w:r w:rsidRPr="00F32678">
        <w:rPr>
          <w:rFonts w:eastAsia="Georgia" w:cs="Georgia"/>
          <w:noProof/>
          <w:lang w:val="en-US"/>
        </w:rPr>
        <w:drawing>
          <wp:inline distT="0" distB="0" distL="0" distR="0">
            <wp:extent cx="1577340" cy="739140"/>
            <wp:effectExtent l="0" t="0" r="3810" b="3810"/>
            <wp:docPr id="2" name="Picture 2" descr="C:\Users\Doug\Pictures\!signatures\Nick'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g\Pictures\!signatures\Nick's Signature.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577340" cy="739140"/>
                    </a:xfrm>
                    <a:prstGeom prst="rect">
                      <a:avLst/>
                    </a:prstGeom>
                    <a:noFill/>
                    <a:ln>
                      <a:noFill/>
                    </a:ln>
                  </pic:spPr>
                </pic:pic>
              </a:graphicData>
            </a:graphic>
          </wp:inline>
        </w:drawing>
      </w:r>
    </w:p>
    <w:p w:rsidR="00F32678" w:rsidRDefault="00F32678">
      <w:pPr>
        <w:rPr>
          <w:rFonts w:eastAsia="Georgia" w:cs="Georgia"/>
        </w:rPr>
      </w:pPr>
      <w:r>
        <w:rPr>
          <w:rFonts w:eastAsia="Georgia" w:cs="Georgia"/>
        </w:rPr>
        <w:t>Nick Cady</w:t>
      </w:r>
    </w:p>
    <w:p w:rsidR="00F32678" w:rsidRDefault="00F32678">
      <w:pPr>
        <w:rPr>
          <w:rFonts w:eastAsia="Georgia" w:cs="Georgia"/>
        </w:rPr>
      </w:pPr>
      <w:r>
        <w:rPr>
          <w:rFonts w:eastAsia="Georgia" w:cs="Georgia"/>
        </w:rPr>
        <w:t>Cascadia Wildlands</w:t>
      </w:r>
    </w:p>
    <w:p w:rsidR="00F32678" w:rsidRPr="00C13CE6" w:rsidRDefault="0061341D">
      <w:pPr>
        <w:rPr>
          <w:rFonts w:eastAsia="Georgia" w:cs="Georgia"/>
        </w:rPr>
      </w:pPr>
      <w:hyperlink r:id="rId245" w:history="1">
        <w:r w:rsidR="00F32678" w:rsidRPr="00C16478">
          <w:rPr>
            <w:rStyle w:val="Hyperlink"/>
            <w:rFonts w:eastAsia="Georgia" w:cs="Georgia"/>
          </w:rPr>
          <w:t>nick@cascwild.org</w:t>
        </w:r>
      </w:hyperlink>
      <w:r w:rsidR="00F32678">
        <w:rPr>
          <w:rFonts w:eastAsia="Georgia" w:cs="Georgia"/>
        </w:rPr>
        <w:t xml:space="preserve"> </w:t>
      </w:r>
    </w:p>
    <w:sectPr w:rsidR="00F32678" w:rsidRPr="00C13CE6">
      <w:headerReference w:type="default" r:id="rId246"/>
      <w:footerReference w:type="default" r:id="rId247"/>
      <w:headerReference w:type="first" r:id="rId248"/>
      <w:footerReference w:type="first" r:id="rId24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ACC" w:rsidRDefault="00533ACC">
      <w:pPr>
        <w:spacing w:line="240" w:lineRule="auto"/>
      </w:pPr>
      <w:r>
        <w:separator/>
      </w:r>
    </w:p>
  </w:endnote>
  <w:endnote w:type="continuationSeparator" w:id="0">
    <w:p w:rsidR="00533ACC" w:rsidRDefault="00533A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Antiqua">
    <w:altName w:val="Book Antiqu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moz-fixed">
    <w:altName w:val="Times New Roman"/>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Proxima Nova Rg">
    <w:panose1 w:val="02000506030000020004"/>
    <w:charset w:val="00"/>
    <w:family w:val="auto"/>
    <w:pitch w:val="variable"/>
    <w:sig w:usb0="A00002EF" w:usb1="5000E0FB" w:usb2="00000000" w:usb3="00000000" w:csb0="0000019F" w:csb1="00000000"/>
  </w:font>
  <w:font w:name="Proxima Nova Semibold">
    <w:altName w:val="Times New Roman"/>
    <w:panose1 w:val="02000506030000020004"/>
    <w:charset w:val="00"/>
    <w:family w:val="auto"/>
    <w:pitch w:val="default"/>
  </w:font>
  <w:font w:name="Proxima Nova Extrabold">
    <w:altName w:val="Times New Roman"/>
    <w:panose1 w:val="020005060300000200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865226"/>
      <w:docPartObj>
        <w:docPartGallery w:val="Page Numbers (Bottom of Page)"/>
        <w:docPartUnique/>
      </w:docPartObj>
    </w:sdtPr>
    <w:sdtEndPr>
      <w:rPr>
        <w:noProof/>
      </w:rPr>
    </w:sdtEndPr>
    <w:sdtContent>
      <w:p w:rsidR="00584D6E" w:rsidRPr="00BE0D21" w:rsidRDefault="00584D6E">
        <w:pPr>
          <w:pStyle w:val="Footer"/>
          <w:jc w:val="right"/>
        </w:pPr>
        <w:r w:rsidRPr="00BE0D21">
          <w:fldChar w:fldCharType="begin"/>
        </w:r>
        <w:r w:rsidRPr="00BE0D21">
          <w:instrText xml:space="preserve"> PAGE   \* MERGEFORMAT </w:instrText>
        </w:r>
        <w:r w:rsidRPr="00BE0D21">
          <w:fldChar w:fldCharType="separate"/>
        </w:r>
        <w:r w:rsidR="00CD06F4">
          <w:rPr>
            <w:noProof/>
          </w:rPr>
          <w:t>2</w:t>
        </w:r>
        <w:r w:rsidRPr="00BE0D21">
          <w:rPr>
            <w:noProof/>
          </w:rPr>
          <w:fldChar w:fldCharType="end"/>
        </w:r>
      </w:p>
    </w:sdtContent>
  </w:sdt>
  <w:p w:rsidR="00584D6E" w:rsidRDefault="00584D6E" w:rsidP="00BE0D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D6E" w:rsidRDefault="00584D6E" w:rsidP="00BE0D21">
    <w:pPr>
      <w:tabs>
        <w:tab w:val="center" w:pos="4680"/>
      </w:tabs>
    </w:pPr>
    <w:r>
      <w:rPr>
        <w:noProof/>
        <w:lang w:val="en-US"/>
      </w:rPr>
      <mc:AlternateContent>
        <mc:Choice Requires="wps">
          <w:drawing>
            <wp:anchor distT="114300" distB="114300" distL="114300" distR="114300" simplePos="0" relativeHeight="251660288" behindDoc="0" locked="0" layoutInCell="1" hidden="0" allowOverlap="1">
              <wp:simplePos x="0" y="0"/>
              <wp:positionH relativeFrom="column">
                <wp:posOffset>-914399</wp:posOffset>
              </wp:positionH>
              <wp:positionV relativeFrom="paragraph">
                <wp:posOffset>390525</wp:posOffset>
              </wp:positionV>
              <wp:extent cx="7772400" cy="258175"/>
              <wp:effectExtent l="0" t="0" r="0" b="0"/>
              <wp:wrapNone/>
              <wp:docPr id="1" name="Rectangle 1"/>
              <wp:cNvGraphicFramePr/>
              <a:graphic xmlns:a="http://schemas.openxmlformats.org/drawingml/2006/main">
                <a:graphicData uri="http://schemas.microsoft.com/office/word/2010/wordprocessingShape">
                  <wps:wsp>
                    <wps:cNvSpPr/>
                    <wps:spPr>
                      <a:xfrm>
                        <a:off x="1224000" y="825950"/>
                        <a:ext cx="8955900" cy="298500"/>
                      </a:xfrm>
                      <a:prstGeom prst="rect">
                        <a:avLst/>
                      </a:prstGeom>
                      <a:solidFill>
                        <a:srgbClr val="067886"/>
                      </a:solidFill>
                      <a:ln>
                        <a:noFill/>
                      </a:ln>
                    </wps:spPr>
                    <wps:txbx>
                      <w:txbxContent>
                        <w:p w:rsidR="00584D6E" w:rsidRDefault="00584D6E">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1in;margin-top:30.75pt;width:612pt;height:20.3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" fillcolor="#067886" stroked="f">
              <v:textbox inset="2.53958mm,2.53958mm,2.53958mm,2.53958mm">
                <w:txbxContent>
                  <w:p w:rsidR="00584D6E" w:rsidRDefault="00584D6E">
                    <w:pPr>
                      <w:spacing w:line="240" w:lineRule="auto"/>
                      <w:jc w:val="center"/>
                      <w:textDirection w:val="btLr"/>
                    </w:pPr>
                  </w:p>
                </w:txbxContent>
              </v:textbox>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ACC" w:rsidRDefault="00533ACC">
      <w:pPr>
        <w:spacing w:line="240" w:lineRule="auto"/>
      </w:pPr>
      <w:r>
        <w:separator/>
      </w:r>
    </w:p>
  </w:footnote>
  <w:footnote w:type="continuationSeparator" w:id="0">
    <w:p w:rsidR="00533ACC" w:rsidRDefault="00533ACC">
      <w:pPr>
        <w:spacing w:line="240" w:lineRule="auto"/>
      </w:pPr>
      <w:r>
        <w:continuationSeparator/>
      </w:r>
    </w:p>
  </w:footnote>
  <w:footnote w:id="1">
    <w:p w:rsidR="00584D6E" w:rsidRDefault="00584D6E" w:rsidP="00C670A8">
      <w:pPr>
        <w:pStyle w:val="FootnoteText"/>
      </w:pPr>
      <w:r>
        <w:rPr>
          <w:rStyle w:val="FootnoteCharacters"/>
        </w:rPr>
        <w:footnoteRef/>
      </w:r>
      <w:r>
        <w:tab/>
        <w:t xml:space="preserve"> Adams &amp; </w:t>
      </w:r>
      <w:proofErr w:type="spellStart"/>
      <w:r>
        <w:t>Latta</w:t>
      </w:r>
      <w:proofErr w:type="spellEnd"/>
      <w:r>
        <w:t>. 2005. Timber Harvest Potential From Private Lands in the Pacific Northwest: Biological, Investment, and Policy Issues. PNW-GTR-626.</w:t>
      </w:r>
    </w:p>
  </w:footnote>
  <w:footnote w:id="2">
    <w:p w:rsidR="00584D6E" w:rsidRPr="007368D0" w:rsidRDefault="00584D6E" w:rsidP="001A2A45">
      <w:pPr>
        <w:pStyle w:val="FootnoteText"/>
      </w:pPr>
      <w:r w:rsidRPr="007368D0">
        <w:rPr>
          <w:rStyle w:val="FootnoteCharacters"/>
        </w:rPr>
        <w:footnoteRef/>
      </w:r>
      <w:r w:rsidRPr="007368D0">
        <w:tab/>
        <w:t xml:space="preserve"> In young Douglas-fir stands “</w:t>
      </w:r>
      <w:r w:rsidRPr="007368D0">
        <w:rPr>
          <w:color w:val="000000"/>
        </w:rPr>
        <w:t xml:space="preserve">canopy structure did not differ dramatically between thinned and unthinned stands. … There were no evident trends between understory cover and thinning history; both shrub and forb cover were fairly similar among the three thinning intensities [including the unthinned control stands]. The difference in mean shade-tolerant canopy cover was not significantly lower in LT [light thin] and HT [heavy thin] than in ND [undisturbed] stands … We expected greater cover of understory vegetation in thinned than in unthinned stands but did not detect significant differences in this analysis.” 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1" w:history="1">
        <w:r w:rsidRPr="007368D0">
          <w:rPr>
            <w:rStyle w:val="Hyperlink"/>
          </w:rPr>
          <w:t>http://www.fs.</w:t>
        </w:r>
        <w:r>
          <w:rPr>
            <w:rStyle w:val="Hyperlink"/>
          </w:rPr>
          <w:t>usda.gov</w:t>
        </w:r>
        <w:r w:rsidRPr="007368D0">
          <w:rPr>
            <w:rStyle w:val="Hyperlink"/>
          </w:rPr>
          <w:t>/pnw/pubs/pnw_gtr794.pdf</w:t>
        </w:r>
      </w:hyperlink>
      <w:r w:rsidRPr="007368D0">
        <w:rPr>
          <w:color w:val="000000"/>
        </w:rPr>
        <w:t xml:space="preserve"> </w:t>
      </w:r>
    </w:p>
  </w:footnote>
  <w:footnote w:id="3">
    <w:p w:rsidR="00584D6E" w:rsidRDefault="00584D6E" w:rsidP="001A2A45">
      <w:pPr>
        <w:pStyle w:val="FootnoteText"/>
      </w:pPr>
      <w:r>
        <w:rPr>
          <w:rStyle w:val="FootnoteCharacters"/>
        </w:rPr>
        <w:footnoteRef/>
      </w:r>
      <w:r>
        <w:t xml:space="preserve">  Jan 2004 SEIS for Removing Survey and Manage Mitigation, page 189. </w:t>
      </w:r>
      <w:r>
        <w:rPr>
          <w:i/>
        </w:rPr>
        <w:t>citing</w:t>
      </w:r>
      <w:r>
        <w:t xml:space="preserve"> Carey, A.B., D.R. </w:t>
      </w:r>
      <w:proofErr w:type="spellStart"/>
      <w:r>
        <w:t>Thysell</w:t>
      </w:r>
      <w:proofErr w:type="spellEnd"/>
      <w:r>
        <w:t xml:space="preserve">, and A. Brodie. 1999. The forest ecosystem study: background, rationale, implementation, baseline conditions, and silvicultural assessment. USDA Forest Service. General Technical Report PNW-GTR-457. Pacific Northwest Research Station. Portland, Oregon. </w:t>
      </w:r>
      <w:hyperlink r:id="rId2" w:history="1">
        <w:r>
          <w:rPr>
            <w:rStyle w:val="Hyperlink"/>
          </w:rPr>
          <w:t>http://www.treesearch.fs.usda.gov/pubs/2984</w:t>
        </w:r>
      </w:hyperlink>
      <w:r>
        <w:t xml:space="preserve"> </w:t>
      </w:r>
    </w:p>
  </w:footnote>
  <w:footnote w:id="4">
    <w:p w:rsidR="00584D6E" w:rsidRDefault="00584D6E" w:rsidP="001A2A45">
      <w:pPr>
        <w:pStyle w:val="FootnoteText"/>
      </w:pPr>
      <w:r>
        <w:rPr>
          <w:rStyle w:val="FootnoteCharacters"/>
        </w:rPr>
        <w:footnoteRef/>
      </w:r>
      <w:r>
        <w:t xml:space="preserve">  </w:t>
      </w:r>
      <w:r>
        <w:rPr>
          <w:rFonts w:cs="-moz-fixed"/>
        </w:rPr>
        <w:t xml:space="preserve">Spies, T. A., and S. P. Cline. 1988. Coarse woody debris in forests and plantations of coastal Oregon. Pp. 5-23 in: C. Maser, R. F. Tarrant, J. M. Trappe, and J. F. Franklin, ed. From the forest to the sea: a story of fallen trees. Gen. Tech. Rpt. PNW- GTR-229. USDA Forest Service, Portland OR. </w:t>
      </w:r>
      <w:hyperlink r:id="rId3" w:history="1">
        <w:r>
          <w:rPr>
            <w:rStyle w:val="Hyperlink"/>
            <w:rFonts w:cs="-moz-fixed"/>
          </w:rPr>
          <w:t>http://www.fs.fed.us/pnw/pubs/229chpt1.pdf</w:t>
        </w:r>
      </w:hyperlink>
      <w:r>
        <w:rPr>
          <w:rFonts w:cs="-moz-fixed"/>
        </w:rPr>
        <w:t xml:space="preserve">. </w:t>
      </w:r>
    </w:p>
  </w:footnote>
  <w:footnote w:id="5">
    <w:p w:rsidR="00584D6E" w:rsidRDefault="00584D6E" w:rsidP="001A2A45">
      <w:pPr>
        <w:pStyle w:val="FootnoteText"/>
      </w:pPr>
      <w:r>
        <w:rPr>
          <w:rStyle w:val="FootnoteCharacters"/>
        </w:rPr>
        <w:footnoteRef/>
      </w:r>
      <w:r>
        <w:t xml:space="preserve"> Carey, Andrew B. 1998. Ecological foundations of biodiversity: lessons from natural and managed forests of the Pacific Northwest. Northwest Science. 72(2): 127-133. </w:t>
      </w:r>
      <w:hyperlink r:id="rId4" w:history="1">
        <w:r>
          <w:rPr>
            <w:rStyle w:val="Hyperlink"/>
          </w:rPr>
          <w:t>http://www.fs.fed.us/pnw/pubs/journals/pnw_1998_carey001.pdf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D6E" w:rsidRDefault="00584D6E">
    <w:pPr>
      <w:ind w:righ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D6E" w:rsidRPr="00D44BA7" w:rsidRDefault="00584D6E">
    <w:pPr>
      <w:ind w:right="-630"/>
      <w:jc w:val="right"/>
      <w:rPr>
        <w:rFonts w:ascii="Proxima Nova Rg" w:eastAsia="Proxima Nova Semibold" w:hAnsi="Proxima Nova Rg"/>
        <w:color w:val="231F20"/>
      </w:rPr>
    </w:pPr>
    <w:r w:rsidRPr="00D44BA7">
      <w:rPr>
        <w:rFonts w:ascii="Proxima Nova Rg" w:hAnsi="Proxima Nova Rg"/>
        <w:noProof/>
        <w:lang w:val="en-US"/>
      </w:rPr>
      <w:drawing>
        <wp:anchor distT="114300" distB="114300" distL="114300" distR="114300" simplePos="0" relativeHeight="251658240" behindDoc="0" locked="0" layoutInCell="1" hidden="0" allowOverlap="1">
          <wp:simplePos x="0" y="0"/>
          <wp:positionH relativeFrom="column">
            <wp:posOffset>-504824</wp:posOffset>
          </wp:positionH>
          <wp:positionV relativeFrom="paragraph">
            <wp:posOffset>-200024</wp:posOffset>
          </wp:positionV>
          <wp:extent cx="1031624" cy="13573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1624" cy="1357313"/>
                  </a:xfrm>
                  <a:prstGeom prst="rect">
                    <a:avLst/>
                  </a:prstGeom>
                  <a:ln/>
                </pic:spPr>
              </pic:pic>
            </a:graphicData>
          </a:graphic>
        </wp:anchor>
      </w:drawing>
    </w:r>
    <w:r w:rsidRPr="00D44BA7">
      <w:rPr>
        <w:rFonts w:ascii="Proxima Nova Rg" w:eastAsia="Proxima Nova Semibold" w:hAnsi="Proxima Nova Rg"/>
        <w:color w:val="231F20"/>
      </w:rPr>
      <w:t>PO Box 11648</w:t>
    </w:r>
  </w:p>
  <w:p w:rsidR="00584D6E" w:rsidRPr="00D44BA7" w:rsidRDefault="00584D6E">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Eugene, OR 97440</w:t>
    </w:r>
  </w:p>
  <w:p w:rsidR="00584D6E" w:rsidRPr="00D44BA7" w:rsidRDefault="00584D6E">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(541) 344-0675</w:t>
    </w:r>
  </w:p>
  <w:p w:rsidR="00584D6E" w:rsidRPr="00D44BA7" w:rsidRDefault="00584D6E">
    <w:pPr>
      <w:ind w:right="-630"/>
      <w:jc w:val="right"/>
      <w:rPr>
        <w:rFonts w:ascii="Proxima Nova Rg" w:eastAsia="Proxima Nova Extrabold" w:hAnsi="Proxima Nova Rg"/>
        <w:color w:val="067886"/>
      </w:rPr>
    </w:pPr>
    <w:r w:rsidRPr="00D44BA7">
      <w:rPr>
        <w:rFonts w:ascii="Proxima Nova Rg" w:eastAsia="Proxima Nova Extrabold" w:hAnsi="Proxima Nova Rg"/>
        <w:color w:val="067886"/>
      </w:rPr>
      <w:t>WWW.OREGONWILD.ORG</w:t>
    </w:r>
  </w:p>
  <w:p w:rsidR="00584D6E" w:rsidRPr="006C59F8" w:rsidRDefault="00584D6E">
    <w:pPr>
      <w:ind w:right="-630"/>
      <w:jc w:val="right"/>
      <w:rPr>
        <w:rFonts w:eastAsia="Proxima Nova Semibold"/>
        <w:color w:val="141413"/>
      </w:rPr>
    </w:pPr>
    <w:r w:rsidRPr="00D44BA7">
      <w:rPr>
        <w:rFonts w:ascii="Proxima Nova Rg" w:eastAsia="Proxima Nova Semibold" w:hAnsi="Proxima Nova Rg"/>
        <w:color w:val="E47325"/>
      </w:rPr>
      <w:t>Portland     Eugene     Bend     Enterprise</w:t>
    </w:r>
  </w:p>
  <w:p w:rsidR="00584D6E" w:rsidRDefault="00584D6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864E5E2"/>
    <w:name w:val="WW8Num3"/>
    <w:lvl w:ilvl="0">
      <w:start w:val="1"/>
      <w:numFmt w:val="bullet"/>
      <w:lvlText w:val="o"/>
      <w:lvlJc w:val="left"/>
      <w:pPr>
        <w:tabs>
          <w:tab w:val="num" w:pos="1080"/>
        </w:tabs>
        <w:ind w:left="1080" w:hanging="360"/>
      </w:pPr>
      <w:rPr>
        <w:rFonts w:ascii="Courier New" w:hAnsi="Courier New" w:cs="Courier New" w:hint="default"/>
        <w:szCs w:val="24"/>
      </w:rPr>
    </w:lvl>
    <w:lvl w:ilvl="1">
      <w:start w:val="1"/>
      <w:numFmt w:val="bullet"/>
      <w:lvlText w:val="o"/>
      <w:lvlJc w:val="left"/>
      <w:pPr>
        <w:tabs>
          <w:tab w:val="num" w:pos="1800"/>
        </w:tabs>
        <w:ind w:left="1800" w:hanging="360"/>
      </w:pPr>
      <w:rPr>
        <w:rFonts w:ascii="BookAntiqua" w:hAnsi="BookAntiqua"/>
      </w:rPr>
    </w:lvl>
    <w:lvl w:ilvl="2">
      <w:start w:val="1"/>
      <w:numFmt w:val="bullet"/>
      <w:lvlText w:val=""/>
      <w:lvlJc w:val="left"/>
      <w:pPr>
        <w:tabs>
          <w:tab w:val="num" w:pos="2520"/>
        </w:tabs>
        <w:ind w:left="2520" w:hanging="360"/>
      </w:pPr>
      <w:rPr>
        <w:rFonts w:ascii="Georgia" w:hAnsi="Georgia"/>
      </w:rPr>
    </w:lvl>
    <w:lvl w:ilvl="3">
      <w:start w:val="1"/>
      <w:numFmt w:val="bullet"/>
      <w:lvlText w:val=""/>
      <w:lvlJc w:val="left"/>
      <w:pPr>
        <w:tabs>
          <w:tab w:val="num" w:pos="3240"/>
        </w:tabs>
        <w:ind w:left="3240" w:hanging="360"/>
      </w:pPr>
      <w:rPr>
        <w:rFonts w:ascii="Georgia" w:hAnsi="Georgia"/>
      </w:rPr>
    </w:lvl>
    <w:lvl w:ilvl="4">
      <w:start w:val="1"/>
      <w:numFmt w:val="bullet"/>
      <w:lvlText w:val=""/>
      <w:lvlJc w:val="left"/>
      <w:pPr>
        <w:tabs>
          <w:tab w:val="num" w:pos="3960"/>
        </w:tabs>
        <w:ind w:left="3960" w:hanging="360"/>
      </w:pPr>
      <w:rPr>
        <w:rFonts w:ascii="Georgia" w:hAnsi="Georgia"/>
      </w:rPr>
    </w:lvl>
    <w:lvl w:ilvl="5">
      <w:start w:val="1"/>
      <w:numFmt w:val="bullet"/>
      <w:lvlText w:val=""/>
      <w:lvlJc w:val="left"/>
      <w:pPr>
        <w:tabs>
          <w:tab w:val="num" w:pos="4680"/>
        </w:tabs>
        <w:ind w:left="4680" w:hanging="360"/>
      </w:pPr>
      <w:rPr>
        <w:rFonts w:ascii="Georgia" w:hAnsi="Georgia"/>
      </w:rPr>
    </w:lvl>
    <w:lvl w:ilvl="6">
      <w:start w:val="1"/>
      <w:numFmt w:val="bullet"/>
      <w:lvlText w:val=""/>
      <w:lvlJc w:val="left"/>
      <w:pPr>
        <w:tabs>
          <w:tab w:val="num" w:pos="5400"/>
        </w:tabs>
        <w:ind w:left="5400" w:hanging="360"/>
      </w:pPr>
      <w:rPr>
        <w:rFonts w:ascii="Georgia" w:hAnsi="Georgia"/>
      </w:rPr>
    </w:lvl>
    <w:lvl w:ilvl="7">
      <w:start w:val="1"/>
      <w:numFmt w:val="bullet"/>
      <w:lvlText w:val=""/>
      <w:lvlJc w:val="left"/>
      <w:pPr>
        <w:tabs>
          <w:tab w:val="num" w:pos="6120"/>
        </w:tabs>
        <w:ind w:left="6120" w:hanging="360"/>
      </w:pPr>
      <w:rPr>
        <w:rFonts w:ascii="Georgia" w:hAnsi="Georgia"/>
      </w:rPr>
    </w:lvl>
    <w:lvl w:ilvl="8">
      <w:start w:val="1"/>
      <w:numFmt w:val="bullet"/>
      <w:lvlText w:val=""/>
      <w:lvlJc w:val="left"/>
      <w:pPr>
        <w:tabs>
          <w:tab w:val="num" w:pos="6840"/>
        </w:tabs>
        <w:ind w:left="6840" w:hanging="360"/>
      </w:pPr>
      <w:rPr>
        <w:rFonts w:ascii="Georgia" w:hAnsi="Georgia"/>
      </w:rPr>
    </w:lvl>
  </w:abstractNum>
  <w:abstractNum w:abstractNumId="1" w15:restartNumberingAfterBreak="0">
    <w:nsid w:val="00000008"/>
    <w:multiLevelType w:val="multilevel"/>
    <w:tmpl w:val="00000008"/>
    <w:name w:val="WW8Num8"/>
    <w:lvl w:ilvl="0">
      <w:start w:val="1"/>
      <w:numFmt w:val="decimal"/>
      <w:lvlText w:val="%1."/>
      <w:lvlJc w:val="left"/>
      <w:pPr>
        <w:tabs>
          <w:tab w:val="num" w:pos="720"/>
        </w:tabs>
        <w:ind w:left="720" w:hanging="360"/>
      </w:pPr>
      <w:rPr>
        <w:rFonts w:ascii="BookAntiqua" w:hAnsi="BookAntiqua" w:cs="BookAntiqua" w:hint="default"/>
        <w:sz w:val="26"/>
        <w:szCs w:val="24"/>
      </w:rPr>
    </w:lvl>
    <w:lvl w:ilvl="1">
      <w:start w:val="1"/>
      <w:numFmt w:val="decimal"/>
      <w:lvlText w:val="%2."/>
      <w:lvlJc w:val="left"/>
      <w:pPr>
        <w:tabs>
          <w:tab w:val="num" w:pos="1440"/>
        </w:tabs>
        <w:ind w:left="1440" w:hanging="360"/>
      </w:pPr>
      <w:rPr>
        <w:rFonts w:ascii="BookAntiqua" w:hAnsi="BookAntiqua" w:cs="Arial" w:hint="default"/>
      </w:rPr>
    </w:lvl>
    <w:lvl w:ilvl="2">
      <w:start w:val="1"/>
      <w:numFmt w:val="decimal"/>
      <w:lvlText w:val="%3."/>
      <w:lvlJc w:val="left"/>
      <w:pPr>
        <w:tabs>
          <w:tab w:val="num" w:pos="2160"/>
        </w:tabs>
        <w:ind w:left="2160" w:hanging="360"/>
      </w:pPr>
      <w:rPr>
        <w:rFonts w:ascii="Georgia" w:hAnsi="Georgia"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10"/>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0000001E"/>
    <w:multiLevelType w:val="singleLevel"/>
    <w:tmpl w:val="04090001"/>
    <w:lvl w:ilvl="0">
      <w:start w:val="1"/>
      <w:numFmt w:val="bullet"/>
      <w:lvlText w:val=""/>
      <w:lvlJc w:val="left"/>
      <w:pPr>
        <w:ind w:left="720" w:hanging="360"/>
      </w:pPr>
      <w:rPr>
        <w:rFonts w:ascii="Symbol" w:hAnsi="Symbol" w:hint="default"/>
        <w:szCs w:val="24"/>
      </w:rPr>
    </w:lvl>
  </w:abstractNum>
  <w:abstractNum w:abstractNumId="4" w15:restartNumberingAfterBreak="0">
    <w:nsid w:val="0000002E"/>
    <w:multiLevelType w:val="singleLevel"/>
    <w:tmpl w:val="04090001"/>
    <w:name w:val="WW8Num9822"/>
    <w:lvl w:ilvl="0">
      <w:start w:val="1"/>
      <w:numFmt w:val="bullet"/>
      <w:lvlText w:val=""/>
      <w:lvlJc w:val="left"/>
      <w:pPr>
        <w:ind w:left="720" w:hanging="360"/>
      </w:pPr>
      <w:rPr>
        <w:rFonts w:ascii="Symbol" w:hAnsi="Symbol" w:hint="default"/>
      </w:rPr>
    </w:lvl>
  </w:abstractNum>
  <w:abstractNum w:abstractNumId="5" w15:restartNumberingAfterBreak="0">
    <w:nsid w:val="0000002F"/>
    <w:multiLevelType w:val="singleLevel"/>
    <w:tmpl w:val="04090001"/>
    <w:lvl w:ilvl="0">
      <w:start w:val="1"/>
      <w:numFmt w:val="bullet"/>
      <w:lvlText w:val=""/>
      <w:lvlJc w:val="left"/>
      <w:pPr>
        <w:ind w:left="720" w:hanging="360"/>
      </w:pPr>
      <w:rPr>
        <w:rFonts w:ascii="Symbol" w:hAnsi="Symbol" w:hint="default"/>
        <w:color w:val="000000"/>
        <w:szCs w:val="24"/>
      </w:rPr>
    </w:lvl>
  </w:abstractNum>
  <w:abstractNum w:abstractNumId="6" w15:restartNumberingAfterBreak="0">
    <w:nsid w:val="00000032"/>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00000036"/>
    <w:multiLevelType w:val="singleLevel"/>
    <w:tmpl w:val="28B897CC"/>
    <w:lvl w:ilvl="0">
      <w:start w:val="1"/>
      <w:numFmt w:val="bullet"/>
      <w:lvlText w:val=""/>
      <w:lvlJc w:val="left"/>
      <w:pPr>
        <w:ind w:left="720" w:hanging="360"/>
      </w:pPr>
      <w:rPr>
        <w:rFonts w:ascii="Symbol" w:hAnsi="Symbol" w:cs="BookAntiqua" w:hint="default"/>
        <w:color w:val="auto"/>
        <w:szCs w:val="24"/>
      </w:rPr>
    </w:lvl>
  </w:abstractNum>
  <w:abstractNum w:abstractNumId="8" w15:restartNumberingAfterBreak="0">
    <w:nsid w:val="00486D04"/>
    <w:multiLevelType w:val="hybridMultilevel"/>
    <w:tmpl w:val="F8BE4C94"/>
    <w:lvl w:ilvl="0" w:tplc="16E4A372">
      <w:start w:val="1"/>
      <w:numFmt w:val="bullet"/>
      <w:lvlText w:val="•"/>
      <w:lvlJc w:val="left"/>
      <w:pPr>
        <w:tabs>
          <w:tab w:val="num" w:pos="720"/>
        </w:tabs>
        <w:ind w:left="720" w:hanging="360"/>
      </w:pPr>
      <w:rPr>
        <w:rFonts w:ascii="Times New Roman" w:hAnsi="Times New Roman" w:hint="default"/>
      </w:rPr>
    </w:lvl>
    <w:lvl w:ilvl="1" w:tplc="E7428AC2">
      <w:start w:val="1"/>
      <w:numFmt w:val="bullet"/>
      <w:lvlText w:val="•"/>
      <w:lvlJc w:val="left"/>
      <w:pPr>
        <w:tabs>
          <w:tab w:val="num" w:pos="1440"/>
        </w:tabs>
        <w:ind w:left="1440" w:hanging="360"/>
      </w:pPr>
      <w:rPr>
        <w:rFonts w:ascii="Times New Roman" w:hAnsi="Times New Roman" w:hint="default"/>
      </w:rPr>
    </w:lvl>
    <w:lvl w:ilvl="2" w:tplc="D5AA9CC0" w:tentative="1">
      <w:start w:val="1"/>
      <w:numFmt w:val="bullet"/>
      <w:lvlText w:val="•"/>
      <w:lvlJc w:val="left"/>
      <w:pPr>
        <w:tabs>
          <w:tab w:val="num" w:pos="2160"/>
        </w:tabs>
        <w:ind w:left="2160" w:hanging="360"/>
      </w:pPr>
      <w:rPr>
        <w:rFonts w:ascii="Times New Roman" w:hAnsi="Times New Roman" w:hint="default"/>
      </w:rPr>
    </w:lvl>
    <w:lvl w:ilvl="3" w:tplc="079AF4AC" w:tentative="1">
      <w:start w:val="1"/>
      <w:numFmt w:val="bullet"/>
      <w:lvlText w:val="•"/>
      <w:lvlJc w:val="left"/>
      <w:pPr>
        <w:tabs>
          <w:tab w:val="num" w:pos="2880"/>
        </w:tabs>
        <w:ind w:left="2880" w:hanging="360"/>
      </w:pPr>
      <w:rPr>
        <w:rFonts w:ascii="Times New Roman" w:hAnsi="Times New Roman" w:hint="default"/>
      </w:rPr>
    </w:lvl>
    <w:lvl w:ilvl="4" w:tplc="1B8C0AEA" w:tentative="1">
      <w:start w:val="1"/>
      <w:numFmt w:val="bullet"/>
      <w:lvlText w:val="•"/>
      <w:lvlJc w:val="left"/>
      <w:pPr>
        <w:tabs>
          <w:tab w:val="num" w:pos="3600"/>
        </w:tabs>
        <w:ind w:left="3600" w:hanging="360"/>
      </w:pPr>
      <w:rPr>
        <w:rFonts w:ascii="Times New Roman" w:hAnsi="Times New Roman" w:hint="default"/>
      </w:rPr>
    </w:lvl>
    <w:lvl w:ilvl="5" w:tplc="F6A484BA" w:tentative="1">
      <w:start w:val="1"/>
      <w:numFmt w:val="bullet"/>
      <w:lvlText w:val="•"/>
      <w:lvlJc w:val="left"/>
      <w:pPr>
        <w:tabs>
          <w:tab w:val="num" w:pos="4320"/>
        </w:tabs>
        <w:ind w:left="4320" w:hanging="360"/>
      </w:pPr>
      <w:rPr>
        <w:rFonts w:ascii="Times New Roman" w:hAnsi="Times New Roman" w:hint="default"/>
      </w:rPr>
    </w:lvl>
    <w:lvl w:ilvl="6" w:tplc="7A800114" w:tentative="1">
      <w:start w:val="1"/>
      <w:numFmt w:val="bullet"/>
      <w:lvlText w:val="•"/>
      <w:lvlJc w:val="left"/>
      <w:pPr>
        <w:tabs>
          <w:tab w:val="num" w:pos="5040"/>
        </w:tabs>
        <w:ind w:left="5040" w:hanging="360"/>
      </w:pPr>
      <w:rPr>
        <w:rFonts w:ascii="Times New Roman" w:hAnsi="Times New Roman" w:hint="default"/>
      </w:rPr>
    </w:lvl>
    <w:lvl w:ilvl="7" w:tplc="9B0A5B60" w:tentative="1">
      <w:start w:val="1"/>
      <w:numFmt w:val="bullet"/>
      <w:lvlText w:val="•"/>
      <w:lvlJc w:val="left"/>
      <w:pPr>
        <w:tabs>
          <w:tab w:val="num" w:pos="5760"/>
        </w:tabs>
        <w:ind w:left="5760" w:hanging="360"/>
      </w:pPr>
      <w:rPr>
        <w:rFonts w:ascii="Times New Roman" w:hAnsi="Times New Roman" w:hint="default"/>
      </w:rPr>
    </w:lvl>
    <w:lvl w:ilvl="8" w:tplc="D2DAB3D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01D57939"/>
    <w:multiLevelType w:val="hybridMultilevel"/>
    <w:tmpl w:val="A9BA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6728CC"/>
    <w:multiLevelType w:val="hybridMultilevel"/>
    <w:tmpl w:val="CAC6B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5B03E8A"/>
    <w:multiLevelType w:val="hybridMultilevel"/>
    <w:tmpl w:val="DE20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56A4B"/>
    <w:multiLevelType w:val="hybridMultilevel"/>
    <w:tmpl w:val="022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E2BBE"/>
    <w:multiLevelType w:val="multilevel"/>
    <w:tmpl w:val="AA06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CD1E31"/>
    <w:multiLevelType w:val="hybridMultilevel"/>
    <w:tmpl w:val="DBCE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55681"/>
    <w:multiLevelType w:val="hybridMultilevel"/>
    <w:tmpl w:val="3BC2E196"/>
    <w:lvl w:ilvl="0" w:tplc="04090001">
      <w:start w:val="1"/>
      <w:numFmt w:val="bullet"/>
      <w:lvlText w:val=""/>
      <w:lvlJc w:val="left"/>
      <w:pPr>
        <w:ind w:left="720" w:hanging="360"/>
      </w:pPr>
      <w:rPr>
        <w:rFonts w:ascii="Symbol" w:hAnsi="Symbol" w:hint="default"/>
      </w:rPr>
    </w:lvl>
    <w:lvl w:ilvl="1" w:tplc="E4A407C6">
      <w:numFmt w:val="bullet"/>
      <w:lvlText w:val="-"/>
      <w:lvlJc w:val="left"/>
      <w:pPr>
        <w:ind w:left="1440" w:hanging="360"/>
      </w:pPr>
      <w:rPr>
        <w:rFonts w:ascii="Times New Roman" w:eastAsia="-moz-fixed"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04BC3"/>
    <w:multiLevelType w:val="hybridMultilevel"/>
    <w:tmpl w:val="6590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93516"/>
    <w:multiLevelType w:val="hybridMultilevel"/>
    <w:tmpl w:val="76D4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F25B5D"/>
    <w:multiLevelType w:val="hybridMultilevel"/>
    <w:tmpl w:val="9E5A8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56100"/>
    <w:multiLevelType w:val="hybridMultilevel"/>
    <w:tmpl w:val="01A0B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A93BE7"/>
    <w:multiLevelType w:val="multilevel"/>
    <w:tmpl w:val="BF8E57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1870F0"/>
    <w:multiLevelType w:val="hybridMultilevel"/>
    <w:tmpl w:val="FF3A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2"/>
  </w:num>
  <w:num w:numId="4">
    <w:abstractNumId w:val="17"/>
  </w:num>
  <w:num w:numId="5">
    <w:abstractNumId w:val="19"/>
  </w:num>
  <w:num w:numId="6">
    <w:abstractNumId w:val="4"/>
  </w:num>
  <w:num w:numId="7">
    <w:abstractNumId w:val="6"/>
  </w:num>
  <w:num w:numId="8">
    <w:abstractNumId w:val="7"/>
  </w:num>
  <w:num w:numId="9">
    <w:abstractNumId w:val="15"/>
  </w:num>
  <w:num w:numId="10">
    <w:abstractNumId w:val="8"/>
  </w:num>
  <w:num w:numId="11">
    <w:abstractNumId w:val="10"/>
  </w:num>
  <w:num w:numId="12">
    <w:abstractNumId w:val="13"/>
  </w:num>
  <w:num w:numId="13">
    <w:abstractNumId w:val="0"/>
  </w:num>
  <w:num w:numId="14">
    <w:abstractNumId w:val="3"/>
  </w:num>
  <w:num w:numId="15">
    <w:abstractNumId w:val="5"/>
  </w:num>
  <w:num w:numId="16">
    <w:abstractNumId w:val="2"/>
  </w:num>
  <w:num w:numId="17">
    <w:abstractNumId w:val="18"/>
  </w:num>
  <w:num w:numId="18">
    <w:abstractNumId w:val="11"/>
  </w:num>
  <w:num w:numId="19">
    <w:abstractNumId w:val="21"/>
  </w:num>
  <w:num w:numId="20">
    <w:abstractNumId w:val="1"/>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F8"/>
    <w:rsid w:val="00045F23"/>
    <w:rsid w:val="000719FF"/>
    <w:rsid w:val="000B0908"/>
    <w:rsid w:val="000D1E7B"/>
    <w:rsid w:val="000E0AAC"/>
    <w:rsid w:val="000E4475"/>
    <w:rsid w:val="00110CE1"/>
    <w:rsid w:val="001A2A45"/>
    <w:rsid w:val="001B19BF"/>
    <w:rsid w:val="002056E5"/>
    <w:rsid w:val="002478AB"/>
    <w:rsid w:val="00264CD9"/>
    <w:rsid w:val="002702C8"/>
    <w:rsid w:val="002C46C5"/>
    <w:rsid w:val="002C57D2"/>
    <w:rsid w:val="002D5BB0"/>
    <w:rsid w:val="002E1D3B"/>
    <w:rsid w:val="00331DBE"/>
    <w:rsid w:val="00361179"/>
    <w:rsid w:val="003701B1"/>
    <w:rsid w:val="003F6777"/>
    <w:rsid w:val="003F6E73"/>
    <w:rsid w:val="004061D4"/>
    <w:rsid w:val="00425A78"/>
    <w:rsid w:val="00481D2F"/>
    <w:rsid w:val="004954B3"/>
    <w:rsid w:val="00496A6A"/>
    <w:rsid w:val="004F2F6C"/>
    <w:rsid w:val="005248BD"/>
    <w:rsid w:val="00533ACC"/>
    <w:rsid w:val="00544921"/>
    <w:rsid w:val="00584D6E"/>
    <w:rsid w:val="00586FBE"/>
    <w:rsid w:val="005C2A48"/>
    <w:rsid w:val="006042B4"/>
    <w:rsid w:val="0061341D"/>
    <w:rsid w:val="00664050"/>
    <w:rsid w:val="0066506E"/>
    <w:rsid w:val="006741A8"/>
    <w:rsid w:val="006C490A"/>
    <w:rsid w:val="006C59F8"/>
    <w:rsid w:val="006D5355"/>
    <w:rsid w:val="0071685E"/>
    <w:rsid w:val="007508D2"/>
    <w:rsid w:val="00760F16"/>
    <w:rsid w:val="007D7A14"/>
    <w:rsid w:val="008366D0"/>
    <w:rsid w:val="00861A1C"/>
    <w:rsid w:val="00863DCD"/>
    <w:rsid w:val="008E0FE3"/>
    <w:rsid w:val="00905462"/>
    <w:rsid w:val="009221DB"/>
    <w:rsid w:val="00941D73"/>
    <w:rsid w:val="00956B2E"/>
    <w:rsid w:val="00971FBE"/>
    <w:rsid w:val="0097674E"/>
    <w:rsid w:val="00A901C5"/>
    <w:rsid w:val="00AE6ACC"/>
    <w:rsid w:val="00B14D17"/>
    <w:rsid w:val="00B32F93"/>
    <w:rsid w:val="00B46AC3"/>
    <w:rsid w:val="00B864C7"/>
    <w:rsid w:val="00B9572A"/>
    <w:rsid w:val="00BB3481"/>
    <w:rsid w:val="00BC546C"/>
    <w:rsid w:val="00BC6260"/>
    <w:rsid w:val="00BD6F03"/>
    <w:rsid w:val="00BE0853"/>
    <w:rsid w:val="00BE0D21"/>
    <w:rsid w:val="00C04BD7"/>
    <w:rsid w:val="00C05723"/>
    <w:rsid w:val="00C07CD1"/>
    <w:rsid w:val="00C13CE6"/>
    <w:rsid w:val="00C15CD7"/>
    <w:rsid w:val="00C3593F"/>
    <w:rsid w:val="00C670A8"/>
    <w:rsid w:val="00C9019A"/>
    <w:rsid w:val="00C92E9F"/>
    <w:rsid w:val="00CD06F4"/>
    <w:rsid w:val="00CE0F66"/>
    <w:rsid w:val="00CF2B9C"/>
    <w:rsid w:val="00D036FE"/>
    <w:rsid w:val="00D24693"/>
    <w:rsid w:val="00D2740A"/>
    <w:rsid w:val="00D44BA7"/>
    <w:rsid w:val="00D67F12"/>
    <w:rsid w:val="00D714B6"/>
    <w:rsid w:val="00DE0836"/>
    <w:rsid w:val="00E8313D"/>
    <w:rsid w:val="00E95419"/>
    <w:rsid w:val="00EC32FB"/>
    <w:rsid w:val="00ED4070"/>
    <w:rsid w:val="00EE687D"/>
    <w:rsid w:val="00F1799C"/>
    <w:rsid w:val="00F20B42"/>
    <w:rsid w:val="00F32678"/>
    <w:rsid w:val="00F616EF"/>
    <w:rsid w:val="00F82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81347"/>
  <w15:docId w15:val="{9839FA8D-543F-4B7F-9C4B-94D665EC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ACC"/>
    <w:rPr>
      <w:rFonts w:ascii="Georgia" w:hAnsi="Georgi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rsid w:val="00586FBE"/>
    <w:pPr>
      <w:keepNext/>
      <w:keepLines/>
      <w:spacing w:before="360" w:after="120"/>
      <w:outlineLvl w:val="1"/>
    </w:pPr>
    <w:rPr>
      <w:rFonts w:ascii="Arial" w:hAnsi="Arial"/>
      <w:b/>
      <w:sz w:val="28"/>
      <w:szCs w:val="28"/>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E0F66"/>
    <w:pPr>
      <w:tabs>
        <w:tab w:val="center" w:pos="4680"/>
        <w:tab w:val="right" w:pos="9360"/>
      </w:tabs>
      <w:spacing w:line="240" w:lineRule="auto"/>
    </w:pPr>
  </w:style>
  <w:style w:type="character" w:customStyle="1" w:styleId="HeaderChar">
    <w:name w:val="Header Char"/>
    <w:basedOn w:val="DefaultParagraphFont"/>
    <w:link w:val="Header"/>
    <w:uiPriority w:val="99"/>
    <w:rsid w:val="00CE0F66"/>
  </w:style>
  <w:style w:type="paragraph" w:styleId="Footer">
    <w:name w:val="footer"/>
    <w:basedOn w:val="Normal"/>
    <w:link w:val="FooterChar"/>
    <w:uiPriority w:val="99"/>
    <w:unhideWhenUsed/>
    <w:rsid w:val="00CE0F66"/>
    <w:pPr>
      <w:tabs>
        <w:tab w:val="center" w:pos="4680"/>
        <w:tab w:val="right" w:pos="9360"/>
      </w:tabs>
      <w:spacing w:line="240" w:lineRule="auto"/>
    </w:pPr>
  </w:style>
  <w:style w:type="character" w:customStyle="1" w:styleId="FooterChar">
    <w:name w:val="Footer Char"/>
    <w:basedOn w:val="DefaultParagraphFont"/>
    <w:link w:val="Footer"/>
    <w:uiPriority w:val="99"/>
    <w:rsid w:val="00CE0F66"/>
  </w:style>
  <w:style w:type="character" w:styleId="Hyperlink">
    <w:name w:val="Hyperlink"/>
    <w:basedOn w:val="DefaultParagraphFont"/>
    <w:uiPriority w:val="99"/>
    <w:unhideWhenUsed/>
    <w:rsid w:val="00C13CE6"/>
    <w:rPr>
      <w:color w:val="0000FF" w:themeColor="hyperlink"/>
      <w:u w:val="single"/>
    </w:rPr>
  </w:style>
  <w:style w:type="character" w:customStyle="1" w:styleId="FootnoteCharacters">
    <w:name w:val="Footnote Characters"/>
    <w:rsid w:val="00C670A8"/>
    <w:rPr>
      <w:vertAlign w:val="superscript"/>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qFormat/>
    <w:rsid w:val="00C670A8"/>
    <w:pPr>
      <w:suppressAutoHyphens/>
      <w:spacing w:line="240" w:lineRule="auto"/>
    </w:pPr>
    <w:rPr>
      <w:rFonts w:eastAsia="-moz-fixed" w:cs="Courier"/>
      <w:sz w:val="20"/>
      <w:szCs w:val="20"/>
      <w:lang w:val="en-US" w:eastAsia="ar-SA"/>
    </w:rPr>
  </w:style>
  <w:style w:type="character" w:customStyle="1" w:styleId="FootnoteTextChar">
    <w:name w:val="Footnote Text Char"/>
    <w:aliases w:val="Footnote ak Char,Footnote Text Char Char Char Char Char,FA Char,FA Fußnotentext Char,Footnote Text Char Char Char1,Footnote Text Char Char Char Char Char Char Char,Footnote Text Char Char Char Char1,Footnote Text Char4 Char,Char Char"/>
    <w:basedOn w:val="DefaultParagraphFont"/>
    <w:link w:val="FootnoteText"/>
    <w:rsid w:val="00C670A8"/>
    <w:rPr>
      <w:rFonts w:ascii="Georgia" w:eastAsia="-moz-fixed" w:hAnsi="Georgia" w:cs="Courier"/>
      <w:sz w:val="20"/>
      <w:szCs w:val="20"/>
      <w:lang w:val="en-US" w:eastAsia="ar-SA"/>
    </w:rPr>
  </w:style>
  <w:style w:type="paragraph" w:customStyle="1" w:styleId="Default">
    <w:name w:val="Default"/>
    <w:rsid w:val="00B46AC3"/>
    <w:pPr>
      <w:autoSpaceDE w:val="0"/>
      <w:autoSpaceDN w:val="0"/>
      <w:adjustRightInd w:val="0"/>
      <w:spacing w:line="240" w:lineRule="auto"/>
    </w:pPr>
    <w:rPr>
      <w:rFonts w:ascii="Times New Roman" w:hAnsi="Times New Roman" w:cs="Times New Roman"/>
      <w:color w:val="000000"/>
      <w:sz w:val="24"/>
      <w:szCs w:val="24"/>
      <w:lang w:val="en-US"/>
    </w:rPr>
  </w:style>
  <w:style w:type="paragraph" w:styleId="TOCHeading">
    <w:name w:val="TOC Heading"/>
    <w:basedOn w:val="Heading1"/>
    <w:next w:val="Normal"/>
    <w:uiPriority w:val="39"/>
    <w:unhideWhenUsed/>
    <w:qFormat/>
    <w:rsid w:val="002C46C5"/>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2C46C5"/>
    <w:pPr>
      <w:spacing w:after="100"/>
      <w:ind w:left="220"/>
    </w:pPr>
  </w:style>
  <w:style w:type="paragraph" w:styleId="TOC3">
    <w:name w:val="toc 3"/>
    <w:basedOn w:val="Normal"/>
    <w:next w:val="Normal"/>
    <w:autoRedefine/>
    <w:uiPriority w:val="39"/>
    <w:unhideWhenUsed/>
    <w:rsid w:val="002C46C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doi.org/10.1016/j.agee.2025.109478" TargetMode="External"/><Relationship Id="rId21" Type="http://schemas.openxmlformats.org/officeDocument/2006/relationships/hyperlink" Target="http://onlinelibrary.wiley.com/doi/10.1890/EHS15-0001.1/epdf" TargetMode="External"/><Relationship Id="rId42" Type="http://schemas.openxmlformats.org/officeDocument/2006/relationships/hyperlink" Target="http://ecoshare.info/projects/central-cascade-adaptive-management-partnership/study-portfolio/" TargetMode="External"/><Relationship Id="rId63" Type="http://schemas.openxmlformats.org/officeDocument/2006/relationships/hyperlink" Target="https://www.fs.usda.gov/pnw/sciencef/scifi268.pdf" TargetMode="External"/><Relationship Id="rId84" Type="http://schemas.openxmlformats.org/officeDocument/2006/relationships/image" Target="media/image3.png"/><Relationship Id="rId138" Type="http://schemas.openxmlformats.org/officeDocument/2006/relationships/hyperlink" Target="https://andrewsforest.oregonstate.edu/sites/default/files/lter/pubs/pdf/pub3549.pdf" TargetMode="External"/><Relationship Id="rId159" Type="http://schemas.openxmlformats.org/officeDocument/2006/relationships/image" Target="media/image14.png"/><Relationship Id="rId170" Type="http://schemas.openxmlformats.org/officeDocument/2006/relationships/hyperlink" Target="https://osu-wams-blogs-uploads.s3.amazonaws.com/blogs.dir/2742/files/2016/09/Sovern-et-al.-2015.pdf" TargetMode="External"/><Relationship Id="rId191" Type="http://schemas.openxmlformats.org/officeDocument/2006/relationships/hyperlink" Target="https://www.dropbox.com/s/pi15rap4nvwxhtt/Heiken_Log_it_to_save_it_v.1.0.pdf?dl=0" TargetMode="External"/><Relationship Id="rId205" Type="http://schemas.openxmlformats.org/officeDocument/2006/relationships/hyperlink" Target="https://web.archive.org/web/20130404023135/http://www.fws.gov/oregonfwo/Species/Data/NorthernSpottedOwl/Recovery/Library/Documents/TWSDraftRPReview.pdf" TargetMode="External"/><Relationship Id="rId226" Type="http://schemas.openxmlformats.org/officeDocument/2006/relationships/hyperlink" Target="https://iopscience.iop.org/article/10.1088/1748-9326/ac661b/pdf" TargetMode="External"/><Relationship Id="rId247" Type="http://schemas.openxmlformats.org/officeDocument/2006/relationships/footer" Target="footer1.xml"/><Relationship Id="rId107" Type="http://schemas.openxmlformats.org/officeDocument/2006/relationships/hyperlink" Target="https://web.archive.org/web/20170221082525/http://www.blm.gov/or/districts/medford/plans/files/FranklinJohnson.pdf" TargetMode="External"/><Relationship Id="rId11" Type="http://schemas.openxmlformats.org/officeDocument/2006/relationships/image" Target="media/image1.png"/><Relationship Id="rId32" Type="http://schemas.openxmlformats.org/officeDocument/2006/relationships/hyperlink" Target="https://www.gpo.gov/fdsys/pkg/USCODE-2013-title42/html/USCODE-2013-title42-chap85-subchapIII-sec7609.htm" TargetMode="External"/><Relationship Id="rId53" Type="http://schemas.openxmlformats.org/officeDocument/2006/relationships/hyperlink" Target="https://web.archive.org/web/20160522082645/http://www.blm.gov/or/districts/salem/plans/files/TC_EA.pdf" TargetMode="External"/><Relationship Id="rId74" Type="http://schemas.openxmlformats.org/officeDocument/2006/relationships/hyperlink" Target="https://link.springer.com/article/10.1007/s10531-022-02437-2" TargetMode="External"/><Relationship Id="rId128" Type="http://schemas.openxmlformats.org/officeDocument/2006/relationships/hyperlink" Target="http://www.slideshare.net/dougoh/effects-of-logging-on-dead-wood-habitat" TargetMode="External"/><Relationship Id="rId149" Type="http://schemas.openxmlformats.org/officeDocument/2006/relationships/hyperlink" Target="https://usfs-public.app.box.com/v/PinyonPublic/file/932402012000%20p%2092" TargetMode="External"/><Relationship Id="rId5" Type="http://schemas.openxmlformats.org/officeDocument/2006/relationships/footnotes" Target="footnotes.xml"/><Relationship Id="rId95" Type="http://schemas.openxmlformats.org/officeDocument/2006/relationships/hyperlink" Target="http://www.blm.gov/or/plans/wopr/files/NOAA_comments.pdf" TargetMode="External"/><Relationship Id="rId160" Type="http://schemas.openxmlformats.org/officeDocument/2006/relationships/image" Target="media/image15.png"/><Relationship Id="rId181" Type="http://schemas.openxmlformats.org/officeDocument/2006/relationships/hyperlink" Target="https://mcusercontent.com/5f6de7b069a57255f980944b4/files/68ab7c9b-a224-e68b-a3fa-97077e22b662/19_2_01_1.pdf" TargetMode="External"/><Relationship Id="rId216" Type="http://schemas.openxmlformats.org/officeDocument/2006/relationships/hyperlink" Target="https://www.nature.com/articles/s41558-018-0097-x#Abs1" TargetMode="External"/><Relationship Id="rId237" Type="http://schemas.openxmlformats.org/officeDocument/2006/relationships/hyperlink" Target="http://fes.forestry.oregonstate.edu/sites/fes.forestry.oregonstate.edu/files/PDFs/Campbell_2013_JEM.pdf" TargetMode="External"/><Relationship Id="rId22" Type="http://schemas.openxmlformats.org/officeDocument/2006/relationships/hyperlink" Target="http://dx.doi.org/10.5751/ES-08587-210331" TargetMode="External"/><Relationship Id="rId43" Type="http://schemas.openxmlformats.org/officeDocument/2006/relationships/hyperlink" Target="http://ecoshare.info/wp-content/uploads/2012/08/Commercial-thinning_flying-squirrels.ppt" TargetMode="External"/><Relationship Id="rId64" Type="http://schemas.openxmlformats.org/officeDocument/2006/relationships/hyperlink" Target="https://www.sciencedirect.com/science/article/abs/pii/S0168192322004543" TargetMode="External"/><Relationship Id="rId118" Type="http://schemas.openxmlformats.org/officeDocument/2006/relationships/hyperlink" Target="https://www.fs.usda.gov/project/wallowa-whitman/?project=34482" TargetMode="External"/><Relationship Id="rId139" Type="http://schemas.openxmlformats.org/officeDocument/2006/relationships/hyperlink" Target="https://doi.org/10.1016/j.foreco.2023.121651" TargetMode="External"/><Relationship Id="rId85" Type="http://schemas.openxmlformats.org/officeDocument/2006/relationships/hyperlink" Target="http://www.blm.gov/or/plans/rmpswesternoregon/plandocs.php" TargetMode="External"/><Relationship Id="rId150" Type="http://schemas.openxmlformats.org/officeDocument/2006/relationships/image" Target="media/image10.jpeg"/><Relationship Id="rId171" Type="http://schemas.openxmlformats.org/officeDocument/2006/relationships/hyperlink" Target="http://web.archive.org/web/20120423191509/http://www.sei.org/owl/finalreport/Chapter5HabitatAssociations.pdf" TargetMode="External"/><Relationship Id="rId192" Type="http://schemas.openxmlformats.org/officeDocument/2006/relationships/hyperlink" Target="https://www.fs.usda.gov/pnw/pubs/journals/pnw_2016_moriarty001.pdf" TargetMode="External"/><Relationship Id="rId206" Type="http://schemas.openxmlformats.org/officeDocument/2006/relationships/hyperlink" Target="https://web.archive.org/web/20150529205509/https://www.firescience.gov/projects/09-1-08-31/project/09-1-08-31_final_report.pdf" TargetMode="External"/><Relationship Id="rId227" Type="http://schemas.openxmlformats.org/officeDocument/2006/relationships/hyperlink" Target="https://theforestreport.org/wp-content/uploads/2019/07/OFRI-2019-Forest-Sector-Economic-Report-Web.pdf" TargetMode="External"/><Relationship Id="rId248" Type="http://schemas.openxmlformats.org/officeDocument/2006/relationships/header" Target="header2.xml"/><Relationship Id="rId12" Type="http://schemas.openxmlformats.org/officeDocument/2006/relationships/hyperlink" Target="https://www.energy.gov/sites/prod/files/NEPA-40CFR1500_1508.pdf" TargetMode="External"/><Relationship Id="rId17" Type="http://schemas.openxmlformats.org/officeDocument/2006/relationships/hyperlink" Target="http://www.fs.fed.us/pnw/pubs/journals/pnw_2006_spies001.pdf" TargetMode="External"/><Relationship Id="rId33" Type="http://schemas.openxmlformats.org/officeDocument/2006/relationships/hyperlink" Target="https://ceq.doe.gov/laws-regulations/fra.html" TargetMode="External"/><Relationship Id="rId38" Type="http://schemas.openxmlformats.org/officeDocument/2006/relationships/hyperlink" Target="https://www.fs.usda.gov/pnw/sciencef/scifi85.pdf" TargetMode="External"/><Relationship Id="rId59" Type="http://schemas.openxmlformats.org/officeDocument/2006/relationships/hyperlink" Target="https://usfs-public.app.box.com/v/PinyonPublic/file/1483599380416" TargetMode="External"/><Relationship Id="rId103" Type="http://schemas.openxmlformats.org/officeDocument/2006/relationships/hyperlink" Target="https://web.archive.org/web/20220120055722/http://www.mediate.com/DSConsulting/docs/FINAL%20wood%20recruitment%20document.pdf" TargetMode="External"/><Relationship Id="rId108" Type="http://schemas.openxmlformats.org/officeDocument/2006/relationships/hyperlink" Target="https://www.fs.usda.gov/pnw/pubs/pnw_gtr966_chapter3.pdf" TargetMode="External"/><Relationship Id="rId124" Type="http://schemas.openxmlformats.org/officeDocument/2006/relationships/hyperlink" Target="http://andrewsforest.oregonstate.edu/pubs/pdf/pub120.pdf" TargetMode="External"/><Relationship Id="rId129" Type="http://schemas.openxmlformats.org/officeDocument/2006/relationships/hyperlink" Target="http://a123.g.akamai.net/7/123/11558/abc123/forestservic.download.akamai.com/11558/www/nepa/94141_FSPLT3_1451590.pdf" TargetMode="External"/><Relationship Id="rId54" Type="http://schemas.openxmlformats.org/officeDocument/2006/relationships/hyperlink" Target="https://doi.org/10.1016/j.biocon.2022.109678" TargetMode="External"/><Relationship Id="rId70" Type="http://schemas.openxmlformats.org/officeDocument/2006/relationships/hyperlink" Target="https://fwcs.oregonstate.edu/users/ivan-arismendi" TargetMode="External"/><Relationship Id="rId75" Type="http://schemas.openxmlformats.org/officeDocument/2006/relationships/hyperlink" Target="https://hdl.handle.net/1794/7225" TargetMode="External"/><Relationship Id="rId91" Type="http://schemas.openxmlformats.org/officeDocument/2006/relationships/hyperlink" Target="https://www.blm.gov/or/districts/medford/forestrypilot/files/kswildetal-attach4.pdf" TargetMode="External"/><Relationship Id="rId96" Type="http://schemas.openxmlformats.org/officeDocument/2006/relationships/hyperlink" Target="http://www.crab.wa.gov/LibraryData/RESEARCH_and_REFERENCE_MATERIAL/Environmental/020923StreamRestoreTechPNW.pdf" TargetMode="External"/><Relationship Id="rId140" Type="http://schemas.openxmlformats.org/officeDocument/2006/relationships/hyperlink" Target="http://web.archive.org/web/20090116060045/http://www.fs.fed.us/r6/mthood/projects/cloak-thinning/CloakEA.pdf" TargetMode="External"/><Relationship Id="rId145" Type="http://schemas.openxmlformats.org/officeDocument/2006/relationships/hyperlink" Target="https://usfs-public.app.box.com/v/PinyonPublic/folder/158152590920" TargetMode="External"/><Relationship Id="rId161" Type="http://schemas.openxmlformats.org/officeDocument/2006/relationships/image" Target="media/image15.emf"/><Relationship Id="rId166" Type="http://schemas.openxmlformats.org/officeDocument/2006/relationships/hyperlink" Target="https://woodlandfishandwildlife.com/wp-content/uploads/2023/05/WFW-2023-Habitat-Piles-final_reduced.pdf" TargetMode="External"/><Relationship Id="rId182" Type="http://schemas.openxmlformats.org/officeDocument/2006/relationships/hyperlink" Target="http://pubs.usgs.gov/sir/2006/5185/pdf/sir_2006-5185.pdf" TargetMode="External"/><Relationship Id="rId187" Type="http://schemas.openxmlformats.org/officeDocument/2006/relationships/hyperlink" Target="https://en.wikipedia.org/wiki/Base_rate_fallacy" TargetMode="External"/><Relationship Id="rId217" Type="http://schemas.openxmlformats.org/officeDocument/2006/relationships/hyperlink" Target="https://www.chathamhouse.org/sites/files/chathamhouse/publications/research/2017-02-23-woody-biomass-global-climate-brack-embargoed.pdf"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7.png"/><Relationship Id="rId233" Type="http://schemas.openxmlformats.org/officeDocument/2006/relationships/hyperlink" Target="https://web.archive.org/web/20210501190104/https://naturalresources.house.gov/imo/media/doc/Law,%20Beverly%20-%20Testimony%20-%20NPFPL%20Ov%20Hrg%2004.29.21.pdf" TargetMode="External"/><Relationship Id="rId238" Type="http://schemas.openxmlformats.org/officeDocument/2006/relationships/image" Target="media/image21.png"/><Relationship Id="rId23" Type="http://schemas.openxmlformats.org/officeDocument/2006/relationships/hyperlink" Target="https://www.ecologyandsociety.org/vol21/iss3/art31/ES-2016-8587.pdf" TargetMode="External"/><Relationship Id="rId28" Type="http://schemas.openxmlformats.org/officeDocument/2006/relationships/hyperlink" Target="https://www.sciencedirect.com/science/article/pii/S0959378014001320" TargetMode="External"/><Relationship Id="rId49" Type="http://schemas.openxmlformats.org/officeDocument/2006/relationships/hyperlink" Target="http://calendar.oregonstate.edu/event/49175/" TargetMode="External"/><Relationship Id="rId114" Type="http://schemas.openxmlformats.org/officeDocument/2006/relationships/hyperlink" Target="http://faculty.washington.edu/chalpern/Lutz_2005.pdf" TargetMode="External"/><Relationship Id="rId119" Type="http://schemas.openxmlformats.org/officeDocument/2006/relationships/hyperlink" Target="https://usfs-public.app.box.com/v/PinyonPublic/file/932429887055" TargetMode="External"/><Relationship Id="rId44" Type="http://schemas.openxmlformats.org/officeDocument/2006/relationships/hyperlink" Target="http://ecoshare.info/projects/central-cascade-adaptive-management-partnership/workshops/spotted-owl/" TargetMode="External"/><Relationship Id="rId60" Type="http://schemas.openxmlformats.org/officeDocument/2006/relationships/hyperlink" Target="http://ecoshare.info/wp-content/uploads/2012/08/Ecology-of-and-Habitat-Management-for-the-Dusky-Footed-woodrat.ppt" TargetMode="External"/><Relationship Id="rId65" Type="http://schemas.openxmlformats.org/officeDocument/2006/relationships/hyperlink" Target="https://www.fs.usda.gov/pnw/sciencef/scifi268.pdf" TargetMode="External"/><Relationship Id="rId81" Type="http://schemas.openxmlformats.org/officeDocument/2006/relationships/image" Target="media/image2.png"/><Relationship Id="rId86" Type="http://schemas.openxmlformats.org/officeDocument/2006/relationships/hyperlink" Target="https://today.oregonstate.edu/news/easy-prey-largest-bears-world-use-small-streams-fatten-salmon" TargetMode="External"/><Relationship Id="rId130" Type="http://schemas.openxmlformats.org/officeDocument/2006/relationships/hyperlink" Target="http://web.archive.org/web/20060520051245/http://wwwnotes.fs.fed.us:81/pnw/DecAID/DecAID.nsf/HomePageLinks/863EEA66F39752C088256C02007DF2C0?OpenDocument" TargetMode="External"/><Relationship Id="rId135" Type="http://schemas.openxmlformats.org/officeDocument/2006/relationships/hyperlink" Target="https://www.fs.usda.gov/project/?project=58050" TargetMode="External"/><Relationship Id="rId151" Type="http://schemas.openxmlformats.org/officeDocument/2006/relationships/image" Target="media/image11.emf"/><Relationship Id="rId156" Type="http://schemas.openxmlformats.org/officeDocument/2006/relationships/hyperlink" Target="http://a123.g.akamai.net/7/123/11558/abc123/forestservic.download.akamai.com/11558/www/nepa/59334_FSPLT1_026735.pdf" TargetMode="External"/><Relationship Id="rId177" Type="http://schemas.openxmlformats.org/officeDocument/2006/relationships/hyperlink" Target="https://drive.google.com/open?id=1AEA3PTs31Sv_-RZZnMsduhHCb1hniZ_e" TargetMode="External"/><Relationship Id="rId198" Type="http://schemas.openxmlformats.org/officeDocument/2006/relationships/hyperlink" Target="http://dx.doi.org/10.1016/B978-0-12-409548-9.10014-4" TargetMode="External"/><Relationship Id="rId172" Type="http://schemas.openxmlformats.org/officeDocument/2006/relationships/hyperlink" Target="http://www.fsl.orst.edu/cfer/pdfs/CFERFS05.pdf" TargetMode="External"/><Relationship Id="rId193" Type="http://schemas.openxmlformats.org/officeDocument/2006/relationships/hyperlink" Target="https://ir.library.oregonstate.edu/xmlui/bitstream/handle/1957/54574/141203_Moriarty_OSU_Dissertation_FINAL.pdf" TargetMode="External"/><Relationship Id="rId202" Type="http://schemas.openxmlformats.org/officeDocument/2006/relationships/hyperlink" Target="https://fireecology.springeropen.com/counter/pdf/10.1186/s42408-021-00118-z.pdf" TargetMode="External"/><Relationship Id="rId207" Type="http://schemas.openxmlformats.org/officeDocument/2006/relationships/hyperlink" Target="http://www.gpo.gov/fdsys/pkg/FR-2012-03-08/pdf/2012-5042.pdf" TargetMode="External"/><Relationship Id="rId223" Type="http://schemas.openxmlformats.org/officeDocument/2006/relationships/hyperlink" Target="https://files.wri.org/d8/s3fs-public/2023-07/the-global-land-squeeze-report.pdf" TargetMode="External"/><Relationship Id="rId228" Type="http://schemas.openxmlformats.org/officeDocument/2006/relationships/image" Target="media/image20.jpeg"/><Relationship Id="rId244" Type="http://schemas.openxmlformats.org/officeDocument/2006/relationships/image" Target="media/image23.jpeg"/><Relationship Id="rId249" Type="http://schemas.openxmlformats.org/officeDocument/2006/relationships/footer" Target="footer2.xml"/><Relationship Id="rId13" Type="http://schemas.openxmlformats.org/officeDocument/2006/relationships/hyperlink" Target="http://www.fs.fed.us/pnw/pubs/pnw_gtr865.pdf" TargetMode="External"/><Relationship Id="rId18" Type="http://schemas.openxmlformats.org/officeDocument/2006/relationships/hyperlink" Target="http://dx.doi.org/10.5751/ES-06917-200117" TargetMode="External"/><Relationship Id="rId39" Type="http://schemas.openxmlformats.org/officeDocument/2006/relationships/hyperlink" Target="http://web.archive.org/web/20081018102407/http://www.ca9.uscourts.gov/ca9/newopinions.nsf/BBADBE769F43A66D88257449005521AE/$file/0716892.pdf" TargetMode="External"/><Relationship Id="rId109" Type="http://schemas.openxmlformats.org/officeDocument/2006/relationships/hyperlink" Target="http://www.ruraltech.org/pubs/working/ncssf/tech_a/tech_report_a.pdf" TargetMode="External"/><Relationship Id="rId34" Type="http://schemas.openxmlformats.org/officeDocument/2006/relationships/hyperlink" Target="https://www.ecfr.gov/current/title-36/chapter-II/part-220/section-220.6" TargetMode="External"/><Relationship Id="rId50" Type="http://schemas.openxmlformats.org/officeDocument/2006/relationships/hyperlink" Target="http://andrewsforest.oregonstate.edu/pubs/pdf/pub4617.pdf" TargetMode="External"/><Relationship Id="rId55" Type="http://schemas.openxmlformats.org/officeDocument/2006/relationships/hyperlink" Target="https://www.biorxiv.org/content/biorxiv/early/2022/04/20/2022.04.19.488820.full.pdf" TargetMode="External"/><Relationship Id="rId76" Type="http://schemas.openxmlformats.org/officeDocument/2006/relationships/hyperlink" Target="http://www.reo.gov/library/policy/REO-694_comm_thin_criteria.doc" TargetMode="External"/><Relationship Id="rId97" Type="http://schemas.openxmlformats.org/officeDocument/2006/relationships/image" Target="media/image4.emf"/><Relationship Id="rId104" Type="http://schemas.openxmlformats.org/officeDocument/2006/relationships/hyperlink" Target="https://web.archive.org/web/20150203193501/http://coastrange.org/documents/ACS-Finalreport-44pp-0808.pdf" TargetMode="External"/><Relationship Id="rId120" Type="http://schemas.openxmlformats.org/officeDocument/2006/relationships/hyperlink" Target="https://www.fs.usda.gov/pnw/pubs/pnw_gtr880/pnw_gtr880_001.pdf" TargetMode="External"/><Relationship Id="rId125" Type="http://schemas.openxmlformats.org/officeDocument/2006/relationships/hyperlink" Target="https://research.fs.usda.gov/treesearch/5630" TargetMode="External"/><Relationship Id="rId141" Type="http://schemas.openxmlformats.org/officeDocument/2006/relationships/hyperlink" Target="http://www.reo.gov/library/policy/REO-694_comm_thin_criteria.doc" TargetMode="External"/><Relationship Id="rId146" Type="http://schemas.openxmlformats.org/officeDocument/2006/relationships/image" Target="media/image9.emf"/><Relationship Id="rId167" Type="http://schemas.openxmlformats.org/officeDocument/2006/relationships/hyperlink" Target="https://www.fs.usda.gov/research/rmrs/understory/making-biochar-hand-built-piles" TargetMode="External"/><Relationship Id="rId188" Type="http://schemas.openxmlformats.org/officeDocument/2006/relationships/hyperlink" Target="https://youtu.be/BrK7X_XlGB8" TargetMode="External"/><Relationship Id="rId7" Type="http://schemas.openxmlformats.org/officeDocument/2006/relationships/hyperlink" Target="https://cara.fs2c.usda.gov/Public//CommentInput?Project=63148" TargetMode="External"/><Relationship Id="rId71" Type="http://schemas.openxmlformats.org/officeDocument/2006/relationships/hyperlink" Target="https://www.springer.com/journal/10531?gclid=Cj0KCQjwhqaVBhCxARIsAHK1tiNwpoLOgeGKULrNVOsA_KsgM340-jigtBuy21lXvzN94Exosq40JCoaAjbfEALw_wcB" TargetMode="External"/><Relationship Id="rId92" Type="http://schemas.openxmlformats.org/officeDocument/2006/relationships/hyperlink" Target="http://www.fs.usda.gov/pnw/pubs/pnw_rp578.pdf" TargetMode="External"/><Relationship Id="rId162" Type="http://schemas.openxmlformats.org/officeDocument/2006/relationships/hyperlink" Target="http://ecoshare.info/projects/central-cascade-adaptive-management-partnership/synthesis-papers-tools/" TargetMode="External"/><Relationship Id="rId183" Type="http://schemas.openxmlformats.org/officeDocument/2006/relationships/hyperlink" Target="https://esajournals.onlinelibrary.wiley.com/doi/pdf/10.1002/fee.2045" TargetMode="External"/><Relationship Id="rId213" Type="http://schemas.openxmlformats.org/officeDocument/2006/relationships/image" Target="media/image18.png"/><Relationship Id="rId218" Type="http://schemas.openxmlformats.org/officeDocument/2006/relationships/hyperlink" Target="https://96a.96e.myftpupload.com/wp-content/uploads/2020/05/200TopClimateScientistCongressProtectForestsForClimateChange13May20.pdf" TargetMode="External"/><Relationship Id="rId234" Type="http://schemas.openxmlformats.org/officeDocument/2006/relationships/hyperlink" Target="https://www.fs.usda.gov/pnw/pubs/pnw_gtr966.pdf" TargetMode="External"/><Relationship Id="rId239" Type="http://schemas.openxmlformats.org/officeDocument/2006/relationships/image" Target="https://lh5.googleusercontent.com/OTzRBt0tDYRyyOhse_tZpJsC3KGjbT7--PRnRPEtWwF6Y97zGEdCBTmPRWxDOMF47pcasQWvyd-rjnLFIRreHUEMw9VU7As5EQZQWBoUtjPsXje7yQ_-9N_HoOuSY2JUyQ8OhdOz" TargetMode="External"/><Relationship Id="rId2" Type="http://schemas.openxmlformats.org/officeDocument/2006/relationships/styles" Target="styles.xml"/><Relationship Id="rId29" Type="http://schemas.openxmlformats.org/officeDocument/2006/relationships/hyperlink" Target="https://nicholasinstitute.duke.edu/sites/default/files/publications/es_best_practices_fullpdf_0.pdf" TargetMode="External"/><Relationship Id="rId250" Type="http://schemas.openxmlformats.org/officeDocument/2006/relationships/fontTable" Target="fontTable.xml"/><Relationship Id="rId24" Type="http://schemas.openxmlformats.org/officeDocument/2006/relationships/hyperlink" Target="https://doi.org/10.1007/s11442-016-1309-9" TargetMode="External"/><Relationship Id="rId40" Type="http://schemas.openxmlformats.org/officeDocument/2006/relationships/hyperlink" Target="https://mason.gmu.edu/~jkozlows/nepants.htm" TargetMode="External"/><Relationship Id="rId45" Type="http://schemas.openxmlformats.org/officeDocument/2006/relationships/hyperlink" Target="https://andrewsforest.oregonstate.edu/sites/default/files/lter/pubs/pdf/pub4783.pdf" TargetMode="External"/><Relationship Id="rId66" Type="http://schemas.openxmlformats.org/officeDocument/2006/relationships/hyperlink" Target="http://troutunlimitedblog.com/large-woody-debris-makes-for-fishy-rivers/" TargetMode="External"/><Relationship Id="rId87" Type="http://schemas.openxmlformats.org/officeDocument/2006/relationships/hyperlink" Target="https://doi.org/10.1111/conl.12689" TargetMode="External"/><Relationship Id="rId110" Type="http://schemas.openxmlformats.org/officeDocument/2006/relationships/hyperlink" Target="http://fresc.usgs.gov/products/papers/1445_Poage.pdf" TargetMode="External"/><Relationship Id="rId115" Type="http://schemas.openxmlformats.org/officeDocument/2006/relationships/hyperlink" Target="http://cfr501.jamesalutz.com/Lutz_Halpern_Mortality_EM_2006.pdf" TargetMode="External"/><Relationship Id="rId131" Type="http://schemas.openxmlformats.org/officeDocument/2006/relationships/image" Target="media/image7.png"/><Relationship Id="rId136" Type="http://schemas.openxmlformats.org/officeDocument/2006/relationships/hyperlink" Target="https://web.archive.org/web/20220120055722/http://www.mediate.com/DSConsulting/docs/FINAL%20wood%20recruitment%20document.pdf" TargetMode="External"/><Relationship Id="rId157" Type="http://schemas.openxmlformats.org/officeDocument/2006/relationships/hyperlink" Target="http://www.blm.gov/or/districts/roseburg/plans/files/ThirdElkEA.pdf" TargetMode="External"/><Relationship Id="rId178" Type="http://schemas.openxmlformats.org/officeDocument/2006/relationships/hyperlink" Target="https://doi.org/10.1002/fee.2045" TargetMode="External"/><Relationship Id="rId61" Type="http://schemas.openxmlformats.org/officeDocument/2006/relationships/hyperlink" Target="https://web.archive.org/web/20220120055722/http://www.mediate.com/DSConsulting/docs/FINAL%20wood%20recruitment%20document.pdf" TargetMode="External"/><Relationship Id="rId82" Type="http://schemas.openxmlformats.org/officeDocument/2006/relationships/hyperlink" Target="https://www.americanrivers.org/wp-content/uploads/2016/05/WhereRiversAreBorn_report.pdf" TargetMode="External"/><Relationship Id="rId152" Type="http://schemas.openxmlformats.org/officeDocument/2006/relationships/hyperlink" Target="http://www.blm.gov/or/districts/eugene/plans/files/EA-2011Thinning.pdf" TargetMode="External"/><Relationship Id="rId173" Type="http://schemas.openxmlformats.org/officeDocument/2006/relationships/hyperlink" Target="https://andrewsforest.oregonstate.edu/sites/default/files/lter/pubs/pdf/pub3549.pdf" TargetMode="External"/><Relationship Id="rId194" Type="http://schemas.openxmlformats.org/officeDocument/2006/relationships/hyperlink" Target="https://www.fs.usda.gov/pnw/sciencef/scifi192.pdf" TargetMode="External"/><Relationship Id="rId199" Type="http://schemas.openxmlformats.org/officeDocument/2006/relationships/hyperlink" Target="https://doi.org/10.1016/j.foreco.2020.118511" TargetMode="External"/><Relationship Id="rId203" Type="http://schemas.openxmlformats.org/officeDocument/2006/relationships/hyperlink" Target="http://www.fs.usda.gov/pnw/pubs/pnw_gtr915.pdf" TargetMode="External"/><Relationship Id="rId208" Type="http://schemas.openxmlformats.org/officeDocument/2006/relationships/hyperlink" Target="http://www.eenews.net/assets/2012/04/02/document_gw_01.pdf" TargetMode="External"/><Relationship Id="rId229" Type="http://schemas.openxmlformats.org/officeDocument/2006/relationships/hyperlink" Target="https://archives.corvallisoregon.gov/public/ElectronicFile.aspx?dbid=0&amp;docid=4256162" TargetMode="External"/><Relationship Id="rId19" Type="http://schemas.openxmlformats.org/officeDocument/2006/relationships/hyperlink" Target="http://www.ecologyandsociety.org/vol20/iss1/art17/" TargetMode="External"/><Relationship Id="rId224" Type="http://schemas.openxmlformats.org/officeDocument/2006/relationships/hyperlink" Target="https://doi.org/10.1038/s41586-023-06187-1" TargetMode="External"/><Relationship Id="rId240" Type="http://schemas.openxmlformats.org/officeDocument/2006/relationships/hyperlink" Target="https://static1.squarespace.com/static/545a90ede4b026480c02c5c7/t/5527ebd9e4b0f620d0cb5b58/1428679641640/CFSC_Chiono_Carbon_and_Fuel_Mngmt.pdf" TargetMode="External"/><Relationship Id="rId245" Type="http://schemas.openxmlformats.org/officeDocument/2006/relationships/hyperlink" Target="mailto:nick@cascwild.org" TargetMode="External"/><Relationship Id="rId14" Type="http://schemas.openxmlformats.org/officeDocument/2006/relationships/hyperlink" Target="http://oregon-stream-protection-coalition.com/wp-content/uploads/2014/07/Pollock-and-Beechie.-2014.-Riparian-thinning-and-biodiversity.pdf" TargetMode="External"/><Relationship Id="rId30" Type="http://schemas.openxmlformats.org/officeDocument/2006/relationships/hyperlink" Target="https://nespguidebook.com/" TargetMode="External"/><Relationship Id="rId35" Type="http://schemas.openxmlformats.org/officeDocument/2006/relationships/hyperlink" Target="https://www.fs.usda.gov/about-agency/regulations-policies/manual/1950-environmental-policy-and-procedures" TargetMode="External"/><Relationship Id="rId56" Type="http://schemas.openxmlformats.org/officeDocument/2006/relationships/hyperlink" Target="http://www.blm.gov/or/districts/roseburg/plans/files/ThirdElkEA.pdf" TargetMode="External"/><Relationship Id="rId77" Type="http://schemas.openxmlformats.org/officeDocument/2006/relationships/hyperlink" Target="http://dx.doi.org/10.1577/M05-024.1" TargetMode="External"/><Relationship Id="rId100" Type="http://schemas.openxmlformats.org/officeDocument/2006/relationships/hyperlink" Target="http://www.fs.fed.us/pnw/sciencef/scifi120.pdf" TargetMode="External"/><Relationship Id="rId105" Type="http://schemas.openxmlformats.org/officeDocument/2006/relationships/hyperlink" Target="http://web.archive.org/web/20030427160424/http://www.fs.fed.us/pnw/olympia/efb/flash/thinking_&amp;_thinning_ecologically.swf" TargetMode="External"/><Relationship Id="rId126" Type="http://schemas.openxmlformats.org/officeDocument/2006/relationships/hyperlink" Target="http://www.fsl.orst.edu/Oldgrowthworkshop/statements/Tappeiner.pdf" TargetMode="External"/><Relationship Id="rId147" Type="http://schemas.openxmlformats.org/officeDocument/2006/relationships/hyperlink" Target="https://usfs-public.app.box.com/v/PinyonPublic/folder/158152590920" TargetMode="External"/><Relationship Id="rId168" Type="http://schemas.openxmlformats.org/officeDocument/2006/relationships/hyperlink" Target="http://andrewsforest.oregonstate.edu/pubs/pdf/pub2722.pdf" TargetMode="External"/><Relationship Id="rId8" Type="http://schemas.openxmlformats.org/officeDocument/2006/relationships/hyperlink" Target="https://www.fs.usda.gov/project/willamette/?project=63148" TargetMode="External"/><Relationship Id="rId51" Type="http://schemas.openxmlformats.org/officeDocument/2006/relationships/hyperlink" Target="https://andrewsforest.oregonstate.edu/sites/default/files/lter/pubs/pdf/pub4783.pdf" TargetMode="External"/><Relationship Id="rId72" Type="http://schemas.openxmlformats.org/officeDocument/2006/relationships/hyperlink" Target="https://ktvz.com/news/environment/2022/06/21/osu-research-looks-at-importance-of-large-wood-in-streams-for-land-based-animals/" TargetMode="External"/><Relationship Id="rId93" Type="http://schemas.openxmlformats.org/officeDocument/2006/relationships/hyperlink" Target="http://www.blm.gov/or/plans/wopr/pub_comments/paper_documents/Paper_1764-1924/WOPR_PAPER_01921.10001.pdf" TargetMode="External"/><Relationship Id="rId98" Type="http://schemas.openxmlformats.org/officeDocument/2006/relationships/image" Target="media/image5.emf"/><Relationship Id="rId121" Type="http://schemas.openxmlformats.org/officeDocument/2006/relationships/hyperlink" Target="https://web.archive.org/web/20170524155257/https://www.fs.fed.us/pnw/pubs/pnw_gtr880.pdf" TargetMode="External"/><Relationship Id="rId142" Type="http://schemas.openxmlformats.org/officeDocument/2006/relationships/hyperlink" Target="http://ecoshare.info/projects/central-cascade-adaptive-management-partnership/synthesis-papers-tools/" TargetMode="External"/><Relationship Id="rId163" Type="http://schemas.openxmlformats.org/officeDocument/2006/relationships/hyperlink" Target="https://academic.oup.com/wjaf/article-abstract/20/1/13/4717986" TargetMode="External"/><Relationship Id="rId184" Type="http://schemas.openxmlformats.org/officeDocument/2006/relationships/hyperlink" Target="https://mcusercontent.com/5f6de7b069a57255f980944b4/files/68ab7c9b-a224-e68b-a3fa-97077e22b662/19_2_01_1.pdf" TargetMode="External"/><Relationship Id="rId189" Type="http://schemas.openxmlformats.org/officeDocument/2006/relationships/hyperlink" Target="https://web.archive.org/web/20111024074629/http://www.fs.fed.us/pnw/pubs/journals/pnw_2009_mitchell001.pdf" TargetMode="External"/><Relationship Id="rId219" Type="http://schemas.openxmlformats.org/officeDocument/2006/relationships/hyperlink" Target="https://doi.org/10.3389/ffgc.2023.1297301" TargetMode="External"/><Relationship Id="rId3" Type="http://schemas.openxmlformats.org/officeDocument/2006/relationships/settings" Target="settings.xml"/><Relationship Id="rId214" Type="http://schemas.openxmlformats.org/officeDocument/2006/relationships/hyperlink" Target="https://web.archive.org/web/20110420145203/http://www.nxtbook.com:80/nxtbooks/saf/forestrysource_201011/index.php" TargetMode="External"/><Relationship Id="rId230" Type="http://schemas.openxmlformats.org/officeDocument/2006/relationships/hyperlink" Target="https://web.archive.org/web/20210501190104/https://naturalresources.house.gov/imo/media/doc/Law,%20Beverly%20-%20Testimony%20-%20NPFPL%20Ov%20Hrg%2004.29.21.pdf" TargetMode="External"/><Relationship Id="rId235" Type="http://schemas.openxmlformats.org/officeDocument/2006/relationships/hyperlink" Target="http://www.carbonbrief.org/in-depth-experts-assess-the-feasibility-of-negative-emissions#bailey" TargetMode="External"/><Relationship Id="rId251" Type="http://schemas.openxmlformats.org/officeDocument/2006/relationships/theme" Target="theme/theme1.xml"/><Relationship Id="rId25" Type="http://schemas.openxmlformats.org/officeDocument/2006/relationships/hyperlink" Target="https://doi.org/10.1371/journal.pone.0130004" TargetMode="External"/><Relationship Id="rId46" Type="http://schemas.openxmlformats.org/officeDocument/2006/relationships/hyperlink" Target="https://www.fs.usda.gov/pnw/pubs/pnw_gtr880/pnw_gtr880_009.pdf" TargetMode="External"/><Relationship Id="rId67" Type="http://schemas.openxmlformats.org/officeDocument/2006/relationships/hyperlink" Target="http://www.sciencedaily.com/releases/2013/02/130211135045.htm" TargetMode="External"/><Relationship Id="rId116" Type="http://schemas.openxmlformats.org/officeDocument/2006/relationships/hyperlink" Target="http://www.fs.fed.us/pnw/pubs/journals/pnw_1999_carey003.pdf." TargetMode="External"/><Relationship Id="rId137" Type="http://schemas.openxmlformats.org/officeDocument/2006/relationships/hyperlink" Target="https://www.nsf.gov/discoveries/disc_summ.jsp?cntn_id=136524" TargetMode="External"/><Relationship Id="rId158" Type="http://schemas.openxmlformats.org/officeDocument/2006/relationships/hyperlink" Target="http://www.blm.gov/or/districts/salem/plans/files/sdo_080-07-16_eafonsi.pdf" TargetMode="External"/><Relationship Id="rId20" Type="http://schemas.openxmlformats.org/officeDocument/2006/relationships/hyperlink" Target="http://dx.doi.org/10.1890/EHS15-0001.1" TargetMode="External"/><Relationship Id="rId41" Type="http://schemas.openxmlformats.org/officeDocument/2006/relationships/hyperlink" Target="http://elibrary.unm.edu/sora/jrr/v038n03/p00214-p00230.pdf" TargetMode="External"/><Relationship Id="rId62" Type="http://schemas.openxmlformats.org/officeDocument/2006/relationships/hyperlink" Target="https://andrewsforest.oregonstate.edu/sites/default/files/lter/pubs/pdf/pub3549.pdf" TargetMode="External"/><Relationship Id="rId83" Type="http://schemas.openxmlformats.org/officeDocument/2006/relationships/hyperlink" Target="http://www.crab.wa.gov/LibraryData/RESEARCH_and_REFERENCE_MATERIAL/Environmental/020923StreamRestoreTechPNW.pdf" TargetMode="External"/><Relationship Id="rId88" Type="http://schemas.openxmlformats.org/officeDocument/2006/relationships/hyperlink" Target="https://conbio.onlinelibrary.wiley.com/doi/pdfdirect/10.1111/conl.12689" TargetMode="External"/><Relationship Id="rId111" Type="http://schemas.openxmlformats.org/officeDocument/2006/relationships/hyperlink" Target="https://www.researchgate.net/profile/Giandiego-Campetella/publication/46734299_On_the_importance_of_fine-scale_spatial_complexity_in_vegetation_restoration_studies/links/09e415087057791a8e000000/On-the-importance-of-fine-scale-spatial-complexity-in-vegetation-restoration-studies.pdf" TargetMode="External"/><Relationship Id="rId132" Type="http://schemas.openxmlformats.org/officeDocument/2006/relationships/hyperlink" Target="http://www.fs.usda.gov/psw/publications/documents/gtr-181/" TargetMode="External"/><Relationship Id="rId153" Type="http://schemas.openxmlformats.org/officeDocument/2006/relationships/image" Target="media/image12.png"/><Relationship Id="rId174" Type="http://schemas.openxmlformats.org/officeDocument/2006/relationships/hyperlink" Target="https://web.archive.org/web/20170214000554/https://www.blm.gov/or/plans/nwfpnepa/FSEIS-2000/ROD-SandG.pdf" TargetMode="External"/><Relationship Id="rId179" Type="http://schemas.openxmlformats.org/officeDocument/2006/relationships/hyperlink" Target="https://doi.org/10.3133/ofr20181034" TargetMode="External"/><Relationship Id="rId195" Type="http://schemas.openxmlformats.org/officeDocument/2006/relationships/image" Target="media/image16.jpeg"/><Relationship Id="rId209" Type="http://schemas.openxmlformats.org/officeDocument/2006/relationships/hyperlink" Target="https://fw.oregonstate.edu/sites/agscid7/files/dugger_et_al._2011_ecolapps.pdf" TargetMode="External"/><Relationship Id="rId190" Type="http://schemas.openxmlformats.org/officeDocument/2006/relationships/hyperlink" Target="https://www.fs.usda.gov/rm/pubs/rmrs_p061/rmrs_p061_061_079.pdf" TargetMode="External"/><Relationship Id="rId204" Type="http://schemas.openxmlformats.org/officeDocument/2006/relationships/hyperlink" Target="http://benthamopen.com/toecolj/articles/V007/37TOECOLJ.pdf" TargetMode="External"/><Relationship Id="rId220" Type="http://schemas.openxmlformats.org/officeDocument/2006/relationships/hyperlink" Target="https://naturecanada.ca/wp-content/uploads/2024/09/2024-Logging-Emissions-Update-Report.pdf" TargetMode="External"/><Relationship Id="rId225" Type="http://schemas.openxmlformats.org/officeDocument/2006/relationships/hyperlink" Target="https://www.nature.com/articles/s41586-023-06187-1.pdf" TargetMode="External"/><Relationship Id="rId241" Type="http://schemas.openxmlformats.org/officeDocument/2006/relationships/hyperlink" Target="http://wayback.archive.org/web/" TargetMode="External"/><Relationship Id="rId246" Type="http://schemas.openxmlformats.org/officeDocument/2006/relationships/header" Target="header1.xml"/><Relationship Id="rId15" Type="http://schemas.openxmlformats.org/officeDocument/2006/relationships/hyperlink" Target="https://www.fs.usda.gov/rm/pubs/rmrs_gtr292.pdf" TargetMode="External"/><Relationship Id="rId36" Type="http://schemas.openxmlformats.org/officeDocument/2006/relationships/hyperlink" Target="https://www.fs.usda.gov/Internet/FSE_DOCUMENTS/stelprd3826583.pdf" TargetMode="External"/><Relationship Id="rId57" Type="http://schemas.openxmlformats.org/officeDocument/2006/relationships/hyperlink" Target="https://usfs-public.app.box.com/v/PinyonPublic/folder/158150413008" TargetMode="External"/><Relationship Id="rId106" Type="http://schemas.openxmlformats.org/officeDocument/2006/relationships/hyperlink" Target="http://web.archive.org/web/20120423191509/http://www.sei.org/owl/finalreport/Chapter5HabitatAssociations.pdf" TargetMode="External"/><Relationship Id="rId127" Type="http://schemas.openxmlformats.org/officeDocument/2006/relationships/hyperlink" Target="http://www.blm.gov/or/districts/salem/plans/files/SSC_EA.pdf" TargetMode="External"/><Relationship Id="rId10" Type="http://schemas.openxmlformats.org/officeDocument/2006/relationships/hyperlink" Target="mailto:info@cascwild.org" TargetMode="External"/><Relationship Id="rId31" Type="http://schemas.openxmlformats.org/officeDocument/2006/relationships/hyperlink" Target="https://www.govinfo.gov/content/pkg/COMPS-10352/pdf/COMPS-10352.pdf" TargetMode="External"/><Relationship Id="rId52" Type="http://schemas.openxmlformats.org/officeDocument/2006/relationships/hyperlink" Target="https://www.fs.fed.us/psw/publications/white_am/psw_2016_white003_sollmann.pdf" TargetMode="External"/><Relationship Id="rId73" Type="http://schemas.openxmlformats.org/officeDocument/2006/relationships/hyperlink" Target="https://doi.org/10.1007/s10531-022-02437-2" TargetMode="External"/><Relationship Id="rId78" Type="http://schemas.openxmlformats.org/officeDocument/2006/relationships/hyperlink" Target="http://www.fs.fed.us/pnw/pubs/pnw_gtr692.pdf" TargetMode="External"/><Relationship Id="rId94" Type="http://schemas.openxmlformats.org/officeDocument/2006/relationships/hyperlink" Target="https://web.archive.org/web/20220320070113/https://www.fs.fed.us/pnw/lwm/aem/docs/reeves/2015_benda_etal_tree_tipping.pdf" TargetMode="External"/><Relationship Id="rId99" Type="http://schemas.openxmlformats.org/officeDocument/2006/relationships/hyperlink" Target="https://afspubs.onlinelibrary.wiley.com/doi/abs/10.1577/1548-8675%282000%29020%3C0436%3AMRRAPF%3E2.3.CO%3B2" TargetMode="External"/><Relationship Id="rId101" Type="http://schemas.openxmlformats.org/officeDocument/2006/relationships/hyperlink" Target="http://oregon-stream-protection-coalition.com/wp-content/uploads/2014/07/Pollock-and-Beechie.-2014.-Riparian-thinning-and-biodiversity.pdf" TargetMode="External"/><Relationship Id="rId122" Type="http://schemas.openxmlformats.org/officeDocument/2006/relationships/hyperlink" Target="https://usfs-public.app.box.com/v/PinyonPublic/folder/158150413008" TargetMode="External"/><Relationship Id="rId143" Type="http://schemas.openxmlformats.org/officeDocument/2006/relationships/hyperlink" Target="https://www.dropbox.com/s/m4671mhsstg61ss/dead_wood_slides_2.pdf?dl=0" TargetMode="External"/><Relationship Id="rId148" Type="http://schemas.openxmlformats.org/officeDocument/2006/relationships/hyperlink" Target="http://dx.doi.org/10.1890/ES12-00175.1" TargetMode="External"/><Relationship Id="rId164" Type="http://schemas.openxmlformats.org/officeDocument/2006/relationships/hyperlink" Target="http://el.erdc.usace.army.mil/elpubs/pdf/EL86_13.pdf" TargetMode="External"/><Relationship Id="rId169" Type="http://schemas.openxmlformats.org/officeDocument/2006/relationships/hyperlink" Target="https://www.fws.gov/sites/default/files/documents/ConservationStrategyForTheNorthernSpottedOw_May1990.pdf" TargetMode="External"/><Relationship Id="rId185" Type="http://schemas.openxmlformats.org/officeDocument/2006/relationships/hyperlink" Target="http://www.fs.usda.gov/rm/pubs/rmrs_p029/rmrs_p029_351_366.pdf" TargetMode="External"/><Relationship Id="rId4" Type="http://schemas.openxmlformats.org/officeDocument/2006/relationships/webSettings" Target="webSettings.xml"/><Relationship Id="rId9" Type="http://schemas.openxmlformats.org/officeDocument/2006/relationships/hyperlink" Target="https://cara.fs2c.usda.gov/Public//CommentInputProject=63148" TargetMode="External"/><Relationship Id="rId180" Type="http://schemas.openxmlformats.org/officeDocument/2006/relationships/hyperlink" Target="https://web.archive.org/web/20070818123112/http://www.fireecology.net/pdfs/7_ingalsbee.pdf" TargetMode="External"/><Relationship Id="rId210" Type="http://schemas.openxmlformats.org/officeDocument/2006/relationships/hyperlink" Target="http://www.fs.usda.gov/pnw/pubs/journals/pnw_2015_charnley003.pdf" TargetMode="External"/><Relationship Id="rId215" Type="http://schemas.openxmlformats.org/officeDocument/2006/relationships/image" Target="media/image19.png"/><Relationship Id="rId236" Type="http://schemas.openxmlformats.org/officeDocument/2006/relationships/hyperlink" Target="https://archives.corvallisoregon.gov/public/ElectronicFile.aspx?dbid=0&amp;docid=4256162" TargetMode="External"/><Relationship Id="rId26" Type="http://schemas.openxmlformats.org/officeDocument/2006/relationships/hyperlink" Target="http://journals.plos.org/plosone/article/file?id=10.1371/journal.pone.0130004&amp;type=printable" TargetMode="External"/><Relationship Id="rId231" Type="http://schemas.openxmlformats.org/officeDocument/2006/relationships/hyperlink" Target="https://iopscience.iop.org/article/10.1088/1748-9326/ab28bb/pdf" TargetMode="External"/><Relationship Id="rId47" Type="http://schemas.openxmlformats.org/officeDocument/2006/relationships/hyperlink" Target="https://web.archive.org/web/20170531140755/https://www.fs.fed.us/pnw/pubs/2010-science-accomplishments.pdf" TargetMode="External"/><Relationship Id="rId68" Type="http://schemas.openxmlformats.org/officeDocument/2006/relationships/hyperlink" Target="https://hdl.handle.net/1794/7220" TargetMode="External"/><Relationship Id="rId89" Type="http://schemas.openxmlformats.org/officeDocument/2006/relationships/hyperlink" Target="https://web.archive.org/web/20170808131553/http://www3.telus.net/jordanrosenfeld/Home%20Page/Publications/Rosenfeld%20and%20Huato%202003.pdf" TargetMode="External"/><Relationship Id="rId112" Type="http://schemas.openxmlformats.org/officeDocument/2006/relationships/hyperlink" Target="http://www3.sympatico.ca/thomas.gisiger/Gisiger_2001.pdf" TargetMode="External"/><Relationship Id="rId133" Type="http://schemas.openxmlformats.org/officeDocument/2006/relationships/hyperlink" Target="https://www.fs.usda.gov/psw/publications/documents/gtr-181/071_Harm.pdf" TargetMode="External"/><Relationship Id="rId154" Type="http://schemas.openxmlformats.org/officeDocument/2006/relationships/hyperlink" Target="https://www.fs.usda.gov/nfs/11558/www/nepa/97467_FSPLT3_4272864.pdf" TargetMode="External"/><Relationship Id="rId175" Type="http://schemas.openxmlformats.org/officeDocument/2006/relationships/hyperlink" Target="http://www.fs.fed.us/pnw/pubs/journals/pnw_2001_carey003.pdf" TargetMode="External"/><Relationship Id="rId196" Type="http://schemas.openxmlformats.org/officeDocument/2006/relationships/hyperlink" Target="http://fireecologyjournal.org/docs/Journal/pdf/Volume13/Issue03/ganey-318.pdf" TargetMode="External"/><Relationship Id="rId200" Type="http://schemas.openxmlformats.org/officeDocument/2006/relationships/hyperlink" Target="https://esajournals.onlinelibrary.wiley.com/doi/pdf/10.1002/ecs2.2696" TargetMode="External"/><Relationship Id="rId16" Type="http://schemas.openxmlformats.org/officeDocument/2006/relationships/hyperlink" Target="https://www.fs.usda.gov/im/directives/fsh/1909.15/wo_1909.15_40_Environmental%20assessments%20and%20related%20documents.doc" TargetMode="External"/><Relationship Id="rId221" Type="http://schemas.openxmlformats.org/officeDocument/2006/relationships/hyperlink" Target="https://www.wri.org/insights/mass-timber-wood-construction-climate-change" TargetMode="External"/><Relationship Id="rId242" Type="http://schemas.openxmlformats.org/officeDocument/2006/relationships/image" Target="media/image22.jpeg"/><Relationship Id="rId37" Type="http://schemas.openxmlformats.org/officeDocument/2006/relationships/hyperlink" Target="https://ceq.doe.gov/docs/ceq-regulations-and-guidance/CEQ-Memo-Implementation-of-NEPA-02.19.2025.pdf" TargetMode="External"/><Relationship Id="rId58" Type="http://schemas.openxmlformats.org/officeDocument/2006/relationships/hyperlink" Target="https://web.archive.org/web/20160522082645/http://www.blm.gov/or/districts/salem/plans/files/TC_EA.pdf" TargetMode="External"/><Relationship Id="rId79" Type="http://schemas.openxmlformats.org/officeDocument/2006/relationships/hyperlink" Target="https://www.fs.fed.us/pnw/pubs/pnw_gtr330.pdf" TargetMode="External"/><Relationship Id="rId102" Type="http://schemas.openxmlformats.org/officeDocument/2006/relationships/image" Target="media/image6.png"/><Relationship Id="rId123" Type="http://schemas.openxmlformats.org/officeDocument/2006/relationships/hyperlink" Target="http://www.montana.edu/hansen/documents/downloadables/hansenetal1991.pdf" TargetMode="External"/><Relationship Id="rId144" Type="http://schemas.openxmlformats.org/officeDocument/2006/relationships/hyperlink" Target="http://www.psychology.iastate.edu/faculty/caa/abstracts/2005-2009/07a.pdf" TargetMode="External"/><Relationship Id="rId90" Type="http://schemas.openxmlformats.org/officeDocument/2006/relationships/hyperlink" Target="http://www.geo.oregonstate.edu/classes/geo582/week_5_1_wood_movement/Meleasonetalstrategies.pdf" TargetMode="External"/><Relationship Id="rId165" Type="http://schemas.openxmlformats.org/officeDocument/2006/relationships/hyperlink" Target="http://blogs.oregonstate.edu/treetopics/2019/10/16/dont-want-to-burn-other-options-for-treating-slash-after-a-timber-harvest/" TargetMode="External"/><Relationship Id="rId186" Type="http://schemas.openxmlformats.org/officeDocument/2006/relationships/hyperlink" Target="https://www.dropbox.com/s/pi15rap4nvwxhtt/Heiken_Log_it_to_save_it_v.1.0.pdf?dl=0" TargetMode="External"/><Relationship Id="rId211" Type="http://schemas.openxmlformats.org/officeDocument/2006/relationships/hyperlink" Target="http://getguesstimate.com/" TargetMode="External"/><Relationship Id="rId232" Type="http://schemas.openxmlformats.org/officeDocument/2006/relationships/hyperlink" Target="https://en.wikipedia.org/wiki/Base_rate_fallacy" TargetMode="External"/><Relationship Id="rId27" Type="http://schemas.openxmlformats.org/officeDocument/2006/relationships/hyperlink" Target="http://www.openness-project.eu/sites/default/files/SP-Trade-offs-and-synergies.pdf" TargetMode="External"/><Relationship Id="rId48" Type="http://schemas.openxmlformats.org/officeDocument/2006/relationships/hyperlink" Target="http://calendar.oregonstate.edu/event/49175/" TargetMode="External"/><Relationship Id="rId69" Type="http://schemas.openxmlformats.org/officeDocument/2006/relationships/hyperlink" Target="https://www.nationalforests.org/blog/seven-reasons-why-fish-need-wood" TargetMode="External"/><Relationship Id="rId113" Type="http://schemas.openxmlformats.org/officeDocument/2006/relationships/hyperlink" Target="http://www.sciencedirect.com/science/article/pii/S0022519397904094" TargetMode="External"/><Relationship Id="rId134" Type="http://schemas.openxmlformats.org/officeDocument/2006/relationships/image" Target="media/image8.png"/><Relationship Id="rId80" Type="http://schemas.openxmlformats.org/officeDocument/2006/relationships/hyperlink" Target="http://dx.doi.org/10.1890/ES12-00175.1" TargetMode="External"/><Relationship Id="rId155" Type="http://schemas.openxmlformats.org/officeDocument/2006/relationships/image" Target="media/image13.jpeg"/><Relationship Id="rId176" Type="http://schemas.openxmlformats.org/officeDocument/2006/relationships/hyperlink" Target="http://www.iterations.com/protected/dwnload_files/diversity_stability_debate.pdf" TargetMode="External"/><Relationship Id="rId197" Type="http://schemas.openxmlformats.org/officeDocument/2006/relationships/hyperlink" Target="https://web.archive.org/web/20190304042302/http://www.blm.gov/or/plans/rmpswesternoregon/files/prmp/RMPWO_Vol_4_Appendix_W.pdf" TargetMode="External"/><Relationship Id="rId201" Type="http://schemas.openxmlformats.org/officeDocument/2006/relationships/hyperlink" Target="https://doi.org/10.1186/s42408-021-00118-z" TargetMode="External"/><Relationship Id="rId222" Type="http://schemas.openxmlformats.org/officeDocument/2006/relationships/hyperlink" Target="https://doi.org/10.46830/wrirpt.20.00042" TargetMode="External"/><Relationship Id="rId243" Type="http://schemas.openxmlformats.org/officeDocument/2006/relationships/hyperlink" Target="mailto:dh@oregonwil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fs.fed.us/pnw/pubs/229chpt1.pdf" TargetMode="External"/><Relationship Id="rId2" Type="http://schemas.openxmlformats.org/officeDocument/2006/relationships/hyperlink" Target="http://www.treesearch.fs.fed.us/pubs/2984" TargetMode="External"/><Relationship Id="rId1" Type="http://schemas.openxmlformats.org/officeDocument/2006/relationships/hyperlink" Target="http://www.fs.fed.us/pnw/pubs/pnw_gtr794.pdf" TargetMode="External"/><Relationship Id="rId4" Type="http://schemas.openxmlformats.org/officeDocument/2006/relationships/hyperlink" Target="http://www.fs.fed.us/pnw/pubs/journals/pnw_1998_carey00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Dropbox\Forms\Comment%20Template%20(2024%20new%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Comment Template (2024 new logo).dotx</Template>
  <TotalTime>1255</TotalTime>
  <Pages>109</Pages>
  <Words>56904</Words>
  <Characters>324353</Characters>
  <Application>Microsoft Office Word</Application>
  <DocSecurity>0</DocSecurity>
  <Lines>2702</Lines>
  <Paragraphs>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dc:creator>
  <cp:lastModifiedBy>Doug</cp:lastModifiedBy>
  <cp:revision>37</cp:revision>
  <dcterms:created xsi:type="dcterms:W3CDTF">2025-04-14T22:55:00Z</dcterms:created>
  <dcterms:modified xsi:type="dcterms:W3CDTF">2025-04-16T18:28:00Z</dcterms:modified>
</cp:coreProperties>
</file>