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02DB" w14:textId="0B6D644D" w:rsidR="00977324" w:rsidRDefault="00977324">
      <w:r>
        <w:rPr>
          <w:noProof/>
        </w:rPr>
        <mc:AlternateContent>
          <mc:Choice Requires="wps">
            <w:drawing>
              <wp:anchor distT="45720" distB="45720" distL="114300" distR="114300" simplePos="0" relativeHeight="251659264" behindDoc="0" locked="0" layoutInCell="1" allowOverlap="1" wp14:anchorId="02DF7D33" wp14:editId="221668CF">
                <wp:simplePos x="0" y="0"/>
                <wp:positionH relativeFrom="margin">
                  <wp:posOffset>53340</wp:posOffset>
                </wp:positionH>
                <wp:positionV relativeFrom="paragraph">
                  <wp:posOffset>472440</wp:posOffset>
                </wp:positionV>
                <wp:extent cx="356616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404620"/>
                        </a:xfrm>
                        <a:prstGeom prst="rect">
                          <a:avLst/>
                        </a:prstGeom>
                        <a:solidFill>
                          <a:srgbClr val="FFFFFF"/>
                        </a:solidFill>
                        <a:ln w="9525">
                          <a:noFill/>
                          <a:miter lim="800000"/>
                          <a:headEnd/>
                          <a:tailEnd/>
                        </a:ln>
                      </wps:spPr>
                      <wps:txbx>
                        <w:txbxContent>
                          <w:p w14:paraId="13188D3D" w14:textId="27FD507C" w:rsidR="00977324" w:rsidRPr="00977324" w:rsidRDefault="00977324">
                            <w:pPr>
                              <w:rPr>
                                <w:b/>
                                <w:bCs/>
                                <w:sz w:val="44"/>
                                <w:szCs w:val="44"/>
                              </w:rPr>
                            </w:pPr>
                            <w:r w:rsidRPr="00977324">
                              <w:rPr>
                                <w:b/>
                                <w:bCs/>
                                <w:sz w:val="44"/>
                                <w:szCs w:val="44"/>
                              </w:rPr>
                              <w:t>The Fire Restoration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DF7D33" id="_x0000_t202" coordsize="21600,21600" o:spt="202" path="m,l,21600r21600,l21600,xe">
                <v:stroke joinstyle="miter"/>
                <v:path gradientshapeok="t" o:connecttype="rect"/>
              </v:shapetype>
              <v:shape id="Text Box 2" o:spid="_x0000_s1026" type="#_x0000_t202" style="position:absolute;margin-left:4.2pt;margin-top:37.2pt;width:280.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" stroked="f">
                <v:textbox style="mso-fit-shape-to-text:t">
                  <w:txbxContent>
                    <w:p w14:paraId="13188D3D" w14:textId="27FD507C" w:rsidR="00977324" w:rsidRPr="00977324" w:rsidRDefault="00977324">
                      <w:pPr>
                        <w:rPr>
                          <w:b/>
                          <w:bCs/>
                          <w:sz w:val="44"/>
                          <w:szCs w:val="44"/>
                        </w:rPr>
                      </w:pPr>
                      <w:r w:rsidRPr="00977324">
                        <w:rPr>
                          <w:b/>
                          <w:bCs/>
                          <w:sz w:val="44"/>
                          <w:szCs w:val="44"/>
                        </w:rPr>
                        <w:t>The Fire Restoration Group</w:t>
                      </w:r>
                    </w:p>
                  </w:txbxContent>
                </v:textbox>
                <w10:wrap type="square" anchorx="margin"/>
              </v:shape>
            </w:pict>
          </mc:Fallback>
        </mc:AlternateContent>
      </w:r>
      <w:r>
        <w:t xml:space="preserve">                   </w:t>
      </w:r>
      <w:r>
        <w:rPr>
          <w:noProof/>
        </w:rPr>
        <w:drawing>
          <wp:inline distT="0" distB="0" distL="0" distR="0" wp14:anchorId="7EAD980A" wp14:editId="35442ED7">
            <wp:extent cx="1359535" cy="1397635"/>
            <wp:effectExtent l="0" t="0" r="0" b="0"/>
            <wp:docPr id="538303450" name="Picture 1" descr="A close-up of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03450" name="Picture 1" descr="A close-up of a fi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9535" cy="1397635"/>
                    </a:xfrm>
                    <a:prstGeom prst="rect">
                      <a:avLst/>
                    </a:prstGeom>
                    <a:noFill/>
                  </pic:spPr>
                </pic:pic>
              </a:graphicData>
            </a:graphic>
          </wp:inline>
        </w:drawing>
      </w:r>
      <w:r>
        <w:t xml:space="preserve">        </w:t>
      </w:r>
    </w:p>
    <w:p w14:paraId="20B5BE2A" w14:textId="21827345" w:rsidR="00977324" w:rsidRDefault="00977324">
      <w:r>
        <w:t xml:space="preserve">           </w:t>
      </w:r>
    </w:p>
    <w:p w14:paraId="49A7D0AE" w14:textId="2EB80E88" w:rsidR="00977324" w:rsidRPr="00977324" w:rsidRDefault="00977324" w:rsidP="00977324">
      <w:pPr>
        <w:pStyle w:val="NoSpacing"/>
        <w:rPr>
          <w:rFonts w:ascii="Times New Roman" w:hAnsi="Times New Roman" w:cs="Times New Roman"/>
          <w:b/>
          <w:bCs/>
          <w:sz w:val="24"/>
          <w:szCs w:val="24"/>
        </w:rPr>
      </w:pPr>
      <w:r w:rsidRPr="00977324">
        <w:rPr>
          <w:rFonts w:ascii="Times New Roman" w:hAnsi="Times New Roman" w:cs="Times New Roman"/>
          <w:b/>
          <w:bCs/>
          <w:sz w:val="24"/>
          <w:szCs w:val="24"/>
        </w:rPr>
        <w:t>Stephanie Miller, Assistant Director for Future Forest</w:t>
      </w:r>
      <w:r>
        <w:rPr>
          <w:rFonts w:ascii="Times New Roman" w:hAnsi="Times New Roman" w:cs="Times New Roman"/>
          <w:b/>
          <w:bCs/>
          <w:sz w:val="24"/>
          <w:szCs w:val="24"/>
        </w:rPr>
        <w:t xml:space="preserve">                 October 15, 2024</w:t>
      </w:r>
    </w:p>
    <w:p w14:paraId="28F26A8D" w14:textId="26A91C15" w:rsidR="00977324" w:rsidRPr="00977324" w:rsidRDefault="00977324" w:rsidP="00977324">
      <w:pPr>
        <w:pStyle w:val="NoSpacing"/>
        <w:rPr>
          <w:rFonts w:ascii="Times New Roman" w:hAnsi="Times New Roman" w:cs="Times New Roman"/>
          <w:b/>
          <w:bCs/>
          <w:sz w:val="24"/>
          <w:szCs w:val="24"/>
        </w:rPr>
      </w:pPr>
      <w:r w:rsidRPr="00977324">
        <w:rPr>
          <w:rFonts w:ascii="Times New Roman" w:hAnsi="Times New Roman" w:cs="Times New Roman"/>
          <w:b/>
          <w:bCs/>
          <w:sz w:val="24"/>
          <w:szCs w:val="24"/>
        </w:rPr>
        <w:t xml:space="preserve">Denver Federal Center, Building 40, </w:t>
      </w:r>
    </w:p>
    <w:p w14:paraId="127FFC62" w14:textId="77777777" w:rsidR="00977324" w:rsidRDefault="00977324" w:rsidP="00977324">
      <w:pPr>
        <w:pStyle w:val="NoSpacing"/>
        <w:rPr>
          <w:rFonts w:ascii="Times New Roman" w:hAnsi="Times New Roman" w:cs="Times New Roman"/>
          <w:b/>
          <w:bCs/>
          <w:sz w:val="24"/>
          <w:szCs w:val="24"/>
        </w:rPr>
      </w:pPr>
      <w:r w:rsidRPr="00977324">
        <w:rPr>
          <w:rFonts w:ascii="Times New Roman" w:hAnsi="Times New Roman" w:cs="Times New Roman"/>
          <w:b/>
          <w:bCs/>
          <w:sz w:val="24"/>
          <w:szCs w:val="24"/>
        </w:rPr>
        <w:t>Lakewood, CO 80215.</w:t>
      </w:r>
      <w:r>
        <w:rPr>
          <w:rFonts w:ascii="Times New Roman" w:hAnsi="Times New Roman" w:cs="Times New Roman"/>
          <w:b/>
          <w:bCs/>
          <w:sz w:val="24"/>
          <w:szCs w:val="24"/>
        </w:rPr>
        <w:t xml:space="preserve">                            </w:t>
      </w:r>
    </w:p>
    <w:p w14:paraId="0D7CB596" w14:textId="77777777" w:rsidR="00977324" w:rsidRPr="00977324" w:rsidRDefault="00977324" w:rsidP="00977324">
      <w:pPr>
        <w:pStyle w:val="NoSpacing"/>
        <w:rPr>
          <w:rFonts w:ascii="Times New Roman" w:hAnsi="Times New Roman" w:cs="Times New Roman"/>
          <w:b/>
          <w:bCs/>
          <w:sz w:val="24"/>
          <w:szCs w:val="24"/>
        </w:rPr>
      </w:pPr>
    </w:p>
    <w:p w14:paraId="05CBD7F1" w14:textId="6B7A1A94" w:rsidR="003A0AE9" w:rsidRPr="00977324" w:rsidRDefault="00977324" w:rsidP="00977324">
      <w:pPr>
        <w:pStyle w:val="NoSpacing"/>
        <w:rPr>
          <w:rFonts w:ascii="Times New Roman" w:hAnsi="Times New Roman" w:cs="Times New Roman"/>
          <w:b/>
          <w:bCs/>
          <w:sz w:val="24"/>
          <w:szCs w:val="24"/>
        </w:rPr>
      </w:pPr>
      <w:r w:rsidRPr="00977324">
        <w:rPr>
          <w:rFonts w:ascii="Times New Roman" w:hAnsi="Times New Roman" w:cs="Times New Roman"/>
          <w:b/>
          <w:bCs/>
          <w:sz w:val="24"/>
          <w:szCs w:val="24"/>
        </w:rPr>
        <w:t xml:space="preserve">Sent </w:t>
      </w:r>
      <w:r>
        <w:rPr>
          <w:rFonts w:ascii="Times New Roman" w:hAnsi="Times New Roman" w:cs="Times New Roman"/>
          <w:b/>
          <w:bCs/>
          <w:sz w:val="24"/>
          <w:szCs w:val="24"/>
        </w:rPr>
        <w:t xml:space="preserve">electronically at: </w:t>
      </w:r>
      <w:r w:rsidRPr="00977324">
        <w:rPr>
          <w:rFonts w:ascii="Times New Roman" w:hAnsi="Times New Roman" w:cs="Times New Roman"/>
          <w:b/>
          <w:bCs/>
          <w:sz w:val="24"/>
          <w:szCs w:val="24"/>
        </w:rPr>
        <w:t xml:space="preserve"> </w:t>
      </w:r>
      <w:r w:rsidRPr="00977324">
        <w:rPr>
          <w:rFonts w:ascii="Times New Roman" w:hAnsi="Times New Roman" w:cs="Times New Roman"/>
          <w:sz w:val="24"/>
          <w:szCs w:val="24"/>
        </w:rPr>
        <w:t>https:// cara.fs2c.usda.gov/Project/Details/4178.</w:t>
      </w:r>
    </w:p>
    <w:p w14:paraId="6B119EAC" w14:textId="77777777" w:rsidR="00977324" w:rsidRPr="00977324" w:rsidRDefault="00977324">
      <w:pPr>
        <w:pStyle w:val="NoSpacing"/>
        <w:rPr>
          <w:rFonts w:ascii="Times New Roman" w:hAnsi="Times New Roman" w:cs="Times New Roman"/>
          <w:sz w:val="24"/>
          <w:szCs w:val="24"/>
        </w:rPr>
      </w:pPr>
    </w:p>
    <w:p w14:paraId="65E3A527" w14:textId="77777777" w:rsidR="00977324" w:rsidRPr="00977324" w:rsidRDefault="00977324">
      <w:pPr>
        <w:pStyle w:val="NoSpacing"/>
        <w:rPr>
          <w:rFonts w:ascii="Times New Roman" w:hAnsi="Times New Roman" w:cs="Times New Roman"/>
          <w:sz w:val="24"/>
          <w:szCs w:val="24"/>
        </w:rPr>
      </w:pPr>
    </w:p>
    <w:p w14:paraId="6826B7F7" w14:textId="484BD37D" w:rsidR="00977324" w:rsidRDefault="00977324">
      <w:pPr>
        <w:pStyle w:val="NoSpacing"/>
        <w:rPr>
          <w:rFonts w:ascii="Times New Roman" w:hAnsi="Times New Roman" w:cs="Times New Roman"/>
          <w:sz w:val="24"/>
          <w:szCs w:val="24"/>
        </w:rPr>
      </w:pPr>
      <w:r w:rsidRPr="00977324">
        <w:rPr>
          <w:rFonts w:ascii="Times New Roman" w:hAnsi="Times New Roman" w:cs="Times New Roman"/>
          <w:sz w:val="24"/>
          <w:szCs w:val="24"/>
        </w:rPr>
        <w:t>Comments on the Federal Register Notice and draft revisions to the Forest Service Manual 2470 Silvicultural Practices</w:t>
      </w:r>
      <w:r w:rsidR="00921B37">
        <w:rPr>
          <w:rFonts w:ascii="Times New Roman" w:hAnsi="Times New Roman" w:cs="Times New Roman"/>
          <w:sz w:val="24"/>
          <w:szCs w:val="24"/>
        </w:rPr>
        <w:t>--</w:t>
      </w:r>
      <w:r w:rsidR="00921B37">
        <w:t>Federal Register / Vol. 89, No. 159 / Friday, August 16, 2024 / Notices 66671</w:t>
      </w:r>
    </w:p>
    <w:p w14:paraId="38D18126" w14:textId="77777777" w:rsidR="00977324" w:rsidRDefault="00977324">
      <w:pPr>
        <w:pStyle w:val="NoSpacing"/>
        <w:rPr>
          <w:rFonts w:ascii="Times New Roman" w:hAnsi="Times New Roman" w:cs="Times New Roman"/>
          <w:sz w:val="24"/>
          <w:szCs w:val="24"/>
        </w:rPr>
      </w:pPr>
    </w:p>
    <w:p w14:paraId="35B2FC7B" w14:textId="77777777" w:rsidR="00977324" w:rsidRDefault="00977324">
      <w:pPr>
        <w:pStyle w:val="NoSpacing"/>
        <w:rPr>
          <w:rFonts w:ascii="Times New Roman" w:hAnsi="Times New Roman" w:cs="Times New Roman"/>
          <w:sz w:val="24"/>
          <w:szCs w:val="24"/>
        </w:rPr>
      </w:pPr>
    </w:p>
    <w:p w14:paraId="6B602EBF" w14:textId="7174A4FA" w:rsidR="00977324" w:rsidRDefault="00921B37">
      <w:pPr>
        <w:pStyle w:val="NoSpacing"/>
        <w:rPr>
          <w:rFonts w:ascii="Times New Roman" w:hAnsi="Times New Roman" w:cs="Times New Roman"/>
          <w:sz w:val="24"/>
          <w:szCs w:val="24"/>
          <w:u w:val="single"/>
        </w:rPr>
      </w:pPr>
      <w:r w:rsidRPr="00921B37">
        <w:rPr>
          <w:rFonts w:ascii="Times New Roman" w:hAnsi="Times New Roman" w:cs="Times New Roman"/>
          <w:sz w:val="24"/>
          <w:szCs w:val="24"/>
          <w:u w:val="single"/>
        </w:rPr>
        <w:t>General Comments</w:t>
      </w:r>
    </w:p>
    <w:p w14:paraId="089E8C61" w14:textId="77777777" w:rsidR="00921B37" w:rsidRDefault="00921B37">
      <w:pPr>
        <w:pStyle w:val="NoSpacing"/>
        <w:rPr>
          <w:rFonts w:ascii="Times New Roman" w:hAnsi="Times New Roman" w:cs="Times New Roman"/>
          <w:sz w:val="24"/>
          <w:szCs w:val="24"/>
          <w:u w:val="single"/>
        </w:rPr>
      </w:pPr>
    </w:p>
    <w:p w14:paraId="736920FA" w14:textId="77777777" w:rsidR="00FF4C58" w:rsidRPr="004B6527" w:rsidRDefault="00921B37">
      <w:pPr>
        <w:pStyle w:val="NoSpacing"/>
        <w:rPr>
          <w:b/>
          <w:bCs/>
          <w:sz w:val="24"/>
          <w:szCs w:val="24"/>
        </w:rPr>
      </w:pPr>
      <w:r w:rsidRPr="00921B37">
        <w:rPr>
          <w:rFonts w:ascii="Times New Roman" w:hAnsi="Times New Roman" w:cs="Times New Roman"/>
          <w:sz w:val="24"/>
          <w:szCs w:val="24"/>
        </w:rPr>
        <w:t>We</w:t>
      </w:r>
      <w:r>
        <w:rPr>
          <w:rFonts w:ascii="Times New Roman" w:hAnsi="Times New Roman" w:cs="Times New Roman"/>
          <w:sz w:val="24"/>
          <w:szCs w:val="24"/>
        </w:rPr>
        <w:t xml:space="preserve"> are very supportive of the effort to revise and update the FSM on Silvicultural Practices published in the Federal Register 8-16-24</w:t>
      </w:r>
      <w:r w:rsidR="00FF4C58">
        <w:rPr>
          <w:rFonts w:ascii="Times New Roman" w:hAnsi="Times New Roman" w:cs="Times New Roman"/>
          <w:sz w:val="24"/>
          <w:szCs w:val="24"/>
        </w:rPr>
        <w:t xml:space="preserve">. It is past time for an update given stated reasons including, </w:t>
      </w:r>
      <w:r w:rsidR="00FF4C58" w:rsidRPr="004B6527">
        <w:rPr>
          <w:rFonts w:ascii="Times New Roman" w:hAnsi="Times New Roman" w:cs="Times New Roman"/>
          <w:b/>
          <w:bCs/>
          <w:sz w:val="24"/>
          <w:szCs w:val="24"/>
        </w:rPr>
        <w:t>“</w:t>
      </w:r>
      <w:r w:rsidRPr="004B6527">
        <w:rPr>
          <w:b/>
          <w:bCs/>
          <w:sz w:val="24"/>
          <w:szCs w:val="24"/>
        </w:rPr>
        <w:t xml:space="preserve">Increases climate change considerations </w:t>
      </w:r>
      <w:bookmarkStart w:id="0" w:name="_Hlk143002975"/>
      <w:r w:rsidRPr="004B6527">
        <w:rPr>
          <w:b/>
          <w:bCs/>
          <w:sz w:val="24"/>
          <w:szCs w:val="24"/>
        </w:rPr>
        <w:t>throughout the directive</w:t>
      </w:r>
      <w:bookmarkEnd w:id="0"/>
      <w:r w:rsidRPr="004B6527">
        <w:rPr>
          <w:b/>
          <w:bCs/>
          <w:sz w:val="24"/>
          <w:szCs w:val="24"/>
        </w:rPr>
        <w:t>. Adds considerations for indigenous knowledge, and old-growth forests.</w:t>
      </w:r>
      <w:r w:rsidR="00FF4C58" w:rsidRPr="004B6527">
        <w:rPr>
          <w:b/>
          <w:bCs/>
          <w:sz w:val="24"/>
          <w:szCs w:val="24"/>
        </w:rPr>
        <w:t>”</w:t>
      </w:r>
    </w:p>
    <w:p w14:paraId="145F511E" w14:textId="77777777" w:rsidR="00FF4C58" w:rsidRPr="004B6527" w:rsidRDefault="00FF4C58">
      <w:pPr>
        <w:pStyle w:val="NoSpacing"/>
        <w:rPr>
          <w:b/>
          <w:bCs/>
          <w:sz w:val="24"/>
          <w:szCs w:val="24"/>
        </w:rPr>
      </w:pPr>
    </w:p>
    <w:p w14:paraId="18ABE5A7" w14:textId="5BB8EA1E" w:rsidR="00FF4C58" w:rsidRDefault="004B6527">
      <w:pPr>
        <w:pStyle w:val="NoSpacing"/>
        <w:rPr>
          <w:sz w:val="24"/>
          <w:szCs w:val="24"/>
        </w:rPr>
      </w:pPr>
      <w:r>
        <w:rPr>
          <w:sz w:val="24"/>
          <w:szCs w:val="24"/>
        </w:rPr>
        <w:t xml:space="preserve">1) </w:t>
      </w:r>
      <w:r w:rsidR="00FF4C58">
        <w:rPr>
          <w:sz w:val="24"/>
          <w:szCs w:val="24"/>
        </w:rPr>
        <w:t>Climate change considerations should include</w:t>
      </w:r>
      <w:r w:rsidR="00B443A4">
        <w:rPr>
          <w:sz w:val="24"/>
          <w:szCs w:val="24"/>
        </w:rPr>
        <w:t xml:space="preserve"> a scientific assessment of wildfire risk, drought and insect damage related</w:t>
      </w:r>
      <w:r w:rsidR="00FF4C58">
        <w:rPr>
          <w:sz w:val="24"/>
          <w:szCs w:val="24"/>
        </w:rPr>
        <w:t xml:space="preserve"> reforestation patterns and density (uniformity) in frequent fire ecosystems</w:t>
      </w:r>
      <w:r w:rsidR="00B443A4">
        <w:rPr>
          <w:sz w:val="24"/>
          <w:szCs w:val="24"/>
        </w:rPr>
        <w:t>. The revision effort should also include the Forest Planning Rule (2012) direction to protect and enhance Ecological Integrity (36 CFR § 219.8</w:t>
      </w:r>
      <w:r w:rsidR="00AA0234">
        <w:rPr>
          <w:sz w:val="24"/>
          <w:szCs w:val="24"/>
        </w:rPr>
        <w:t>) Sustainability and section (a) (1)</w:t>
      </w:r>
      <w:r>
        <w:rPr>
          <w:sz w:val="24"/>
          <w:szCs w:val="24"/>
        </w:rPr>
        <w:t>:</w:t>
      </w:r>
    </w:p>
    <w:p w14:paraId="6EC3CC91" w14:textId="77777777" w:rsidR="008F4B5E" w:rsidRPr="00E5792B" w:rsidRDefault="008F4B5E" w:rsidP="008F4B5E">
      <w:pPr>
        <w:pStyle w:val="psection-2"/>
        <w:shd w:val="clear" w:color="auto" w:fill="FFFFFF"/>
        <w:spacing w:before="0" w:beforeAutospacing="0" w:after="150" w:afterAutospacing="0"/>
        <w:ind w:left="240"/>
        <w:rPr>
          <w:color w:val="333333"/>
        </w:rPr>
      </w:pPr>
      <w:r w:rsidRPr="00E5792B">
        <w:rPr>
          <w:rStyle w:val="enumxml"/>
          <w:rFonts w:eastAsiaTheme="majorEastAsia"/>
          <w:b/>
          <w:bCs/>
          <w:color w:val="333333"/>
        </w:rPr>
        <w:t>(1)</w:t>
      </w:r>
      <w:r w:rsidRPr="00E5792B">
        <w:rPr>
          <w:color w:val="333333"/>
        </w:rPr>
        <w:t> </w:t>
      </w:r>
      <w:r w:rsidRPr="00E5792B">
        <w:rPr>
          <w:rStyle w:val="et03"/>
          <w:rFonts w:eastAsiaTheme="majorEastAsia"/>
          <w:b/>
          <w:bCs/>
          <w:i/>
          <w:iCs/>
          <w:color w:val="333333"/>
        </w:rPr>
        <w:t>Ecosystem Integrity.</w:t>
      </w:r>
      <w:r w:rsidRPr="00E5792B">
        <w:rPr>
          <w:color w:val="333333"/>
        </w:rPr>
        <w:t> The plan must include plan components, including standards or guidelines, to </w:t>
      </w:r>
      <w:hyperlink r:id="rId7" w:history="1">
        <w:r w:rsidRPr="00E5792B">
          <w:rPr>
            <w:rStyle w:val="Hyperlink"/>
            <w:rFonts w:eastAsiaTheme="majorEastAsia"/>
            <w:color w:val="001C72"/>
            <w:u w:val="none"/>
          </w:rPr>
          <w:t>maintain</w:t>
        </w:r>
      </w:hyperlink>
      <w:r w:rsidRPr="00E5792B">
        <w:rPr>
          <w:color w:val="333333"/>
        </w:rPr>
        <w:t> or </w:t>
      </w:r>
      <w:hyperlink r:id="rId8" w:history="1">
        <w:r w:rsidRPr="00E5792B">
          <w:rPr>
            <w:rStyle w:val="Hyperlink"/>
            <w:rFonts w:eastAsiaTheme="majorEastAsia"/>
            <w:color w:val="001C72"/>
            <w:u w:val="none"/>
          </w:rPr>
          <w:t>restore</w:t>
        </w:r>
      </w:hyperlink>
      <w:r w:rsidRPr="00E5792B">
        <w:rPr>
          <w:color w:val="333333"/>
        </w:rPr>
        <w:t> the </w:t>
      </w:r>
      <w:hyperlink r:id="rId9" w:history="1">
        <w:r w:rsidRPr="00E5792B">
          <w:rPr>
            <w:rStyle w:val="Hyperlink"/>
            <w:rFonts w:eastAsiaTheme="majorEastAsia"/>
            <w:color w:val="001C72"/>
            <w:u w:val="none"/>
          </w:rPr>
          <w:t>ecological integrity</w:t>
        </w:r>
      </w:hyperlink>
      <w:r w:rsidRPr="00E5792B">
        <w:rPr>
          <w:color w:val="333333"/>
        </w:rPr>
        <w:t> of terrestrial and aquatic </w:t>
      </w:r>
      <w:hyperlink r:id="rId10" w:history="1">
        <w:r w:rsidRPr="00E5792B">
          <w:rPr>
            <w:rStyle w:val="Hyperlink"/>
            <w:rFonts w:eastAsiaTheme="majorEastAsia"/>
            <w:color w:val="001C72"/>
            <w:u w:val="none"/>
          </w:rPr>
          <w:t>ecosystems</w:t>
        </w:r>
      </w:hyperlink>
      <w:r w:rsidRPr="00E5792B">
        <w:rPr>
          <w:color w:val="333333"/>
        </w:rPr>
        <w:t> and </w:t>
      </w:r>
      <w:hyperlink r:id="rId11" w:history="1">
        <w:r w:rsidRPr="00E5792B">
          <w:rPr>
            <w:rStyle w:val="Hyperlink"/>
            <w:rFonts w:eastAsiaTheme="majorEastAsia"/>
            <w:color w:val="001C72"/>
            <w:u w:val="none"/>
          </w:rPr>
          <w:t>watersheds</w:t>
        </w:r>
      </w:hyperlink>
      <w:r w:rsidRPr="00E5792B">
        <w:rPr>
          <w:color w:val="333333"/>
        </w:rPr>
        <w:t> in the </w:t>
      </w:r>
      <w:hyperlink r:id="rId12" w:history="1">
        <w:r w:rsidRPr="00E5792B">
          <w:rPr>
            <w:rStyle w:val="Hyperlink"/>
            <w:rFonts w:eastAsiaTheme="majorEastAsia"/>
            <w:color w:val="001C72"/>
            <w:u w:val="none"/>
          </w:rPr>
          <w:t>plan area</w:t>
        </w:r>
      </w:hyperlink>
      <w:r w:rsidRPr="00E5792B">
        <w:rPr>
          <w:color w:val="333333"/>
        </w:rPr>
        <w:t>, including plan components to </w:t>
      </w:r>
      <w:hyperlink r:id="rId13" w:history="1">
        <w:r w:rsidRPr="00E5792B">
          <w:rPr>
            <w:rStyle w:val="Hyperlink"/>
            <w:rFonts w:eastAsiaTheme="majorEastAsia"/>
            <w:color w:val="001C72"/>
            <w:u w:val="none"/>
          </w:rPr>
          <w:t>maintain</w:t>
        </w:r>
      </w:hyperlink>
      <w:r w:rsidRPr="00E5792B">
        <w:rPr>
          <w:color w:val="333333"/>
        </w:rPr>
        <w:t> or </w:t>
      </w:r>
      <w:hyperlink r:id="rId14" w:history="1">
        <w:r w:rsidRPr="00E5792B">
          <w:rPr>
            <w:rStyle w:val="Hyperlink"/>
            <w:rFonts w:eastAsiaTheme="majorEastAsia"/>
            <w:color w:val="001C72"/>
            <w:u w:val="none"/>
          </w:rPr>
          <w:t>restore</w:t>
        </w:r>
      </w:hyperlink>
      <w:r w:rsidRPr="00E5792B">
        <w:rPr>
          <w:color w:val="333333"/>
        </w:rPr>
        <w:t> structure, function, composition, and </w:t>
      </w:r>
      <w:hyperlink r:id="rId15" w:history="1">
        <w:r w:rsidRPr="00E5792B">
          <w:rPr>
            <w:rStyle w:val="Hyperlink"/>
            <w:rFonts w:eastAsiaTheme="majorEastAsia"/>
            <w:color w:val="001C72"/>
            <w:u w:val="none"/>
          </w:rPr>
          <w:t>connectivity</w:t>
        </w:r>
      </w:hyperlink>
      <w:r w:rsidRPr="00E5792B">
        <w:rPr>
          <w:color w:val="333333"/>
        </w:rPr>
        <w:t>, taking into account:</w:t>
      </w:r>
    </w:p>
    <w:p w14:paraId="688BD5E7" w14:textId="77777777" w:rsidR="008F4B5E" w:rsidRPr="00E5792B" w:rsidRDefault="008F4B5E" w:rsidP="008F4B5E">
      <w:pPr>
        <w:pStyle w:val="psection-3"/>
        <w:shd w:val="clear" w:color="auto" w:fill="FFFFFF"/>
        <w:spacing w:before="0" w:beforeAutospacing="0" w:after="150" w:afterAutospacing="0"/>
        <w:ind w:left="480"/>
        <w:rPr>
          <w:color w:val="333333"/>
        </w:rPr>
      </w:pPr>
      <w:r w:rsidRPr="00E5792B">
        <w:rPr>
          <w:rStyle w:val="enumxml"/>
          <w:rFonts w:eastAsiaTheme="majorEastAsia"/>
          <w:b/>
          <w:bCs/>
          <w:color w:val="333333"/>
        </w:rPr>
        <w:t>(i)</w:t>
      </w:r>
      <w:r w:rsidRPr="00E5792B">
        <w:rPr>
          <w:color w:val="333333"/>
        </w:rPr>
        <w:t> Interdependence of terrestrial and aquatic </w:t>
      </w:r>
      <w:hyperlink r:id="rId16" w:history="1">
        <w:r w:rsidRPr="00E5792B">
          <w:rPr>
            <w:rStyle w:val="Hyperlink"/>
            <w:rFonts w:eastAsiaTheme="majorEastAsia"/>
            <w:color w:val="001C72"/>
            <w:u w:val="none"/>
          </w:rPr>
          <w:t>ecosystems</w:t>
        </w:r>
      </w:hyperlink>
      <w:r w:rsidRPr="00E5792B">
        <w:rPr>
          <w:color w:val="333333"/>
        </w:rPr>
        <w:t> in the </w:t>
      </w:r>
      <w:hyperlink r:id="rId17" w:history="1">
        <w:r w:rsidRPr="00E5792B">
          <w:rPr>
            <w:rStyle w:val="Hyperlink"/>
            <w:rFonts w:eastAsiaTheme="majorEastAsia"/>
            <w:color w:val="001C72"/>
            <w:u w:val="none"/>
          </w:rPr>
          <w:t>plan area</w:t>
        </w:r>
      </w:hyperlink>
      <w:r w:rsidRPr="00E5792B">
        <w:rPr>
          <w:color w:val="333333"/>
        </w:rPr>
        <w:t>.</w:t>
      </w:r>
    </w:p>
    <w:p w14:paraId="5799E93D" w14:textId="77777777" w:rsidR="008F4B5E" w:rsidRPr="00E5792B" w:rsidRDefault="008F4B5E" w:rsidP="008F4B5E">
      <w:pPr>
        <w:pStyle w:val="psection-3"/>
        <w:shd w:val="clear" w:color="auto" w:fill="FFFFFF"/>
        <w:spacing w:before="0" w:beforeAutospacing="0" w:after="150" w:afterAutospacing="0"/>
        <w:ind w:left="480"/>
      </w:pPr>
      <w:r w:rsidRPr="00E5792B">
        <w:rPr>
          <w:rStyle w:val="enumxml"/>
          <w:rFonts w:eastAsiaTheme="majorEastAsia"/>
          <w:b/>
          <w:bCs/>
        </w:rPr>
        <w:t>(ii)</w:t>
      </w:r>
      <w:r w:rsidRPr="00E5792B">
        <w:t> Contributions of the </w:t>
      </w:r>
      <w:hyperlink r:id="rId18" w:history="1">
        <w:r w:rsidRPr="00E5792B">
          <w:rPr>
            <w:rStyle w:val="Hyperlink"/>
            <w:rFonts w:eastAsiaTheme="majorEastAsia"/>
            <w:color w:val="auto"/>
            <w:u w:val="none"/>
          </w:rPr>
          <w:t>plan area</w:t>
        </w:r>
      </w:hyperlink>
      <w:r w:rsidRPr="00E5792B">
        <w:t> to </w:t>
      </w:r>
      <w:hyperlink r:id="rId19" w:history="1">
        <w:r w:rsidRPr="00E5792B">
          <w:rPr>
            <w:rStyle w:val="Hyperlink"/>
            <w:rFonts w:eastAsiaTheme="majorEastAsia"/>
            <w:color w:val="auto"/>
            <w:u w:val="none"/>
          </w:rPr>
          <w:t>ecological conditions</w:t>
        </w:r>
      </w:hyperlink>
      <w:r w:rsidRPr="00E5792B">
        <w:t> within the broader </w:t>
      </w:r>
      <w:hyperlink r:id="rId20" w:history="1">
        <w:r w:rsidRPr="00E5792B">
          <w:rPr>
            <w:rStyle w:val="Hyperlink"/>
            <w:rFonts w:eastAsiaTheme="majorEastAsia"/>
            <w:color w:val="auto"/>
            <w:u w:val="none"/>
          </w:rPr>
          <w:t>landscape</w:t>
        </w:r>
      </w:hyperlink>
      <w:r w:rsidRPr="00E5792B">
        <w:t> influenced by the </w:t>
      </w:r>
      <w:hyperlink r:id="rId21" w:history="1">
        <w:r w:rsidRPr="00E5792B">
          <w:rPr>
            <w:rStyle w:val="Hyperlink"/>
            <w:rFonts w:eastAsiaTheme="majorEastAsia"/>
            <w:color w:val="auto"/>
            <w:u w:val="none"/>
          </w:rPr>
          <w:t>plan area</w:t>
        </w:r>
      </w:hyperlink>
      <w:r w:rsidRPr="00E5792B">
        <w:t>.</w:t>
      </w:r>
    </w:p>
    <w:p w14:paraId="4695BFB2" w14:textId="77777777" w:rsidR="008F4B5E" w:rsidRPr="00E5792B" w:rsidRDefault="008F4B5E" w:rsidP="008F4B5E">
      <w:pPr>
        <w:pStyle w:val="psection-3"/>
        <w:shd w:val="clear" w:color="auto" w:fill="FFFFFF"/>
        <w:spacing w:before="0" w:beforeAutospacing="0" w:after="150" w:afterAutospacing="0"/>
        <w:ind w:left="480"/>
      </w:pPr>
      <w:r w:rsidRPr="00E5792B">
        <w:rPr>
          <w:rStyle w:val="enumxml"/>
          <w:rFonts w:eastAsiaTheme="majorEastAsia"/>
          <w:b/>
          <w:bCs/>
        </w:rPr>
        <w:t>(iii)</w:t>
      </w:r>
      <w:r w:rsidRPr="00E5792B">
        <w:t> Conditions in the broader </w:t>
      </w:r>
      <w:hyperlink r:id="rId22" w:history="1">
        <w:r w:rsidRPr="00E5792B">
          <w:rPr>
            <w:rStyle w:val="Hyperlink"/>
            <w:rFonts w:eastAsiaTheme="majorEastAsia"/>
            <w:color w:val="auto"/>
            <w:u w:val="none"/>
          </w:rPr>
          <w:t>landscape</w:t>
        </w:r>
      </w:hyperlink>
      <w:r w:rsidRPr="00E5792B">
        <w:t> that may influence the </w:t>
      </w:r>
      <w:hyperlink r:id="rId23" w:history="1">
        <w:r w:rsidRPr="00E5792B">
          <w:rPr>
            <w:rStyle w:val="Hyperlink"/>
            <w:rFonts w:eastAsiaTheme="majorEastAsia"/>
            <w:color w:val="auto"/>
            <w:u w:val="none"/>
          </w:rPr>
          <w:t>sustainability</w:t>
        </w:r>
      </w:hyperlink>
      <w:r w:rsidRPr="00E5792B">
        <w:t> of resources and </w:t>
      </w:r>
      <w:hyperlink r:id="rId24" w:history="1">
        <w:r w:rsidRPr="00E5792B">
          <w:rPr>
            <w:rStyle w:val="Hyperlink"/>
            <w:rFonts w:eastAsiaTheme="majorEastAsia"/>
            <w:color w:val="auto"/>
            <w:u w:val="none"/>
          </w:rPr>
          <w:t>ecosystems</w:t>
        </w:r>
      </w:hyperlink>
      <w:r w:rsidRPr="00E5792B">
        <w:t> within the </w:t>
      </w:r>
      <w:hyperlink r:id="rId25" w:history="1">
        <w:r w:rsidRPr="00E5792B">
          <w:rPr>
            <w:rStyle w:val="Hyperlink"/>
            <w:rFonts w:eastAsiaTheme="majorEastAsia"/>
            <w:color w:val="auto"/>
            <w:u w:val="none"/>
          </w:rPr>
          <w:t>plan area</w:t>
        </w:r>
      </w:hyperlink>
      <w:r w:rsidRPr="00E5792B">
        <w:t>.</w:t>
      </w:r>
    </w:p>
    <w:p w14:paraId="79E7F723" w14:textId="77777777" w:rsidR="008F4B5E" w:rsidRPr="00E5792B" w:rsidRDefault="008F4B5E" w:rsidP="008F4B5E">
      <w:pPr>
        <w:pStyle w:val="psection-3"/>
        <w:shd w:val="clear" w:color="auto" w:fill="FFFFFF"/>
        <w:spacing w:before="0" w:beforeAutospacing="0" w:after="150" w:afterAutospacing="0"/>
        <w:ind w:left="480"/>
        <w:rPr>
          <w:color w:val="333333"/>
        </w:rPr>
      </w:pPr>
      <w:r w:rsidRPr="00E5792B">
        <w:rPr>
          <w:rStyle w:val="enumxml"/>
          <w:rFonts w:eastAsiaTheme="majorEastAsia"/>
          <w:b/>
          <w:bCs/>
          <w:color w:val="333333"/>
        </w:rPr>
        <w:lastRenderedPageBreak/>
        <w:t>(iv)</w:t>
      </w:r>
      <w:r w:rsidRPr="00E5792B">
        <w:rPr>
          <w:color w:val="333333"/>
        </w:rPr>
        <w:t> System drivers, including dominant ecological processes, </w:t>
      </w:r>
      <w:hyperlink r:id="rId26" w:history="1">
        <w:r w:rsidRPr="00E5792B">
          <w:rPr>
            <w:rStyle w:val="Hyperlink"/>
            <w:rFonts w:eastAsiaTheme="majorEastAsia"/>
            <w:color w:val="001C72"/>
            <w:u w:val="none"/>
          </w:rPr>
          <w:t>disturbance</w:t>
        </w:r>
      </w:hyperlink>
      <w:r w:rsidRPr="00E5792B">
        <w:rPr>
          <w:color w:val="333333"/>
        </w:rPr>
        <w:t> regimes, and </w:t>
      </w:r>
      <w:hyperlink r:id="rId27" w:history="1">
        <w:r w:rsidRPr="00E5792B">
          <w:rPr>
            <w:rStyle w:val="Hyperlink"/>
            <w:rFonts w:eastAsiaTheme="majorEastAsia"/>
            <w:color w:val="001C72"/>
            <w:u w:val="none"/>
          </w:rPr>
          <w:t>stressors</w:t>
        </w:r>
      </w:hyperlink>
      <w:r w:rsidRPr="00E5792B">
        <w:rPr>
          <w:color w:val="333333"/>
        </w:rPr>
        <w:t>, such as natural succession, wildland fire, invasive species, and climate change; and the ability of terrestrial and aquatic </w:t>
      </w:r>
      <w:hyperlink r:id="rId28" w:history="1">
        <w:r w:rsidRPr="00E5792B">
          <w:rPr>
            <w:rStyle w:val="Hyperlink"/>
            <w:rFonts w:eastAsiaTheme="majorEastAsia"/>
            <w:color w:val="001C72"/>
            <w:u w:val="none"/>
          </w:rPr>
          <w:t>ecosystems</w:t>
        </w:r>
      </w:hyperlink>
      <w:r w:rsidRPr="00E5792B">
        <w:rPr>
          <w:color w:val="333333"/>
        </w:rPr>
        <w:t> on the </w:t>
      </w:r>
      <w:hyperlink r:id="rId29" w:history="1">
        <w:r w:rsidRPr="00E5792B">
          <w:rPr>
            <w:rStyle w:val="Hyperlink"/>
            <w:rFonts w:eastAsiaTheme="majorEastAsia"/>
            <w:color w:val="001C72"/>
            <w:u w:val="none"/>
          </w:rPr>
          <w:t>plan area</w:t>
        </w:r>
      </w:hyperlink>
      <w:r w:rsidRPr="00E5792B">
        <w:rPr>
          <w:color w:val="333333"/>
        </w:rPr>
        <w:t> to adapt to change.</w:t>
      </w:r>
    </w:p>
    <w:p w14:paraId="5300F3FF" w14:textId="3CBA420E" w:rsidR="008F4B5E" w:rsidRPr="00E5792B" w:rsidRDefault="008F4B5E" w:rsidP="008F4B5E">
      <w:pPr>
        <w:pStyle w:val="psection-3"/>
        <w:shd w:val="clear" w:color="auto" w:fill="FFFFFF"/>
        <w:spacing w:before="0" w:beforeAutospacing="0" w:after="150" w:afterAutospacing="0"/>
        <w:ind w:left="480"/>
        <w:rPr>
          <w:color w:val="333333"/>
        </w:rPr>
      </w:pPr>
      <w:r w:rsidRPr="00E5792B">
        <w:rPr>
          <w:rStyle w:val="enumxml"/>
          <w:rFonts w:eastAsiaTheme="majorEastAsia"/>
          <w:b/>
          <w:bCs/>
          <w:color w:val="333333"/>
        </w:rPr>
        <w:t>(v)</w:t>
      </w:r>
      <w:r w:rsidRPr="00E5792B">
        <w:rPr>
          <w:color w:val="333333"/>
        </w:rPr>
        <w:t> Wildland fire and opportunities to </w:t>
      </w:r>
      <w:hyperlink r:id="rId30" w:history="1">
        <w:r w:rsidRPr="00E5792B">
          <w:rPr>
            <w:rStyle w:val="Hyperlink"/>
            <w:rFonts w:eastAsiaTheme="majorEastAsia"/>
            <w:color w:val="001C72"/>
            <w:u w:val="none"/>
          </w:rPr>
          <w:t>restore</w:t>
        </w:r>
      </w:hyperlink>
      <w:r w:rsidRPr="00E5792B">
        <w:rPr>
          <w:color w:val="333333"/>
        </w:rPr>
        <w:t xml:space="preserve"> fire </w:t>
      </w:r>
      <w:r w:rsidR="0088163F" w:rsidRPr="00E5792B">
        <w:rPr>
          <w:color w:val="333333"/>
        </w:rPr>
        <w:t>adapted</w:t>
      </w:r>
      <w:r w:rsidRPr="00E5792B">
        <w:rPr>
          <w:color w:val="333333"/>
        </w:rPr>
        <w:t xml:space="preserve"> ecosystems.</w:t>
      </w:r>
    </w:p>
    <w:p w14:paraId="669D6842" w14:textId="392379E7" w:rsidR="008F4B5E" w:rsidRPr="00E5792B" w:rsidRDefault="008F4B5E" w:rsidP="008F4B5E">
      <w:pPr>
        <w:pStyle w:val="psection-3"/>
        <w:shd w:val="clear" w:color="auto" w:fill="FFFFFF"/>
        <w:spacing w:before="0" w:beforeAutospacing="0" w:after="150" w:afterAutospacing="0"/>
        <w:ind w:left="480"/>
        <w:rPr>
          <w:color w:val="333333"/>
        </w:rPr>
      </w:pPr>
      <w:r w:rsidRPr="00E5792B">
        <w:rPr>
          <w:rStyle w:val="enumxml"/>
          <w:rFonts w:eastAsiaTheme="majorEastAsia"/>
          <w:b/>
          <w:bCs/>
          <w:color w:val="333333"/>
        </w:rPr>
        <w:t>(vi)</w:t>
      </w:r>
      <w:r w:rsidRPr="00E5792B">
        <w:rPr>
          <w:color w:val="333333"/>
        </w:rPr>
        <w:t> Opportunities for </w:t>
      </w:r>
      <w:hyperlink r:id="rId31" w:history="1">
        <w:r w:rsidRPr="00E5792B">
          <w:rPr>
            <w:rStyle w:val="Hyperlink"/>
            <w:rFonts w:eastAsiaTheme="majorEastAsia"/>
            <w:color w:val="001C72"/>
            <w:u w:val="none"/>
          </w:rPr>
          <w:t>landscape</w:t>
        </w:r>
      </w:hyperlink>
      <w:r w:rsidRPr="00E5792B">
        <w:rPr>
          <w:color w:val="333333"/>
        </w:rPr>
        <w:t> scale </w:t>
      </w:r>
      <w:hyperlink r:id="rId32" w:history="1">
        <w:r w:rsidRPr="00E5792B">
          <w:rPr>
            <w:rStyle w:val="Hyperlink"/>
            <w:rFonts w:eastAsiaTheme="majorEastAsia"/>
            <w:color w:val="001C72"/>
            <w:u w:val="none"/>
          </w:rPr>
          <w:t>restoration</w:t>
        </w:r>
      </w:hyperlink>
      <w:r w:rsidRPr="00E5792B">
        <w:rPr>
          <w:color w:val="333333"/>
        </w:rPr>
        <w:t>.</w:t>
      </w:r>
    </w:p>
    <w:p w14:paraId="31AA1412" w14:textId="7DE7929F" w:rsidR="008F4B5E" w:rsidRDefault="004B6527" w:rsidP="008F4B5E">
      <w:pPr>
        <w:rPr>
          <w:rFonts w:ascii="Times New Roman" w:hAnsi="Times New Roman" w:cs="Times New Roman"/>
          <w:sz w:val="24"/>
          <w:szCs w:val="24"/>
        </w:rPr>
      </w:pPr>
      <w:r w:rsidRPr="005A28FB">
        <w:rPr>
          <w:rFonts w:ascii="Times New Roman" w:hAnsi="Times New Roman" w:cs="Times New Roman"/>
          <w:b/>
          <w:bCs/>
          <w:sz w:val="24"/>
          <w:szCs w:val="24"/>
        </w:rPr>
        <w:t xml:space="preserve">2) </w:t>
      </w:r>
      <w:r w:rsidR="005A28FB" w:rsidRPr="005A28FB">
        <w:rPr>
          <w:rFonts w:ascii="Times New Roman" w:hAnsi="Times New Roman" w:cs="Times New Roman"/>
          <w:b/>
          <w:bCs/>
          <w:sz w:val="24"/>
          <w:szCs w:val="24"/>
        </w:rPr>
        <w:t>Heterogeneity=Resilience</w:t>
      </w:r>
      <w:r w:rsidR="005A28FB">
        <w:rPr>
          <w:rFonts w:ascii="Times New Roman" w:hAnsi="Times New Roman" w:cs="Times New Roman"/>
          <w:sz w:val="24"/>
          <w:szCs w:val="24"/>
        </w:rPr>
        <w:t>--</w:t>
      </w:r>
      <w:r w:rsidR="008F4B5E">
        <w:rPr>
          <w:rFonts w:ascii="Times New Roman" w:hAnsi="Times New Roman" w:cs="Times New Roman"/>
          <w:sz w:val="24"/>
          <w:szCs w:val="24"/>
        </w:rPr>
        <w:t xml:space="preserve">See </w:t>
      </w:r>
      <w:r w:rsidR="005A28FB">
        <w:rPr>
          <w:rFonts w:ascii="Times New Roman" w:hAnsi="Times New Roman" w:cs="Times New Roman"/>
          <w:sz w:val="24"/>
          <w:szCs w:val="24"/>
        </w:rPr>
        <w:t>(</w:t>
      </w:r>
      <w:r w:rsidR="008F4B5E">
        <w:rPr>
          <w:rFonts w:ascii="Times New Roman" w:hAnsi="Times New Roman" w:cs="Times New Roman"/>
          <w:sz w:val="24"/>
          <w:szCs w:val="24"/>
        </w:rPr>
        <w:t xml:space="preserve">Levine et al. 2022 attached) for a robust critique of the high severity fire effects of plantation forestry and NOTE that while the emphasis of the Levine paper pointed to industrial timberlands, </w:t>
      </w:r>
      <w:r w:rsidR="008F4B5E" w:rsidRPr="00B217BA">
        <w:rPr>
          <w:rFonts w:ascii="Times New Roman" w:hAnsi="Times New Roman" w:cs="Times New Roman"/>
          <w:b/>
          <w:bCs/>
          <w:sz w:val="24"/>
          <w:szCs w:val="24"/>
        </w:rPr>
        <w:t xml:space="preserve">it’s the primary uniform, high density stand structure that is the likely culprit </w:t>
      </w:r>
      <w:r w:rsidR="008F4B5E">
        <w:rPr>
          <w:rFonts w:ascii="Times New Roman" w:hAnsi="Times New Roman" w:cs="Times New Roman"/>
          <w:sz w:val="24"/>
          <w:szCs w:val="24"/>
        </w:rPr>
        <w:t xml:space="preserve">which </w:t>
      </w:r>
      <w:r>
        <w:rPr>
          <w:rFonts w:ascii="Times New Roman" w:hAnsi="Times New Roman" w:cs="Times New Roman"/>
          <w:sz w:val="24"/>
          <w:szCs w:val="24"/>
        </w:rPr>
        <w:t xml:space="preserve">is regularly replicated </w:t>
      </w:r>
      <w:r w:rsidR="008F4B5E">
        <w:rPr>
          <w:rFonts w:ascii="Times New Roman" w:hAnsi="Times New Roman" w:cs="Times New Roman"/>
          <w:sz w:val="24"/>
          <w:szCs w:val="24"/>
        </w:rPr>
        <w:t xml:space="preserve">on federal lands when </w:t>
      </w:r>
      <w:r w:rsidR="008F4B5E" w:rsidRPr="00104F5D">
        <w:rPr>
          <w:rFonts w:ascii="Times New Roman" w:hAnsi="Times New Roman" w:cs="Times New Roman"/>
          <w:sz w:val="24"/>
          <w:szCs w:val="24"/>
        </w:rPr>
        <w:t xml:space="preserve">planting </w:t>
      </w:r>
      <w:r>
        <w:rPr>
          <w:rFonts w:ascii="Times New Roman" w:hAnsi="Times New Roman" w:cs="Times New Roman"/>
          <w:sz w:val="24"/>
          <w:szCs w:val="24"/>
        </w:rPr>
        <w:t>200-</w:t>
      </w:r>
      <w:r w:rsidR="008F4B5E" w:rsidRPr="00104F5D">
        <w:rPr>
          <w:rFonts w:ascii="Times New Roman" w:hAnsi="Times New Roman" w:cs="Times New Roman"/>
          <w:sz w:val="24"/>
          <w:szCs w:val="24"/>
        </w:rPr>
        <w:t>300 T</w:t>
      </w:r>
      <w:r>
        <w:rPr>
          <w:rFonts w:ascii="Times New Roman" w:hAnsi="Times New Roman" w:cs="Times New Roman"/>
          <w:sz w:val="24"/>
          <w:szCs w:val="24"/>
        </w:rPr>
        <w:t>rees/acre</w:t>
      </w:r>
      <w:r w:rsidR="008F4B5E" w:rsidRPr="00104F5D">
        <w:rPr>
          <w:rFonts w:ascii="Times New Roman" w:hAnsi="Times New Roman" w:cs="Times New Roman"/>
          <w:sz w:val="24"/>
          <w:szCs w:val="24"/>
        </w:rPr>
        <w:t>.</w:t>
      </w:r>
      <w:r w:rsidR="008F4B5E">
        <w:rPr>
          <w:rFonts w:ascii="Times New Roman" w:hAnsi="Times New Roman" w:cs="Times New Roman"/>
          <w:sz w:val="24"/>
          <w:szCs w:val="24"/>
        </w:rPr>
        <w:t xml:space="preserve"> </w:t>
      </w:r>
      <w:r w:rsidR="0088163F">
        <w:rPr>
          <w:rFonts w:ascii="Times New Roman" w:hAnsi="Times New Roman" w:cs="Times New Roman"/>
          <w:sz w:val="24"/>
          <w:szCs w:val="24"/>
        </w:rPr>
        <w:t xml:space="preserve">The </w:t>
      </w:r>
    </w:p>
    <w:p w14:paraId="64D0B5A0" w14:textId="77777777" w:rsidR="008F4B5E" w:rsidRDefault="008F4B5E" w:rsidP="008F4B5E">
      <w:pPr>
        <w:rPr>
          <w:rFonts w:ascii="Times New Roman" w:hAnsi="Times New Roman" w:cs="Times New Roman"/>
          <w:sz w:val="24"/>
          <w:szCs w:val="24"/>
        </w:rPr>
      </w:pPr>
      <w:r>
        <w:rPr>
          <w:rFonts w:ascii="Times New Roman" w:hAnsi="Times New Roman" w:cs="Times New Roman"/>
          <w:sz w:val="24"/>
          <w:szCs w:val="24"/>
        </w:rPr>
        <w:t>(From Levine et al. 2022 pg. 6) “</w:t>
      </w:r>
      <w:r w:rsidRPr="00B217BA">
        <w:rPr>
          <w:rFonts w:ascii="Times New Roman" w:hAnsi="Times New Roman" w:cs="Times New Roman"/>
          <w:sz w:val="24"/>
          <w:szCs w:val="24"/>
        </w:rPr>
        <w:t xml:space="preserve">The heightened likelihood of high- severity fire both on and around industrially managed forests suggests that the predominant forest management practice on these lands (even- aged plantation forestry) may contribute to the broader pattern of increased high- severity fire incidence in California on land of all ownership types. This, together with the complex intermix of ownership types and </w:t>
      </w:r>
      <w:r w:rsidRPr="00B217BA">
        <w:rPr>
          <w:rFonts w:ascii="Times New Roman" w:hAnsi="Times New Roman" w:cs="Times New Roman"/>
          <w:b/>
          <w:bCs/>
          <w:sz w:val="24"/>
          <w:szCs w:val="24"/>
        </w:rPr>
        <w:t>evidence that high- severity fire effects may be spread across ownership boundaries</w:t>
      </w:r>
      <w:r w:rsidRPr="00B217BA">
        <w:rPr>
          <w:rFonts w:ascii="Times New Roman" w:hAnsi="Times New Roman" w:cs="Times New Roman"/>
          <w:sz w:val="24"/>
          <w:szCs w:val="24"/>
        </w:rPr>
        <w:t>, emphasizes the necessity of cross- ownership cooperation to reverse recent, concerning trends in extreme fire effects.</w:t>
      </w:r>
      <w:r>
        <w:rPr>
          <w:rFonts w:ascii="Times New Roman" w:hAnsi="Times New Roman" w:cs="Times New Roman"/>
          <w:sz w:val="24"/>
          <w:szCs w:val="24"/>
        </w:rPr>
        <w:t>”</w:t>
      </w:r>
    </w:p>
    <w:p w14:paraId="35D4B915" w14:textId="4F013C11" w:rsidR="008F4B5E" w:rsidRPr="00B217BA" w:rsidRDefault="008F4B5E" w:rsidP="008F4B5E">
      <w:pPr>
        <w:rPr>
          <w:rFonts w:ascii="Times New Roman" w:hAnsi="Times New Roman" w:cs="Times New Roman"/>
          <w:b/>
          <w:bCs/>
          <w:sz w:val="24"/>
          <w:szCs w:val="24"/>
        </w:rPr>
      </w:pPr>
      <w:r w:rsidRPr="00B217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217BA">
        <w:rPr>
          <w:rFonts w:ascii="Times New Roman" w:hAnsi="Times New Roman" w:cs="Times New Roman"/>
          <w:b/>
          <w:bCs/>
          <w:sz w:val="24"/>
          <w:szCs w:val="24"/>
        </w:rPr>
        <w:t xml:space="preserve"> Levine et al. 2022 pg.</w:t>
      </w:r>
      <w:r>
        <w:rPr>
          <w:rFonts w:ascii="Times New Roman" w:hAnsi="Times New Roman" w:cs="Times New Roman"/>
          <w:b/>
          <w:bCs/>
          <w:sz w:val="24"/>
          <w:szCs w:val="24"/>
        </w:rPr>
        <w:t xml:space="preserve"> </w:t>
      </w:r>
      <w:r w:rsidRPr="00B217BA">
        <w:rPr>
          <w:rFonts w:ascii="Times New Roman" w:hAnsi="Times New Roman" w:cs="Times New Roman"/>
          <w:b/>
          <w:bCs/>
          <w:sz w:val="24"/>
          <w:szCs w:val="24"/>
        </w:rPr>
        <w:t>4 graph</w:t>
      </w:r>
    </w:p>
    <w:p w14:paraId="34C0CCB9" w14:textId="37E52E85" w:rsidR="00FF4C58" w:rsidRDefault="008F4B5E">
      <w:pPr>
        <w:pStyle w:val="NoSpacing"/>
        <w:rPr>
          <w:sz w:val="24"/>
          <w:szCs w:val="24"/>
        </w:rPr>
      </w:pPr>
      <w:r>
        <w:rPr>
          <w:noProof/>
          <w:sz w:val="24"/>
          <w:szCs w:val="24"/>
        </w:rPr>
        <w:drawing>
          <wp:inline distT="0" distB="0" distL="0" distR="0" wp14:anchorId="71D35F84" wp14:editId="34F08DC8">
            <wp:extent cx="4267200" cy="3919633"/>
            <wp:effectExtent l="0" t="0" r="0" b="5080"/>
            <wp:docPr id="2142830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16717" cy="3965117"/>
                    </a:xfrm>
                    <a:prstGeom prst="rect">
                      <a:avLst/>
                    </a:prstGeom>
                    <a:noFill/>
                  </pic:spPr>
                </pic:pic>
              </a:graphicData>
            </a:graphic>
          </wp:inline>
        </w:drawing>
      </w:r>
    </w:p>
    <w:p w14:paraId="30B7F9F9" w14:textId="06419ADE" w:rsidR="004B6527" w:rsidRDefault="004B6527">
      <w:pPr>
        <w:pStyle w:val="NoSpacing"/>
        <w:rPr>
          <w:sz w:val="24"/>
          <w:szCs w:val="24"/>
        </w:rPr>
      </w:pPr>
      <w:r w:rsidRPr="00F93760">
        <w:rPr>
          <w:b/>
          <w:bCs/>
          <w:sz w:val="24"/>
          <w:szCs w:val="24"/>
        </w:rPr>
        <w:lastRenderedPageBreak/>
        <w:t>3) Consideration of Indigenous Knowledge</w:t>
      </w:r>
      <w:r>
        <w:rPr>
          <w:sz w:val="24"/>
          <w:szCs w:val="24"/>
        </w:rPr>
        <w:t>—</w:t>
      </w:r>
      <w:r w:rsidR="005F7177">
        <w:rPr>
          <w:sz w:val="24"/>
          <w:szCs w:val="24"/>
        </w:rPr>
        <w:t>it should be noted that traditional Native American cultures (in California</w:t>
      </w:r>
      <w:r w:rsidR="00E63C91">
        <w:rPr>
          <w:sz w:val="24"/>
          <w:szCs w:val="24"/>
        </w:rPr>
        <w:t xml:space="preserve"> and elsewhere</w:t>
      </w:r>
      <w:r w:rsidR="005F7177">
        <w:rPr>
          <w:sz w:val="24"/>
          <w:szCs w:val="24"/>
        </w:rPr>
        <w:t xml:space="preserve">) </w:t>
      </w:r>
      <w:r w:rsidR="00E63C91">
        <w:rPr>
          <w:sz w:val="24"/>
          <w:szCs w:val="24"/>
        </w:rPr>
        <w:t xml:space="preserve">have a deep economic, ecological, and spiritual relationship with fire. They generally abhor the use of toxic </w:t>
      </w:r>
      <w:r w:rsidR="0065415D">
        <w:rPr>
          <w:sz w:val="24"/>
          <w:szCs w:val="24"/>
        </w:rPr>
        <w:t>chemicals</w:t>
      </w:r>
      <w:r w:rsidR="00E63C91">
        <w:rPr>
          <w:sz w:val="24"/>
          <w:szCs w:val="24"/>
        </w:rPr>
        <w:t xml:space="preserve"> in land management where the risk of contamination is high for food and fiber gathering, central to Tribal cultures.  There is a deep cultural need to move away from management with chemical</w:t>
      </w:r>
      <w:r w:rsidR="001321A1">
        <w:rPr>
          <w:sz w:val="24"/>
          <w:szCs w:val="24"/>
        </w:rPr>
        <w:t>s</w:t>
      </w:r>
      <w:r w:rsidR="00E63C91">
        <w:rPr>
          <w:sz w:val="24"/>
          <w:szCs w:val="24"/>
        </w:rPr>
        <w:t xml:space="preserve"> to a more appropriate management and maintenance of resilience with fire with a critical benefit of supporting traditional</w:t>
      </w:r>
      <w:r w:rsidR="00F93760">
        <w:rPr>
          <w:sz w:val="24"/>
          <w:szCs w:val="24"/>
        </w:rPr>
        <w:t xml:space="preserve"> (safe)</w:t>
      </w:r>
      <w:r w:rsidR="00E63C91">
        <w:rPr>
          <w:sz w:val="24"/>
          <w:szCs w:val="24"/>
        </w:rPr>
        <w:t xml:space="preserve"> gathering sites for Tribal communities and increasing opportunities for indigenous </w:t>
      </w:r>
      <w:r w:rsidR="00F93760">
        <w:rPr>
          <w:sz w:val="24"/>
          <w:szCs w:val="24"/>
        </w:rPr>
        <w:t xml:space="preserve">fire use. </w:t>
      </w:r>
    </w:p>
    <w:p w14:paraId="59FD3EC4" w14:textId="77777777" w:rsidR="004B6527" w:rsidRDefault="004B6527">
      <w:pPr>
        <w:pStyle w:val="NoSpacing"/>
        <w:rPr>
          <w:sz w:val="24"/>
          <w:szCs w:val="24"/>
        </w:rPr>
      </w:pPr>
    </w:p>
    <w:p w14:paraId="75AF0E05" w14:textId="77777777" w:rsidR="004B6527" w:rsidRDefault="004B6527">
      <w:pPr>
        <w:pStyle w:val="NoSpacing"/>
        <w:rPr>
          <w:sz w:val="24"/>
          <w:szCs w:val="24"/>
        </w:rPr>
      </w:pPr>
    </w:p>
    <w:p w14:paraId="0DE18053" w14:textId="4DCB40A4" w:rsidR="004B6527" w:rsidRDefault="004B6527">
      <w:pPr>
        <w:pStyle w:val="NoSpacing"/>
        <w:rPr>
          <w:sz w:val="24"/>
          <w:szCs w:val="24"/>
        </w:rPr>
      </w:pPr>
      <w:r w:rsidRPr="00E5792B">
        <w:rPr>
          <w:b/>
          <w:bCs/>
          <w:sz w:val="24"/>
          <w:szCs w:val="24"/>
        </w:rPr>
        <w:t>4) Consideration of Old Growth Forests</w:t>
      </w:r>
      <w:r w:rsidRPr="00E5792B">
        <w:rPr>
          <w:sz w:val="24"/>
          <w:szCs w:val="24"/>
        </w:rPr>
        <w:t>—</w:t>
      </w:r>
      <w:r w:rsidR="005F7177" w:rsidRPr="00E5792B">
        <w:rPr>
          <w:sz w:val="24"/>
          <w:szCs w:val="24"/>
        </w:rPr>
        <w:t xml:space="preserve">the pending Old Growth Forest Conservation Strategy </w:t>
      </w:r>
      <w:r w:rsidR="006043E7" w:rsidRPr="00E5792B">
        <w:rPr>
          <w:sz w:val="24"/>
          <w:szCs w:val="24"/>
        </w:rPr>
        <w:t>will require a solid commitment to re-establishing the old forest component in ecosystems across the country and doing so with active management with fire and thinning prescriptions that support resilience</w:t>
      </w:r>
      <w:r w:rsidR="005A28FB" w:rsidRPr="00E5792B">
        <w:rPr>
          <w:sz w:val="24"/>
          <w:szCs w:val="24"/>
        </w:rPr>
        <w:t xml:space="preserve"> and enhance </w:t>
      </w:r>
      <w:r w:rsidR="005B3554" w:rsidRPr="00E5792B">
        <w:rPr>
          <w:sz w:val="24"/>
          <w:szCs w:val="24"/>
        </w:rPr>
        <w:t xml:space="preserve">the </w:t>
      </w:r>
      <w:r w:rsidR="005A28FB" w:rsidRPr="00E5792B">
        <w:rPr>
          <w:sz w:val="24"/>
          <w:szCs w:val="24"/>
        </w:rPr>
        <w:t>larger tree</w:t>
      </w:r>
      <w:r w:rsidR="005B3554" w:rsidRPr="00E5792B">
        <w:rPr>
          <w:sz w:val="24"/>
          <w:szCs w:val="24"/>
        </w:rPr>
        <w:t xml:space="preserve"> size class</w:t>
      </w:r>
      <w:r w:rsidR="005A28FB" w:rsidRPr="00E5792B">
        <w:rPr>
          <w:sz w:val="24"/>
          <w:szCs w:val="24"/>
        </w:rPr>
        <w:t xml:space="preserve"> across the landscape based on appropriate scientific understanding of ecosystems across the country. Silvicultural prescriptions that support replacement cohorts for larger trees lost to disturbance and at the same time limiting ladder fuels and densities that easily carry fire will be critical.</w:t>
      </w:r>
      <w:r w:rsidR="005A28FB">
        <w:rPr>
          <w:sz w:val="24"/>
          <w:szCs w:val="24"/>
        </w:rPr>
        <w:t xml:space="preserve"> </w:t>
      </w:r>
    </w:p>
    <w:p w14:paraId="757F7F66" w14:textId="77777777" w:rsidR="004B6527" w:rsidRDefault="004B6527">
      <w:pPr>
        <w:pStyle w:val="NoSpacing"/>
        <w:rPr>
          <w:sz w:val="24"/>
          <w:szCs w:val="24"/>
        </w:rPr>
      </w:pPr>
    </w:p>
    <w:p w14:paraId="1EF3321E" w14:textId="097BB597" w:rsidR="004B6527" w:rsidRPr="004B6527" w:rsidRDefault="004B6527" w:rsidP="004B6527">
      <w:pPr>
        <w:rPr>
          <w:rFonts w:ascii="Times New Roman" w:hAnsi="Times New Roman" w:cs="Times New Roman"/>
          <w:sz w:val="24"/>
          <w:szCs w:val="24"/>
        </w:rPr>
      </w:pPr>
      <w:r>
        <w:rPr>
          <w:sz w:val="24"/>
          <w:szCs w:val="24"/>
        </w:rPr>
        <w:t xml:space="preserve">5) The new </w:t>
      </w:r>
      <w:r w:rsidRPr="004B6527">
        <w:rPr>
          <w:rFonts w:ascii="Times New Roman" w:hAnsi="Times New Roman" w:cs="Times New Roman"/>
          <w:sz w:val="24"/>
          <w:szCs w:val="24"/>
        </w:rPr>
        <w:t>NEPA</w:t>
      </w:r>
      <w:r w:rsidR="005B3554">
        <w:rPr>
          <w:rFonts w:ascii="Times New Roman" w:hAnsi="Times New Roman" w:cs="Times New Roman"/>
          <w:sz w:val="24"/>
          <w:szCs w:val="24"/>
        </w:rPr>
        <w:t xml:space="preserve"> </w:t>
      </w:r>
      <w:r w:rsidRPr="004B6527">
        <w:rPr>
          <w:rFonts w:ascii="Times New Roman" w:hAnsi="Times New Roman" w:cs="Times New Roman"/>
          <w:sz w:val="24"/>
          <w:szCs w:val="24"/>
        </w:rPr>
        <w:t xml:space="preserve">requirements to address </w:t>
      </w:r>
      <w:r w:rsidRPr="004B6527">
        <w:rPr>
          <w:rFonts w:ascii="Times New Roman" w:hAnsi="Times New Roman" w:cs="Times New Roman"/>
          <w:b/>
          <w:bCs/>
          <w:sz w:val="24"/>
          <w:szCs w:val="24"/>
        </w:rPr>
        <w:t>new Climate Change regulations under the CEQ GHG Interim Guidelines Executive Order 13990</w:t>
      </w:r>
      <w:r w:rsidRPr="004B6527">
        <w:rPr>
          <w:rFonts w:ascii="Times New Roman" w:hAnsi="Times New Roman" w:cs="Times New Roman"/>
          <w:sz w:val="24"/>
          <w:szCs w:val="24"/>
        </w:rPr>
        <w:t xml:space="preserve"> on January 9, 2023, at: </w:t>
      </w:r>
    </w:p>
    <w:p w14:paraId="72D65F85" w14:textId="77777777" w:rsidR="004B6527" w:rsidRPr="004B6527" w:rsidRDefault="004B6527" w:rsidP="004B6527">
      <w:pPr>
        <w:rPr>
          <w:rFonts w:ascii="Times New Roman" w:hAnsi="Times New Roman" w:cs="Times New Roman"/>
          <w:sz w:val="24"/>
          <w:szCs w:val="24"/>
        </w:rPr>
      </w:pPr>
      <w:hyperlink r:id="rId34" w:history="1">
        <w:r w:rsidRPr="004B6527">
          <w:rPr>
            <w:rFonts w:ascii="Times New Roman" w:hAnsi="Times New Roman" w:cs="Times New Roman"/>
            <w:color w:val="467886" w:themeColor="hyperlink"/>
            <w:sz w:val="24"/>
            <w:szCs w:val="24"/>
            <w:u w:val="single"/>
          </w:rPr>
          <w:t>https://ceq.doe.gov/guidance/ceq_guidance_nepa-ghg.html</w:t>
        </w:r>
      </w:hyperlink>
    </w:p>
    <w:p w14:paraId="251B5B1E" w14:textId="7F757195" w:rsidR="004B6527" w:rsidRPr="00E5792B" w:rsidRDefault="00E5792B" w:rsidP="004B6527">
      <w:pPr>
        <w:rPr>
          <w:rFonts w:ascii="Times New Roman" w:hAnsi="Times New Roman" w:cs="Times New Roman"/>
          <w:sz w:val="24"/>
          <w:szCs w:val="24"/>
        </w:rPr>
      </w:pPr>
      <w:r w:rsidRPr="00E5792B">
        <w:rPr>
          <w:rFonts w:ascii="Times New Roman" w:hAnsi="Times New Roman" w:cs="Times New Roman"/>
          <w:sz w:val="24"/>
          <w:szCs w:val="24"/>
        </w:rPr>
        <w:t>This</w:t>
      </w:r>
      <w:r w:rsidR="004B6527" w:rsidRPr="00E5792B">
        <w:rPr>
          <w:rFonts w:ascii="Times New Roman" w:hAnsi="Times New Roman" w:cs="Times New Roman"/>
          <w:sz w:val="24"/>
          <w:szCs w:val="24"/>
        </w:rPr>
        <w:t xml:space="preserve"> is particularly relevant because adapting </w:t>
      </w:r>
      <w:r w:rsidR="005F7177" w:rsidRPr="00E5792B">
        <w:rPr>
          <w:rFonts w:ascii="Times New Roman" w:hAnsi="Times New Roman" w:cs="Times New Roman"/>
          <w:sz w:val="24"/>
          <w:szCs w:val="24"/>
        </w:rPr>
        <w:t>r</w:t>
      </w:r>
      <w:r w:rsidR="004B6527" w:rsidRPr="00E5792B">
        <w:rPr>
          <w:rFonts w:ascii="Times New Roman" w:hAnsi="Times New Roman" w:cs="Times New Roman"/>
          <w:sz w:val="24"/>
          <w:szCs w:val="24"/>
        </w:rPr>
        <w:t xml:space="preserve">estoration </w:t>
      </w:r>
      <w:r w:rsidR="005F7177" w:rsidRPr="00E5792B">
        <w:rPr>
          <w:rFonts w:ascii="Times New Roman" w:hAnsi="Times New Roman" w:cs="Times New Roman"/>
          <w:sz w:val="24"/>
          <w:szCs w:val="24"/>
        </w:rPr>
        <w:t xml:space="preserve">efforts </w:t>
      </w:r>
      <w:r w:rsidR="004B6527" w:rsidRPr="00E5792B">
        <w:rPr>
          <w:rFonts w:ascii="Times New Roman" w:hAnsi="Times New Roman" w:cs="Times New Roman"/>
          <w:sz w:val="24"/>
          <w:szCs w:val="24"/>
        </w:rPr>
        <w:t>to showcase</w:t>
      </w:r>
      <w:r w:rsidR="005F7177" w:rsidRPr="00E5792B">
        <w:rPr>
          <w:rFonts w:ascii="Times New Roman" w:hAnsi="Times New Roman" w:cs="Times New Roman"/>
          <w:sz w:val="24"/>
          <w:szCs w:val="24"/>
        </w:rPr>
        <w:t xml:space="preserve"> </w:t>
      </w:r>
      <w:r w:rsidR="004B6527" w:rsidRPr="00E5792B">
        <w:rPr>
          <w:rFonts w:ascii="Times New Roman" w:hAnsi="Times New Roman" w:cs="Times New Roman"/>
          <w:sz w:val="24"/>
          <w:szCs w:val="24"/>
        </w:rPr>
        <w:t xml:space="preserve">increased climate and wildfire sensitive reforestation </w:t>
      </w:r>
      <w:r w:rsidR="00E63C91" w:rsidRPr="00E5792B">
        <w:rPr>
          <w:rFonts w:ascii="Times New Roman" w:hAnsi="Times New Roman" w:cs="Times New Roman"/>
          <w:sz w:val="24"/>
          <w:szCs w:val="24"/>
        </w:rPr>
        <w:t>and early fire reintroduction are essential to climate adaptation</w:t>
      </w:r>
      <w:r w:rsidR="004B6527" w:rsidRPr="00E5792B">
        <w:rPr>
          <w:rFonts w:ascii="Times New Roman" w:hAnsi="Times New Roman" w:cs="Times New Roman"/>
          <w:sz w:val="24"/>
          <w:szCs w:val="24"/>
        </w:rPr>
        <w:t>.</w:t>
      </w:r>
      <w:r w:rsidR="005F7177" w:rsidRPr="00E5792B">
        <w:rPr>
          <w:rFonts w:ascii="Times New Roman" w:hAnsi="Times New Roman" w:cs="Times New Roman"/>
          <w:sz w:val="24"/>
          <w:szCs w:val="24"/>
        </w:rPr>
        <w:t xml:space="preserve"> In California, Regional Ecologists and PSW scientists correctly assert that there is “no ecological analog” associated with landscape plantation uniformity. </w:t>
      </w:r>
    </w:p>
    <w:p w14:paraId="0246D942" w14:textId="11E448D0" w:rsidR="005F7177" w:rsidRDefault="005F7177" w:rsidP="004B6527">
      <w:pPr>
        <w:rPr>
          <w:rFonts w:ascii="Times New Roman" w:hAnsi="Times New Roman" w:cs="Times New Roman"/>
          <w:color w:val="467886" w:themeColor="hyperlink"/>
          <w:sz w:val="24"/>
          <w:szCs w:val="24"/>
          <w:u w:val="single"/>
        </w:rPr>
      </w:pPr>
      <w:r w:rsidRPr="00E5792B">
        <w:rPr>
          <w:rFonts w:ascii="Times New Roman" w:hAnsi="Times New Roman" w:cs="Times New Roman"/>
          <w:sz w:val="24"/>
          <w:szCs w:val="24"/>
        </w:rPr>
        <w:t>Reforestation recommendations that fail to consider ecological integrity are outdated, lack fire resilience and drought tolerance and have “no ecological analog” in our frequent fire ecosystems (Meyer and North 2024)</w:t>
      </w:r>
      <w:r w:rsidRPr="00E5792B">
        <w:rPr>
          <w:rFonts w:ascii="Times New Roman" w:hAnsi="Times New Roman" w:cs="Times New Roman"/>
          <w:b/>
          <w:bCs/>
          <w:sz w:val="24"/>
          <w:szCs w:val="24"/>
        </w:rPr>
        <w:t>—</w:t>
      </w:r>
      <w:r w:rsidRPr="00E5792B">
        <w:rPr>
          <w:rFonts w:ascii="Times New Roman" w:hAnsi="Times New Roman" w:cs="Times New Roman"/>
          <w:sz w:val="24"/>
          <w:szCs w:val="24"/>
        </w:rPr>
        <w:t xml:space="preserve">Fire Science Consortium  presentations at: </w:t>
      </w:r>
      <w:hyperlink r:id="rId35" w:history="1">
        <w:r w:rsidRPr="00E5792B">
          <w:rPr>
            <w:rFonts w:ascii="Times New Roman" w:hAnsi="Times New Roman" w:cs="Times New Roman"/>
            <w:color w:val="467886" w:themeColor="hyperlink"/>
            <w:sz w:val="24"/>
            <w:szCs w:val="24"/>
            <w:u w:val="single"/>
          </w:rPr>
          <w:t>https://www.youtube.com/watch?v=Tu92373T8Gg&amp;t=208s</w:t>
        </w:r>
      </w:hyperlink>
    </w:p>
    <w:p w14:paraId="5DE5F4AE" w14:textId="0BAABB51" w:rsidR="005B3554" w:rsidRPr="005B3554" w:rsidRDefault="005B3554" w:rsidP="005B3554">
      <w:pPr>
        <w:rPr>
          <w:rFonts w:ascii="Times New Roman" w:hAnsi="Times New Roman" w:cs="Times New Roman"/>
          <w:sz w:val="24"/>
          <w:szCs w:val="24"/>
        </w:rPr>
      </w:pPr>
      <w:r>
        <w:rPr>
          <w:rFonts w:ascii="Times New Roman" w:hAnsi="Times New Roman" w:cs="Times New Roman"/>
          <w:sz w:val="24"/>
          <w:szCs w:val="24"/>
        </w:rPr>
        <w:t>Also s</w:t>
      </w:r>
      <w:r w:rsidRPr="005B3554">
        <w:rPr>
          <w:rFonts w:ascii="Times New Roman" w:hAnsi="Times New Roman" w:cs="Times New Roman"/>
          <w:sz w:val="24"/>
          <w:szCs w:val="24"/>
        </w:rPr>
        <w:t>ee the slide presentation (below) from PSW Vegetation Ecologist Malcolm North making the case for rethinking reforestation approaches:</w:t>
      </w:r>
    </w:p>
    <w:p w14:paraId="557A91DD" w14:textId="59E899BE" w:rsidR="005B3554" w:rsidRDefault="005B3554" w:rsidP="005B3554">
      <w:pPr>
        <w:rPr>
          <w:rFonts w:ascii="Times New Roman" w:hAnsi="Times New Roman" w:cs="Times New Roman"/>
          <w:color w:val="467886" w:themeColor="hyperlink"/>
          <w:sz w:val="24"/>
          <w:szCs w:val="24"/>
          <w:u w:val="single"/>
        </w:rPr>
      </w:pPr>
      <w:hyperlink r:id="rId36" w:history="1">
        <w:r w:rsidRPr="005B3554">
          <w:rPr>
            <w:rFonts w:ascii="Times New Roman" w:hAnsi="Times New Roman" w:cs="Times New Roman"/>
            <w:color w:val="467886" w:themeColor="hyperlink"/>
            <w:sz w:val="24"/>
            <w:szCs w:val="24"/>
            <w:u w:val="single"/>
          </w:rPr>
          <w:t>https://scale.sierrainstitute.us/wp-content/uploads/2023/07/Malcolm-North_Keynote.pdf</w:t>
        </w:r>
      </w:hyperlink>
    </w:p>
    <w:p w14:paraId="19C60CCE" w14:textId="5EEB54B5" w:rsidR="005B3554" w:rsidRPr="00E5792B" w:rsidRDefault="00511B9B" w:rsidP="004B6527">
      <w:pPr>
        <w:rPr>
          <w:rFonts w:ascii="Times New Roman" w:hAnsi="Times New Roman" w:cs="Times New Roman"/>
          <w:sz w:val="24"/>
          <w:szCs w:val="24"/>
        </w:rPr>
      </w:pPr>
      <w:r w:rsidRPr="00D809FF">
        <w:rPr>
          <w:rFonts w:ascii="Times New Roman" w:hAnsi="Times New Roman" w:cs="Times New Roman"/>
          <w:b/>
          <w:bCs/>
          <w:sz w:val="24"/>
          <w:szCs w:val="24"/>
        </w:rPr>
        <w:t>6) Climate informed reforestation</w:t>
      </w:r>
      <w:r>
        <w:rPr>
          <w:rFonts w:ascii="Times New Roman" w:hAnsi="Times New Roman" w:cs="Times New Roman"/>
          <w:sz w:val="24"/>
          <w:szCs w:val="24"/>
        </w:rPr>
        <w:t xml:space="preserve"> </w:t>
      </w:r>
      <w:r w:rsidR="00D809FF">
        <w:rPr>
          <w:rFonts w:ascii="Times New Roman" w:hAnsi="Times New Roman" w:cs="Times New Roman"/>
          <w:sz w:val="24"/>
          <w:szCs w:val="24"/>
        </w:rPr>
        <w:t xml:space="preserve">(2472.3 page 29 of the draft language) </w:t>
      </w:r>
      <w:r>
        <w:rPr>
          <w:rFonts w:ascii="Times New Roman" w:hAnsi="Times New Roman" w:cs="Times New Roman"/>
          <w:sz w:val="24"/>
          <w:szCs w:val="24"/>
        </w:rPr>
        <w:t xml:space="preserve">is critical across the country and especially so in frequent-fire ecosystems in the West (especially in California in Region 5) </w:t>
      </w:r>
      <w:r w:rsidR="00525162">
        <w:rPr>
          <w:rFonts w:ascii="Times New Roman" w:hAnsi="Times New Roman" w:cs="Times New Roman"/>
          <w:sz w:val="24"/>
          <w:szCs w:val="24"/>
        </w:rPr>
        <w:t xml:space="preserve">where we live in one of the most naturally fire prone landscapes on Planet Earth (Moreira et al. 2020). Key considerations are uncharacteristic, uniform stand structure and drought intolerance in a warming climate. Traditional timber production tree densities in old forest plans (example: the 1989 Eldorado NF-Forest Plan makes no mention of climate change and proposes planting densities over 300/TPA. The ENF plan was amended in 2004 BUT NOT </w:t>
      </w:r>
      <w:r w:rsidR="00525162" w:rsidRPr="00E5792B">
        <w:rPr>
          <w:rFonts w:ascii="Times New Roman" w:hAnsi="Times New Roman" w:cs="Times New Roman"/>
          <w:sz w:val="24"/>
          <w:szCs w:val="24"/>
        </w:rPr>
        <w:lastRenderedPageBreak/>
        <w:t>THE REFORESTATION CHAPTER). These production plantation forestry models have no place in the frequent fire landscapes of California—they are the antithesis of Ecological Integrity called out in the 2012 Forest Planning Rule at 36 CFR 219.8 (a) (1).</w:t>
      </w:r>
    </w:p>
    <w:p w14:paraId="2D9469E8" w14:textId="3EBF54DF" w:rsidR="00F766A5" w:rsidRPr="00E5792B" w:rsidRDefault="00F766A5" w:rsidP="004B6527">
      <w:pPr>
        <w:rPr>
          <w:rFonts w:ascii="Times New Roman" w:hAnsi="Times New Roman" w:cs="Times New Roman"/>
          <w:sz w:val="24"/>
          <w:szCs w:val="24"/>
        </w:rPr>
      </w:pPr>
      <w:r w:rsidRPr="00E5792B">
        <w:rPr>
          <w:rFonts w:ascii="Times New Roman" w:hAnsi="Times New Roman" w:cs="Times New Roman"/>
          <w:sz w:val="24"/>
          <w:szCs w:val="24"/>
        </w:rPr>
        <w:t>The Silvicultural Practices FSM should reference the 2012 Forest Planning Rule and not base</w:t>
      </w:r>
      <w:r w:rsidR="00C05182" w:rsidRPr="00E5792B">
        <w:rPr>
          <w:rFonts w:ascii="Times New Roman" w:hAnsi="Times New Roman" w:cs="Times New Roman"/>
          <w:sz w:val="24"/>
          <w:szCs w:val="24"/>
        </w:rPr>
        <w:t>d</w:t>
      </w:r>
      <w:r w:rsidRPr="00E5792B">
        <w:rPr>
          <w:rFonts w:ascii="Times New Roman" w:hAnsi="Times New Roman" w:cs="Times New Roman"/>
          <w:sz w:val="24"/>
          <w:szCs w:val="24"/>
        </w:rPr>
        <w:t xml:space="preserve"> </w:t>
      </w:r>
      <w:r w:rsidR="00C05182" w:rsidRPr="00E5792B">
        <w:rPr>
          <w:rFonts w:ascii="Times New Roman" w:hAnsi="Times New Roman" w:cs="Times New Roman"/>
          <w:sz w:val="24"/>
          <w:szCs w:val="24"/>
        </w:rPr>
        <w:t xml:space="preserve">on “as directed by land management plans” when that plans have not been updated to be consistent with the 2012 Forest Planning Rule (which itself is 12 years old). </w:t>
      </w:r>
    </w:p>
    <w:p w14:paraId="0CE7F55D" w14:textId="79E4BFE4" w:rsidR="005113FE" w:rsidRPr="00E5792B" w:rsidRDefault="00D809FF" w:rsidP="004B6527">
      <w:r w:rsidRPr="00E5792B">
        <w:rPr>
          <w:rFonts w:ascii="Times New Roman" w:hAnsi="Times New Roman" w:cs="Times New Roman"/>
          <w:b/>
          <w:bCs/>
          <w:sz w:val="24"/>
          <w:szCs w:val="24"/>
        </w:rPr>
        <w:t>7) Improving Working Relationships between silvicultural and fuels (especially with fire</w:t>
      </w:r>
      <w:r w:rsidRPr="00E5792B">
        <w:rPr>
          <w:rFonts w:ascii="Times New Roman" w:hAnsi="Times New Roman" w:cs="Times New Roman"/>
          <w:sz w:val="24"/>
          <w:szCs w:val="24"/>
        </w:rPr>
        <w:t xml:space="preserve"> </w:t>
      </w:r>
      <w:r w:rsidRPr="00E5792B">
        <w:rPr>
          <w:rFonts w:ascii="Times New Roman" w:hAnsi="Times New Roman" w:cs="Times New Roman"/>
          <w:b/>
          <w:bCs/>
          <w:sz w:val="24"/>
          <w:szCs w:val="24"/>
        </w:rPr>
        <w:t>managers).</w:t>
      </w:r>
      <w:r w:rsidRPr="00E5792B">
        <w:rPr>
          <w:rFonts w:ascii="Times New Roman" w:hAnsi="Times New Roman" w:cs="Times New Roman"/>
          <w:sz w:val="24"/>
          <w:szCs w:val="24"/>
        </w:rPr>
        <w:t xml:space="preserve"> The workforce should 100 percent focused on ecosystem management and to “</w:t>
      </w:r>
      <w:hyperlink r:id="rId37" w:history="1">
        <w:r w:rsidRPr="00E5792B">
          <w:rPr>
            <w:rStyle w:val="Hyperlink"/>
            <w:rFonts w:eastAsiaTheme="majorEastAsia"/>
            <w:color w:val="auto"/>
            <w:u w:val="none"/>
          </w:rPr>
          <w:t>maintain</w:t>
        </w:r>
      </w:hyperlink>
      <w:r w:rsidRPr="00E5792B">
        <w:t> or </w:t>
      </w:r>
      <w:hyperlink r:id="rId38" w:history="1">
        <w:r w:rsidRPr="00E5792B">
          <w:rPr>
            <w:rStyle w:val="Hyperlink"/>
            <w:rFonts w:eastAsiaTheme="majorEastAsia"/>
            <w:color w:val="auto"/>
            <w:u w:val="none"/>
          </w:rPr>
          <w:t>restore</w:t>
        </w:r>
      </w:hyperlink>
      <w:r w:rsidRPr="00E5792B">
        <w:t> the </w:t>
      </w:r>
      <w:hyperlink r:id="rId39" w:history="1">
        <w:r w:rsidRPr="00E5792B">
          <w:rPr>
            <w:rStyle w:val="Hyperlink"/>
            <w:rFonts w:eastAsiaTheme="majorEastAsia"/>
            <w:color w:val="auto"/>
            <w:u w:val="none"/>
          </w:rPr>
          <w:t>ecological integrity</w:t>
        </w:r>
      </w:hyperlink>
      <w:r w:rsidRPr="00E5792B">
        <w:t> of terrestrial and aquatic </w:t>
      </w:r>
      <w:hyperlink r:id="rId40" w:history="1">
        <w:r w:rsidRPr="00E5792B">
          <w:rPr>
            <w:rStyle w:val="Hyperlink"/>
            <w:rFonts w:eastAsiaTheme="majorEastAsia"/>
            <w:color w:val="auto"/>
            <w:u w:val="none"/>
          </w:rPr>
          <w:t>ecosystems</w:t>
        </w:r>
      </w:hyperlink>
      <w:r w:rsidRPr="00E5792B">
        <w:t> and </w:t>
      </w:r>
      <w:hyperlink r:id="rId41" w:history="1">
        <w:r w:rsidRPr="00E5792B">
          <w:rPr>
            <w:rStyle w:val="Hyperlink"/>
            <w:rFonts w:eastAsiaTheme="majorEastAsia"/>
            <w:color w:val="auto"/>
            <w:u w:val="none"/>
          </w:rPr>
          <w:t>watersheds</w:t>
        </w:r>
      </w:hyperlink>
      <w:r w:rsidRPr="00E5792B">
        <w:t> in the </w:t>
      </w:r>
      <w:hyperlink r:id="rId42" w:history="1">
        <w:r w:rsidRPr="00E5792B">
          <w:rPr>
            <w:rStyle w:val="Hyperlink"/>
            <w:rFonts w:eastAsiaTheme="majorEastAsia"/>
            <w:color w:val="auto"/>
            <w:u w:val="none"/>
          </w:rPr>
          <w:t>plan area</w:t>
        </w:r>
      </w:hyperlink>
      <w:r w:rsidRPr="00E5792B">
        <w:t>, including plan components to </w:t>
      </w:r>
      <w:hyperlink r:id="rId43" w:history="1">
        <w:r w:rsidRPr="00E5792B">
          <w:rPr>
            <w:rStyle w:val="Hyperlink"/>
            <w:rFonts w:eastAsiaTheme="majorEastAsia"/>
            <w:color w:val="auto"/>
            <w:u w:val="none"/>
          </w:rPr>
          <w:t>maintain</w:t>
        </w:r>
      </w:hyperlink>
      <w:r w:rsidRPr="00E5792B">
        <w:t> or </w:t>
      </w:r>
      <w:hyperlink r:id="rId44" w:history="1">
        <w:r w:rsidRPr="00E5792B">
          <w:rPr>
            <w:rStyle w:val="Hyperlink"/>
            <w:rFonts w:eastAsiaTheme="majorEastAsia"/>
            <w:color w:val="auto"/>
            <w:u w:val="none"/>
          </w:rPr>
          <w:t>restore</w:t>
        </w:r>
      </w:hyperlink>
      <w:r w:rsidRPr="00E5792B">
        <w:t> structure, function, composition, and </w:t>
      </w:r>
      <w:hyperlink r:id="rId45" w:history="1">
        <w:r w:rsidRPr="00E5792B">
          <w:rPr>
            <w:rStyle w:val="Hyperlink"/>
            <w:rFonts w:eastAsiaTheme="majorEastAsia"/>
            <w:color w:val="auto"/>
            <w:u w:val="none"/>
          </w:rPr>
          <w:t>connectivity</w:t>
        </w:r>
      </w:hyperlink>
      <w:r w:rsidRPr="00E5792B">
        <w:t xml:space="preserve">” . . . </w:t>
      </w:r>
    </w:p>
    <w:p w14:paraId="0F865962" w14:textId="4B408217" w:rsidR="00D809FF" w:rsidRPr="00D809FF" w:rsidRDefault="00D809FF" w:rsidP="004B6527">
      <w:pPr>
        <w:rPr>
          <w:rFonts w:ascii="Times New Roman" w:hAnsi="Times New Roman" w:cs="Times New Roman"/>
          <w:sz w:val="24"/>
          <w:szCs w:val="24"/>
        </w:rPr>
      </w:pPr>
      <w:r w:rsidRPr="00E5792B">
        <w:t xml:space="preserve">Ending the power struggles and siloed thinking while empowering science-based ecosystem management </w:t>
      </w:r>
      <w:r w:rsidR="00800DE3" w:rsidRPr="00E5792B">
        <w:t xml:space="preserve">teams </w:t>
      </w:r>
      <w:r w:rsidRPr="00E5792B">
        <w:t>should be the goal</w:t>
      </w:r>
      <w:r w:rsidR="00800DE3" w:rsidRPr="00E5792B">
        <w:t xml:space="preserve"> of the FSM Silvicultural Practices revisions.</w:t>
      </w:r>
      <w:r w:rsidR="00800DE3">
        <w:t xml:space="preserve"> </w:t>
      </w:r>
    </w:p>
    <w:p w14:paraId="574B432F" w14:textId="14805FF8" w:rsidR="00D809FF" w:rsidRPr="00D809FF" w:rsidRDefault="009F677B" w:rsidP="004B6527">
      <w:pPr>
        <w:rPr>
          <w:rFonts w:ascii="Times New Roman" w:hAnsi="Times New Roman" w:cs="Times New Roman"/>
          <w:sz w:val="24"/>
          <w:szCs w:val="24"/>
        </w:rPr>
      </w:pPr>
      <w:r w:rsidRPr="009F677B">
        <w:rPr>
          <w:rFonts w:ascii="Times New Roman" w:hAnsi="Times New Roman" w:cs="Times New Roman"/>
          <w:b/>
          <w:bCs/>
          <w:sz w:val="24"/>
          <w:szCs w:val="24"/>
        </w:rPr>
        <w:t xml:space="preserve">8) </w:t>
      </w:r>
      <w:r w:rsidR="00C05182" w:rsidRPr="009F677B">
        <w:rPr>
          <w:rFonts w:ascii="Times New Roman" w:hAnsi="Times New Roman" w:cs="Times New Roman"/>
          <w:b/>
          <w:bCs/>
          <w:sz w:val="24"/>
          <w:szCs w:val="24"/>
        </w:rPr>
        <w:t>Judging successful reforestation</w:t>
      </w:r>
      <w:r w:rsidR="00C05182">
        <w:rPr>
          <w:rFonts w:ascii="Times New Roman" w:hAnsi="Times New Roman" w:cs="Times New Roman"/>
          <w:sz w:val="24"/>
          <w:szCs w:val="24"/>
        </w:rPr>
        <w:t xml:space="preserve"> should be based upon function, compositions, connectivity (not just structure) and reforested areas should be monitored longer </w:t>
      </w:r>
      <w:r>
        <w:rPr>
          <w:rFonts w:ascii="Times New Roman" w:hAnsi="Times New Roman" w:cs="Times New Roman"/>
          <w:sz w:val="24"/>
          <w:szCs w:val="24"/>
        </w:rPr>
        <w:t>than</w:t>
      </w:r>
      <w:r w:rsidR="00C05182">
        <w:rPr>
          <w:rFonts w:ascii="Times New Roman" w:hAnsi="Times New Roman" w:cs="Times New Roman"/>
          <w:sz w:val="24"/>
          <w:szCs w:val="24"/>
        </w:rPr>
        <w:t xml:space="preserve"> the 5-year stocking requirement. Reforestation efforts should be judged successful only when they are exposed to fire-regime based fire frequency of </w:t>
      </w:r>
      <w:r w:rsidR="00E5792B">
        <w:rPr>
          <w:rFonts w:ascii="Times New Roman" w:hAnsi="Times New Roman" w:cs="Times New Roman"/>
          <w:sz w:val="24"/>
          <w:szCs w:val="24"/>
        </w:rPr>
        <w:t xml:space="preserve">2 fire disturbance events </w:t>
      </w:r>
      <w:r w:rsidR="00E5792B" w:rsidRPr="00E5792B">
        <w:rPr>
          <w:rFonts w:ascii="Times New Roman" w:hAnsi="Times New Roman" w:cs="Times New Roman"/>
          <w:sz w:val="24"/>
          <w:szCs w:val="24"/>
        </w:rPr>
        <w:t xml:space="preserve">within </w:t>
      </w:r>
      <w:r w:rsidR="00E5792B">
        <w:rPr>
          <w:rFonts w:ascii="Times New Roman" w:hAnsi="Times New Roman" w:cs="Times New Roman"/>
          <w:sz w:val="24"/>
          <w:szCs w:val="24"/>
        </w:rPr>
        <w:t xml:space="preserve">roughly </w:t>
      </w:r>
      <w:r w:rsidR="00C05182" w:rsidRPr="00E5792B">
        <w:rPr>
          <w:rFonts w:ascii="Times New Roman" w:hAnsi="Times New Roman" w:cs="Times New Roman"/>
          <w:sz w:val="24"/>
          <w:szCs w:val="24"/>
        </w:rPr>
        <w:t>30 years</w:t>
      </w:r>
      <w:r w:rsidR="00C05182">
        <w:rPr>
          <w:rFonts w:ascii="Times New Roman" w:hAnsi="Times New Roman" w:cs="Times New Roman"/>
          <w:sz w:val="24"/>
          <w:szCs w:val="24"/>
        </w:rPr>
        <w:t xml:space="preserve"> (in Sierra Nevada mixed conifer for example). </w:t>
      </w:r>
    </w:p>
    <w:p w14:paraId="7D2C4D8A" w14:textId="18A1D071" w:rsidR="00D809FF" w:rsidRDefault="00E245E5" w:rsidP="004B6527">
      <w:pPr>
        <w:rPr>
          <w:rFonts w:ascii="Times New Roman" w:hAnsi="Times New Roman" w:cs="Times New Roman"/>
          <w:sz w:val="24"/>
          <w:szCs w:val="24"/>
        </w:rPr>
      </w:pPr>
      <w:r>
        <w:rPr>
          <w:rFonts w:ascii="Times New Roman" w:hAnsi="Times New Roman" w:cs="Times New Roman"/>
          <w:sz w:val="24"/>
          <w:szCs w:val="24"/>
        </w:rPr>
        <w:t xml:space="preserve">Cost effective reforestation should be judged by levels of survival of natural disturbance. High density, uncharacteristic stocking levels (plantation forestry) should be held accountable for their flammability and for the contribution to high-severity wildfire. (see Levine et al. 2022). </w:t>
      </w:r>
    </w:p>
    <w:p w14:paraId="6197B96D" w14:textId="7B58C2FF" w:rsidR="009F677B" w:rsidRDefault="00983622" w:rsidP="004B6527">
      <w:pPr>
        <w:rPr>
          <w:rFonts w:ascii="Times New Roman" w:hAnsi="Times New Roman" w:cs="Times New Roman"/>
          <w:sz w:val="24"/>
          <w:szCs w:val="24"/>
        </w:rPr>
      </w:pPr>
      <w:r>
        <w:rPr>
          <w:rFonts w:ascii="Times New Roman" w:hAnsi="Times New Roman" w:cs="Times New Roman"/>
          <w:sz w:val="24"/>
          <w:szCs w:val="24"/>
        </w:rPr>
        <w:t xml:space="preserve"> </w:t>
      </w:r>
      <w:r w:rsidR="009F677B">
        <w:rPr>
          <w:rFonts w:ascii="Times New Roman" w:hAnsi="Times New Roman" w:cs="Times New Roman"/>
          <w:sz w:val="24"/>
          <w:szCs w:val="24"/>
        </w:rPr>
        <w:t xml:space="preserve">(attached) </w:t>
      </w:r>
    </w:p>
    <w:p w14:paraId="15936D40" w14:textId="679A8CCB" w:rsidR="009F677B" w:rsidRDefault="00983622" w:rsidP="004B6527">
      <w:pPr>
        <w:rPr>
          <w:rFonts w:cstheme="minorHAnsi"/>
        </w:rPr>
      </w:pPr>
      <w:r>
        <w:rPr>
          <w:rFonts w:ascii="Times New Roman" w:hAnsi="Times New Roman" w:cs="Times New Roman"/>
          <w:sz w:val="24"/>
          <w:szCs w:val="24"/>
        </w:rPr>
        <w:t xml:space="preserve">In section 2471.5 #2 </w:t>
      </w:r>
      <w:r>
        <w:rPr>
          <w:rFonts w:cstheme="minorHAnsi"/>
        </w:rPr>
        <w:t>S</w:t>
      </w:r>
      <w:r w:rsidRPr="009E317A">
        <w:rPr>
          <w:rFonts w:cstheme="minorHAnsi"/>
        </w:rPr>
        <w:t xml:space="preserve">taying current with the knowledge of science-based literature in forest ecology, including climate change and silvicultural strategies, and natural resources </w:t>
      </w:r>
      <w:r w:rsidR="0065415D" w:rsidRPr="009E317A">
        <w:rPr>
          <w:rFonts w:cstheme="minorHAnsi"/>
        </w:rPr>
        <w:t>management</w:t>
      </w:r>
      <w:r w:rsidR="0065415D">
        <w:rPr>
          <w:rFonts w:cstheme="minorHAnsi"/>
        </w:rPr>
        <w:t>.</w:t>
      </w:r>
    </w:p>
    <w:p w14:paraId="354CE307" w14:textId="196897B2" w:rsidR="00983622" w:rsidRPr="00D809FF" w:rsidRDefault="00983622" w:rsidP="004B6527">
      <w:pPr>
        <w:rPr>
          <w:rFonts w:ascii="Times New Roman" w:hAnsi="Times New Roman" w:cs="Times New Roman"/>
          <w:sz w:val="24"/>
          <w:szCs w:val="24"/>
        </w:rPr>
      </w:pPr>
      <w:r>
        <w:rPr>
          <w:rFonts w:cstheme="minorHAnsi"/>
        </w:rPr>
        <w:t xml:space="preserve">This should be more than a reading exercise. The best available scientific information (BASI) should be incorporated into silvicultural practices like addressing stocking levels dictated by archaic and outdated forest plans that fail to address climate warming impacts, drought intolerance, flammability, and susceptibility to insect damage. These call for new Ecological Reforestation strategies, not just a reading exercise. (see attached Meyer and North 2024) </w:t>
      </w:r>
    </w:p>
    <w:p w14:paraId="25C653E8" w14:textId="6ECC7033" w:rsidR="00983622" w:rsidRDefault="00983622" w:rsidP="004B6527">
      <w:pPr>
        <w:rPr>
          <w:rFonts w:ascii="Times New Roman" w:hAnsi="Times New Roman" w:cs="Times New Roman"/>
          <w:sz w:val="24"/>
          <w:szCs w:val="24"/>
        </w:rPr>
      </w:pPr>
      <w:r>
        <w:rPr>
          <w:rFonts w:ascii="Times New Roman" w:hAnsi="Times New Roman" w:cs="Times New Roman"/>
          <w:sz w:val="24"/>
          <w:szCs w:val="24"/>
        </w:rPr>
        <w:t>At 2472</w:t>
      </w:r>
      <w:r w:rsidR="001A0606">
        <w:rPr>
          <w:rFonts w:ascii="Times New Roman" w:hAnsi="Times New Roman" w:cs="Times New Roman"/>
          <w:sz w:val="24"/>
          <w:szCs w:val="24"/>
        </w:rPr>
        <w:t xml:space="preserve">.21 the Economic Analysis should include the potential for fire susceptibility, contribution to wildfire severity, and a resilience rating that is examined and reported through time. </w:t>
      </w:r>
    </w:p>
    <w:p w14:paraId="7EB8C12A" w14:textId="0BE7C6D0" w:rsidR="001A0606" w:rsidRDefault="001A0606" w:rsidP="004B6527">
      <w:pPr>
        <w:rPr>
          <w:rFonts w:ascii="Times New Roman" w:hAnsi="Times New Roman" w:cs="Times New Roman"/>
          <w:sz w:val="24"/>
          <w:szCs w:val="24"/>
        </w:rPr>
      </w:pPr>
      <w:r>
        <w:rPr>
          <w:rFonts w:ascii="Times New Roman" w:hAnsi="Times New Roman" w:cs="Times New Roman"/>
          <w:sz w:val="24"/>
          <w:szCs w:val="24"/>
        </w:rPr>
        <w:t>At 2476.3 Stand Improvement</w:t>
      </w:r>
      <w:r w:rsidR="006E7991">
        <w:rPr>
          <w:rFonts w:ascii="Times New Roman" w:hAnsi="Times New Roman" w:cs="Times New Roman"/>
          <w:sz w:val="24"/>
          <w:szCs w:val="24"/>
        </w:rPr>
        <w:t xml:space="preserve">—there needs to be more emphasis on the use of prescribed fire to reduce understory fuels but also to reducing stocking, increase heterogeneity and resilience. </w:t>
      </w:r>
    </w:p>
    <w:p w14:paraId="2DCAC419" w14:textId="77777777" w:rsidR="006E7991" w:rsidRDefault="006E7991" w:rsidP="004B6527">
      <w:pPr>
        <w:rPr>
          <w:rFonts w:ascii="Times New Roman" w:hAnsi="Times New Roman" w:cs="Times New Roman"/>
          <w:sz w:val="24"/>
          <w:szCs w:val="24"/>
        </w:rPr>
      </w:pPr>
    </w:p>
    <w:p w14:paraId="16D0BAAD" w14:textId="5C90457A" w:rsidR="005113FE" w:rsidRDefault="005113FE" w:rsidP="004B6527">
      <w:pPr>
        <w:rPr>
          <w:rFonts w:ascii="Times New Roman" w:hAnsi="Times New Roman" w:cs="Times New Roman"/>
          <w:sz w:val="24"/>
          <w:szCs w:val="24"/>
        </w:rPr>
      </w:pPr>
      <w:r>
        <w:rPr>
          <w:rFonts w:ascii="Times New Roman" w:hAnsi="Times New Roman" w:cs="Times New Roman"/>
          <w:sz w:val="24"/>
          <w:szCs w:val="24"/>
        </w:rPr>
        <w:t>Thank you for this opportunity to comment on the FSM 2470 Silvicultural Practices revisions.</w:t>
      </w:r>
    </w:p>
    <w:p w14:paraId="7785181C" w14:textId="589378C4" w:rsidR="005113FE" w:rsidRDefault="005113FE" w:rsidP="004B6527">
      <w:pPr>
        <w:rPr>
          <w:rFonts w:ascii="Times New Roman" w:hAnsi="Times New Roman" w:cs="Times New Roman"/>
          <w:sz w:val="24"/>
          <w:szCs w:val="24"/>
        </w:rPr>
      </w:pPr>
      <w:r>
        <w:rPr>
          <w:rFonts w:ascii="Times New Roman" w:hAnsi="Times New Roman" w:cs="Times New Roman"/>
          <w:sz w:val="24"/>
          <w:szCs w:val="24"/>
        </w:rPr>
        <w:lastRenderedPageBreak/>
        <w:t xml:space="preserve">Sincerely, </w:t>
      </w:r>
    </w:p>
    <w:p w14:paraId="34C5DBEE" w14:textId="77777777" w:rsidR="005113FE" w:rsidRDefault="005113FE" w:rsidP="004B6527">
      <w:pPr>
        <w:rPr>
          <w:rFonts w:ascii="Times New Roman" w:hAnsi="Times New Roman" w:cs="Times New Roman"/>
          <w:sz w:val="24"/>
          <w:szCs w:val="24"/>
        </w:rPr>
      </w:pPr>
    </w:p>
    <w:p w14:paraId="0E7625DC" w14:textId="77777777" w:rsidR="005113FE" w:rsidRDefault="005113FE" w:rsidP="005113FE">
      <w:pPr>
        <w:rPr>
          <w:rFonts w:ascii="Times New Roman" w:hAnsi="Times New Roman" w:cs="Times New Roman"/>
          <w:bCs/>
          <w:sz w:val="24"/>
          <w:szCs w:val="24"/>
        </w:rPr>
      </w:pPr>
    </w:p>
    <w:p w14:paraId="48577208" w14:textId="77777777" w:rsidR="005113FE" w:rsidRDefault="005113FE" w:rsidP="005113FE">
      <w:pPr>
        <w:rPr>
          <w:b/>
          <w:bCs/>
          <w:sz w:val="24"/>
          <w:szCs w:val="24"/>
        </w:rPr>
      </w:pPr>
      <w:r>
        <w:rPr>
          <w:rFonts w:ascii="Times New Roman" w:hAnsi="Times New Roman" w:cs="Times New Roman"/>
          <w:noProof/>
          <w:sz w:val="24"/>
          <w:szCs w:val="24"/>
        </w:rPr>
        <w:drawing>
          <wp:inline distT="0" distB="0" distL="0" distR="0" wp14:anchorId="529612C6" wp14:editId="625B1A1B">
            <wp:extent cx="1450975" cy="615950"/>
            <wp:effectExtent l="0" t="0" r="0" b="0"/>
            <wp:docPr id="10004406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50975" cy="615950"/>
                    </a:xfrm>
                    <a:prstGeom prst="rect">
                      <a:avLst/>
                    </a:prstGeom>
                    <a:noFill/>
                  </pic:spPr>
                </pic:pic>
              </a:graphicData>
            </a:graphic>
          </wp:inline>
        </w:drawing>
      </w:r>
    </w:p>
    <w:p w14:paraId="02F8F6E4" w14:textId="77777777" w:rsidR="005113FE" w:rsidRDefault="005113FE" w:rsidP="005113FE">
      <w:pPr>
        <w:pStyle w:val="NoSpacing"/>
      </w:pPr>
      <w:r w:rsidRPr="005113FE">
        <w:t xml:space="preserve">Craig Thomas, Director </w:t>
      </w:r>
    </w:p>
    <w:p w14:paraId="7B8BE3B7" w14:textId="6F2BEB90" w:rsidR="005113FE" w:rsidRPr="005113FE" w:rsidRDefault="005113FE" w:rsidP="005113FE">
      <w:pPr>
        <w:pStyle w:val="NoSpacing"/>
        <w:rPr>
          <w:rFonts w:ascii="Times New Roman" w:hAnsi="Times New Roman" w:cs="Times New Roman"/>
        </w:rPr>
      </w:pPr>
      <w:r w:rsidRPr="005113FE">
        <w:t>Fire Restoration Group</w:t>
      </w:r>
    </w:p>
    <w:p w14:paraId="40ABD30D" w14:textId="77777777" w:rsidR="005113FE" w:rsidRPr="005113FE" w:rsidRDefault="005113FE" w:rsidP="005113FE">
      <w:pPr>
        <w:pStyle w:val="NoSpacing"/>
        <w:rPr>
          <w:color w:val="467886" w:themeColor="hyperlink"/>
          <w:u w:val="single"/>
        </w:rPr>
      </w:pPr>
      <w:hyperlink r:id="rId47" w:history="1">
        <w:r w:rsidRPr="005113FE">
          <w:rPr>
            <w:color w:val="467886" w:themeColor="hyperlink"/>
            <w:u w:val="single"/>
          </w:rPr>
          <w:t>craigthomas068@gmail.com</w:t>
        </w:r>
      </w:hyperlink>
      <w:r w:rsidRPr="005113FE">
        <w:t xml:space="preserve">      </w:t>
      </w:r>
    </w:p>
    <w:p w14:paraId="1ACC5F09" w14:textId="77777777" w:rsidR="005113FE" w:rsidRPr="005113FE" w:rsidRDefault="005113FE" w:rsidP="005113FE">
      <w:pPr>
        <w:pStyle w:val="NoSpacing"/>
      </w:pPr>
      <w:r w:rsidRPr="005113FE">
        <w:t xml:space="preserve">916-708-9409                          </w:t>
      </w:r>
    </w:p>
    <w:p w14:paraId="2D66906C" w14:textId="77777777" w:rsidR="005113FE" w:rsidRPr="005113FE" w:rsidRDefault="005113FE" w:rsidP="005113FE">
      <w:pPr>
        <w:pStyle w:val="NoSpacing"/>
        <w:rPr>
          <w:b/>
          <w:bCs/>
          <w:sz w:val="24"/>
          <w:szCs w:val="24"/>
        </w:rPr>
      </w:pPr>
    </w:p>
    <w:p w14:paraId="173598B0" w14:textId="77777777" w:rsidR="005113FE" w:rsidRDefault="005113FE" w:rsidP="005113FE">
      <w:pPr>
        <w:pStyle w:val="NoSpacing"/>
        <w:rPr>
          <w:b/>
          <w:bCs/>
          <w:sz w:val="24"/>
          <w:szCs w:val="24"/>
        </w:rPr>
      </w:pPr>
    </w:p>
    <w:p w14:paraId="06BC057D" w14:textId="6CAE96EC" w:rsidR="005113FE" w:rsidRPr="005113FE" w:rsidRDefault="005113FE" w:rsidP="005113FE">
      <w:pPr>
        <w:pStyle w:val="NoSpacing"/>
        <w:rPr>
          <w:b/>
          <w:bCs/>
          <w:sz w:val="24"/>
          <w:szCs w:val="24"/>
        </w:rPr>
      </w:pPr>
      <w:r>
        <w:rPr>
          <w:b/>
          <w:bCs/>
          <w:noProof/>
          <w:sz w:val="24"/>
          <w:szCs w:val="24"/>
        </w:rPr>
        <w:drawing>
          <wp:inline distT="0" distB="0" distL="0" distR="0" wp14:anchorId="2D96D3BA" wp14:editId="7A501124">
            <wp:extent cx="2883535" cy="2499360"/>
            <wp:effectExtent l="0" t="0" r="0" b="0"/>
            <wp:docPr id="1734651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83535" cy="2499360"/>
                    </a:xfrm>
                    <a:prstGeom prst="rect">
                      <a:avLst/>
                    </a:prstGeom>
                    <a:noFill/>
                  </pic:spPr>
                </pic:pic>
              </a:graphicData>
            </a:graphic>
          </wp:inline>
        </w:drawing>
      </w:r>
    </w:p>
    <w:sectPr w:rsidR="005113FE" w:rsidRPr="005113FE">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E3BEA" w14:textId="77777777" w:rsidR="00CC1C97" w:rsidRDefault="00CC1C97" w:rsidP="00850611">
      <w:pPr>
        <w:spacing w:after="0" w:line="240" w:lineRule="auto"/>
      </w:pPr>
      <w:r>
        <w:separator/>
      </w:r>
    </w:p>
  </w:endnote>
  <w:endnote w:type="continuationSeparator" w:id="0">
    <w:p w14:paraId="6FE27FC3" w14:textId="77777777" w:rsidR="00CC1C97" w:rsidRDefault="00CC1C97" w:rsidP="0085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62412"/>
      <w:docPartObj>
        <w:docPartGallery w:val="Page Numbers (Bottom of Page)"/>
        <w:docPartUnique/>
      </w:docPartObj>
    </w:sdtPr>
    <w:sdtEndPr>
      <w:rPr>
        <w:noProof/>
      </w:rPr>
    </w:sdtEndPr>
    <w:sdtContent>
      <w:p w14:paraId="5A67C3BB" w14:textId="1F78257D" w:rsidR="00850611" w:rsidRDefault="008506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101B4" w14:textId="77777777" w:rsidR="00850611" w:rsidRDefault="00850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31B67" w14:textId="77777777" w:rsidR="00CC1C97" w:rsidRDefault="00CC1C97" w:rsidP="00850611">
      <w:pPr>
        <w:spacing w:after="0" w:line="240" w:lineRule="auto"/>
      </w:pPr>
      <w:r>
        <w:separator/>
      </w:r>
    </w:p>
  </w:footnote>
  <w:footnote w:type="continuationSeparator" w:id="0">
    <w:p w14:paraId="291AB1FE" w14:textId="77777777" w:rsidR="00CC1C97" w:rsidRDefault="00CC1C97" w:rsidP="00850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24"/>
    <w:rsid w:val="00074E71"/>
    <w:rsid w:val="000E5A4B"/>
    <w:rsid w:val="001321A1"/>
    <w:rsid w:val="001A0606"/>
    <w:rsid w:val="001C5F0B"/>
    <w:rsid w:val="003A0AE9"/>
    <w:rsid w:val="004924A0"/>
    <w:rsid w:val="004B6527"/>
    <w:rsid w:val="005113FE"/>
    <w:rsid w:val="00511B9B"/>
    <w:rsid w:val="00525162"/>
    <w:rsid w:val="005A28FB"/>
    <w:rsid w:val="005A459E"/>
    <w:rsid w:val="005B3554"/>
    <w:rsid w:val="005F7177"/>
    <w:rsid w:val="006043E7"/>
    <w:rsid w:val="0065415D"/>
    <w:rsid w:val="00672329"/>
    <w:rsid w:val="006E7991"/>
    <w:rsid w:val="0078784F"/>
    <w:rsid w:val="007C3937"/>
    <w:rsid w:val="00800DE3"/>
    <w:rsid w:val="00850611"/>
    <w:rsid w:val="0088163F"/>
    <w:rsid w:val="008F4B5E"/>
    <w:rsid w:val="00921B37"/>
    <w:rsid w:val="00933C4A"/>
    <w:rsid w:val="00977324"/>
    <w:rsid w:val="00983622"/>
    <w:rsid w:val="009F677B"/>
    <w:rsid w:val="00AA0234"/>
    <w:rsid w:val="00B443A4"/>
    <w:rsid w:val="00C05182"/>
    <w:rsid w:val="00CC1C97"/>
    <w:rsid w:val="00D809FF"/>
    <w:rsid w:val="00E245E5"/>
    <w:rsid w:val="00E5792B"/>
    <w:rsid w:val="00E63C91"/>
    <w:rsid w:val="00F451B8"/>
    <w:rsid w:val="00F766A5"/>
    <w:rsid w:val="00F93760"/>
    <w:rsid w:val="00FF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D3C9"/>
  <w15:chartTrackingRefBased/>
  <w15:docId w15:val="{2FC46DA8-DC30-48E2-8F95-82129DD0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324"/>
    <w:rPr>
      <w:rFonts w:eastAsiaTheme="majorEastAsia" w:cstheme="majorBidi"/>
      <w:color w:val="272727" w:themeColor="text1" w:themeTint="D8"/>
    </w:rPr>
  </w:style>
  <w:style w:type="paragraph" w:styleId="Title">
    <w:name w:val="Title"/>
    <w:basedOn w:val="Normal"/>
    <w:next w:val="Normal"/>
    <w:link w:val="TitleChar"/>
    <w:uiPriority w:val="10"/>
    <w:qFormat/>
    <w:rsid w:val="00977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324"/>
    <w:pPr>
      <w:spacing w:before="160"/>
      <w:jc w:val="center"/>
    </w:pPr>
    <w:rPr>
      <w:i/>
      <w:iCs/>
      <w:color w:val="404040" w:themeColor="text1" w:themeTint="BF"/>
    </w:rPr>
  </w:style>
  <w:style w:type="character" w:customStyle="1" w:styleId="QuoteChar">
    <w:name w:val="Quote Char"/>
    <w:basedOn w:val="DefaultParagraphFont"/>
    <w:link w:val="Quote"/>
    <w:uiPriority w:val="29"/>
    <w:rsid w:val="00977324"/>
    <w:rPr>
      <w:i/>
      <w:iCs/>
      <w:color w:val="404040" w:themeColor="text1" w:themeTint="BF"/>
    </w:rPr>
  </w:style>
  <w:style w:type="paragraph" w:styleId="ListParagraph">
    <w:name w:val="List Paragraph"/>
    <w:basedOn w:val="Normal"/>
    <w:uiPriority w:val="34"/>
    <w:qFormat/>
    <w:rsid w:val="00977324"/>
    <w:pPr>
      <w:ind w:left="720"/>
      <w:contextualSpacing/>
    </w:pPr>
  </w:style>
  <w:style w:type="character" w:styleId="IntenseEmphasis">
    <w:name w:val="Intense Emphasis"/>
    <w:basedOn w:val="DefaultParagraphFont"/>
    <w:uiPriority w:val="21"/>
    <w:qFormat/>
    <w:rsid w:val="00977324"/>
    <w:rPr>
      <w:i/>
      <w:iCs/>
      <w:color w:val="0F4761" w:themeColor="accent1" w:themeShade="BF"/>
    </w:rPr>
  </w:style>
  <w:style w:type="paragraph" w:styleId="IntenseQuote">
    <w:name w:val="Intense Quote"/>
    <w:basedOn w:val="Normal"/>
    <w:next w:val="Normal"/>
    <w:link w:val="IntenseQuoteChar"/>
    <w:uiPriority w:val="30"/>
    <w:qFormat/>
    <w:rsid w:val="00977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324"/>
    <w:rPr>
      <w:i/>
      <w:iCs/>
      <w:color w:val="0F4761" w:themeColor="accent1" w:themeShade="BF"/>
    </w:rPr>
  </w:style>
  <w:style w:type="character" w:styleId="IntenseReference">
    <w:name w:val="Intense Reference"/>
    <w:basedOn w:val="DefaultParagraphFont"/>
    <w:uiPriority w:val="32"/>
    <w:qFormat/>
    <w:rsid w:val="00977324"/>
    <w:rPr>
      <w:b/>
      <w:bCs/>
      <w:smallCaps/>
      <w:color w:val="0F4761" w:themeColor="accent1" w:themeShade="BF"/>
      <w:spacing w:val="5"/>
    </w:rPr>
  </w:style>
  <w:style w:type="paragraph" w:styleId="NoSpacing">
    <w:name w:val="No Spacing"/>
    <w:uiPriority w:val="1"/>
    <w:qFormat/>
    <w:rsid w:val="00977324"/>
    <w:pPr>
      <w:spacing w:after="0" w:line="240" w:lineRule="auto"/>
    </w:pPr>
  </w:style>
  <w:style w:type="paragraph" w:customStyle="1" w:styleId="psection-2">
    <w:name w:val="psection-2"/>
    <w:basedOn w:val="Normal"/>
    <w:rsid w:val="008F4B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numxml">
    <w:name w:val="enumxml"/>
    <w:basedOn w:val="DefaultParagraphFont"/>
    <w:rsid w:val="008F4B5E"/>
  </w:style>
  <w:style w:type="character" w:customStyle="1" w:styleId="et03">
    <w:name w:val="et03"/>
    <w:basedOn w:val="DefaultParagraphFont"/>
    <w:rsid w:val="008F4B5E"/>
  </w:style>
  <w:style w:type="character" w:styleId="Hyperlink">
    <w:name w:val="Hyperlink"/>
    <w:basedOn w:val="DefaultParagraphFont"/>
    <w:uiPriority w:val="99"/>
    <w:semiHidden/>
    <w:unhideWhenUsed/>
    <w:rsid w:val="008F4B5E"/>
    <w:rPr>
      <w:color w:val="0000FF"/>
      <w:u w:val="single"/>
    </w:rPr>
  </w:style>
  <w:style w:type="paragraph" w:customStyle="1" w:styleId="psection-3">
    <w:name w:val="psection-3"/>
    <w:basedOn w:val="Normal"/>
    <w:rsid w:val="008F4B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50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611"/>
  </w:style>
  <w:style w:type="paragraph" w:styleId="Footer">
    <w:name w:val="footer"/>
    <w:basedOn w:val="Normal"/>
    <w:link w:val="FooterChar"/>
    <w:uiPriority w:val="99"/>
    <w:unhideWhenUsed/>
    <w:rsid w:val="00850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5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b9e11ec5d7ef87635e8b12e168bb1c5c&amp;term_occur=999&amp;term_src=Title:36:Chapter:II:Part:219:Subpart:A:219.8" TargetMode="External"/><Relationship Id="rId18" Type="http://schemas.openxmlformats.org/officeDocument/2006/relationships/hyperlink" Target="https://www.law.cornell.edu/definitions/index.php?width=840&amp;height=800&amp;iframe=true&amp;def_id=c78b2a1bf289e3c7e1735882024f62af&amp;term_occur=999&amp;term_src=Title:36:Chapter:II:Part:219:Subpart:A:219.8" TargetMode="External"/><Relationship Id="rId26" Type="http://schemas.openxmlformats.org/officeDocument/2006/relationships/hyperlink" Target="https://www.law.cornell.edu/definitions/index.php?width=840&amp;height=800&amp;iframe=true&amp;def_id=96285b99148b58e1aa63de72b9ccb8ee&amp;term_occur=999&amp;term_src=Title:36:Chapter:II:Part:219:Subpart:A:219.8" TargetMode="External"/><Relationship Id="rId39" Type="http://schemas.openxmlformats.org/officeDocument/2006/relationships/hyperlink" Target="https://www.law.cornell.edu/definitions/index.php?width=840&amp;height=800&amp;iframe=true&amp;def_id=8f45f62cf4fb3e189563e682f997a93d&amp;term_occur=999&amp;term_src=Title:36:Chapter:II:Part:219:Subpart:A:219.8" TargetMode="External"/><Relationship Id="rId21" Type="http://schemas.openxmlformats.org/officeDocument/2006/relationships/hyperlink" Target="https://www.law.cornell.edu/definitions/index.php?width=840&amp;height=800&amp;iframe=true&amp;def_id=c78b2a1bf289e3c7e1735882024f62af&amp;term_occur=999&amp;term_src=Title:36:Chapter:II:Part:219:Subpart:A:219.8" TargetMode="External"/><Relationship Id="rId34" Type="http://schemas.openxmlformats.org/officeDocument/2006/relationships/hyperlink" Target="https://ceq.doe.gov/guidance/ceq_guidance_nepa-ghg.html" TargetMode="External"/><Relationship Id="rId42" Type="http://schemas.openxmlformats.org/officeDocument/2006/relationships/hyperlink" Target="https://www.law.cornell.edu/definitions/index.php?width=840&amp;height=800&amp;iframe=true&amp;def_id=c78b2a1bf289e3c7e1735882024f62af&amp;term_occur=999&amp;term_src=Title:36:Chapter:II:Part:219:Subpart:A:219.8" TargetMode="External"/><Relationship Id="rId47" Type="http://schemas.openxmlformats.org/officeDocument/2006/relationships/hyperlink" Target="mailto:craigthomas068@gmail.com" TargetMode="External"/><Relationship Id="rId50" Type="http://schemas.openxmlformats.org/officeDocument/2006/relationships/fontTable" Target="fontTable.xml"/><Relationship Id="rId7" Type="http://schemas.openxmlformats.org/officeDocument/2006/relationships/hyperlink" Target="https://www.law.cornell.edu/definitions/index.php?width=840&amp;height=800&amp;iframe=true&amp;def_id=b9e11ec5d7ef87635e8b12e168bb1c5c&amp;term_occur=999&amp;term_src=Title:36:Chapter:II:Part:219:Subpart:A:219.8" TargetMode="External"/><Relationship Id="rId2" Type="http://schemas.openxmlformats.org/officeDocument/2006/relationships/settings" Target="settings.xml"/><Relationship Id="rId16" Type="http://schemas.openxmlformats.org/officeDocument/2006/relationships/hyperlink" Target="https://www.law.cornell.edu/definitions/index.php?width=840&amp;height=800&amp;iframe=true&amp;def_id=7311dc59ccdd25626478f978bdc0330e&amp;term_occur=999&amp;term_src=Title:36:Chapter:II:Part:219:Subpart:A:219.8" TargetMode="External"/><Relationship Id="rId29" Type="http://schemas.openxmlformats.org/officeDocument/2006/relationships/hyperlink" Target="https://www.law.cornell.edu/definitions/index.php?width=840&amp;height=800&amp;iframe=true&amp;def_id=c78b2a1bf289e3c7e1735882024f62af&amp;term_occur=999&amp;term_src=Title:36:Chapter:II:Part:219:Subpart:A:219.8" TargetMode="External"/><Relationship Id="rId11" Type="http://schemas.openxmlformats.org/officeDocument/2006/relationships/hyperlink" Target="https://www.law.cornell.edu/definitions/index.php?width=840&amp;height=800&amp;iframe=true&amp;def_id=66b2006a617c06e9c40a9c493454ce77&amp;term_occur=999&amp;term_src=Title:36:Chapter:II:Part:219:Subpart:A:219.8" TargetMode="External"/><Relationship Id="rId24" Type="http://schemas.openxmlformats.org/officeDocument/2006/relationships/hyperlink" Target="https://www.law.cornell.edu/definitions/index.php?width=840&amp;height=800&amp;iframe=true&amp;def_id=7311dc59ccdd25626478f978bdc0330e&amp;term_occur=999&amp;term_src=Title:36:Chapter:II:Part:219:Subpart:A:219.8" TargetMode="External"/><Relationship Id="rId32" Type="http://schemas.openxmlformats.org/officeDocument/2006/relationships/hyperlink" Target="https://www.law.cornell.edu/definitions/index.php?width=840&amp;height=800&amp;iframe=true&amp;def_id=45f47f92b0628e155cb44d2aeb35e5b4&amp;term_occur=999&amp;term_src=Title:36:Chapter:II:Part:219:Subpart:A:219.8" TargetMode="External"/><Relationship Id="rId37" Type="http://schemas.openxmlformats.org/officeDocument/2006/relationships/hyperlink" Target="https://www.law.cornell.edu/definitions/index.php?width=840&amp;height=800&amp;iframe=true&amp;def_id=b9e11ec5d7ef87635e8b12e168bb1c5c&amp;term_occur=999&amp;term_src=Title:36:Chapter:II:Part:219:Subpart:A:219.8" TargetMode="External"/><Relationship Id="rId40" Type="http://schemas.openxmlformats.org/officeDocument/2006/relationships/hyperlink" Target="https://www.law.cornell.edu/definitions/index.php?width=840&amp;height=800&amp;iframe=true&amp;def_id=7311dc59ccdd25626478f978bdc0330e&amp;term_occur=999&amp;term_src=Title:36:Chapter:II:Part:219:Subpart:A:219.8" TargetMode="External"/><Relationship Id="rId45" Type="http://schemas.openxmlformats.org/officeDocument/2006/relationships/hyperlink" Target="https://www.law.cornell.edu/definitions/index.php?width=840&amp;height=800&amp;iframe=true&amp;def_id=ef275c8a245cef13c51cb118f7a187b7&amp;term_occur=999&amp;term_src=Title:36:Chapter:II:Part:219:Subpart:A:219.8" TargetMode="External"/><Relationship Id="rId5" Type="http://schemas.openxmlformats.org/officeDocument/2006/relationships/endnotes" Target="endnotes.xml"/><Relationship Id="rId15" Type="http://schemas.openxmlformats.org/officeDocument/2006/relationships/hyperlink" Target="https://www.law.cornell.edu/definitions/index.php?width=840&amp;height=800&amp;iframe=true&amp;def_id=ef275c8a245cef13c51cb118f7a187b7&amp;term_occur=999&amp;term_src=Title:36:Chapter:II:Part:219:Subpart:A:219.8" TargetMode="External"/><Relationship Id="rId23" Type="http://schemas.openxmlformats.org/officeDocument/2006/relationships/hyperlink" Target="https://www.law.cornell.edu/definitions/index.php?width=840&amp;height=800&amp;iframe=true&amp;def_id=9a7f4f5af4020c966b08d30a1465ed32&amp;term_occur=999&amp;term_src=Title:36:Chapter:II:Part:219:Subpart:A:219.8" TargetMode="External"/><Relationship Id="rId28" Type="http://schemas.openxmlformats.org/officeDocument/2006/relationships/hyperlink" Target="https://www.law.cornell.edu/definitions/index.php?width=840&amp;height=800&amp;iframe=true&amp;def_id=7311dc59ccdd25626478f978bdc0330e&amp;term_occur=999&amp;term_src=Title:36:Chapter:II:Part:219:Subpart:A:219.8" TargetMode="External"/><Relationship Id="rId36" Type="http://schemas.openxmlformats.org/officeDocument/2006/relationships/hyperlink" Target="https://scale.sierrainstitute.us/wp-content/uploads/2023/07/Malcolm-North_Keynote.pdf" TargetMode="External"/><Relationship Id="rId49" Type="http://schemas.openxmlformats.org/officeDocument/2006/relationships/footer" Target="footer1.xml"/><Relationship Id="rId10" Type="http://schemas.openxmlformats.org/officeDocument/2006/relationships/hyperlink" Target="https://www.law.cornell.edu/definitions/index.php?width=840&amp;height=800&amp;iframe=true&amp;def_id=7311dc59ccdd25626478f978bdc0330e&amp;term_occur=999&amp;term_src=Title:36:Chapter:II:Part:219:Subpart:A:219.8" TargetMode="External"/><Relationship Id="rId19" Type="http://schemas.openxmlformats.org/officeDocument/2006/relationships/hyperlink" Target="https://www.law.cornell.edu/definitions/index.php?width=840&amp;height=800&amp;iframe=true&amp;def_id=c495d26cbc95aecd2ee7556a0681be1c&amp;term_occur=999&amp;term_src=Title:36:Chapter:II:Part:219:Subpart:A:219.8" TargetMode="External"/><Relationship Id="rId31" Type="http://schemas.openxmlformats.org/officeDocument/2006/relationships/hyperlink" Target="https://www.law.cornell.edu/definitions/index.php?width=840&amp;height=800&amp;iframe=true&amp;def_id=84775a3b95928c2adfa6f06981beebc1&amp;term_occur=999&amp;term_src=Title:36:Chapter:II:Part:219:Subpart:A:219.8" TargetMode="External"/><Relationship Id="rId44" Type="http://schemas.openxmlformats.org/officeDocument/2006/relationships/hyperlink" Target="https://www.law.cornell.edu/definitions/index.php?width=840&amp;height=800&amp;iframe=true&amp;def_id=513d8af73eed96dafe0fa948b32f2597&amp;term_occur=999&amp;term_src=Title:36:Chapter:II:Part:219:Subpart:A:219.8" TargetMode="External"/><Relationship Id="rId4" Type="http://schemas.openxmlformats.org/officeDocument/2006/relationships/footnotes" Target="footnotes.xml"/><Relationship Id="rId9" Type="http://schemas.openxmlformats.org/officeDocument/2006/relationships/hyperlink" Target="https://www.law.cornell.edu/definitions/index.php?width=840&amp;height=800&amp;iframe=true&amp;def_id=8f45f62cf4fb3e189563e682f997a93d&amp;term_occur=999&amp;term_src=Title:36:Chapter:II:Part:219:Subpart:A:219.8" TargetMode="External"/><Relationship Id="rId14" Type="http://schemas.openxmlformats.org/officeDocument/2006/relationships/hyperlink" Target="https://www.law.cornell.edu/definitions/index.php?width=840&amp;height=800&amp;iframe=true&amp;def_id=513d8af73eed96dafe0fa948b32f2597&amp;term_occur=999&amp;term_src=Title:36:Chapter:II:Part:219:Subpart:A:219.8" TargetMode="External"/><Relationship Id="rId22" Type="http://schemas.openxmlformats.org/officeDocument/2006/relationships/hyperlink" Target="https://www.law.cornell.edu/definitions/index.php?width=840&amp;height=800&amp;iframe=true&amp;def_id=84775a3b95928c2adfa6f06981beebc1&amp;term_occur=999&amp;term_src=Title:36:Chapter:II:Part:219:Subpart:A:219.8" TargetMode="External"/><Relationship Id="rId27" Type="http://schemas.openxmlformats.org/officeDocument/2006/relationships/hyperlink" Target="https://www.law.cornell.edu/definitions/index.php?width=840&amp;height=800&amp;iframe=true&amp;def_id=8ef63a332844e7a0e2619ed526fd1226&amp;term_occur=999&amp;term_src=Title:36:Chapter:II:Part:219:Subpart:A:219.8" TargetMode="External"/><Relationship Id="rId30" Type="http://schemas.openxmlformats.org/officeDocument/2006/relationships/hyperlink" Target="https://www.law.cornell.edu/definitions/index.php?width=840&amp;height=800&amp;iframe=true&amp;def_id=513d8af73eed96dafe0fa948b32f2597&amp;term_occur=999&amp;term_src=Title:36:Chapter:II:Part:219:Subpart:A:219.8" TargetMode="External"/><Relationship Id="rId35" Type="http://schemas.openxmlformats.org/officeDocument/2006/relationships/hyperlink" Target="https://www.youtube.com/watch?v=Tu92373T8Gg&amp;t=208s" TargetMode="External"/><Relationship Id="rId43" Type="http://schemas.openxmlformats.org/officeDocument/2006/relationships/hyperlink" Target="https://www.law.cornell.edu/definitions/index.php?width=840&amp;height=800&amp;iframe=true&amp;def_id=b9e11ec5d7ef87635e8b12e168bb1c5c&amp;term_occur=999&amp;term_src=Title:36:Chapter:II:Part:219:Subpart:A:219.8" TargetMode="External"/><Relationship Id="rId48" Type="http://schemas.openxmlformats.org/officeDocument/2006/relationships/image" Target="media/image4.png"/><Relationship Id="rId8" Type="http://schemas.openxmlformats.org/officeDocument/2006/relationships/hyperlink" Target="https://www.law.cornell.edu/definitions/index.php?width=840&amp;height=800&amp;iframe=true&amp;def_id=513d8af73eed96dafe0fa948b32f2597&amp;term_occur=999&amp;term_src=Title:36:Chapter:II:Part:219:Subpart:A:219.8"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law.cornell.edu/definitions/index.php?width=840&amp;height=800&amp;iframe=true&amp;def_id=c78b2a1bf289e3c7e1735882024f62af&amp;term_occur=999&amp;term_src=Title:36:Chapter:II:Part:219:Subpart:A:219.8" TargetMode="External"/><Relationship Id="rId17" Type="http://schemas.openxmlformats.org/officeDocument/2006/relationships/hyperlink" Target="https://www.law.cornell.edu/definitions/index.php?width=840&amp;height=800&amp;iframe=true&amp;def_id=c78b2a1bf289e3c7e1735882024f62af&amp;term_occur=999&amp;term_src=Title:36:Chapter:II:Part:219:Subpart:A:219.8" TargetMode="External"/><Relationship Id="rId25" Type="http://schemas.openxmlformats.org/officeDocument/2006/relationships/hyperlink" Target="https://www.law.cornell.edu/definitions/index.php?width=840&amp;height=800&amp;iframe=true&amp;def_id=c78b2a1bf289e3c7e1735882024f62af&amp;term_occur=999&amp;term_src=Title:36:Chapter:II:Part:219:Subpart:A:219.8" TargetMode="External"/><Relationship Id="rId33" Type="http://schemas.openxmlformats.org/officeDocument/2006/relationships/image" Target="media/image2.png"/><Relationship Id="rId38" Type="http://schemas.openxmlformats.org/officeDocument/2006/relationships/hyperlink" Target="https://www.law.cornell.edu/definitions/index.php?width=840&amp;height=800&amp;iframe=true&amp;def_id=513d8af73eed96dafe0fa948b32f2597&amp;term_occur=999&amp;term_src=Title:36:Chapter:II:Part:219:Subpart:A:219.8" TargetMode="External"/><Relationship Id="rId46" Type="http://schemas.openxmlformats.org/officeDocument/2006/relationships/image" Target="media/image3.png"/><Relationship Id="rId20" Type="http://schemas.openxmlformats.org/officeDocument/2006/relationships/hyperlink" Target="https://www.law.cornell.edu/definitions/index.php?width=840&amp;height=800&amp;iframe=true&amp;def_id=84775a3b95928c2adfa6f06981beebc1&amp;term_occur=999&amp;term_src=Title:36:Chapter:II:Part:219:Subpart:A:219.8" TargetMode="External"/><Relationship Id="rId41" Type="http://schemas.openxmlformats.org/officeDocument/2006/relationships/hyperlink" Target="https://www.law.cornell.edu/definitions/index.php?width=840&amp;height=800&amp;iframe=true&amp;def_id=66b2006a617c06e9c40a9c493454ce77&amp;term_occur=999&amp;term_src=Title:36:Chapter:II:Part:219:Subpart:A:219.8"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Thomas</dc:creator>
  <cp:keywords/>
  <dc:description/>
  <cp:lastModifiedBy>Craig Thomas</cp:lastModifiedBy>
  <cp:revision>2</cp:revision>
  <dcterms:created xsi:type="dcterms:W3CDTF">2024-10-16T03:23:00Z</dcterms:created>
  <dcterms:modified xsi:type="dcterms:W3CDTF">2024-10-16T03:23:00Z</dcterms:modified>
</cp:coreProperties>
</file>