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5434EB" w14:textId="77777777" w:rsidR="00DC268F" w:rsidRDefault="00DC268F" w:rsidP="00DC268F">
      <w:pPr>
        <w:pStyle w:val="Header"/>
        <w:jc w:val="center"/>
      </w:pPr>
      <w:r>
        <w:t>Attachment to SELC et al. comments on NOGA DEIS</w:t>
      </w:r>
    </w:p>
    <w:p w14:paraId="5C7F16A0" w14:textId="77777777" w:rsidR="00DC268F" w:rsidRDefault="00DC268F" w:rsidP="00DC268F">
      <w:pPr>
        <w:pStyle w:val="Header"/>
        <w:jc w:val="center"/>
      </w:pPr>
      <w:r>
        <w:t>NOGA Alt. 2 Suggested Redline</w:t>
      </w:r>
    </w:p>
    <w:p w14:paraId="566BC43D" w14:textId="77777777" w:rsidR="00DC268F" w:rsidRDefault="00DC268F"/>
    <w:p w14:paraId="0F686710" w14:textId="2C15ABC7" w:rsidR="00FB1B7B" w:rsidRDefault="00754CF3">
      <w:r>
        <w:t>NOGA-FW-DRC</w:t>
      </w:r>
    </w:p>
    <w:p w14:paraId="68D41986" w14:textId="77777777" w:rsidR="00E36F24" w:rsidRDefault="00E36F24" w:rsidP="00E36F24">
      <w:r>
        <w:t>The National Forest System plays a distinctive and key role in providing the nation with benefits related to national forests and grasslands within the broader landscape, including old-growth forests. Old-growth forests are dynamic systems distinguished by old trees and related structural attributes. Old-growth forest typically differs from other stages of stand development in a variety of characteristics, including the presence of old trees, variability in canopy structure, patchiness, and development pathways depending on disturbance regimes and resulting patterns. The structure, composition, and characteristics of old-growth forests is highly ecosystem and place-based. What constitutes old-growth forest is informed by best available science, which includes Indigenous Knowledge.</w:t>
      </w:r>
    </w:p>
    <w:p w14:paraId="0AE0C250" w14:textId="2BE41282" w:rsidR="00E36F24" w:rsidRDefault="00E36F24" w:rsidP="00E36F24">
      <w:r>
        <w:t>Old-growth forests support ecological integrity and contribute to distinctive ecosystem services—such as long-term storage of carbon, increased biodiversity, improved watershed health, and social, cultural, and economic values. Old-growth forests have place-based meanings tied to cultural identity and heritage; local economies and ways of life; traditional and subsistence uses; aesthetic, spiritual, and recreational experiences; and Tribal and Indigenous histories, cultures, and practices. Tribal and Indigenous practices have maintained resilient forest structure and composition of forests that harbor high structural and compositional diversity, with particular emphasis on understory plants and fire-dependent wildlife habitat.</w:t>
      </w:r>
    </w:p>
    <w:p w14:paraId="33B4AB71" w14:textId="77777777" w:rsidR="00E36F24" w:rsidRDefault="00E36F24"/>
    <w:p w14:paraId="3A6B87FB" w14:textId="2B533F6B" w:rsidR="00754CF3" w:rsidRDefault="00754CF3">
      <w:r>
        <w:t>NOGA-FW-GOAL-01</w:t>
      </w:r>
    </w:p>
    <w:p w14:paraId="0BADF316" w14:textId="2C7EF3E5" w:rsidR="00E36F24" w:rsidRDefault="00E36F24">
      <w:r w:rsidRPr="00E36F24">
        <w:t>Interpretation and implementation of the old-growth amendment is grounded in recognition and respect for tribal sovereignty, treaties, Indigenous Knowledge and the ethic of reciprocity and responsibility to future generations. Implementation of the old-growth amendment enables co-stewardship, including for cultural burning, prescribed fire, and other activities, and occurs in consultation with Tribes and Alaska Native Corporations to fulfill treaty obligations and general trust responsibilities.</w:t>
      </w:r>
    </w:p>
    <w:p w14:paraId="61944FAC" w14:textId="77777777" w:rsidR="00E36F24" w:rsidRDefault="00E36F24"/>
    <w:p w14:paraId="1773EBBA" w14:textId="3963992E" w:rsidR="00754CF3" w:rsidRDefault="00754CF3">
      <w:r>
        <w:t>NOGA-FW-MA-01a</w:t>
      </w:r>
    </w:p>
    <w:p w14:paraId="2DAF271C" w14:textId="77777777" w:rsidR="00E36F24" w:rsidRDefault="00E36F24" w:rsidP="00E36F24">
      <w:pPr>
        <w:ind w:left="720" w:right="720"/>
        <w:rPr>
          <w:rFonts w:ascii="Aptos" w:hAnsi="Aptos"/>
        </w:rPr>
      </w:pPr>
      <w:r>
        <w:t>Management Approach 1a:</w:t>
      </w:r>
      <w:r w:rsidRPr="00D257DD">
        <w:rPr>
          <w:rFonts w:ascii="Aptos" w:hAnsi="Aptos"/>
          <w:color w:val="FF0000"/>
        </w:rPr>
        <w:t xml:space="preserve"> </w:t>
      </w:r>
      <w:r>
        <w:rPr>
          <w:rFonts w:ascii="Aptos" w:hAnsi="Aptos"/>
          <w:color w:val="00B050"/>
        </w:rPr>
        <w:t>Based on</w:t>
      </w:r>
      <w:r w:rsidRPr="00137750">
        <w:rPr>
          <w:rFonts w:ascii="Aptos" w:hAnsi="Aptos"/>
          <w:color w:val="00B050"/>
        </w:rPr>
        <w:t xml:space="preserve"> place-based Indigenous Knowledge and BASI,</w:t>
      </w:r>
      <w:r>
        <w:rPr>
          <w:rFonts w:ascii="Aptos" w:hAnsi="Aptos"/>
          <w:color w:val="FF0000"/>
        </w:rPr>
        <w:t xml:space="preserve"> </w:t>
      </w:r>
      <w:r>
        <w:rPr>
          <w:rFonts w:ascii="Aptos" w:hAnsi="Aptos"/>
        </w:rPr>
        <w:t xml:space="preserve">develop and </w:t>
      </w:r>
      <w:commentRangeStart w:id="0"/>
      <w:r>
        <w:rPr>
          <w:rFonts w:ascii="Aptos" w:hAnsi="Aptos"/>
          <w:color w:val="FF0000"/>
        </w:rPr>
        <w:t>utilize</w:t>
      </w:r>
      <w:r w:rsidRPr="008350C8">
        <w:rPr>
          <w:rFonts w:ascii="Aptos" w:hAnsi="Aptos"/>
          <w:color w:val="FF0000"/>
        </w:rPr>
        <w:t xml:space="preserve"> in future project </w:t>
      </w:r>
      <w:r>
        <w:rPr>
          <w:rFonts w:ascii="Aptos" w:hAnsi="Aptos"/>
          <w:color w:val="FF0000"/>
        </w:rPr>
        <w:t>development</w:t>
      </w:r>
      <w:r>
        <w:rPr>
          <w:rFonts w:ascii="Aptos" w:hAnsi="Aptos"/>
        </w:rPr>
        <w:t xml:space="preserve"> </w:t>
      </w:r>
      <w:commentRangeEnd w:id="0"/>
      <w:r w:rsidR="00764E8F">
        <w:rPr>
          <w:rStyle w:val="CommentReference"/>
        </w:rPr>
        <w:commentReference w:id="0"/>
      </w:r>
      <w:r w:rsidRPr="008350C8">
        <w:rPr>
          <w:rFonts w:ascii="Aptos" w:hAnsi="Aptos"/>
          <w:strike/>
        </w:rPr>
        <w:t>adhere to</w:t>
      </w:r>
      <w:r>
        <w:rPr>
          <w:rFonts w:ascii="Aptos" w:hAnsi="Aptos"/>
        </w:rPr>
        <w:t xml:space="preserve"> an </w:t>
      </w:r>
      <w:r w:rsidRPr="00137750">
        <w:rPr>
          <w:rFonts w:ascii="Aptos" w:hAnsi="Aptos"/>
          <w:i/>
          <w:iCs/>
        </w:rPr>
        <w:t>Adaptive Strategy for Old-Growth Forest Conservation</w:t>
      </w:r>
      <w:r>
        <w:rPr>
          <w:rFonts w:ascii="Aptos" w:hAnsi="Aptos"/>
        </w:rPr>
        <w:t xml:space="preserve"> to </w:t>
      </w:r>
      <w:commentRangeStart w:id="1"/>
      <w:r w:rsidRPr="007B78F6">
        <w:rPr>
          <w:rFonts w:ascii="Aptos" w:hAnsi="Aptos"/>
          <w:color w:val="FF0000"/>
        </w:rPr>
        <w:t>recruit</w:t>
      </w:r>
      <w:r>
        <w:rPr>
          <w:rFonts w:ascii="Aptos" w:hAnsi="Aptos"/>
          <w:color w:val="FF0000"/>
        </w:rPr>
        <w:t xml:space="preserve"> old-growth conditions consistent with desired conditions</w:t>
      </w:r>
      <w:r w:rsidRPr="007B78F6">
        <w:rPr>
          <w:rFonts w:ascii="Aptos" w:hAnsi="Aptos"/>
          <w:color w:val="FF0000"/>
        </w:rPr>
        <w:t>.</w:t>
      </w:r>
      <w:commentRangeEnd w:id="1"/>
      <w:r w:rsidR="009F3CA5">
        <w:rPr>
          <w:rStyle w:val="CommentReference"/>
        </w:rPr>
        <w:commentReference w:id="1"/>
      </w:r>
      <w:r w:rsidRPr="007B78F6">
        <w:rPr>
          <w:rFonts w:ascii="Aptos" w:hAnsi="Aptos"/>
          <w:color w:val="FF0000"/>
        </w:rPr>
        <w:t xml:space="preserve"> The Adaptive Strategy </w:t>
      </w:r>
      <w:r>
        <w:rPr>
          <w:rFonts w:ascii="Aptos" w:hAnsi="Aptos"/>
          <w:color w:val="FF0000"/>
        </w:rPr>
        <w:t xml:space="preserve">will </w:t>
      </w:r>
      <w:r>
        <w:rPr>
          <w:rFonts w:ascii="Aptos" w:hAnsi="Aptos"/>
        </w:rPr>
        <w:t>accomplish the following:</w:t>
      </w:r>
    </w:p>
    <w:p w14:paraId="337C3AC2" w14:textId="77777777" w:rsidR="00E36F24" w:rsidRPr="00CA13E2" w:rsidRDefault="00E36F24" w:rsidP="00E36F24">
      <w:pPr>
        <w:pStyle w:val="ListParagraph"/>
        <w:numPr>
          <w:ilvl w:val="0"/>
          <w:numId w:val="1"/>
        </w:numPr>
        <w:ind w:left="1800" w:right="720"/>
        <w:rPr>
          <w:rFonts w:ascii="Aptos" w:hAnsi="Aptos"/>
          <w:color w:val="FF0000"/>
        </w:rPr>
      </w:pPr>
      <w:commentRangeStart w:id="2"/>
      <w:r>
        <w:rPr>
          <w:rFonts w:ascii="Aptos" w:hAnsi="Aptos"/>
          <w:color w:val="FF0000"/>
        </w:rPr>
        <w:t>At an ecologically appropriate scale</w:t>
      </w:r>
      <w:commentRangeEnd w:id="2"/>
      <w:r w:rsidR="009B3552">
        <w:rPr>
          <w:rStyle w:val="CommentReference"/>
        </w:rPr>
        <w:commentReference w:id="2"/>
      </w:r>
      <w:r>
        <w:rPr>
          <w:rFonts w:ascii="Aptos" w:hAnsi="Aptos"/>
          <w:color w:val="FF0000"/>
        </w:rPr>
        <w:t xml:space="preserve">, </w:t>
      </w:r>
      <w:commentRangeStart w:id="3"/>
      <w:r>
        <w:rPr>
          <w:rFonts w:ascii="Aptos" w:hAnsi="Aptos"/>
          <w:color w:val="FF0000"/>
        </w:rPr>
        <w:t>develop a Decision Support Tool that relates expected stewardship strategies to the specifically identified forests in which recruitment needed and optimal to meet old-growth forest desired conditions (see Management Approach 1b);</w:t>
      </w:r>
    </w:p>
    <w:p w14:paraId="3FE6F94C" w14:textId="77777777" w:rsidR="00E36F24" w:rsidRDefault="00E36F24" w:rsidP="00E36F24">
      <w:pPr>
        <w:pStyle w:val="ListParagraph"/>
        <w:numPr>
          <w:ilvl w:val="0"/>
          <w:numId w:val="1"/>
        </w:numPr>
        <w:ind w:left="1800" w:right="720"/>
      </w:pPr>
      <w:r w:rsidRPr="00EB5DF1">
        <w:rPr>
          <w:rFonts w:ascii="Aptos" w:hAnsi="Aptos"/>
          <w:color w:val="FF0000"/>
        </w:rPr>
        <w:t xml:space="preserve">Identify monitoring </w:t>
      </w:r>
      <w:r>
        <w:rPr>
          <w:rFonts w:ascii="Aptos" w:hAnsi="Aptos"/>
          <w:color w:val="FF0000"/>
        </w:rPr>
        <w:t>strategies</w:t>
      </w:r>
      <w:r w:rsidRPr="00EB5DF1">
        <w:rPr>
          <w:rFonts w:ascii="Aptos" w:hAnsi="Aptos"/>
          <w:color w:val="FF0000"/>
        </w:rPr>
        <w:t xml:space="preserve"> and </w:t>
      </w:r>
      <w:r>
        <w:rPr>
          <w:rFonts w:ascii="Aptos" w:hAnsi="Aptos"/>
          <w:color w:val="FF0000"/>
        </w:rPr>
        <w:t xml:space="preserve">potential adjustments to the </w:t>
      </w:r>
      <w:r w:rsidRPr="003F400E">
        <w:rPr>
          <w:rFonts w:ascii="Aptos" w:hAnsi="Aptos"/>
          <w:i/>
          <w:iCs/>
          <w:color w:val="FF0000"/>
        </w:rPr>
        <w:t>Adaptive Strategy</w:t>
      </w:r>
      <w:r w:rsidRPr="00EB5DF1">
        <w:rPr>
          <w:rFonts w:ascii="Aptos" w:hAnsi="Aptos"/>
          <w:color w:val="FF0000"/>
        </w:rPr>
        <w:t xml:space="preserve"> as appropriate to address uncertainties in assumptions;</w:t>
      </w:r>
      <w:commentRangeEnd w:id="3"/>
      <w:r w:rsidR="00532662">
        <w:rPr>
          <w:rStyle w:val="CommentReference"/>
        </w:rPr>
        <w:commentReference w:id="3"/>
      </w:r>
    </w:p>
    <w:p w14:paraId="55A12364" w14:textId="77777777" w:rsidR="00E36F24" w:rsidRDefault="00E36F24"/>
    <w:p w14:paraId="4B92C6A2" w14:textId="7EC024BB" w:rsidR="00754CF3" w:rsidRDefault="00754CF3" w:rsidP="00754CF3">
      <w:r>
        <w:lastRenderedPageBreak/>
        <w:t>NOGA-FW-MA-01b</w:t>
      </w:r>
    </w:p>
    <w:p w14:paraId="55DAC739" w14:textId="595DDF1D" w:rsidR="00326937" w:rsidRDefault="00326937" w:rsidP="00326937">
      <w:pPr>
        <w:ind w:left="720" w:right="720"/>
        <w:rPr>
          <w:rFonts w:ascii="Aptos" w:hAnsi="Aptos"/>
        </w:rPr>
      </w:pPr>
      <w:r>
        <w:t xml:space="preserve">Management Approach 1b: </w:t>
      </w:r>
      <w:r w:rsidRPr="00ED2AAC">
        <w:rPr>
          <w:rFonts w:ascii="Aptos" w:hAnsi="Aptos"/>
          <w:color w:val="FF0000"/>
        </w:rPr>
        <w:t xml:space="preserve">The </w:t>
      </w:r>
      <w:commentRangeStart w:id="4"/>
      <w:r>
        <w:rPr>
          <w:rFonts w:ascii="Aptos" w:hAnsi="Aptos"/>
          <w:color w:val="FF0000"/>
        </w:rPr>
        <w:t>Decision Support Tool</w:t>
      </w:r>
      <w:r w:rsidRPr="00ED2AAC">
        <w:rPr>
          <w:rFonts w:ascii="Aptos" w:hAnsi="Aptos"/>
          <w:color w:val="FF0000"/>
        </w:rPr>
        <w:t xml:space="preserve"> </w:t>
      </w:r>
      <w:commentRangeEnd w:id="4"/>
      <w:r w:rsidR="00207953">
        <w:rPr>
          <w:rStyle w:val="CommentReference"/>
        </w:rPr>
        <w:commentReference w:id="4"/>
      </w:r>
      <w:r w:rsidRPr="00ED2AAC">
        <w:rPr>
          <w:rFonts w:ascii="Aptos" w:hAnsi="Aptos"/>
          <w:color w:val="FF0000"/>
        </w:rPr>
        <w:t>will</w:t>
      </w:r>
      <w:r w:rsidR="004B4468">
        <w:rPr>
          <w:rFonts w:ascii="Aptos" w:hAnsi="Aptos"/>
          <w:color w:val="FF0000"/>
        </w:rPr>
        <w:t xml:space="preserve"> </w:t>
      </w:r>
      <w:commentRangeStart w:id="5"/>
      <w:r w:rsidR="007A21CF">
        <w:rPr>
          <w:rFonts w:ascii="Aptos" w:hAnsi="Aptos"/>
          <w:color w:val="FF0000"/>
        </w:rPr>
        <w:t xml:space="preserve">assist </w:t>
      </w:r>
      <w:r w:rsidR="00E13098">
        <w:rPr>
          <w:rFonts w:ascii="Aptos" w:hAnsi="Aptos"/>
          <w:color w:val="FF0000"/>
        </w:rPr>
        <w:t xml:space="preserve">project developers in identifying the </w:t>
      </w:r>
      <w:r w:rsidR="00F57B53">
        <w:rPr>
          <w:rFonts w:ascii="Aptos" w:hAnsi="Aptos"/>
          <w:color w:val="FF0000"/>
        </w:rPr>
        <w:t>forests</w:t>
      </w:r>
      <w:commentRangeEnd w:id="5"/>
      <w:r w:rsidR="003D50E5">
        <w:rPr>
          <w:rStyle w:val="CommentReference"/>
        </w:rPr>
        <w:commentReference w:id="5"/>
      </w:r>
      <w:r w:rsidR="00F57B53">
        <w:rPr>
          <w:rFonts w:ascii="Aptos" w:hAnsi="Aptos"/>
          <w:color w:val="FF0000"/>
        </w:rPr>
        <w:t xml:space="preserve"> </w:t>
      </w:r>
      <w:r w:rsidR="008D157D">
        <w:rPr>
          <w:rFonts w:ascii="Aptos" w:hAnsi="Aptos"/>
          <w:color w:val="FF0000"/>
        </w:rPr>
        <w:t>where recruitment is needed and optimal to meet old-gr</w:t>
      </w:r>
      <w:r w:rsidR="00466DE6">
        <w:rPr>
          <w:rFonts w:ascii="Aptos" w:hAnsi="Aptos"/>
          <w:color w:val="FF0000"/>
        </w:rPr>
        <w:t xml:space="preserve">owth forest </w:t>
      </w:r>
      <w:r w:rsidR="00AB571E">
        <w:rPr>
          <w:rFonts w:ascii="Aptos" w:hAnsi="Aptos"/>
          <w:color w:val="FF0000"/>
        </w:rPr>
        <w:t>desired conditions. Decision Support Tools may follow either of two broad approaches.</w:t>
      </w:r>
      <w:r w:rsidR="00525A56">
        <w:rPr>
          <w:rFonts w:ascii="Aptos" w:hAnsi="Aptos"/>
          <w:color w:val="FF0000"/>
        </w:rPr>
        <w:t xml:space="preserve"> </w:t>
      </w:r>
      <w:commentRangeStart w:id="6"/>
      <w:r w:rsidR="00537779">
        <w:rPr>
          <w:rFonts w:ascii="Aptos" w:hAnsi="Aptos"/>
          <w:color w:val="FF0000"/>
        </w:rPr>
        <w:t>First, they may d</w:t>
      </w:r>
      <w:r w:rsidRPr="00ED2AAC">
        <w:rPr>
          <w:rFonts w:ascii="Aptos" w:hAnsi="Aptos"/>
          <w:color w:val="FF0000"/>
        </w:rPr>
        <w:t>elineate</w:t>
      </w:r>
      <w:r w:rsidR="00101687">
        <w:rPr>
          <w:rFonts w:ascii="Aptos" w:hAnsi="Aptos"/>
          <w:color w:val="FF0000"/>
        </w:rPr>
        <w:t xml:space="preserve"> or</w:t>
      </w:r>
      <w:r w:rsidR="001355A0">
        <w:rPr>
          <w:rFonts w:ascii="Aptos" w:hAnsi="Aptos"/>
          <w:color w:val="FF0000"/>
        </w:rPr>
        <w:t xml:space="preserve"> identify</w:t>
      </w:r>
      <w:r w:rsidR="00101687">
        <w:rPr>
          <w:rFonts w:ascii="Aptos" w:hAnsi="Aptos"/>
          <w:color w:val="FF0000"/>
        </w:rPr>
        <w:t xml:space="preserve"> by attribute</w:t>
      </w:r>
      <w:r w:rsidR="002304F5">
        <w:rPr>
          <w:rFonts w:ascii="Aptos" w:hAnsi="Aptos"/>
          <w:color w:val="FF0000"/>
        </w:rPr>
        <w:t>,</w:t>
      </w:r>
      <w:r w:rsidRPr="00ED2AAC">
        <w:rPr>
          <w:rFonts w:ascii="Aptos" w:hAnsi="Aptos"/>
          <w:color w:val="FF0000"/>
        </w:rPr>
        <w:t xml:space="preserve"> at a level of specificity that can be readily applied during project development</w:t>
      </w:r>
      <w:r w:rsidR="00392DC2">
        <w:rPr>
          <w:rFonts w:ascii="Aptos" w:hAnsi="Aptos"/>
          <w:color w:val="FF0000"/>
        </w:rPr>
        <w:t>,</w:t>
      </w:r>
      <w:r w:rsidR="005C37DD">
        <w:rPr>
          <w:rFonts w:ascii="Aptos" w:hAnsi="Aptos"/>
          <w:color w:val="FF0000"/>
        </w:rPr>
        <w:t xml:space="preserve"> forests </w:t>
      </w:r>
      <w:r w:rsidR="00392DC2">
        <w:rPr>
          <w:rFonts w:ascii="Aptos" w:hAnsi="Aptos"/>
          <w:color w:val="FF0000"/>
        </w:rPr>
        <w:t xml:space="preserve">and the associated stewardship approaches expected to be applied in those forests. Second, they may describe a process that will be used to identify </w:t>
      </w:r>
      <w:r w:rsidR="006373B7">
        <w:rPr>
          <w:rFonts w:ascii="Aptos" w:hAnsi="Aptos"/>
          <w:color w:val="FF0000"/>
        </w:rPr>
        <w:t xml:space="preserve">forests </w:t>
      </w:r>
      <w:r w:rsidR="008B763B">
        <w:rPr>
          <w:rFonts w:ascii="Aptos" w:hAnsi="Aptos"/>
          <w:color w:val="FF0000"/>
        </w:rPr>
        <w:t xml:space="preserve">and associated stewardship approaches </w:t>
      </w:r>
      <w:r w:rsidR="006373B7">
        <w:rPr>
          <w:rFonts w:ascii="Aptos" w:hAnsi="Aptos"/>
          <w:color w:val="FF0000"/>
        </w:rPr>
        <w:t>at the project scale.</w:t>
      </w:r>
      <w:commentRangeEnd w:id="6"/>
      <w:r w:rsidR="0058256C">
        <w:rPr>
          <w:rStyle w:val="CommentReference"/>
        </w:rPr>
        <w:commentReference w:id="6"/>
      </w:r>
      <w:r w:rsidRPr="00ED2AAC">
        <w:rPr>
          <w:rFonts w:ascii="Aptos" w:hAnsi="Aptos"/>
          <w:color w:val="FF0000"/>
        </w:rPr>
        <w:t xml:space="preserve"> </w:t>
      </w:r>
      <w:r w:rsidR="0058256C">
        <w:rPr>
          <w:rFonts w:ascii="Aptos" w:hAnsi="Aptos"/>
          <w:color w:val="FF0000"/>
        </w:rPr>
        <w:t xml:space="preserve"> In developing the Decision Support </w:t>
      </w:r>
      <w:r w:rsidR="00763886">
        <w:rPr>
          <w:rFonts w:ascii="Aptos" w:hAnsi="Aptos"/>
          <w:color w:val="FF0000"/>
        </w:rPr>
        <w:t>Tools</w:t>
      </w:r>
      <w:r>
        <w:rPr>
          <w:rFonts w:ascii="Aptos" w:hAnsi="Aptos"/>
          <w:color w:val="FF0000"/>
        </w:rPr>
        <w:t xml:space="preserve">, </w:t>
      </w:r>
      <w:r w:rsidR="007C34DE">
        <w:rPr>
          <w:rFonts w:ascii="Aptos" w:hAnsi="Aptos"/>
          <w:color w:val="FF0000"/>
        </w:rPr>
        <w:t>consider</w:t>
      </w:r>
      <w:commentRangeStart w:id="7"/>
      <w:r w:rsidRPr="00ED2AAC">
        <w:rPr>
          <w:rFonts w:ascii="Aptos" w:hAnsi="Aptos"/>
          <w:color w:val="FF0000"/>
        </w:rPr>
        <w:t xml:space="preserve"> the following</w:t>
      </w:r>
      <w:commentRangeEnd w:id="7"/>
      <w:r w:rsidR="00036DDF">
        <w:rPr>
          <w:rStyle w:val="CommentReference"/>
        </w:rPr>
        <w:commentReference w:id="7"/>
      </w:r>
      <w:r>
        <w:rPr>
          <w:rFonts w:ascii="Aptos" w:hAnsi="Aptos"/>
        </w:rPr>
        <w:t>:</w:t>
      </w:r>
    </w:p>
    <w:p w14:paraId="4519C92C" w14:textId="77777777" w:rsidR="00326937" w:rsidRPr="00976AE5" w:rsidRDefault="00326937" w:rsidP="00326937">
      <w:pPr>
        <w:pStyle w:val="ListParagraph"/>
        <w:numPr>
          <w:ilvl w:val="0"/>
          <w:numId w:val="2"/>
        </w:numPr>
        <w:ind w:left="1800" w:right="720"/>
        <w:rPr>
          <w:rFonts w:ascii="Aptos" w:hAnsi="Aptos"/>
          <w:color w:val="00B050"/>
        </w:rPr>
      </w:pPr>
      <w:r w:rsidRPr="00976AE5">
        <w:rPr>
          <w:rFonts w:ascii="Aptos" w:hAnsi="Aptos"/>
          <w:color w:val="00B050"/>
        </w:rPr>
        <w:t>Ecological integrity and the natural range of variation;</w:t>
      </w:r>
    </w:p>
    <w:p w14:paraId="0947734E" w14:textId="77777777" w:rsidR="00326937" w:rsidRPr="00976AE5" w:rsidRDefault="00326937" w:rsidP="00326937">
      <w:pPr>
        <w:pStyle w:val="ListParagraph"/>
        <w:numPr>
          <w:ilvl w:val="0"/>
          <w:numId w:val="2"/>
        </w:numPr>
        <w:ind w:left="1800" w:right="720"/>
        <w:rPr>
          <w:rFonts w:ascii="Aptos" w:hAnsi="Aptos"/>
          <w:color w:val="00B050"/>
        </w:rPr>
      </w:pPr>
      <w:r w:rsidRPr="00976AE5">
        <w:rPr>
          <w:rFonts w:ascii="Aptos" w:hAnsi="Aptos"/>
          <w:color w:val="00B050"/>
        </w:rPr>
        <w:t>Redundancy, representativeness, distribution, and connectivity;</w:t>
      </w:r>
    </w:p>
    <w:p w14:paraId="151F3468" w14:textId="77777777" w:rsidR="00326937" w:rsidRPr="00976AE5" w:rsidRDefault="00326937" w:rsidP="00326937">
      <w:pPr>
        <w:pStyle w:val="ListParagraph"/>
        <w:numPr>
          <w:ilvl w:val="0"/>
          <w:numId w:val="2"/>
        </w:numPr>
        <w:ind w:left="1800" w:right="720"/>
        <w:rPr>
          <w:rFonts w:ascii="Aptos" w:hAnsi="Aptos"/>
          <w:color w:val="00B050"/>
        </w:rPr>
      </w:pPr>
      <w:commentRangeStart w:id="8"/>
      <w:r w:rsidRPr="00976AE5">
        <w:rPr>
          <w:rFonts w:ascii="Aptos" w:hAnsi="Aptos"/>
          <w:color w:val="00B050"/>
        </w:rPr>
        <w:t>Inherent capability to sustain old growth conditions or presence of climate or fire refugia</w:t>
      </w:r>
      <w:commentRangeEnd w:id="8"/>
      <w:r w:rsidR="008C2EB4">
        <w:rPr>
          <w:rStyle w:val="CommentReference"/>
        </w:rPr>
        <w:commentReference w:id="8"/>
      </w:r>
      <w:r w:rsidRPr="00976AE5">
        <w:rPr>
          <w:rFonts w:ascii="Aptos" w:hAnsi="Aptos"/>
          <w:color w:val="00B050"/>
        </w:rPr>
        <w:t>;</w:t>
      </w:r>
    </w:p>
    <w:p w14:paraId="692A2EAE" w14:textId="77777777" w:rsidR="00326937" w:rsidRPr="00976AE5" w:rsidRDefault="00326937" w:rsidP="00326937">
      <w:pPr>
        <w:pStyle w:val="ListParagraph"/>
        <w:numPr>
          <w:ilvl w:val="0"/>
          <w:numId w:val="2"/>
        </w:numPr>
        <w:ind w:left="1800" w:right="720"/>
        <w:rPr>
          <w:rFonts w:ascii="Aptos" w:hAnsi="Aptos"/>
          <w:color w:val="00B050"/>
        </w:rPr>
      </w:pPr>
      <w:r w:rsidRPr="00976AE5">
        <w:rPr>
          <w:rFonts w:ascii="Aptos" w:hAnsi="Aptos"/>
          <w:color w:val="00B050"/>
        </w:rPr>
        <w:t>Threats, stressors, and opportunities;</w:t>
      </w:r>
    </w:p>
    <w:p w14:paraId="124DAC32" w14:textId="77777777" w:rsidR="00326937" w:rsidRPr="00976AE5" w:rsidRDefault="00326937" w:rsidP="00326937">
      <w:pPr>
        <w:pStyle w:val="ListParagraph"/>
        <w:numPr>
          <w:ilvl w:val="0"/>
          <w:numId w:val="2"/>
        </w:numPr>
        <w:ind w:left="1800" w:right="720"/>
        <w:rPr>
          <w:rFonts w:ascii="Aptos" w:hAnsi="Aptos"/>
          <w:color w:val="00B050"/>
        </w:rPr>
      </w:pPr>
      <w:r>
        <w:rPr>
          <w:rFonts w:ascii="Aptos" w:hAnsi="Aptos"/>
          <w:color w:val="00B050"/>
        </w:rPr>
        <w:t>The l</w:t>
      </w:r>
      <w:r w:rsidRPr="00976AE5">
        <w:rPr>
          <w:rFonts w:ascii="Aptos" w:hAnsi="Aptos"/>
          <w:color w:val="00B050"/>
        </w:rPr>
        <w:t>ikelihood of achieving the old-growth forest definitions and associated criteria in the shortest timeframe;</w:t>
      </w:r>
    </w:p>
    <w:p w14:paraId="48D3AB9E" w14:textId="77777777" w:rsidR="00326937" w:rsidRPr="00976AE5" w:rsidRDefault="00326937" w:rsidP="00326937">
      <w:pPr>
        <w:pStyle w:val="ListParagraph"/>
        <w:numPr>
          <w:ilvl w:val="0"/>
          <w:numId w:val="2"/>
        </w:numPr>
        <w:ind w:left="1800" w:right="720"/>
        <w:rPr>
          <w:rFonts w:ascii="Aptos" w:hAnsi="Aptos"/>
          <w:color w:val="00B050"/>
        </w:rPr>
      </w:pPr>
      <w:r w:rsidRPr="00976AE5">
        <w:rPr>
          <w:rFonts w:ascii="Aptos" w:hAnsi="Aptos"/>
          <w:color w:val="00B050"/>
        </w:rPr>
        <w:t>Attributes identified as culturally significant;</w:t>
      </w:r>
    </w:p>
    <w:p w14:paraId="7B6BA1BD" w14:textId="77777777" w:rsidR="00326937" w:rsidRPr="00976AE5" w:rsidRDefault="00326937" w:rsidP="00326937">
      <w:pPr>
        <w:pStyle w:val="ListParagraph"/>
        <w:numPr>
          <w:ilvl w:val="0"/>
          <w:numId w:val="2"/>
        </w:numPr>
        <w:ind w:left="1800" w:right="720"/>
        <w:rPr>
          <w:color w:val="00B050"/>
        </w:rPr>
      </w:pPr>
      <w:r w:rsidRPr="00976AE5">
        <w:rPr>
          <w:rFonts w:ascii="Aptos" w:hAnsi="Aptos"/>
          <w:color w:val="00B050"/>
        </w:rPr>
        <w:t xml:space="preserve">Biodiversity values and ability to promote climate-adapted species assemblages under current and future conditions; </w:t>
      </w:r>
    </w:p>
    <w:p w14:paraId="6B28CB97" w14:textId="77777777" w:rsidR="00326937" w:rsidRPr="00976AE5" w:rsidRDefault="00326937" w:rsidP="00326937">
      <w:pPr>
        <w:pStyle w:val="ListParagraph"/>
        <w:numPr>
          <w:ilvl w:val="0"/>
          <w:numId w:val="2"/>
        </w:numPr>
        <w:ind w:left="1800" w:right="720"/>
        <w:rPr>
          <w:color w:val="00B050"/>
        </w:rPr>
      </w:pPr>
      <w:r w:rsidRPr="00976AE5">
        <w:rPr>
          <w:rFonts w:ascii="Aptos" w:hAnsi="Aptos"/>
          <w:color w:val="00B050"/>
        </w:rPr>
        <w:t>Ability to reduce or manage fire hazard, speed or severity, or the spread of potential insect or disease outbreaks through proactive stewardship; or</w:t>
      </w:r>
    </w:p>
    <w:p w14:paraId="17174A7B" w14:textId="01DF4547" w:rsidR="00326937" w:rsidRPr="00976AE5" w:rsidRDefault="00326937" w:rsidP="00326937">
      <w:pPr>
        <w:pStyle w:val="ListParagraph"/>
        <w:numPr>
          <w:ilvl w:val="0"/>
          <w:numId w:val="2"/>
        </w:numPr>
        <w:ind w:left="1800" w:right="720"/>
        <w:rPr>
          <w:color w:val="00B050"/>
        </w:rPr>
      </w:pPr>
      <w:r w:rsidRPr="00976AE5">
        <w:rPr>
          <w:rFonts w:ascii="Aptos" w:hAnsi="Aptos"/>
          <w:color w:val="00B050"/>
        </w:rPr>
        <w:t xml:space="preserve">The </w:t>
      </w:r>
      <w:r>
        <w:rPr>
          <w:rFonts w:ascii="Aptos" w:hAnsi="Aptos"/>
          <w:color w:val="00B050"/>
        </w:rPr>
        <w:t>likelihood</w:t>
      </w:r>
      <w:r w:rsidRPr="00976AE5">
        <w:rPr>
          <w:rFonts w:ascii="Aptos" w:hAnsi="Aptos"/>
          <w:color w:val="00B050"/>
        </w:rPr>
        <w:t xml:space="preserve"> of the expected management strategies within identified </w:t>
      </w:r>
      <w:r w:rsidR="000E6E47">
        <w:rPr>
          <w:rFonts w:ascii="Aptos" w:hAnsi="Aptos"/>
          <w:color w:val="00B050"/>
        </w:rPr>
        <w:t>forests</w:t>
      </w:r>
      <w:r w:rsidRPr="00976AE5">
        <w:rPr>
          <w:rFonts w:ascii="Aptos" w:hAnsi="Aptos"/>
          <w:color w:val="00B050"/>
        </w:rPr>
        <w:t xml:space="preserve"> to support or </w:t>
      </w:r>
      <w:commentRangeStart w:id="9"/>
      <w:r w:rsidRPr="00976AE5">
        <w:rPr>
          <w:rFonts w:ascii="Aptos" w:hAnsi="Aptos"/>
          <w:color w:val="00B050"/>
        </w:rPr>
        <w:t xml:space="preserve">prevent the accomplishment of other plan </w:t>
      </w:r>
      <w:commentRangeEnd w:id="9"/>
      <w:r w:rsidR="00B14E6D">
        <w:rPr>
          <w:rStyle w:val="CommentReference"/>
        </w:rPr>
        <w:commentReference w:id="9"/>
      </w:r>
      <w:r w:rsidRPr="00976AE5">
        <w:rPr>
          <w:rFonts w:ascii="Aptos" w:hAnsi="Aptos"/>
          <w:color w:val="00B050"/>
        </w:rPr>
        <w:t>desired conditions and objectives such as those related to other successional stages and associated species.</w:t>
      </w:r>
    </w:p>
    <w:p w14:paraId="69073DCD" w14:textId="77777777" w:rsidR="00326937" w:rsidRDefault="00326937" w:rsidP="00754CF3"/>
    <w:p w14:paraId="1F390D1E" w14:textId="28447A5E" w:rsidR="00754CF3" w:rsidRDefault="00754CF3" w:rsidP="00754CF3">
      <w:r>
        <w:t>NOGA-FW-MA-01c</w:t>
      </w:r>
    </w:p>
    <w:p w14:paraId="71043E27" w14:textId="52E077B0" w:rsidR="00326937" w:rsidRDefault="00326937" w:rsidP="00754CF3">
      <w:r w:rsidRPr="00326937">
        <w:t>One or more Forest Service units may create a joint Adaptive Strategy for Old-Growth Forest Conservation. An already existing strategy or other document may also be used if it meets this intent and contains, or is amended to contain, all substantive elements described for Management Approach 1(a) and 1(b).</w:t>
      </w:r>
    </w:p>
    <w:p w14:paraId="4424871E" w14:textId="77777777" w:rsidR="00326937" w:rsidRDefault="00326937" w:rsidP="00754CF3"/>
    <w:p w14:paraId="19C5940D" w14:textId="7327866A" w:rsidR="00754CF3" w:rsidRDefault="00754CF3" w:rsidP="00754CF3">
      <w:r>
        <w:t>NOGA-FW-MA-01d</w:t>
      </w:r>
    </w:p>
    <w:p w14:paraId="372980F3" w14:textId="5B9DA815" w:rsidR="00326937" w:rsidRDefault="00326937" w:rsidP="00754CF3">
      <w:r w:rsidRPr="00326937">
        <w:t>Include the Adaptive Strategy for Old-Growth Forest Conservation as an appendix to either the broader scale monitoring strategy or the biennial monitoring report, see 36 CFR 219.12. Units should use this strategy to inform priorities. The strategy may be periodically updated (36 CFR 219.13(c)) to reflect new information and monitoring results.</w:t>
      </w:r>
    </w:p>
    <w:p w14:paraId="5E85CA3B" w14:textId="77777777" w:rsidR="00326937" w:rsidRDefault="00326937" w:rsidP="00754CF3"/>
    <w:p w14:paraId="25667ECA" w14:textId="00C69D1B" w:rsidR="00754CF3" w:rsidRDefault="00754CF3" w:rsidP="00754CF3">
      <w:r>
        <w:t>NOGA-FW-DC-01</w:t>
      </w:r>
    </w:p>
    <w:p w14:paraId="605A7FCF" w14:textId="7E875370" w:rsidR="00326937" w:rsidRDefault="00643B78" w:rsidP="00754CF3">
      <w:r w:rsidRPr="00326937">
        <w:t>Old-growth forests occur in amounts and levels of representativeness, redundancy, and connectivity such that conditions are</w:t>
      </w:r>
      <w:r>
        <w:t xml:space="preserve"> </w:t>
      </w:r>
      <w:commentRangeStart w:id="10"/>
      <w:r w:rsidRPr="009D4BB4">
        <w:rPr>
          <w:color w:val="FF0000"/>
        </w:rPr>
        <w:t xml:space="preserve">within or moving toward the natural range of variation </w:t>
      </w:r>
      <w:commentRangeEnd w:id="10"/>
      <w:r w:rsidR="00D575B3">
        <w:rPr>
          <w:rStyle w:val="CommentReference"/>
        </w:rPr>
        <w:commentReference w:id="10"/>
      </w:r>
      <w:r w:rsidRPr="009D4BB4">
        <w:rPr>
          <w:color w:val="FF0000"/>
        </w:rPr>
        <w:t xml:space="preserve">and are </w:t>
      </w:r>
      <w:r w:rsidRPr="00326937">
        <w:t>resilient and adaptable to stressors and likely future environments.</w:t>
      </w:r>
    </w:p>
    <w:p w14:paraId="04A6772B" w14:textId="77777777" w:rsidR="00326937" w:rsidRDefault="00326937" w:rsidP="00754CF3"/>
    <w:p w14:paraId="4A546170" w14:textId="4DAC26D4" w:rsidR="00754CF3" w:rsidRDefault="00754CF3" w:rsidP="00754CF3">
      <w:r>
        <w:t>NOGA-FW-DC-02</w:t>
      </w:r>
    </w:p>
    <w:p w14:paraId="4EB4AC6F" w14:textId="3F5303E8" w:rsidR="00643B78" w:rsidRDefault="00643B78" w:rsidP="00754CF3">
      <w:r>
        <w:t xml:space="preserve">Old-growth forests </w:t>
      </w:r>
      <w:commentRangeStart w:id="11"/>
      <w:r>
        <w:t xml:space="preserve">persist </w:t>
      </w:r>
      <w:r w:rsidRPr="0072799B">
        <w:rPr>
          <w:color w:val="FF0000"/>
        </w:rPr>
        <w:t>locally</w:t>
      </w:r>
      <w:r>
        <w:t xml:space="preserve"> in areas that have the inherent capability to sustain old-growth forests over time </w:t>
      </w:r>
      <w:r w:rsidRPr="00622B61">
        <w:rPr>
          <w:color w:val="FF0000"/>
        </w:rPr>
        <w:t xml:space="preserve">and at the landscape scale </w:t>
      </w:r>
      <w:r>
        <w:rPr>
          <w:color w:val="FF0000"/>
        </w:rPr>
        <w:t>accounting for current and future disturbance regimes</w:t>
      </w:r>
      <w:commentRangeEnd w:id="11"/>
      <w:r w:rsidR="002220EF">
        <w:rPr>
          <w:rStyle w:val="CommentReference"/>
        </w:rPr>
        <w:commentReference w:id="11"/>
      </w:r>
      <w:r>
        <w:t>.</w:t>
      </w:r>
    </w:p>
    <w:p w14:paraId="58169448" w14:textId="77777777" w:rsidR="00643B78" w:rsidRDefault="00643B78" w:rsidP="00754CF3"/>
    <w:p w14:paraId="5582786F" w14:textId="759CDC01" w:rsidR="00754CF3" w:rsidRDefault="00754CF3" w:rsidP="00754CF3">
      <w:r>
        <w:t>NOGA-FW-DC-03</w:t>
      </w:r>
    </w:p>
    <w:p w14:paraId="61D03E38" w14:textId="475786AD" w:rsidR="00643B78" w:rsidRDefault="00643B78" w:rsidP="00754CF3">
      <w:r w:rsidRPr="00643B78">
        <w:t>The long-term abundance, distribution, and resilience of old-growth forests within the plan area contribute to ecosystem services across the National Forest System, including but not limited to long-term stability of forest carbon, clean water and soil stabilization, plant and animal habitat, spiritual and cultural heritage values and education, and recreational and tourism experiences.</w:t>
      </w:r>
    </w:p>
    <w:p w14:paraId="65DB8A05" w14:textId="77777777" w:rsidR="00643B78" w:rsidRDefault="00643B78" w:rsidP="00754CF3"/>
    <w:p w14:paraId="22F06909" w14:textId="520BBE44" w:rsidR="00754CF3" w:rsidRDefault="00754CF3" w:rsidP="00754CF3">
      <w:r>
        <w:t>NOGA-FW-DC-04</w:t>
      </w:r>
    </w:p>
    <w:p w14:paraId="478B203F" w14:textId="454AF7B7" w:rsidR="00643B78" w:rsidRDefault="00643B78" w:rsidP="00754CF3">
      <w:r w:rsidRPr="00643B78">
        <w:t>Old-growth forests contribute to the ecological integrity of terrestrial and aquatic ecosystems within the plan area, in concert with other successional stages that are also necessary for ecological integrity.</w:t>
      </w:r>
    </w:p>
    <w:p w14:paraId="07279012" w14:textId="77777777" w:rsidR="00643B78" w:rsidRDefault="00643B78" w:rsidP="00754CF3"/>
    <w:p w14:paraId="5FE263E1" w14:textId="7C34C7F6" w:rsidR="00754CF3" w:rsidRDefault="00754CF3" w:rsidP="00754CF3">
      <w:r>
        <w:t>NOGA-FW-OBJ-01</w:t>
      </w:r>
    </w:p>
    <w:p w14:paraId="17450D73" w14:textId="65446BBA" w:rsidR="00643B78" w:rsidRDefault="00643B78" w:rsidP="00754CF3">
      <w:r>
        <w:t xml:space="preserve">Within 2 years of the old-growth amendment record of decision, in consultation with Tribes and Alaska Native Corporations and in collaboration with interested States, local governments, industry and non-governmental partners, and public stakeholders, create or adopt an </w:t>
      </w:r>
      <w:r>
        <w:rPr>
          <w:i/>
          <w:iCs/>
        </w:rPr>
        <w:t>Adaptive Strategy for Old-Growth Conservation</w:t>
      </w:r>
      <w:r>
        <w:t xml:space="preserve"> </w:t>
      </w:r>
      <w:r w:rsidRPr="00CE3E49">
        <w:t>based on geographically relevant data and information</w:t>
      </w:r>
      <w:r>
        <w:t xml:space="preserve"> </w:t>
      </w:r>
      <w:commentRangeStart w:id="12"/>
      <w:r>
        <w:rPr>
          <w:color w:val="FF0000"/>
        </w:rPr>
        <w:t>identifies forests in which recruitment is</w:t>
      </w:r>
      <w:r w:rsidRPr="0080038A">
        <w:rPr>
          <w:color w:val="FF0000"/>
        </w:rPr>
        <w:t xml:space="preserve"> needed and optimal to meet</w:t>
      </w:r>
      <w:r>
        <w:t xml:space="preserve"> </w:t>
      </w:r>
      <w:r w:rsidRPr="0080038A">
        <w:rPr>
          <w:strike/>
        </w:rPr>
        <w:t>for the purpose of furthering</w:t>
      </w:r>
      <w:r>
        <w:t xml:space="preserve"> old-growth forest desired conditions </w:t>
      </w:r>
      <w:r>
        <w:rPr>
          <w:color w:val="FF0000"/>
        </w:rPr>
        <w:t>and describes the expected proactive or passive stewardship strategies associated with those forests</w:t>
      </w:r>
      <w:r>
        <w:t>.</w:t>
      </w:r>
      <w:commentRangeEnd w:id="12"/>
      <w:r w:rsidR="00463510">
        <w:rPr>
          <w:rStyle w:val="CommentReference"/>
        </w:rPr>
        <w:commentReference w:id="12"/>
      </w:r>
    </w:p>
    <w:p w14:paraId="5CBBAF31" w14:textId="77777777" w:rsidR="00643B78" w:rsidRDefault="00643B78" w:rsidP="00754CF3"/>
    <w:p w14:paraId="2ABB7EC2" w14:textId="69D81FF3" w:rsidR="00754CF3" w:rsidRDefault="00754CF3" w:rsidP="00754CF3">
      <w:r>
        <w:t>NOGA-FW-OBJ-02</w:t>
      </w:r>
    </w:p>
    <w:p w14:paraId="02366D57" w14:textId="411A4B0E" w:rsidR="00643B78" w:rsidRDefault="00643B78" w:rsidP="00754CF3">
      <w:r w:rsidRPr="00643B78">
        <w:t xml:space="preserve">Within one year of completing the Adaptive Strategy for Old-Growth Forest Conservation Strategy, integrate priorities identified in the Strategy into the unit’s outyear program of work and initiate at </w:t>
      </w:r>
      <w:r w:rsidRPr="00643B78">
        <w:lastRenderedPageBreak/>
        <w:t>least three proactive stewardship projects/activities in the planning area to contribute to the achievement of old-growth forest desired conditions.</w:t>
      </w:r>
    </w:p>
    <w:p w14:paraId="03393A7B" w14:textId="77777777" w:rsidR="00643B78" w:rsidRDefault="00643B78" w:rsidP="00754CF3"/>
    <w:p w14:paraId="13BFA45F" w14:textId="6AB66A4A" w:rsidR="00754CF3" w:rsidRDefault="00754CF3" w:rsidP="00754CF3">
      <w:r>
        <w:t>NOGA-FW-OBJ-03</w:t>
      </w:r>
    </w:p>
    <w:p w14:paraId="656FCBCA" w14:textId="10E4456B" w:rsidR="00643B78" w:rsidRDefault="00643B78" w:rsidP="00754CF3">
      <w:r w:rsidRPr="00643B78">
        <w:t>Within two years of completing the Adaptive Strategy for Old-Growth Forest Conservation Strategy, initiate at least one co-stewardship project with interested Tribes for the purpose of proactive stewardship.</w:t>
      </w:r>
    </w:p>
    <w:p w14:paraId="0668DB11" w14:textId="77777777" w:rsidR="00643B78" w:rsidRDefault="00643B78" w:rsidP="00754CF3"/>
    <w:p w14:paraId="15181319" w14:textId="1201E6A0" w:rsidR="00754CF3" w:rsidRDefault="00754CF3" w:rsidP="00754CF3">
      <w:r>
        <w:t>NOGA-FW-OBJ-04</w:t>
      </w:r>
    </w:p>
    <w:p w14:paraId="1C86332D" w14:textId="7F6035A2" w:rsidR="00643B78" w:rsidRDefault="00643B78" w:rsidP="00754CF3">
      <w:r w:rsidRPr="00643B78">
        <w:t>Within ten years of the Adaptive Strategy for Old-Growth Forest Conservation being completed, forest ecosystems within the plan area will exhibit a measurable, increasing trend towards appropriate amounts, representativeness, redundancy, and connectivity of old-growth forest that are resilient and adaptable to stressors and likely future environments.</w:t>
      </w:r>
    </w:p>
    <w:p w14:paraId="5DC79D21" w14:textId="77777777" w:rsidR="00643B78" w:rsidRDefault="00643B78" w:rsidP="00754CF3"/>
    <w:p w14:paraId="3154E758" w14:textId="2E7E3133" w:rsidR="00754CF3" w:rsidRDefault="00754CF3" w:rsidP="00754CF3">
      <w:r>
        <w:t>NOGA-FW-STD-01</w:t>
      </w:r>
    </w:p>
    <w:p w14:paraId="302FD3C9" w14:textId="10D5A131" w:rsidR="00643B78" w:rsidRDefault="008D263C" w:rsidP="00754CF3">
      <w:r w:rsidRPr="003F036D">
        <w:rPr>
          <w:rFonts w:ascii="Aptos" w:hAnsi="Aptos"/>
          <w:color w:val="FF0000"/>
        </w:rPr>
        <w:t>Old-growth forest</w:t>
      </w:r>
      <w:r>
        <w:rPr>
          <w:rFonts w:ascii="Aptos" w:hAnsi="Aptos"/>
          <w:color w:val="FF0000"/>
        </w:rPr>
        <w:t xml:space="preserve">, </w:t>
      </w:r>
      <w:commentRangeStart w:id="13"/>
      <w:r>
        <w:rPr>
          <w:rFonts w:ascii="Aptos" w:hAnsi="Aptos"/>
          <w:color w:val="FF0000"/>
        </w:rPr>
        <w:t xml:space="preserve">where it </w:t>
      </w:r>
      <w:r w:rsidR="0092192F">
        <w:rPr>
          <w:rFonts w:ascii="Aptos" w:hAnsi="Aptos"/>
          <w:color w:val="FF0000"/>
        </w:rPr>
        <w:t>meets</w:t>
      </w:r>
      <w:r>
        <w:rPr>
          <w:rFonts w:ascii="Aptos" w:hAnsi="Aptos"/>
          <w:color w:val="FF0000"/>
        </w:rPr>
        <w:t xml:space="preserve"> the minimum spatial scale relevant to inventory methods</w:t>
      </w:r>
      <w:commentRangeEnd w:id="13"/>
      <w:r w:rsidR="000C2C1A">
        <w:rPr>
          <w:rStyle w:val="CommentReference"/>
        </w:rPr>
        <w:commentReference w:id="13"/>
      </w:r>
      <w:r>
        <w:rPr>
          <w:rFonts w:ascii="Aptos" w:hAnsi="Aptos"/>
          <w:color w:val="FF0000"/>
        </w:rPr>
        <w:t>,</w:t>
      </w:r>
      <w:r w:rsidRPr="003F036D">
        <w:rPr>
          <w:rFonts w:ascii="Aptos" w:hAnsi="Aptos"/>
          <w:color w:val="FF0000"/>
        </w:rPr>
        <w:t xml:space="preserve"> will be identified and confirmed in the field using </w:t>
      </w:r>
      <w:commentRangeStart w:id="14"/>
      <w:r>
        <w:rPr>
          <w:rFonts w:ascii="Aptos" w:hAnsi="Aptos"/>
          <w:color w:val="FF0000"/>
        </w:rPr>
        <w:t>reliable</w:t>
      </w:r>
      <w:r w:rsidRPr="003F036D">
        <w:rPr>
          <w:rFonts w:ascii="Aptos" w:hAnsi="Aptos"/>
          <w:color w:val="FF0000"/>
        </w:rPr>
        <w:t xml:space="preserve"> field verification protocols</w:t>
      </w:r>
      <w:commentRangeEnd w:id="14"/>
      <w:r w:rsidR="00680C6F">
        <w:rPr>
          <w:rStyle w:val="CommentReference"/>
        </w:rPr>
        <w:commentReference w:id="14"/>
      </w:r>
      <w:r w:rsidRPr="003F036D">
        <w:rPr>
          <w:rFonts w:ascii="Aptos" w:hAnsi="Aptos"/>
          <w:color w:val="FF0000"/>
        </w:rPr>
        <w:t>.</w:t>
      </w:r>
      <w:r>
        <w:rPr>
          <w:rFonts w:ascii="Aptos" w:hAnsi="Aptos"/>
          <w:color w:val="FF0000"/>
        </w:rPr>
        <w:t xml:space="preserve"> </w:t>
      </w:r>
      <w:r w:rsidR="00643B78">
        <w:rPr>
          <w:rFonts w:ascii="Aptos" w:hAnsi="Aptos"/>
          <w:color w:val="000000"/>
        </w:rPr>
        <w:t xml:space="preserve">Old growth forests will be </w:t>
      </w:r>
      <w:r w:rsidR="00643B78">
        <w:rPr>
          <w:rFonts w:ascii="Aptos" w:hAnsi="Aptos"/>
          <w:strike/>
          <w:color w:val="000000"/>
        </w:rPr>
        <w:t>determined</w:t>
      </w:r>
      <w:r w:rsidR="00643B78">
        <w:rPr>
          <w:rFonts w:ascii="Aptos" w:hAnsi="Aptos"/>
          <w:color w:val="000000"/>
        </w:rPr>
        <w:t xml:space="preserve"> </w:t>
      </w:r>
      <w:r w:rsidR="00643B78">
        <w:rPr>
          <w:rFonts w:ascii="Aptos" w:hAnsi="Aptos"/>
          <w:color w:val="FF0000"/>
        </w:rPr>
        <w:t xml:space="preserve">identified </w:t>
      </w:r>
      <w:r w:rsidR="00643B78">
        <w:rPr>
          <w:rFonts w:ascii="Aptos" w:hAnsi="Aptos"/>
          <w:color w:val="000000"/>
        </w:rPr>
        <w:t xml:space="preserve">using definitions and associated criteria established in the land management plan. Where these definitions and associated criteria are found to be incomplete (i.e., only address some but not all ecosystems found in the planning area for which old-growth forest does or may exist) or are non-existent in the plan, the planning unit’s corresponding regional old-growth forest definitions and associated criteria, or successor regional definitions and criteria, will be applied in part when these are incomplete or in full when non-existent. </w:t>
      </w:r>
    </w:p>
    <w:p w14:paraId="6A1341EE" w14:textId="77777777" w:rsidR="00643B78" w:rsidRDefault="00643B78" w:rsidP="00754CF3"/>
    <w:p w14:paraId="4FDC5506" w14:textId="4D4CE8AD" w:rsidR="00754CF3" w:rsidRDefault="00754CF3" w:rsidP="00754CF3">
      <w:r>
        <w:t>NOGA-FW-STD-02a</w:t>
      </w:r>
    </w:p>
    <w:p w14:paraId="4B310A74" w14:textId="62F2E97F" w:rsidR="008F7773" w:rsidRDefault="008F7773" w:rsidP="00754CF3">
      <w:r w:rsidRPr="008F7773">
        <w:t>Where conditions meet the definitions and associated criteria of old-growth forest</w:t>
      </w:r>
      <w:r w:rsidRPr="008F7773">
        <w:rPr>
          <w:color w:val="FF0000"/>
        </w:rPr>
        <w:t xml:space="preserve"> </w:t>
      </w:r>
      <w:commentRangeStart w:id="15"/>
      <w:r w:rsidRPr="005E5E0D">
        <w:rPr>
          <w:color w:val="FF0000"/>
        </w:rPr>
        <w:t xml:space="preserve">but characteristics needed to be resilient and adaptable </w:t>
      </w:r>
      <w:r>
        <w:rPr>
          <w:color w:val="FF0000"/>
        </w:rPr>
        <w:t xml:space="preserve">to future stressors </w:t>
      </w:r>
      <w:r w:rsidRPr="005E5E0D">
        <w:rPr>
          <w:color w:val="FF0000"/>
        </w:rPr>
        <w:t xml:space="preserve">are </w:t>
      </w:r>
      <w:r w:rsidR="006649DA">
        <w:rPr>
          <w:color w:val="FF0000"/>
        </w:rPr>
        <w:t xml:space="preserve">either </w:t>
      </w:r>
      <w:r w:rsidR="0008334C">
        <w:rPr>
          <w:color w:val="FF0000"/>
        </w:rPr>
        <w:t xml:space="preserve">likely to be lost or </w:t>
      </w:r>
      <w:r w:rsidR="007A7720">
        <w:rPr>
          <w:color w:val="FF0000"/>
        </w:rPr>
        <w:t xml:space="preserve">unlikely </w:t>
      </w:r>
      <w:r w:rsidRPr="005E5E0D">
        <w:rPr>
          <w:color w:val="FF0000"/>
        </w:rPr>
        <w:t>develop otherwise</w:t>
      </w:r>
      <w:commentRangeEnd w:id="15"/>
      <w:r w:rsidR="0047717F">
        <w:rPr>
          <w:rStyle w:val="CommentReference"/>
        </w:rPr>
        <w:commentReference w:id="15"/>
      </w:r>
      <w:r w:rsidRPr="008F7773">
        <w:t xml:space="preserve">, vegetation management </w:t>
      </w:r>
      <w:r w:rsidRPr="008F7773">
        <w:rPr>
          <w:color w:val="FF0000"/>
        </w:rPr>
        <w:t>is allowed</w:t>
      </w:r>
      <w:r>
        <w:t xml:space="preserve"> </w:t>
      </w:r>
      <w:r w:rsidRPr="008F7773">
        <w:rPr>
          <w:strike/>
        </w:rPr>
        <w:t>may only be</w:t>
      </w:r>
      <w:r w:rsidRPr="008F7773">
        <w:t xml:space="preserve"> for the purpose of proactive stewardship. Proactive stewardship </w:t>
      </w:r>
      <w:r w:rsidRPr="00AA5FD5">
        <w:rPr>
          <w:strike/>
        </w:rPr>
        <w:t>in old-growth forests</w:t>
      </w:r>
      <w:r w:rsidRPr="008F7773">
        <w:t xml:space="preserve"> shall </w:t>
      </w:r>
      <w:commentRangeStart w:id="16"/>
      <w:r w:rsidR="00AA5FD5">
        <w:rPr>
          <w:rFonts w:ascii="Aptos" w:hAnsi="Aptos"/>
          <w:color w:val="FF0000"/>
        </w:rPr>
        <w:t>m</w:t>
      </w:r>
      <w:r>
        <w:rPr>
          <w:rFonts w:ascii="Aptos" w:hAnsi="Aptos"/>
          <w:color w:val="FF0000"/>
        </w:rPr>
        <w:t xml:space="preserve">aintain or contribute to the restoration of pre-fire suppression old-growth conditions characteristic of the relevant forest type(s), </w:t>
      </w:r>
      <w:r w:rsidR="00AA5FD5">
        <w:rPr>
          <w:rFonts w:ascii="Aptos" w:hAnsi="Aptos"/>
          <w:color w:val="FF0000"/>
        </w:rPr>
        <w:t xml:space="preserve">shall </w:t>
      </w:r>
      <w:r>
        <w:rPr>
          <w:rFonts w:ascii="Aptos" w:hAnsi="Aptos"/>
          <w:color w:val="FF0000"/>
        </w:rPr>
        <w:t>retain the large trees contributing to characteristic old-growth structur</w:t>
      </w:r>
      <w:r w:rsidR="00F41BF5">
        <w:rPr>
          <w:rFonts w:ascii="Aptos" w:hAnsi="Aptos"/>
          <w:color w:val="FF0000"/>
        </w:rPr>
        <w:t>e and composition</w:t>
      </w:r>
      <w:commentRangeEnd w:id="16"/>
      <w:r w:rsidR="0014614C">
        <w:rPr>
          <w:rStyle w:val="CommentReference"/>
        </w:rPr>
        <w:commentReference w:id="16"/>
      </w:r>
      <w:r w:rsidR="00AA5FD5">
        <w:rPr>
          <w:rFonts w:ascii="Aptos" w:hAnsi="Aptos"/>
          <w:color w:val="FF0000"/>
        </w:rPr>
        <w:t>,</w:t>
      </w:r>
      <w:r>
        <w:rPr>
          <w:rFonts w:ascii="Aptos" w:hAnsi="Aptos"/>
          <w:color w:val="FF0000"/>
        </w:rPr>
        <w:t xml:space="preserve"> and shall</w:t>
      </w:r>
      <w:r>
        <w:rPr>
          <w:rFonts w:ascii="Aptos" w:hAnsi="Aptos"/>
          <w:color w:val="000000"/>
        </w:rPr>
        <w:t xml:space="preserve"> </w:t>
      </w:r>
      <w:r w:rsidRPr="008F7773">
        <w:t>promote one or more of the following:</w:t>
      </w:r>
    </w:p>
    <w:p w14:paraId="61F1B075" w14:textId="58995BD6" w:rsidR="006A4F43" w:rsidRDefault="006A4F43" w:rsidP="006A4F43">
      <w:pPr>
        <w:pStyle w:val="ListParagraph"/>
        <w:numPr>
          <w:ilvl w:val="0"/>
          <w:numId w:val="3"/>
        </w:numPr>
      </w:pPr>
      <w:r w:rsidRPr="006A4F43">
        <w:rPr>
          <w:strike/>
        </w:rPr>
        <w:t>reduction</w:t>
      </w:r>
      <w:r>
        <w:t xml:space="preserve"> </w:t>
      </w:r>
      <w:r w:rsidRPr="006A4F43">
        <w:rPr>
          <w:color w:val="FF0000"/>
        </w:rPr>
        <w:t>manipulation</w:t>
      </w:r>
      <w:r>
        <w:t xml:space="preserve"> of </w:t>
      </w:r>
      <w:r w:rsidRPr="006A4F43">
        <w:rPr>
          <w:strike/>
        </w:rPr>
        <w:t>hazardous</w:t>
      </w:r>
      <w:r>
        <w:t xml:space="preserve"> fuel </w:t>
      </w:r>
      <w:r w:rsidRPr="006A4F43">
        <w:rPr>
          <w:color w:val="FF0000"/>
        </w:rPr>
        <w:t>level</w:t>
      </w:r>
      <w:r>
        <w:t xml:space="preserve">s to reduce the risk of loss of old-growth forests to uncharacteristic wildfire, </w:t>
      </w:r>
      <w:r w:rsidRPr="006A4F43">
        <w:rPr>
          <w:strike/>
        </w:rPr>
        <w:t>and</w:t>
      </w:r>
      <w:r>
        <w:t xml:space="preserve"> </w:t>
      </w:r>
      <w:r w:rsidRPr="006A4F43">
        <w:rPr>
          <w:color w:val="FF0000"/>
        </w:rPr>
        <w:t>or</w:t>
      </w:r>
      <w:r>
        <w:t xml:space="preserve"> to facilitate the return of appropriate fire disturbance regimes and conditions;</w:t>
      </w:r>
    </w:p>
    <w:p w14:paraId="33BA1278" w14:textId="77777777" w:rsidR="006A4F43" w:rsidRDefault="006A4F43" w:rsidP="006A4F43">
      <w:pPr>
        <w:pStyle w:val="ListParagraph"/>
        <w:numPr>
          <w:ilvl w:val="0"/>
          <w:numId w:val="3"/>
        </w:numPr>
      </w:pPr>
      <w:r>
        <w:t>resilience to insect and disease outbreaks that would result in the loss of old-growth conditions;</w:t>
      </w:r>
    </w:p>
    <w:p w14:paraId="22313178" w14:textId="77777777" w:rsidR="006A4F43" w:rsidRDefault="006A4F43" w:rsidP="006A4F43">
      <w:pPr>
        <w:pStyle w:val="ListParagraph"/>
        <w:numPr>
          <w:ilvl w:val="0"/>
          <w:numId w:val="3"/>
        </w:numPr>
      </w:pPr>
      <w:r>
        <w:lastRenderedPageBreak/>
        <w:t>ecological conditions for at-risk species associated with old-growth forest, including conditions needed for the recovery of threatened and endangered species;</w:t>
      </w:r>
    </w:p>
    <w:p w14:paraId="4CAD153A" w14:textId="77777777" w:rsidR="006A4F43" w:rsidRDefault="006A4F43" w:rsidP="006A4F43">
      <w:pPr>
        <w:pStyle w:val="ListParagraph"/>
        <w:numPr>
          <w:ilvl w:val="0"/>
          <w:numId w:val="3"/>
        </w:numPr>
      </w:pPr>
      <w:r>
        <w:t>amount, density, distribution and species composition of old trees, downed logs, and standing snags appropriate for the forest ecosystem type;</w:t>
      </w:r>
    </w:p>
    <w:p w14:paraId="50238E5F" w14:textId="77777777" w:rsidR="006A4F43" w:rsidRDefault="006A4F43" w:rsidP="006A4F43">
      <w:pPr>
        <w:pStyle w:val="ListParagraph"/>
        <w:numPr>
          <w:ilvl w:val="0"/>
          <w:numId w:val="3"/>
        </w:numPr>
      </w:pPr>
      <w:r>
        <w:t>vertical and horizontal distribution of old-growth structures, including canopy structure and composition;</w:t>
      </w:r>
    </w:p>
    <w:p w14:paraId="55F0238D" w14:textId="77777777" w:rsidR="006A4F43" w:rsidRDefault="006A4F43" w:rsidP="006A4F43">
      <w:pPr>
        <w:pStyle w:val="ListParagraph"/>
        <w:numPr>
          <w:ilvl w:val="0"/>
          <w:numId w:val="3"/>
        </w:numPr>
      </w:pPr>
      <w:r>
        <w:t>patch size characteristics, percentage or proportion of forest interior, and connectivity;</w:t>
      </w:r>
    </w:p>
    <w:p w14:paraId="0206F7EA" w14:textId="04BA55EC" w:rsidR="006A4F43" w:rsidRDefault="006A4F43" w:rsidP="006A4F43">
      <w:pPr>
        <w:pStyle w:val="ListParagraph"/>
        <w:numPr>
          <w:ilvl w:val="0"/>
          <w:numId w:val="3"/>
        </w:numPr>
      </w:pPr>
      <w:commentRangeStart w:id="17"/>
      <w:r>
        <w:t>types, frequencies, severities, patch sizes, extent, and spatial patterns of disturbances;</w:t>
      </w:r>
    </w:p>
    <w:p w14:paraId="0B89EC4E" w14:textId="7738749B" w:rsidR="006A4F43" w:rsidRDefault="006A4F43" w:rsidP="006A4F43">
      <w:pPr>
        <w:pStyle w:val="ListParagraph"/>
        <w:numPr>
          <w:ilvl w:val="0"/>
          <w:numId w:val="3"/>
        </w:numPr>
      </w:pPr>
      <w:r>
        <w:t>successional pathways and stand development</w:t>
      </w:r>
      <w:commentRangeEnd w:id="17"/>
      <w:r w:rsidR="00B43CB9">
        <w:rPr>
          <w:rStyle w:val="CommentReference"/>
        </w:rPr>
        <w:commentReference w:id="17"/>
      </w:r>
      <w:r>
        <w:t>;</w:t>
      </w:r>
    </w:p>
    <w:p w14:paraId="5A4D825D" w14:textId="11F569D6" w:rsidR="006A4F43" w:rsidRDefault="006A4F43" w:rsidP="006A4F43">
      <w:pPr>
        <w:pStyle w:val="ListParagraph"/>
        <w:numPr>
          <w:ilvl w:val="0"/>
          <w:numId w:val="3"/>
        </w:numPr>
      </w:pPr>
      <w:r>
        <w:t>connectivity and the ability of old-growth obligate species to move through the area and cross into adjacent areas;</w:t>
      </w:r>
    </w:p>
    <w:p w14:paraId="24834472" w14:textId="77777777" w:rsidR="006A4F43" w:rsidRDefault="006A4F43" w:rsidP="006A4F43">
      <w:pPr>
        <w:pStyle w:val="ListParagraph"/>
        <w:numPr>
          <w:ilvl w:val="0"/>
          <w:numId w:val="3"/>
        </w:numPr>
      </w:pPr>
      <w:r>
        <w:t>culturally significant species or values, to include key understory species;</w:t>
      </w:r>
    </w:p>
    <w:p w14:paraId="5F93A0A5" w14:textId="00D5C8C1" w:rsidR="006A4F43" w:rsidRDefault="006A4F43" w:rsidP="006A4F43">
      <w:pPr>
        <w:pStyle w:val="ListParagraph"/>
        <w:numPr>
          <w:ilvl w:val="0"/>
          <w:numId w:val="3"/>
        </w:numPr>
      </w:pPr>
      <w:r>
        <w:t>species diversity, and presence and abundance of rare or unique habitat features associated with old-growth forests; or</w:t>
      </w:r>
    </w:p>
    <w:p w14:paraId="31DDE987" w14:textId="4CE90886" w:rsidR="006A4F43" w:rsidRDefault="006A4F43" w:rsidP="006A4F43">
      <w:pPr>
        <w:pStyle w:val="ListParagraph"/>
        <w:numPr>
          <w:ilvl w:val="0"/>
          <w:numId w:val="3"/>
        </w:numPr>
      </w:pPr>
      <w:r w:rsidRPr="006A4F43">
        <w:t>other key characteristics of ecological integrity associated with old-growth forests.</w:t>
      </w:r>
    </w:p>
    <w:p w14:paraId="63B02B32" w14:textId="77777777" w:rsidR="000D635A" w:rsidRPr="000D635A" w:rsidRDefault="000D635A" w:rsidP="00754CF3"/>
    <w:p w14:paraId="61C82511" w14:textId="3CE26B48" w:rsidR="000D635A" w:rsidRDefault="000D635A" w:rsidP="00754CF3">
      <w:pPr>
        <w:rPr>
          <w:color w:val="00B050"/>
        </w:rPr>
      </w:pPr>
      <w:commentRangeStart w:id="18"/>
      <w:r w:rsidRPr="000D635A">
        <w:t>Glo</w:t>
      </w:r>
      <w:r>
        <w:t xml:space="preserve">ssary </w:t>
      </w:r>
      <w:commentRangeEnd w:id="18"/>
      <w:r w:rsidR="00301774">
        <w:rPr>
          <w:rStyle w:val="CommentReference"/>
        </w:rPr>
        <w:commentReference w:id="18"/>
      </w:r>
      <w:r>
        <w:t xml:space="preserve">Applicable to NOGA-FW </w:t>
      </w:r>
      <w:r w:rsidR="005F70CE">
        <w:t>Plan Content:</w:t>
      </w:r>
    </w:p>
    <w:p w14:paraId="3B653484" w14:textId="413EBC9E" w:rsidR="008F7773" w:rsidRPr="00AA5FD5" w:rsidRDefault="005F70CE" w:rsidP="00754CF3">
      <w:pPr>
        <w:rPr>
          <w:color w:val="00B050"/>
        </w:rPr>
      </w:pPr>
      <w:r>
        <w:rPr>
          <w:color w:val="00B050"/>
        </w:rPr>
        <w:t>T</w:t>
      </w:r>
      <w:r w:rsidR="008F7773" w:rsidRPr="00AA5FD5">
        <w:rPr>
          <w:color w:val="00B050"/>
        </w:rPr>
        <w:t>he term “vegetation management” includes – but is not limited to – prescribed fire, timber harvest,</w:t>
      </w:r>
      <w:r w:rsidR="008F7773" w:rsidRPr="008F7773">
        <w:t xml:space="preserve"> </w:t>
      </w:r>
      <w:commentRangeStart w:id="19"/>
      <w:r w:rsidR="00AA5FD5" w:rsidRPr="00AA5FD5">
        <w:rPr>
          <w:color w:val="FF0000"/>
        </w:rPr>
        <w:t>timber or biomass removal</w:t>
      </w:r>
      <w:commentRangeEnd w:id="19"/>
      <w:r w:rsidR="00402772">
        <w:rPr>
          <w:rStyle w:val="CommentReference"/>
        </w:rPr>
        <w:commentReference w:id="19"/>
      </w:r>
      <w:r w:rsidR="00AA5FD5" w:rsidRPr="00AA5FD5">
        <w:rPr>
          <w:color w:val="FF0000"/>
        </w:rPr>
        <w:t>,</w:t>
      </w:r>
      <w:r w:rsidR="00AA5FD5">
        <w:t xml:space="preserve"> </w:t>
      </w:r>
      <w:r w:rsidR="008F7773" w:rsidRPr="00AA5FD5">
        <w:rPr>
          <w:color w:val="00B050"/>
        </w:rPr>
        <w:t>and other mechanical/non-mechanical treatments used to achieve specific silviculture or other management objectives (e.g. hazardous fuel reduction, wildlife habitat improvement).</w:t>
      </w:r>
    </w:p>
    <w:p w14:paraId="583B9E7E" w14:textId="33F3CB81" w:rsidR="008F7773" w:rsidRDefault="005F70CE" w:rsidP="00754CF3">
      <w:r>
        <w:rPr>
          <w:color w:val="00B050"/>
        </w:rPr>
        <w:t>T</w:t>
      </w:r>
      <w:r w:rsidR="008F7773" w:rsidRPr="00AA5FD5">
        <w:rPr>
          <w:color w:val="00B050"/>
        </w:rPr>
        <w:t>he term “proactive stewardship” refers to vegetation management that promotes the quality, composition, structure, pattern, or ecological processes necessary for old-growth forests to be resilient and adaptable to stressors and likely future environments.</w:t>
      </w:r>
    </w:p>
    <w:p w14:paraId="079A665D" w14:textId="5FF92A4D" w:rsidR="00643B78" w:rsidRDefault="00643B78" w:rsidP="00754CF3"/>
    <w:p w14:paraId="0FE59AE2" w14:textId="3C8ABED3" w:rsidR="00754CF3" w:rsidRDefault="00754CF3" w:rsidP="00754CF3">
      <w:r>
        <w:t>NOGA-FW-STD-02b</w:t>
      </w:r>
    </w:p>
    <w:p w14:paraId="44D0BB19" w14:textId="24468573" w:rsidR="00AA5FD5" w:rsidRDefault="00444878" w:rsidP="00754CF3">
      <w:r w:rsidRPr="00B8185B">
        <w:rPr>
          <w:rFonts w:ascii="Aptos" w:hAnsi="Aptos"/>
          <w:color w:val="000000"/>
        </w:rPr>
        <w:t>T</w:t>
      </w:r>
      <w:r>
        <w:rPr>
          <w:rFonts w:ascii="Aptos" w:hAnsi="Aptos"/>
          <w:color w:val="000000"/>
        </w:rPr>
        <w:t xml:space="preserve">he cutting or removal of trees in old-growth forest for purposes other than proactive stewardship is permitted when (1) incidental to the implementation of a management activity not otherwise prohibited by the plan, </w:t>
      </w:r>
      <w:r w:rsidRPr="00966764">
        <w:rPr>
          <w:rFonts w:ascii="Aptos" w:hAnsi="Aptos"/>
          <w:strike/>
          <w:color w:val="000000"/>
        </w:rPr>
        <w:t>and</w:t>
      </w:r>
      <w:r>
        <w:rPr>
          <w:rFonts w:ascii="Aptos" w:hAnsi="Aptos"/>
          <w:color w:val="000000"/>
        </w:rPr>
        <w:t xml:space="preserve"> (2) the area – as defined at an ecologically appropriate scale – continues to meet the definition and associated criteria for old-growth forest after the incidental tree cutting or removal, </w:t>
      </w:r>
      <w:commentRangeStart w:id="20"/>
      <w:r w:rsidRPr="00B8185B">
        <w:rPr>
          <w:rFonts w:ascii="Aptos" w:hAnsi="Aptos"/>
          <w:color w:val="FF0000"/>
        </w:rPr>
        <w:t>(3) no practicable alternatives exist, and (4) impacts to old-growth forest conditions are minimized</w:t>
      </w:r>
      <w:r>
        <w:rPr>
          <w:rFonts w:ascii="Aptos" w:hAnsi="Aptos"/>
          <w:color w:val="000000"/>
        </w:rPr>
        <w:t xml:space="preserve">. </w:t>
      </w:r>
      <w:r>
        <w:rPr>
          <w:rFonts w:ascii="Aptos" w:hAnsi="Aptos"/>
          <w:color w:val="FF0000"/>
        </w:rPr>
        <w:t>Such cutting and/or removal is expected to be infrequent</w:t>
      </w:r>
      <w:commentRangeEnd w:id="20"/>
      <w:r w:rsidR="00CB6FDD">
        <w:rPr>
          <w:rStyle w:val="CommentReference"/>
        </w:rPr>
        <w:commentReference w:id="20"/>
      </w:r>
      <w:r>
        <w:rPr>
          <w:rFonts w:ascii="Aptos" w:hAnsi="Aptos"/>
          <w:color w:val="FF0000"/>
        </w:rPr>
        <w:t>.</w:t>
      </w:r>
    </w:p>
    <w:p w14:paraId="10655BA1" w14:textId="77777777" w:rsidR="00AA5FD5" w:rsidRDefault="00AA5FD5" w:rsidP="00754CF3"/>
    <w:p w14:paraId="38476B4A" w14:textId="2C4C35DA" w:rsidR="00754CF3" w:rsidRDefault="00754CF3" w:rsidP="00754CF3">
      <w:r>
        <w:t>NOGA-FW-STD-02c</w:t>
      </w:r>
    </w:p>
    <w:p w14:paraId="7A48BF98" w14:textId="0F294EF0" w:rsidR="00444878" w:rsidRDefault="00444878" w:rsidP="00754CF3">
      <w:pPr>
        <w:rPr>
          <w:rFonts w:ascii="Aptos" w:hAnsi="Aptos"/>
          <w:color w:val="000000"/>
        </w:rPr>
      </w:pPr>
      <w:r>
        <w:rPr>
          <w:rFonts w:ascii="Aptos" w:hAnsi="Aptos"/>
          <w:color w:val="000000"/>
        </w:rPr>
        <w:t xml:space="preserve">Deviation from Standard 2.a and 2.b </w:t>
      </w:r>
      <w:r w:rsidRPr="001E14D2">
        <w:rPr>
          <w:rFonts w:ascii="Aptos" w:hAnsi="Aptos"/>
          <w:color w:val="000000"/>
        </w:rPr>
        <w:t>may only be allowed</w:t>
      </w:r>
      <w:r>
        <w:rPr>
          <w:rFonts w:ascii="Aptos" w:hAnsi="Aptos"/>
          <w:color w:val="000000"/>
        </w:rPr>
        <w:t xml:space="preserve"> </w:t>
      </w:r>
      <w:commentRangeStart w:id="21"/>
      <w:r w:rsidRPr="00D94E29">
        <w:rPr>
          <w:rFonts w:ascii="Aptos" w:hAnsi="Aptos"/>
          <w:color w:val="FF0000"/>
        </w:rPr>
        <w:t>to the extent that</w:t>
      </w:r>
      <w:r>
        <w:rPr>
          <w:rFonts w:ascii="Aptos" w:hAnsi="Aptos"/>
          <w:color w:val="000000"/>
        </w:rPr>
        <w:t xml:space="preserve"> </w:t>
      </w:r>
      <w:commentRangeEnd w:id="21"/>
      <w:r w:rsidR="00CF16D0">
        <w:rPr>
          <w:rStyle w:val="CommentReference"/>
        </w:rPr>
        <w:commentReference w:id="21"/>
      </w:r>
      <w:r w:rsidRPr="00D94E29">
        <w:rPr>
          <w:rFonts w:ascii="Aptos" w:hAnsi="Aptos"/>
          <w:strike/>
          <w:color w:val="000000"/>
        </w:rPr>
        <w:t>if</w:t>
      </w:r>
      <w:r>
        <w:rPr>
          <w:rFonts w:ascii="Aptos" w:hAnsi="Aptos"/>
          <w:color w:val="000000"/>
        </w:rPr>
        <w:t xml:space="preserve"> the responsible official determines that vegetation management actions or incidental tree-cutting or removal are necessary for the following reasons and includes the rationale in a decision document or supporting documentation:</w:t>
      </w:r>
    </w:p>
    <w:p w14:paraId="4E589726" w14:textId="72F962CF" w:rsidR="00444878" w:rsidRDefault="00444878" w:rsidP="00444878">
      <w:pPr>
        <w:pStyle w:val="ListParagraph"/>
        <w:numPr>
          <w:ilvl w:val="0"/>
          <w:numId w:val="4"/>
        </w:numPr>
      </w:pPr>
      <w:r>
        <w:rPr>
          <w:rFonts w:ascii="Aptos" w:hAnsi="Aptos"/>
          <w:color w:val="000000"/>
        </w:rPr>
        <w:lastRenderedPageBreak/>
        <w:t xml:space="preserve">In cases where this standard would preclude achievement of wildfire risk management objectives </w:t>
      </w:r>
      <w:r>
        <w:rPr>
          <w:rFonts w:ascii="Aptos" w:hAnsi="Aptos"/>
          <w:color w:val="FF0000"/>
        </w:rPr>
        <w:t xml:space="preserve">for </w:t>
      </w:r>
      <w:commentRangeStart w:id="22"/>
      <w:r>
        <w:rPr>
          <w:rFonts w:ascii="Aptos" w:hAnsi="Aptos"/>
          <w:color w:val="FF0000"/>
        </w:rPr>
        <w:t>municipal water supply systems</w:t>
      </w:r>
      <w:r>
        <w:rPr>
          <w:rFonts w:ascii="Aptos" w:hAnsi="Aptos"/>
          <w:color w:val="000000"/>
        </w:rPr>
        <w:t xml:space="preserve"> </w:t>
      </w:r>
      <w:commentRangeEnd w:id="22"/>
      <w:r w:rsidR="00476B7D">
        <w:rPr>
          <w:rStyle w:val="CommentReference"/>
        </w:rPr>
        <w:commentReference w:id="22"/>
      </w:r>
      <w:r>
        <w:rPr>
          <w:rFonts w:ascii="Aptos" w:hAnsi="Aptos"/>
          <w:strike/>
          <w:color w:val="000000"/>
        </w:rPr>
        <w:t>within municipal watersheds</w:t>
      </w:r>
      <w:r>
        <w:rPr>
          <w:rFonts w:ascii="Aptos" w:hAnsi="Aptos"/>
          <w:color w:val="000000"/>
        </w:rPr>
        <w:t xml:space="preserve"> or the wildland-urban interface (WUI) as </w:t>
      </w:r>
      <w:r w:rsidRPr="00FC3316">
        <w:rPr>
          <w:rFonts w:ascii="Aptos" w:hAnsi="Aptos"/>
          <w:color w:val="FF0000"/>
        </w:rPr>
        <w:t xml:space="preserve">delineated in the </w:t>
      </w:r>
      <w:commentRangeStart w:id="23"/>
      <w:r w:rsidRPr="00FC3316">
        <w:rPr>
          <w:rFonts w:ascii="Aptos" w:hAnsi="Aptos"/>
          <w:color w:val="FF0000"/>
        </w:rPr>
        <w:t>2010 Wildland-Urban Interface of the Coterminous United States map</w:t>
      </w:r>
      <w:r>
        <w:rPr>
          <w:rFonts w:ascii="Aptos" w:hAnsi="Aptos"/>
          <w:color w:val="000000"/>
        </w:rPr>
        <w:t xml:space="preserve"> </w:t>
      </w:r>
      <w:commentRangeEnd w:id="23"/>
      <w:r w:rsidR="00C532F4">
        <w:rPr>
          <w:rStyle w:val="CommentReference"/>
        </w:rPr>
        <w:commentReference w:id="23"/>
      </w:r>
      <w:r w:rsidRPr="00DF5D0E">
        <w:rPr>
          <w:rFonts w:ascii="Aptos" w:hAnsi="Aptos"/>
          <w:strike/>
          <w:color w:val="000000"/>
        </w:rPr>
        <w:t>defined in Section 101 of the Healthy Forest Restoration Act of 2003 (16 USC 6511) and its application by the local planning unit</w:t>
      </w:r>
      <w:r>
        <w:rPr>
          <w:rFonts w:ascii="Aptos" w:hAnsi="Aptos"/>
          <w:color w:val="000000"/>
        </w:rPr>
        <w:t>, or would prevent protection of critical infrastructure from wildfire;</w:t>
      </w:r>
    </w:p>
    <w:p w14:paraId="03C5E530" w14:textId="77777777" w:rsidR="00444878" w:rsidRDefault="00444878" w:rsidP="00444878">
      <w:pPr>
        <w:pStyle w:val="ListParagraph"/>
        <w:numPr>
          <w:ilvl w:val="0"/>
          <w:numId w:val="4"/>
        </w:numPr>
      </w:pPr>
      <w:r>
        <w:t>to protect public health and safety;</w:t>
      </w:r>
    </w:p>
    <w:p w14:paraId="3CBE593C" w14:textId="77777777" w:rsidR="00444878" w:rsidRDefault="00444878" w:rsidP="00444878">
      <w:pPr>
        <w:pStyle w:val="ListParagraph"/>
        <w:numPr>
          <w:ilvl w:val="0"/>
          <w:numId w:val="4"/>
        </w:numPr>
      </w:pPr>
      <w:r>
        <w:t>to comply with other statutes or regulations, valid existing rights for mineral and energy resources, or authorizations of occupancy and use made prior to the old-growth amendment decision;</w:t>
      </w:r>
    </w:p>
    <w:p w14:paraId="2B3DA424" w14:textId="77777777" w:rsidR="00444878" w:rsidRDefault="00444878" w:rsidP="00444878">
      <w:pPr>
        <w:pStyle w:val="ListParagraph"/>
        <w:numPr>
          <w:ilvl w:val="0"/>
          <w:numId w:val="4"/>
        </w:numPr>
      </w:pPr>
      <w:r>
        <w:t xml:space="preserve">for culturally significant uses as informed by tribes or for </w:t>
      </w:r>
      <w:commentRangeStart w:id="24"/>
      <w:r>
        <w:t xml:space="preserve">de minimis </w:t>
      </w:r>
      <w:commentRangeEnd w:id="24"/>
      <w:r w:rsidR="005A169E">
        <w:rPr>
          <w:rStyle w:val="CommentReference"/>
        </w:rPr>
        <w:commentReference w:id="24"/>
      </w:r>
      <w:r>
        <w:t>use for local community purposes;</w:t>
      </w:r>
    </w:p>
    <w:p w14:paraId="6DE7F692" w14:textId="39FAD7D7" w:rsidR="00444878" w:rsidRDefault="00444878" w:rsidP="00444878">
      <w:pPr>
        <w:pStyle w:val="ListParagraph"/>
        <w:numPr>
          <w:ilvl w:val="0"/>
          <w:numId w:val="4"/>
        </w:numPr>
      </w:pPr>
      <w:commentRangeStart w:id="25"/>
      <w:r>
        <w:rPr>
          <w:rFonts w:ascii="Aptos" w:hAnsi="Aptos"/>
          <w:color w:val="FF0000"/>
        </w:rPr>
        <w:t xml:space="preserve">In cases where adherence to </w:t>
      </w:r>
      <w:proofErr w:type="spellStart"/>
      <w:r>
        <w:rPr>
          <w:rFonts w:ascii="Aptos" w:hAnsi="Aptos"/>
          <w:color w:val="FF0000"/>
        </w:rPr>
        <w:t>Stds</w:t>
      </w:r>
      <w:proofErr w:type="spellEnd"/>
      <w:r>
        <w:rPr>
          <w:rFonts w:ascii="Aptos" w:hAnsi="Aptos"/>
          <w:color w:val="FF0000"/>
        </w:rPr>
        <w:t xml:space="preserve"> 2a and 2b would unreasonably interfere with ongoing research</w:t>
      </w:r>
      <w:commentRangeEnd w:id="25"/>
      <w:r w:rsidR="00A17047">
        <w:rPr>
          <w:rStyle w:val="CommentReference"/>
        </w:rPr>
        <w:commentReference w:id="25"/>
      </w:r>
      <w:r>
        <w:rPr>
          <w:rFonts w:ascii="Aptos" w:hAnsi="Aptos"/>
          <w:color w:val="000000"/>
        </w:rPr>
        <w:t xml:space="preserve"> in areas designated for research purposes, such as experimental forests </w:t>
      </w:r>
      <w:r w:rsidRPr="002A66F9">
        <w:rPr>
          <w:rFonts w:ascii="Aptos" w:hAnsi="Aptos"/>
          <w:strike/>
          <w:color w:val="000000"/>
        </w:rPr>
        <w:t xml:space="preserve">or </w:t>
      </w:r>
      <w:commentRangeStart w:id="26"/>
      <w:r w:rsidRPr="002A66F9">
        <w:rPr>
          <w:rFonts w:ascii="Aptos" w:hAnsi="Aptos"/>
          <w:strike/>
          <w:color w:val="000000"/>
        </w:rPr>
        <w:t>research natural areas</w:t>
      </w:r>
      <w:commentRangeEnd w:id="26"/>
      <w:r w:rsidR="00396691">
        <w:rPr>
          <w:rStyle w:val="CommentReference"/>
        </w:rPr>
        <w:commentReference w:id="26"/>
      </w:r>
      <w:r>
        <w:rPr>
          <w:rFonts w:ascii="Aptos" w:hAnsi="Aptos"/>
          <w:color w:val="000000"/>
        </w:rPr>
        <w:t xml:space="preserve">; </w:t>
      </w:r>
      <w:r>
        <w:t>or</w:t>
      </w:r>
    </w:p>
    <w:p w14:paraId="4EEEBC64" w14:textId="6DAFD8C6" w:rsidR="00444878" w:rsidRDefault="00444878" w:rsidP="00444878">
      <w:pPr>
        <w:pStyle w:val="ListParagraph"/>
        <w:numPr>
          <w:ilvl w:val="0"/>
          <w:numId w:val="4"/>
        </w:numPr>
      </w:pPr>
      <w:r>
        <w:rPr>
          <w:rFonts w:ascii="Aptos" w:hAnsi="Aptos"/>
          <w:color w:val="000000"/>
        </w:rPr>
        <w:t>in cases where it is determined – based on best available science</w:t>
      </w:r>
      <w:r>
        <w:rPr>
          <w:rFonts w:ascii="Aptos" w:hAnsi="Aptos"/>
          <w:strike/>
          <w:color w:val="000000"/>
        </w:rPr>
        <w:t xml:space="preserve">, </w:t>
      </w:r>
      <w:r w:rsidRPr="001D0451">
        <w:rPr>
          <w:rFonts w:ascii="Aptos" w:hAnsi="Aptos"/>
          <w:color w:val="000000"/>
        </w:rPr>
        <w:t>which includes</w:t>
      </w:r>
      <w:r>
        <w:rPr>
          <w:rFonts w:ascii="Aptos" w:hAnsi="Aptos"/>
          <w:color w:val="000000"/>
        </w:rPr>
        <w:t xml:space="preserve"> Indigenous Knowledge – that the direction in this standard </w:t>
      </w:r>
      <w:commentRangeStart w:id="27"/>
      <w:r>
        <w:rPr>
          <w:rFonts w:ascii="Aptos" w:hAnsi="Aptos"/>
          <w:color w:val="FF0000"/>
        </w:rPr>
        <w:t>would preclude restoration of process, composition, structure</w:t>
      </w:r>
      <w:r w:rsidR="00895BA6">
        <w:rPr>
          <w:rFonts w:ascii="Aptos" w:hAnsi="Aptos"/>
          <w:color w:val="FF0000"/>
        </w:rPr>
        <w:t>, or resilience</w:t>
      </w:r>
      <w:r>
        <w:rPr>
          <w:rFonts w:ascii="Aptos" w:hAnsi="Aptos"/>
          <w:color w:val="FF0000"/>
        </w:rPr>
        <w:t xml:space="preserve"> consistent with ecological integrity </w:t>
      </w:r>
      <w:commentRangeEnd w:id="27"/>
      <w:r w:rsidR="00AA19FC">
        <w:rPr>
          <w:rStyle w:val="CommentReference"/>
        </w:rPr>
        <w:commentReference w:id="27"/>
      </w:r>
      <w:r>
        <w:rPr>
          <w:rFonts w:ascii="Aptos" w:hAnsi="Aptos"/>
          <w:strike/>
          <w:color w:val="000000"/>
        </w:rPr>
        <w:t>is not relevant or beneficial to a particular species or forest ecosystem type</w:t>
      </w:r>
      <w:r>
        <w:rPr>
          <w:rFonts w:ascii="Aptos" w:hAnsi="Aptos"/>
          <w:color w:val="000000"/>
        </w:rPr>
        <w:t>.</w:t>
      </w:r>
    </w:p>
    <w:p w14:paraId="00489D17" w14:textId="77777777" w:rsidR="00444878" w:rsidRDefault="00444878" w:rsidP="00754CF3"/>
    <w:p w14:paraId="2FA94DC2" w14:textId="4DCC02CD" w:rsidR="00754CF3" w:rsidRDefault="00754CF3" w:rsidP="00754CF3">
      <w:r>
        <w:t xml:space="preserve">NOGA-FW-STD-03 </w:t>
      </w:r>
    </w:p>
    <w:p w14:paraId="4A739535" w14:textId="5BA8ADD4" w:rsidR="00444878" w:rsidRDefault="00444878" w:rsidP="00754CF3">
      <w:r w:rsidRPr="00444878">
        <w:t>Proactive stewardship in old-growth forests shall not be for the purpose of timber production as defined in 36 CFR 219.19.</w:t>
      </w:r>
    </w:p>
    <w:p w14:paraId="7C7B66A5" w14:textId="77777777" w:rsidR="00444878" w:rsidRDefault="00444878" w:rsidP="00754CF3"/>
    <w:p w14:paraId="32E54C39" w14:textId="440427E9" w:rsidR="00754CF3" w:rsidRDefault="00754CF3" w:rsidP="009772D2">
      <w:pPr>
        <w:tabs>
          <w:tab w:val="left" w:pos="5560"/>
        </w:tabs>
      </w:pPr>
      <w:r>
        <w:t>NOGA-FW-GDL-01</w:t>
      </w:r>
      <w:r w:rsidR="009772D2">
        <w:tab/>
      </w:r>
    </w:p>
    <w:p w14:paraId="284DF8FB" w14:textId="3DE2EDE9" w:rsidR="00444878" w:rsidRDefault="004461FA" w:rsidP="00754CF3">
      <w:r>
        <w:rPr>
          <w:color w:val="FF0000"/>
        </w:rPr>
        <w:t xml:space="preserve">Beginning </w:t>
      </w:r>
      <w:commentRangeStart w:id="28"/>
      <w:r>
        <w:rPr>
          <w:color w:val="FF0000"/>
        </w:rPr>
        <w:t>2 years after</w:t>
      </w:r>
      <w:commentRangeEnd w:id="28"/>
      <w:r w:rsidR="00264594">
        <w:rPr>
          <w:rStyle w:val="CommentReference"/>
        </w:rPr>
        <w:commentReference w:id="28"/>
      </w:r>
      <w:r>
        <w:rPr>
          <w:color w:val="FF0000"/>
        </w:rPr>
        <w:t xml:space="preserve"> the NOGA record of decision, f</w:t>
      </w:r>
      <w:commentRangeStart w:id="29"/>
      <w:r w:rsidR="00444878" w:rsidRPr="00C743D7">
        <w:rPr>
          <w:color w:val="FF0000"/>
        </w:rPr>
        <w:t xml:space="preserve">orests </w:t>
      </w:r>
      <w:r w:rsidR="00444878">
        <w:rPr>
          <w:color w:val="FF0000"/>
        </w:rPr>
        <w:t>in which recruitment is needed and optimal to meet old-growth forest desired conditions</w:t>
      </w:r>
      <w:commentRangeEnd w:id="29"/>
      <w:r w:rsidR="009772D2">
        <w:rPr>
          <w:rStyle w:val="CommentReference"/>
        </w:rPr>
        <w:commentReference w:id="29"/>
      </w:r>
      <w:r w:rsidR="00444878" w:rsidRPr="00C743D7">
        <w:rPr>
          <w:color w:val="FF0000"/>
        </w:rPr>
        <w:t xml:space="preserve"> </w:t>
      </w:r>
      <w:r w:rsidR="00444878" w:rsidRPr="00C743D7">
        <w:rPr>
          <w:strike/>
        </w:rPr>
        <w:t>areas that have been identified in the Adaptive Strategy for Old-Growth Forest Conservation as compatible with and prioritized for the development of future old-growth forest</w:t>
      </w:r>
      <w:r w:rsidR="00444878" w:rsidRPr="00F17380">
        <w:rPr>
          <w:strike/>
        </w:rPr>
        <w:t xml:space="preserve">, </w:t>
      </w:r>
      <w:r w:rsidR="00444878" w:rsidRPr="005C2A81">
        <w:rPr>
          <w:strike/>
        </w:rPr>
        <w:t>vegetation management</w:t>
      </w:r>
      <w:r w:rsidR="00444878" w:rsidRPr="00C743D7">
        <w:t xml:space="preserve"> </w:t>
      </w:r>
      <w:r w:rsidR="00444878" w:rsidRPr="00C743D7">
        <w:rPr>
          <w:strike/>
        </w:rPr>
        <w:t>projects</w:t>
      </w:r>
      <w:r w:rsidR="00444878" w:rsidRPr="00C743D7">
        <w:t xml:space="preserve"> should be </w:t>
      </w:r>
      <w:r w:rsidR="00444878" w:rsidRPr="00B13214">
        <w:rPr>
          <w:color w:val="FF0000"/>
        </w:rPr>
        <w:t>managed through passive or proactive stewardship</w:t>
      </w:r>
      <w:r w:rsidR="00444878">
        <w:t xml:space="preserve"> </w:t>
      </w:r>
      <w:r w:rsidR="00444878" w:rsidRPr="00C743D7">
        <w:t xml:space="preserve">for the purpose of developing </w:t>
      </w:r>
      <w:r w:rsidR="00444878" w:rsidRPr="0077199E">
        <w:rPr>
          <w:color w:val="FF0000"/>
        </w:rPr>
        <w:t>old-growth</w:t>
      </w:r>
      <w:r w:rsidR="00444878">
        <w:t xml:space="preserve"> </w:t>
      </w:r>
      <w:r w:rsidR="00444878" w:rsidRPr="0077199E">
        <w:rPr>
          <w:strike/>
        </w:rPr>
        <w:t>those</w:t>
      </w:r>
      <w:r w:rsidR="00444878" w:rsidRPr="00C743D7">
        <w:t xml:space="preserve"> conditions</w:t>
      </w:r>
      <w:r w:rsidR="00444878" w:rsidRPr="0077199E">
        <w:rPr>
          <w:color w:val="FF0000"/>
        </w:rPr>
        <w:t xml:space="preserve">, </w:t>
      </w:r>
      <w:commentRangeStart w:id="30"/>
      <w:r w:rsidR="00444878" w:rsidRPr="0077199E">
        <w:rPr>
          <w:color w:val="FF0000"/>
        </w:rPr>
        <w:t>unless doing so would prevent the accomplishment of a site-specific purpose that cannot be met elsewhere or with another prescription that would better contribute to old-growth desired conditions</w:t>
      </w:r>
      <w:commentRangeEnd w:id="30"/>
      <w:r w:rsidR="00F74912">
        <w:rPr>
          <w:rStyle w:val="CommentReference"/>
        </w:rPr>
        <w:commentReference w:id="30"/>
      </w:r>
      <w:r w:rsidR="00444878" w:rsidRPr="00C743D7">
        <w:t>.</w:t>
      </w:r>
    </w:p>
    <w:p w14:paraId="3257C4A9" w14:textId="77777777" w:rsidR="00444878" w:rsidRDefault="00444878" w:rsidP="00754CF3"/>
    <w:p w14:paraId="7D4C633F" w14:textId="18D0C907" w:rsidR="00754CF3" w:rsidRDefault="00754CF3" w:rsidP="00754CF3">
      <w:r>
        <w:t>NOGA-FW-GDL-02</w:t>
      </w:r>
    </w:p>
    <w:p w14:paraId="4F870CE6" w14:textId="61EE300D" w:rsidR="00444878" w:rsidRDefault="00444878" w:rsidP="00754CF3">
      <w:r w:rsidRPr="00444878">
        <w:t>Where there are additional land management plan components for old-growth that existed prior to the old-growth amendment and these provide more restrictive direction for old-growth forests, the more restrictive direction should be adhered to.</w:t>
      </w:r>
    </w:p>
    <w:p w14:paraId="18CC9DA9" w14:textId="77777777" w:rsidR="00444878" w:rsidRDefault="00444878" w:rsidP="00754CF3"/>
    <w:p w14:paraId="2A68473E" w14:textId="2FFF6DC1" w:rsidR="00754CF3" w:rsidRDefault="00754CF3" w:rsidP="00754CF3">
      <w:r>
        <w:lastRenderedPageBreak/>
        <w:t>NOGA-FW-GDL-03</w:t>
      </w:r>
    </w:p>
    <w:p w14:paraId="091DABF1" w14:textId="139B481D" w:rsidR="00444878" w:rsidRDefault="00444878" w:rsidP="00754CF3">
      <w:r w:rsidRPr="00444878">
        <w:t>To preserve the cultural and historical value of old trees occurring outside of old-growth forests, vegetation management projects should retain and promote the conservation and survivability of old trees that are rare when compared to nearby forested conditions that are of a noticeable younger age class or unique in their ability to persist in the current or future environment, and are not detracting from desired species composition or ecological processes.</w:t>
      </w:r>
    </w:p>
    <w:p w14:paraId="60234529" w14:textId="77777777" w:rsidR="00444878" w:rsidRDefault="00444878" w:rsidP="00754CF3"/>
    <w:p w14:paraId="6F762B7D" w14:textId="4BE91435" w:rsidR="00754CF3" w:rsidRDefault="00754CF3" w:rsidP="00754CF3">
      <w:r>
        <w:t>NOGA-FW-PM-01</w:t>
      </w:r>
    </w:p>
    <w:p w14:paraId="2DBA7344" w14:textId="5F328B81" w:rsidR="00444878" w:rsidRDefault="00444878" w:rsidP="00754CF3">
      <w:r w:rsidRPr="00444878">
        <w:t>Within two years, include the areas identified and prioritized for the retention and promotion of old-growth forests in the Adaptive Strategy for Old-Growth Forest Conservation in the biennial monitoring report or the broader scale monitoring strategy to be updated as conditions change.</w:t>
      </w:r>
    </w:p>
    <w:p w14:paraId="39029646" w14:textId="77777777" w:rsidR="00444878" w:rsidRDefault="00444878" w:rsidP="00754CF3"/>
    <w:p w14:paraId="27E04B25" w14:textId="4E603DE0" w:rsidR="00754CF3" w:rsidRDefault="00754CF3" w:rsidP="00754CF3">
      <w:r>
        <w:t>NOGA-FW-PM-02</w:t>
      </w:r>
    </w:p>
    <w:p w14:paraId="51418A03" w14:textId="4D6E11EA" w:rsidR="00444878" w:rsidRDefault="00444878" w:rsidP="00754CF3">
      <w:r>
        <w:t xml:space="preserve">Within the biennial monitoring evaluation report, provide monitoring questions and associated indicators to assess the </w:t>
      </w:r>
      <w:commentRangeStart w:id="31"/>
      <w:r w:rsidRPr="00BD650B">
        <w:rPr>
          <w:color w:val="FF0000"/>
        </w:rPr>
        <w:t xml:space="preserve">abundance, representativeness, </w:t>
      </w:r>
      <w:r>
        <w:rPr>
          <w:color w:val="FF0000"/>
        </w:rPr>
        <w:t xml:space="preserve">redundancy, </w:t>
      </w:r>
      <w:r w:rsidRPr="00BD650B">
        <w:rPr>
          <w:color w:val="FF0000"/>
        </w:rPr>
        <w:t>connectivity, and</w:t>
      </w:r>
      <w:r>
        <w:t xml:space="preserve"> </w:t>
      </w:r>
      <w:commentRangeEnd w:id="31"/>
      <w:r w:rsidR="003D6BAF">
        <w:rPr>
          <w:rStyle w:val="CommentReference"/>
        </w:rPr>
        <w:commentReference w:id="31"/>
      </w:r>
      <w:r>
        <w:t xml:space="preserve">resilience of old growth forests and inform adaptive management; include regular updates on actions taken pursuant to this amendment </w:t>
      </w:r>
      <w:commentRangeStart w:id="32"/>
      <w:r w:rsidRPr="00254907">
        <w:rPr>
          <w:color w:val="FF0000"/>
        </w:rPr>
        <w:t>and any deviations from Standard 2a or Guideline 1</w:t>
      </w:r>
      <w:commentRangeEnd w:id="32"/>
      <w:r w:rsidR="00D826A3">
        <w:rPr>
          <w:rStyle w:val="CommentReference"/>
        </w:rPr>
        <w:commentReference w:id="32"/>
      </w:r>
      <w:r>
        <w:t>; identify unintended consequences to other social, economic, or ecologic plan objectives; and provide updates on measurable changes in unit-level old-growth forest when new national inventory information is available.</w:t>
      </w:r>
    </w:p>
    <w:sectPr w:rsidR="00444878" w:rsidSect="002725E1">
      <w:headerReference w:type="default" r:id="rId11"/>
      <w:footerReference w:type="default" r:id="rId12"/>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Sam Evans" w:date="2024-08-24T21:37:00Z" w:initials="SE">
    <w:p w14:paraId="25EE5B75" w14:textId="77777777" w:rsidR="0029724E" w:rsidRDefault="00764E8F" w:rsidP="0029724E">
      <w:pPr>
        <w:pStyle w:val="CommentText"/>
      </w:pPr>
      <w:r>
        <w:rPr>
          <w:rStyle w:val="CommentReference"/>
        </w:rPr>
        <w:annotationRef/>
      </w:r>
      <w:r w:rsidR="0029724E">
        <w:t xml:space="preserve">Together with other edits, clarifies that decisions (e.g., “which areas” guideline 1 will apply in) are </w:t>
      </w:r>
      <w:r w:rsidR="0029724E">
        <w:rPr>
          <w:u w:val="single"/>
        </w:rPr>
        <w:t>not</w:t>
      </w:r>
      <w:r w:rsidR="0029724E">
        <w:t xml:space="preserve"> being made in the NOGA, and that the A.S. is instead an assessment or decision support tool helping to bridge the gap between NOGA’s programmatic decision and future project-level decisions.</w:t>
      </w:r>
    </w:p>
    <w:p w14:paraId="4437583E" w14:textId="77777777" w:rsidR="0029724E" w:rsidRDefault="0029724E" w:rsidP="0029724E">
      <w:pPr>
        <w:pStyle w:val="CommentText"/>
      </w:pPr>
    </w:p>
    <w:p w14:paraId="7875E825" w14:textId="77777777" w:rsidR="0029724E" w:rsidRDefault="0029724E" w:rsidP="0029724E">
      <w:pPr>
        <w:pStyle w:val="CommentText"/>
      </w:pPr>
      <w:r>
        <w:t>See Comments at pp 16-17.</w:t>
      </w:r>
    </w:p>
  </w:comment>
  <w:comment w:id="1" w:author="Sam Evans" w:date="2024-08-24T21:38:00Z" w:initials="SE">
    <w:p w14:paraId="6EC71076" w14:textId="77777777" w:rsidR="003B709C" w:rsidRDefault="009F3CA5" w:rsidP="003B709C">
      <w:pPr>
        <w:pStyle w:val="CommentText"/>
      </w:pPr>
      <w:r>
        <w:rPr>
          <w:rStyle w:val="CommentReference"/>
        </w:rPr>
        <w:annotationRef/>
      </w:r>
      <w:r w:rsidR="003B709C">
        <w:t>Explicitly focuses A.S. on recruitment.</w:t>
      </w:r>
    </w:p>
    <w:p w14:paraId="3CD93F70" w14:textId="77777777" w:rsidR="003B709C" w:rsidRDefault="003B709C" w:rsidP="003B709C">
      <w:pPr>
        <w:pStyle w:val="CommentText"/>
      </w:pPr>
      <w:r>
        <w:br/>
        <w:t>See Comments at pp 14-15.</w:t>
      </w:r>
    </w:p>
  </w:comment>
  <w:comment w:id="2" w:author="Sam Evans" w:date="2024-08-24T21:39:00Z" w:initials="SE">
    <w:p w14:paraId="192F6453" w14:textId="77777777" w:rsidR="003046E6" w:rsidRDefault="009B3552" w:rsidP="003046E6">
      <w:pPr>
        <w:pStyle w:val="CommentText"/>
      </w:pPr>
      <w:r>
        <w:rPr>
          <w:rStyle w:val="CommentReference"/>
        </w:rPr>
        <w:annotationRef/>
      </w:r>
      <w:r w:rsidR="003046E6">
        <w:t>Leaves room for development of DST at various scales (e.g., forest, multi-forest, regional, forest type).</w:t>
      </w:r>
    </w:p>
    <w:p w14:paraId="4A2882A4" w14:textId="77777777" w:rsidR="003046E6" w:rsidRDefault="003046E6" w:rsidP="003046E6">
      <w:pPr>
        <w:pStyle w:val="CommentText"/>
      </w:pPr>
    </w:p>
    <w:p w14:paraId="36AFB3AE" w14:textId="77777777" w:rsidR="003046E6" w:rsidRDefault="003046E6" w:rsidP="003046E6">
      <w:pPr>
        <w:pStyle w:val="CommentText"/>
      </w:pPr>
      <w:r>
        <w:t>See Comments at p 21.</w:t>
      </w:r>
    </w:p>
  </w:comment>
  <w:comment w:id="3" w:author="Sam Evans" w:date="2024-08-24T21:40:00Z" w:initials="SE">
    <w:p w14:paraId="3F201798" w14:textId="287A2537" w:rsidR="00532662" w:rsidRDefault="00532662" w:rsidP="00532662">
      <w:pPr>
        <w:pStyle w:val="CommentText"/>
      </w:pPr>
      <w:r>
        <w:rPr>
          <w:rStyle w:val="CommentReference"/>
        </w:rPr>
        <w:annotationRef/>
      </w:r>
      <w:r>
        <w:t>Pares back A.S. tasks to the minimum needed to accomplish NOGA purposes</w:t>
      </w:r>
    </w:p>
  </w:comment>
  <w:comment w:id="4" w:author="Sam Evans" w:date="2024-08-24T21:47:00Z" w:initials="SE">
    <w:p w14:paraId="5A56E344" w14:textId="77777777" w:rsidR="00F5249C" w:rsidRDefault="00207953" w:rsidP="00F5249C">
      <w:pPr>
        <w:pStyle w:val="CommentText"/>
      </w:pPr>
      <w:r>
        <w:rPr>
          <w:rStyle w:val="CommentReference"/>
        </w:rPr>
        <w:annotationRef/>
      </w:r>
      <w:r w:rsidR="00F5249C">
        <w:t xml:space="preserve">Why a “Decision Support Tool”? The role of the A.S. is to justify project level decisions without having to start from scratch each time or argue about whether a project is contributing enough to recruitment. As conceived here, the A.S. would posit that “if we do X, Y, and Z, then we will make progress toward desired conditions.” I have described this as a “DST” because ideally we want to make it easy on project developers to know how to apply X, Y, and Z on the ground. </w:t>
      </w:r>
    </w:p>
    <w:p w14:paraId="52598BE2" w14:textId="77777777" w:rsidR="00F5249C" w:rsidRDefault="00F5249C" w:rsidP="00F5249C">
      <w:pPr>
        <w:pStyle w:val="CommentText"/>
      </w:pPr>
    </w:p>
    <w:p w14:paraId="260C541D" w14:textId="77777777" w:rsidR="00F5249C" w:rsidRDefault="00F5249C" w:rsidP="00F5249C">
      <w:pPr>
        <w:pStyle w:val="CommentText"/>
      </w:pPr>
      <w:r>
        <w:t>See Comments at 20-22.</w:t>
      </w:r>
    </w:p>
  </w:comment>
  <w:comment w:id="5" w:author="Sam Evans" w:date="2024-08-26T11:46:00Z" w:initials="SE">
    <w:p w14:paraId="72459D49" w14:textId="77777777" w:rsidR="00645FD2" w:rsidRDefault="003D50E5" w:rsidP="00645FD2">
      <w:pPr>
        <w:pStyle w:val="CommentText"/>
      </w:pPr>
      <w:r>
        <w:rPr>
          <w:rStyle w:val="CommentReference"/>
        </w:rPr>
        <w:annotationRef/>
      </w:r>
      <w:r w:rsidR="00645FD2">
        <w:t>Clarifies that the work happening under the A.S. is not deciding which “areas” GDL-01 will apply to (which creates legal problems under the planning rule). Instead, A.S. provides context needed to comply with GDL-01 through future project level decisions. I.e., all the decisions are made in either NOGA or projects, not the A.S.</w:t>
      </w:r>
    </w:p>
    <w:p w14:paraId="73AFF9CB" w14:textId="77777777" w:rsidR="00645FD2" w:rsidRDefault="00645FD2" w:rsidP="00645FD2">
      <w:pPr>
        <w:pStyle w:val="CommentText"/>
      </w:pPr>
    </w:p>
    <w:p w14:paraId="3C5895DA" w14:textId="77777777" w:rsidR="00645FD2" w:rsidRDefault="00645FD2" w:rsidP="00645FD2">
      <w:pPr>
        <w:pStyle w:val="CommentText"/>
      </w:pPr>
      <w:r>
        <w:t>See Comments at pp 15-16.</w:t>
      </w:r>
    </w:p>
  </w:comment>
  <w:comment w:id="6" w:author="Sam Evans" w:date="2024-08-26T11:45:00Z" w:initials="SE">
    <w:p w14:paraId="18F0D8DB" w14:textId="77777777" w:rsidR="00B22C3B" w:rsidRDefault="0058256C" w:rsidP="00B22C3B">
      <w:pPr>
        <w:pStyle w:val="CommentText"/>
      </w:pPr>
      <w:r>
        <w:rPr>
          <w:rStyle w:val="CommentReference"/>
        </w:rPr>
        <w:annotationRef/>
      </w:r>
      <w:r w:rsidR="00B22C3B">
        <w:t>The intent here is to provide flexibility for how DSTs work in different places with different existing levels of analysis, collaborative agreements, etc.</w:t>
      </w:r>
    </w:p>
    <w:p w14:paraId="6ABBFA7C" w14:textId="77777777" w:rsidR="00B22C3B" w:rsidRDefault="00B22C3B" w:rsidP="00B22C3B">
      <w:pPr>
        <w:pStyle w:val="CommentText"/>
      </w:pPr>
    </w:p>
    <w:p w14:paraId="48855857" w14:textId="77777777" w:rsidR="00B22C3B" w:rsidRDefault="00B22C3B" w:rsidP="00B22C3B">
      <w:pPr>
        <w:pStyle w:val="CommentText"/>
      </w:pPr>
      <w:r>
        <w:t xml:space="preserve">Under choice (a), the DST would specify some subsets of forest (defined spatially or by attribute) along with the stewardship strategies expected within them. (For example, mature oak forests with characteristic canopy composition where midstory, shrub, and prescribed fire treatments are expected to maintain and restore stand trajectory. Or mature forests within backcountry management areas where prescribed fire will be the primary management tool.) Outside of those subsets, no special considerations would apply. </w:t>
      </w:r>
      <w:r>
        <w:br/>
      </w:r>
      <w:r>
        <w:br/>
        <w:t>Under choice (b) the DST would create a process to set expectations about how GDL-01 would be met in future projects. For example, projects could use a scaled-down departure analysis with remote sensing data to quantify recruitment needs, then integrate those needs with other plan objectives to prioritize recruitment within that project area.</w:t>
      </w:r>
      <w:r>
        <w:br/>
      </w:r>
      <w:r>
        <w:br/>
        <w:t>Under either option (or perhaps a combination of the two options), projects that follow the DST could incorporate it by reference and thereby show compliance with GDL-01.</w:t>
      </w:r>
    </w:p>
    <w:p w14:paraId="3E9ACDA8" w14:textId="77777777" w:rsidR="00B22C3B" w:rsidRDefault="00B22C3B" w:rsidP="00B22C3B">
      <w:pPr>
        <w:pStyle w:val="CommentText"/>
      </w:pPr>
    </w:p>
    <w:p w14:paraId="27E74433" w14:textId="77777777" w:rsidR="00B22C3B" w:rsidRDefault="00B22C3B" w:rsidP="00B22C3B">
      <w:pPr>
        <w:pStyle w:val="CommentText"/>
      </w:pPr>
      <w:r>
        <w:t>See Comments at p 21-22.</w:t>
      </w:r>
    </w:p>
  </w:comment>
  <w:comment w:id="7" w:author="Sam Evans" w:date="2024-08-24T21:48:00Z" w:initials="SE">
    <w:p w14:paraId="3467F3A2" w14:textId="77777777" w:rsidR="004F7D39" w:rsidRDefault="00036DDF" w:rsidP="004F7D39">
      <w:pPr>
        <w:pStyle w:val="CommentText"/>
      </w:pPr>
      <w:r>
        <w:rPr>
          <w:rStyle w:val="CommentReference"/>
        </w:rPr>
        <w:annotationRef/>
      </w:r>
      <w:r w:rsidR="004F7D39">
        <w:t>With one important addition, this list consolidates and rephrases factors that were previously scattered between MA1a and MA1b. These are the considerations that are conceptually related to prioritization for recruitment.</w:t>
      </w:r>
    </w:p>
    <w:p w14:paraId="12FA51E4" w14:textId="77777777" w:rsidR="004F7D39" w:rsidRDefault="004F7D39" w:rsidP="004F7D39">
      <w:pPr>
        <w:pStyle w:val="CommentText"/>
      </w:pPr>
    </w:p>
    <w:p w14:paraId="579A6805" w14:textId="77777777" w:rsidR="004F7D39" w:rsidRDefault="004F7D39" w:rsidP="004F7D39">
      <w:pPr>
        <w:pStyle w:val="CommentText"/>
      </w:pPr>
      <w:r>
        <w:t>See Comments at p 20.</w:t>
      </w:r>
    </w:p>
  </w:comment>
  <w:comment w:id="8" w:author="Sam Evans" w:date="2024-08-24T22:02:00Z" w:initials="SE">
    <w:p w14:paraId="1FF756F6" w14:textId="77777777" w:rsidR="002B73DD" w:rsidRDefault="008C2EB4" w:rsidP="002B73DD">
      <w:pPr>
        <w:pStyle w:val="CommentText"/>
      </w:pPr>
      <w:r>
        <w:rPr>
          <w:rStyle w:val="CommentReference"/>
        </w:rPr>
        <w:annotationRef/>
      </w:r>
      <w:r w:rsidR="002B73DD">
        <w:t xml:space="preserve">This is moved from the prefatory language, where it functioned as a </w:t>
      </w:r>
      <w:r w:rsidR="002B73DD">
        <w:rPr>
          <w:i/>
          <w:iCs/>
        </w:rPr>
        <w:t>limitation</w:t>
      </w:r>
      <w:r w:rsidR="002B73DD">
        <w:t xml:space="preserve"> on which areas can be prioritized for recruitment. Now it is just one factor among many. If we are going to restore old growth to be representative across systems with different levels of climate vulnerability, then we can’t focus only on forests with inherent capability or refugia.</w:t>
      </w:r>
    </w:p>
    <w:p w14:paraId="6ECFD788" w14:textId="77777777" w:rsidR="002B73DD" w:rsidRDefault="002B73DD" w:rsidP="002B73DD">
      <w:pPr>
        <w:pStyle w:val="CommentText"/>
      </w:pPr>
    </w:p>
    <w:p w14:paraId="6BA4846C" w14:textId="77777777" w:rsidR="002B73DD" w:rsidRDefault="002B73DD" w:rsidP="002B73DD">
      <w:pPr>
        <w:pStyle w:val="CommentText"/>
      </w:pPr>
      <w:r>
        <w:t>See Comments at p 22-23.</w:t>
      </w:r>
    </w:p>
  </w:comment>
  <w:comment w:id="9" w:author="Sam Evans" w:date="2024-08-24T21:59:00Z" w:initials="SE">
    <w:p w14:paraId="51160354" w14:textId="77777777" w:rsidR="00526F95" w:rsidRDefault="00B14E6D" w:rsidP="00526F95">
      <w:pPr>
        <w:pStyle w:val="CommentText"/>
      </w:pPr>
      <w:r>
        <w:rPr>
          <w:rStyle w:val="CommentReference"/>
        </w:rPr>
        <w:annotationRef/>
      </w:r>
      <w:r w:rsidR="00526F95">
        <w:t>New language needed to ensure compliance with “integrated plan” requirement. This addresses the Kirtland’s warbler problem by taking into account other broad-scale plan aspirations and commitments when developing the A.S. I.e., you wouldn’t identify jack pine as a recruitment priority.</w:t>
      </w:r>
    </w:p>
    <w:p w14:paraId="548A7F30" w14:textId="77777777" w:rsidR="00526F95" w:rsidRDefault="00526F95" w:rsidP="00526F95">
      <w:pPr>
        <w:pStyle w:val="CommentText"/>
      </w:pPr>
    </w:p>
    <w:p w14:paraId="7374E8B4" w14:textId="77777777" w:rsidR="00526F95" w:rsidRDefault="00526F95" w:rsidP="00526F95">
      <w:pPr>
        <w:pStyle w:val="CommentText"/>
      </w:pPr>
      <w:r>
        <w:t>See Comments at p 23.</w:t>
      </w:r>
    </w:p>
  </w:comment>
  <w:comment w:id="10" w:author="Sam Evans" w:date="2024-08-24T22:08:00Z" w:initials="SE">
    <w:p w14:paraId="119F091B" w14:textId="77777777" w:rsidR="00712E6C" w:rsidRDefault="00D575B3" w:rsidP="00712E6C">
      <w:pPr>
        <w:pStyle w:val="CommentText"/>
      </w:pPr>
      <w:r>
        <w:rPr>
          <w:rStyle w:val="CommentReference"/>
        </w:rPr>
        <w:annotationRef/>
      </w:r>
      <w:r w:rsidR="00712E6C">
        <w:t xml:space="preserve">This addition is necessary to be faithful to 36 CFR 219.8(a)(1) and 219.9(a)(1) and the definition of ecological integrity at 219.19. “Moving toward” provides wiggle room where there is uncertainty about either (a) whether we can get within NRV or (b) whether we should. Given paucity of OG under current conditions, “moving toward” is an appropriate compass bearing between now and 2040 regardless of the answers to those questions. Note that STD-02c(vi) provides a safety valve application of STD-02a would preclude restoration of NRV </w:t>
      </w:r>
      <w:r w:rsidR="00712E6C">
        <w:rPr>
          <w:i/>
          <w:iCs/>
        </w:rPr>
        <w:t xml:space="preserve">or </w:t>
      </w:r>
      <w:r w:rsidR="00712E6C">
        <w:t>resilience.</w:t>
      </w:r>
    </w:p>
    <w:p w14:paraId="1D2D0171" w14:textId="77777777" w:rsidR="00712E6C" w:rsidRDefault="00712E6C" w:rsidP="00712E6C">
      <w:pPr>
        <w:pStyle w:val="CommentText"/>
      </w:pPr>
    </w:p>
    <w:p w14:paraId="1F1306C4" w14:textId="77777777" w:rsidR="00712E6C" w:rsidRDefault="00712E6C" w:rsidP="00712E6C">
      <w:pPr>
        <w:pStyle w:val="CommentText"/>
      </w:pPr>
      <w:r>
        <w:t>See Comments at pp 23-24.</w:t>
      </w:r>
    </w:p>
  </w:comment>
  <w:comment w:id="11" w:author="Sam Evans" w:date="2024-08-24T22:11:00Z" w:initials="SE">
    <w:p w14:paraId="3B9914A8" w14:textId="77777777" w:rsidR="001C62EE" w:rsidRDefault="002220EF" w:rsidP="001C62EE">
      <w:pPr>
        <w:pStyle w:val="CommentText"/>
      </w:pPr>
      <w:r>
        <w:rPr>
          <w:rStyle w:val="CommentReference"/>
        </w:rPr>
        <w:annotationRef/>
      </w:r>
      <w:r w:rsidR="001C62EE">
        <w:t xml:space="preserve">Clarifies that we want OG to persist specifically (at the local scale) where possible, but that we also want it to persist </w:t>
      </w:r>
      <w:r w:rsidR="001C62EE">
        <w:rPr>
          <w:i/>
          <w:iCs/>
        </w:rPr>
        <w:t>generally</w:t>
      </w:r>
      <w:r w:rsidR="001C62EE">
        <w:t xml:space="preserve"> on the landscape regardless of whether it is lost from specific places. </w:t>
      </w:r>
    </w:p>
    <w:p w14:paraId="7ABA44DF" w14:textId="77777777" w:rsidR="001C62EE" w:rsidRDefault="001C62EE" w:rsidP="001C62EE">
      <w:pPr>
        <w:pStyle w:val="CommentText"/>
      </w:pPr>
    </w:p>
    <w:p w14:paraId="3B5C69A4" w14:textId="77777777" w:rsidR="001C62EE" w:rsidRDefault="001C62EE" w:rsidP="001C62EE">
      <w:pPr>
        <w:pStyle w:val="CommentText"/>
      </w:pPr>
      <w:r>
        <w:t>See Comments at pp 24-25.</w:t>
      </w:r>
    </w:p>
  </w:comment>
  <w:comment w:id="12" w:author="Sam Evans" w:date="2024-08-24T22:12:00Z" w:initials="SE">
    <w:p w14:paraId="310BDE0E" w14:textId="77777777" w:rsidR="00603C32" w:rsidRDefault="00463510" w:rsidP="00603C32">
      <w:pPr>
        <w:pStyle w:val="CommentText"/>
      </w:pPr>
      <w:r>
        <w:rPr>
          <w:rStyle w:val="CommentReference"/>
        </w:rPr>
        <w:annotationRef/>
      </w:r>
      <w:r w:rsidR="00603C32">
        <w:t>Edit for consistency with suggested revisions to Mgmt Approaches and GDL-01.</w:t>
      </w:r>
    </w:p>
    <w:p w14:paraId="2F5290FC" w14:textId="77777777" w:rsidR="00603C32" w:rsidRDefault="00603C32" w:rsidP="00603C32">
      <w:pPr>
        <w:pStyle w:val="CommentText"/>
      </w:pPr>
    </w:p>
    <w:p w14:paraId="5B36173B" w14:textId="77777777" w:rsidR="00603C32" w:rsidRDefault="00603C32" w:rsidP="00603C32">
      <w:pPr>
        <w:pStyle w:val="CommentText"/>
      </w:pPr>
      <w:r>
        <w:t>See Comments at pp 16-20.</w:t>
      </w:r>
    </w:p>
  </w:comment>
  <w:comment w:id="13" w:author="Sam Evans" w:date="2024-08-24T22:15:00Z" w:initials="SE">
    <w:p w14:paraId="5BD6F94C" w14:textId="77777777" w:rsidR="00C8604E" w:rsidRDefault="000C2C1A" w:rsidP="00C8604E">
      <w:pPr>
        <w:pStyle w:val="CommentText"/>
      </w:pPr>
      <w:r>
        <w:rPr>
          <w:rStyle w:val="CommentReference"/>
        </w:rPr>
        <w:annotationRef/>
      </w:r>
      <w:r w:rsidR="00C8604E">
        <w:t>Specifies a pragmatic way to determine the minimum size threshold to qualify as old growth—namely, the scale at which we can identify and track the OG conditions that NOGA is designed to conserve and restore. Leaving this decision to Adaptive Strategies will be fraught. Since the WO oversees the inventory, it can and should identify this minimum threshold.</w:t>
      </w:r>
    </w:p>
    <w:p w14:paraId="6126C0D5" w14:textId="77777777" w:rsidR="00C8604E" w:rsidRDefault="00C8604E" w:rsidP="00C8604E">
      <w:pPr>
        <w:pStyle w:val="CommentText"/>
      </w:pPr>
    </w:p>
    <w:p w14:paraId="20049A69" w14:textId="77777777" w:rsidR="00C8604E" w:rsidRDefault="00C8604E" w:rsidP="00C8604E">
      <w:pPr>
        <w:pStyle w:val="CommentText"/>
      </w:pPr>
      <w:r>
        <w:t>See Comments at pp 25-26.</w:t>
      </w:r>
    </w:p>
  </w:comment>
  <w:comment w:id="14" w:author="Sam Evans" w:date="2024-08-24T22:16:00Z" w:initials="SE">
    <w:p w14:paraId="4A00BB72" w14:textId="77777777" w:rsidR="00C8604E" w:rsidRDefault="00680C6F" w:rsidP="00C8604E">
      <w:pPr>
        <w:pStyle w:val="CommentText"/>
      </w:pPr>
      <w:r>
        <w:rPr>
          <w:rStyle w:val="CommentReference"/>
        </w:rPr>
        <w:annotationRef/>
      </w:r>
      <w:r w:rsidR="00C8604E">
        <w:t>This is intended to prevent forests from relying on common stand exams alone, which are not able to identify old growth conditions in mixed-age eastern OG forests.</w:t>
      </w:r>
    </w:p>
    <w:p w14:paraId="1923EC31" w14:textId="77777777" w:rsidR="00C8604E" w:rsidRDefault="00C8604E" w:rsidP="00C8604E">
      <w:pPr>
        <w:pStyle w:val="CommentText"/>
      </w:pPr>
    </w:p>
    <w:p w14:paraId="38B6A798" w14:textId="77777777" w:rsidR="00C8604E" w:rsidRDefault="00C8604E" w:rsidP="00C8604E">
      <w:pPr>
        <w:pStyle w:val="CommentText"/>
      </w:pPr>
      <w:r>
        <w:t>See Comments at pp 25-26.</w:t>
      </w:r>
    </w:p>
  </w:comment>
  <w:comment w:id="15" w:author="Sam Evans" w:date="2024-08-24T22:27:00Z" w:initials="SE">
    <w:p w14:paraId="0EA0AC88" w14:textId="77777777" w:rsidR="0035022C" w:rsidRDefault="0047717F" w:rsidP="0035022C">
      <w:pPr>
        <w:pStyle w:val="CommentText"/>
      </w:pPr>
      <w:r>
        <w:rPr>
          <w:rStyle w:val="CommentReference"/>
        </w:rPr>
        <w:annotationRef/>
      </w:r>
      <w:r w:rsidR="0035022C">
        <w:t>This language is intended to clarify that passive stewardship is an option without actually adding a new phrase or having to define what passive stewardship means. It shows that there is an upstream decision (whether to act) that precedes the determination of whether an action qualifies as proactive stewardship.</w:t>
      </w:r>
    </w:p>
    <w:p w14:paraId="4507A350" w14:textId="77777777" w:rsidR="0035022C" w:rsidRDefault="0035022C" w:rsidP="0035022C">
      <w:pPr>
        <w:pStyle w:val="CommentText"/>
      </w:pPr>
    </w:p>
    <w:p w14:paraId="76E2D657" w14:textId="77777777" w:rsidR="0035022C" w:rsidRDefault="0035022C" w:rsidP="0035022C">
      <w:pPr>
        <w:pStyle w:val="CommentText"/>
      </w:pPr>
      <w:r>
        <w:t>See Comments at pp 4-6.</w:t>
      </w:r>
    </w:p>
  </w:comment>
  <w:comment w:id="16" w:author="Sam Evans" w:date="2024-08-24T22:31:00Z" w:initials="SE">
    <w:p w14:paraId="345A14FE" w14:textId="77777777" w:rsidR="000E2B6D" w:rsidRDefault="0014614C" w:rsidP="000E2B6D">
      <w:pPr>
        <w:pStyle w:val="CommentText"/>
      </w:pPr>
      <w:r>
        <w:rPr>
          <w:rStyle w:val="CommentReference"/>
        </w:rPr>
        <w:annotationRef/>
      </w:r>
      <w:r w:rsidR="000E2B6D">
        <w:t>The intent here is to cover the gap that was left when former STD-01 (“must not degrade”) was deleted. It is also necessary to narrow some of the otherwise very broad categories of proactive stewardship below. The addition of “maintain or contribute to pre-fire suppression OG conditions” mirrors CFLRP language and provides a localizable reference condition (something that the Technical Guidance for OG prescriptions awkwardly tried to use ecological integrity for). The addition of “shall retain large trees” language mirrors HFRA/CFLR requirements.</w:t>
      </w:r>
    </w:p>
    <w:p w14:paraId="7EE417C8" w14:textId="77777777" w:rsidR="000E2B6D" w:rsidRDefault="000E2B6D" w:rsidP="000E2B6D">
      <w:pPr>
        <w:pStyle w:val="CommentText"/>
      </w:pPr>
    </w:p>
    <w:p w14:paraId="626F5CA9" w14:textId="77777777" w:rsidR="000E2B6D" w:rsidRDefault="000E2B6D" w:rsidP="000E2B6D">
      <w:pPr>
        <w:pStyle w:val="CommentText"/>
      </w:pPr>
      <w:r>
        <w:t>See Comments at pp 6-8.</w:t>
      </w:r>
    </w:p>
  </w:comment>
  <w:comment w:id="17" w:author="Sam Evans" w:date="2024-08-24T22:35:00Z" w:initials="SE">
    <w:p w14:paraId="38F66E4D" w14:textId="77777777" w:rsidR="001D3BCD" w:rsidRDefault="00B43CB9" w:rsidP="001D3BCD">
      <w:pPr>
        <w:pStyle w:val="CommentText"/>
      </w:pPr>
      <w:r>
        <w:rPr>
          <w:rStyle w:val="CommentReference"/>
        </w:rPr>
        <w:annotationRef/>
      </w:r>
      <w:r w:rsidR="001D3BCD">
        <w:t>These categories are overbroad as written and could be used to justify harvest of OG forests in order to serve other broad-scale goals like creation of early successional habitat. The additions to Standard 2a suggested above (“maintain/restore according to pre-fire suppression conditions” and “retain large trees”) would provide enough clarity to prevent confusion about the scope of these categories. Otherwise, clarifying edits to each of the specific categories would be necessary, such as adding “</w:t>
      </w:r>
      <w:r w:rsidR="001D3BCD">
        <w:rPr>
          <w:color w:val="FF0000"/>
        </w:rPr>
        <w:t>needed to retain or develop old-growth characteristics in the future</w:t>
      </w:r>
      <w:r w:rsidR="001D3BCD">
        <w:t>” to the end of each.</w:t>
      </w:r>
    </w:p>
    <w:p w14:paraId="60F26071" w14:textId="77777777" w:rsidR="001D3BCD" w:rsidRDefault="001D3BCD" w:rsidP="001D3BCD">
      <w:pPr>
        <w:pStyle w:val="CommentText"/>
      </w:pPr>
    </w:p>
    <w:p w14:paraId="48EF0C89" w14:textId="77777777" w:rsidR="001D3BCD" w:rsidRDefault="001D3BCD" w:rsidP="001D3BCD">
      <w:pPr>
        <w:pStyle w:val="CommentText"/>
      </w:pPr>
      <w:r>
        <w:t>See Comments at pp 8-9.</w:t>
      </w:r>
    </w:p>
  </w:comment>
  <w:comment w:id="18" w:author="Sam Evans" w:date="2024-08-24T23:10:00Z" w:initials="SE">
    <w:p w14:paraId="6B191FD8" w14:textId="11F1CC94" w:rsidR="003E038F" w:rsidRDefault="00301774" w:rsidP="003E038F">
      <w:pPr>
        <w:pStyle w:val="CommentText"/>
      </w:pPr>
      <w:r>
        <w:rPr>
          <w:rStyle w:val="CommentReference"/>
        </w:rPr>
        <w:annotationRef/>
      </w:r>
      <w:r w:rsidR="003E038F">
        <w:t xml:space="preserve">We recommend moving these definitions into a glossary so that the terms can be incorporated with those definitions into other NOGA plan content. </w:t>
      </w:r>
    </w:p>
  </w:comment>
  <w:comment w:id="19" w:author="Sam Evans" w:date="2024-08-24T22:43:00Z" w:initials="SE">
    <w:p w14:paraId="1A40C020" w14:textId="77777777" w:rsidR="00CE0A9B" w:rsidRDefault="00402772" w:rsidP="00CE0A9B">
      <w:pPr>
        <w:pStyle w:val="CommentText"/>
      </w:pPr>
      <w:r>
        <w:rPr>
          <w:rStyle w:val="CommentReference"/>
        </w:rPr>
        <w:annotationRef/>
      </w:r>
      <w:r w:rsidR="00CE0A9B">
        <w:t xml:space="preserve">This is an extremely important addition. Explicitly including </w:t>
      </w:r>
      <w:r w:rsidR="00CE0A9B">
        <w:rPr>
          <w:i/>
          <w:iCs/>
        </w:rPr>
        <w:t xml:space="preserve">removal </w:t>
      </w:r>
      <w:r w:rsidR="00CE0A9B">
        <w:t>as a vegetation management action would mean that the removal (not just the cutting) would need to have a proactive stewardship purpose. So, cutting and removal of fuels would be justifiable, but removal of large boles needed as CWD in mesic forests would not. This would limit the likelihood that commercial incentives would inappropriately influence management decisions, without actually placing any limits on the availability of commercial sales.</w:t>
      </w:r>
    </w:p>
    <w:p w14:paraId="41175175" w14:textId="77777777" w:rsidR="00CE0A9B" w:rsidRDefault="00CE0A9B" w:rsidP="00CE0A9B">
      <w:pPr>
        <w:pStyle w:val="CommentText"/>
      </w:pPr>
    </w:p>
    <w:p w14:paraId="7035AA86" w14:textId="77777777" w:rsidR="00CE0A9B" w:rsidRDefault="00CE0A9B" w:rsidP="00CE0A9B">
      <w:pPr>
        <w:pStyle w:val="CommentText"/>
      </w:pPr>
      <w:r>
        <w:t>See Comments at pp 10-11.</w:t>
      </w:r>
    </w:p>
  </w:comment>
  <w:comment w:id="20" w:author="Sam Evans" w:date="2024-08-24T22:46:00Z" w:initials="SE">
    <w:p w14:paraId="3B2CF876" w14:textId="77777777" w:rsidR="00E82B57" w:rsidRDefault="00CB6FDD" w:rsidP="00E82B57">
      <w:pPr>
        <w:pStyle w:val="CommentText"/>
      </w:pPr>
      <w:r>
        <w:rPr>
          <w:rStyle w:val="CommentReference"/>
        </w:rPr>
        <w:annotationRef/>
      </w:r>
      <w:r w:rsidR="00E82B57">
        <w:t>This addition borrows from the 1982 planning rule, which imposed a similar alternatives requirement on utility rights of way generally, and from the roadless rule (“expected to be infrequent”). The addition would give line officers leverage to require consideration of alternatives by prospective permittees.</w:t>
      </w:r>
    </w:p>
    <w:p w14:paraId="4744A4AD" w14:textId="77777777" w:rsidR="00E82B57" w:rsidRDefault="00E82B57" w:rsidP="00E82B57">
      <w:pPr>
        <w:pStyle w:val="CommentText"/>
      </w:pPr>
    </w:p>
    <w:p w14:paraId="74D8C0B5" w14:textId="77777777" w:rsidR="00E82B57" w:rsidRDefault="00E82B57" w:rsidP="00E82B57">
      <w:pPr>
        <w:pStyle w:val="CommentText"/>
      </w:pPr>
      <w:r>
        <w:t>See Comments at pp 11-12.</w:t>
      </w:r>
    </w:p>
  </w:comment>
  <w:comment w:id="21" w:author="Sam Evans" w:date="2024-08-24T22:48:00Z" w:initials="SE">
    <w:p w14:paraId="6D1F22FB" w14:textId="77777777" w:rsidR="000F670A" w:rsidRDefault="00CF16D0" w:rsidP="000F670A">
      <w:pPr>
        <w:pStyle w:val="CommentText"/>
      </w:pPr>
      <w:r>
        <w:rPr>
          <w:rStyle w:val="CommentReference"/>
        </w:rPr>
        <w:annotationRef/>
      </w:r>
      <w:r w:rsidR="000F670A">
        <w:t xml:space="preserve">This addition is designed to close an inadvertent loophole. Without it, a determination that </w:t>
      </w:r>
      <w:r w:rsidR="000F670A">
        <w:rPr>
          <w:i/>
          <w:iCs/>
        </w:rPr>
        <w:t>some</w:t>
      </w:r>
      <w:r w:rsidR="000F670A">
        <w:t xml:space="preserve"> cutting is necessary for an approved purpose would take the action outside of the other standards, in which case </w:t>
      </w:r>
      <w:r w:rsidR="000F670A">
        <w:rPr>
          <w:i/>
          <w:iCs/>
        </w:rPr>
        <w:t xml:space="preserve">any </w:t>
      </w:r>
      <w:r w:rsidR="000F670A">
        <w:t>amount of cutting would be allowed even if it was not necessary for the approved purpose.</w:t>
      </w:r>
    </w:p>
    <w:p w14:paraId="5E8DEB19" w14:textId="77777777" w:rsidR="000F670A" w:rsidRDefault="000F670A" w:rsidP="000F670A">
      <w:pPr>
        <w:pStyle w:val="CommentText"/>
      </w:pPr>
    </w:p>
    <w:p w14:paraId="0580F7ED" w14:textId="77777777" w:rsidR="000F670A" w:rsidRDefault="000F670A" w:rsidP="000F670A">
      <w:pPr>
        <w:pStyle w:val="CommentText"/>
      </w:pPr>
      <w:r>
        <w:t>We also support the similar language suggested by the Silvix Resources comments, requiring that tree-cutting or removal be “</w:t>
      </w:r>
      <w:r>
        <w:rPr>
          <w:color w:val="FF0000"/>
        </w:rPr>
        <w:t>the minimum</w:t>
      </w:r>
      <w:r>
        <w:t xml:space="preserve"> necessary.” </w:t>
      </w:r>
    </w:p>
    <w:p w14:paraId="3FB3EA68" w14:textId="77777777" w:rsidR="000F670A" w:rsidRDefault="000F670A" w:rsidP="000F670A">
      <w:pPr>
        <w:pStyle w:val="CommentText"/>
      </w:pPr>
    </w:p>
    <w:p w14:paraId="6A7FA1F5" w14:textId="77777777" w:rsidR="000F670A" w:rsidRDefault="000F670A" w:rsidP="000F670A">
      <w:pPr>
        <w:pStyle w:val="CommentText"/>
      </w:pPr>
      <w:r>
        <w:t>See Comments at p 12.</w:t>
      </w:r>
    </w:p>
  </w:comment>
  <w:comment w:id="22" w:author="Sam Evans" w:date="2024-08-24T22:49:00Z" w:initials="SE">
    <w:p w14:paraId="1B5CFC32" w14:textId="77777777" w:rsidR="009C7BFA" w:rsidRDefault="00476B7D" w:rsidP="009C7BFA">
      <w:pPr>
        <w:pStyle w:val="CommentText"/>
      </w:pPr>
      <w:r>
        <w:rPr>
          <w:rStyle w:val="CommentReference"/>
        </w:rPr>
        <w:annotationRef/>
      </w:r>
      <w:r w:rsidR="009C7BFA">
        <w:t>The phrase “municipal watersheds” is too broad. Almost every acre of the NFs is in the watershed for some downstream municipality. “Municipal water supply systems” is the distinction used in HFRA.</w:t>
      </w:r>
    </w:p>
    <w:p w14:paraId="5943BA0B" w14:textId="77777777" w:rsidR="009C7BFA" w:rsidRDefault="009C7BFA" w:rsidP="009C7BFA">
      <w:pPr>
        <w:pStyle w:val="CommentText"/>
      </w:pPr>
    </w:p>
    <w:p w14:paraId="7287AA6C" w14:textId="77777777" w:rsidR="009C7BFA" w:rsidRDefault="009C7BFA" w:rsidP="009C7BFA">
      <w:pPr>
        <w:pStyle w:val="CommentText"/>
      </w:pPr>
      <w:r>
        <w:t>See Comments at p 13.</w:t>
      </w:r>
    </w:p>
  </w:comment>
  <w:comment w:id="23" w:author="Sam Evans" w:date="2024-08-24T22:50:00Z" w:initials="SE">
    <w:p w14:paraId="72898032" w14:textId="77777777" w:rsidR="00484BBE" w:rsidRDefault="00C532F4" w:rsidP="00484BBE">
      <w:pPr>
        <w:pStyle w:val="CommentText"/>
      </w:pPr>
      <w:r>
        <w:rPr>
          <w:rStyle w:val="CommentReference"/>
        </w:rPr>
        <w:annotationRef/>
      </w:r>
      <w:r w:rsidR="00484BBE">
        <w:t>This ties the WUI to the best available science. The HFRA definition of WUI is also problematic in this context because it could change anytime a community protection plan is created or updated, outside of NEPA/NFMA.</w:t>
      </w:r>
    </w:p>
    <w:p w14:paraId="20080629" w14:textId="77777777" w:rsidR="00484BBE" w:rsidRDefault="00484BBE" w:rsidP="00484BBE">
      <w:pPr>
        <w:pStyle w:val="CommentText"/>
      </w:pPr>
    </w:p>
    <w:p w14:paraId="6695083A" w14:textId="77777777" w:rsidR="00484BBE" w:rsidRDefault="00484BBE" w:rsidP="00484BBE">
      <w:pPr>
        <w:pStyle w:val="CommentText"/>
      </w:pPr>
      <w:r>
        <w:t>See Comments at p 13.</w:t>
      </w:r>
    </w:p>
  </w:comment>
  <w:comment w:id="24" w:author="Sam Evans" w:date="2024-08-24T21:20:00Z" w:initials="SE">
    <w:p w14:paraId="1BA4E78F" w14:textId="77777777" w:rsidR="00BD7275" w:rsidRDefault="005A169E" w:rsidP="00BD7275">
      <w:pPr>
        <w:pStyle w:val="CommentText"/>
      </w:pPr>
      <w:r>
        <w:rPr>
          <w:rStyle w:val="CommentReference"/>
        </w:rPr>
        <w:annotationRef/>
      </w:r>
      <w:r w:rsidR="00BD7275">
        <w:t>Clarify in analysis that  “de minimis” does not cover SASS. Address Tongass issues in Tongass revision or in a separate bullet for “transitional uses in Alaska.”</w:t>
      </w:r>
    </w:p>
    <w:p w14:paraId="5828A407" w14:textId="77777777" w:rsidR="00BD7275" w:rsidRDefault="00BD7275" w:rsidP="00BD7275">
      <w:pPr>
        <w:pStyle w:val="CommentText"/>
      </w:pPr>
      <w:r>
        <w:br/>
        <w:t>See Comments at p 14.</w:t>
      </w:r>
    </w:p>
  </w:comment>
  <w:comment w:id="25" w:author="Sam Evans" w:date="2024-08-24T22:53:00Z" w:initials="SE">
    <w:p w14:paraId="6CB85ABA" w14:textId="77777777" w:rsidR="00856905" w:rsidRDefault="00A17047" w:rsidP="00856905">
      <w:pPr>
        <w:pStyle w:val="CommentText"/>
      </w:pPr>
      <w:r>
        <w:rPr>
          <w:rStyle w:val="CommentReference"/>
        </w:rPr>
        <w:annotationRef/>
      </w:r>
      <w:r w:rsidR="00856905">
        <w:t xml:space="preserve">We see no reason that new research should be initiated that would require degradation of old growth. (New research on proactive stewardship would be allowed under STD-02a, however.) </w:t>
      </w:r>
    </w:p>
    <w:p w14:paraId="777D730D" w14:textId="77777777" w:rsidR="00856905" w:rsidRDefault="00856905" w:rsidP="00856905">
      <w:pPr>
        <w:pStyle w:val="CommentText"/>
      </w:pPr>
    </w:p>
    <w:p w14:paraId="188A73F6" w14:textId="77777777" w:rsidR="00856905" w:rsidRDefault="00856905" w:rsidP="00856905">
      <w:pPr>
        <w:pStyle w:val="CommentText"/>
      </w:pPr>
      <w:r>
        <w:t>See Comments at pp 13-14.</w:t>
      </w:r>
    </w:p>
  </w:comment>
  <w:comment w:id="26" w:author="Sam Evans" w:date="2024-08-24T22:54:00Z" w:initials="SE">
    <w:p w14:paraId="6E05ECDE" w14:textId="77777777" w:rsidR="00856905" w:rsidRDefault="00396691" w:rsidP="00856905">
      <w:pPr>
        <w:pStyle w:val="CommentText"/>
      </w:pPr>
      <w:r>
        <w:rPr>
          <w:rStyle w:val="CommentReference"/>
        </w:rPr>
        <w:annotationRef/>
      </w:r>
      <w:r w:rsidR="00856905">
        <w:t xml:space="preserve">RNAs are required to be managed as reference conditions. They contain some of our best examples of OG. </w:t>
      </w:r>
    </w:p>
    <w:p w14:paraId="745CF3CF" w14:textId="77777777" w:rsidR="00856905" w:rsidRDefault="00856905" w:rsidP="00856905">
      <w:pPr>
        <w:pStyle w:val="CommentText"/>
      </w:pPr>
    </w:p>
    <w:p w14:paraId="1E304096" w14:textId="77777777" w:rsidR="00856905" w:rsidRDefault="00856905" w:rsidP="00856905">
      <w:pPr>
        <w:pStyle w:val="CommentText"/>
      </w:pPr>
      <w:r>
        <w:t>See Comments at p 14.</w:t>
      </w:r>
    </w:p>
  </w:comment>
  <w:comment w:id="27" w:author="Sam Evans" w:date="2024-08-24T22:59:00Z" w:initials="SE">
    <w:p w14:paraId="4AE09A70" w14:textId="77777777" w:rsidR="00332D20" w:rsidRDefault="00AA19FC" w:rsidP="00332D20">
      <w:pPr>
        <w:pStyle w:val="CommentText"/>
      </w:pPr>
      <w:r>
        <w:rPr>
          <w:rStyle w:val="CommentReference"/>
        </w:rPr>
        <w:annotationRef/>
      </w:r>
      <w:r w:rsidR="00332D20">
        <w:t xml:space="preserve">“Not relevant or beneficial” is vague and overbroad. The replacement language would address legitimate needs for exceptions, such as: where a previously type-converted stand is now in old-growth condition; where fire needs to be reintroduced to the landscape even though it may consume existing OG; or where a system already has NRV levels of OG and limits on harvest would therefore impair the ability to increase other needed age classes. </w:t>
      </w:r>
      <w:r w:rsidR="00332D20">
        <w:br/>
      </w:r>
      <w:r w:rsidR="00332D20">
        <w:br/>
        <w:t xml:space="preserve">This language also accommodates the agency’s ambivalence about NRV: it provides a safety valve if </w:t>
      </w:r>
      <w:r w:rsidR="00332D20">
        <w:rPr>
          <w:i/>
          <w:iCs/>
        </w:rPr>
        <w:t>either</w:t>
      </w:r>
      <w:r w:rsidR="00332D20">
        <w:t xml:space="preserve"> NRV </w:t>
      </w:r>
      <w:r w:rsidR="00332D20">
        <w:rPr>
          <w:i/>
          <w:iCs/>
        </w:rPr>
        <w:t>or</w:t>
      </w:r>
      <w:r w:rsidR="00332D20">
        <w:t xml:space="preserve"> resilience would be impeded.</w:t>
      </w:r>
    </w:p>
    <w:p w14:paraId="2591A78F" w14:textId="77777777" w:rsidR="00332D20" w:rsidRDefault="00332D20" w:rsidP="00332D20">
      <w:pPr>
        <w:pStyle w:val="CommentText"/>
      </w:pPr>
    </w:p>
    <w:p w14:paraId="1E24E6BB" w14:textId="77777777" w:rsidR="00332D20" w:rsidRDefault="00332D20" w:rsidP="00332D20">
      <w:pPr>
        <w:pStyle w:val="CommentText"/>
      </w:pPr>
      <w:r>
        <w:t>See Comments at pp 12-13, 24.</w:t>
      </w:r>
    </w:p>
  </w:comment>
  <w:comment w:id="28" w:author="Sam Evans" w:date="2024-08-26T17:09:00Z" w:initials="SE">
    <w:p w14:paraId="0CF1DED1" w14:textId="77777777" w:rsidR="00102D49" w:rsidRDefault="00264594" w:rsidP="00102D49">
      <w:pPr>
        <w:pStyle w:val="CommentText"/>
      </w:pPr>
      <w:r>
        <w:rPr>
          <w:rStyle w:val="CommentReference"/>
        </w:rPr>
        <w:annotationRef/>
      </w:r>
      <w:r w:rsidR="00102D49">
        <w:t>This delays operation of GDL-01 until after the Adaptive Strategies are in place. There are two benefits: (1) ensuring that projects don’t become mired in debates over what is “needed and optimal” before there are Adaptive Strategies to rely on, and (2) creating an incentive to finish Adaptive Strategies on the 2-year clock required by OBJ-01.</w:t>
      </w:r>
    </w:p>
    <w:p w14:paraId="35FDA2A3" w14:textId="77777777" w:rsidR="00102D49" w:rsidRDefault="00102D49" w:rsidP="00102D49">
      <w:pPr>
        <w:pStyle w:val="CommentText"/>
      </w:pPr>
    </w:p>
    <w:p w14:paraId="75D1A326" w14:textId="77777777" w:rsidR="00102D49" w:rsidRDefault="00102D49" w:rsidP="00102D49">
      <w:pPr>
        <w:pStyle w:val="CommentText"/>
      </w:pPr>
      <w:r>
        <w:t>Alternatively, this could be reworded to apply to “forests identified pursuant to Adaptive Strategies as those in which recruitment is needed . . .” or similar.</w:t>
      </w:r>
    </w:p>
  </w:comment>
  <w:comment w:id="29" w:author="Sam Evans" w:date="2024-08-24T23:01:00Z" w:initials="SE">
    <w:p w14:paraId="338F168E" w14:textId="77777777" w:rsidR="005B1290" w:rsidRDefault="009772D2" w:rsidP="005B1290">
      <w:pPr>
        <w:pStyle w:val="CommentText"/>
      </w:pPr>
      <w:r>
        <w:rPr>
          <w:rStyle w:val="CommentReference"/>
        </w:rPr>
        <w:annotationRef/>
      </w:r>
      <w:r w:rsidR="005B1290">
        <w:t>This phrase points back to OBJ-01, which requires the identification of forests in Adaptive Strategies. The “needed and optimal” language provides the conceptual framework for what Adaptive Strategies (and Decision Support Tools) will accomplish.</w:t>
      </w:r>
    </w:p>
    <w:p w14:paraId="13611DB4" w14:textId="77777777" w:rsidR="005B1290" w:rsidRDefault="005B1290" w:rsidP="005B1290">
      <w:pPr>
        <w:pStyle w:val="CommentText"/>
      </w:pPr>
    </w:p>
    <w:p w14:paraId="202EE1C7" w14:textId="77777777" w:rsidR="005B1290" w:rsidRDefault="005B1290" w:rsidP="005B1290">
      <w:pPr>
        <w:pStyle w:val="CommentText"/>
      </w:pPr>
      <w:r>
        <w:t>See Comments at pp 19-20.</w:t>
      </w:r>
    </w:p>
  </w:comment>
  <w:comment w:id="30" w:author="Sam Evans" w:date="2024-08-24T23:15:00Z" w:initials="SE">
    <w:p w14:paraId="15684490" w14:textId="77777777" w:rsidR="00115FBC" w:rsidRDefault="00F74912" w:rsidP="00115FBC">
      <w:pPr>
        <w:pStyle w:val="CommentText"/>
      </w:pPr>
      <w:r>
        <w:rPr>
          <w:rStyle w:val="CommentReference"/>
        </w:rPr>
        <w:annotationRef/>
      </w:r>
      <w:r w:rsidR="00115FBC">
        <w:t>Along with the proposed addition of MA-01b(ix) (see comment above), this would ensure that NOGA does not violate the “integrated plan” requirement. It is a safety valve to clarify that recruitment is not required when it would interfere with other plan commitments. MA-01b(ix) ensures that recruitment does not interfere with broad-scale plan objectives. This addition ensures that recruitment does not interfere with legitimate site-specific purposes.</w:t>
      </w:r>
    </w:p>
    <w:p w14:paraId="5C1AF32C" w14:textId="77777777" w:rsidR="00115FBC" w:rsidRDefault="00115FBC" w:rsidP="00115FBC">
      <w:pPr>
        <w:pStyle w:val="CommentText"/>
      </w:pPr>
    </w:p>
    <w:p w14:paraId="6C9586CB" w14:textId="77777777" w:rsidR="00115FBC" w:rsidRDefault="00115FBC" w:rsidP="00115FBC">
      <w:pPr>
        <w:pStyle w:val="CommentText"/>
      </w:pPr>
      <w:r>
        <w:t>See Comments at p 23.</w:t>
      </w:r>
    </w:p>
  </w:comment>
  <w:comment w:id="31" w:author="Sam Evans" w:date="2024-08-24T23:16:00Z" w:initials="SE">
    <w:p w14:paraId="14CDC43F" w14:textId="77777777" w:rsidR="00E550B4" w:rsidRDefault="003D6BAF" w:rsidP="00E550B4">
      <w:pPr>
        <w:pStyle w:val="CommentText"/>
      </w:pPr>
      <w:r>
        <w:rPr>
          <w:rStyle w:val="CommentReference"/>
        </w:rPr>
        <w:annotationRef/>
      </w:r>
      <w:r w:rsidR="00E550B4">
        <w:t>These terms are taken from DC-01. The intent of DC-01 is that these concepts will drive “measurable” progress, which means we need to measure them.</w:t>
      </w:r>
    </w:p>
    <w:p w14:paraId="34EE6613" w14:textId="77777777" w:rsidR="00E550B4" w:rsidRDefault="00E550B4" w:rsidP="00E550B4">
      <w:pPr>
        <w:pStyle w:val="CommentText"/>
      </w:pPr>
    </w:p>
    <w:p w14:paraId="70BF9449" w14:textId="77777777" w:rsidR="00E550B4" w:rsidRDefault="00E550B4" w:rsidP="00E550B4">
      <w:pPr>
        <w:pStyle w:val="CommentText"/>
      </w:pPr>
      <w:r>
        <w:t>See Comments at p 25.</w:t>
      </w:r>
    </w:p>
  </w:comment>
  <w:comment w:id="32" w:author="Sam Evans" w:date="2024-08-24T23:19:00Z" w:initials="SE">
    <w:p w14:paraId="7394D3EF" w14:textId="77777777" w:rsidR="00E550B4" w:rsidRDefault="00D826A3" w:rsidP="00E550B4">
      <w:pPr>
        <w:pStyle w:val="CommentText"/>
      </w:pPr>
      <w:r>
        <w:rPr>
          <w:rStyle w:val="CommentReference"/>
        </w:rPr>
        <w:annotationRef/>
      </w:r>
      <w:r w:rsidR="00E550B4">
        <w:t xml:space="preserve">It is important to monitor use of exceptions so that we know if exceptions are cumulatively affecting more OG than expected. Frequent use of an exception might suggest a need for change to narrow the exception or to create/expand a category of proactive stewardship. </w:t>
      </w:r>
    </w:p>
    <w:p w14:paraId="2F937F72" w14:textId="77777777" w:rsidR="00E550B4" w:rsidRDefault="00E550B4" w:rsidP="00E550B4">
      <w:pPr>
        <w:pStyle w:val="CommentText"/>
      </w:pPr>
    </w:p>
    <w:p w14:paraId="7946FE1C" w14:textId="77777777" w:rsidR="00E550B4" w:rsidRDefault="00E550B4" w:rsidP="00E550B4">
      <w:pPr>
        <w:pStyle w:val="CommentText"/>
      </w:pPr>
      <w:r>
        <w:t>See Comments at p 25.</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875E825" w15:done="0"/>
  <w15:commentEx w15:paraId="3CD93F70" w15:done="0"/>
  <w15:commentEx w15:paraId="36AFB3AE" w15:done="0"/>
  <w15:commentEx w15:paraId="3F201798" w15:done="0"/>
  <w15:commentEx w15:paraId="260C541D" w15:done="0"/>
  <w15:commentEx w15:paraId="3C5895DA" w15:done="0"/>
  <w15:commentEx w15:paraId="27E74433" w15:done="0"/>
  <w15:commentEx w15:paraId="579A6805" w15:done="0"/>
  <w15:commentEx w15:paraId="6BA4846C" w15:done="0"/>
  <w15:commentEx w15:paraId="7374E8B4" w15:done="0"/>
  <w15:commentEx w15:paraId="1F1306C4" w15:done="0"/>
  <w15:commentEx w15:paraId="3B5C69A4" w15:done="0"/>
  <w15:commentEx w15:paraId="5B36173B" w15:done="0"/>
  <w15:commentEx w15:paraId="20049A69" w15:done="0"/>
  <w15:commentEx w15:paraId="38B6A798" w15:done="0"/>
  <w15:commentEx w15:paraId="76E2D657" w15:done="0"/>
  <w15:commentEx w15:paraId="626F5CA9" w15:done="0"/>
  <w15:commentEx w15:paraId="48EF0C89" w15:done="0"/>
  <w15:commentEx w15:paraId="6B191FD8" w15:done="0"/>
  <w15:commentEx w15:paraId="7035AA86" w15:done="0"/>
  <w15:commentEx w15:paraId="74D8C0B5" w15:done="0"/>
  <w15:commentEx w15:paraId="6A7FA1F5" w15:done="0"/>
  <w15:commentEx w15:paraId="7287AA6C" w15:done="0"/>
  <w15:commentEx w15:paraId="6695083A" w15:done="0"/>
  <w15:commentEx w15:paraId="5828A407" w15:done="0"/>
  <w15:commentEx w15:paraId="188A73F6" w15:done="0"/>
  <w15:commentEx w15:paraId="1E304096" w15:done="0"/>
  <w15:commentEx w15:paraId="1E24E6BB" w15:done="0"/>
  <w15:commentEx w15:paraId="75D1A326" w15:done="0"/>
  <w15:commentEx w15:paraId="202EE1C7" w15:done="0"/>
  <w15:commentEx w15:paraId="6C9586CB" w15:done="0"/>
  <w15:commentEx w15:paraId="70BF9449" w15:done="0"/>
  <w15:commentEx w15:paraId="7946FE1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42FE8BA" w16cex:dateUtc="2024-08-25T01:37:00Z"/>
  <w16cex:commentExtensible w16cex:durableId="70CCFE83" w16cex:dateUtc="2024-08-25T01:38:00Z"/>
  <w16cex:commentExtensible w16cex:durableId="5E8CF9AC" w16cex:dateUtc="2024-08-25T01:39:00Z"/>
  <w16cex:commentExtensible w16cex:durableId="57321E0C" w16cex:dateUtc="2024-08-25T01:40:00Z"/>
  <w16cex:commentExtensible w16cex:durableId="04446080" w16cex:dateUtc="2024-08-25T01:47:00Z"/>
  <w16cex:commentExtensible w16cex:durableId="3E7F50C5" w16cex:dateUtc="2024-08-26T15:46:00Z"/>
  <w16cex:commentExtensible w16cex:durableId="5D47E751" w16cex:dateUtc="2024-08-26T15:45:00Z"/>
  <w16cex:commentExtensible w16cex:durableId="0F100EA3" w16cex:dateUtc="2024-08-25T01:48:00Z"/>
  <w16cex:commentExtensible w16cex:durableId="7DFE9C72" w16cex:dateUtc="2024-08-25T02:02:00Z"/>
  <w16cex:commentExtensible w16cex:durableId="5E83A2DE" w16cex:dateUtc="2024-08-25T01:59:00Z"/>
  <w16cex:commentExtensible w16cex:durableId="25A51857" w16cex:dateUtc="2024-08-25T02:08:00Z"/>
  <w16cex:commentExtensible w16cex:durableId="493A7913" w16cex:dateUtc="2024-08-25T02:11:00Z"/>
  <w16cex:commentExtensible w16cex:durableId="02A0A974" w16cex:dateUtc="2024-08-25T02:12:00Z"/>
  <w16cex:commentExtensible w16cex:durableId="283DD489" w16cex:dateUtc="2024-08-25T02:15:00Z"/>
  <w16cex:commentExtensible w16cex:durableId="339BCF9C" w16cex:dateUtc="2024-08-25T02:16:00Z"/>
  <w16cex:commentExtensible w16cex:durableId="1F07E251" w16cex:dateUtc="2024-08-25T02:27:00Z"/>
  <w16cex:commentExtensible w16cex:durableId="49D4439D" w16cex:dateUtc="2024-08-25T02:31:00Z"/>
  <w16cex:commentExtensible w16cex:durableId="6948D7F4" w16cex:dateUtc="2024-08-25T02:35:00Z"/>
  <w16cex:commentExtensible w16cex:durableId="25F24EE6" w16cex:dateUtc="2024-08-25T03:10:00Z"/>
  <w16cex:commentExtensible w16cex:durableId="2D84689B" w16cex:dateUtc="2024-08-25T02:43:00Z"/>
  <w16cex:commentExtensible w16cex:durableId="7E2556F7" w16cex:dateUtc="2024-08-25T02:46:00Z"/>
  <w16cex:commentExtensible w16cex:durableId="19A0DEF1" w16cex:dateUtc="2024-08-25T02:48:00Z"/>
  <w16cex:commentExtensible w16cex:durableId="7976F501" w16cex:dateUtc="2024-08-25T02:49:00Z"/>
  <w16cex:commentExtensible w16cex:durableId="1760A018" w16cex:dateUtc="2024-08-25T02:50:00Z"/>
  <w16cex:commentExtensible w16cex:durableId="3DE2DC41" w16cex:dateUtc="2024-08-25T01:20:00Z"/>
  <w16cex:commentExtensible w16cex:durableId="2366C5FF" w16cex:dateUtc="2024-08-25T02:53:00Z"/>
  <w16cex:commentExtensible w16cex:durableId="240D6A49" w16cex:dateUtc="2024-08-25T02:54:00Z"/>
  <w16cex:commentExtensible w16cex:durableId="2CCB7107" w16cex:dateUtc="2024-08-25T02:59:00Z"/>
  <w16cex:commentExtensible w16cex:durableId="13E1294A" w16cex:dateUtc="2024-08-26T21:09:00Z"/>
  <w16cex:commentExtensible w16cex:durableId="7016D50A" w16cex:dateUtc="2024-08-25T03:01:00Z"/>
  <w16cex:commentExtensible w16cex:durableId="1D30D996" w16cex:dateUtc="2024-08-25T03:15:00Z"/>
  <w16cex:commentExtensible w16cex:durableId="0A67CD76" w16cex:dateUtc="2024-08-25T03:16:00Z"/>
  <w16cex:commentExtensible w16cex:durableId="1BE72D00" w16cex:dateUtc="2024-08-25T03: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875E825" w16cid:durableId="342FE8BA"/>
  <w16cid:commentId w16cid:paraId="3CD93F70" w16cid:durableId="70CCFE83"/>
  <w16cid:commentId w16cid:paraId="36AFB3AE" w16cid:durableId="5E8CF9AC"/>
  <w16cid:commentId w16cid:paraId="3F201798" w16cid:durableId="57321E0C"/>
  <w16cid:commentId w16cid:paraId="260C541D" w16cid:durableId="04446080"/>
  <w16cid:commentId w16cid:paraId="3C5895DA" w16cid:durableId="3E7F50C5"/>
  <w16cid:commentId w16cid:paraId="27E74433" w16cid:durableId="5D47E751"/>
  <w16cid:commentId w16cid:paraId="579A6805" w16cid:durableId="0F100EA3"/>
  <w16cid:commentId w16cid:paraId="6BA4846C" w16cid:durableId="7DFE9C72"/>
  <w16cid:commentId w16cid:paraId="7374E8B4" w16cid:durableId="5E83A2DE"/>
  <w16cid:commentId w16cid:paraId="1F1306C4" w16cid:durableId="25A51857"/>
  <w16cid:commentId w16cid:paraId="3B5C69A4" w16cid:durableId="493A7913"/>
  <w16cid:commentId w16cid:paraId="5B36173B" w16cid:durableId="02A0A974"/>
  <w16cid:commentId w16cid:paraId="20049A69" w16cid:durableId="283DD489"/>
  <w16cid:commentId w16cid:paraId="38B6A798" w16cid:durableId="339BCF9C"/>
  <w16cid:commentId w16cid:paraId="76E2D657" w16cid:durableId="1F07E251"/>
  <w16cid:commentId w16cid:paraId="626F5CA9" w16cid:durableId="49D4439D"/>
  <w16cid:commentId w16cid:paraId="48EF0C89" w16cid:durableId="6948D7F4"/>
  <w16cid:commentId w16cid:paraId="6B191FD8" w16cid:durableId="25F24EE6"/>
  <w16cid:commentId w16cid:paraId="7035AA86" w16cid:durableId="2D84689B"/>
  <w16cid:commentId w16cid:paraId="74D8C0B5" w16cid:durableId="7E2556F7"/>
  <w16cid:commentId w16cid:paraId="6A7FA1F5" w16cid:durableId="19A0DEF1"/>
  <w16cid:commentId w16cid:paraId="7287AA6C" w16cid:durableId="7976F501"/>
  <w16cid:commentId w16cid:paraId="6695083A" w16cid:durableId="1760A018"/>
  <w16cid:commentId w16cid:paraId="5828A407" w16cid:durableId="3DE2DC41"/>
  <w16cid:commentId w16cid:paraId="188A73F6" w16cid:durableId="2366C5FF"/>
  <w16cid:commentId w16cid:paraId="1E304096" w16cid:durableId="240D6A49"/>
  <w16cid:commentId w16cid:paraId="1E24E6BB" w16cid:durableId="2CCB7107"/>
  <w16cid:commentId w16cid:paraId="75D1A326" w16cid:durableId="13E1294A"/>
  <w16cid:commentId w16cid:paraId="202EE1C7" w16cid:durableId="7016D50A"/>
  <w16cid:commentId w16cid:paraId="6C9586CB" w16cid:durableId="1D30D996"/>
  <w16cid:commentId w16cid:paraId="70BF9449" w16cid:durableId="0A67CD76"/>
  <w16cid:commentId w16cid:paraId="7946FE1C" w16cid:durableId="1BE72D0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94A0CB" w14:textId="77777777" w:rsidR="002725E1" w:rsidRDefault="002725E1" w:rsidP="002725E1">
      <w:pPr>
        <w:spacing w:after="0" w:line="240" w:lineRule="auto"/>
      </w:pPr>
      <w:r>
        <w:separator/>
      </w:r>
    </w:p>
  </w:endnote>
  <w:endnote w:type="continuationSeparator" w:id="0">
    <w:p w14:paraId="6CEDD297" w14:textId="77777777" w:rsidR="002725E1" w:rsidRDefault="002725E1" w:rsidP="00272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42237126"/>
      <w:docPartObj>
        <w:docPartGallery w:val="Page Numbers (Bottom of Page)"/>
        <w:docPartUnique/>
      </w:docPartObj>
    </w:sdtPr>
    <w:sdtEndPr>
      <w:rPr>
        <w:noProof/>
      </w:rPr>
    </w:sdtEndPr>
    <w:sdtContent>
      <w:p w14:paraId="3FEC85A5" w14:textId="1238A47B" w:rsidR="002725E1" w:rsidRDefault="002725E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B75058" w14:textId="77777777" w:rsidR="002725E1" w:rsidRDefault="002725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61D4BB" w14:textId="77777777" w:rsidR="002725E1" w:rsidRDefault="002725E1" w:rsidP="002725E1">
      <w:pPr>
        <w:spacing w:after="0" w:line="240" w:lineRule="auto"/>
      </w:pPr>
      <w:r>
        <w:separator/>
      </w:r>
    </w:p>
  </w:footnote>
  <w:footnote w:type="continuationSeparator" w:id="0">
    <w:p w14:paraId="65DA4F00" w14:textId="77777777" w:rsidR="002725E1" w:rsidRDefault="002725E1" w:rsidP="002725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7E151D" w14:textId="77777777" w:rsidR="002725E1" w:rsidRDefault="002725E1" w:rsidP="002725E1">
    <w:pPr>
      <w:pStyle w:val="Header"/>
      <w:jc w:val="center"/>
    </w:pPr>
    <w:r>
      <w:t>Attachment to SELC et al. comments on NOGA DEIS</w:t>
    </w:r>
  </w:p>
  <w:p w14:paraId="410DB7A6" w14:textId="2DA7EEBA" w:rsidR="002725E1" w:rsidRDefault="002725E1" w:rsidP="002725E1">
    <w:pPr>
      <w:pStyle w:val="Header"/>
      <w:jc w:val="center"/>
    </w:pPr>
    <w:r>
      <w:t>NOGA Alt. 2 Suggested Redline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FC618E"/>
    <w:multiLevelType w:val="hybridMultilevel"/>
    <w:tmpl w:val="5DAE2F4E"/>
    <w:lvl w:ilvl="0" w:tplc="D18A25C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4B1809"/>
    <w:multiLevelType w:val="hybridMultilevel"/>
    <w:tmpl w:val="213A207E"/>
    <w:lvl w:ilvl="0" w:tplc="A69C48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2B6D88"/>
    <w:multiLevelType w:val="hybridMultilevel"/>
    <w:tmpl w:val="6888C394"/>
    <w:lvl w:ilvl="0" w:tplc="2B4A0A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7D24E0"/>
    <w:multiLevelType w:val="hybridMultilevel"/>
    <w:tmpl w:val="D666A22C"/>
    <w:lvl w:ilvl="0" w:tplc="0BE24CA4">
      <w:start w:val="1"/>
      <w:numFmt w:val="lowerRoman"/>
      <w:lvlText w:val="%1."/>
      <w:lvlJc w:val="left"/>
      <w:pPr>
        <w:ind w:left="1080" w:hanging="72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0934352">
    <w:abstractNumId w:val="3"/>
  </w:num>
  <w:num w:numId="2" w16cid:durableId="1553038773">
    <w:abstractNumId w:val="0"/>
  </w:num>
  <w:num w:numId="3" w16cid:durableId="1020544425">
    <w:abstractNumId w:val="2"/>
  </w:num>
  <w:num w:numId="4" w16cid:durableId="144437802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am Evans">
    <w15:presenceInfo w15:providerId="AD" w15:userId="S::sevans@selcnc.org::a1748f4b-1db2-4c9d-a526-bfd9dbf485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B1B7B"/>
    <w:rsid w:val="00036DDF"/>
    <w:rsid w:val="000632AC"/>
    <w:rsid w:val="0008334C"/>
    <w:rsid w:val="000C2C1A"/>
    <w:rsid w:val="000D635A"/>
    <w:rsid w:val="000E2B6D"/>
    <w:rsid w:val="000E6E47"/>
    <w:rsid w:val="000F670A"/>
    <w:rsid w:val="00101687"/>
    <w:rsid w:val="00102D49"/>
    <w:rsid w:val="00115FBC"/>
    <w:rsid w:val="001355A0"/>
    <w:rsid w:val="0014614C"/>
    <w:rsid w:val="00150000"/>
    <w:rsid w:val="001A05B4"/>
    <w:rsid w:val="001C62EE"/>
    <w:rsid w:val="001D3BCD"/>
    <w:rsid w:val="00207953"/>
    <w:rsid w:val="002220EF"/>
    <w:rsid w:val="002304F5"/>
    <w:rsid w:val="00264594"/>
    <w:rsid w:val="002725E1"/>
    <w:rsid w:val="002940C8"/>
    <w:rsid w:val="0029724E"/>
    <w:rsid w:val="002B73DD"/>
    <w:rsid w:val="00301774"/>
    <w:rsid w:val="00303053"/>
    <w:rsid w:val="003046E6"/>
    <w:rsid w:val="00305BF0"/>
    <w:rsid w:val="00326937"/>
    <w:rsid w:val="00331549"/>
    <w:rsid w:val="00332D20"/>
    <w:rsid w:val="0035022C"/>
    <w:rsid w:val="00382A7D"/>
    <w:rsid w:val="00392DC2"/>
    <w:rsid w:val="00396691"/>
    <w:rsid w:val="003B05CC"/>
    <w:rsid w:val="003B709C"/>
    <w:rsid w:val="003D50E5"/>
    <w:rsid w:val="003D6BAF"/>
    <w:rsid w:val="003E038F"/>
    <w:rsid w:val="00402772"/>
    <w:rsid w:val="00404AA8"/>
    <w:rsid w:val="00406D0D"/>
    <w:rsid w:val="00406D7E"/>
    <w:rsid w:val="00417EB1"/>
    <w:rsid w:val="00444878"/>
    <w:rsid w:val="004461FA"/>
    <w:rsid w:val="00463510"/>
    <w:rsid w:val="00466DE6"/>
    <w:rsid w:val="00471F1A"/>
    <w:rsid w:val="00476B7D"/>
    <w:rsid w:val="0047717F"/>
    <w:rsid w:val="00484BBE"/>
    <w:rsid w:val="004B4468"/>
    <w:rsid w:val="004F7D39"/>
    <w:rsid w:val="00525A56"/>
    <w:rsid w:val="00526F95"/>
    <w:rsid w:val="00532662"/>
    <w:rsid w:val="00537779"/>
    <w:rsid w:val="00542CD4"/>
    <w:rsid w:val="0054316D"/>
    <w:rsid w:val="0058256C"/>
    <w:rsid w:val="005A169E"/>
    <w:rsid w:val="005B1290"/>
    <w:rsid w:val="005C37DD"/>
    <w:rsid w:val="005D4D8F"/>
    <w:rsid w:val="005F70CE"/>
    <w:rsid w:val="00603C32"/>
    <w:rsid w:val="00617CA1"/>
    <w:rsid w:val="006373B7"/>
    <w:rsid w:val="00643B78"/>
    <w:rsid w:val="00645FD2"/>
    <w:rsid w:val="00650AF3"/>
    <w:rsid w:val="006649DA"/>
    <w:rsid w:val="00680C6F"/>
    <w:rsid w:val="006A4F43"/>
    <w:rsid w:val="006B101D"/>
    <w:rsid w:val="00705A3C"/>
    <w:rsid w:val="00705DC9"/>
    <w:rsid w:val="00712E6C"/>
    <w:rsid w:val="00750A52"/>
    <w:rsid w:val="00754CF3"/>
    <w:rsid w:val="00763886"/>
    <w:rsid w:val="00764E8F"/>
    <w:rsid w:val="007933AB"/>
    <w:rsid w:val="007A1057"/>
    <w:rsid w:val="007A21CF"/>
    <w:rsid w:val="007A7720"/>
    <w:rsid w:val="007C34DE"/>
    <w:rsid w:val="00804285"/>
    <w:rsid w:val="00832CB9"/>
    <w:rsid w:val="00856905"/>
    <w:rsid w:val="00895BA6"/>
    <w:rsid w:val="00897630"/>
    <w:rsid w:val="008B763B"/>
    <w:rsid w:val="008C0098"/>
    <w:rsid w:val="008C2EB4"/>
    <w:rsid w:val="008D157D"/>
    <w:rsid w:val="008D263C"/>
    <w:rsid w:val="008D7BE7"/>
    <w:rsid w:val="008F3407"/>
    <w:rsid w:val="008F67B1"/>
    <w:rsid w:val="008F7773"/>
    <w:rsid w:val="0092192F"/>
    <w:rsid w:val="00924ED0"/>
    <w:rsid w:val="00947D50"/>
    <w:rsid w:val="009658D7"/>
    <w:rsid w:val="009772D2"/>
    <w:rsid w:val="009779E9"/>
    <w:rsid w:val="009B0F13"/>
    <w:rsid w:val="009B3552"/>
    <w:rsid w:val="009C7BFA"/>
    <w:rsid w:val="009D0462"/>
    <w:rsid w:val="009F3CA5"/>
    <w:rsid w:val="00A17047"/>
    <w:rsid w:val="00A413C0"/>
    <w:rsid w:val="00A55C55"/>
    <w:rsid w:val="00A875D1"/>
    <w:rsid w:val="00AA19FC"/>
    <w:rsid w:val="00AA5FD5"/>
    <w:rsid w:val="00AB2760"/>
    <w:rsid w:val="00AB571E"/>
    <w:rsid w:val="00AF4DD2"/>
    <w:rsid w:val="00B14E6D"/>
    <w:rsid w:val="00B22C3B"/>
    <w:rsid w:val="00B43CB9"/>
    <w:rsid w:val="00B61EFB"/>
    <w:rsid w:val="00B93B69"/>
    <w:rsid w:val="00BA0FA1"/>
    <w:rsid w:val="00BD7275"/>
    <w:rsid w:val="00C532F4"/>
    <w:rsid w:val="00C8604E"/>
    <w:rsid w:val="00C91A82"/>
    <w:rsid w:val="00CB111E"/>
    <w:rsid w:val="00CB6FDD"/>
    <w:rsid w:val="00CE0A9B"/>
    <w:rsid w:val="00CE3DF5"/>
    <w:rsid w:val="00CF16D0"/>
    <w:rsid w:val="00CF657B"/>
    <w:rsid w:val="00D05A2B"/>
    <w:rsid w:val="00D575B3"/>
    <w:rsid w:val="00D826A3"/>
    <w:rsid w:val="00D95D1E"/>
    <w:rsid w:val="00DC268F"/>
    <w:rsid w:val="00DF1849"/>
    <w:rsid w:val="00E13098"/>
    <w:rsid w:val="00E213AA"/>
    <w:rsid w:val="00E36F24"/>
    <w:rsid w:val="00E54185"/>
    <w:rsid w:val="00E550B4"/>
    <w:rsid w:val="00E82B57"/>
    <w:rsid w:val="00EF745E"/>
    <w:rsid w:val="00F41BF5"/>
    <w:rsid w:val="00F5249C"/>
    <w:rsid w:val="00F57B53"/>
    <w:rsid w:val="00F74912"/>
    <w:rsid w:val="00F77D67"/>
    <w:rsid w:val="00F871B0"/>
    <w:rsid w:val="00FB1B7B"/>
    <w:rsid w:val="00FF00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19D03"/>
  <w15:chartTrackingRefBased/>
  <w15:docId w15:val="{CC4F09ED-049A-47A1-A99A-E81480218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1B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1B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1B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1B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1B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1B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1B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1B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1B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1B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1B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1B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1B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1B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1B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1B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1B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1B7B"/>
    <w:rPr>
      <w:rFonts w:eastAsiaTheme="majorEastAsia" w:cstheme="majorBidi"/>
      <w:color w:val="272727" w:themeColor="text1" w:themeTint="D8"/>
    </w:rPr>
  </w:style>
  <w:style w:type="paragraph" w:styleId="Title">
    <w:name w:val="Title"/>
    <w:basedOn w:val="Normal"/>
    <w:next w:val="Normal"/>
    <w:link w:val="TitleChar"/>
    <w:uiPriority w:val="10"/>
    <w:qFormat/>
    <w:rsid w:val="00FB1B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1B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1B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1B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1B7B"/>
    <w:pPr>
      <w:spacing w:before="160"/>
      <w:jc w:val="center"/>
    </w:pPr>
    <w:rPr>
      <w:i/>
      <w:iCs/>
      <w:color w:val="404040" w:themeColor="text1" w:themeTint="BF"/>
    </w:rPr>
  </w:style>
  <w:style w:type="character" w:customStyle="1" w:styleId="QuoteChar">
    <w:name w:val="Quote Char"/>
    <w:basedOn w:val="DefaultParagraphFont"/>
    <w:link w:val="Quote"/>
    <w:uiPriority w:val="29"/>
    <w:rsid w:val="00FB1B7B"/>
    <w:rPr>
      <w:i/>
      <w:iCs/>
      <w:color w:val="404040" w:themeColor="text1" w:themeTint="BF"/>
    </w:rPr>
  </w:style>
  <w:style w:type="paragraph" w:styleId="ListParagraph">
    <w:name w:val="List Paragraph"/>
    <w:basedOn w:val="Normal"/>
    <w:uiPriority w:val="34"/>
    <w:qFormat/>
    <w:rsid w:val="00FB1B7B"/>
    <w:pPr>
      <w:ind w:left="720"/>
      <w:contextualSpacing/>
    </w:pPr>
  </w:style>
  <w:style w:type="character" w:styleId="IntenseEmphasis">
    <w:name w:val="Intense Emphasis"/>
    <w:basedOn w:val="DefaultParagraphFont"/>
    <w:uiPriority w:val="21"/>
    <w:qFormat/>
    <w:rsid w:val="00FB1B7B"/>
    <w:rPr>
      <w:i/>
      <w:iCs/>
      <w:color w:val="0F4761" w:themeColor="accent1" w:themeShade="BF"/>
    </w:rPr>
  </w:style>
  <w:style w:type="paragraph" w:styleId="IntenseQuote">
    <w:name w:val="Intense Quote"/>
    <w:basedOn w:val="Normal"/>
    <w:next w:val="Normal"/>
    <w:link w:val="IntenseQuoteChar"/>
    <w:uiPriority w:val="30"/>
    <w:qFormat/>
    <w:rsid w:val="00FB1B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1B7B"/>
    <w:rPr>
      <w:i/>
      <w:iCs/>
      <w:color w:val="0F4761" w:themeColor="accent1" w:themeShade="BF"/>
    </w:rPr>
  </w:style>
  <w:style w:type="character" w:styleId="IntenseReference">
    <w:name w:val="Intense Reference"/>
    <w:basedOn w:val="DefaultParagraphFont"/>
    <w:uiPriority w:val="32"/>
    <w:qFormat/>
    <w:rsid w:val="00FB1B7B"/>
    <w:rPr>
      <w:b/>
      <w:bCs/>
      <w:smallCaps/>
      <w:color w:val="0F4761" w:themeColor="accent1" w:themeShade="BF"/>
      <w:spacing w:val="5"/>
    </w:rPr>
  </w:style>
  <w:style w:type="table" w:styleId="TableGrid">
    <w:name w:val="Table Grid"/>
    <w:basedOn w:val="TableNormal"/>
    <w:uiPriority w:val="39"/>
    <w:rsid w:val="00754C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A169E"/>
    <w:rPr>
      <w:sz w:val="16"/>
      <w:szCs w:val="16"/>
    </w:rPr>
  </w:style>
  <w:style w:type="paragraph" w:styleId="CommentText">
    <w:name w:val="annotation text"/>
    <w:basedOn w:val="Normal"/>
    <w:link w:val="CommentTextChar"/>
    <w:uiPriority w:val="99"/>
    <w:unhideWhenUsed/>
    <w:rsid w:val="005A169E"/>
    <w:pPr>
      <w:spacing w:line="240" w:lineRule="auto"/>
    </w:pPr>
    <w:rPr>
      <w:sz w:val="20"/>
      <w:szCs w:val="20"/>
    </w:rPr>
  </w:style>
  <w:style w:type="character" w:customStyle="1" w:styleId="CommentTextChar">
    <w:name w:val="Comment Text Char"/>
    <w:basedOn w:val="DefaultParagraphFont"/>
    <w:link w:val="CommentText"/>
    <w:uiPriority w:val="99"/>
    <w:rsid w:val="005A169E"/>
    <w:rPr>
      <w:sz w:val="20"/>
      <w:szCs w:val="20"/>
    </w:rPr>
  </w:style>
  <w:style w:type="paragraph" w:styleId="CommentSubject">
    <w:name w:val="annotation subject"/>
    <w:basedOn w:val="CommentText"/>
    <w:next w:val="CommentText"/>
    <w:link w:val="CommentSubjectChar"/>
    <w:uiPriority w:val="99"/>
    <w:semiHidden/>
    <w:unhideWhenUsed/>
    <w:rsid w:val="005A169E"/>
    <w:rPr>
      <w:b/>
      <w:bCs/>
    </w:rPr>
  </w:style>
  <w:style w:type="character" w:customStyle="1" w:styleId="CommentSubjectChar">
    <w:name w:val="Comment Subject Char"/>
    <w:basedOn w:val="CommentTextChar"/>
    <w:link w:val="CommentSubject"/>
    <w:uiPriority w:val="99"/>
    <w:semiHidden/>
    <w:rsid w:val="005A169E"/>
    <w:rPr>
      <w:b/>
      <w:bCs/>
      <w:sz w:val="20"/>
      <w:szCs w:val="20"/>
    </w:rPr>
  </w:style>
  <w:style w:type="paragraph" w:styleId="Header">
    <w:name w:val="header"/>
    <w:basedOn w:val="Normal"/>
    <w:link w:val="HeaderChar"/>
    <w:uiPriority w:val="99"/>
    <w:unhideWhenUsed/>
    <w:rsid w:val="002725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5E1"/>
  </w:style>
  <w:style w:type="paragraph" w:styleId="Footer">
    <w:name w:val="footer"/>
    <w:basedOn w:val="Normal"/>
    <w:link w:val="FooterChar"/>
    <w:uiPriority w:val="99"/>
    <w:unhideWhenUsed/>
    <w:rsid w:val="002725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25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2455</TotalTime>
  <Pages>7</Pages>
  <Words>2395</Words>
  <Characters>13654</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Evans</dc:creator>
  <cp:keywords/>
  <dc:description/>
  <cp:lastModifiedBy>Sam Evans</cp:lastModifiedBy>
  <cp:revision>146</cp:revision>
  <dcterms:created xsi:type="dcterms:W3CDTF">2024-08-24T21:30:00Z</dcterms:created>
  <dcterms:modified xsi:type="dcterms:W3CDTF">2024-08-27T20:43:00Z</dcterms:modified>
</cp:coreProperties>
</file>