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D7D57" w14:textId="73EC865A" w:rsidR="00093D3C" w:rsidRDefault="00093D3C">
      <w:r>
        <w:rPr>
          <w:noProof/>
        </w:rPr>
        <w:drawing>
          <wp:inline distT="0" distB="0" distL="0" distR="0" wp14:anchorId="53EB1D1C" wp14:editId="7DC8A318">
            <wp:extent cx="5486400" cy="10610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_2Color.wmf"/>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86400" cy="1061085"/>
                    </a:xfrm>
                    <a:prstGeom prst="rect">
                      <a:avLst/>
                    </a:prstGeom>
                  </pic:spPr>
                </pic:pic>
              </a:graphicData>
            </a:graphic>
          </wp:inline>
        </w:drawing>
      </w:r>
    </w:p>
    <w:p w14:paraId="157A193F" w14:textId="77777777" w:rsidR="00093D3C" w:rsidRPr="008E7370" w:rsidRDefault="00093D3C" w:rsidP="00093D3C">
      <w:pPr>
        <w:spacing w:before="100" w:beforeAutospacing="1" w:after="100" w:afterAutospacing="1" w:line="240" w:lineRule="auto"/>
        <w:rPr>
          <w:rFonts w:eastAsia="Times New Roman" w:cstheme="minorHAnsi"/>
          <w:i/>
          <w:iCs/>
        </w:rPr>
      </w:pPr>
      <w:r w:rsidRPr="008E7370">
        <w:rPr>
          <w:rFonts w:eastAsia="Times New Roman" w:cstheme="minorHAnsi"/>
          <w:i/>
          <w:iCs/>
        </w:rPr>
        <w:t xml:space="preserve">Submitted via online </w:t>
      </w:r>
      <w:proofErr w:type="gramStart"/>
      <w:r w:rsidRPr="008E7370">
        <w:rPr>
          <w:rFonts w:eastAsia="Times New Roman" w:cstheme="minorHAnsi"/>
          <w:i/>
          <w:iCs/>
        </w:rPr>
        <w:t>portal</w:t>
      </w:r>
      <w:proofErr w:type="gramEnd"/>
      <w:r w:rsidRPr="008E7370">
        <w:rPr>
          <w:rFonts w:eastAsia="Times New Roman" w:cstheme="minorHAnsi"/>
          <w:i/>
          <w:iCs/>
        </w:rPr>
        <w:t xml:space="preserve"> </w:t>
      </w:r>
    </w:p>
    <w:p w14:paraId="08275012" w14:textId="46C8A956" w:rsidR="00093D3C" w:rsidRDefault="00093D3C" w:rsidP="00093D3C">
      <w:pPr>
        <w:spacing w:before="100" w:beforeAutospacing="1" w:after="100" w:afterAutospacing="1" w:line="240" w:lineRule="auto"/>
        <w:jc w:val="right"/>
        <w:rPr>
          <w:rFonts w:eastAsia="Times New Roman" w:cstheme="minorHAnsi"/>
        </w:rPr>
      </w:pPr>
      <w:r>
        <w:rPr>
          <w:rFonts w:eastAsia="Times New Roman" w:cstheme="minorHAnsi"/>
        </w:rPr>
        <w:t>September 18, 2024</w:t>
      </w:r>
    </w:p>
    <w:p w14:paraId="67376F45" w14:textId="77777777" w:rsidR="00093D3C" w:rsidRDefault="00093D3C" w:rsidP="00093D3C">
      <w:pPr>
        <w:spacing w:after="0" w:line="240" w:lineRule="auto"/>
        <w:rPr>
          <w:rFonts w:eastAsia="Times New Roman" w:cstheme="minorHAnsi"/>
        </w:rPr>
      </w:pPr>
      <w:r>
        <w:rPr>
          <w:rFonts w:eastAsia="Times New Roman" w:cstheme="minorHAnsi"/>
        </w:rPr>
        <w:t>Christopher French</w:t>
      </w:r>
    </w:p>
    <w:p w14:paraId="54B494C3" w14:textId="77777777" w:rsidR="00093D3C" w:rsidRDefault="00093D3C" w:rsidP="00093D3C">
      <w:pPr>
        <w:spacing w:after="0" w:line="240" w:lineRule="auto"/>
        <w:rPr>
          <w:rFonts w:eastAsia="Times New Roman" w:cstheme="minorHAnsi"/>
        </w:rPr>
      </w:pPr>
      <w:r>
        <w:rPr>
          <w:rFonts w:eastAsia="Times New Roman" w:cstheme="minorHAnsi"/>
        </w:rPr>
        <w:t>Deputy Chief</w:t>
      </w:r>
    </w:p>
    <w:p w14:paraId="2EBBEFDB" w14:textId="77777777" w:rsidR="00093D3C" w:rsidRDefault="00093D3C" w:rsidP="00093D3C">
      <w:pPr>
        <w:spacing w:after="0" w:line="240" w:lineRule="auto"/>
        <w:rPr>
          <w:rFonts w:eastAsia="Times New Roman" w:cstheme="minorHAnsi"/>
        </w:rPr>
      </w:pPr>
      <w:r>
        <w:rPr>
          <w:rFonts w:eastAsia="Times New Roman" w:cstheme="minorHAnsi"/>
        </w:rPr>
        <w:t xml:space="preserve"> National Forest System, Forest Service</w:t>
      </w:r>
    </w:p>
    <w:p w14:paraId="7AED776D" w14:textId="77777777" w:rsidR="00093D3C" w:rsidRDefault="00093D3C" w:rsidP="00093D3C">
      <w:pPr>
        <w:spacing w:after="0" w:line="240" w:lineRule="auto"/>
        <w:rPr>
          <w:rFonts w:eastAsia="Times New Roman" w:cstheme="minorHAnsi"/>
        </w:rPr>
      </w:pPr>
      <w:r>
        <w:rPr>
          <w:rFonts w:eastAsia="Times New Roman" w:cstheme="minorHAnsi"/>
        </w:rPr>
        <w:t>U.S. Department of Agriculture</w:t>
      </w:r>
    </w:p>
    <w:p w14:paraId="030B8CC2" w14:textId="77777777" w:rsidR="00093D3C" w:rsidRDefault="00093D3C" w:rsidP="00093D3C">
      <w:pPr>
        <w:spacing w:after="0" w:line="240" w:lineRule="auto"/>
        <w:rPr>
          <w:rFonts w:eastAsia="Times New Roman" w:cstheme="minorHAnsi"/>
        </w:rPr>
      </w:pPr>
      <w:r>
        <w:rPr>
          <w:rFonts w:eastAsia="Times New Roman" w:cstheme="minorHAnsi"/>
        </w:rPr>
        <w:t>Sidney R. Yates Federal Building</w:t>
      </w:r>
    </w:p>
    <w:p w14:paraId="6D23A133" w14:textId="77777777" w:rsidR="00093D3C" w:rsidRDefault="00093D3C" w:rsidP="00093D3C">
      <w:pPr>
        <w:spacing w:after="0" w:line="240" w:lineRule="auto"/>
        <w:rPr>
          <w:rFonts w:eastAsia="Times New Roman" w:cstheme="minorHAnsi"/>
        </w:rPr>
      </w:pPr>
      <w:r>
        <w:rPr>
          <w:rFonts w:eastAsia="Times New Roman" w:cstheme="minorHAnsi"/>
        </w:rPr>
        <w:t>201 14</w:t>
      </w:r>
      <w:r w:rsidRPr="008E7370">
        <w:rPr>
          <w:rFonts w:eastAsia="Times New Roman" w:cstheme="minorHAnsi"/>
          <w:vertAlign w:val="superscript"/>
        </w:rPr>
        <w:t>th</w:t>
      </w:r>
      <w:r>
        <w:rPr>
          <w:rFonts w:eastAsia="Times New Roman" w:cstheme="minorHAnsi"/>
        </w:rPr>
        <w:t xml:space="preserve"> Street, SW</w:t>
      </w:r>
    </w:p>
    <w:p w14:paraId="0AEC209D" w14:textId="77777777" w:rsidR="00093D3C" w:rsidRDefault="00093D3C" w:rsidP="00093D3C">
      <w:pPr>
        <w:spacing w:after="0" w:line="240" w:lineRule="auto"/>
        <w:rPr>
          <w:rFonts w:eastAsia="Times New Roman" w:cstheme="minorHAnsi"/>
        </w:rPr>
      </w:pPr>
      <w:r>
        <w:rPr>
          <w:rFonts w:eastAsia="Times New Roman" w:cstheme="minorHAnsi"/>
        </w:rPr>
        <w:t>Washington, DC 20024</w:t>
      </w:r>
    </w:p>
    <w:p w14:paraId="1FABCD7A" w14:textId="77777777" w:rsidR="00093D3C" w:rsidRDefault="00093D3C" w:rsidP="00093D3C">
      <w:pPr>
        <w:spacing w:after="0" w:line="240" w:lineRule="auto"/>
        <w:rPr>
          <w:rFonts w:eastAsia="Times New Roman" w:cstheme="minorHAnsi"/>
        </w:rPr>
      </w:pPr>
    </w:p>
    <w:p w14:paraId="1CF67BC4" w14:textId="77777777" w:rsidR="00093D3C" w:rsidRPr="008E7370" w:rsidRDefault="00093D3C" w:rsidP="00093D3C">
      <w:pPr>
        <w:spacing w:after="0" w:line="240" w:lineRule="auto"/>
        <w:rPr>
          <w:rFonts w:eastAsia="Times New Roman" w:cstheme="minorHAnsi"/>
        </w:rPr>
      </w:pPr>
    </w:p>
    <w:p w14:paraId="36F6DBC1" w14:textId="6C6E1049" w:rsidR="00093D3C" w:rsidRDefault="00093D3C" w:rsidP="00093D3C">
      <w:pPr>
        <w:rPr>
          <w:b/>
          <w:bCs/>
        </w:rPr>
      </w:pPr>
      <w:r>
        <w:rPr>
          <w:b/>
          <w:bCs/>
        </w:rPr>
        <w:t xml:space="preserve">Re: Comments Regarding </w:t>
      </w:r>
      <w:r>
        <w:rPr>
          <w:b/>
          <w:bCs/>
        </w:rPr>
        <w:t>Land Management Plan Direction for Old-Growth Forests Across the National Forest System #65356</w:t>
      </w:r>
    </w:p>
    <w:p w14:paraId="5073DBE5" w14:textId="77777777" w:rsidR="00093D3C" w:rsidRDefault="00093D3C" w:rsidP="00093D3C">
      <w:pPr>
        <w:rPr>
          <w:b/>
          <w:bCs/>
        </w:rPr>
      </w:pPr>
    </w:p>
    <w:p w14:paraId="6ABA9346" w14:textId="77777777" w:rsidR="00093D3C" w:rsidRPr="00093D3C" w:rsidRDefault="00093D3C" w:rsidP="00093D3C">
      <w:pPr>
        <w:spacing w:after="0" w:line="240" w:lineRule="auto"/>
        <w:rPr>
          <w:rFonts w:ascii="Times New Roman" w:eastAsia="Times New Roman" w:hAnsi="Times New Roman" w:cs="Times New Roman"/>
          <w:color w:val="000000"/>
          <w:kern w:val="0"/>
          <w14:ligatures w14:val="none"/>
        </w:rPr>
      </w:pPr>
      <w:r w:rsidRPr="00093D3C">
        <w:rPr>
          <w:rFonts w:ascii="Arial" w:eastAsia="Times New Roman" w:hAnsi="Arial" w:cs="Arial"/>
          <w:color w:val="000000"/>
          <w:kern w:val="0"/>
          <w:sz w:val="22"/>
          <w:szCs w:val="22"/>
          <w14:ligatures w14:val="none"/>
        </w:rPr>
        <w:t xml:space="preserve">Thank you for the opportunity to provide comments on the National Old Growth Amendment. Our comments address the ways that this rulemaking impacts management of the </w:t>
      </w:r>
      <w:proofErr w:type="spellStart"/>
      <w:r w:rsidRPr="00093D3C">
        <w:rPr>
          <w:rFonts w:ascii="Arial" w:eastAsia="Times New Roman" w:hAnsi="Arial" w:cs="Arial"/>
          <w:color w:val="000000"/>
          <w:kern w:val="0"/>
          <w:sz w:val="22"/>
          <w:szCs w:val="22"/>
          <w14:ligatures w14:val="none"/>
        </w:rPr>
        <w:t>Tongass</w:t>
      </w:r>
      <w:proofErr w:type="spellEnd"/>
      <w:r w:rsidRPr="00093D3C">
        <w:rPr>
          <w:rFonts w:ascii="Arial" w:eastAsia="Times New Roman" w:hAnsi="Arial" w:cs="Arial"/>
          <w:color w:val="000000"/>
          <w:kern w:val="0"/>
          <w:sz w:val="22"/>
          <w:szCs w:val="22"/>
          <w14:ligatures w14:val="none"/>
        </w:rPr>
        <w:t xml:space="preserve"> National Forest.</w:t>
      </w:r>
    </w:p>
    <w:p w14:paraId="12B0E336" w14:textId="77777777" w:rsidR="00093D3C" w:rsidRPr="00093D3C" w:rsidRDefault="00093D3C" w:rsidP="00093D3C">
      <w:pPr>
        <w:spacing w:after="0" w:line="240" w:lineRule="auto"/>
        <w:rPr>
          <w:rFonts w:ascii="Times New Roman" w:eastAsia="Times New Roman" w:hAnsi="Times New Roman" w:cs="Times New Roman"/>
          <w:color w:val="000000"/>
          <w:kern w:val="0"/>
          <w14:ligatures w14:val="none"/>
        </w:rPr>
      </w:pPr>
    </w:p>
    <w:p w14:paraId="27094EFC" w14:textId="30D5CDE2" w:rsidR="00093D3C" w:rsidRPr="00093D3C" w:rsidRDefault="00093D3C" w:rsidP="00093D3C">
      <w:pPr>
        <w:spacing w:line="240" w:lineRule="auto"/>
        <w:rPr>
          <w:rFonts w:ascii="Times New Roman" w:eastAsia="Times New Roman" w:hAnsi="Times New Roman" w:cs="Times New Roman"/>
          <w:color w:val="000000"/>
          <w:kern w:val="0"/>
          <w14:ligatures w14:val="none"/>
        </w:rPr>
      </w:pPr>
      <w:proofErr w:type="spellStart"/>
      <w:r w:rsidRPr="00093D3C">
        <w:rPr>
          <w:rFonts w:ascii="Arial" w:eastAsia="Times New Roman" w:hAnsi="Arial" w:cs="Arial"/>
          <w:color w:val="000000"/>
          <w:kern w:val="0"/>
          <w:sz w:val="22"/>
          <w:szCs w:val="22"/>
          <w14:ligatures w14:val="none"/>
        </w:rPr>
        <w:t>SalmonState</w:t>
      </w:r>
      <w:proofErr w:type="spellEnd"/>
      <w:r w:rsidRPr="00093D3C">
        <w:rPr>
          <w:rFonts w:ascii="Arial" w:eastAsia="Times New Roman" w:hAnsi="Arial" w:cs="Arial"/>
          <w:color w:val="000000"/>
          <w:kern w:val="0"/>
          <w:sz w:val="22"/>
          <w:szCs w:val="22"/>
          <w14:ligatures w14:val="none"/>
        </w:rPr>
        <w:t xml:space="preserve">, a seven-year-old initiative, works to protect habitat and promote policies that will guarantee Alaska remains the </w:t>
      </w:r>
      <w:proofErr w:type="spellStart"/>
      <w:r w:rsidRPr="00093D3C">
        <w:rPr>
          <w:rFonts w:ascii="Arial" w:eastAsia="Times New Roman" w:hAnsi="Arial" w:cs="Arial"/>
          <w:color w:val="000000"/>
          <w:kern w:val="0"/>
          <w:sz w:val="22"/>
          <w:szCs w:val="22"/>
          <w14:ligatures w14:val="none"/>
        </w:rPr>
        <w:t>SalmonState</w:t>
      </w:r>
      <w:proofErr w:type="spellEnd"/>
      <w:r w:rsidRPr="00093D3C">
        <w:rPr>
          <w:rFonts w:ascii="Arial" w:eastAsia="Times New Roman" w:hAnsi="Arial" w:cs="Arial"/>
          <w:color w:val="000000"/>
          <w:kern w:val="0"/>
          <w:sz w:val="22"/>
          <w:szCs w:val="22"/>
          <w14:ligatures w14:val="none"/>
        </w:rPr>
        <w:t xml:space="preserve">; the home of the world's largest, healthiest, and most abundant wild salmon resource, which provides culture, food, income, employment and recreation to Alaskans, </w:t>
      </w:r>
      <w:r w:rsidRPr="00093D3C">
        <w:rPr>
          <w:rFonts w:ascii="Arial" w:eastAsia="Times New Roman" w:hAnsi="Arial" w:cs="Arial"/>
          <w:color w:val="000000"/>
          <w:kern w:val="0"/>
          <w:sz w:val="22"/>
          <w:szCs w:val="22"/>
          <w14:ligatures w14:val="none"/>
        </w:rPr>
        <w:t>Americans,</w:t>
      </w:r>
      <w:r w:rsidRPr="00093D3C">
        <w:rPr>
          <w:rFonts w:ascii="Arial" w:eastAsia="Times New Roman" w:hAnsi="Arial" w:cs="Arial"/>
          <w:color w:val="000000"/>
          <w:kern w:val="0"/>
          <w:sz w:val="22"/>
          <w:szCs w:val="22"/>
          <w14:ligatures w14:val="none"/>
        </w:rPr>
        <w:t xml:space="preserve"> and the rest of the world. </w:t>
      </w:r>
    </w:p>
    <w:p w14:paraId="2B27CE26" w14:textId="77777777" w:rsidR="00093D3C" w:rsidRPr="00093D3C" w:rsidRDefault="00093D3C" w:rsidP="00093D3C">
      <w:pPr>
        <w:spacing w:after="0" w:line="240" w:lineRule="auto"/>
        <w:rPr>
          <w:rFonts w:ascii="Times New Roman" w:eastAsia="Times New Roman" w:hAnsi="Times New Roman" w:cs="Times New Roman"/>
          <w:color w:val="000000"/>
          <w:kern w:val="0"/>
          <w14:ligatures w14:val="none"/>
        </w:rPr>
      </w:pPr>
      <w:r w:rsidRPr="00093D3C">
        <w:rPr>
          <w:rFonts w:ascii="Arial" w:eastAsia="Times New Roman" w:hAnsi="Arial" w:cs="Arial"/>
          <w:b/>
          <w:bCs/>
          <w:color w:val="000000"/>
          <w:kern w:val="0"/>
          <w:sz w:val="22"/>
          <w:szCs w:val="22"/>
          <w14:ligatures w14:val="none"/>
        </w:rPr>
        <w:t>We support the Forest Service managing old growth with a climate change response framework.</w:t>
      </w:r>
    </w:p>
    <w:p w14:paraId="311C4EEA" w14:textId="77777777" w:rsidR="00093D3C" w:rsidRPr="00093D3C" w:rsidRDefault="00093D3C" w:rsidP="00093D3C">
      <w:pPr>
        <w:spacing w:after="0" w:line="240" w:lineRule="auto"/>
        <w:rPr>
          <w:rFonts w:ascii="Times New Roman" w:eastAsia="Times New Roman" w:hAnsi="Times New Roman" w:cs="Times New Roman"/>
          <w:color w:val="000000"/>
          <w:kern w:val="0"/>
          <w14:ligatures w14:val="none"/>
        </w:rPr>
      </w:pPr>
    </w:p>
    <w:p w14:paraId="260C28F2" w14:textId="77777777" w:rsidR="00093D3C" w:rsidRPr="00093D3C" w:rsidRDefault="00093D3C" w:rsidP="00093D3C">
      <w:pPr>
        <w:spacing w:after="0" w:line="240" w:lineRule="auto"/>
        <w:rPr>
          <w:rFonts w:ascii="Times New Roman" w:eastAsia="Times New Roman" w:hAnsi="Times New Roman" w:cs="Times New Roman"/>
          <w:color w:val="000000"/>
          <w:kern w:val="0"/>
          <w14:ligatures w14:val="none"/>
        </w:rPr>
      </w:pPr>
      <w:r w:rsidRPr="00093D3C">
        <w:rPr>
          <w:rFonts w:ascii="Arial" w:eastAsia="Times New Roman" w:hAnsi="Arial" w:cs="Arial"/>
          <w:color w:val="000000"/>
          <w:kern w:val="0"/>
          <w:sz w:val="22"/>
          <w:szCs w:val="22"/>
          <w14:ligatures w14:val="none"/>
        </w:rPr>
        <w:t>In Southeast Alaska, old growth forests play an important role in sequestering carbon and supporting the wild salmon and deer that support our way of life, as well as supporting commercial tourism and fisheries. </w:t>
      </w:r>
    </w:p>
    <w:p w14:paraId="3B8B9FC2" w14:textId="77777777" w:rsidR="00093D3C" w:rsidRPr="00093D3C" w:rsidRDefault="00093D3C" w:rsidP="00093D3C">
      <w:pPr>
        <w:spacing w:after="0" w:line="240" w:lineRule="auto"/>
        <w:rPr>
          <w:rFonts w:ascii="Times New Roman" w:eastAsia="Times New Roman" w:hAnsi="Times New Roman" w:cs="Times New Roman"/>
          <w:color w:val="000000"/>
          <w:kern w:val="0"/>
          <w14:ligatures w14:val="none"/>
        </w:rPr>
      </w:pPr>
    </w:p>
    <w:p w14:paraId="767CB921" w14:textId="0297BA36" w:rsidR="00093D3C" w:rsidRPr="00093D3C" w:rsidRDefault="00093D3C" w:rsidP="00093D3C">
      <w:pPr>
        <w:spacing w:after="0" w:line="240" w:lineRule="auto"/>
        <w:rPr>
          <w:rFonts w:ascii="Times New Roman" w:eastAsia="Times New Roman" w:hAnsi="Times New Roman" w:cs="Times New Roman"/>
          <w:color w:val="000000"/>
          <w:kern w:val="0"/>
          <w14:ligatures w14:val="none"/>
        </w:rPr>
      </w:pPr>
      <w:r w:rsidRPr="00093D3C">
        <w:rPr>
          <w:rFonts w:ascii="Arial" w:eastAsia="Times New Roman" w:hAnsi="Arial" w:cs="Arial"/>
          <w:color w:val="000000"/>
          <w:kern w:val="0"/>
          <w:sz w:val="22"/>
          <w:szCs w:val="22"/>
          <w14:ligatures w14:val="none"/>
        </w:rPr>
        <w:t xml:space="preserve">The Southeast Alaska Sustainability Strategy is a durable </w:t>
      </w:r>
      <w:r w:rsidR="00DA71BC" w:rsidRPr="00093D3C">
        <w:rPr>
          <w:rFonts w:ascii="Arial" w:eastAsia="Times New Roman" w:hAnsi="Arial" w:cs="Arial"/>
          <w:color w:val="000000"/>
          <w:kern w:val="0"/>
          <w:sz w:val="22"/>
          <w:szCs w:val="22"/>
          <w14:ligatures w14:val="none"/>
        </w:rPr>
        <w:t>path</w:t>
      </w:r>
      <w:r w:rsidRPr="00093D3C">
        <w:rPr>
          <w:rFonts w:ascii="Arial" w:eastAsia="Times New Roman" w:hAnsi="Arial" w:cs="Arial"/>
          <w:color w:val="000000"/>
          <w:kern w:val="0"/>
          <w:sz w:val="22"/>
          <w:szCs w:val="22"/>
          <w14:ligatures w14:val="none"/>
        </w:rPr>
        <w:t xml:space="preserve"> forward for the agency. With this strategy the Forest Service has recognized that the days of large-scale clear cutting on the </w:t>
      </w:r>
      <w:proofErr w:type="spellStart"/>
      <w:r w:rsidRPr="00093D3C">
        <w:rPr>
          <w:rFonts w:ascii="Arial" w:eastAsia="Times New Roman" w:hAnsi="Arial" w:cs="Arial"/>
          <w:color w:val="000000"/>
          <w:kern w:val="0"/>
          <w:sz w:val="22"/>
          <w:szCs w:val="22"/>
          <w14:ligatures w14:val="none"/>
        </w:rPr>
        <w:t>Tongass</w:t>
      </w:r>
      <w:proofErr w:type="spellEnd"/>
      <w:r w:rsidRPr="00093D3C">
        <w:rPr>
          <w:rFonts w:ascii="Arial" w:eastAsia="Times New Roman" w:hAnsi="Arial" w:cs="Arial"/>
          <w:color w:val="000000"/>
          <w:kern w:val="0"/>
          <w:sz w:val="22"/>
          <w:szCs w:val="22"/>
          <w14:ligatures w14:val="none"/>
        </w:rPr>
        <w:t xml:space="preserve"> are over. The agency needs to successfully pivot to managing tourism, recreation,</w:t>
      </w:r>
      <w:r w:rsidR="00DA71BC">
        <w:rPr>
          <w:rFonts w:ascii="Arial" w:eastAsia="Times New Roman" w:hAnsi="Arial" w:cs="Arial"/>
          <w:color w:val="000000"/>
          <w:kern w:val="0"/>
          <w:sz w:val="22"/>
          <w:szCs w:val="22"/>
          <w14:ligatures w14:val="none"/>
        </w:rPr>
        <w:t xml:space="preserve"> </w:t>
      </w:r>
      <w:proofErr w:type="gramStart"/>
      <w:r w:rsidRPr="00093D3C">
        <w:rPr>
          <w:rFonts w:ascii="Arial" w:eastAsia="Times New Roman" w:hAnsi="Arial" w:cs="Arial"/>
          <w:color w:val="000000"/>
          <w:kern w:val="0"/>
          <w:sz w:val="22"/>
          <w:szCs w:val="22"/>
          <w14:ligatures w14:val="none"/>
        </w:rPr>
        <w:t>restoration</w:t>
      </w:r>
      <w:proofErr w:type="gramEnd"/>
      <w:r w:rsidR="00DA71BC">
        <w:rPr>
          <w:rFonts w:ascii="Arial" w:eastAsia="Times New Roman" w:hAnsi="Arial" w:cs="Arial"/>
          <w:color w:val="000000"/>
          <w:kern w:val="0"/>
          <w:sz w:val="22"/>
          <w:szCs w:val="22"/>
          <w14:ligatures w14:val="none"/>
        </w:rPr>
        <w:t xml:space="preserve"> and climate resilience</w:t>
      </w:r>
      <w:r w:rsidRPr="00093D3C">
        <w:rPr>
          <w:rFonts w:ascii="Arial" w:eastAsia="Times New Roman" w:hAnsi="Arial" w:cs="Arial"/>
          <w:color w:val="000000"/>
          <w:kern w:val="0"/>
          <w:sz w:val="22"/>
          <w:szCs w:val="22"/>
          <w14:ligatures w14:val="none"/>
        </w:rPr>
        <w:t xml:space="preserve">. Ending large-scale old-growth harvests and reinstating the Roadless Rule for the </w:t>
      </w:r>
      <w:proofErr w:type="spellStart"/>
      <w:r w:rsidRPr="00093D3C">
        <w:rPr>
          <w:rFonts w:ascii="Arial" w:eastAsia="Times New Roman" w:hAnsi="Arial" w:cs="Arial"/>
          <w:color w:val="000000"/>
          <w:kern w:val="0"/>
          <w:sz w:val="22"/>
          <w:szCs w:val="22"/>
          <w14:ligatures w14:val="none"/>
        </w:rPr>
        <w:t>Tongass</w:t>
      </w:r>
      <w:proofErr w:type="spellEnd"/>
      <w:r w:rsidRPr="00093D3C">
        <w:rPr>
          <w:rFonts w:ascii="Arial" w:eastAsia="Times New Roman" w:hAnsi="Arial" w:cs="Arial"/>
          <w:color w:val="000000"/>
          <w:kern w:val="0"/>
          <w:sz w:val="22"/>
          <w:szCs w:val="22"/>
          <w14:ligatures w14:val="none"/>
        </w:rPr>
        <w:t xml:space="preserve"> have been important steps to protect our remaining old-growth habitats, including habitat for important wild foods, retain the carbon sequestration capabilities </w:t>
      </w:r>
      <w:r w:rsidRPr="00093D3C">
        <w:rPr>
          <w:rFonts w:ascii="Arial" w:eastAsia="Times New Roman" w:hAnsi="Arial" w:cs="Arial"/>
          <w:color w:val="000000"/>
          <w:kern w:val="0"/>
          <w:sz w:val="22"/>
          <w:szCs w:val="22"/>
          <w14:ligatures w14:val="none"/>
        </w:rPr>
        <w:lastRenderedPageBreak/>
        <w:t>of the Forest, and support sustainable economic development as habitat for salmon caught in commercial fisheries and for the region’s tourism sector. </w:t>
      </w:r>
    </w:p>
    <w:p w14:paraId="29D71728" w14:textId="77777777" w:rsidR="00093D3C" w:rsidRPr="00093D3C" w:rsidRDefault="00093D3C" w:rsidP="00093D3C">
      <w:pPr>
        <w:spacing w:after="0" w:line="240" w:lineRule="auto"/>
        <w:rPr>
          <w:rFonts w:ascii="Times New Roman" w:eastAsia="Times New Roman" w:hAnsi="Times New Roman" w:cs="Times New Roman"/>
          <w:color w:val="000000"/>
          <w:kern w:val="0"/>
          <w14:ligatures w14:val="none"/>
        </w:rPr>
      </w:pPr>
    </w:p>
    <w:p w14:paraId="3BA03039" w14:textId="2AA8C3E8" w:rsidR="00093D3C" w:rsidRPr="00093D3C" w:rsidRDefault="00093D3C" w:rsidP="00093D3C">
      <w:pPr>
        <w:spacing w:after="0" w:line="240" w:lineRule="auto"/>
        <w:rPr>
          <w:rFonts w:ascii="Times New Roman" w:eastAsia="Times New Roman" w:hAnsi="Times New Roman" w:cs="Times New Roman"/>
          <w:color w:val="000000"/>
          <w:kern w:val="0"/>
          <w14:ligatures w14:val="none"/>
        </w:rPr>
      </w:pPr>
      <w:r w:rsidRPr="00093D3C">
        <w:rPr>
          <w:rFonts w:ascii="Arial" w:eastAsia="Times New Roman" w:hAnsi="Arial" w:cs="Arial"/>
          <w:color w:val="1A1A1A"/>
          <w:kern w:val="0"/>
          <w:sz w:val="22"/>
          <w:szCs w:val="22"/>
          <w:shd w:val="clear" w:color="auto" w:fill="FFFFFF"/>
          <w14:ligatures w14:val="none"/>
        </w:rPr>
        <w:t xml:space="preserve">The </w:t>
      </w:r>
      <w:proofErr w:type="spellStart"/>
      <w:r w:rsidRPr="00093D3C">
        <w:rPr>
          <w:rFonts w:ascii="Arial" w:eastAsia="Times New Roman" w:hAnsi="Arial" w:cs="Arial"/>
          <w:color w:val="1A1A1A"/>
          <w:kern w:val="0"/>
          <w:sz w:val="22"/>
          <w:szCs w:val="22"/>
          <w:shd w:val="clear" w:color="auto" w:fill="FFFFFF"/>
          <w14:ligatures w14:val="none"/>
        </w:rPr>
        <w:t>Tongass</w:t>
      </w:r>
      <w:proofErr w:type="spellEnd"/>
      <w:r w:rsidRPr="00093D3C">
        <w:rPr>
          <w:rFonts w:ascii="Arial" w:eastAsia="Times New Roman" w:hAnsi="Arial" w:cs="Arial"/>
          <w:color w:val="1A1A1A"/>
          <w:kern w:val="0"/>
          <w:sz w:val="22"/>
          <w:szCs w:val="22"/>
          <w:shd w:val="clear" w:color="auto" w:fill="FFFFFF"/>
          <w14:ligatures w14:val="none"/>
        </w:rPr>
        <w:t xml:space="preserve"> presents outstanding opportunities for carbon storage and sequestration as </w:t>
      </w:r>
      <w:r w:rsidRPr="00093D3C">
        <w:rPr>
          <w:rFonts w:ascii="Arial" w:eastAsia="Times New Roman" w:hAnsi="Arial" w:cs="Arial"/>
          <w:color w:val="000000"/>
          <w:kern w:val="0"/>
          <w:sz w:val="22"/>
          <w:szCs w:val="22"/>
          <w14:ligatures w14:val="none"/>
        </w:rPr>
        <w:t xml:space="preserve">wildfire is not currently an issue in the </w:t>
      </w:r>
      <w:proofErr w:type="spellStart"/>
      <w:r w:rsidRPr="00093D3C">
        <w:rPr>
          <w:rFonts w:ascii="Arial" w:eastAsia="Times New Roman" w:hAnsi="Arial" w:cs="Arial"/>
          <w:color w:val="000000"/>
          <w:kern w:val="0"/>
          <w:sz w:val="22"/>
          <w:szCs w:val="22"/>
          <w14:ligatures w14:val="none"/>
        </w:rPr>
        <w:t>Tongass</w:t>
      </w:r>
      <w:proofErr w:type="spellEnd"/>
      <w:r w:rsidRPr="00093D3C">
        <w:rPr>
          <w:rFonts w:ascii="Arial" w:eastAsia="Times New Roman" w:hAnsi="Arial" w:cs="Arial"/>
          <w:color w:val="000000"/>
          <w:kern w:val="0"/>
          <w:sz w:val="22"/>
          <w:szCs w:val="22"/>
          <w14:ligatures w14:val="none"/>
        </w:rPr>
        <w:t xml:space="preserve">. </w:t>
      </w:r>
      <w:r w:rsidRPr="00093D3C">
        <w:rPr>
          <w:rFonts w:ascii="Arial" w:eastAsia="Times New Roman" w:hAnsi="Arial" w:cs="Arial"/>
          <w:color w:val="222222"/>
          <w:kern w:val="0"/>
          <w:sz w:val="22"/>
          <w:szCs w:val="22"/>
          <w:shd w:val="clear" w:color="auto" w:fill="FFFFFF"/>
          <w14:ligatures w14:val="none"/>
        </w:rPr>
        <w:t xml:space="preserve">Federal lands with an active timber harvest program in Alaska (i.e., the </w:t>
      </w:r>
      <w:proofErr w:type="spellStart"/>
      <w:r w:rsidRPr="00093D3C">
        <w:rPr>
          <w:rFonts w:ascii="Arial" w:eastAsia="Times New Roman" w:hAnsi="Arial" w:cs="Arial"/>
          <w:color w:val="222222"/>
          <w:kern w:val="0"/>
          <w:sz w:val="22"/>
          <w:szCs w:val="22"/>
          <w:shd w:val="clear" w:color="auto" w:fill="FFFFFF"/>
          <w14:ligatures w14:val="none"/>
        </w:rPr>
        <w:t>Tongass</w:t>
      </w:r>
      <w:proofErr w:type="spellEnd"/>
      <w:r w:rsidRPr="00093D3C">
        <w:rPr>
          <w:rFonts w:ascii="Arial" w:eastAsia="Times New Roman" w:hAnsi="Arial" w:cs="Arial"/>
          <w:color w:val="222222"/>
          <w:kern w:val="0"/>
          <w:sz w:val="22"/>
          <w:szCs w:val="22"/>
          <w:shd w:val="clear" w:color="auto" w:fill="FFFFFF"/>
          <w14:ligatures w14:val="none"/>
        </w:rPr>
        <w:t xml:space="preserve"> National Forest) have the highest carbon densities (360 MgCO</w:t>
      </w:r>
      <w:r w:rsidRPr="00093D3C">
        <w:rPr>
          <w:rFonts w:ascii="Arial" w:eastAsia="Times New Roman" w:hAnsi="Arial" w:cs="Arial"/>
          <w:color w:val="222222"/>
          <w:kern w:val="0"/>
          <w:sz w:val="22"/>
          <w:szCs w:val="22"/>
          <w14:ligatures w14:val="none"/>
        </w:rPr>
        <w:t>2</w:t>
      </w:r>
      <w:r w:rsidRPr="00093D3C">
        <w:rPr>
          <w:rFonts w:ascii="Arial" w:eastAsia="Times New Roman" w:hAnsi="Arial" w:cs="Arial"/>
          <w:color w:val="222222"/>
          <w:kern w:val="0"/>
          <w:sz w:val="22"/>
          <w:szCs w:val="22"/>
          <w:shd w:val="clear" w:color="auto" w:fill="FFFFFF"/>
          <w14:ligatures w14:val="none"/>
        </w:rPr>
        <w:t>e ha</w:t>
      </w:r>
      <w:r w:rsidRPr="00093D3C">
        <w:rPr>
          <w:rFonts w:ascii="Arial" w:eastAsia="Times New Roman" w:hAnsi="Arial" w:cs="Arial"/>
          <w:color w:val="222222"/>
          <w:kern w:val="0"/>
          <w:sz w:val="22"/>
          <w:szCs w:val="22"/>
          <w14:ligatures w14:val="none"/>
        </w:rPr>
        <w:t>–1</w:t>
      </w:r>
      <w:r w:rsidRPr="00093D3C">
        <w:rPr>
          <w:rFonts w:ascii="Arial" w:eastAsia="Times New Roman" w:hAnsi="Arial" w:cs="Arial"/>
          <w:color w:val="222222"/>
          <w:kern w:val="0"/>
          <w:sz w:val="22"/>
          <w:szCs w:val="22"/>
          <w:shd w:val="clear" w:color="auto" w:fill="FFFFFF"/>
          <w14:ligatures w14:val="none"/>
        </w:rPr>
        <w:t xml:space="preserve">, inclusive of harvested areas) in the state with the most abundant remaining old-growth forest with associated ecosystem co-benefits (Shanley et al. 2024, Albert &amp; Schoen, 2013, Law, B. E. et al. 2023). </w:t>
      </w:r>
      <w:r w:rsidRPr="00093D3C">
        <w:rPr>
          <w:rFonts w:ascii="Arial" w:eastAsia="Times New Roman" w:hAnsi="Arial" w:cs="Arial"/>
          <w:color w:val="000000"/>
          <w:kern w:val="0"/>
          <w:sz w:val="22"/>
          <w:szCs w:val="22"/>
          <w14:ligatures w14:val="none"/>
        </w:rPr>
        <w:t xml:space="preserve">While our second growth forests </w:t>
      </w:r>
      <w:r w:rsidR="00DA71BC">
        <w:rPr>
          <w:rFonts w:ascii="Arial" w:eastAsia="Times New Roman" w:hAnsi="Arial" w:cs="Arial"/>
          <w:color w:val="000000"/>
          <w:kern w:val="0"/>
          <w:sz w:val="22"/>
          <w:szCs w:val="22"/>
          <w14:ligatures w14:val="none"/>
        </w:rPr>
        <w:t>can benefit from</w:t>
      </w:r>
      <w:r w:rsidRPr="00093D3C">
        <w:rPr>
          <w:rFonts w:ascii="Arial" w:eastAsia="Times New Roman" w:hAnsi="Arial" w:cs="Arial"/>
          <w:color w:val="000000"/>
          <w:kern w:val="0"/>
          <w:sz w:val="22"/>
          <w:szCs w:val="22"/>
          <w14:ligatures w14:val="none"/>
        </w:rPr>
        <w:t xml:space="preserve"> restoration, the Forest Service should allow natural function in old-growth forests to support climate resilience.</w:t>
      </w:r>
      <w:r w:rsidRPr="00093D3C">
        <w:rPr>
          <w:rFonts w:ascii="Arial" w:eastAsia="Times New Roman" w:hAnsi="Arial" w:cs="Arial"/>
          <w:color w:val="1A1A1A"/>
          <w:kern w:val="0"/>
          <w:sz w:val="22"/>
          <w:szCs w:val="22"/>
          <w:shd w:val="clear" w:color="auto" w:fill="FFFFFF"/>
          <w14:ligatures w14:val="none"/>
        </w:rPr>
        <w:t xml:space="preserve"> </w:t>
      </w:r>
      <w:r w:rsidRPr="00093D3C">
        <w:rPr>
          <w:rFonts w:ascii="Arial" w:eastAsia="Times New Roman" w:hAnsi="Arial" w:cs="Arial"/>
          <w:color w:val="222222"/>
          <w:kern w:val="0"/>
          <w:sz w:val="22"/>
          <w:szCs w:val="22"/>
          <w:shd w:val="clear" w:color="auto" w:fill="FFFFFF"/>
          <w14:ligatures w14:val="none"/>
        </w:rPr>
        <w:t>Natural carbon solutions are critical for mitigating climate change in the near term, and although they are not a substitute for decarbonizing the economy, they offer a meaningful opportunity to achieve carbon emission reductions now (</w:t>
      </w:r>
      <w:proofErr w:type="spellStart"/>
      <w:r w:rsidRPr="00093D3C">
        <w:rPr>
          <w:rFonts w:ascii="Arial" w:eastAsia="Times New Roman" w:hAnsi="Arial" w:cs="Arial"/>
          <w:color w:val="222222"/>
          <w:kern w:val="0"/>
          <w:sz w:val="22"/>
          <w:szCs w:val="22"/>
          <w:shd w:val="clear" w:color="auto" w:fill="FFFFFF"/>
          <w14:ligatures w14:val="none"/>
        </w:rPr>
        <w:t>Shalney</w:t>
      </w:r>
      <w:proofErr w:type="spellEnd"/>
      <w:r w:rsidRPr="00093D3C">
        <w:rPr>
          <w:rFonts w:ascii="Arial" w:eastAsia="Times New Roman" w:hAnsi="Arial" w:cs="Arial"/>
          <w:color w:val="222222"/>
          <w:kern w:val="0"/>
          <w:sz w:val="22"/>
          <w:szCs w:val="22"/>
          <w:shd w:val="clear" w:color="auto" w:fill="FFFFFF"/>
          <w14:ligatures w14:val="none"/>
        </w:rPr>
        <w:t xml:space="preserve"> et al. 2024).</w:t>
      </w:r>
      <w:r w:rsidRPr="00093D3C">
        <w:rPr>
          <w:rFonts w:ascii="Arial" w:eastAsia="Times New Roman" w:hAnsi="Arial" w:cs="Arial"/>
          <w:color w:val="000000"/>
          <w:kern w:val="0"/>
          <w:sz w:val="22"/>
          <w:szCs w:val="22"/>
          <w14:ligatures w14:val="none"/>
        </w:rPr>
        <w:t> </w:t>
      </w:r>
    </w:p>
    <w:p w14:paraId="0B66DA9E" w14:textId="4CF868BA" w:rsidR="00093D3C" w:rsidRPr="00093D3C" w:rsidRDefault="00093D3C" w:rsidP="00093D3C">
      <w:pPr>
        <w:spacing w:before="240" w:after="240" w:line="240" w:lineRule="auto"/>
        <w:rPr>
          <w:rFonts w:ascii="Times New Roman" w:eastAsia="Times New Roman" w:hAnsi="Times New Roman" w:cs="Times New Roman"/>
          <w:color w:val="000000"/>
          <w:kern w:val="0"/>
          <w14:ligatures w14:val="none"/>
        </w:rPr>
      </w:pPr>
      <w:r w:rsidRPr="00093D3C">
        <w:rPr>
          <w:rFonts w:ascii="Arial" w:eastAsia="Times New Roman" w:hAnsi="Arial" w:cs="Arial"/>
          <w:b/>
          <w:bCs/>
          <w:color w:val="000000"/>
          <w:kern w:val="0"/>
          <w:sz w:val="22"/>
          <w:szCs w:val="22"/>
          <w14:ligatures w14:val="none"/>
        </w:rPr>
        <w:t xml:space="preserve">Cutting </w:t>
      </w:r>
      <w:r w:rsidRPr="00093D3C">
        <w:rPr>
          <w:rFonts w:ascii="Arial" w:eastAsia="Times New Roman" w:hAnsi="Arial" w:cs="Arial"/>
          <w:b/>
          <w:bCs/>
          <w:color w:val="000000"/>
          <w:kern w:val="0"/>
          <w:sz w:val="22"/>
          <w:szCs w:val="22"/>
          <w14:ligatures w14:val="none"/>
        </w:rPr>
        <w:t>old growth</w:t>
      </w:r>
      <w:r w:rsidRPr="00093D3C">
        <w:rPr>
          <w:rFonts w:ascii="Arial" w:eastAsia="Times New Roman" w:hAnsi="Arial" w:cs="Arial"/>
          <w:b/>
          <w:bCs/>
          <w:color w:val="000000"/>
          <w:kern w:val="0"/>
          <w:sz w:val="22"/>
          <w:szCs w:val="22"/>
          <w14:ligatures w14:val="none"/>
        </w:rPr>
        <w:t xml:space="preserve"> in Southeast Alaska does not have a proactive stewardship purpose. </w:t>
      </w:r>
    </w:p>
    <w:p w14:paraId="03DDA60F" w14:textId="677C1C08" w:rsidR="00093D3C" w:rsidRPr="00093D3C" w:rsidRDefault="00093D3C" w:rsidP="00093D3C">
      <w:pPr>
        <w:spacing w:after="0" w:line="240" w:lineRule="auto"/>
        <w:rPr>
          <w:rFonts w:ascii="Times New Roman" w:eastAsia="Times New Roman" w:hAnsi="Times New Roman" w:cs="Times New Roman"/>
          <w:color w:val="000000"/>
          <w:kern w:val="0"/>
          <w14:ligatures w14:val="none"/>
        </w:rPr>
      </w:pPr>
      <w:r w:rsidRPr="00093D3C">
        <w:rPr>
          <w:rFonts w:ascii="Arial" w:eastAsia="Times New Roman" w:hAnsi="Arial" w:cs="Arial"/>
          <w:color w:val="000000"/>
          <w:kern w:val="0"/>
          <w:sz w:val="22"/>
          <w:szCs w:val="22"/>
          <w14:ligatures w14:val="none"/>
        </w:rPr>
        <w:t xml:space="preserve">We recognize that local mills can harvest small volumes of old growth for local, </w:t>
      </w:r>
      <w:r w:rsidRPr="00093D3C">
        <w:rPr>
          <w:rFonts w:ascii="Arial" w:eastAsia="Times New Roman" w:hAnsi="Arial" w:cs="Arial"/>
          <w:color w:val="000000"/>
          <w:kern w:val="0"/>
          <w:sz w:val="22"/>
          <w:szCs w:val="22"/>
          <w14:ligatures w14:val="none"/>
        </w:rPr>
        <w:t>value-added</w:t>
      </w:r>
      <w:r w:rsidRPr="00093D3C">
        <w:rPr>
          <w:rFonts w:ascii="Arial" w:eastAsia="Times New Roman" w:hAnsi="Arial" w:cs="Arial"/>
          <w:color w:val="000000"/>
          <w:kern w:val="0"/>
          <w:sz w:val="22"/>
          <w:szCs w:val="22"/>
          <w14:ligatures w14:val="none"/>
        </w:rPr>
        <w:t xml:space="preserve"> purposes. However, removing old-growth forest will not move the landscape towards a condition where old-growth forests are “resilient and adaptable to stressors and likely future environments</w:t>
      </w:r>
      <w:r w:rsidRPr="00093D3C">
        <w:rPr>
          <w:rFonts w:ascii="Arial" w:eastAsia="Times New Roman" w:hAnsi="Arial" w:cs="Arial"/>
          <w:b/>
          <w:bCs/>
          <w:color w:val="000000"/>
          <w:kern w:val="0"/>
          <w:sz w:val="22"/>
          <w:szCs w:val="22"/>
          <w14:ligatures w14:val="none"/>
        </w:rPr>
        <w:t xml:space="preserve">.” </w:t>
      </w:r>
      <w:r w:rsidRPr="00093D3C">
        <w:rPr>
          <w:rFonts w:ascii="Arial" w:eastAsia="Times New Roman" w:hAnsi="Arial" w:cs="Arial"/>
          <w:color w:val="000000"/>
          <w:kern w:val="0"/>
          <w:sz w:val="22"/>
          <w:szCs w:val="22"/>
          <w14:ligatures w14:val="none"/>
        </w:rPr>
        <w:t>There are conditions where it is acceptable to harvest some old growth trees with minimal ecological impact and allow for cultural and economic uses. </w:t>
      </w:r>
    </w:p>
    <w:p w14:paraId="69384BF0" w14:textId="77777777" w:rsidR="00093D3C" w:rsidRPr="00093D3C" w:rsidRDefault="00093D3C" w:rsidP="00093D3C">
      <w:pPr>
        <w:numPr>
          <w:ilvl w:val="0"/>
          <w:numId w:val="1"/>
        </w:numPr>
        <w:spacing w:after="0" w:line="240" w:lineRule="auto"/>
        <w:textAlignment w:val="baseline"/>
        <w:rPr>
          <w:rFonts w:ascii="Arial" w:eastAsia="Times New Roman" w:hAnsi="Arial" w:cs="Arial"/>
          <w:color w:val="000000"/>
          <w:kern w:val="0"/>
          <w:sz w:val="22"/>
          <w:szCs w:val="22"/>
          <w14:ligatures w14:val="none"/>
        </w:rPr>
      </w:pPr>
      <w:r w:rsidRPr="00093D3C">
        <w:rPr>
          <w:rFonts w:ascii="Arial" w:eastAsia="Times New Roman" w:hAnsi="Arial" w:cs="Arial"/>
          <w:color w:val="000000"/>
          <w:kern w:val="0"/>
          <w:sz w:val="22"/>
          <w:szCs w:val="22"/>
          <w14:ligatures w14:val="none"/>
        </w:rPr>
        <w:t xml:space="preserve">For cultural uses as defined by tribes. </w:t>
      </w:r>
      <w:proofErr w:type="spellStart"/>
      <w:r w:rsidRPr="00093D3C">
        <w:rPr>
          <w:rFonts w:ascii="Arial" w:eastAsia="Times New Roman" w:hAnsi="Arial" w:cs="Arial"/>
          <w:color w:val="000000"/>
          <w:kern w:val="0"/>
          <w:sz w:val="22"/>
          <w:szCs w:val="22"/>
          <w14:ligatures w14:val="none"/>
        </w:rPr>
        <w:t>SalmonState</w:t>
      </w:r>
      <w:proofErr w:type="spellEnd"/>
      <w:r w:rsidRPr="00093D3C">
        <w:rPr>
          <w:rFonts w:ascii="Arial" w:eastAsia="Times New Roman" w:hAnsi="Arial" w:cs="Arial"/>
          <w:color w:val="000000"/>
          <w:kern w:val="0"/>
          <w:sz w:val="22"/>
          <w:szCs w:val="22"/>
          <w14:ligatures w14:val="none"/>
        </w:rPr>
        <w:t xml:space="preserve"> recognizes the important role of harvesting trees for indigenous cultural purposes. This has been a use of the land for thousands of years and should continue.  </w:t>
      </w:r>
    </w:p>
    <w:p w14:paraId="2FC622C3" w14:textId="53F8A110" w:rsidR="00093D3C" w:rsidRPr="00093D3C" w:rsidRDefault="00093D3C" w:rsidP="00093D3C">
      <w:pPr>
        <w:numPr>
          <w:ilvl w:val="0"/>
          <w:numId w:val="1"/>
        </w:numPr>
        <w:spacing w:after="0" w:line="240" w:lineRule="auto"/>
        <w:textAlignment w:val="baseline"/>
        <w:rPr>
          <w:rFonts w:ascii="Arial" w:eastAsia="Times New Roman" w:hAnsi="Arial" w:cs="Arial"/>
          <w:color w:val="000000"/>
          <w:kern w:val="0"/>
          <w:sz w:val="22"/>
          <w:szCs w:val="22"/>
          <w14:ligatures w14:val="none"/>
        </w:rPr>
      </w:pPr>
      <w:r w:rsidRPr="00093D3C">
        <w:rPr>
          <w:rFonts w:ascii="Arial" w:eastAsia="Times New Roman" w:hAnsi="Arial" w:cs="Arial"/>
          <w:color w:val="000000"/>
          <w:kern w:val="0"/>
          <w:sz w:val="22"/>
          <w:szCs w:val="22"/>
          <w14:ligatures w14:val="none"/>
        </w:rPr>
        <w:t xml:space="preserve">Allowing small local sales of commercial old growth for local markets at very small scales may be an appropriate balance to strike between social, economic, and ecological objectives, but it is not advancing ecological objectives. </w:t>
      </w:r>
    </w:p>
    <w:p w14:paraId="5F304DE2" w14:textId="77777777" w:rsidR="00093D3C" w:rsidRPr="00093D3C" w:rsidRDefault="00093D3C" w:rsidP="00093D3C">
      <w:pPr>
        <w:numPr>
          <w:ilvl w:val="0"/>
          <w:numId w:val="1"/>
        </w:numPr>
        <w:spacing w:after="0" w:line="240" w:lineRule="auto"/>
        <w:textAlignment w:val="baseline"/>
        <w:rPr>
          <w:rFonts w:ascii="Arial" w:eastAsia="Times New Roman" w:hAnsi="Arial" w:cs="Arial"/>
          <w:color w:val="000000"/>
          <w:kern w:val="0"/>
          <w:sz w:val="22"/>
          <w:szCs w:val="22"/>
          <w14:ligatures w14:val="none"/>
        </w:rPr>
      </w:pPr>
      <w:r w:rsidRPr="00093D3C">
        <w:rPr>
          <w:rFonts w:ascii="Arial" w:eastAsia="Times New Roman" w:hAnsi="Arial" w:cs="Arial"/>
          <w:color w:val="000000"/>
          <w:kern w:val="0"/>
          <w:sz w:val="22"/>
          <w:szCs w:val="22"/>
          <w14:ligatures w14:val="none"/>
        </w:rPr>
        <w:t>Future silvicultural prescriptions should be more tailored to reducing habitat degradation. </w:t>
      </w:r>
    </w:p>
    <w:p w14:paraId="5B28B609" w14:textId="07BA55F6" w:rsidR="00093D3C" w:rsidRPr="00093D3C" w:rsidRDefault="00093D3C" w:rsidP="00093D3C">
      <w:pPr>
        <w:numPr>
          <w:ilvl w:val="0"/>
          <w:numId w:val="1"/>
        </w:numPr>
        <w:spacing w:after="0" w:line="240" w:lineRule="auto"/>
        <w:textAlignment w:val="baseline"/>
        <w:rPr>
          <w:rFonts w:ascii="Arial" w:eastAsia="Times New Roman" w:hAnsi="Arial" w:cs="Arial"/>
          <w:color w:val="000000"/>
          <w:kern w:val="0"/>
          <w:sz w:val="22"/>
          <w:szCs w:val="22"/>
          <w14:ligatures w14:val="none"/>
        </w:rPr>
      </w:pPr>
      <w:r w:rsidRPr="00093D3C">
        <w:rPr>
          <w:rFonts w:ascii="Arial" w:eastAsia="Times New Roman" w:hAnsi="Arial" w:cs="Arial"/>
          <w:color w:val="000000"/>
          <w:kern w:val="0"/>
          <w:sz w:val="22"/>
          <w:szCs w:val="22"/>
          <w14:ligatures w14:val="none"/>
        </w:rPr>
        <w:t xml:space="preserve">Past forest management in Southeast Alaska has significantly reduced old growth habitat in specific contiguous island habitats. The DEIS states that continued commercial and cultural harvest </w:t>
      </w:r>
      <w:r w:rsidRPr="00093D3C">
        <w:rPr>
          <w:rFonts w:ascii="Arial" w:eastAsia="Times New Roman" w:hAnsi="Arial" w:cs="Arial"/>
          <w:i/>
          <w:iCs/>
          <w:color w:val="000000"/>
          <w:kern w:val="0"/>
          <w:sz w:val="22"/>
          <w:szCs w:val="22"/>
          <w14:ligatures w14:val="none"/>
        </w:rPr>
        <w:t>"</w:t>
      </w:r>
      <w:r w:rsidRPr="00093D3C">
        <w:rPr>
          <w:rFonts w:ascii="Arial" w:eastAsia="Times New Roman" w:hAnsi="Arial" w:cs="Arial"/>
          <w:color w:val="000000"/>
          <w:kern w:val="0"/>
          <w:sz w:val="22"/>
          <w:szCs w:val="22"/>
          <w14:ligatures w14:val="none"/>
        </w:rPr>
        <w:t xml:space="preserve">...has been expected to be a very small portion of the </w:t>
      </w:r>
      <w:r w:rsidRPr="00093D3C">
        <w:rPr>
          <w:rFonts w:ascii="Arial" w:eastAsia="Times New Roman" w:hAnsi="Arial" w:cs="Arial"/>
          <w:color w:val="000000"/>
          <w:kern w:val="0"/>
          <w:sz w:val="22"/>
          <w:szCs w:val="22"/>
          <w14:ligatures w14:val="none"/>
        </w:rPr>
        <w:t>old growth</w:t>
      </w:r>
      <w:r w:rsidRPr="00093D3C">
        <w:rPr>
          <w:rFonts w:ascii="Arial" w:eastAsia="Times New Roman" w:hAnsi="Arial" w:cs="Arial"/>
          <w:color w:val="000000"/>
          <w:kern w:val="0"/>
          <w:sz w:val="22"/>
          <w:szCs w:val="22"/>
          <w14:ligatures w14:val="none"/>
        </w:rPr>
        <w:t xml:space="preserve"> in the </w:t>
      </w:r>
      <w:proofErr w:type="spellStart"/>
      <w:r w:rsidRPr="00093D3C">
        <w:rPr>
          <w:rFonts w:ascii="Arial" w:eastAsia="Times New Roman" w:hAnsi="Arial" w:cs="Arial"/>
          <w:color w:val="000000"/>
          <w:kern w:val="0"/>
          <w:sz w:val="22"/>
          <w:szCs w:val="22"/>
          <w14:ligatures w14:val="none"/>
        </w:rPr>
        <w:t>Tongass</w:t>
      </w:r>
      <w:proofErr w:type="spellEnd"/>
      <w:r w:rsidRPr="00093D3C">
        <w:rPr>
          <w:rFonts w:ascii="Arial" w:eastAsia="Times New Roman" w:hAnsi="Arial" w:cs="Arial"/>
          <w:color w:val="000000"/>
          <w:kern w:val="0"/>
          <w:sz w:val="22"/>
          <w:szCs w:val="22"/>
          <w14:ligatures w14:val="none"/>
        </w:rPr>
        <w:t xml:space="preserve">...." While the overall percentage of old-growth forest on the forest overall is relatively natural, important productive habitats within our isolated island biogeography have been severely reduced in concentrated areas. When calculating the impacts of logging </w:t>
      </w:r>
      <w:r w:rsidRPr="00093D3C">
        <w:rPr>
          <w:rFonts w:ascii="Arial" w:eastAsia="Times New Roman" w:hAnsi="Arial" w:cs="Arial"/>
          <w:color w:val="000000"/>
          <w:kern w:val="0"/>
          <w:sz w:val="22"/>
          <w:szCs w:val="22"/>
          <w14:ligatures w14:val="none"/>
        </w:rPr>
        <w:t>old growth</w:t>
      </w:r>
      <w:r w:rsidRPr="00093D3C">
        <w:rPr>
          <w:rFonts w:ascii="Arial" w:eastAsia="Times New Roman" w:hAnsi="Arial" w:cs="Arial"/>
          <w:color w:val="000000"/>
          <w:kern w:val="0"/>
          <w:sz w:val="22"/>
          <w:szCs w:val="22"/>
          <w14:ligatures w14:val="none"/>
        </w:rPr>
        <w:t xml:space="preserve"> in the </w:t>
      </w:r>
      <w:proofErr w:type="spellStart"/>
      <w:r w:rsidRPr="00093D3C">
        <w:rPr>
          <w:rFonts w:ascii="Arial" w:eastAsia="Times New Roman" w:hAnsi="Arial" w:cs="Arial"/>
          <w:color w:val="000000"/>
          <w:kern w:val="0"/>
          <w:sz w:val="22"/>
          <w:szCs w:val="22"/>
          <w14:ligatures w14:val="none"/>
        </w:rPr>
        <w:t>Tongass</w:t>
      </w:r>
      <w:proofErr w:type="spellEnd"/>
      <w:r w:rsidRPr="00093D3C">
        <w:rPr>
          <w:rFonts w:ascii="Arial" w:eastAsia="Times New Roman" w:hAnsi="Arial" w:cs="Arial"/>
          <w:color w:val="000000"/>
          <w:kern w:val="0"/>
          <w:sz w:val="22"/>
          <w:szCs w:val="22"/>
          <w14:ligatures w14:val="none"/>
        </w:rPr>
        <w:t>, the Forest should take an island biogeographic approach that looks at impacts to each island landscape.</w:t>
      </w:r>
    </w:p>
    <w:p w14:paraId="43DC566E" w14:textId="77777777" w:rsidR="00093D3C" w:rsidRPr="00093D3C" w:rsidRDefault="00093D3C" w:rsidP="00093D3C">
      <w:pPr>
        <w:spacing w:after="0" w:line="240" w:lineRule="auto"/>
        <w:rPr>
          <w:rFonts w:ascii="Times New Roman" w:eastAsia="Times New Roman" w:hAnsi="Times New Roman" w:cs="Times New Roman"/>
          <w:color w:val="000000"/>
          <w:kern w:val="0"/>
          <w14:ligatures w14:val="none"/>
        </w:rPr>
      </w:pPr>
    </w:p>
    <w:p w14:paraId="76EC87A9" w14:textId="77777777" w:rsidR="00093D3C" w:rsidRPr="00093D3C" w:rsidRDefault="00093D3C" w:rsidP="00093D3C">
      <w:pPr>
        <w:spacing w:after="0" w:line="240" w:lineRule="auto"/>
        <w:rPr>
          <w:rFonts w:ascii="Times New Roman" w:eastAsia="Times New Roman" w:hAnsi="Times New Roman" w:cs="Times New Roman"/>
          <w:color w:val="000000"/>
          <w:kern w:val="0"/>
          <w14:ligatures w14:val="none"/>
        </w:rPr>
      </w:pPr>
      <w:r w:rsidRPr="00093D3C">
        <w:rPr>
          <w:rFonts w:ascii="Arial" w:eastAsia="Times New Roman" w:hAnsi="Arial" w:cs="Arial"/>
          <w:b/>
          <w:bCs/>
          <w:color w:val="000000"/>
          <w:kern w:val="0"/>
          <w:sz w:val="22"/>
          <w:szCs w:val="22"/>
          <w14:ligatures w14:val="none"/>
        </w:rPr>
        <w:t xml:space="preserve">The National Old Growth Amendment can provide additional clarity about intentions for the </w:t>
      </w:r>
      <w:proofErr w:type="spellStart"/>
      <w:r w:rsidRPr="00093D3C">
        <w:rPr>
          <w:rFonts w:ascii="Arial" w:eastAsia="Times New Roman" w:hAnsi="Arial" w:cs="Arial"/>
          <w:b/>
          <w:bCs/>
          <w:color w:val="000000"/>
          <w:kern w:val="0"/>
          <w:sz w:val="22"/>
          <w:szCs w:val="22"/>
          <w14:ligatures w14:val="none"/>
        </w:rPr>
        <w:t>Tongass</w:t>
      </w:r>
      <w:proofErr w:type="spellEnd"/>
      <w:r w:rsidRPr="00093D3C">
        <w:rPr>
          <w:rFonts w:ascii="Arial" w:eastAsia="Times New Roman" w:hAnsi="Arial" w:cs="Arial"/>
          <w:b/>
          <w:bCs/>
          <w:color w:val="000000"/>
          <w:kern w:val="0"/>
          <w:sz w:val="22"/>
          <w:szCs w:val="22"/>
          <w14:ligatures w14:val="none"/>
        </w:rPr>
        <w:t>.</w:t>
      </w:r>
    </w:p>
    <w:p w14:paraId="6B1D4618" w14:textId="77777777" w:rsidR="00093D3C" w:rsidRPr="00093D3C" w:rsidRDefault="00093D3C" w:rsidP="00093D3C">
      <w:pPr>
        <w:spacing w:after="0" w:line="240" w:lineRule="auto"/>
        <w:rPr>
          <w:rFonts w:ascii="Times New Roman" w:eastAsia="Times New Roman" w:hAnsi="Times New Roman" w:cs="Times New Roman"/>
          <w:color w:val="000000"/>
          <w:kern w:val="0"/>
          <w14:ligatures w14:val="none"/>
        </w:rPr>
      </w:pPr>
      <w:r w:rsidRPr="00093D3C">
        <w:rPr>
          <w:rFonts w:ascii="Times New Roman" w:eastAsia="Times New Roman" w:hAnsi="Times New Roman" w:cs="Times New Roman"/>
          <w:color w:val="000000"/>
          <w:kern w:val="0"/>
          <w14:ligatures w14:val="none"/>
        </w:rPr>
        <w:br/>
      </w:r>
    </w:p>
    <w:p w14:paraId="5D16EF8B" w14:textId="77777777" w:rsidR="00093D3C" w:rsidRPr="00093D3C" w:rsidRDefault="00093D3C" w:rsidP="00093D3C">
      <w:pPr>
        <w:numPr>
          <w:ilvl w:val="0"/>
          <w:numId w:val="2"/>
        </w:numPr>
        <w:spacing w:after="0" w:line="240" w:lineRule="auto"/>
        <w:textAlignment w:val="baseline"/>
        <w:rPr>
          <w:rFonts w:ascii="Arial" w:eastAsia="Times New Roman" w:hAnsi="Arial" w:cs="Arial"/>
          <w:color w:val="000000"/>
          <w:kern w:val="0"/>
          <w:sz w:val="22"/>
          <w:szCs w:val="22"/>
          <w14:ligatures w14:val="none"/>
        </w:rPr>
      </w:pPr>
      <w:r w:rsidRPr="00093D3C">
        <w:rPr>
          <w:rFonts w:ascii="Arial" w:eastAsia="Times New Roman" w:hAnsi="Arial" w:cs="Arial"/>
          <w:b/>
          <w:bCs/>
          <w:color w:val="000000"/>
          <w:kern w:val="0"/>
          <w:sz w:val="22"/>
          <w:szCs w:val="22"/>
          <w14:ligatures w14:val="none"/>
        </w:rPr>
        <w:t xml:space="preserve">Define framework for how small commercial old-growth logging is allowed in the </w:t>
      </w:r>
      <w:proofErr w:type="spellStart"/>
      <w:r w:rsidRPr="00093D3C">
        <w:rPr>
          <w:rFonts w:ascii="Arial" w:eastAsia="Times New Roman" w:hAnsi="Arial" w:cs="Arial"/>
          <w:b/>
          <w:bCs/>
          <w:color w:val="000000"/>
          <w:kern w:val="0"/>
          <w:sz w:val="22"/>
          <w:szCs w:val="22"/>
          <w14:ligatures w14:val="none"/>
        </w:rPr>
        <w:t>Tongass</w:t>
      </w:r>
      <w:proofErr w:type="spellEnd"/>
      <w:r w:rsidRPr="00093D3C">
        <w:rPr>
          <w:rFonts w:ascii="Arial" w:eastAsia="Times New Roman" w:hAnsi="Arial" w:cs="Arial"/>
          <w:b/>
          <w:bCs/>
          <w:color w:val="000000"/>
          <w:kern w:val="0"/>
          <w:sz w:val="22"/>
          <w:szCs w:val="22"/>
          <w14:ligatures w14:val="none"/>
        </w:rPr>
        <w:t xml:space="preserve">. </w:t>
      </w:r>
      <w:r w:rsidRPr="00093D3C">
        <w:rPr>
          <w:rFonts w:ascii="Arial" w:eastAsia="Times New Roman" w:hAnsi="Arial" w:cs="Arial"/>
          <w:color w:val="000000"/>
          <w:kern w:val="0"/>
          <w:sz w:val="22"/>
          <w:szCs w:val="22"/>
          <w14:ligatures w14:val="none"/>
        </w:rPr>
        <w:t xml:space="preserve">The rule can clarify a direction for how the agency intends to allow commercial old growth logging on the </w:t>
      </w:r>
      <w:proofErr w:type="spellStart"/>
      <w:r w:rsidRPr="00093D3C">
        <w:rPr>
          <w:rFonts w:ascii="Arial" w:eastAsia="Times New Roman" w:hAnsi="Arial" w:cs="Arial"/>
          <w:color w:val="000000"/>
          <w:kern w:val="0"/>
          <w:sz w:val="22"/>
          <w:szCs w:val="22"/>
          <w14:ligatures w14:val="none"/>
        </w:rPr>
        <w:t>Tongass</w:t>
      </w:r>
      <w:proofErr w:type="spellEnd"/>
      <w:r w:rsidRPr="00093D3C">
        <w:rPr>
          <w:rFonts w:ascii="Arial" w:eastAsia="Times New Roman" w:hAnsi="Arial" w:cs="Arial"/>
          <w:color w:val="000000"/>
          <w:kern w:val="0"/>
          <w:sz w:val="22"/>
          <w:szCs w:val="22"/>
          <w14:ligatures w14:val="none"/>
        </w:rPr>
        <w:t xml:space="preserve"> within the framework of responding to climate change. </w:t>
      </w:r>
    </w:p>
    <w:p w14:paraId="53F085D4" w14:textId="77777777" w:rsidR="00093D3C" w:rsidRPr="00093D3C" w:rsidRDefault="00093D3C" w:rsidP="00093D3C">
      <w:pPr>
        <w:numPr>
          <w:ilvl w:val="1"/>
          <w:numId w:val="2"/>
        </w:numPr>
        <w:spacing w:after="0" w:line="240" w:lineRule="auto"/>
        <w:textAlignment w:val="baseline"/>
        <w:rPr>
          <w:rFonts w:ascii="Arial" w:eastAsia="Times New Roman" w:hAnsi="Arial" w:cs="Arial"/>
          <w:b/>
          <w:bCs/>
          <w:color w:val="000000"/>
          <w:kern w:val="0"/>
          <w:sz w:val="22"/>
          <w:szCs w:val="22"/>
          <w14:ligatures w14:val="none"/>
        </w:rPr>
      </w:pPr>
      <w:r w:rsidRPr="00093D3C">
        <w:rPr>
          <w:rFonts w:ascii="Arial" w:eastAsia="Times New Roman" w:hAnsi="Arial" w:cs="Arial"/>
          <w:b/>
          <w:bCs/>
          <w:color w:val="000000"/>
          <w:kern w:val="0"/>
          <w:sz w:val="22"/>
          <w:szCs w:val="22"/>
          <w14:ligatures w14:val="none"/>
        </w:rPr>
        <w:t>Use a climate framework for managing old growth forests. </w:t>
      </w:r>
    </w:p>
    <w:p w14:paraId="4D4B0A27" w14:textId="2B58B14A" w:rsidR="00093D3C" w:rsidRPr="00093D3C" w:rsidRDefault="00093D3C" w:rsidP="00093D3C">
      <w:pPr>
        <w:numPr>
          <w:ilvl w:val="1"/>
          <w:numId w:val="2"/>
        </w:numPr>
        <w:spacing w:after="0" w:line="240" w:lineRule="auto"/>
        <w:textAlignment w:val="baseline"/>
        <w:rPr>
          <w:rFonts w:ascii="Arial" w:eastAsia="Times New Roman" w:hAnsi="Arial" w:cs="Arial"/>
          <w:b/>
          <w:bCs/>
          <w:color w:val="000000"/>
          <w:kern w:val="0"/>
          <w:sz w:val="22"/>
          <w:szCs w:val="22"/>
          <w14:ligatures w14:val="none"/>
        </w:rPr>
      </w:pPr>
      <w:r w:rsidRPr="00093D3C">
        <w:rPr>
          <w:rFonts w:ascii="Arial" w:eastAsia="Times New Roman" w:hAnsi="Arial" w:cs="Arial"/>
          <w:b/>
          <w:bCs/>
          <w:color w:val="000000"/>
          <w:kern w:val="0"/>
          <w:sz w:val="22"/>
          <w:szCs w:val="22"/>
          <w14:ligatures w14:val="none"/>
        </w:rPr>
        <w:t xml:space="preserve">FEIS should clarify that cutting old growth is not proactive stewardship in the </w:t>
      </w:r>
      <w:proofErr w:type="spellStart"/>
      <w:r w:rsidRPr="00093D3C">
        <w:rPr>
          <w:rFonts w:ascii="Arial" w:eastAsia="Times New Roman" w:hAnsi="Arial" w:cs="Arial"/>
          <w:b/>
          <w:bCs/>
          <w:color w:val="000000"/>
          <w:kern w:val="0"/>
          <w:sz w:val="22"/>
          <w:szCs w:val="22"/>
          <w14:ligatures w14:val="none"/>
        </w:rPr>
        <w:t>Tongass</w:t>
      </w:r>
      <w:proofErr w:type="spellEnd"/>
      <w:r w:rsidRPr="00093D3C">
        <w:rPr>
          <w:rFonts w:ascii="Arial" w:eastAsia="Times New Roman" w:hAnsi="Arial" w:cs="Arial"/>
          <w:b/>
          <w:bCs/>
          <w:color w:val="000000"/>
          <w:kern w:val="0"/>
          <w:sz w:val="22"/>
          <w:szCs w:val="22"/>
          <w14:ligatures w14:val="none"/>
        </w:rPr>
        <w:t xml:space="preserve">. </w:t>
      </w:r>
      <w:r w:rsidRPr="00093D3C">
        <w:rPr>
          <w:rFonts w:ascii="Arial" w:eastAsia="Times New Roman" w:hAnsi="Arial" w:cs="Arial"/>
          <w:color w:val="000000"/>
          <w:kern w:val="0"/>
          <w:sz w:val="22"/>
          <w:szCs w:val="22"/>
          <w14:ligatures w14:val="none"/>
        </w:rPr>
        <w:t>Standard 2a (</w:t>
      </w:r>
      <w:r w:rsidRPr="00093D3C">
        <w:rPr>
          <w:rFonts w:ascii="Arial" w:eastAsia="Times New Roman" w:hAnsi="Arial" w:cs="Arial"/>
          <w:b/>
          <w:bCs/>
          <w:color w:val="000000"/>
          <w:kern w:val="0"/>
          <w:sz w:val="22"/>
          <w:szCs w:val="22"/>
          <w14:ligatures w14:val="none"/>
        </w:rPr>
        <w:t xml:space="preserve">NOGA-FW-STD-02a) </w:t>
      </w:r>
      <w:r w:rsidRPr="00093D3C">
        <w:rPr>
          <w:rFonts w:ascii="Arial" w:eastAsia="Times New Roman" w:hAnsi="Arial" w:cs="Arial"/>
          <w:color w:val="000000"/>
          <w:kern w:val="0"/>
          <w:sz w:val="22"/>
          <w:szCs w:val="22"/>
          <w14:ligatures w14:val="none"/>
        </w:rPr>
        <w:t xml:space="preserve">and Standard 3 </w:t>
      </w:r>
      <w:r w:rsidRPr="00093D3C">
        <w:rPr>
          <w:rFonts w:ascii="Arial" w:eastAsia="Times New Roman" w:hAnsi="Arial" w:cs="Arial"/>
          <w:b/>
          <w:bCs/>
          <w:color w:val="000000"/>
          <w:kern w:val="0"/>
          <w:sz w:val="22"/>
          <w:szCs w:val="22"/>
          <w14:ligatures w14:val="none"/>
        </w:rPr>
        <w:t xml:space="preserve">(NOGA-FW-STD-03) </w:t>
      </w:r>
      <w:r w:rsidRPr="00093D3C">
        <w:rPr>
          <w:rFonts w:ascii="Arial" w:eastAsia="Times New Roman" w:hAnsi="Arial" w:cs="Arial"/>
          <w:color w:val="000000"/>
          <w:kern w:val="0"/>
          <w:sz w:val="22"/>
          <w:szCs w:val="22"/>
          <w14:ligatures w14:val="none"/>
        </w:rPr>
        <w:t xml:space="preserve">states that the purpose of management in old growth cannot be for </w:t>
      </w:r>
      <w:r w:rsidRPr="00093D3C">
        <w:rPr>
          <w:rFonts w:ascii="Arial" w:eastAsia="Times New Roman" w:hAnsi="Arial" w:cs="Arial"/>
          <w:color w:val="000000"/>
          <w:kern w:val="0"/>
          <w:sz w:val="22"/>
          <w:szCs w:val="22"/>
          <w14:ligatures w14:val="none"/>
        </w:rPr>
        <w:lastRenderedPageBreak/>
        <w:t xml:space="preserve">timber production, though commercial timber harvest may be used to achieve stewardship goals. However, there are no circumstances on the </w:t>
      </w:r>
      <w:proofErr w:type="spellStart"/>
      <w:r w:rsidRPr="00093D3C">
        <w:rPr>
          <w:rFonts w:ascii="Arial" w:eastAsia="Times New Roman" w:hAnsi="Arial" w:cs="Arial"/>
          <w:color w:val="000000"/>
          <w:kern w:val="0"/>
          <w:sz w:val="22"/>
          <w:szCs w:val="22"/>
          <w14:ligatures w14:val="none"/>
        </w:rPr>
        <w:t>Tongass</w:t>
      </w:r>
      <w:proofErr w:type="spellEnd"/>
      <w:r w:rsidRPr="00093D3C">
        <w:rPr>
          <w:rFonts w:ascii="Arial" w:eastAsia="Times New Roman" w:hAnsi="Arial" w:cs="Arial"/>
          <w:color w:val="000000"/>
          <w:kern w:val="0"/>
          <w:sz w:val="22"/>
          <w:szCs w:val="22"/>
          <w14:ligatures w14:val="none"/>
        </w:rPr>
        <w:t xml:space="preserve"> where old growth harvests could be described as proactive stewardship as defined in the rule. Cutting down old growth trees will not advance any of the benefits that these types of forests provide nor will it enhance their resilience. Removing old trees would not promote the quality, composition, stature, pattern, or ecological processes necessary for </w:t>
      </w:r>
      <w:r w:rsidR="00FA2C11" w:rsidRPr="00093D3C">
        <w:rPr>
          <w:rFonts w:ascii="Arial" w:eastAsia="Times New Roman" w:hAnsi="Arial" w:cs="Arial"/>
          <w:color w:val="000000"/>
          <w:kern w:val="0"/>
          <w:sz w:val="22"/>
          <w:szCs w:val="22"/>
          <w14:ligatures w14:val="none"/>
        </w:rPr>
        <w:t>old growth</w:t>
      </w:r>
      <w:r w:rsidRPr="00093D3C">
        <w:rPr>
          <w:rFonts w:ascii="Arial" w:eastAsia="Times New Roman" w:hAnsi="Arial" w:cs="Arial"/>
          <w:color w:val="000000"/>
          <w:kern w:val="0"/>
          <w:sz w:val="22"/>
          <w:szCs w:val="22"/>
          <w14:ligatures w14:val="none"/>
        </w:rPr>
        <w:t xml:space="preserve"> to be resilient and adaptable. </w:t>
      </w:r>
    </w:p>
    <w:p w14:paraId="52D168D6" w14:textId="77777777" w:rsidR="00093D3C" w:rsidRPr="00093D3C" w:rsidRDefault="00093D3C" w:rsidP="00093D3C">
      <w:pPr>
        <w:numPr>
          <w:ilvl w:val="1"/>
          <w:numId w:val="2"/>
        </w:numPr>
        <w:spacing w:after="0" w:line="240" w:lineRule="auto"/>
        <w:textAlignment w:val="baseline"/>
        <w:rPr>
          <w:rFonts w:ascii="Arial" w:eastAsia="Times New Roman" w:hAnsi="Arial" w:cs="Arial"/>
          <w:color w:val="000000"/>
          <w:kern w:val="0"/>
          <w:sz w:val="22"/>
          <w:szCs w:val="22"/>
          <w14:ligatures w14:val="none"/>
        </w:rPr>
      </w:pPr>
      <w:r w:rsidRPr="00093D3C">
        <w:rPr>
          <w:rFonts w:ascii="Arial" w:eastAsia="Times New Roman" w:hAnsi="Arial" w:cs="Arial"/>
          <w:color w:val="000000"/>
          <w:kern w:val="0"/>
          <w:sz w:val="22"/>
          <w:szCs w:val="22"/>
          <w14:ligatures w14:val="none"/>
        </w:rPr>
        <w:t>FEIS should provide a limited framework under which commercial old growth logging may be allowed under the current plan. </w:t>
      </w:r>
    </w:p>
    <w:p w14:paraId="46AFBE72" w14:textId="77777777" w:rsidR="00093D3C" w:rsidRPr="00093D3C" w:rsidRDefault="00093D3C" w:rsidP="00093D3C">
      <w:pPr>
        <w:numPr>
          <w:ilvl w:val="2"/>
          <w:numId w:val="2"/>
        </w:numPr>
        <w:spacing w:after="0" w:line="240" w:lineRule="auto"/>
        <w:textAlignment w:val="baseline"/>
        <w:rPr>
          <w:rFonts w:ascii="Arial" w:eastAsia="Times New Roman" w:hAnsi="Arial" w:cs="Arial"/>
          <w:color w:val="000000"/>
          <w:kern w:val="0"/>
          <w:sz w:val="22"/>
          <w:szCs w:val="22"/>
          <w14:ligatures w14:val="none"/>
        </w:rPr>
      </w:pPr>
      <w:r w:rsidRPr="00093D3C">
        <w:rPr>
          <w:rFonts w:ascii="Arial" w:eastAsia="Times New Roman" w:hAnsi="Arial" w:cs="Arial"/>
          <w:color w:val="000000"/>
          <w:kern w:val="0"/>
          <w:sz w:val="22"/>
          <w:szCs w:val="22"/>
          <w14:ligatures w14:val="none"/>
        </w:rPr>
        <w:t>Define appropriate silvicultural prescriptions and ecological conditions that will be maintained in commercial old-growth stands. This framework should not allow large-scale clearcuts, round log export, and should maintain existing Roadless Rule protections. Silvicultural prescriptions should be limited to single tree, group, or small patch cuts, and the landscape should still retain ecological old growth function and description after harvest.  </w:t>
      </w:r>
    </w:p>
    <w:p w14:paraId="5F29FA0C" w14:textId="3341AEDA" w:rsidR="00093D3C" w:rsidRPr="00093D3C" w:rsidRDefault="00093D3C" w:rsidP="00093D3C">
      <w:pPr>
        <w:numPr>
          <w:ilvl w:val="2"/>
          <w:numId w:val="2"/>
        </w:numPr>
        <w:spacing w:after="0" w:line="240" w:lineRule="auto"/>
        <w:textAlignment w:val="baseline"/>
        <w:rPr>
          <w:rFonts w:ascii="Arial" w:eastAsia="Times New Roman" w:hAnsi="Arial" w:cs="Arial"/>
          <w:color w:val="000000"/>
          <w:kern w:val="0"/>
          <w:sz w:val="22"/>
          <w:szCs w:val="22"/>
          <w14:ligatures w14:val="none"/>
        </w:rPr>
      </w:pPr>
      <w:r w:rsidRPr="00093D3C">
        <w:rPr>
          <w:rFonts w:ascii="Arial" w:eastAsia="Times New Roman" w:hAnsi="Arial" w:cs="Arial"/>
          <w:color w:val="000000"/>
          <w:kern w:val="0"/>
          <w:sz w:val="22"/>
          <w:szCs w:val="22"/>
          <w14:ligatures w14:val="none"/>
        </w:rPr>
        <w:t>Old growth harvest should be allowed for local community purposes. These purposes include indigenous cultural uses, local construction, commercial art products, value-added products, and wood for music instruments. This definition can provide clarity about specific local demands for wood as opposed to vast global commodity markets.</w:t>
      </w:r>
      <w:r w:rsidR="00C25519">
        <w:rPr>
          <w:rFonts w:ascii="Arial" w:eastAsia="Times New Roman" w:hAnsi="Arial" w:cs="Arial"/>
          <w:color w:val="000000"/>
          <w:kern w:val="0"/>
          <w:sz w:val="22"/>
          <w:szCs w:val="22"/>
          <w14:ligatures w14:val="none"/>
        </w:rPr>
        <w:t xml:space="preserve"> </w:t>
      </w:r>
      <w:r w:rsidR="00C25519">
        <w:rPr>
          <w:rFonts w:ascii="Arial" w:hAnsi="Arial" w:cs="Arial"/>
          <w:color w:val="222222"/>
          <w:sz w:val="22"/>
          <w:szCs w:val="22"/>
          <w:shd w:val="clear" w:color="auto" w:fill="FFFFFF"/>
        </w:rPr>
        <w:t xml:space="preserve">The Forest Service should work </w:t>
      </w:r>
      <w:r w:rsidR="00C25519" w:rsidRPr="00C25519">
        <w:rPr>
          <w:rFonts w:ascii="Arial" w:hAnsi="Arial" w:cs="Arial"/>
          <w:color w:val="222222"/>
          <w:sz w:val="22"/>
          <w:szCs w:val="22"/>
          <w:shd w:val="clear" w:color="auto" w:fill="FFFFFF"/>
        </w:rPr>
        <w:t>with the communit</w:t>
      </w:r>
      <w:r w:rsidR="00C25519">
        <w:rPr>
          <w:rFonts w:ascii="Arial" w:hAnsi="Arial" w:cs="Arial"/>
          <w:color w:val="222222"/>
          <w:sz w:val="22"/>
          <w:szCs w:val="22"/>
          <w:shd w:val="clear" w:color="auto" w:fill="FFFFFF"/>
        </w:rPr>
        <w:t>ies</w:t>
      </w:r>
      <w:r w:rsidR="00C25519" w:rsidRPr="00C25519">
        <w:rPr>
          <w:rFonts w:ascii="Arial" w:hAnsi="Arial" w:cs="Arial"/>
          <w:color w:val="222222"/>
          <w:sz w:val="22"/>
          <w:szCs w:val="22"/>
          <w:shd w:val="clear" w:color="auto" w:fill="FFFFFF"/>
        </w:rPr>
        <w:t>, tribe</w:t>
      </w:r>
      <w:r w:rsidR="00C25519">
        <w:rPr>
          <w:rFonts w:ascii="Arial" w:hAnsi="Arial" w:cs="Arial"/>
          <w:color w:val="222222"/>
          <w:sz w:val="22"/>
          <w:szCs w:val="22"/>
          <w:shd w:val="clear" w:color="auto" w:fill="FFFFFF"/>
        </w:rPr>
        <w:t>s</w:t>
      </w:r>
      <w:r w:rsidR="00C25519" w:rsidRPr="00C25519">
        <w:rPr>
          <w:rFonts w:ascii="Arial" w:hAnsi="Arial" w:cs="Arial"/>
          <w:color w:val="222222"/>
          <w:sz w:val="22"/>
          <w:szCs w:val="22"/>
          <w:shd w:val="clear" w:color="auto" w:fill="FFFFFF"/>
        </w:rPr>
        <w:t xml:space="preserve">, and small mills to identify where is suitable for old growth cuts based on a balancing of factors, including community priorities </w:t>
      </w:r>
      <w:r w:rsidR="00C25519">
        <w:rPr>
          <w:rFonts w:ascii="Arial" w:hAnsi="Arial" w:cs="Arial"/>
          <w:color w:val="222222"/>
          <w:sz w:val="22"/>
          <w:szCs w:val="22"/>
          <w:shd w:val="clear" w:color="auto" w:fill="FFFFFF"/>
        </w:rPr>
        <w:t>for</w:t>
      </w:r>
      <w:r w:rsidR="00C25519" w:rsidRPr="00C25519">
        <w:rPr>
          <w:rFonts w:ascii="Arial" w:hAnsi="Arial" w:cs="Arial"/>
          <w:color w:val="222222"/>
          <w:sz w:val="22"/>
          <w:szCs w:val="22"/>
          <w:shd w:val="clear" w:color="auto" w:fill="FFFFFF"/>
        </w:rPr>
        <w:t xml:space="preserve"> subsistence harvesting habitat which should be avoided.</w:t>
      </w:r>
      <w:r w:rsidRPr="00093D3C">
        <w:rPr>
          <w:rFonts w:ascii="Arial" w:eastAsia="Times New Roman" w:hAnsi="Arial" w:cs="Arial"/>
          <w:color w:val="000000"/>
          <w:kern w:val="0"/>
          <w:sz w:val="22"/>
          <w:szCs w:val="22"/>
          <w14:ligatures w14:val="none"/>
        </w:rPr>
        <w:t> </w:t>
      </w:r>
    </w:p>
    <w:p w14:paraId="686A8802" w14:textId="77777777" w:rsidR="00093D3C" w:rsidRPr="00093D3C" w:rsidRDefault="00093D3C" w:rsidP="00093D3C">
      <w:pPr>
        <w:numPr>
          <w:ilvl w:val="2"/>
          <w:numId w:val="2"/>
        </w:numPr>
        <w:spacing w:after="0" w:line="240" w:lineRule="auto"/>
        <w:textAlignment w:val="baseline"/>
        <w:rPr>
          <w:rFonts w:ascii="Arial" w:eastAsia="Times New Roman" w:hAnsi="Arial" w:cs="Arial"/>
          <w:color w:val="000000"/>
          <w:kern w:val="0"/>
          <w:sz w:val="22"/>
          <w:szCs w:val="22"/>
          <w14:ligatures w14:val="none"/>
        </w:rPr>
      </w:pPr>
      <w:r w:rsidRPr="00093D3C">
        <w:rPr>
          <w:rFonts w:ascii="Arial" w:eastAsia="Times New Roman" w:hAnsi="Arial" w:cs="Arial"/>
          <w:b/>
          <w:bCs/>
          <w:color w:val="000000"/>
          <w:kern w:val="0"/>
          <w:sz w:val="22"/>
          <w:szCs w:val="22"/>
          <w14:ligatures w14:val="none"/>
        </w:rPr>
        <w:t xml:space="preserve">NOGA-FW-STD-02c.iii </w:t>
      </w:r>
      <w:r w:rsidRPr="00093D3C">
        <w:rPr>
          <w:rFonts w:ascii="Arial" w:eastAsia="Times New Roman" w:hAnsi="Arial" w:cs="Arial"/>
          <w:color w:val="000000"/>
          <w:kern w:val="0"/>
          <w:sz w:val="22"/>
          <w:szCs w:val="22"/>
          <w14:ligatures w14:val="none"/>
        </w:rPr>
        <w:t xml:space="preserve">The Forest Service should describe how this exemption applies to the </w:t>
      </w:r>
      <w:proofErr w:type="spellStart"/>
      <w:r w:rsidRPr="00093D3C">
        <w:rPr>
          <w:rFonts w:ascii="Arial" w:eastAsia="Times New Roman" w:hAnsi="Arial" w:cs="Arial"/>
          <w:color w:val="000000"/>
          <w:kern w:val="0"/>
          <w:sz w:val="22"/>
          <w:szCs w:val="22"/>
          <w14:ligatures w14:val="none"/>
        </w:rPr>
        <w:t>Tongass</w:t>
      </w:r>
      <w:proofErr w:type="spellEnd"/>
      <w:r w:rsidRPr="00093D3C">
        <w:rPr>
          <w:rFonts w:ascii="Arial" w:eastAsia="Times New Roman" w:hAnsi="Arial" w:cs="Arial"/>
          <w:color w:val="000000"/>
          <w:kern w:val="0"/>
          <w:sz w:val="22"/>
          <w:szCs w:val="22"/>
          <w14:ligatures w14:val="none"/>
        </w:rPr>
        <w:t>, if at all. </w:t>
      </w:r>
    </w:p>
    <w:p w14:paraId="59F092E9" w14:textId="77777777" w:rsidR="00093D3C" w:rsidRPr="00093D3C" w:rsidRDefault="00093D3C" w:rsidP="00093D3C">
      <w:pPr>
        <w:numPr>
          <w:ilvl w:val="2"/>
          <w:numId w:val="2"/>
        </w:numPr>
        <w:spacing w:after="0" w:line="240" w:lineRule="auto"/>
        <w:textAlignment w:val="baseline"/>
        <w:rPr>
          <w:rFonts w:ascii="Arial" w:eastAsia="Times New Roman" w:hAnsi="Arial" w:cs="Arial"/>
          <w:color w:val="000000"/>
          <w:kern w:val="0"/>
          <w:sz w:val="22"/>
          <w:szCs w:val="22"/>
          <w14:ligatures w14:val="none"/>
        </w:rPr>
      </w:pPr>
      <w:r w:rsidRPr="00093D3C">
        <w:rPr>
          <w:rFonts w:ascii="Arial" w:eastAsia="Times New Roman" w:hAnsi="Arial" w:cs="Arial"/>
          <w:b/>
          <w:bCs/>
          <w:color w:val="000000"/>
          <w:kern w:val="0"/>
          <w:sz w:val="22"/>
          <w:szCs w:val="22"/>
          <w14:ligatures w14:val="none"/>
        </w:rPr>
        <w:t xml:space="preserve">NOGA-FW-STD-02c.iv </w:t>
      </w:r>
      <w:r w:rsidRPr="00093D3C">
        <w:rPr>
          <w:rFonts w:ascii="Arial" w:eastAsia="Times New Roman" w:hAnsi="Arial" w:cs="Arial"/>
          <w:color w:val="000000"/>
          <w:kern w:val="0"/>
          <w:sz w:val="22"/>
          <w:szCs w:val="22"/>
          <w14:ligatures w14:val="none"/>
        </w:rPr>
        <w:t>Define “de minimis local uses.” </w:t>
      </w:r>
    </w:p>
    <w:p w14:paraId="7D40DAD8" w14:textId="77777777" w:rsidR="00093D3C" w:rsidRPr="00093D3C" w:rsidRDefault="00093D3C" w:rsidP="00093D3C">
      <w:pPr>
        <w:spacing w:after="0" w:line="240" w:lineRule="auto"/>
        <w:rPr>
          <w:rFonts w:ascii="Times New Roman" w:eastAsia="Times New Roman" w:hAnsi="Times New Roman" w:cs="Times New Roman"/>
          <w:color w:val="000000"/>
          <w:kern w:val="0"/>
          <w14:ligatures w14:val="none"/>
        </w:rPr>
      </w:pPr>
      <w:r w:rsidRPr="00093D3C">
        <w:rPr>
          <w:rFonts w:ascii="Times New Roman" w:eastAsia="Times New Roman" w:hAnsi="Times New Roman" w:cs="Times New Roman"/>
          <w:color w:val="000000"/>
          <w:kern w:val="0"/>
          <w14:ligatures w14:val="none"/>
        </w:rPr>
        <w:br/>
      </w:r>
    </w:p>
    <w:p w14:paraId="3C188761" w14:textId="77777777" w:rsidR="00093D3C" w:rsidRPr="00093D3C" w:rsidRDefault="00093D3C" w:rsidP="00093D3C">
      <w:pPr>
        <w:numPr>
          <w:ilvl w:val="0"/>
          <w:numId w:val="3"/>
        </w:numPr>
        <w:spacing w:after="0" w:line="240" w:lineRule="auto"/>
        <w:textAlignment w:val="baseline"/>
        <w:rPr>
          <w:rFonts w:ascii="Arial" w:eastAsia="Times New Roman" w:hAnsi="Arial" w:cs="Arial"/>
          <w:b/>
          <w:bCs/>
          <w:color w:val="000000"/>
          <w:kern w:val="0"/>
          <w:sz w:val="22"/>
          <w:szCs w:val="22"/>
          <w14:ligatures w14:val="none"/>
        </w:rPr>
      </w:pPr>
      <w:r w:rsidRPr="00093D3C">
        <w:rPr>
          <w:rFonts w:ascii="Arial" w:eastAsia="Times New Roman" w:hAnsi="Arial" w:cs="Arial"/>
          <w:b/>
          <w:bCs/>
          <w:color w:val="000000"/>
          <w:kern w:val="0"/>
          <w:sz w:val="22"/>
          <w:szCs w:val="22"/>
          <w14:ligatures w14:val="none"/>
        </w:rPr>
        <w:t>Clarify the contradictions and exemptions in the DEIS</w:t>
      </w:r>
      <w:r w:rsidRPr="00093D3C">
        <w:rPr>
          <w:rFonts w:ascii="Arial" w:eastAsia="Times New Roman" w:hAnsi="Arial" w:cs="Arial"/>
          <w:color w:val="000000"/>
          <w:kern w:val="0"/>
          <w:sz w:val="22"/>
          <w:szCs w:val="22"/>
          <w14:ligatures w14:val="none"/>
        </w:rPr>
        <w:t xml:space="preserve"> to reduce confusion and close potential loopholes.</w:t>
      </w:r>
    </w:p>
    <w:p w14:paraId="140E7845" w14:textId="77777777" w:rsidR="00093D3C" w:rsidRPr="00093D3C" w:rsidRDefault="00093D3C" w:rsidP="00093D3C">
      <w:pPr>
        <w:numPr>
          <w:ilvl w:val="1"/>
          <w:numId w:val="3"/>
        </w:numPr>
        <w:spacing w:after="0" w:line="240" w:lineRule="auto"/>
        <w:textAlignment w:val="baseline"/>
        <w:rPr>
          <w:rFonts w:ascii="Arial" w:eastAsia="Times New Roman" w:hAnsi="Arial" w:cs="Arial"/>
          <w:b/>
          <w:bCs/>
          <w:color w:val="000000"/>
          <w:kern w:val="0"/>
          <w:sz w:val="22"/>
          <w:szCs w:val="22"/>
          <w14:ligatures w14:val="none"/>
        </w:rPr>
      </w:pPr>
      <w:r w:rsidRPr="00093D3C">
        <w:rPr>
          <w:rFonts w:ascii="Arial" w:eastAsia="Times New Roman" w:hAnsi="Arial" w:cs="Arial"/>
          <w:b/>
          <w:bCs/>
          <w:color w:val="000000"/>
          <w:kern w:val="0"/>
          <w:sz w:val="22"/>
          <w:szCs w:val="22"/>
          <w14:ligatures w14:val="none"/>
        </w:rPr>
        <w:t>Clarify intent regarding old-growth harvest for commercial purposes.</w:t>
      </w:r>
    </w:p>
    <w:p w14:paraId="56C1FFB5" w14:textId="04963B07" w:rsidR="00093D3C" w:rsidRPr="00093D3C" w:rsidRDefault="00093D3C" w:rsidP="00093D3C">
      <w:pPr>
        <w:numPr>
          <w:ilvl w:val="1"/>
          <w:numId w:val="3"/>
        </w:numPr>
        <w:spacing w:after="0" w:line="240" w:lineRule="auto"/>
        <w:textAlignment w:val="baseline"/>
        <w:rPr>
          <w:rFonts w:ascii="Arial" w:eastAsia="Times New Roman" w:hAnsi="Arial" w:cs="Arial"/>
          <w:b/>
          <w:bCs/>
          <w:color w:val="000000"/>
          <w:kern w:val="0"/>
          <w:sz w:val="22"/>
          <w:szCs w:val="22"/>
          <w14:ligatures w14:val="none"/>
        </w:rPr>
      </w:pPr>
      <w:r w:rsidRPr="00093D3C">
        <w:rPr>
          <w:rFonts w:ascii="Arial" w:eastAsia="Times New Roman" w:hAnsi="Arial" w:cs="Arial"/>
          <w:b/>
          <w:bCs/>
          <w:color w:val="000000"/>
          <w:kern w:val="0"/>
          <w:sz w:val="22"/>
          <w:szCs w:val="22"/>
          <w14:ligatures w14:val="none"/>
        </w:rPr>
        <w:t xml:space="preserve">Clarify potentially confusing wording in plan document: </w:t>
      </w:r>
      <w:r w:rsidRPr="00093D3C">
        <w:rPr>
          <w:rFonts w:ascii="Arial" w:eastAsia="Times New Roman" w:hAnsi="Arial" w:cs="Arial"/>
          <w:color w:val="000000"/>
          <w:kern w:val="0"/>
          <w:sz w:val="22"/>
          <w:szCs w:val="22"/>
          <w14:ligatures w14:val="none"/>
        </w:rPr>
        <w:t xml:space="preserve">DEIS Page 106: Presumes that most commercial sales are not </w:t>
      </w:r>
      <w:r w:rsidRPr="00093D3C">
        <w:rPr>
          <w:rFonts w:ascii="Arial" w:eastAsia="Times New Roman" w:hAnsi="Arial" w:cs="Arial"/>
          <w:color w:val="000000"/>
          <w:kern w:val="0"/>
          <w:sz w:val="22"/>
          <w:szCs w:val="22"/>
          <w14:ligatures w14:val="none"/>
        </w:rPr>
        <w:t>allowed but</w:t>
      </w:r>
      <w:r w:rsidRPr="00093D3C">
        <w:rPr>
          <w:rFonts w:ascii="Arial" w:eastAsia="Times New Roman" w:hAnsi="Arial" w:cs="Arial"/>
          <w:color w:val="000000"/>
          <w:kern w:val="0"/>
          <w:sz w:val="22"/>
          <w:szCs w:val="22"/>
          <w14:ligatures w14:val="none"/>
        </w:rPr>
        <w:t xml:space="preserve"> says OG sales may be allowed as stewardship. However, we emphasize that harvesting </w:t>
      </w:r>
      <w:r w:rsidRPr="00093D3C">
        <w:rPr>
          <w:rFonts w:ascii="Arial" w:eastAsia="Times New Roman" w:hAnsi="Arial" w:cs="Arial"/>
          <w:color w:val="000000"/>
          <w:kern w:val="0"/>
          <w:sz w:val="22"/>
          <w:szCs w:val="22"/>
          <w14:ligatures w14:val="none"/>
        </w:rPr>
        <w:t>old growth</w:t>
      </w:r>
      <w:r w:rsidRPr="00093D3C">
        <w:rPr>
          <w:rFonts w:ascii="Arial" w:eastAsia="Times New Roman" w:hAnsi="Arial" w:cs="Arial"/>
          <w:color w:val="000000"/>
          <w:kern w:val="0"/>
          <w:sz w:val="22"/>
          <w:szCs w:val="22"/>
          <w14:ligatures w14:val="none"/>
        </w:rPr>
        <w:t xml:space="preserve"> in the </w:t>
      </w:r>
      <w:proofErr w:type="spellStart"/>
      <w:r w:rsidRPr="00093D3C">
        <w:rPr>
          <w:rFonts w:ascii="Arial" w:eastAsia="Times New Roman" w:hAnsi="Arial" w:cs="Arial"/>
          <w:color w:val="000000"/>
          <w:kern w:val="0"/>
          <w:sz w:val="22"/>
          <w:szCs w:val="22"/>
          <w14:ligatures w14:val="none"/>
        </w:rPr>
        <w:t>Tongass</w:t>
      </w:r>
      <w:proofErr w:type="spellEnd"/>
      <w:r w:rsidRPr="00093D3C">
        <w:rPr>
          <w:rFonts w:ascii="Arial" w:eastAsia="Times New Roman" w:hAnsi="Arial" w:cs="Arial"/>
          <w:color w:val="000000"/>
          <w:kern w:val="0"/>
          <w:sz w:val="22"/>
          <w:szCs w:val="22"/>
          <w14:ligatures w14:val="none"/>
        </w:rPr>
        <w:t xml:space="preserve"> is not proactive stewardship. Appendix B pg</w:t>
      </w:r>
      <w:r w:rsidR="00FA2C11">
        <w:rPr>
          <w:rFonts w:ascii="Arial" w:eastAsia="Times New Roman" w:hAnsi="Arial" w:cs="Arial"/>
          <w:color w:val="000000"/>
          <w:kern w:val="0"/>
          <w:sz w:val="22"/>
          <w:szCs w:val="22"/>
          <w14:ligatures w14:val="none"/>
        </w:rPr>
        <w:t>.</w:t>
      </w:r>
      <w:r w:rsidRPr="00093D3C">
        <w:rPr>
          <w:rFonts w:ascii="Arial" w:eastAsia="Times New Roman" w:hAnsi="Arial" w:cs="Arial"/>
          <w:color w:val="000000"/>
          <w:kern w:val="0"/>
          <w:sz w:val="22"/>
          <w:szCs w:val="22"/>
          <w14:ligatures w14:val="none"/>
        </w:rPr>
        <w:t xml:space="preserve"> 36 ALT 2 effects assumed to be the same as no action, and the explanations of ALT 2 Standards and Guides explains that the </w:t>
      </w:r>
      <w:proofErr w:type="spellStart"/>
      <w:r w:rsidRPr="00093D3C">
        <w:rPr>
          <w:rFonts w:ascii="Arial" w:eastAsia="Times New Roman" w:hAnsi="Arial" w:cs="Arial"/>
          <w:color w:val="000000"/>
          <w:kern w:val="0"/>
          <w:sz w:val="22"/>
          <w:szCs w:val="22"/>
          <w14:ligatures w14:val="none"/>
        </w:rPr>
        <w:t>Tongass</w:t>
      </w:r>
      <w:proofErr w:type="spellEnd"/>
      <w:r w:rsidRPr="00093D3C">
        <w:rPr>
          <w:rFonts w:ascii="Arial" w:eastAsia="Times New Roman" w:hAnsi="Arial" w:cs="Arial"/>
          <w:color w:val="000000"/>
          <w:kern w:val="0"/>
          <w:sz w:val="22"/>
          <w:szCs w:val="22"/>
          <w14:ligatures w14:val="none"/>
        </w:rPr>
        <w:t xml:space="preserve"> will be able to provide commitments for commercial old growth as stewardship or with exemptions. We encourage the Forest Service to clarify their intent to allow small-scale old-growth harvests for local uses. </w:t>
      </w:r>
      <w:r w:rsidRPr="00093D3C">
        <w:rPr>
          <w:rFonts w:ascii="Times New Roman" w:eastAsia="Times New Roman" w:hAnsi="Times New Roman" w:cs="Times New Roman"/>
          <w:color w:val="000000"/>
          <w:kern w:val="0"/>
          <w14:ligatures w14:val="none"/>
        </w:rPr>
        <w:br/>
      </w:r>
    </w:p>
    <w:p w14:paraId="6B7B9D91" w14:textId="77777777" w:rsidR="00093D3C" w:rsidRPr="00093D3C" w:rsidRDefault="00093D3C" w:rsidP="00093D3C">
      <w:pPr>
        <w:numPr>
          <w:ilvl w:val="0"/>
          <w:numId w:val="4"/>
        </w:numPr>
        <w:spacing w:after="0" w:line="240" w:lineRule="auto"/>
        <w:textAlignment w:val="baseline"/>
        <w:rPr>
          <w:rFonts w:ascii="Arial" w:eastAsia="Times New Roman" w:hAnsi="Arial" w:cs="Arial"/>
          <w:color w:val="000000"/>
          <w:kern w:val="0"/>
          <w:sz w:val="22"/>
          <w:szCs w:val="22"/>
          <w14:ligatures w14:val="none"/>
        </w:rPr>
      </w:pPr>
      <w:r w:rsidRPr="00093D3C">
        <w:rPr>
          <w:rFonts w:ascii="Arial" w:eastAsia="Times New Roman" w:hAnsi="Arial" w:cs="Arial"/>
          <w:b/>
          <w:bCs/>
          <w:color w:val="000000"/>
          <w:kern w:val="0"/>
          <w:sz w:val="22"/>
          <w:szCs w:val="22"/>
          <w14:ligatures w14:val="none"/>
        </w:rPr>
        <w:t>This rule can support and advance the policy direction of the Southeast Alaska Sustainability Strategy.</w:t>
      </w:r>
      <w:r w:rsidRPr="00093D3C">
        <w:rPr>
          <w:rFonts w:ascii="Arial" w:eastAsia="Times New Roman" w:hAnsi="Arial" w:cs="Arial"/>
          <w:color w:val="000000"/>
          <w:kern w:val="0"/>
          <w:sz w:val="22"/>
          <w:szCs w:val="22"/>
          <w14:ligatures w14:val="none"/>
        </w:rPr>
        <w:t xml:space="preserve"> We encourage the Forest Service to cement the direction of the Sustainability Strategy in the new </w:t>
      </w:r>
      <w:proofErr w:type="spellStart"/>
      <w:r w:rsidRPr="00093D3C">
        <w:rPr>
          <w:rFonts w:ascii="Arial" w:eastAsia="Times New Roman" w:hAnsi="Arial" w:cs="Arial"/>
          <w:color w:val="000000"/>
          <w:kern w:val="0"/>
          <w:sz w:val="22"/>
          <w:szCs w:val="22"/>
          <w14:ligatures w14:val="none"/>
        </w:rPr>
        <w:t>Tongass</w:t>
      </w:r>
      <w:proofErr w:type="spellEnd"/>
      <w:r w:rsidRPr="00093D3C">
        <w:rPr>
          <w:rFonts w:ascii="Arial" w:eastAsia="Times New Roman" w:hAnsi="Arial" w:cs="Arial"/>
          <w:color w:val="000000"/>
          <w:kern w:val="0"/>
          <w:sz w:val="22"/>
          <w:szCs w:val="22"/>
          <w14:ligatures w14:val="none"/>
        </w:rPr>
        <w:t xml:space="preserve"> Forest Plan. This amendment can provide a good starting point and guidance for the agency to manage the </w:t>
      </w:r>
      <w:proofErr w:type="spellStart"/>
      <w:r w:rsidRPr="00093D3C">
        <w:rPr>
          <w:rFonts w:ascii="Arial" w:eastAsia="Times New Roman" w:hAnsi="Arial" w:cs="Arial"/>
          <w:color w:val="000000"/>
          <w:kern w:val="0"/>
          <w:sz w:val="22"/>
          <w:szCs w:val="22"/>
          <w14:ligatures w14:val="none"/>
        </w:rPr>
        <w:t>Tongass</w:t>
      </w:r>
      <w:proofErr w:type="spellEnd"/>
      <w:r w:rsidRPr="00093D3C">
        <w:rPr>
          <w:rFonts w:ascii="Arial" w:eastAsia="Times New Roman" w:hAnsi="Arial" w:cs="Arial"/>
          <w:color w:val="000000"/>
          <w:kern w:val="0"/>
          <w:sz w:val="22"/>
          <w:szCs w:val="22"/>
          <w14:ligatures w14:val="none"/>
        </w:rPr>
        <w:t xml:space="preserve"> for climate resilience and support a 21st century Alaska. The Forest Service must successfully pivot to focus on the key issues facing Southeast Alaska: Managing tourism and recreation, restoring habitat, and supporting climate resilience. </w:t>
      </w:r>
    </w:p>
    <w:p w14:paraId="0058A337" w14:textId="77777777" w:rsidR="00093D3C" w:rsidRPr="00093D3C" w:rsidRDefault="00093D3C" w:rsidP="00093D3C">
      <w:pPr>
        <w:numPr>
          <w:ilvl w:val="1"/>
          <w:numId w:val="4"/>
        </w:numPr>
        <w:spacing w:after="0" w:line="240" w:lineRule="auto"/>
        <w:textAlignment w:val="baseline"/>
        <w:rPr>
          <w:rFonts w:ascii="Arial" w:eastAsia="Times New Roman" w:hAnsi="Arial" w:cs="Arial"/>
          <w:color w:val="000000"/>
          <w:kern w:val="0"/>
          <w:sz w:val="22"/>
          <w:szCs w:val="22"/>
          <w14:ligatures w14:val="none"/>
        </w:rPr>
      </w:pPr>
      <w:r w:rsidRPr="00093D3C">
        <w:rPr>
          <w:rFonts w:ascii="Arial" w:eastAsia="Times New Roman" w:hAnsi="Arial" w:cs="Arial"/>
          <w:color w:val="000000"/>
          <w:kern w:val="0"/>
          <w:sz w:val="22"/>
          <w:szCs w:val="22"/>
          <w14:ligatures w14:val="none"/>
        </w:rPr>
        <w:lastRenderedPageBreak/>
        <w:t xml:space="preserve">Describe a small sales program on the </w:t>
      </w:r>
      <w:proofErr w:type="spellStart"/>
      <w:r w:rsidRPr="00093D3C">
        <w:rPr>
          <w:rFonts w:ascii="Arial" w:eastAsia="Times New Roman" w:hAnsi="Arial" w:cs="Arial"/>
          <w:color w:val="000000"/>
          <w:kern w:val="0"/>
          <w:sz w:val="22"/>
          <w:szCs w:val="22"/>
          <w14:ligatures w14:val="none"/>
        </w:rPr>
        <w:t>Tongass</w:t>
      </w:r>
      <w:proofErr w:type="spellEnd"/>
      <w:r w:rsidRPr="00093D3C">
        <w:rPr>
          <w:rFonts w:ascii="Arial" w:eastAsia="Times New Roman" w:hAnsi="Arial" w:cs="Arial"/>
          <w:color w:val="000000"/>
          <w:kern w:val="0"/>
          <w:sz w:val="22"/>
          <w:szCs w:val="22"/>
          <w14:ligatures w14:val="none"/>
        </w:rPr>
        <w:t xml:space="preserve"> in alignment with Sustainability Strategy direction. </w:t>
      </w:r>
    </w:p>
    <w:p w14:paraId="637A18DF" w14:textId="77777777" w:rsidR="00093D3C" w:rsidRPr="00093D3C" w:rsidRDefault="00093D3C" w:rsidP="00093D3C">
      <w:pPr>
        <w:numPr>
          <w:ilvl w:val="1"/>
          <w:numId w:val="4"/>
        </w:numPr>
        <w:spacing w:after="0" w:line="240" w:lineRule="auto"/>
        <w:textAlignment w:val="baseline"/>
        <w:rPr>
          <w:rFonts w:ascii="Arial" w:eastAsia="Times New Roman" w:hAnsi="Arial" w:cs="Arial"/>
          <w:color w:val="000000"/>
          <w:kern w:val="0"/>
          <w:sz w:val="22"/>
          <w:szCs w:val="22"/>
          <w14:ligatures w14:val="none"/>
        </w:rPr>
      </w:pPr>
      <w:r w:rsidRPr="00093D3C">
        <w:rPr>
          <w:rFonts w:ascii="Arial" w:eastAsia="Times New Roman" w:hAnsi="Arial" w:cs="Arial"/>
          <w:color w:val="000000"/>
          <w:kern w:val="0"/>
          <w:sz w:val="22"/>
          <w:szCs w:val="22"/>
          <w14:ligatures w14:val="none"/>
        </w:rPr>
        <w:t>Strengthen climate resilience framework. </w:t>
      </w:r>
    </w:p>
    <w:p w14:paraId="5E18FD13" w14:textId="77777777" w:rsidR="00093D3C" w:rsidRPr="00093D3C" w:rsidRDefault="00093D3C" w:rsidP="00093D3C">
      <w:pPr>
        <w:spacing w:after="240" w:line="240" w:lineRule="auto"/>
        <w:rPr>
          <w:rFonts w:ascii="Times New Roman" w:eastAsia="Times New Roman" w:hAnsi="Times New Roman" w:cs="Times New Roman"/>
          <w:color w:val="000000"/>
          <w:kern w:val="0"/>
          <w14:ligatures w14:val="none"/>
        </w:rPr>
      </w:pPr>
    </w:p>
    <w:p w14:paraId="7FB1B6DD" w14:textId="77777777" w:rsidR="00093D3C" w:rsidRPr="00093D3C" w:rsidRDefault="00093D3C" w:rsidP="00093D3C">
      <w:pPr>
        <w:spacing w:after="0" w:line="240" w:lineRule="auto"/>
        <w:rPr>
          <w:rFonts w:ascii="Times New Roman" w:eastAsia="Times New Roman" w:hAnsi="Times New Roman" w:cs="Times New Roman"/>
          <w:color w:val="000000"/>
          <w:kern w:val="0"/>
          <w14:ligatures w14:val="none"/>
        </w:rPr>
      </w:pPr>
      <w:r w:rsidRPr="00093D3C">
        <w:rPr>
          <w:rFonts w:ascii="Arial" w:eastAsia="Times New Roman" w:hAnsi="Arial" w:cs="Arial"/>
          <w:color w:val="222222"/>
          <w:kern w:val="0"/>
          <w:sz w:val="22"/>
          <w:szCs w:val="22"/>
          <w:shd w:val="clear" w:color="auto" w:fill="FFFFFF"/>
          <w14:ligatures w14:val="none"/>
        </w:rPr>
        <w:t xml:space="preserve">Albert, D. M. &amp; Schoen, J. W. Use of historical logging patterns to identify disproportionately logged ecosystems within temperate rainforests of southeastern Alaska. </w:t>
      </w:r>
      <w:proofErr w:type="spellStart"/>
      <w:r w:rsidRPr="00093D3C">
        <w:rPr>
          <w:rFonts w:ascii="Arial" w:eastAsia="Times New Roman" w:hAnsi="Arial" w:cs="Arial"/>
          <w:i/>
          <w:iCs/>
          <w:color w:val="222222"/>
          <w:kern w:val="0"/>
          <w:sz w:val="22"/>
          <w:szCs w:val="22"/>
          <w:shd w:val="clear" w:color="auto" w:fill="FFFFFF"/>
          <w14:ligatures w14:val="none"/>
        </w:rPr>
        <w:t>Conserv</w:t>
      </w:r>
      <w:proofErr w:type="spellEnd"/>
      <w:r w:rsidRPr="00093D3C">
        <w:rPr>
          <w:rFonts w:ascii="Arial" w:eastAsia="Times New Roman" w:hAnsi="Arial" w:cs="Arial"/>
          <w:i/>
          <w:iCs/>
          <w:color w:val="222222"/>
          <w:kern w:val="0"/>
          <w:sz w:val="22"/>
          <w:szCs w:val="22"/>
          <w:shd w:val="clear" w:color="auto" w:fill="FFFFFF"/>
          <w14:ligatures w14:val="none"/>
        </w:rPr>
        <w:t>. Biol.</w:t>
      </w:r>
      <w:r w:rsidRPr="00093D3C">
        <w:rPr>
          <w:rFonts w:ascii="Arial" w:eastAsia="Times New Roman" w:hAnsi="Arial" w:cs="Arial"/>
          <w:color w:val="222222"/>
          <w:kern w:val="0"/>
          <w:sz w:val="22"/>
          <w:szCs w:val="22"/>
          <w:shd w:val="clear" w:color="auto" w:fill="FFFFFF"/>
          <w14:ligatures w14:val="none"/>
        </w:rPr>
        <w:t xml:space="preserve"> 27, 774–784. </w:t>
      </w:r>
      <w:hyperlink r:id="rId6" w:history="1">
        <w:r w:rsidRPr="00093D3C">
          <w:rPr>
            <w:rFonts w:ascii="Arial" w:eastAsia="Times New Roman" w:hAnsi="Arial" w:cs="Arial"/>
            <w:color w:val="006699"/>
            <w:kern w:val="0"/>
            <w:sz w:val="22"/>
            <w:szCs w:val="22"/>
            <w:u w:val="single"/>
            <w:shd w:val="clear" w:color="auto" w:fill="FFFFFF"/>
            <w14:ligatures w14:val="none"/>
          </w:rPr>
          <w:t>https://conbio.onlinelibrary.wiley.com/doi/abs/10.1111/cobi.12109</w:t>
        </w:r>
      </w:hyperlink>
      <w:r w:rsidRPr="00093D3C">
        <w:rPr>
          <w:rFonts w:ascii="Arial" w:eastAsia="Times New Roman" w:hAnsi="Arial" w:cs="Arial"/>
          <w:color w:val="222222"/>
          <w:kern w:val="0"/>
          <w:sz w:val="22"/>
          <w:szCs w:val="22"/>
          <w:shd w:val="clear" w:color="auto" w:fill="FFFFFF"/>
          <w14:ligatures w14:val="none"/>
        </w:rPr>
        <w:t xml:space="preserve"> (2013). </w:t>
      </w:r>
    </w:p>
    <w:p w14:paraId="5FC12AE1" w14:textId="77777777" w:rsidR="00093D3C" w:rsidRPr="00093D3C" w:rsidRDefault="00093D3C" w:rsidP="00093D3C">
      <w:pPr>
        <w:spacing w:after="0" w:line="240" w:lineRule="auto"/>
        <w:rPr>
          <w:rFonts w:ascii="Times New Roman" w:eastAsia="Times New Roman" w:hAnsi="Times New Roman" w:cs="Times New Roman"/>
          <w:color w:val="000000"/>
          <w:kern w:val="0"/>
          <w14:ligatures w14:val="none"/>
        </w:rPr>
      </w:pPr>
    </w:p>
    <w:p w14:paraId="1096D77A" w14:textId="77777777" w:rsidR="00093D3C" w:rsidRPr="00093D3C" w:rsidRDefault="00093D3C" w:rsidP="00093D3C">
      <w:pPr>
        <w:spacing w:after="0" w:line="240" w:lineRule="auto"/>
        <w:rPr>
          <w:rFonts w:ascii="Times New Roman" w:eastAsia="Times New Roman" w:hAnsi="Times New Roman" w:cs="Times New Roman"/>
          <w:color w:val="000000"/>
          <w:kern w:val="0"/>
          <w14:ligatures w14:val="none"/>
        </w:rPr>
      </w:pPr>
      <w:r w:rsidRPr="00093D3C">
        <w:rPr>
          <w:rFonts w:ascii="Arial" w:eastAsia="Times New Roman" w:hAnsi="Arial" w:cs="Arial"/>
          <w:color w:val="222222"/>
          <w:kern w:val="0"/>
          <w:sz w:val="22"/>
          <w:szCs w:val="22"/>
          <w:shd w:val="clear" w:color="auto" w:fill="FFFFFF"/>
          <w14:ligatures w14:val="none"/>
        </w:rPr>
        <w:t xml:space="preserve">Law, B. E. et al. Southern Alaska’s forest landscape integrity, habitat, and carbon are critical for meeting climate and conservation goals. </w:t>
      </w:r>
      <w:r w:rsidRPr="00093D3C">
        <w:rPr>
          <w:rFonts w:ascii="Arial" w:eastAsia="Times New Roman" w:hAnsi="Arial" w:cs="Arial"/>
          <w:i/>
          <w:iCs/>
          <w:color w:val="222222"/>
          <w:kern w:val="0"/>
          <w:sz w:val="22"/>
          <w:szCs w:val="22"/>
          <w:shd w:val="clear" w:color="auto" w:fill="FFFFFF"/>
          <w14:ligatures w14:val="none"/>
        </w:rPr>
        <w:t>AGU Adv.</w:t>
      </w:r>
      <w:r w:rsidRPr="00093D3C">
        <w:rPr>
          <w:rFonts w:ascii="Arial" w:eastAsia="Times New Roman" w:hAnsi="Arial" w:cs="Arial"/>
          <w:color w:val="222222"/>
          <w:kern w:val="0"/>
          <w:sz w:val="22"/>
          <w:szCs w:val="22"/>
          <w:shd w:val="clear" w:color="auto" w:fill="FFFFFF"/>
          <w14:ligatures w14:val="none"/>
        </w:rPr>
        <w:t xml:space="preserve"> 4, e2023AV000965 (2023).)</w:t>
      </w:r>
    </w:p>
    <w:p w14:paraId="05D51FB7" w14:textId="77777777" w:rsidR="00093D3C" w:rsidRPr="00093D3C" w:rsidRDefault="00093D3C" w:rsidP="00093D3C">
      <w:pPr>
        <w:spacing w:after="0" w:line="240" w:lineRule="auto"/>
        <w:rPr>
          <w:rFonts w:ascii="Times New Roman" w:eastAsia="Times New Roman" w:hAnsi="Times New Roman" w:cs="Times New Roman"/>
          <w:color w:val="000000"/>
          <w:kern w:val="0"/>
          <w14:ligatures w14:val="none"/>
        </w:rPr>
      </w:pPr>
    </w:p>
    <w:p w14:paraId="5C2E7264" w14:textId="77777777" w:rsidR="00093D3C" w:rsidRPr="00093D3C" w:rsidRDefault="00093D3C" w:rsidP="00093D3C">
      <w:pPr>
        <w:spacing w:after="0" w:line="240" w:lineRule="auto"/>
        <w:rPr>
          <w:rFonts w:ascii="Times New Roman" w:eastAsia="Times New Roman" w:hAnsi="Times New Roman" w:cs="Times New Roman"/>
          <w:color w:val="000000"/>
          <w:kern w:val="0"/>
          <w14:ligatures w14:val="none"/>
        </w:rPr>
      </w:pPr>
      <w:r w:rsidRPr="00093D3C">
        <w:rPr>
          <w:rFonts w:ascii="Roboto" w:eastAsia="Times New Roman" w:hAnsi="Roboto" w:cs="Times New Roman"/>
          <w:color w:val="222222"/>
          <w:kern w:val="0"/>
          <w:shd w:val="clear" w:color="auto" w:fill="FFFFFF"/>
          <w14:ligatures w14:val="none"/>
        </w:rPr>
        <w:t xml:space="preserve">Shanley, C.S., Graves, R.A., </w:t>
      </w:r>
      <w:proofErr w:type="spellStart"/>
      <w:r w:rsidRPr="00093D3C">
        <w:rPr>
          <w:rFonts w:ascii="Roboto" w:eastAsia="Times New Roman" w:hAnsi="Roboto" w:cs="Times New Roman"/>
          <w:color w:val="222222"/>
          <w:kern w:val="0"/>
          <w:shd w:val="clear" w:color="auto" w:fill="FFFFFF"/>
          <w14:ligatures w14:val="none"/>
        </w:rPr>
        <w:t>Drever</w:t>
      </w:r>
      <w:proofErr w:type="spellEnd"/>
      <w:r w:rsidRPr="00093D3C">
        <w:rPr>
          <w:rFonts w:ascii="Roboto" w:eastAsia="Times New Roman" w:hAnsi="Roboto" w:cs="Times New Roman"/>
          <w:color w:val="222222"/>
          <w:kern w:val="0"/>
          <w:shd w:val="clear" w:color="auto" w:fill="FFFFFF"/>
          <w14:ligatures w14:val="none"/>
        </w:rPr>
        <w:t xml:space="preserve">, C.R. </w:t>
      </w:r>
      <w:r w:rsidRPr="00093D3C">
        <w:rPr>
          <w:rFonts w:ascii="Roboto" w:eastAsia="Times New Roman" w:hAnsi="Roboto" w:cs="Times New Roman"/>
          <w:i/>
          <w:iCs/>
          <w:color w:val="222222"/>
          <w:kern w:val="0"/>
          <w:shd w:val="clear" w:color="auto" w:fill="FFFFFF"/>
          <w14:ligatures w14:val="none"/>
        </w:rPr>
        <w:t>et al.</w:t>
      </w:r>
      <w:r w:rsidRPr="00093D3C">
        <w:rPr>
          <w:rFonts w:ascii="Roboto" w:eastAsia="Times New Roman" w:hAnsi="Roboto" w:cs="Times New Roman"/>
          <w:color w:val="222222"/>
          <w:kern w:val="0"/>
          <w:shd w:val="clear" w:color="auto" w:fill="FFFFFF"/>
          <w14:ligatures w14:val="none"/>
        </w:rPr>
        <w:t xml:space="preserve"> Mapping forest-based natural climate solutions. </w:t>
      </w:r>
      <w:proofErr w:type="spellStart"/>
      <w:r w:rsidRPr="00093D3C">
        <w:rPr>
          <w:rFonts w:ascii="Roboto" w:eastAsia="Times New Roman" w:hAnsi="Roboto" w:cs="Times New Roman"/>
          <w:i/>
          <w:iCs/>
          <w:color w:val="222222"/>
          <w:kern w:val="0"/>
          <w:shd w:val="clear" w:color="auto" w:fill="FFFFFF"/>
          <w14:ligatures w14:val="none"/>
        </w:rPr>
        <w:t>Commun</w:t>
      </w:r>
      <w:proofErr w:type="spellEnd"/>
      <w:r w:rsidRPr="00093D3C">
        <w:rPr>
          <w:rFonts w:ascii="Roboto" w:eastAsia="Times New Roman" w:hAnsi="Roboto" w:cs="Times New Roman"/>
          <w:i/>
          <w:iCs/>
          <w:color w:val="222222"/>
          <w:kern w:val="0"/>
          <w:shd w:val="clear" w:color="auto" w:fill="FFFFFF"/>
          <w14:ligatures w14:val="none"/>
        </w:rPr>
        <w:t xml:space="preserve"> Earth Environ</w:t>
      </w:r>
      <w:r w:rsidRPr="00093D3C">
        <w:rPr>
          <w:rFonts w:ascii="Roboto" w:eastAsia="Times New Roman" w:hAnsi="Roboto" w:cs="Times New Roman"/>
          <w:color w:val="222222"/>
          <w:kern w:val="0"/>
          <w:shd w:val="clear" w:color="auto" w:fill="FFFFFF"/>
          <w14:ligatures w14:val="none"/>
        </w:rPr>
        <w:t xml:space="preserve"> 5, 502 (2024). https://doi.org/10.1038/s43247-024-01678-z</w:t>
      </w:r>
    </w:p>
    <w:p w14:paraId="7CE74808" w14:textId="77777777" w:rsidR="00093D3C" w:rsidRPr="00093D3C" w:rsidRDefault="00093D3C" w:rsidP="00093D3C">
      <w:pPr>
        <w:spacing w:after="240" w:line="240" w:lineRule="auto"/>
        <w:rPr>
          <w:rFonts w:ascii="Times New Roman" w:eastAsia="Times New Roman" w:hAnsi="Times New Roman" w:cs="Times New Roman"/>
          <w:kern w:val="0"/>
          <w14:ligatures w14:val="none"/>
        </w:rPr>
      </w:pPr>
    </w:p>
    <w:p w14:paraId="4FC355B7" w14:textId="77777777" w:rsidR="00093D3C" w:rsidRPr="00093D3C" w:rsidRDefault="00093D3C" w:rsidP="00093D3C">
      <w:pPr>
        <w:spacing w:after="0" w:line="240" w:lineRule="auto"/>
        <w:rPr>
          <w:rFonts w:ascii="Times New Roman" w:eastAsia="Times New Roman" w:hAnsi="Times New Roman" w:cs="Times New Roman"/>
          <w:kern w:val="0"/>
          <w14:ligatures w14:val="none"/>
        </w:rPr>
      </w:pPr>
    </w:p>
    <w:p w14:paraId="1280CA5E" w14:textId="25C062A5" w:rsidR="00093D3C" w:rsidRPr="00093D3C" w:rsidRDefault="00093D3C" w:rsidP="00093D3C">
      <w:pPr>
        <w:rPr>
          <w:rFonts w:ascii="Times New Roman" w:eastAsia="Times New Roman" w:hAnsi="Times New Roman" w:cs="Times New Roman"/>
        </w:rPr>
      </w:pPr>
    </w:p>
    <w:p w14:paraId="664786AC" w14:textId="77777777" w:rsidR="00093D3C" w:rsidRDefault="00093D3C"/>
    <w:sectPr w:rsidR="00093D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F7A8F"/>
    <w:multiLevelType w:val="multilevel"/>
    <w:tmpl w:val="0F2EA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8D04B1"/>
    <w:multiLevelType w:val="multilevel"/>
    <w:tmpl w:val="2E562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3B1331"/>
    <w:multiLevelType w:val="multilevel"/>
    <w:tmpl w:val="C8B2C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BA4889"/>
    <w:multiLevelType w:val="multilevel"/>
    <w:tmpl w:val="EC064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2638932">
    <w:abstractNumId w:val="1"/>
  </w:num>
  <w:num w:numId="2" w16cid:durableId="1101952873">
    <w:abstractNumId w:val="0"/>
  </w:num>
  <w:num w:numId="3" w16cid:durableId="1168593413">
    <w:abstractNumId w:val="3"/>
  </w:num>
  <w:num w:numId="4" w16cid:durableId="583495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D3C"/>
    <w:rsid w:val="00093D3C"/>
    <w:rsid w:val="00C25519"/>
    <w:rsid w:val="00DA71BC"/>
    <w:rsid w:val="00FA2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D3C35A"/>
  <w15:chartTrackingRefBased/>
  <w15:docId w15:val="{FD91DCE1-3D0D-1042-837B-3BD1F307C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3D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3D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3D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3D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3D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3D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3D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3D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3D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D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3D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3D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3D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3D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3D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3D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3D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3D3C"/>
    <w:rPr>
      <w:rFonts w:eastAsiaTheme="majorEastAsia" w:cstheme="majorBidi"/>
      <w:color w:val="272727" w:themeColor="text1" w:themeTint="D8"/>
    </w:rPr>
  </w:style>
  <w:style w:type="paragraph" w:styleId="Title">
    <w:name w:val="Title"/>
    <w:basedOn w:val="Normal"/>
    <w:next w:val="Normal"/>
    <w:link w:val="TitleChar"/>
    <w:uiPriority w:val="10"/>
    <w:qFormat/>
    <w:rsid w:val="00093D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3D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3D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3D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3D3C"/>
    <w:pPr>
      <w:spacing w:before="160"/>
      <w:jc w:val="center"/>
    </w:pPr>
    <w:rPr>
      <w:i/>
      <w:iCs/>
      <w:color w:val="404040" w:themeColor="text1" w:themeTint="BF"/>
    </w:rPr>
  </w:style>
  <w:style w:type="character" w:customStyle="1" w:styleId="QuoteChar">
    <w:name w:val="Quote Char"/>
    <w:basedOn w:val="DefaultParagraphFont"/>
    <w:link w:val="Quote"/>
    <w:uiPriority w:val="29"/>
    <w:rsid w:val="00093D3C"/>
    <w:rPr>
      <w:i/>
      <w:iCs/>
      <w:color w:val="404040" w:themeColor="text1" w:themeTint="BF"/>
    </w:rPr>
  </w:style>
  <w:style w:type="paragraph" w:styleId="ListParagraph">
    <w:name w:val="List Paragraph"/>
    <w:basedOn w:val="Normal"/>
    <w:uiPriority w:val="34"/>
    <w:qFormat/>
    <w:rsid w:val="00093D3C"/>
    <w:pPr>
      <w:ind w:left="720"/>
      <w:contextualSpacing/>
    </w:pPr>
  </w:style>
  <w:style w:type="character" w:styleId="IntenseEmphasis">
    <w:name w:val="Intense Emphasis"/>
    <w:basedOn w:val="DefaultParagraphFont"/>
    <w:uiPriority w:val="21"/>
    <w:qFormat/>
    <w:rsid w:val="00093D3C"/>
    <w:rPr>
      <w:i/>
      <w:iCs/>
      <w:color w:val="0F4761" w:themeColor="accent1" w:themeShade="BF"/>
    </w:rPr>
  </w:style>
  <w:style w:type="paragraph" w:styleId="IntenseQuote">
    <w:name w:val="Intense Quote"/>
    <w:basedOn w:val="Normal"/>
    <w:next w:val="Normal"/>
    <w:link w:val="IntenseQuoteChar"/>
    <w:uiPriority w:val="30"/>
    <w:qFormat/>
    <w:rsid w:val="00093D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3D3C"/>
    <w:rPr>
      <w:i/>
      <w:iCs/>
      <w:color w:val="0F4761" w:themeColor="accent1" w:themeShade="BF"/>
    </w:rPr>
  </w:style>
  <w:style w:type="character" w:styleId="IntenseReference">
    <w:name w:val="Intense Reference"/>
    <w:basedOn w:val="DefaultParagraphFont"/>
    <w:uiPriority w:val="32"/>
    <w:qFormat/>
    <w:rsid w:val="00093D3C"/>
    <w:rPr>
      <w:b/>
      <w:bCs/>
      <w:smallCaps/>
      <w:color w:val="0F4761" w:themeColor="accent1" w:themeShade="BF"/>
      <w:spacing w:val="5"/>
    </w:rPr>
  </w:style>
  <w:style w:type="paragraph" w:styleId="NormalWeb">
    <w:name w:val="Normal (Web)"/>
    <w:basedOn w:val="Normal"/>
    <w:uiPriority w:val="99"/>
    <w:semiHidden/>
    <w:unhideWhenUsed/>
    <w:rsid w:val="00093D3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093D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553787">
      <w:bodyDiv w:val="1"/>
      <w:marLeft w:val="0"/>
      <w:marRight w:val="0"/>
      <w:marTop w:val="0"/>
      <w:marBottom w:val="0"/>
      <w:divBdr>
        <w:top w:val="none" w:sz="0" w:space="0" w:color="auto"/>
        <w:left w:val="none" w:sz="0" w:space="0" w:color="auto"/>
        <w:bottom w:val="none" w:sz="0" w:space="0" w:color="auto"/>
        <w:right w:val="none" w:sz="0" w:space="0" w:color="auto"/>
      </w:divBdr>
    </w:div>
    <w:div w:id="103102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bio.onlinelibrary.wiley.com/doi/abs/10.1111/cobi.12109"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1381</Words>
  <Characters>7876</Characters>
  <Application>Microsoft Office Word</Application>
  <DocSecurity>0</DocSecurity>
  <Lines>65</Lines>
  <Paragraphs>18</Paragraphs>
  <ScaleCrop>false</ScaleCrop>
  <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Kirkwood</dc:creator>
  <cp:keywords/>
  <dc:description/>
  <cp:lastModifiedBy>Dan Kirkwood</cp:lastModifiedBy>
  <cp:revision>4</cp:revision>
  <dcterms:created xsi:type="dcterms:W3CDTF">2024-09-18T17:43:00Z</dcterms:created>
  <dcterms:modified xsi:type="dcterms:W3CDTF">2024-09-18T19:58:00Z</dcterms:modified>
</cp:coreProperties>
</file>