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54FB" w:rsidRDefault="00345D4F">
      <w:r>
        <w:rPr>
          <w:noProof/>
        </w:rPr>
        <w:drawing>
          <wp:inline distT="0" distB="0" distL="0" distR="0" wp14:anchorId="107EB41A" wp14:editId="67CFFD4B">
            <wp:extent cx="5943600" cy="4457700"/>
            <wp:effectExtent l="0" t="0" r="0" b="0"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D4F" w:rsidRDefault="00345D4F">
      <w:r>
        <w:t>The new Old Growth definition includes dead snags as shown in this picture. This runs contrary to the public’s perception of the current Old Growth definition.</w:t>
      </w:r>
    </w:p>
    <w:sectPr w:rsidR="00345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4F"/>
    <w:rsid w:val="000654FB"/>
    <w:rsid w:val="00107205"/>
    <w:rsid w:val="0034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EAAC9"/>
  <w15:chartTrackingRefBased/>
  <w15:docId w15:val="{D5423396-CA20-4DC8-98A5-8C4DE832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White</dc:creator>
  <cp:keywords/>
  <dc:description/>
  <cp:lastModifiedBy>Kerry White</cp:lastModifiedBy>
  <cp:revision>1</cp:revision>
  <dcterms:created xsi:type="dcterms:W3CDTF">2024-09-17T22:53:00Z</dcterms:created>
  <dcterms:modified xsi:type="dcterms:W3CDTF">2024-09-17T22:56:00Z</dcterms:modified>
</cp:coreProperties>
</file>