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CCCB6" w14:textId="77777777" w:rsidR="0011747D" w:rsidRDefault="00000000">
      <w:r>
        <w:t>July 1, 2024</w:t>
      </w:r>
    </w:p>
    <w:p w14:paraId="66762613" w14:textId="77777777" w:rsidR="0011747D" w:rsidRDefault="0011747D"/>
    <w:p w14:paraId="5D9F9D70" w14:textId="77777777" w:rsidR="0011747D" w:rsidRDefault="0011747D"/>
    <w:p w14:paraId="4F67B92A" w14:textId="77777777" w:rsidR="0011747D" w:rsidRDefault="00000000">
      <w:r>
        <w:t>Ms. Deborah Oakeson, Deputy Regional Forester</w:t>
      </w:r>
    </w:p>
    <w:p w14:paraId="5937542D" w14:textId="77777777" w:rsidR="0011747D" w:rsidRDefault="00000000">
      <w:r>
        <w:t>Objection Reviewing Officer</w:t>
      </w:r>
    </w:p>
    <w:p w14:paraId="3AA52CF9" w14:textId="77777777" w:rsidR="0011747D" w:rsidRDefault="00000000">
      <w:r>
        <w:t>USFS Intermountain Regional Office</w:t>
      </w:r>
    </w:p>
    <w:p w14:paraId="6DBB1223" w14:textId="77777777" w:rsidR="0011747D" w:rsidRDefault="00000000">
      <w:r>
        <w:t>324 25th Street</w:t>
      </w:r>
    </w:p>
    <w:p w14:paraId="3CB3C612" w14:textId="77777777" w:rsidR="0011747D" w:rsidRDefault="00000000">
      <w:r>
        <w:t>Ogden, UT 84401</w:t>
      </w:r>
    </w:p>
    <w:p w14:paraId="57C27608" w14:textId="77777777" w:rsidR="0011747D" w:rsidRDefault="00000000">
      <w:r>
        <w:t xml:space="preserve">Email: </w:t>
      </w:r>
      <w:r>
        <w:rPr>
          <w:highlight w:val="white"/>
        </w:rPr>
        <w:t>deborah.oakeson@usda.gov</w:t>
      </w:r>
    </w:p>
    <w:p w14:paraId="5A36F469" w14:textId="77777777" w:rsidR="0011747D" w:rsidRDefault="0011747D"/>
    <w:p w14:paraId="094B4261" w14:textId="77777777" w:rsidR="0011747D" w:rsidRDefault="0011747D"/>
    <w:p w14:paraId="273E3BBC" w14:textId="77777777" w:rsidR="0011747D" w:rsidRDefault="00000000">
      <w:pPr>
        <w:rPr>
          <w:b/>
        </w:rPr>
      </w:pPr>
      <w:r>
        <w:t xml:space="preserve">Re: </w:t>
      </w:r>
      <w:r>
        <w:rPr>
          <w:b/>
        </w:rPr>
        <w:t>Objection to the Hungry Creek Vegetation Improvement Project Environmental Assessment (EA)</w:t>
      </w:r>
    </w:p>
    <w:p w14:paraId="1986737D" w14:textId="77777777" w:rsidR="0011747D" w:rsidRDefault="0011747D">
      <w:pPr>
        <w:rPr>
          <w:b/>
        </w:rPr>
      </w:pPr>
    </w:p>
    <w:p w14:paraId="5609543B" w14:textId="77777777" w:rsidR="0011747D" w:rsidRDefault="00000000">
      <w:r>
        <w:rPr>
          <w:i/>
        </w:rPr>
        <w:t>Submitted via the project webpage</w:t>
      </w:r>
      <w:r>
        <w:t xml:space="preserve">. </w:t>
      </w:r>
    </w:p>
    <w:p w14:paraId="3EF142C3" w14:textId="77777777" w:rsidR="0011747D" w:rsidRDefault="0011747D"/>
    <w:p w14:paraId="489AF8D3" w14:textId="77777777" w:rsidR="0011747D" w:rsidRDefault="0011747D"/>
    <w:p w14:paraId="7C488327" w14:textId="77777777" w:rsidR="0011747D" w:rsidRDefault="00000000">
      <w:r>
        <w:t>Deputy Regional Forester Oakeson,</w:t>
      </w:r>
    </w:p>
    <w:p w14:paraId="04DC5A78" w14:textId="77777777" w:rsidR="0011747D" w:rsidRDefault="0011747D"/>
    <w:p w14:paraId="14876545" w14:textId="77777777" w:rsidR="0011747D" w:rsidRDefault="00000000">
      <w:r>
        <w:t xml:space="preserve">The following is an Objection filed by the Grand Canyon Trust, Western Watersheds Project, Center for Biological Diversity, and …  to the Environmental Assessment (EA), Finding of No Significant Impact (FONSI), and Draft Decision Notice (DN) for the Hungry Creek Vegetation Improvement Project on the Escalante Ranger District of the Dixie National Forest.  Below are issues we remain concerned about in relation to this project.  We previously submitted extensive comments both during scoping and as part of the public comment on the draft environmental </w:t>
      </w:r>
      <w:proofErr w:type="gramStart"/>
      <w:r>
        <w:t>assessment..</w:t>
      </w:r>
      <w:proofErr w:type="gramEnd"/>
      <w:r>
        <w:t xml:space="preserve"> While we do not address each issue raised in our comments in the body of this objection, we incorporate our comments by reference, and as a general matter assert that the Agency has failed to address our concerns.  </w:t>
      </w:r>
    </w:p>
    <w:p w14:paraId="2944B9F8" w14:textId="77777777" w:rsidR="0011747D" w:rsidRDefault="00000000">
      <w:pPr>
        <w:spacing w:before="240" w:after="240"/>
        <w:rPr>
          <w:u w:val="single"/>
        </w:rPr>
      </w:pPr>
      <w:r>
        <w:rPr>
          <w:u w:val="single"/>
        </w:rPr>
        <w:t>Project Objected To</w:t>
      </w:r>
    </w:p>
    <w:p w14:paraId="4C9F37E2" w14:textId="77777777" w:rsidR="0011747D" w:rsidRDefault="00000000">
      <w:pPr>
        <w:spacing w:before="240" w:after="240" w:line="276" w:lineRule="auto"/>
      </w:pPr>
      <w:r>
        <w:t>Pursuant to 36 C.F.R. § 218.8(d)(4), Grand Canyon Trust et al. object to:</w:t>
      </w:r>
    </w:p>
    <w:p w14:paraId="132FBC4F" w14:textId="77777777" w:rsidR="0011747D" w:rsidRDefault="00000000">
      <w:pPr>
        <w:spacing w:after="240" w:line="276" w:lineRule="auto"/>
        <w:ind w:left="720"/>
      </w:pPr>
      <w:r>
        <w:rPr>
          <w:i/>
        </w:rPr>
        <w:t>Project</w:t>
      </w:r>
      <w:r>
        <w:t>: Hungry Creek Vegetation Improvement Project, Dixie National Forest</w:t>
      </w:r>
    </w:p>
    <w:p w14:paraId="2957E90F" w14:textId="77777777" w:rsidR="0011747D" w:rsidRDefault="00000000">
      <w:pPr>
        <w:spacing w:after="240" w:line="276" w:lineRule="auto"/>
        <w:ind w:left="720"/>
      </w:pPr>
      <w:r>
        <w:rPr>
          <w:i/>
        </w:rPr>
        <w:t>Responsible Official and Forest/Ranger District</w:t>
      </w:r>
      <w:r>
        <w:t>:  Kevin Wright, Forest Supervisor, Dixie National Forest</w:t>
      </w:r>
    </w:p>
    <w:p w14:paraId="2C94AD6E" w14:textId="77777777" w:rsidR="0011747D" w:rsidRDefault="00000000">
      <w:pPr>
        <w:spacing w:before="240" w:after="240" w:line="276" w:lineRule="auto"/>
        <w:rPr>
          <w:u w:val="single"/>
        </w:rPr>
      </w:pPr>
      <w:r>
        <w:rPr>
          <w:u w:val="single"/>
        </w:rPr>
        <w:t>Timeliness</w:t>
      </w:r>
    </w:p>
    <w:p w14:paraId="5ECE2BA7" w14:textId="77777777" w:rsidR="0011747D" w:rsidRDefault="00000000">
      <w:pPr>
        <w:spacing w:before="240" w:after="240" w:line="276" w:lineRule="auto"/>
      </w:pPr>
      <w:r>
        <w:t xml:space="preserve">These objections are timely filed. Notice of the Draft DN and FONSI was published in the Wayne and Garfield County Insider on May 16, 2024. </w:t>
      </w:r>
      <w:r>
        <w:rPr>
          <w:i/>
        </w:rPr>
        <w:t>See</w:t>
      </w:r>
      <w:r>
        <w:t xml:space="preserve"> Legal Notice, in Forest Service project file. The 45</w:t>
      </w:r>
      <w:r>
        <w:rPr>
          <w:vertAlign w:val="superscript"/>
        </w:rPr>
        <w:t>th</w:t>
      </w:r>
      <w:r>
        <w:t xml:space="preserve"> day after the date of the May 16 notice is Sunday, June 30, and so the </w:t>
      </w:r>
      <w:r>
        <w:lastRenderedPageBreak/>
        <w:t xml:space="preserve">objection period expires at 11:59 PM Mountain time the next business day, Monday, July 1. </w:t>
      </w:r>
      <w:r>
        <w:rPr>
          <w:i/>
        </w:rPr>
        <w:t>See</w:t>
      </w:r>
      <w:r>
        <w:t xml:space="preserve"> 36 C.F.R. § 218.6(a).</w:t>
      </w:r>
    </w:p>
    <w:p w14:paraId="266D8594" w14:textId="77777777" w:rsidR="0011747D" w:rsidRDefault="00000000">
      <w:pPr>
        <w:spacing w:before="240" w:after="240" w:line="276" w:lineRule="auto"/>
        <w:rPr>
          <w:u w:val="single"/>
        </w:rPr>
      </w:pPr>
      <w:r>
        <w:rPr>
          <w:u w:val="single"/>
        </w:rPr>
        <w:t>Lead Objector</w:t>
      </w:r>
    </w:p>
    <w:p w14:paraId="52AA456C" w14:textId="77777777" w:rsidR="0011747D" w:rsidRDefault="00000000">
      <w:pPr>
        <w:spacing w:before="240" w:after="240" w:line="276" w:lineRule="auto"/>
      </w:pPr>
      <w:r>
        <w:t>Per 36 C.F.R. § 218.8(d)(3), the Objectors designate the “Lead Objector” as follows:</w:t>
      </w:r>
    </w:p>
    <w:p w14:paraId="69362516" w14:textId="77777777" w:rsidR="0011747D" w:rsidRDefault="00000000">
      <w:pPr>
        <w:ind w:left="720"/>
      </w:pPr>
      <w:r>
        <w:t>Mike Popejoy, Lead Objector</w:t>
      </w:r>
    </w:p>
    <w:p w14:paraId="5D39A990" w14:textId="77777777" w:rsidR="0011747D" w:rsidRDefault="00000000">
      <w:pPr>
        <w:ind w:left="720"/>
      </w:pPr>
      <w:r>
        <w:t>Utah Public Lands Director</w:t>
      </w:r>
    </w:p>
    <w:p w14:paraId="082ADAB9" w14:textId="77777777" w:rsidR="0011747D" w:rsidRDefault="00000000">
      <w:pPr>
        <w:ind w:left="720"/>
      </w:pPr>
      <w:r>
        <w:t>Grand Canyon Trust</w:t>
      </w:r>
    </w:p>
    <w:p w14:paraId="6F15A3C6" w14:textId="77777777" w:rsidR="0011747D" w:rsidRDefault="00000000">
      <w:pPr>
        <w:ind w:left="720"/>
      </w:pPr>
      <w:r>
        <w:t>2601 N. Fort Valley Rd.</w:t>
      </w:r>
    </w:p>
    <w:p w14:paraId="2C38E874" w14:textId="77777777" w:rsidR="0011747D" w:rsidRDefault="00000000">
      <w:pPr>
        <w:ind w:left="720"/>
      </w:pPr>
      <w:r>
        <w:t>Flagstaff, AZ 86001</w:t>
      </w:r>
    </w:p>
    <w:p w14:paraId="1E3A77FE" w14:textId="77777777" w:rsidR="0011747D" w:rsidRDefault="00000000">
      <w:pPr>
        <w:ind w:left="720"/>
      </w:pPr>
      <w:r>
        <w:t>(928) 707-1419</w:t>
      </w:r>
    </w:p>
    <w:p w14:paraId="441A1A8C" w14:textId="77777777" w:rsidR="0011747D" w:rsidRDefault="00000000">
      <w:pPr>
        <w:ind w:left="720"/>
        <w:rPr>
          <w:color w:val="1155CC"/>
          <w:u w:val="single"/>
        </w:rPr>
      </w:pPr>
      <w:hyperlink r:id="rId8">
        <w:r>
          <w:rPr>
            <w:color w:val="1155CC"/>
            <w:u w:val="single"/>
          </w:rPr>
          <w:t>mpopejoy@grandcanyontrust.org</w:t>
        </w:r>
      </w:hyperlink>
    </w:p>
    <w:p w14:paraId="38794D71" w14:textId="77777777" w:rsidR="0011747D" w:rsidRDefault="0011747D">
      <w:pPr>
        <w:ind w:left="720"/>
        <w:rPr>
          <w:color w:val="1155CC"/>
          <w:u w:val="single"/>
        </w:rPr>
      </w:pPr>
    </w:p>
    <w:p w14:paraId="209CC710" w14:textId="77777777" w:rsidR="0011747D" w:rsidRDefault="00000000">
      <w:pPr>
        <w:spacing w:line="276" w:lineRule="auto"/>
        <w:rPr>
          <w:u w:val="single"/>
        </w:rPr>
      </w:pPr>
      <w:r>
        <w:rPr>
          <w:u w:val="single"/>
        </w:rPr>
        <w:t>Interests and Participation of the Objectors</w:t>
      </w:r>
    </w:p>
    <w:p w14:paraId="398D7094" w14:textId="77777777" w:rsidR="0011747D" w:rsidRDefault="0011747D">
      <w:pPr>
        <w:spacing w:line="276" w:lineRule="auto"/>
        <w:rPr>
          <w:u w:val="single"/>
        </w:rPr>
      </w:pPr>
    </w:p>
    <w:p w14:paraId="0224A759" w14:textId="77777777" w:rsidR="0011747D" w:rsidRDefault="00000000">
      <w:pPr>
        <w:spacing w:after="240" w:line="276" w:lineRule="auto"/>
      </w:pPr>
      <w:r>
        <w:t xml:space="preserve">The Grand Canyon Trust is a regional non-profit conservation organization whose mission is to safeguard the wonders of the Grand Canyon and the Colorado Plateau, while supporting the rights of its Native peoples. We envision a Colorado Plateau where wildness, the diversity of native plants and animals, clean air, and flowing rivers abound; where sovereign Tribal Nations thrive; where a livable climate endures; and where people passionately work to protect the region they love for future generations.  Grand Canyon Trust staff, members, and supporters use and enjoy the Dixie National Forest and the lands within the Hungry Creek Project area. </w:t>
      </w:r>
    </w:p>
    <w:p w14:paraId="5334C30B" w14:textId="77777777" w:rsidR="0011747D" w:rsidRDefault="00000000">
      <w:pPr>
        <w:spacing w:before="240" w:after="240" w:line="276" w:lineRule="auto"/>
      </w:pPr>
      <w:r>
        <w:t>The Center for Biological Diversity is a non-profit environmental organization with more than 1.7 million members and online activists who value wilderness, biodiversity, old growth forests, and the threatened and endangered species which occur on America’s spectacular public lands and waters. Center members and supporters use and enjoy the Dixie National Forest, and the lands within the Hungry Creek Project area for recreation, photography, nature study, and spiritual renewal.</w:t>
      </w:r>
    </w:p>
    <w:p w14:paraId="2A2B624E" w14:textId="77777777" w:rsidR="0011747D" w:rsidRDefault="00000000">
      <w:pPr>
        <w:spacing w:before="240" w:after="240" w:line="276" w:lineRule="auto"/>
      </w:pPr>
      <w:r>
        <w:t xml:space="preserve">Western Watershed Project is a west-wide non-profit 501(c)(3) membership organization dedicated to protecting and conserving the public lands and natural resources of watersheds in the American West. WWP has over 11,000 members and supporters, including members who live in Utah. Western Watersheds Project members and supporters use and enjoy the Dixie National Forest and the lands within the Hungry Creek project area.  WWP is active in seeking to protect and improve the riparian areas, water quality, fisheries, wildlife, and other natural resources and ecological values of western watersheds. To do so, WWP actively participates in agency decision-making concerning Forest Service and BLM lands throughout the West, and the Forest Service and BLM’s </w:t>
      </w:r>
      <w:r>
        <w:lastRenderedPageBreak/>
        <w:t>management of livestock grazing in Idaho, Nevada, Utah, Colorado, Arizona, Montana, California, Oregon, and Wyoming.</w:t>
      </w:r>
    </w:p>
    <w:p w14:paraId="5D6704A1" w14:textId="77777777" w:rsidR="0011747D" w:rsidRDefault="00000000">
      <w:pPr>
        <w:pStyle w:val="Heading2"/>
        <w:tabs>
          <w:tab w:val="left" w:pos="540"/>
        </w:tabs>
        <w:rPr>
          <w:b/>
          <w:sz w:val="24"/>
          <w:szCs w:val="24"/>
        </w:rPr>
      </w:pPr>
      <w:r>
        <w:rPr>
          <w:b/>
          <w:sz w:val="24"/>
          <w:szCs w:val="24"/>
        </w:rPr>
        <w:t>I.</w:t>
      </w:r>
      <w:r>
        <w:rPr>
          <w:b/>
          <w:sz w:val="24"/>
          <w:szCs w:val="24"/>
        </w:rPr>
        <w:tab/>
        <w:t>Lack of Specificity Regarding Treatments and Their Effects</w:t>
      </w:r>
    </w:p>
    <w:p w14:paraId="54297A77" w14:textId="77777777" w:rsidR="0011747D" w:rsidRDefault="0011747D">
      <w:pPr>
        <w:pStyle w:val="Heading2"/>
        <w:tabs>
          <w:tab w:val="left" w:pos="540"/>
        </w:tabs>
        <w:spacing w:before="0"/>
        <w:rPr>
          <w:b/>
          <w:sz w:val="24"/>
          <w:szCs w:val="24"/>
        </w:rPr>
      </w:pPr>
    </w:p>
    <w:p w14:paraId="564C093C" w14:textId="77777777" w:rsidR="0011747D" w:rsidRDefault="00000000">
      <w:r>
        <w:t>The Agency has failed to define and explain exactly what it intends to do where and, in so doing, has violated NEPA. Despite the vast amount of ink spilled, the EA fails to provide essential information, and the public is left guessing about the exact nature of the proposed action and, more importantly, what the end results will be. While the Agency briefly describes desired conditions, existing conditions, and treatment types, nowhere does it answer fundamental questions essential to understanding what exactly is being proposed and what the effects would be, as outlined below.</w:t>
      </w:r>
    </w:p>
    <w:p w14:paraId="3E0B331D" w14:textId="77777777" w:rsidR="0011747D" w:rsidRDefault="0011747D"/>
    <w:p w14:paraId="4EB4C417" w14:textId="77777777" w:rsidR="0011747D" w:rsidRDefault="00000000">
      <w:r>
        <w:t>Under the proposed action, 47,570 acres are proposed for vegetation treatments and 45,920 acres are proposed for prescribed fire treatments.  The EA states:  “Note that vegetation treatments and prescribed fire may occur on the same acreage.”  It goes on to state:  “Approximately 28,290 additional acres would be a maximum management area” (p. 39).</w:t>
      </w:r>
    </w:p>
    <w:p w14:paraId="07D3770F" w14:textId="77777777" w:rsidR="0011747D" w:rsidRDefault="0011747D"/>
    <w:p w14:paraId="568B1F9D" w14:textId="77777777" w:rsidR="0011747D" w:rsidRDefault="00000000">
      <w:r>
        <w:t>Regarding the potential overlap of vegetation treatments and prescribed fire treatments, the EA fails to specify the following:</w:t>
      </w:r>
    </w:p>
    <w:p w14:paraId="3248A779" w14:textId="77777777" w:rsidR="0011747D" w:rsidRDefault="00000000">
      <w:pPr>
        <w:numPr>
          <w:ilvl w:val="0"/>
          <w:numId w:val="5"/>
        </w:numPr>
      </w:pPr>
      <w:r>
        <w:t>where this overlap occurs and the total acreage of overlap</w:t>
      </w:r>
    </w:p>
    <w:p w14:paraId="284D93D7" w14:textId="77777777" w:rsidR="0011747D" w:rsidRDefault="00000000">
      <w:pPr>
        <w:numPr>
          <w:ilvl w:val="0"/>
          <w:numId w:val="5"/>
        </w:numPr>
      </w:pPr>
      <w:r>
        <w:t>where there is overlap, which specific vegetation treatment(s) and fuels treatment(s) would be used</w:t>
      </w:r>
    </w:p>
    <w:p w14:paraId="432D7280" w14:textId="77777777" w:rsidR="0011747D" w:rsidRDefault="00000000">
      <w:pPr>
        <w:numPr>
          <w:ilvl w:val="0"/>
          <w:numId w:val="5"/>
        </w:numPr>
      </w:pPr>
      <w:r>
        <w:t>where multiple treatments would be used, what the effects of this combination of treatments would be and how those effects might differ from using each treatment in isolation</w:t>
      </w:r>
    </w:p>
    <w:p w14:paraId="418E78B5" w14:textId="77777777" w:rsidR="0011747D" w:rsidRDefault="0011747D"/>
    <w:p w14:paraId="11B99A4A" w14:textId="77777777" w:rsidR="0011747D" w:rsidRDefault="00000000">
      <w:r>
        <w:t xml:space="preserve">Regarding the </w:t>
      </w:r>
      <w:proofErr w:type="gramStart"/>
      <w:r>
        <w:t>fuels</w:t>
      </w:r>
      <w:proofErr w:type="gramEnd"/>
      <w:r>
        <w:t xml:space="preserve"> treatments, the distinction between the treatments is unclear.  One category, encompassing 19,258 acres, is “Lop and Scatter, Cut and Pile/Pile Burn/</w:t>
      </w:r>
      <w:proofErr w:type="spellStart"/>
      <w:r>
        <w:t>Underburn</w:t>
      </w:r>
      <w:proofErr w:type="spellEnd"/>
      <w:r>
        <w:t xml:space="preserve"> and/or broadcast burn”, while there are also separate categories for Broadcast Burn, Lop and Scatter, </w:t>
      </w:r>
      <w:proofErr w:type="spellStart"/>
      <w:r>
        <w:t>Underburn</w:t>
      </w:r>
      <w:proofErr w:type="spellEnd"/>
      <w:r>
        <w:t xml:space="preserve">, </w:t>
      </w:r>
      <w:proofErr w:type="spellStart"/>
      <w:r>
        <w:t>Underburn</w:t>
      </w:r>
      <w:proofErr w:type="spellEnd"/>
      <w:r>
        <w:t xml:space="preserve">/Broadcast burn, and Whole Tree Yarding/Pile Burn (p. 46).  For the categories listing more than one potential treatment type (the category quoted above lists 5), it is unclear what is being proposed.  If two or more treatments </w:t>
      </w:r>
      <w:proofErr w:type="gramStart"/>
      <w:r>
        <w:t>will be</w:t>
      </w:r>
      <w:proofErr w:type="gramEnd"/>
      <w:r>
        <w:t xml:space="preserve"> used for a specific acreage, that should be stated clearly along with exactly how those multiple treatment types will be implemented.  Stating that one of five potential treatment types will occur on 19,258 acres fails to provide the specificity required to satisfy NEPA’s requirements to analyze direct impacts</w:t>
      </w:r>
      <w:r>
        <w:rPr>
          <w:vertAlign w:val="superscript"/>
        </w:rPr>
        <w:footnoteReference w:id="1"/>
      </w:r>
      <w:r>
        <w:t xml:space="preserve"> and to inform the public</w:t>
      </w:r>
      <w:r>
        <w:rPr>
          <w:vertAlign w:val="superscript"/>
        </w:rPr>
        <w:footnoteReference w:id="2"/>
      </w:r>
      <w:r>
        <w:t xml:space="preserve">.  Furthermore, the proposed action includes 11,672 acres of “Whole Tree </w:t>
      </w:r>
      <w:r>
        <w:lastRenderedPageBreak/>
        <w:t xml:space="preserve">Yarding/Pile Burn” (Table 30, p. 46).  Nowhere does the EA describe exactly what is meant by “Whole Tree Yarding” or any of the other fuels treatments.  Consequently, having failed to describe the various fuels treatments, the EA also fails to undertake an analysis of effects specific to the individual </w:t>
      </w:r>
      <w:proofErr w:type="gramStart"/>
      <w:r>
        <w:t>fuels</w:t>
      </w:r>
      <w:proofErr w:type="gramEnd"/>
      <w:r>
        <w:t xml:space="preserve"> treatments.   </w:t>
      </w:r>
    </w:p>
    <w:p w14:paraId="1860B6E4" w14:textId="77777777" w:rsidR="0011747D" w:rsidRDefault="0011747D"/>
    <w:p w14:paraId="51551089" w14:textId="77777777" w:rsidR="0011747D" w:rsidRDefault="00000000">
      <w:r>
        <w:t xml:space="preserve">Regarding old-growth in particular, the EA includes Table 28 which shows proposed treatments in old-growth forests in the proposed action, including silvicultural treatment, fuels treatment, and the passive MMA (maximum manageable area) which could be managed for fuel reduction if fire carries into them from surrounding prescribed fire (p. 41).  It is impossible to be sure how these various treatments relate to each other.  It seems that both the fuels treatment and MMA acreage are a subset of the silvicultural treatment acreage based on the “Maximum Area </w:t>
      </w:r>
      <w:proofErr w:type="gramStart"/>
      <w:r>
        <w:t>By</w:t>
      </w:r>
      <w:proofErr w:type="gramEnd"/>
      <w:r>
        <w:t xml:space="preserve"> Cover Type” row in Table 28.  But as cited above, the EA describes the maximum management area as “additional acres” in relation to vegetation and prescribed fire treatments.  Is the Passive MMA Area in Table 28 a subset of the silvicultural treatment acreage, or are they mutually exclusive?  It is unclear, and an answer cannot be ascertained based on the information in the EA.</w:t>
      </w:r>
    </w:p>
    <w:p w14:paraId="47682B17" w14:textId="77777777" w:rsidR="0011747D" w:rsidRDefault="0011747D"/>
    <w:p w14:paraId="0249EA99" w14:textId="77777777" w:rsidR="0011747D" w:rsidRDefault="00000000">
      <w:r>
        <w:t>The Treatment Descriptions by Vegetation Type for the proposed action fail to disclose exactly what would happen where, as described below for each vegetation type.</w:t>
      </w:r>
    </w:p>
    <w:p w14:paraId="68B9AFDE" w14:textId="77777777" w:rsidR="0011747D" w:rsidRDefault="0011747D"/>
    <w:p w14:paraId="369CD202" w14:textId="77777777" w:rsidR="0011747D" w:rsidRDefault="00000000">
      <w:r>
        <w:t xml:space="preserve">For spruce/fir, where exactly and how much acreage would be subject to thinning?  To </w:t>
      </w:r>
      <w:proofErr w:type="gramStart"/>
      <w:r>
        <w:t>prescribed</w:t>
      </w:r>
      <w:proofErr w:type="gramEnd"/>
      <w:r>
        <w:t xml:space="preserve"> </w:t>
      </w:r>
      <w:proofErr w:type="gramStart"/>
      <w:r>
        <w:t>fire?</w:t>
      </w:r>
      <w:proofErr w:type="gramEnd"/>
      <w:r>
        <w:t xml:space="preserve">  To </w:t>
      </w:r>
      <w:proofErr w:type="gramStart"/>
      <w:r>
        <w:t>both of these</w:t>
      </w:r>
      <w:proofErr w:type="gramEnd"/>
      <w:r>
        <w:t xml:space="preserve"> treatment types in combination? </w:t>
      </w:r>
    </w:p>
    <w:p w14:paraId="393178F5" w14:textId="77777777" w:rsidR="0011747D" w:rsidRDefault="0011747D"/>
    <w:p w14:paraId="39FA2DDD" w14:textId="77777777" w:rsidR="0011747D" w:rsidRDefault="00000000">
      <w:r>
        <w:t>For mixed conifer, the EA states:</w:t>
      </w:r>
    </w:p>
    <w:p w14:paraId="4DBE4F7A" w14:textId="77777777" w:rsidR="0011747D" w:rsidRDefault="00000000">
      <w:pPr>
        <w:ind w:left="720" w:right="720"/>
      </w:pPr>
      <w:r>
        <w:t>Much of the mixed conifer lies under the rim on steep, rocky slopes that limit silviculture options to hand thinning and prescribed fire.  Mixed conifer stands amenable to mechanical treatments may be thinned according to the following proposed silvicultural descriptions… (p. 42)</w:t>
      </w:r>
    </w:p>
    <w:p w14:paraId="18FBCD25" w14:textId="77777777" w:rsidR="0011747D" w:rsidRDefault="00000000">
      <w:r>
        <w:t xml:space="preserve">Where exactly and how much acreage in mixed conifer would be subject to mechanical treatments?  To hand thinning?  To </w:t>
      </w:r>
      <w:proofErr w:type="gramStart"/>
      <w:r>
        <w:t>prescribed</w:t>
      </w:r>
      <w:proofErr w:type="gramEnd"/>
      <w:r>
        <w:t xml:space="preserve"> </w:t>
      </w:r>
      <w:proofErr w:type="gramStart"/>
      <w:r>
        <w:t>fire?</w:t>
      </w:r>
      <w:proofErr w:type="gramEnd"/>
      <w:r>
        <w:t xml:space="preserve">  To more than one of these treatment types in combination?</w:t>
      </w:r>
    </w:p>
    <w:p w14:paraId="0EF9C568" w14:textId="77777777" w:rsidR="0011747D" w:rsidRDefault="0011747D"/>
    <w:p w14:paraId="1F16ECC4" w14:textId="77777777" w:rsidR="0011747D" w:rsidRDefault="00000000">
      <w:r>
        <w:t xml:space="preserve">For aspen, the EA states:  “Perform coppice cuts in coordination with other aspen treatments and prescribed fire to spread out ungulate browse pressure” (p. 43).  Where exactly and how much acreage in aspen would be subject to coppice clearcuts?  To Timber Stand Improvement (TSI) or thinning?  To </w:t>
      </w:r>
      <w:proofErr w:type="gramStart"/>
      <w:r>
        <w:t>prescribed</w:t>
      </w:r>
      <w:proofErr w:type="gramEnd"/>
      <w:r>
        <w:t xml:space="preserve"> </w:t>
      </w:r>
      <w:proofErr w:type="gramStart"/>
      <w:r>
        <w:t>fire?</w:t>
      </w:r>
      <w:proofErr w:type="gramEnd"/>
      <w:r>
        <w:t xml:space="preserve">  To more than one of these treatment types in combination?</w:t>
      </w:r>
    </w:p>
    <w:p w14:paraId="4D85E7B4" w14:textId="77777777" w:rsidR="0011747D" w:rsidRDefault="0011747D"/>
    <w:p w14:paraId="2516CFB1" w14:textId="77777777" w:rsidR="0011747D" w:rsidRDefault="00000000">
      <w:r>
        <w:t xml:space="preserve">For ponderosa pine, where exactly and how much acreage would be subject to thinning/sanitation/Timber Stand Improvement (TSI)?  To </w:t>
      </w:r>
      <w:proofErr w:type="gramStart"/>
      <w:r>
        <w:t>prescribed</w:t>
      </w:r>
      <w:proofErr w:type="gramEnd"/>
      <w:r>
        <w:t xml:space="preserve"> </w:t>
      </w:r>
      <w:proofErr w:type="gramStart"/>
      <w:r>
        <w:t>fire?</w:t>
      </w:r>
      <w:proofErr w:type="gramEnd"/>
      <w:r>
        <w:t xml:space="preserve">  To </w:t>
      </w:r>
      <w:proofErr w:type="gramStart"/>
      <w:r>
        <w:t>both of these</w:t>
      </w:r>
      <w:proofErr w:type="gramEnd"/>
      <w:r>
        <w:t xml:space="preserve"> treatment types in combination? </w:t>
      </w:r>
    </w:p>
    <w:p w14:paraId="772A70F8" w14:textId="77777777" w:rsidR="0011747D" w:rsidRDefault="0011747D"/>
    <w:p w14:paraId="323CD8B9" w14:textId="77777777" w:rsidR="0011747D" w:rsidRDefault="00000000">
      <w:r>
        <w:t xml:space="preserve">For pinyon-juniper, where exactly and how much acreage would be subject to hand treatments?  To mechanical treatments?  To </w:t>
      </w:r>
      <w:proofErr w:type="gramStart"/>
      <w:r>
        <w:t>prescribed</w:t>
      </w:r>
      <w:proofErr w:type="gramEnd"/>
      <w:r>
        <w:t xml:space="preserve"> </w:t>
      </w:r>
      <w:proofErr w:type="gramStart"/>
      <w:r>
        <w:t>fire?</w:t>
      </w:r>
      <w:proofErr w:type="gramEnd"/>
      <w:r>
        <w:t xml:space="preserve">  To more than one of these </w:t>
      </w:r>
      <w:r>
        <w:lastRenderedPageBreak/>
        <w:t xml:space="preserve">treatment types in combination?  Design Feature TM-11 includes snag retention goals for ponderosa pine, mixed conifer, spruce/fir, aspen, and lodgepole pine, but not for pinyon-juniper (p. 54).  Design Feature WL-3 includes snags per 100 acres to maintain in mixed conifer, spruce/fir, aspen, and ponderosa pine, but not in pinyon-juniper (p. 55).  Why is snag retention not being considered in pinyon-juniper?  Similarly, Design Feature WL-4 includes tons of coarse woody debris per 10 acres to retain in mixed conifer, spruce/fir, aspen, and ponderosa pine, but not in pinyon-juniper (p. 55).  Why is coarse woody debris retention not being considered in pinyon-juniper? </w:t>
      </w:r>
    </w:p>
    <w:p w14:paraId="63530A25" w14:textId="77777777" w:rsidR="0011747D" w:rsidRDefault="0011747D"/>
    <w:p w14:paraId="03B91E96" w14:textId="77777777" w:rsidR="0011747D" w:rsidRDefault="00000000">
      <w:r>
        <w:t xml:space="preserve">For sagebrush steppe/shrublands/grassland, where exactly and how much acreage would be subject to hand treatments?  To mechanical treatments?  To herbicide application?  To </w:t>
      </w:r>
      <w:proofErr w:type="gramStart"/>
      <w:r>
        <w:t>prescribed</w:t>
      </w:r>
      <w:proofErr w:type="gramEnd"/>
      <w:r>
        <w:t xml:space="preserve"> </w:t>
      </w:r>
      <w:proofErr w:type="gramStart"/>
      <w:r>
        <w:t>fire?</w:t>
      </w:r>
      <w:proofErr w:type="gramEnd"/>
      <w:r>
        <w:t xml:space="preserve">  To seeding?  To more than one of these treatment types in combination?</w:t>
      </w:r>
    </w:p>
    <w:p w14:paraId="6FD71E9B" w14:textId="77777777" w:rsidR="0011747D" w:rsidRDefault="0011747D"/>
    <w:p w14:paraId="2ABE1067" w14:textId="77777777" w:rsidR="0011747D" w:rsidRDefault="00000000">
      <w:r>
        <w:t xml:space="preserve">For riparian areas, where exactly and how much acreage would be subject to hand treatments?  To mechanical treatments?  To </w:t>
      </w:r>
      <w:proofErr w:type="gramStart"/>
      <w:r>
        <w:t>both of these</w:t>
      </w:r>
      <w:proofErr w:type="gramEnd"/>
      <w:r>
        <w:t xml:space="preserve"> treatment types in combination?  The treatment description also includes improving stream channel morphology in North Creek (p. 45).  How exactly would this be done?  With heavy machinery?  Design Feature HS-18 seems to indicate that riparian areas would be treated with prescribed fire (p. 52), but the riparian area treatment description does not mention prescribed fire (pp. 44-45).  Is prescribed fire a planned treatment in riparian areas?  If so, where exactly and how much acreage would be subject to prescribed fire?  Would prescribed fire be used in combination hand or mechanical treatments?  Similarly, Design Feature HS-20 seems to indicate that herbicides would be used in Aquatic Management Zones (AMZ) (p. 52), but the riparian area treatment description does not mention herbicide use (pp. 44-45).  Is herbicide use planned in riparian areas?  If so, where exactly and how much acreage would be subject to herbicides?  Would herbicides be used in combination with other treatment types?</w:t>
      </w:r>
      <w:r>
        <w:rPr>
          <w:vertAlign w:val="superscript"/>
        </w:rPr>
        <w:footnoteReference w:id="3"/>
      </w:r>
    </w:p>
    <w:p w14:paraId="58880F11" w14:textId="77777777" w:rsidR="0011747D" w:rsidRDefault="0011747D"/>
    <w:p w14:paraId="76B6DC3C" w14:textId="77777777" w:rsidR="0011747D" w:rsidRDefault="00000000">
      <w:r>
        <w:t>The effects of the various permutations of treatment types by vegetation type discussed above, taken singly or in combination, are not the same.  In failing to describe exactly what will happen where for each of these vegetation types, the Forest has made it impossible to subsequently undertake a commensurate and legally sufficient effects analysis specific to the treatment(s) being contemplated.</w:t>
      </w:r>
    </w:p>
    <w:p w14:paraId="602BDA90" w14:textId="77777777" w:rsidR="0011747D" w:rsidRDefault="0011747D"/>
    <w:p w14:paraId="0D6CAE64" w14:textId="77777777" w:rsidR="0011747D" w:rsidRDefault="00000000">
      <w:pPr>
        <w:shd w:val="clear" w:color="auto" w:fill="FFFFFF"/>
      </w:pPr>
      <w:r>
        <w:t xml:space="preserve">Information about the precise tools and methods that will be used for thinning </w:t>
      </w:r>
      <w:proofErr w:type="gramStart"/>
      <w:r>
        <w:t>are</w:t>
      </w:r>
      <w:proofErr w:type="gramEnd"/>
      <w:r>
        <w:t xml:space="preserve"> necessary to satisfy NEPA’s dual purposes of informing the public and making informed decisions. Courts have previously invalidated environmental assessments that lack specificity. In </w:t>
      </w:r>
      <w:r>
        <w:rPr>
          <w:i/>
        </w:rPr>
        <w:t>Sierra Club v. Babbitt</w:t>
      </w:r>
      <w:r>
        <w:rPr>
          <w:i/>
          <w:vertAlign w:val="superscript"/>
        </w:rPr>
        <w:footnoteReference w:id="4"/>
      </w:r>
      <w:r>
        <w:rPr>
          <w:i/>
        </w:rPr>
        <w:t>,</w:t>
      </w:r>
      <w:r>
        <w:t xml:space="preserve"> the District Court of California found that an environmental assessment prepared for a highway reconstruction in a national park violated NEPA because it contained “few details of what would actually be done on the project” and “lacked sufficient detail about the nature, extent, and location of rock removal, tree removal, vegetation removal and rebuilding of </w:t>
      </w:r>
      <w:proofErr w:type="spellStart"/>
      <w:r>
        <w:t>guardwalls</w:t>
      </w:r>
      <w:proofErr w:type="spellEnd"/>
      <w:r>
        <w:t xml:space="preserve">.” As in </w:t>
      </w:r>
      <w:r>
        <w:rPr>
          <w:i/>
        </w:rPr>
        <w:t>Babbitt,</w:t>
      </w:r>
      <w:r>
        <w:t xml:space="preserve"> in this case, </w:t>
      </w:r>
      <w:r>
        <w:lastRenderedPageBreak/>
        <w:t xml:space="preserve">the EA describes the action alternative in generalities and provides very few details. “The purpose of an </w:t>
      </w:r>
      <w:r>
        <w:rPr>
          <w:highlight w:val="white"/>
        </w:rPr>
        <w:t>EA</w:t>
      </w:r>
      <w:r>
        <w:t xml:space="preserve"> is to give </w:t>
      </w:r>
      <w:r>
        <w:rPr>
          <w:highlight w:val="white"/>
        </w:rPr>
        <w:t>enough</w:t>
      </w:r>
      <w:r>
        <w:t xml:space="preserve"> </w:t>
      </w:r>
      <w:r>
        <w:rPr>
          <w:highlight w:val="white"/>
        </w:rPr>
        <w:t>information</w:t>
      </w:r>
      <w:r>
        <w:t xml:space="preserve"> and analysis to conclude whether the project will have a significant effect on the environment or not.”</w:t>
      </w:r>
      <w:r>
        <w:rPr>
          <w:vertAlign w:val="superscript"/>
        </w:rPr>
        <w:footnoteReference w:id="5"/>
      </w:r>
      <w:r>
        <w:t xml:space="preserve">  Here, because of the lack of details, this purpose was not met.</w:t>
      </w:r>
      <w:r>
        <w:rPr>
          <w:color w:val="3D3D3D"/>
        </w:rPr>
        <w:br/>
      </w:r>
    </w:p>
    <w:p w14:paraId="1D6AF145" w14:textId="77777777" w:rsidR="0011747D" w:rsidRDefault="00000000">
      <w:pPr>
        <w:shd w:val="clear" w:color="auto" w:fill="FFFFFF"/>
      </w:pPr>
      <w:r>
        <w:t>It is not possible to analyze the environmental impacts of a proposed action when the action itself is not clearly defined.  As noted by the EPA, “Given the lack of site-specific information and analysis, and potential for significant water quality, air quality and ecological impacts, it is unclear that significant impacts will be avoided for this Project.” The agency has also failed to provide the necessary information to facilitate informed decision making and public participation. These issues could best be resolved either by developing a more detailed EIS or adopting EPA’s recommendation</w:t>
      </w:r>
      <w:r>
        <w:rPr>
          <w:vertAlign w:val="superscript"/>
        </w:rPr>
        <w:footnoteReference w:id="6"/>
      </w:r>
      <w:r>
        <w:t xml:space="preserve"> that the Agency should  “develop this as a programmatic NEPA document that commits to tiered, site-specific NEPA analyses that provides opportunities for public involvement and comment on individual treatment projects.”</w:t>
      </w:r>
    </w:p>
    <w:p w14:paraId="2AB6ADB9" w14:textId="77777777" w:rsidR="0011747D" w:rsidRDefault="0011747D">
      <w:pPr>
        <w:shd w:val="clear" w:color="auto" w:fill="FFFFFF"/>
      </w:pPr>
    </w:p>
    <w:p w14:paraId="3D335AE3" w14:textId="77777777" w:rsidR="0011747D" w:rsidRDefault="00000000">
      <w:pPr>
        <w:rPr>
          <w:u w:val="single"/>
        </w:rPr>
      </w:pPr>
      <w:r>
        <w:rPr>
          <w:u w:val="single"/>
        </w:rPr>
        <w:t>Proposed Resolution:</w:t>
      </w:r>
    </w:p>
    <w:p w14:paraId="763297A5" w14:textId="77777777" w:rsidR="0011747D" w:rsidRDefault="00000000">
      <w:pPr>
        <w:numPr>
          <w:ilvl w:val="0"/>
          <w:numId w:val="1"/>
        </w:numPr>
      </w:pPr>
      <w:r>
        <w:t>Analyze the issues raised above in detail either in an EIS or in a programmatic NEPA document with subsequent tiered, site-specific NEPA analyses.</w:t>
      </w:r>
    </w:p>
    <w:p w14:paraId="0DF08556" w14:textId="77777777" w:rsidR="0011747D" w:rsidRDefault="0011747D">
      <w:pPr>
        <w:tabs>
          <w:tab w:val="left" w:pos="540"/>
        </w:tabs>
      </w:pPr>
    </w:p>
    <w:p w14:paraId="5F37F966" w14:textId="77777777" w:rsidR="0011747D" w:rsidRDefault="00000000">
      <w:pPr>
        <w:pStyle w:val="Heading2"/>
        <w:tabs>
          <w:tab w:val="left" w:pos="540"/>
        </w:tabs>
      </w:pPr>
      <w:r>
        <w:rPr>
          <w:b/>
          <w:sz w:val="24"/>
          <w:szCs w:val="24"/>
        </w:rPr>
        <w:t xml:space="preserve">II. </w:t>
      </w:r>
      <w:r>
        <w:rPr>
          <w:b/>
          <w:sz w:val="24"/>
          <w:szCs w:val="24"/>
        </w:rPr>
        <w:tab/>
        <w:t>Old Growth Tree Retention</w:t>
      </w:r>
    </w:p>
    <w:p w14:paraId="0167B100" w14:textId="77777777" w:rsidR="0011747D" w:rsidRDefault="0011747D">
      <w:pPr>
        <w:tabs>
          <w:tab w:val="left" w:pos="540"/>
        </w:tabs>
      </w:pPr>
    </w:p>
    <w:p w14:paraId="01FDF28B" w14:textId="77777777" w:rsidR="0011747D" w:rsidRDefault="00000000">
      <w:pPr>
        <w:tabs>
          <w:tab w:val="left" w:pos="540"/>
        </w:tabs>
      </w:pPr>
      <w:r>
        <w:t xml:space="preserve">We raised concerns about old growth trees in our </w:t>
      </w:r>
      <w:proofErr w:type="gramStart"/>
      <w:r>
        <w:t>comments, and</w:t>
      </w:r>
      <w:proofErr w:type="gramEnd"/>
      <w:r>
        <w:t xml:space="preserve"> are concerned about how the proposed action will ensure the retention of old growth trees.  The EA states:  “final determination of old growth status within the areas to be treated would occur as operational silvicultural prescriptions are developed…This would occur after the NEPA decision occurs but prior to implementation” (pp. 40-41).  Without final determination and disclosure of old growth status in areas that are proposed for treatment, it is not possible to properly analyze in detail what the effects of treatments might be on old-growth forests.  This applies to the 20,435 acres of old growth proposed for active treatment (Forestry report p. 35), a significant portion of the proposed action.  Furthermore, the public is not provided with sufficient information that would allow for a clear understanding of exactly what the Forest is proposing to do in old-growth forests.  Instead, the proposal is to make a final determination of old growth status when silvicultural prescriptions are developed, outside the NEPA process and without an opportunity for the public to understand what is being proposed and make informed comments based on full disclosure of plans and associated effects.</w:t>
      </w:r>
    </w:p>
    <w:p w14:paraId="064E720D" w14:textId="77777777" w:rsidR="0011747D" w:rsidRDefault="0011747D"/>
    <w:p w14:paraId="0A7A1A81" w14:textId="77777777" w:rsidR="0011747D" w:rsidRDefault="00000000">
      <w:pPr>
        <w:tabs>
          <w:tab w:val="left" w:pos="540"/>
        </w:tabs>
      </w:pPr>
      <w:r>
        <w:t>A.</w:t>
      </w:r>
      <w:r>
        <w:tab/>
        <w:t>Spruce-Fir</w:t>
      </w:r>
    </w:p>
    <w:p w14:paraId="09576D6D" w14:textId="77777777" w:rsidR="0011747D" w:rsidRDefault="0011747D">
      <w:pPr>
        <w:tabs>
          <w:tab w:val="left" w:pos="540"/>
        </w:tabs>
      </w:pPr>
    </w:p>
    <w:p w14:paraId="7A0DAF91" w14:textId="77777777" w:rsidR="0011747D" w:rsidRDefault="00000000">
      <w:pPr>
        <w:tabs>
          <w:tab w:val="left" w:pos="540"/>
        </w:tabs>
      </w:pPr>
      <w:r>
        <w:t xml:space="preserve">For spruce-fir, the “Need for Change” in Table 7 includes, “promotion of more large tree structure” (p. 15).  For spruce-fir, VSS 5 is 18-23.9” (mature forest) and VSS 6 is 24”+ (old </w:t>
      </w:r>
      <w:r>
        <w:lastRenderedPageBreak/>
        <w:t xml:space="preserve">forest) (p. 13).  Despite this language in the EA, the treatment description for spruce-fir (p. 42) says nothing about retention of trees in VSS 5 or 6 (18”+).  The EA shows that 1,795 acres of spruce-fir old-growth would be treated under the Proposed Action (Table 28, p. 41).  Lacking a detailed treatment description demonstrating how </w:t>
      </w:r>
      <w:proofErr w:type="gramStart"/>
      <w:r>
        <w:t>old-growth</w:t>
      </w:r>
      <w:proofErr w:type="gramEnd"/>
      <w:r>
        <w:t xml:space="preserve"> would be retained in these 1,795 acres, the claim that “[t]here are no direct effects to the distribution and percentage of old growth associated with the spruce/fir cover type” (p. 105) cannot be justified.</w:t>
      </w:r>
    </w:p>
    <w:p w14:paraId="7A154947" w14:textId="77777777" w:rsidR="0011747D" w:rsidRDefault="0011747D">
      <w:pPr>
        <w:tabs>
          <w:tab w:val="left" w:pos="540"/>
        </w:tabs>
      </w:pPr>
    </w:p>
    <w:p w14:paraId="1DA9166A" w14:textId="77777777" w:rsidR="0011747D" w:rsidRDefault="00000000">
      <w:pPr>
        <w:tabs>
          <w:tab w:val="left" w:pos="540"/>
        </w:tabs>
      </w:pPr>
      <w:r>
        <w:t>B.</w:t>
      </w:r>
      <w:r>
        <w:tab/>
        <w:t>Mixed Conifer</w:t>
      </w:r>
    </w:p>
    <w:p w14:paraId="7ACDB074" w14:textId="77777777" w:rsidR="0011747D" w:rsidRDefault="0011747D">
      <w:pPr>
        <w:tabs>
          <w:tab w:val="left" w:pos="540"/>
        </w:tabs>
      </w:pPr>
    </w:p>
    <w:p w14:paraId="3FF74B13" w14:textId="77777777" w:rsidR="0011747D" w:rsidRDefault="00000000">
      <w:pPr>
        <w:tabs>
          <w:tab w:val="left" w:pos="540"/>
        </w:tabs>
      </w:pPr>
      <w:r>
        <w:t xml:space="preserve">For mixed conifer, the EA states that the desired condition is for larger structural stages over time, and that the promotion of more area in advanced VSS stages is desired (p. 17).  The “Need for Change” in Table 7 includes, “Promote more large tree structure”, </w:t>
      </w:r>
      <w:proofErr w:type="gramStart"/>
      <w:r>
        <w:t>and,</w:t>
      </w:r>
      <w:proofErr w:type="gramEnd"/>
      <w:r>
        <w:t xml:space="preserve"> ““VSS 5-6 recruitment needed” (p. 18).  For mixed conifer, VSS 5 is 18-23.9” (mature forest) and VSS 6 is 24”+ (old forest) (p. 13).  Despite this language in the EA, the treatment description for mixed conifer (pp. 42-43) says nothing about retention of trees in VSS 5 or 6 (18”+).  The treatment description states that conifers within 10 feet of the canopy drip line of any aspen 10 inches DBH or larger would be cut (p. 41).  This apparently includes old-growth conifers, which are likely to be much older than a 10” DBH aspen.  The EA shows that 994 acres of mixed conifer </w:t>
      </w:r>
      <w:proofErr w:type="gramStart"/>
      <w:r>
        <w:t>old-growth</w:t>
      </w:r>
      <w:proofErr w:type="gramEnd"/>
      <w:r>
        <w:t xml:space="preserve"> would be treated under the Proposed Action (Table 28, p. 41).  Lacking a detailed treatment description demonstrating how </w:t>
      </w:r>
      <w:proofErr w:type="gramStart"/>
      <w:r>
        <w:t>old-growth</w:t>
      </w:r>
      <w:proofErr w:type="gramEnd"/>
      <w:r>
        <w:t xml:space="preserve"> would be retained in these 994 acres, the claim that “[t]here are no direct effects to the distribution and percentage of old growth associated with the mixed conifer cover type” (p. 103) cannot be justified.</w:t>
      </w:r>
    </w:p>
    <w:p w14:paraId="0D07F857" w14:textId="77777777" w:rsidR="0011747D" w:rsidRDefault="0011747D">
      <w:pPr>
        <w:tabs>
          <w:tab w:val="left" w:pos="540"/>
        </w:tabs>
      </w:pPr>
    </w:p>
    <w:p w14:paraId="05CECC52" w14:textId="77777777" w:rsidR="0011747D" w:rsidRDefault="00000000">
      <w:pPr>
        <w:tabs>
          <w:tab w:val="left" w:pos="540"/>
        </w:tabs>
      </w:pPr>
      <w:r>
        <w:t>C.</w:t>
      </w:r>
      <w:r>
        <w:tab/>
        <w:t>Aspen</w:t>
      </w:r>
    </w:p>
    <w:p w14:paraId="6981076E" w14:textId="77777777" w:rsidR="0011747D" w:rsidRDefault="0011747D">
      <w:pPr>
        <w:tabs>
          <w:tab w:val="left" w:pos="540"/>
        </w:tabs>
      </w:pPr>
    </w:p>
    <w:p w14:paraId="1606F628" w14:textId="77777777" w:rsidR="0011747D" w:rsidRDefault="00000000">
      <w:pPr>
        <w:tabs>
          <w:tab w:val="left" w:pos="540"/>
        </w:tabs>
      </w:pPr>
      <w:r>
        <w:t xml:space="preserve">For aspen, the EA states that the 5-11.9” size class is indicative of mature aspen stems, and Table 11 indicates that there is “trace” (&lt;1%) cover of aspen larger than 11.9” (p. 20).  This is in line with the </w:t>
      </w:r>
      <w:r>
        <w:rPr>
          <w:i/>
        </w:rPr>
        <w:t>Mature and Old-Growth Forest</w:t>
      </w:r>
      <w:r>
        <w:t xml:space="preserve"> report, which uses 12” diameter as the threshold for old-growth aspen (pp. 44-45).  Thus old-growth aspen (12”+) is extremely rare on the landscape, making it important to retain.  The treatment description for aspen proposes coppice clearcuts up to 40 acres in </w:t>
      </w:r>
      <w:proofErr w:type="gramStart"/>
      <w:r>
        <w:t>size, but</w:t>
      </w:r>
      <w:proofErr w:type="gramEnd"/>
      <w:r>
        <w:t xml:space="preserve"> says nothing about retention of old-growth aspen (12”+) (p. 41). </w:t>
      </w:r>
    </w:p>
    <w:p w14:paraId="241E254A" w14:textId="77777777" w:rsidR="0011747D" w:rsidRDefault="0011747D">
      <w:pPr>
        <w:tabs>
          <w:tab w:val="left" w:pos="540"/>
        </w:tabs>
      </w:pPr>
    </w:p>
    <w:p w14:paraId="338949AC" w14:textId="77777777" w:rsidR="0011747D" w:rsidRDefault="00000000">
      <w:pPr>
        <w:tabs>
          <w:tab w:val="left" w:pos="540"/>
        </w:tabs>
      </w:pPr>
      <w:r>
        <w:t xml:space="preserve">The EA shows that 4,718 acres of aspen </w:t>
      </w:r>
      <w:proofErr w:type="gramStart"/>
      <w:r>
        <w:t>old-growth</w:t>
      </w:r>
      <w:proofErr w:type="gramEnd"/>
      <w:r>
        <w:t xml:space="preserve"> would be treated under the Proposed Action (Table 28, p. 41).  Lacking a detailed treatment description demonstrating how </w:t>
      </w:r>
      <w:proofErr w:type="gramStart"/>
      <w:r>
        <w:t>old-growth</w:t>
      </w:r>
      <w:proofErr w:type="gramEnd"/>
      <w:r>
        <w:t xml:space="preserve"> would be retained in these 4,718 acres, the claim that “[t]here are no direct effects to the distribution and percentage of old growth associated with the aspen cover type” (p. 102) cannot be justified.</w:t>
      </w:r>
    </w:p>
    <w:p w14:paraId="34DC1165" w14:textId="77777777" w:rsidR="0011747D" w:rsidRDefault="0011747D">
      <w:pPr>
        <w:tabs>
          <w:tab w:val="left" w:pos="540"/>
        </w:tabs>
      </w:pPr>
    </w:p>
    <w:p w14:paraId="79941539" w14:textId="77777777" w:rsidR="0011747D" w:rsidRDefault="00000000">
      <w:pPr>
        <w:tabs>
          <w:tab w:val="left" w:pos="540"/>
        </w:tabs>
      </w:pPr>
      <w:r>
        <w:t>D.</w:t>
      </w:r>
      <w:r>
        <w:tab/>
        <w:t>Ponderosa Pine</w:t>
      </w:r>
    </w:p>
    <w:p w14:paraId="40FF1B20" w14:textId="77777777" w:rsidR="0011747D" w:rsidRDefault="0011747D">
      <w:pPr>
        <w:tabs>
          <w:tab w:val="left" w:pos="540"/>
        </w:tabs>
      </w:pPr>
    </w:p>
    <w:p w14:paraId="15C0785D" w14:textId="77777777" w:rsidR="0011747D" w:rsidRDefault="00000000">
      <w:pPr>
        <w:tabs>
          <w:tab w:val="left" w:pos="540"/>
        </w:tabs>
      </w:pPr>
      <w:r>
        <w:t xml:space="preserve">For ponderosa pine, the EA states that the promotion of more area in advanced VSS stages is desired (p. 24).  The “Need for Change” in Table 16 includes, “Promote more large tree </w:t>
      </w:r>
      <w:r>
        <w:lastRenderedPageBreak/>
        <w:t xml:space="preserve">structure”, </w:t>
      </w:r>
      <w:proofErr w:type="gramStart"/>
      <w:r>
        <w:t>and,</w:t>
      </w:r>
      <w:proofErr w:type="gramEnd"/>
      <w:r>
        <w:t xml:space="preserve"> ““VSS 6 recruitment needed” (pp. 24-25).  For ponderosa pine, VSS 5 is 18-23.9” (mature forest) and VSS 6 is 24”+ (old forest) (p. 13).</w:t>
      </w:r>
    </w:p>
    <w:p w14:paraId="13D6442E" w14:textId="77777777" w:rsidR="0011747D" w:rsidRDefault="0011747D">
      <w:pPr>
        <w:tabs>
          <w:tab w:val="left" w:pos="540"/>
        </w:tabs>
      </w:pPr>
    </w:p>
    <w:p w14:paraId="1E025BA0" w14:textId="77777777" w:rsidR="0011747D" w:rsidRDefault="00000000">
      <w:pPr>
        <w:tabs>
          <w:tab w:val="left" w:pos="540"/>
        </w:tabs>
      </w:pPr>
      <w:r>
        <w:t>The Forest cites Hamilton 1993 (</w:t>
      </w:r>
      <w:r>
        <w:rPr>
          <w:i/>
        </w:rPr>
        <w:t xml:space="preserve">Characteristics of Old-Growth Forests </w:t>
      </w:r>
      <w:proofErr w:type="gramStart"/>
      <w:r>
        <w:rPr>
          <w:i/>
        </w:rPr>
        <w:t>In</w:t>
      </w:r>
      <w:proofErr w:type="gramEnd"/>
      <w:r>
        <w:rPr>
          <w:i/>
        </w:rPr>
        <w:t xml:space="preserve"> The Intermountain Region</w:t>
      </w:r>
      <w:r>
        <w:t xml:space="preserve">) as providing existing definitions of old growth for the Intermountain Region (pp. 36, 151).  Also as cited by the Forest, old-growth criteria are summarized in the </w:t>
      </w:r>
      <w:r>
        <w:rPr>
          <w:i/>
        </w:rPr>
        <w:t>Mature and Old-Growth Forest</w:t>
      </w:r>
      <w:r>
        <w:t xml:space="preserve"> report.  </w:t>
      </w:r>
      <w:proofErr w:type="gramStart"/>
      <w:r>
        <w:t>Both of these</w:t>
      </w:r>
      <w:proofErr w:type="gramEnd"/>
      <w:r>
        <w:t xml:space="preserve"> identify 16” DBH as the threshold for old-growth ponderosa pine on climax sites and 20” DBH on seral sites (Hamilton p. 69, </w:t>
      </w:r>
      <w:r>
        <w:rPr>
          <w:i/>
        </w:rPr>
        <w:t>Mature and Old-Growth Forest</w:t>
      </w:r>
      <w:r>
        <w:t xml:space="preserve"> report p. 45).  Even though it cites to these old-growth definitions, the Forest fails to use them in its analysis, and instead uses 24”+ as the old-growth threshold without providing any justification for deviating from the best available science and current agency policy.</w:t>
      </w:r>
    </w:p>
    <w:p w14:paraId="5B81C478" w14:textId="77777777" w:rsidR="0011747D" w:rsidRDefault="0011747D">
      <w:pPr>
        <w:tabs>
          <w:tab w:val="left" w:pos="540"/>
        </w:tabs>
      </w:pPr>
    </w:p>
    <w:p w14:paraId="1C5B040A" w14:textId="77777777" w:rsidR="0011747D" w:rsidRDefault="00000000">
      <w:pPr>
        <w:tabs>
          <w:tab w:val="left" w:pos="540"/>
        </w:tabs>
      </w:pPr>
      <w:r>
        <w:t xml:space="preserve">Leaving aside this issue of the appropriate old-growth definition for ponderosa pine, the treatment description for ponderosa pine does not address retention of old-growth trees.  It states that VSS 5 and VSS 6 structural stages will be promoted, but apparently only within the confines of thinning to a basal area of 50 sq. ft. per acre (p. 43), such that mature and old-growth trees </w:t>
      </w:r>
      <w:proofErr w:type="gramStart"/>
      <w:r>
        <w:t>in excess of</w:t>
      </w:r>
      <w:proofErr w:type="gramEnd"/>
      <w:r>
        <w:t xml:space="preserve"> this basal area would be cut.  The treatment description includes meadow restoration, but no provisions for retention of old-growth trees that may be growing in this area (p. 43).  The treatment description states that conifers within 10 feet of the canopy drip line of any aspen 10 inches DBH or larger would be cut (p. 43).  This apparently includes old-growth conifers, which are likely to be much older than a 10” DBH aspen.  In addition, the EA states that under the proposed action “[juniper] species composition is reduced to less than 5 percent” (p. 103), which could very well include old-growth junipers.  The EA shows that 3,348 acres of ponderosa pine </w:t>
      </w:r>
      <w:proofErr w:type="gramStart"/>
      <w:r>
        <w:t>old-growth</w:t>
      </w:r>
      <w:proofErr w:type="gramEnd"/>
      <w:r>
        <w:t xml:space="preserve"> would be treated under the Proposed Action (Table 28, p. 41).  Lacking a detailed treatment description demonstrating how </w:t>
      </w:r>
      <w:proofErr w:type="gramStart"/>
      <w:r>
        <w:t>old-growth</w:t>
      </w:r>
      <w:proofErr w:type="gramEnd"/>
      <w:r>
        <w:t xml:space="preserve"> would be retained in these 3,348 acres, the claim that “[t]here are no direct effects to the distribution and percentage of old growth associated with the ponderosa pine cover type” (p. 104) cannot be justified.</w:t>
      </w:r>
    </w:p>
    <w:p w14:paraId="6AB6C24E" w14:textId="77777777" w:rsidR="0011747D" w:rsidRDefault="0011747D">
      <w:pPr>
        <w:tabs>
          <w:tab w:val="left" w:pos="540"/>
        </w:tabs>
      </w:pPr>
    </w:p>
    <w:p w14:paraId="00491FE7" w14:textId="77777777" w:rsidR="0011747D" w:rsidRDefault="00000000">
      <w:pPr>
        <w:tabs>
          <w:tab w:val="left" w:pos="540"/>
        </w:tabs>
      </w:pPr>
      <w:r>
        <w:t>E.</w:t>
      </w:r>
      <w:r>
        <w:tab/>
        <w:t>Pinyon-Juniper</w:t>
      </w:r>
    </w:p>
    <w:p w14:paraId="1059942C" w14:textId="77777777" w:rsidR="0011747D" w:rsidRDefault="0011747D">
      <w:pPr>
        <w:tabs>
          <w:tab w:val="left" w:pos="540"/>
        </w:tabs>
      </w:pPr>
    </w:p>
    <w:p w14:paraId="579618C0" w14:textId="77777777" w:rsidR="0011747D" w:rsidRDefault="00000000">
      <w:pPr>
        <w:tabs>
          <w:tab w:val="left" w:pos="540"/>
        </w:tabs>
      </w:pPr>
      <w:r>
        <w:t xml:space="preserve">For pinyon-juniper, the “Need for Change” in Table 19 includes the following:  “Reduce density within persistent woodlands, particularly within the smaller diameter classes and among trees less than 150 years old”, </w:t>
      </w:r>
      <w:proofErr w:type="gramStart"/>
      <w:r>
        <w:t>and,</w:t>
      </w:r>
      <w:proofErr w:type="gramEnd"/>
      <w:r>
        <w:t xml:space="preserve"> “Reduce densities of relatively recent infill (trees less than 150 years old)” (pp. 27-28).</w:t>
      </w:r>
    </w:p>
    <w:p w14:paraId="344071DF" w14:textId="77777777" w:rsidR="0011747D" w:rsidRDefault="0011747D">
      <w:pPr>
        <w:tabs>
          <w:tab w:val="left" w:pos="540"/>
        </w:tabs>
      </w:pPr>
    </w:p>
    <w:p w14:paraId="275D4830" w14:textId="77777777" w:rsidR="0011747D" w:rsidRDefault="00000000">
      <w:pPr>
        <w:tabs>
          <w:tab w:val="left" w:pos="540"/>
        </w:tabs>
      </w:pPr>
      <w:r>
        <w:t>The EA provides the following “Balanced Range” as a Desired Condition in Table 19 (p. 27):</w:t>
      </w:r>
    </w:p>
    <w:p w14:paraId="40A71A8D" w14:textId="77777777" w:rsidR="0011747D" w:rsidRDefault="00000000">
      <w:pPr>
        <w:numPr>
          <w:ilvl w:val="0"/>
          <w:numId w:val="2"/>
        </w:numPr>
        <w:tabs>
          <w:tab w:val="left" w:pos="540"/>
        </w:tabs>
      </w:pPr>
      <w:r>
        <w:t>VSS 1:  ~30%</w:t>
      </w:r>
    </w:p>
    <w:p w14:paraId="65B26724" w14:textId="77777777" w:rsidR="0011747D" w:rsidRDefault="00000000">
      <w:pPr>
        <w:numPr>
          <w:ilvl w:val="0"/>
          <w:numId w:val="2"/>
        </w:numPr>
        <w:tabs>
          <w:tab w:val="left" w:pos="540"/>
        </w:tabs>
      </w:pPr>
      <w:r>
        <w:t>VSS 2:  ~30%</w:t>
      </w:r>
    </w:p>
    <w:p w14:paraId="082BBAB4" w14:textId="77777777" w:rsidR="0011747D" w:rsidRDefault="00000000">
      <w:pPr>
        <w:numPr>
          <w:ilvl w:val="0"/>
          <w:numId w:val="2"/>
        </w:numPr>
        <w:tabs>
          <w:tab w:val="left" w:pos="540"/>
        </w:tabs>
      </w:pPr>
      <w:r>
        <w:t>VSS 3:  ~20%</w:t>
      </w:r>
    </w:p>
    <w:p w14:paraId="10A65114" w14:textId="77777777" w:rsidR="0011747D" w:rsidRDefault="00000000">
      <w:pPr>
        <w:numPr>
          <w:ilvl w:val="0"/>
          <w:numId w:val="2"/>
        </w:numPr>
        <w:tabs>
          <w:tab w:val="left" w:pos="540"/>
        </w:tabs>
      </w:pPr>
      <w:r>
        <w:t>VSS 4:  ~10%</w:t>
      </w:r>
    </w:p>
    <w:p w14:paraId="57811CE5" w14:textId="77777777" w:rsidR="0011747D" w:rsidRDefault="00000000">
      <w:pPr>
        <w:numPr>
          <w:ilvl w:val="0"/>
          <w:numId w:val="2"/>
        </w:numPr>
        <w:tabs>
          <w:tab w:val="left" w:pos="540"/>
        </w:tabs>
      </w:pPr>
      <w:r>
        <w:t>VSS 5:  ~5%</w:t>
      </w:r>
    </w:p>
    <w:p w14:paraId="0F3E529D" w14:textId="77777777" w:rsidR="0011747D" w:rsidRDefault="00000000">
      <w:pPr>
        <w:numPr>
          <w:ilvl w:val="0"/>
          <w:numId w:val="2"/>
        </w:numPr>
        <w:tabs>
          <w:tab w:val="left" w:pos="540"/>
        </w:tabs>
      </w:pPr>
      <w:r>
        <w:t xml:space="preserve">VSS 6:  ~5% </w:t>
      </w:r>
    </w:p>
    <w:p w14:paraId="64F40735" w14:textId="77777777" w:rsidR="0011747D" w:rsidRDefault="0011747D">
      <w:pPr>
        <w:tabs>
          <w:tab w:val="left" w:pos="540"/>
        </w:tabs>
      </w:pPr>
    </w:p>
    <w:p w14:paraId="00C5629C" w14:textId="77777777" w:rsidR="0011747D" w:rsidRDefault="00000000">
      <w:pPr>
        <w:tabs>
          <w:tab w:val="left" w:pos="540"/>
        </w:tabs>
      </w:pPr>
      <w:proofErr w:type="gramStart"/>
      <w:r>
        <w:lastRenderedPageBreak/>
        <w:t>Compare</w:t>
      </w:r>
      <w:proofErr w:type="gramEnd"/>
      <w:r>
        <w:t xml:space="preserve"> to this the desired conditions for a “Balanced Range” in all other conifer types (pp. 13, 15, 17-18, 24):</w:t>
      </w:r>
    </w:p>
    <w:p w14:paraId="2F64B2CB" w14:textId="77777777" w:rsidR="0011747D" w:rsidRDefault="00000000">
      <w:pPr>
        <w:numPr>
          <w:ilvl w:val="0"/>
          <w:numId w:val="9"/>
        </w:numPr>
        <w:tabs>
          <w:tab w:val="left" w:pos="540"/>
        </w:tabs>
      </w:pPr>
      <w:r>
        <w:t>VSS 1:  10%</w:t>
      </w:r>
    </w:p>
    <w:p w14:paraId="452BF176" w14:textId="77777777" w:rsidR="0011747D" w:rsidRDefault="00000000">
      <w:pPr>
        <w:numPr>
          <w:ilvl w:val="0"/>
          <w:numId w:val="9"/>
        </w:numPr>
        <w:tabs>
          <w:tab w:val="left" w:pos="540"/>
        </w:tabs>
      </w:pPr>
      <w:r>
        <w:t>VSS 2:  10%</w:t>
      </w:r>
    </w:p>
    <w:p w14:paraId="41DB076F" w14:textId="77777777" w:rsidR="0011747D" w:rsidRDefault="00000000">
      <w:pPr>
        <w:numPr>
          <w:ilvl w:val="0"/>
          <w:numId w:val="9"/>
        </w:numPr>
        <w:tabs>
          <w:tab w:val="left" w:pos="540"/>
        </w:tabs>
      </w:pPr>
      <w:r>
        <w:t>VSS 3:  20%</w:t>
      </w:r>
    </w:p>
    <w:p w14:paraId="0AB8FB1A" w14:textId="77777777" w:rsidR="0011747D" w:rsidRDefault="00000000">
      <w:pPr>
        <w:numPr>
          <w:ilvl w:val="0"/>
          <w:numId w:val="9"/>
        </w:numPr>
        <w:tabs>
          <w:tab w:val="left" w:pos="540"/>
        </w:tabs>
      </w:pPr>
      <w:r>
        <w:t>VSS 4:  20%</w:t>
      </w:r>
    </w:p>
    <w:p w14:paraId="7585DCC0" w14:textId="77777777" w:rsidR="0011747D" w:rsidRDefault="00000000">
      <w:pPr>
        <w:numPr>
          <w:ilvl w:val="0"/>
          <w:numId w:val="9"/>
        </w:numPr>
        <w:tabs>
          <w:tab w:val="left" w:pos="540"/>
        </w:tabs>
      </w:pPr>
      <w:r>
        <w:t>VSS 5:  20%</w:t>
      </w:r>
    </w:p>
    <w:p w14:paraId="2B729675" w14:textId="77777777" w:rsidR="0011747D" w:rsidRDefault="00000000">
      <w:pPr>
        <w:numPr>
          <w:ilvl w:val="0"/>
          <w:numId w:val="9"/>
        </w:numPr>
        <w:tabs>
          <w:tab w:val="left" w:pos="540"/>
        </w:tabs>
      </w:pPr>
      <w:r>
        <w:t>VSS 6:  20%</w:t>
      </w:r>
    </w:p>
    <w:p w14:paraId="6602BEC6" w14:textId="77777777" w:rsidR="0011747D" w:rsidRDefault="0011747D">
      <w:pPr>
        <w:tabs>
          <w:tab w:val="left" w:pos="540"/>
        </w:tabs>
      </w:pPr>
    </w:p>
    <w:p w14:paraId="125D9B95" w14:textId="77777777" w:rsidR="0011747D" w:rsidRDefault="00000000">
      <w:pPr>
        <w:tabs>
          <w:tab w:val="left" w:pos="540"/>
        </w:tabs>
      </w:pPr>
      <w:r>
        <w:t xml:space="preserve">The EA provides no justification for selecting as a desired condition a VSS distribution in pinyon-juniper, a conifer type, that deviates significantly from the desired condition for all other conifer types.  Furthermore, the EA provides no justification for the claim that this distribution, which seeks 80% of trees in the smallest three VSS classes and only 20% in the largest three VSS classes, is “balanced”.  For comparison, the desired conditions for the other conifer types seek 40% of trees in the smallest three VSS classes and 60% in the largest three VSS classes.  Not only is the pinyon-juniper VSS distribution substantially unbalanced in comparison, </w:t>
      </w:r>
      <w:proofErr w:type="gramStart"/>
      <w:r>
        <w:t>it</w:t>
      </w:r>
      <w:proofErr w:type="gramEnd"/>
      <w:r>
        <w:t xml:space="preserve"> is also heavily weighted towards smaller VSS classes rather than larger.</w:t>
      </w:r>
    </w:p>
    <w:p w14:paraId="2C265AF4" w14:textId="77777777" w:rsidR="0011747D" w:rsidRDefault="0011747D">
      <w:pPr>
        <w:tabs>
          <w:tab w:val="left" w:pos="540"/>
        </w:tabs>
      </w:pPr>
    </w:p>
    <w:p w14:paraId="567C027A" w14:textId="77777777" w:rsidR="0011747D" w:rsidRDefault="00000000">
      <w:pPr>
        <w:tabs>
          <w:tab w:val="left" w:pos="540"/>
        </w:tabs>
      </w:pPr>
      <w:r>
        <w:t>The EA correlates VSS classes with diameter at root crown for pinyon-juniper as follows (p. 13):</w:t>
      </w:r>
    </w:p>
    <w:p w14:paraId="6E77F93B" w14:textId="77777777" w:rsidR="0011747D" w:rsidRDefault="00000000">
      <w:pPr>
        <w:numPr>
          <w:ilvl w:val="0"/>
          <w:numId w:val="4"/>
        </w:numPr>
        <w:tabs>
          <w:tab w:val="left" w:pos="540"/>
        </w:tabs>
      </w:pPr>
      <w:r>
        <w:t>VSS 1-4:  0-11.9”</w:t>
      </w:r>
    </w:p>
    <w:p w14:paraId="0BA13064" w14:textId="77777777" w:rsidR="0011747D" w:rsidRDefault="00000000">
      <w:pPr>
        <w:numPr>
          <w:ilvl w:val="0"/>
          <w:numId w:val="4"/>
        </w:numPr>
        <w:tabs>
          <w:tab w:val="left" w:pos="540"/>
        </w:tabs>
      </w:pPr>
      <w:r>
        <w:t>VSS 5:  12-17.9”</w:t>
      </w:r>
    </w:p>
    <w:p w14:paraId="41CA2BCB" w14:textId="77777777" w:rsidR="0011747D" w:rsidRDefault="00000000">
      <w:pPr>
        <w:numPr>
          <w:ilvl w:val="0"/>
          <w:numId w:val="4"/>
        </w:numPr>
        <w:tabs>
          <w:tab w:val="left" w:pos="540"/>
        </w:tabs>
      </w:pPr>
      <w:r>
        <w:t>VSS 6:  18”+</w:t>
      </w:r>
    </w:p>
    <w:p w14:paraId="03FEDED2" w14:textId="77777777" w:rsidR="0011747D" w:rsidRDefault="0011747D">
      <w:pPr>
        <w:tabs>
          <w:tab w:val="left" w:pos="540"/>
        </w:tabs>
      </w:pPr>
    </w:p>
    <w:p w14:paraId="63B6CA1F" w14:textId="77777777" w:rsidR="0011747D" w:rsidRDefault="00000000">
      <w:pPr>
        <w:tabs>
          <w:tab w:val="left" w:pos="540"/>
        </w:tabs>
      </w:pPr>
      <w:r>
        <w:t>The EA proposes to retain all old-growth pinyon-juniper (p. 44), but the treatment specifications proposed undermine this commitment.  The Forest cites Hamilton 1993 (</w:t>
      </w:r>
      <w:r>
        <w:rPr>
          <w:i/>
        </w:rPr>
        <w:t xml:space="preserve">Characteristics of Old-Growth Forests </w:t>
      </w:r>
      <w:proofErr w:type="gramStart"/>
      <w:r>
        <w:rPr>
          <w:i/>
        </w:rPr>
        <w:t>In</w:t>
      </w:r>
      <w:proofErr w:type="gramEnd"/>
      <w:r>
        <w:rPr>
          <w:i/>
        </w:rPr>
        <w:t xml:space="preserve"> The Intermountain Region</w:t>
      </w:r>
      <w:r>
        <w:t xml:space="preserve">) as providing existing definitions of old growth for the Intermountain Region (pp. 36, 151).  Also as cited by the Forest, old-growth criteria are summarized in the </w:t>
      </w:r>
      <w:r>
        <w:rPr>
          <w:i/>
        </w:rPr>
        <w:t>Mature and Old-Growth Forest</w:t>
      </w:r>
      <w:r>
        <w:t xml:space="preserve"> report.  Together these identify 9” DRC as the threshold for old-growth pinyon-juniper on low productivity sites and 12” DRC on high productivity sites (Hamilton p. 74, </w:t>
      </w:r>
      <w:r>
        <w:rPr>
          <w:i/>
        </w:rPr>
        <w:t>Mature and Old-Growth Forest</w:t>
      </w:r>
      <w:r>
        <w:t xml:space="preserve"> report p. 45).</w:t>
      </w:r>
      <w:r>
        <w:rPr>
          <w:vertAlign w:val="superscript"/>
        </w:rPr>
        <w:footnoteReference w:id="7"/>
      </w:r>
      <w:r>
        <w:t xml:space="preserve"> </w:t>
      </w:r>
      <w:r>
        <w:rPr>
          <w:vertAlign w:val="superscript"/>
        </w:rPr>
        <w:footnoteReference w:id="8"/>
      </w:r>
      <w:r>
        <w:t xml:space="preserve">  Some of the locations in the project area likely qualify as low </w:t>
      </w:r>
      <w:r>
        <w:lastRenderedPageBreak/>
        <w:t xml:space="preserve">productivity </w:t>
      </w:r>
      <w:proofErr w:type="gramStart"/>
      <w:r>
        <w:t>sites, and</w:t>
      </w:r>
      <w:proofErr w:type="gramEnd"/>
      <w:r>
        <w:t xml:space="preserve"> should thus use 9” DRC as the old-growth threshold.  The Forest seems to be using 12” DRC as an old-growth threshold when it says, “The majority of the area consists of trees that are likely relatively young trees (e.g. less than 150-year-old pre-European settlement), those less than 12” at the root crown” (p. 25).  Despite both this and citing to old-growth definitions, the Forest fails to use them in its proposed treatments, and instead appears to be using 18”+ as the old-growth threshold (pp. 54, 152), without providing any justification for deviating from the best available science and current agency policy.</w:t>
      </w:r>
    </w:p>
    <w:p w14:paraId="7674EB10" w14:textId="77777777" w:rsidR="0011747D" w:rsidRDefault="0011747D">
      <w:pPr>
        <w:tabs>
          <w:tab w:val="left" w:pos="540"/>
        </w:tabs>
      </w:pPr>
    </w:p>
    <w:p w14:paraId="7E6AC2EA" w14:textId="77777777" w:rsidR="0011747D" w:rsidRDefault="00000000">
      <w:pPr>
        <w:tabs>
          <w:tab w:val="left" w:pos="540"/>
        </w:tabs>
      </w:pPr>
      <w:r>
        <w:t>The treatment description also includes removing pinyon and juniper from within the perimeter of sagebrush and mountain shrub meadows, but no provisions for retention of old-growth trees that may be growing in this area (p. 44).  In addition, the EA states that the action alternatives would “reduce the abundance of juniper present within other cover types through vegetation management” (p. 105), which could very well include old-growth junipers.  The EA also states that the project would help promote the distribution of pinyon-juniper stands over time (p. 146</w:t>
      </w:r>
      <w:proofErr w:type="gramStart"/>
      <w:r>
        <w:t>), but</w:t>
      </w:r>
      <w:proofErr w:type="gramEnd"/>
      <w:r>
        <w:t xml:space="preserve"> provides no rational explanation of how this would occur when pinyon-juniper is being removed from significant acreage across the project area.  The EA shows that 9,580 acres of pinyon-juniper old-growth would be treated under the Proposed Action, and another 8,666 acres are included in the Passive MMA Area where prescribed fire could be allowed to enter (Table 28, p. 41).  Lacking a detailed treatment description demonstrating how </w:t>
      </w:r>
      <w:proofErr w:type="gramStart"/>
      <w:r>
        <w:t>old-growth</w:t>
      </w:r>
      <w:proofErr w:type="gramEnd"/>
      <w:r>
        <w:t xml:space="preserve"> would be retained in these 9,580 plus 8,666 acres, the claim that “[t]here are no direct effects to the distribution and percentage of old growth associated with the PJ woodland cover type” (p. 106) cannot be justified.</w:t>
      </w:r>
    </w:p>
    <w:p w14:paraId="60C47FD2" w14:textId="77777777" w:rsidR="0011747D" w:rsidRDefault="0011747D">
      <w:pPr>
        <w:tabs>
          <w:tab w:val="left" w:pos="540"/>
        </w:tabs>
      </w:pPr>
    </w:p>
    <w:p w14:paraId="6D687C05" w14:textId="77777777" w:rsidR="0011747D" w:rsidRDefault="00000000">
      <w:pPr>
        <w:tabs>
          <w:tab w:val="left" w:pos="540"/>
        </w:tabs>
      </w:pPr>
      <w:r>
        <w:t>F.</w:t>
      </w:r>
      <w:r>
        <w:tab/>
        <w:t>Sagebrush Steppe/Shrublands/Grassland Vegetation Types</w:t>
      </w:r>
    </w:p>
    <w:p w14:paraId="5C6AB8C3" w14:textId="77777777" w:rsidR="0011747D" w:rsidRDefault="0011747D">
      <w:pPr>
        <w:tabs>
          <w:tab w:val="left" w:pos="540"/>
        </w:tabs>
      </w:pPr>
    </w:p>
    <w:p w14:paraId="053EEEE1" w14:textId="77777777" w:rsidR="0011747D" w:rsidRDefault="00000000">
      <w:pPr>
        <w:tabs>
          <w:tab w:val="left" w:pos="540"/>
        </w:tabs>
      </w:pPr>
      <w:r>
        <w:t>For sagebrush, shrublands, and grasslands, the treatment description includes removing “encroaching” pinyon and juniper, but no provisions for retention of old-growth trees that may be growing in these areas (p. 44).  The EA cites to Romme and colleagues’ classification of three distinct types of pinyon-</w:t>
      </w:r>
      <w:proofErr w:type="gramStart"/>
      <w:r>
        <w:t>juniper</w:t>
      </w:r>
      <w:proofErr w:type="gramEnd"/>
      <w:r>
        <w:t>:  persistent woodlands, savannas, and wooded shrublands (p. 26).  Despite this EA, the EA fails to recognize that wooded shrublands can contain old-growth pinyon and juniper trees.  Lacking a detailed treatment description demonstrating how old-growth pinyon and juniper would be retained in these areas, the claim that  “[s]</w:t>
      </w:r>
      <w:proofErr w:type="spellStart"/>
      <w:r>
        <w:t>hrubland</w:t>
      </w:r>
      <w:proofErr w:type="spellEnd"/>
      <w:r>
        <w:t xml:space="preserve"> tree control treatments will not have any direct or indirect effects to existing old growth stands within the project area” (p. 106) cannot be justified.</w:t>
      </w:r>
    </w:p>
    <w:p w14:paraId="5A5EDFA4" w14:textId="77777777" w:rsidR="0011747D" w:rsidRDefault="0011747D">
      <w:pPr>
        <w:tabs>
          <w:tab w:val="left" w:pos="540"/>
        </w:tabs>
      </w:pPr>
    </w:p>
    <w:p w14:paraId="04B66F5F" w14:textId="77777777" w:rsidR="0011747D" w:rsidRDefault="00000000">
      <w:pPr>
        <w:tabs>
          <w:tab w:val="left" w:pos="540"/>
        </w:tabs>
      </w:pPr>
      <w:r>
        <w:t>G.</w:t>
      </w:r>
      <w:r>
        <w:tab/>
        <w:t>Riparian Areas</w:t>
      </w:r>
    </w:p>
    <w:p w14:paraId="65DB4C5A" w14:textId="77777777" w:rsidR="0011747D" w:rsidRDefault="0011747D">
      <w:pPr>
        <w:tabs>
          <w:tab w:val="left" w:pos="540"/>
        </w:tabs>
      </w:pPr>
    </w:p>
    <w:p w14:paraId="290D056B" w14:textId="77777777" w:rsidR="0011747D" w:rsidRDefault="00000000">
      <w:pPr>
        <w:tabs>
          <w:tab w:val="left" w:pos="540"/>
        </w:tabs>
      </w:pPr>
      <w:r>
        <w:t xml:space="preserve">For riparian areas, the treatment description includes thinning primarily pinyon and juniper within 100 feet of streams, but no provisions for retention of old-growth trees that may be growing in these areas (p. 44).  Significant amounts of old-growth rocky mountain juniper </w:t>
      </w:r>
      <w:proofErr w:type="gramStart"/>
      <w:r>
        <w:t>in particular could</w:t>
      </w:r>
      <w:proofErr w:type="gramEnd"/>
      <w:r>
        <w:t xml:space="preserve"> be present in these areas.  Lacking a detailed treatment description demonstrating how old-growth pinyon and juniper would be retained in these </w:t>
      </w:r>
      <w:r>
        <w:lastRenderedPageBreak/>
        <w:t>areas, the claim that  “[r]</w:t>
      </w:r>
      <w:proofErr w:type="spellStart"/>
      <w:r>
        <w:t>iparian</w:t>
      </w:r>
      <w:proofErr w:type="spellEnd"/>
      <w:r>
        <w:t xml:space="preserve"> treatments will not have any direct or indirect effects to existing old growth stands within the project area” (p. 107) cannot be justified.</w:t>
      </w:r>
    </w:p>
    <w:p w14:paraId="7395A2D9" w14:textId="77777777" w:rsidR="0011747D" w:rsidRDefault="0011747D">
      <w:pPr>
        <w:tabs>
          <w:tab w:val="left" w:pos="540"/>
        </w:tabs>
      </w:pPr>
    </w:p>
    <w:p w14:paraId="4E955BE3" w14:textId="77777777" w:rsidR="0011747D" w:rsidRDefault="00000000">
      <w:pPr>
        <w:tabs>
          <w:tab w:val="left" w:pos="540"/>
        </w:tabs>
      </w:pPr>
      <w:r>
        <w:t>H.</w:t>
      </w:r>
      <w:r>
        <w:tab/>
        <w:t>Mature Trees &amp; Forests</w:t>
      </w:r>
    </w:p>
    <w:p w14:paraId="52F2F372" w14:textId="77777777" w:rsidR="0011747D" w:rsidRDefault="0011747D">
      <w:pPr>
        <w:tabs>
          <w:tab w:val="left" w:pos="540"/>
        </w:tabs>
      </w:pPr>
    </w:p>
    <w:p w14:paraId="4D725067" w14:textId="77777777" w:rsidR="0011747D" w:rsidRDefault="00000000">
      <w:pPr>
        <w:widowControl w:val="0"/>
        <w:shd w:val="clear" w:color="auto" w:fill="FFFFFF"/>
        <w:tabs>
          <w:tab w:val="left" w:pos="540"/>
        </w:tabs>
      </w:pPr>
      <w:r>
        <w:t>The EA states:</w:t>
      </w:r>
    </w:p>
    <w:p w14:paraId="35836027" w14:textId="77777777" w:rsidR="0011747D" w:rsidRDefault="0011747D">
      <w:pPr>
        <w:widowControl w:val="0"/>
        <w:shd w:val="clear" w:color="auto" w:fill="FFFFFF"/>
        <w:tabs>
          <w:tab w:val="left" w:pos="540"/>
        </w:tabs>
      </w:pPr>
    </w:p>
    <w:p w14:paraId="0C0C7EC1" w14:textId="77777777" w:rsidR="0011747D" w:rsidRDefault="00000000">
      <w:pPr>
        <w:widowControl w:val="0"/>
        <w:shd w:val="clear" w:color="auto" w:fill="FFFFFF"/>
        <w:tabs>
          <w:tab w:val="left" w:pos="540"/>
        </w:tabs>
        <w:ind w:left="720" w:right="720"/>
      </w:pPr>
      <w:r>
        <w:t>The vegetation management activities proposed, including density reduction primarily within the smaller size classes and among younger trees and the use of prescribed fire in fire-adapted vegetation types, would be beneficial to the longevity of existing old growth as well as increasing the likelihood that mature stands persist and develop old growth characteristics in the future. (p. 41)</w:t>
      </w:r>
    </w:p>
    <w:p w14:paraId="566769A2" w14:textId="77777777" w:rsidR="0011747D" w:rsidRDefault="0011747D">
      <w:pPr>
        <w:widowControl w:val="0"/>
        <w:shd w:val="clear" w:color="auto" w:fill="FFFFFF"/>
        <w:tabs>
          <w:tab w:val="left" w:pos="540"/>
        </w:tabs>
      </w:pPr>
    </w:p>
    <w:p w14:paraId="584C5C8B" w14:textId="77777777" w:rsidR="0011747D" w:rsidRDefault="00000000">
      <w:pPr>
        <w:widowControl w:val="0"/>
        <w:shd w:val="clear" w:color="auto" w:fill="FFFFFF"/>
        <w:tabs>
          <w:tab w:val="left" w:pos="540"/>
        </w:tabs>
      </w:pPr>
      <w:r>
        <w:t>Regarding pinyon-juniper in particular, the EA states that “[m]</w:t>
      </w:r>
      <w:proofErr w:type="spellStart"/>
      <w:r>
        <w:t>ost</w:t>
      </w:r>
      <w:proofErr w:type="spellEnd"/>
      <w:r>
        <w:t xml:space="preserve"> of the pinyon-juniper stands are mature” (p. 26), while proposing to remove significant amounts of pinyon-juniper forest.</w:t>
      </w:r>
    </w:p>
    <w:p w14:paraId="04872188" w14:textId="77777777" w:rsidR="0011747D" w:rsidRDefault="0011747D"/>
    <w:p w14:paraId="4F1E1A80" w14:textId="77777777" w:rsidR="0011747D" w:rsidRDefault="00000000">
      <w:bookmarkStart w:id="0" w:name="_heading=h.f3eerataal3i" w:colFirst="0" w:colLast="0"/>
      <w:bookmarkEnd w:id="0"/>
      <w:r>
        <w:t xml:space="preserve">The EA states:  “In the long term, mature and old growth forest characteristics would be improved” (p. 146).  As demonstrated above, this claim has not been substantiated with respect to </w:t>
      </w:r>
      <w:proofErr w:type="gramStart"/>
      <w:r>
        <w:t>old-growth</w:t>
      </w:r>
      <w:proofErr w:type="gramEnd"/>
      <w:r>
        <w:t>.  The EA provides even less analysis and justification for the improvement, or even retention, of mature forests.  In general, the EA fails to demonstrate how mature and old-growth forests would be retained.</w:t>
      </w:r>
    </w:p>
    <w:p w14:paraId="50EB6DE6" w14:textId="77777777" w:rsidR="0011747D" w:rsidRDefault="0011747D">
      <w:bookmarkStart w:id="1" w:name="_heading=h.kp6kyx656ipd" w:colFirst="0" w:colLast="0"/>
      <w:bookmarkEnd w:id="1"/>
    </w:p>
    <w:p w14:paraId="72E402BE" w14:textId="77777777" w:rsidR="0011747D" w:rsidRDefault="00000000">
      <w:pPr>
        <w:rPr>
          <w:u w:val="single"/>
        </w:rPr>
      </w:pPr>
      <w:bookmarkStart w:id="2" w:name="_heading=h.c43wz52g986" w:colFirst="0" w:colLast="0"/>
      <w:bookmarkEnd w:id="2"/>
      <w:proofErr w:type="gramStart"/>
      <w:r>
        <w:t>In order to</w:t>
      </w:r>
      <w:proofErr w:type="gramEnd"/>
      <w:r>
        <w:t xml:space="preserve"> remedy the issues discussed in this section we provide the following requests.</w:t>
      </w:r>
    </w:p>
    <w:p w14:paraId="304A2C55" w14:textId="77777777" w:rsidR="0011747D" w:rsidRDefault="0011747D">
      <w:pPr>
        <w:rPr>
          <w:u w:val="single"/>
        </w:rPr>
      </w:pPr>
    </w:p>
    <w:p w14:paraId="289395B8" w14:textId="77777777" w:rsidR="0011747D" w:rsidRDefault="00000000">
      <w:r>
        <w:rPr>
          <w:u w:val="single"/>
        </w:rPr>
        <w:t>Proposed Resolution:</w:t>
      </w:r>
    </w:p>
    <w:p w14:paraId="40E36958" w14:textId="77777777" w:rsidR="0011747D" w:rsidRDefault="00000000">
      <w:pPr>
        <w:numPr>
          <w:ilvl w:val="0"/>
          <w:numId w:val="7"/>
        </w:numPr>
        <w:tabs>
          <w:tab w:val="left" w:pos="540"/>
        </w:tabs>
      </w:pPr>
      <w:r>
        <w:t>Determine and disclose old growth status in areas that are proposed for treatment and analyze in detail what the effects of treatments would be on old-growth forests.</w:t>
      </w:r>
    </w:p>
    <w:p w14:paraId="6F4D22F7" w14:textId="77777777" w:rsidR="0011747D" w:rsidRDefault="00000000">
      <w:pPr>
        <w:numPr>
          <w:ilvl w:val="0"/>
          <w:numId w:val="7"/>
        </w:numPr>
      </w:pPr>
      <w:r>
        <w:t xml:space="preserve">For each vegetation type discussed above, provide a detailed treatment description and associated analysis demonstrating how old-growth would be retained and demonstrate how there would be no direct effects to old-growth associated with each vegetation cover type. </w:t>
      </w:r>
    </w:p>
    <w:p w14:paraId="7D43614D" w14:textId="77777777" w:rsidR="0011747D" w:rsidRDefault="00000000">
      <w:pPr>
        <w:numPr>
          <w:ilvl w:val="0"/>
          <w:numId w:val="7"/>
        </w:numPr>
      </w:pPr>
      <w:r>
        <w:t>For each vegetation type discussed above, provide a detailed treatment description and associated analysis demonstrating how mature forests and trees would be retained and/or improved.</w:t>
      </w:r>
    </w:p>
    <w:p w14:paraId="1CF8C5AE" w14:textId="77777777" w:rsidR="0011747D" w:rsidRDefault="00000000">
      <w:pPr>
        <w:numPr>
          <w:ilvl w:val="0"/>
          <w:numId w:val="7"/>
        </w:numPr>
      </w:pPr>
      <w:r>
        <w:t>Do not cut trees above old-growth thresholds unless documented aging determines that the threshold is higher for a particular site.</w:t>
      </w:r>
    </w:p>
    <w:p w14:paraId="0EC45DAF" w14:textId="77777777" w:rsidR="0011747D" w:rsidRDefault="0011747D"/>
    <w:p w14:paraId="1E4AC244" w14:textId="77777777" w:rsidR="0011747D" w:rsidRDefault="00000000">
      <w:pPr>
        <w:pStyle w:val="Heading2"/>
        <w:tabs>
          <w:tab w:val="left" w:pos="540"/>
        </w:tabs>
        <w:rPr>
          <w:b/>
          <w:sz w:val="24"/>
          <w:szCs w:val="24"/>
        </w:rPr>
      </w:pPr>
      <w:r>
        <w:rPr>
          <w:b/>
          <w:sz w:val="24"/>
          <w:szCs w:val="24"/>
        </w:rPr>
        <w:t xml:space="preserve">III. </w:t>
      </w:r>
      <w:r>
        <w:rPr>
          <w:b/>
          <w:sz w:val="24"/>
          <w:szCs w:val="24"/>
        </w:rPr>
        <w:tab/>
        <w:t>Pinyon Jay</w:t>
      </w:r>
    </w:p>
    <w:p w14:paraId="350B6D51" w14:textId="77777777" w:rsidR="0011747D" w:rsidRDefault="0011747D"/>
    <w:p w14:paraId="126D8243" w14:textId="77777777" w:rsidR="0011747D" w:rsidRDefault="00000000">
      <w:r>
        <w:t xml:space="preserve">We raised concerns about potential effects to pinyon jays in our comments.  The Wildlife &amp; Plant Report states:  “The project area contains approximately 20,448 acres of pinyon-juniper vegetation that potentially contains suitable breeding habitat for the pinyon jay” (p. 39).  The EA includes Design Feature WL-14 focused on pinyon jays.  The design feature </w:t>
      </w:r>
      <w:r>
        <w:lastRenderedPageBreak/>
        <w:t xml:space="preserve">states that surveys will be conducted in suitable pinyon-juniper breeding habitat prior to implementation, and that if nesting colonies are found restrictions of treatment activities will be made on a case-by-case basis consistent with the Conservation Strategy for the Pinyon Jay (p. 56).  The EA states that treatments within pinyon and juniper will move stands toward desired conditions, and that this will benefit pinyon jay (pp. 120, 123).  However, no evidence has been provided showing that the desired conditions for pinyon and juniper are beneficial for pinyon jay.  The EA also states that no effects are expected for potential pinyon jay habitat “since mature pinyon and juniper will continue to occur” (p. 128).  As discussed above, the project does not ensure the retention of mature or even old-growth pinyon and juniper, and thus this “no effect” claim is not justified.  In general, the EA fails to provide a detailed analysis of potential effects to pinyon </w:t>
      </w:r>
      <w:proofErr w:type="gramStart"/>
      <w:r>
        <w:t>jays, and</w:t>
      </w:r>
      <w:proofErr w:type="gramEnd"/>
      <w:r>
        <w:t xml:space="preserve"> fails to demonstrate that those effects will not be significant.</w:t>
      </w:r>
    </w:p>
    <w:p w14:paraId="0E2B02E9" w14:textId="77777777" w:rsidR="0011747D" w:rsidRDefault="0011747D"/>
    <w:p w14:paraId="231B4B76" w14:textId="77777777" w:rsidR="0011747D" w:rsidRDefault="00000000">
      <w:proofErr w:type="gramStart"/>
      <w:r>
        <w:t>Pinyon</w:t>
      </w:r>
      <w:proofErr w:type="gramEnd"/>
      <w:r>
        <w:t xml:space="preserve"> jay populations are currently undergoing significant decline. An estimated 85% of the pinyon jay population was lost between 1967 and 2015, and the population is anticipated to decline by another 50% in 19 years.</w:t>
      </w:r>
      <w:r>
        <w:rPr>
          <w:vertAlign w:val="superscript"/>
        </w:rPr>
        <w:footnoteReference w:id="9"/>
      </w:r>
      <w:r>
        <w:t xml:space="preserve">  The Fish and Wildlife Service has issued a positive 90-day finding in response to a petition to list the pinyon jay under the Endangered Species Act and has initiated a status review.</w:t>
      </w:r>
      <w:r>
        <w:rPr>
          <w:vertAlign w:val="superscript"/>
        </w:rPr>
        <w:footnoteReference w:id="10"/>
      </w:r>
      <w:r>
        <w:t xml:space="preserve"> The 90-day finding lists adverse habitat treatments in pinyon-juniper woodlands as a factor it is considering under 4(a)(1) of the Endangered Species Act.  Further, Pinyon jay is also designated as a Species of Greatest Conservation Need by the Utah Division of Wildlife Resources as part of its Wildlife Action Plan.</w:t>
      </w:r>
      <w:r>
        <w:rPr>
          <w:vertAlign w:val="superscript"/>
        </w:rPr>
        <w:footnoteReference w:id="11"/>
      </w:r>
      <w:r>
        <w:t xml:space="preserve">  In light of the above, the lack of detailed analysis regarding such impacts is concerning to </w:t>
      </w:r>
      <w:proofErr w:type="gramStart"/>
      <w:r>
        <w:t>us, and</w:t>
      </w:r>
      <w:proofErr w:type="gramEnd"/>
      <w:r>
        <w:t xml:space="preserve"> fails to demonstrate the “hard look” that NEPA requires.  The EA must evaluate the impacts on pinyon jay taking into consideration the decreasing populations and other information contributing to its potential listing under the Endangered Species Act.</w:t>
      </w:r>
    </w:p>
    <w:p w14:paraId="692AA4CA" w14:textId="77777777" w:rsidR="0011747D" w:rsidRDefault="0011747D"/>
    <w:p w14:paraId="2400B8B2" w14:textId="77777777" w:rsidR="0011747D" w:rsidRDefault="00000000">
      <w:r>
        <w:t xml:space="preserve">Pinyon-juniper removal can have detrimental effects on pinyon jays, most concerningly removal of traditional nesting sites and elimination of important nut-producing pinyon pines.  Nesting time periods for migratory birds more generally are not appropriate for pinyon jays, and standard surveys for other birds are likely not adequate for pinyon jays.  Furthermore, </w:t>
      </w:r>
      <w:r>
        <w:rPr>
          <w:highlight w:val="white"/>
        </w:rPr>
        <w:t xml:space="preserve">pinyon jays can have very high nest site fidelity. </w:t>
      </w:r>
      <w:proofErr w:type="spellStart"/>
      <w:r>
        <w:rPr>
          <w:highlight w:val="white"/>
        </w:rPr>
        <w:t>Marzluff</w:t>
      </w:r>
      <w:proofErr w:type="spellEnd"/>
      <w:r>
        <w:rPr>
          <w:highlight w:val="white"/>
        </w:rPr>
        <w:t xml:space="preserve"> and Balda (1992) documented a flock that bred at the same site each of the 14 years that this flock was observed, and for another flock documented 5 different nesting sites that were each used 9 times.  </w:t>
      </w:r>
      <w:proofErr w:type="gramStart"/>
      <w:r>
        <w:t>Thus</w:t>
      </w:r>
      <w:proofErr w:type="gramEnd"/>
      <w:r>
        <w:t xml:space="preserve"> implementing the project outside of the migratory bird nesting period, and even outside of the pinyon jay nesting period specifically, could still result in damaging impacts to pinyon jays and their traditional nesting sites.</w:t>
      </w:r>
    </w:p>
    <w:p w14:paraId="4ABA39F0" w14:textId="77777777" w:rsidR="0011747D" w:rsidRDefault="0011747D"/>
    <w:p w14:paraId="654D8BA5" w14:textId="77777777" w:rsidR="0011747D" w:rsidRDefault="00000000">
      <w:r>
        <w:t xml:space="preserve">Regarding cumulative effects, no cumulative effects analysis has been undertaken for pinyon </w:t>
      </w:r>
      <w:proofErr w:type="gramStart"/>
      <w:r>
        <w:t>jays in particular</w:t>
      </w:r>
      <w:proofErr w:type="gramEnd"/>
      <w:r>
        <w:t xml:space="preserve">.  The effects of past and future vegetation </w:t>
      </w:r>
      <w:proofErr w:type="gramStart"/>
      <w:r>
        <w:t>change</w:t>
      </w:r>
      <w:proofErr w:type="gramEnd"/>
      <w:r>
        <w:t xml:space="preserve">, including vegetation treatments and fires, on the Dixie NF and other nearby federal lands, including nearby National Forests, have the potential to be cumulative with the proposed action.  These cumulative effects have the potential to be </w:t>
      </w:r>
      <w:proofErr w:type="gramStart"/>
      <w:r>
        <w:t>significant, and</w:t>
      </w:r>
      <w:proofErr w:type="gramEnd"/>
      <w:r>
        <w:t xml:space="preserve"> have not been analyzed in the EA and associated documentation.  We propose the following </w:t>
      </w:r>
      <w:proofErr w:type="gramStart"/>
      <w:r>
        <w:t>in order to</w:t>
      </w:r>
      <w:proofErr w:type="gramEnd"/>
      <w:r>
        <w:t xml:space="preserve"> remedy this issue:</w:t>
      </w:r>
    </w:p>
    <w:p w14:paraId="6AF32283" w14:textId="77777777" w:rsidR="0011747D" w:rsidRDefault="0011747D">
      <w:pPr>
        <w:shd w:val="clear" w:color="auto" w:fill="FFFFFF"/>
      </w:pPr>
    </w:p>
    <w:p w14:paraId="0C7FF92C" w14:textId="77777777" w:rsidR="0011747D" w:rsidRDefault="00000000">
      <w:pPr>
        <w:shd w:val="clear" w:color="auto" w:fill="FFFFFF"/>
      </w:pPr>
      <w:r>
        <w:rPr>
          <w:u w:val="single"/>
        </w:rPr>
        <w:t>Proposed Resolution:</w:t>
      </w:r>
    </w:p>
    <w:p w14:paraId="2486D0F2" w14:textId="77777777" w:rsidR="0011747D" w:rsidRDefault="00000000">
      <w:pPr>
        <w:numPr>
          <w:ilvl w:val="0"/>
          <w:numId w:val="8"/>
        </w:numPr>
        <w:shd w:val="clear" w:color="auto" w:fill="FFFFFF"/>
      </w:pPr>
      <w:r>
        <w:t>Analyze potential cumulative effects of the proposed action along with other past and future actions on migratory birds in general and pinyon jays specifically.</w:t>
      </w:r>
    </w:p>
    <w:p w14:paraId="630AA416" w14:textId="77777777" w:rsidR="0011747D" w:rsidRDefault="0011747D">
      <w:pPr>
        <w:widowControl w:val="0"/>
        <w:shd w:val="clear" w:color="auto" w:fill="FFFFFF"/>
      </w:pPr>
    </w:p>
    <w:p w14:paraId="2A45C778" w14:textId="77777777" w:rsidR="0011747D" w:rsidRDefault="00000000">
      <w:pPr>
        <w:widowControl w:val="0"/>
        <w:shd w:val="clear" w:color="auto" w:fill="FFFFFF"/>
        <w:tabs>
          <w:tab w:val="left" w:pos="540"/>
        </w:tabs>
        <w:rPr>
          <w:b/>
        </w:rPr>
      </w:pPr>
      <w:r>
        <w:rPr>
          <w:b/>
        </w:rPr>
        <w:t>IV.</w:t>
      </w:r>
      <w:r>
        <w:rPr>
          <w:b/>
        </w:rPr>
        <w:tab/>
        <w:t>Cattle Grazing</w:t>
      </w:r>
    </w:p>
    <w:p w14:paraId="52021A83" w14:textId="77777777" w:rsidR="0011747D" w:rsidRDefault="0011747D">
      <w:pPr>
        <w:widowControl w:val="0"/>
        <w:shd w:val="clear" w:color="auto" w:fill="FFFFFF"/>
        <w:tabs>
          <w:tab w:val="left" w:pos="540"/>
        </w:tabs>
        <w:rPr>
          <w:sz w:val="26"/>
          <w:szCs w:val="26"/>
        </w:rPr>
      </w:pPr>
    </w:p>
    <w:p w14:paraId="35BFFE37" w14:textId="77777777" w:rsidR="0011747D" w:rsidRDefault="00000000">
      <w:pPr>
        <w:widowControl w:val="0"/>
        <w:shd w:val="clear" w:color="auto" w:fill="FFFFFF"/>
      </w:pPr>
      <w:r>
        <w:t xml:space="preserve">We raised concerns about the effects of cattle grazing in our </w:t>
      </w:r>
      <w:proofErr w:type="spellStart"/>
      <w:r>
        <w:t>comments.The</w:t>
      </w:r>
      <w:proofErr w:type="spellEnd"/>
      <w:r>
        <w:t xml:space="preserve"> EA does not adequately analyze the effects of cattle grazing on Forest resources. Cattle grazing is known to have effects on multiple variables that contribute to ecosystem function, including vegetation, soils, and wildlife habitat. Moreover, cattle grazing management can have a profound influence on post-treatment success. The increased forage in treated areas often results in overuse by cattle and wildlife, leading to trampling, soil compaction, and loss of biodiversity and vegetation functional groups and age classes. These are the very conditions the Forest is hoping to correct in the Purpose and Need for the project. As we show below, the EA and specialist reports themselves suggest that livestock grazing could be a significant action agent in producing the conditions the Forest hopes to correct. As such, an in-depth comprehensive analysis is required for an adequate determination of impacts. To do otherwise is a violation of the NEPA’s requirement to take a hard look at the impacts of the proposed action.</w:t>
      </w:r>
      <w:r>
        <w:rPr>
          <w:vertAlign w:val="superscript"/>
        </w:rPr>
        <w:footnoteReference w:id="12"/>
      </w:r>
    </w:p>
    <w:p w14:paraId="218849AA" w14:textId="77777777" w:rsidR="0011747D" w:rsidRDefault="00000000">
      <w:pPr>
        <w:widowControl w:val="0"/>
        <w:shd w:val="clear" w:color="auto" w:fill="FFFFFF"/>
      </w:pPr>
      <w:r>
        <w:t xml:space="preserve"> </w:t>
      </w:r>
    </w:p>
    <w:p w14:paraId="047ED5C1" w14:textId="77777777" w:rsidR="0011747D" w:rsidRDefault="00000000">
      <w:pPr>
        <w:widowControl w:val="0"/>
        <w:shd w:val="clear" w:color="auto" w:fill="FFFFFF"/>
      </w:pPr>
      <w:r>
        <w:t xml:space="preserve">The Hungry Creek Vegetation Improvement Project Range Resource Effects Analysis specialist report is a minimal 3-page analysis that discusses livestock grazing mainly in the context of project effects on the ranching operation, not the effects of grazing on the many resources the Forest is responsible for sustainably managing. The report briefly mentions project effects on shrubs and noxious weeds (Range report p. 1), but there are additional resources to consider including soils, vegetation, and riparian areas. No information is included on the past and current impacts of grazing on these values, not even allotment evaluations, trend, or utilization data. This information has a bearing on the need for the project and should have been included. The Biennial Monitoring Evaluation Report for the Dixie National Forest 2017-2018 Plan (the most recent report available that includes range) indicates that 25% of 550 range monitoring studies in 2017-2018 failed to meet </w:t>
      </w:r>
      <w:r>
        <w:lastRenderedPageBreak/>
        <w:t>desired conditions for vegetation and were within control of management.</w:t>
      </w:r>
      <w:r>
        <w:rPr>
          <w:vertAlign w:val="superscript"/>
        </w:rPr>
        <w:footnoteReference w:id="13"/>
      </w:r>
      <w:r>
        <w:t xml:space="preserve"> The report did not specify locations, but the Escalante Ranger District was included on the list of districts with failing allotments where grazing was identified as a factor. If any of these allotments lie within the project area, that information should have been in the EA.</w:t>
      </w:r>
    </w:p>
    <w:p w14:paraId="10DAFC2C" w14:textId="77777777" w:rsidR="0011747D" w:rsidRDefault="00000000">
      <w:pPr>
        <w:widowControl w:val="0"/>
        <w:shd w:val="clear" w:color="auto" w:fill="FFFFFF"/>
      </w:pPr>
      <w:r>
        <w:t xml:space="preserve"> </w:t>
      </w:r>
    </w:p>
    <w:p w14:paraId="3C08DA28" w14:textId="77777777" w:rsidR="0011747D" w:rsidRDefault="00000000">
      <w:pPr>
        <w:widowControl w:val="0"/>
        <w:shd w:val="clear" w:color="auto" w:fill="FFFFFF"/>
      </w:pPr>
      <w:r>
        <w:t xml:space="preserve">The EA asserts that changes in grazing are beyond the scope of the proposed project, but that does not prevent a thorough and accurate determination of the causes of poor condition. In fact, such an analysis is vital to ensuring that the proposed action will be effective. Administrative changes and adjustments in annual operating instructions </w:t>
      </w:r>
      <w:proofErr w:type="gramStart"/>
      <w:r>
        <w:t>as a result of</w:t>
      </w:r>
      <w:proofErr w:type="gramEnd"/>
      <w:r>
        <w:t xml:space="preserve"> such an analysis are available remedies at any time and do not require a separate NEPA document.</w:t>
      </w:r>
    </w:p>
    <w:p w14:paraId="3AA616E2" w14:textId="77777777" w:rsidR="0011747D" w:rsidRDefault="00000000">
      <w:pPr>
        <w:widowControl w:val="0"/>
        <w:shd w:val="clear" w:color="auto" w:fill="FFFFFF"/>
      </w:pPr>
      <w:r>
        <w:t xml:space="preserve"> </w:t>
      </w:r>
    </w:p>
    <w:p w14:paraId="10C8BA97" w14:textId="77777777" w:rsidR="0011747D" w:rsidRDefault="00000000">
      <w:pPr>
        <w:widowControl w:val="0"/>
        <w:shd w:val="clear" w:color="auto" w:fill="FFFFFF"/>
      </w:pPr>
      <w:r>
        <w:t>The EA itself obliquely discusses the effects of livestock grazing in analyzing the effects of the project on other resources. For example:</w:t>
      </w:r>
    </w:p>
    <w:p w14:paraId="7FAAE833" w14:textId="77777777" w:rsidR="0011747D" w:rsidRDefault="00000000">
      <w:pPr>
        <w:widowControl w:val="0"/>
        <w:shd w:val="clear" w:color="auto" w:fill="FFFFFF"/>
      </w:pPr>
      <w:r>
        <w:t xml:space="preserve"> </w:t>
      </w:r>
    </w:p>
    <w:p w14:paraId="5A9AF951" w14:textId="77777777" w:rsidR="0011747D" w:rsidRDefault="00000000">
      <w:pPr>
        <w:widowControl w:val="0"/>
        <w:shd w:val="clear" w:color="auto" w:fill="FFFFFF"/>
        <w:tabs>
          <w:tab w:val="left" w:pos="540"/>
        </w:tabs>
      </w:pPr>
      <w:r>
        <w:t xml:space="preserve">A. </w:t>
      </w:r>
      <w:r>
        <w:tab/>
        <w:t>Riparian Areas</w:t>
      </w:r>
    </w:p>
    <w:p w14:paraId="065B7DF5" w14:textId="77777777" w:rsidR="0011747D" w:rsidRDefault="0011747D">
      <w:pPr>
        <w:widowControl w:val="0"/>
        <w:shd w:val="clear" w:color="auto" w:fill="FFFFFF"/>
        <w:tabs>
          <w:tab w:val="left" w:pos="540"/>
        </w:tabs>
      </w:pPr>
    </w:p>
    <w:p w14:paraId="7EFBD832" w14:textId="77777777" w:rsidR="0011747D" w:rsidRDefault="00000000">
      <w:pPr>
        <w:widowControl w:val="0"/>
        <w:shd w:val="clear" w:color="auto" w:fill="FFFFFF"/>
      </w:pPr>
      <w:r>
        <w:t xml:space="preserve">Restoration of habitat for the Forest Sensitive Colorado River cutthroat trout is one of the objectives of the project. Stream habitat loss and degradation due to </w:t>
      </w:r>
      <w:proofErr w:type="spellStart"/>
      <w:r>
        <w:t>overbrowsing</w:t>
      </w:r>
      <w:proofErr w:type="spellEnd"/>
      <w:r>
        <w:t>, bank erosion, and increased sedimentation are some of the factors for the species’ decline. These habitat conditions are linked to livestock grazing in the EA. The Soil Resource Effects Analysis report describes streams degraded by livestock and says that grazing pressure is heavy in some riparian habitats in the proposed project area (p. 32) and that grazing in riparian areas can cause increased sedimentation in streams (p. 4). The EA acknowledges this and discusses the need for protection and restoration (p. 93). The EA states that there are areas where stream channel stability is severely degraded (p. 32). The EA also states:</w:t>
      </w:r>
    </w:p>
    <w:p w14:paraId="1EA1FF36" w14:textId="77777777" w:rsidR="0011747D" w:rsidRDefault="00000000">
      <w:pPr>
        <w:widowControl w:val="0"/>
        <w:shd w:val="clear" w:color="auto" w:fill="FFFFFF"/>
        <w:ind w:left="720" w:right="720"/>
      </w:pPr>
      <w:r>
        <w:t>Bank stability on West Branch Pine Creek and Gap Spring at the last reading was measured at, or below, levels thought to negatively impact stream channel function. Ground cover along Whites Creek, North Creek upstream from the Reservoir, Blue Springs, West Branch Pine Creek, Gap Spring, Durfey Creek at the last reading has been measured at, or below, the Forest Plan standard. Lack of ground cover can alter sediment loading, hydrology and lead to bank instability. (p. 33).</w:t>
      </w:r>
    </w:p>
    <w:p w14:paraId="47C876A2" w14:textId="77777777" w:rsidR="0011747D" w:rsidRDefault="00000000">
      <w:pPr>
        <w:widowControl w:val="0"/>
        <w:shd w:val="clear" w:color="auto" w:fill="FFFFFF"/>
        <w:rPr>
          <w:strike/>
        </w:rPr>
      </w:pPr>
      <w:r>
        <w:t xml:space="preserve">The EA also highlights a lack of cottonwood and willow recruitment in the understory (p. 32). Cattle grazing has a direct and clear relation to bank/channel stability, ground cover,  sedimentation, and cottonwood and willow recruitment, yet the EA does not consider the past, present, and reasonably foreseeable effects of cattle grazing on bank/channel stability, ground cover,  sedimentation, and cottonwood and willow recruitment in riparian areas along with the proposed action.  </w:t>
      </w:r>
      <w:proofErr w:type="gramStart"/>
      <w:r>
        <w:t>These</w:t>
      </w:r>
      <w:proofErr w:type="gramEnd"/>
      <w:r>
        <w:t xml:space="preserve"> effects of cattle grazing along with the proposed action must be analyzed in detail.  </w:t>
      </w:r>
      <w:r>
        <w:rPr>
          <w:strike/>
        </w:rPr>
        <w:t xml:space="preserve"> </w:t>
      </w:r>
    </w:p>
    <w:p w14:paraId="707C11A5" w14:textId="77777777" w:rsidR="0011747D" w:rsidRDefault="00000000">
      <w:pPr>
        <w:widowControl w:val="0"/>
        <w:shd w:val="clear" w:color="auto" w:fill="FFFFFF"/>
      </w:pPr>
      <w:r>
        <w:t xml:space="preserve"> </w:t>
      </w:r>
    </w:p>
    <w:p w14:paraId="62BDDD40" w14:textId="77777777" w:rsidR="0011747D" w:rsidRDefault="00000000">
      <w:pPr>
        <w:widowControl w:val="0"/>
        <w:shd w:val="clear" w:color="auto" w:fill="FFFFFF"/>
        <w:tabs>
          <w:tab w:val="left" w:pos="540"/>
        </w:tabs>
      </w:pPr>
      <w:r>
        <w:t>B.</w:t>
      </w:r>
      <w:r>
        <w:tab/>
        <w:t>Aspen</w:t>
      </w:r>
    </w:p>
    <w:p w14:paraId="28DDD943" w14:textId="77777777" w:rsidR="0011747D" w:rsidRDefault="0011747D">
      <w:pPr>
        <w:widowControl w:val="0"/>
        <w:shd w:val="clear" w:color="auto" w:fill="FFFFFF"/>
      </w:pPr>
    </w:p>
    <w:p w14:paraId="61E4A03A" w14:textId="77777777" w:rsidR="0011747D" w:rsidRDefault="00000000">
      <w:pPr>
        <w:widowControl w:val="0"/>
        <w:shd w:val="clear" w:color="auto" w:fill="FFFFFF"/>
      </w:pPr>
      <w:r>
        <w:t xml:space="preserve">Restoring aspen stands is an important part of the purpose and need for the project. The EA states that the aspen cover type has declined in the area by an estimated 65% compared to historical conditions (p. 20). The EA says that aspen </w:t>
      </w:r>
      <w:proofErr w:type="gramStart"/>
      <w:r>
        <w:t>are</w:t>
      </w:r>
      <w:proofErr w:type="gramEnd"/>
      <w:r>
        <w:t xml:space="preserve"> declining due to age and competition (p. 19), lack of fire (p. 20), invasion by conifers (pp. 79-80), and/or forest succession (p. 129), stating that the lack of fire is “the primary reason (p. 20). However, research on nearby forests and the Dixie itself have also shown that </w:t>
      </w:r>
      <w:proofErr w:type="spellStart"/>
      <w:r>
        <w:t>overbrowsing</w:t>
      </w:r>
      <w:proofErr w:type="spellEnd"/>
      <w:r>
        <w:t xml:space="preserve"> by ungulates, including livestock, have had a significant impact on recruitment and survival of young trees.</w:t>
      </w:r>
      <w:r>
        <w:rPr>
          <w:vertAlign w:val="superscript"/>
        </w:rPr>
        <w:footnoteReference w:id="14"/>
      </w:r>
      <w:r>
        <w:t xml:space="preserve"> </w:t>
      </w:r>
      <w:r>
        <w:rPr>
          <w:vertAlign w:val="superscript"/>
        </w:rPr>
        <w:footnoteReference w:id="15"/>
      </w:r>
      <w:r>
        <w:t xml:space="preserve"> The EA states that “minimal recruitment of new aspen stems is </w:t>
      </w:r>
      <w:proofErr w:type="spellStart"/>
      <w:r>
        <w:t>occuring</w:t>
      </w:r>
      <w:proofErr w:type="spellEnd"/>
      <w:r>
        <w:t xml:space="preserve">” (p. 20), and identified increasing aspen recruitment as a “Need for Change” (p. 22).  Recruitment, as distinguished from regeneration, refers to growth of aspen into the overstory.  This means that young aspen that are on the landscape are having difficulty growing into the overstory, and ungulate (including cattle) browsing are very likely playing a central role in that dynamic. The EA mentions the forage value of aspen (p. 20). </w:t>
      </w:r>
      <w:proofErr w:type="spellStart"/>
      <w:r>
        <w:t>Overbrowsing</w:t>
      </w:r>
      <w:proofErr w:type="spellEnd"/>
      <w:r>
        <w:t xml:space="preserve"> is mentioned in the EA, but only by deer and elk, not livestock (p. 118). Forest Service Handbook 1909.12 obligates the Dixie National Forest to use the best available science in its NEPA analyses.</w:t>
      </w:r>
      <w:r>
        <w:rPr>
          <w:vertAlign w:val="superscript"/>
        </w:rPr>
        <w:footnoteReference w:id="16"/>
      </w:r>
      <w:r>
        <w:t xml:space="preserve"> The EA fails to meet this direction by not addressing livestock effects on aspen.</w:t>
      </w:r>
    </w:p>
    <w:p w14:paraId="1AE3B673" w14:textId="77777777" w:rsidR="0011747D" w:rsidRDefault="0011747D">
      <w:pPr>
        <w:widowControl w:val="0"/>
        <w:shd w:val="clear" w:color="auto" w:fill="FFFFFF"/>
      </w:pPr>
    </w:p>
    <w:p w14:paraId="2CDB2A67" w14:textId="77777777" w:rsidR="0011747D" w:rsidRDefault="00000000">
      <w:pPr>
        <w:widowControl w:val="0"/>
        <w:shd w:val="clear" w:color="auto" w:fill="FFFFFF"/>
      </w:pPr>
      <w:r>
        <w:t>The EA proposed clearcutting aspen (p. 41).</w:t>
      </w:r>
    </w:p>
    <w:p w14:paraId="6EF675FA" w14:textId="77777777" w:rsidR="0011747D" w:rsidRDefault="0011747D">
      <w:pPr>
        <w:widowControl w:val="0"/>
        <w:shd w:val="clear" w:color="auto" w:fill="FFFFFF"/>
      </w:pPr>
    </w:p>
    <w:p w14:paraId="0018D962" w14:textId="77777777" w:rsidR="0011747D" w:rsidRDefault="00000000">
      <w:pPr>
        <w:widowControl w:val="0"/>
        <w:shd w:val="clear" w:color="auto" w:fill="FFFFFF"/>
      </w:pPr>
      <w:r>
        <w:t xml:space="preserve">The EA states as a desired condition for aspen “a developed herbaceous understory with a minimum cover value of 85 percent” (p. 19).  Cattle grazing has a direct and clear relation to herbaceous understory cover, yet the EA does not consider the past, present, and reasonably foreseeable effects of cattle grazing on herbaceous understory cover in the aspen vegetation type along with the proposed action.  </w:t>
      </w:r>
      <w:proofErr w:type="gramStart"/>
      <w:r>
        <w:t>These</w:t>
      </w:r>
      <w:proofErr w:type="gramEnd"/>
      <w:r>
        <w:t xml:space="preserve"> effects of cattle grazing along with the proposed action must be analyzed in detail.</w:t>
      </w:r>
    </w:p>
    <w:p w14:paraId="545824E5" w14:textId="77777777" w:rsidR="0011747D" w:rsidRDefault="00000000">
      <w:pPr>
        <w:widowControl w:val="0"/>
        <w:shd w:val="clear" w:color="auto" w:fill="FFFFFF"/>
      </w:pPr>
      <w:r>
        <w:t xml:space="preserve"> </w:t>
      </w:r>
    </w:p>
    <w:p w14:paraId="548C4A0C" w14:textId="77777777" w:rsidR="0011747D" w:rsidRDefault="00000000">
      <w:pPr>
        <w:widowControl w:val="0"/>
        <w:shd w:val="clear" w:color="auto" w:fill="FFFFFF"/>
        <w:tabs>
          <w:tab w:val="left" w:pos="540"/>
        </w:tabs>
      </w:pPr>
      <w:r>
        <w:t>C.</w:t>
      </w:r>
      <w:r>
        <w:tab/>
        <w:t>Ponderosa Pine</w:t>
      </w:r>
    </w:p>
    <w:p w14:paraId="25018235" w14:textId="77777777" w:rsidR="0011747D" w:rsidRDefault="0011747D">
      <w:pPr>
        <w:widowControl w:val="0"/>
        <w:shd w:val="clear" w:color="auto" w:fill="FFFFFF"/>
        <w:tabs>
          <w:tab w:val="left" w:pos="540"/>
        </w:tabs>
      </w:pPr>
    </w:p>
    <w:p w14:paraId="45ECE88C" w14:textId="77777777" w:rsidR="0011747D" w:rsidRDefault="00000000">
      <w:pPr>
        <w:widowControl w:val="0"/>
        <w:shd w:val="clear" w:color="auto" w:fill="FFFFFF"/>
        <w:tabs>
          <w:tab w:val="left" w:pos="540"/>
        </w:tabs>
      </w:pPr>
      <w:r>
        <w:t xml:space="preserve">The EA states that in the ponderosa pine type there has been a build-up of forest litter and “conditions with poor understory vegetation recovery”, including “a decrease in desired species and ground cover, and an increase in undesirable species (e.g., weeds)” (p. 23).  Cattle grazing has a direct and clear relation to understory vegetation conditions, yet the EA does not consider the past, present, and reasonably foreseeable effects of cattle grazing on understory vegetation in the ponderosa pine vegetation type along with the proposed action.  </w:t>
      </w:r>
      <w:proofErr w:type="gramStart"/>
      <w:r>
        <w:t>These</w:t>
      </w:r>
      <w:proofErr w:type="gramEnd"/>
      <w:r>
        <w:t xml:space="preserve"> effects of cattle grazing along with the proposed action must be analyzed in detail.</w:t>
      </w:r>
    </w:p>
    <w:p w14:paraId="2CA20CAA" w14:textId="77777777" w:rsidR="0011747D" w:rsidRDefault="0011747D">
      <w:pPr>
        <w:widowControl w:val="0"/>
        <w:shd w:val="clear" w:color="auto" w:fill="FFFFFF"/>
        <w:tabs>
          <w:tab w:val="left" w:pos="540"/>
        </w:tabs>
      </w:pPr>
    </w:p>
    <w:p w14:paraId="5FCCAC60" w14:textId="77777777" w:rsidR="0011747D" w:rsidRDefault="00000000">
      <w:pPr>
        <w:widowControl w:val="0"/>
        <w:shd w:val="clear" w:color="auto" w:fill="FFFFFF"/>
        <w:tabs>
          <w:tab w:val="left" w:pos="540"/>
        </w:tabs>
      </w:pPr>
      <w:r>
        <w:lastRenderedPageBreak/>
        <w:t>D.</w:t>
      </w:r>
      <w:r>
        <w:tab/>
        <w:t>Pinyon-Juniper</w:t>
      </w:r>
    </w:p>
    <w:p w14:paraId="49FDB7D1" w14:textId="77777777" w:rsidR="0011747D" w:rsidRDefault="0011747D">
      <w:pPr>
        <w:widowControl w:val="0"/>
        <w:shd w:val="clear" w:color="auto" w:fill="FFFFFF"/>
        <w:tabs>
          <w:tab w:val="left" w:pos="540"/>
        </w:tabs>
      </w:pPr>
    </w:p>
    <w:p w14:paraId="258197B5" w14:textId="77777777" w:rsidR="0011747D" w:rsidRDefault="00000000">
      <w:pPr>
        <w:widowControl w:val="0"/>
        <w:shd w:val="clear" w:color="auto" w:fill="FFFFFF"/>
        <w:tabs>
          <w:tab w:val="left" w:pos="540"/>
        </w:tabs>
      </w:pPr>
      <w:r>
        <w:t>The EA states that “[m]</w:t>
      </w:r>
      <w:proofErr w:type="spellStart"/>
      <w:r>
        <w:t>ost</w:t>
      </w:r>
      <w:proofErr w:type="spellEnd"/>
      <w:r>
        <w:t xml:space="preserve"> of the pinyon-juniper stands are mature with little understory vegetation” and that “the crown spacing has caused a decline in the associated understory” (p. 26).  The EA provides no justification for the claim that the decline in understory vegetation has been caused by crown spacing.  Cattle grazing has a direct and clear relation to understory vegetation conditions, yet the EA does not consider the past, present, and reasonably foreseeable effects of cattle grazing on understory vegetation in the pinyon-juniper vegetation type along with the proposed action.  </w:t>
      </w:r>
      <w:proofErr w:type="gramStart"/>
      <w:r>
        <w:t>These</w:t>
      </w:r>
      <w:proofErr w:type="gramEnd"/>
      <w:r>
        <w:t xml:space="preserve"> effects of cattle grazing along with the proposed action must be analyzed in detail.</w:t>
      </w:r>
    </w:p>
    <w:p w14:paraId="77A5B8DE" w14:textId="77777777" w:rsidR="0011747D" w:rsidRDefault="0011747D">
      <w:pPr>
        <w:widowControl w:val="0"/>
        <w:shd w:val="clear" w:color="auto" w:fill="FFFFFF"/>
        <w:tabs>
          <w:tab w:val="left" w:pos="540"/>
        </w:tabs>
      </w:pPr>
    </w:p>
    <w:p w14:paraId="2BB20CBE" w14:textId="77777777" w:rsidR="0011747D" w:rsidRDefault="00000000">
      <w:pPr>
        <w:widowControl w:val="0"/>
        <w:shd w:val="clear" w:color="auto" w:fill="FFFFFF"/>
        <w:tabs>
          <w:tab w:val="left" w:pos="540"/>
        </w:tabs>
      </w:pPr>
      <w:r>
        <w:t>E.</w:t>
      </w:r>
      <w:r>
        <w:tab/>
        <w:t>Sagebrush Steppe/Shrublands/Grassland</w:t>
      </w:r>
    </w:p>
    <w:p w14:paraId="689FA4AC" w14:textId="77777777" w:rsidR="0011747D" w:rsidRDefault="0011747D">
      <w:pPr>
        <w:widowControl w:val="0"/>
        <w:shd w:val="clear" w:color="auto" w:fill="FFFFFF"/>
        <w:tabs>
          <w:tab w:val="left" w:pos="540"/>
        </w:tabs>
      </w:pPr>
    </w:p>
    <w:p w14:paraId="4F7D378B" w14:textId="77777777" w:rsidR="0011747D" w:rsidRDefault="00000000">
      <w:pPr>
        <w:widowControl w:val="0"/>
        <w:shd w:val="clear" w:color="auto" w:fill="FFFFFF"/>
        <w:tabs>
          <w:tab w:val="left" w:pos="540"/>
        </w:tabs>
      </w:pPr>
      <w:r>
        <w:t>The EA states that “[p]</w:t>
      </w:r>
      <w:proofErr w:type="spellStart"/>
      <w:r>
        <w:t>erennial</w:t>
      </w:r>
      <w:proofErr w:type="spellEnd"/>
      <w:r>
        <w:t xml:space="preserve"> forbs have shown a slightly decreasing trend in the project area”, “[b]are soil is estimated at 30% due to range trend study”, and “a robust herbaceous layer is not being achieved in many areas” (p. 29).  Cattle grazing has a direct and clear relation to perennial forb health, herbaceous understory more generally, and bare soil, yet the EA does not consider the past, present, and reasonably foreseeable effects of cattle grazing on perennial forbs, herbaceous understory more generally, and bare soil in the sagebrush/shrubland/grassland vegetation type along with the proposed action.  </w:t>
      </w:r>
      <w:proofErr w:type="gramStart"/>
      <w:r>
        <w:t>These</w:t>
      </w:r>
      <w:proofErr w:type="gramEnd"/>
      <w:r>
        <w:t xml:space="preserve"> effects of cattle grazing along with the proposed action must be analyzed in detail.</w:t>
      </w:r>
    </w:p>
    <w:p w14:paraId="11C8C044" w14:textId="77777777" w:rsidR="0011747D" w:rsidRDefault="0011747D">
      <w:pPr>
        <w:widowControl w:val="0"/>
        <w:shd w:val="clear" w:color="auto" w:fill="FFFFFF"/>
        <w:tabs>
          <w:tab w:val="left" w:pos="540"/>
        </w:tabs>
      </w:pPr>
    </w:p>
    <w:p w14:paraId="5D84B257" w14:textId="77777777" w:rsidR="0011747D" w:rsidRDefault="00000000">
      <w:pPr>
        <w:widowControl w:val="0"/>
        <w:shd w:val="clear" w:color="auto" w:fill="FFFFFF"/>
        <w:tabs>
          <w:tab w:val="left" w:pos="540"/>
        </w:tabs>
      </w:pPr>
      <w:r>
        <w:t xml:space="preserve">E. </w:t>
      </w:r>
      <w:r>
        <w:tab/>
        <w:t>Soils</w:t>
      </w:r>
    </w:p>
    <w:p w14:paraId="46BA91F1" w14:textId="77777777" w:rsidR="0011747D" w:rsidRDefault="0011747D">
      <w:pPr>
        <w:widowControl w:val="0"/>
        <w:shd w:val="clear" w:color="auto" w:fill="FFFFFF"/>
      </w:pPr>
    </w:p>
    <w:p w14:paraId="7E7D9853" w14:textId="77777777" w:rsidR="0011747D" w:rsidRDefault="00000000">
      <w:pPr>
        <w:widowControl w:val="0"/>
        <w:shd w:val="clear" w:color="auto" w:fill="FFFFFF"/>
      </w:pPr>
      <w:r>
        <w:t>The Soils report explicitly refers to the effects of current grazing on soils. The Pine Creek, North Creek, and small sections of Sand Creek, Coyote Hollow, and Sweetwater-Griffin Top rangeland grazing allotments are within the project boundary. Cattle congregate near water sources such as streams and troughs, and trailing and cause compaction, erosion, and displaced organic matter, and increased stream sediments. Decreased infiltration from compacted soil which affects soil moisture and water and gas movement throughout the soil; and changes in surface organic matter which changes nutrient input, future nutrient stores, and nutrient cycling by microbes (p. 4).</w:t>
      </w:r>
    </w:p>
    <w:p w14:paraId="334996D3" w14:textId="77777777" w:rsidR="0011747D" w:rsidRDefault="00000000">
      <w:pPr>
        <w:widowControl w:val="0"/>
        <w:shd w:val="clear" w:color="auto" w:fill="FFFFFF"/>
      </w:pPr>
      <w:r>
        <w:t xml:space="preserve"> </w:t>
      </w:r>
    </w:p>
    <w:p w14:paraId="292BDB12" w14:textId="77777777" w:rsidR="0011747D" w:rsidRDefault="00000000">
      <w:pPr>
        <w:widowControl w:val="0"/>
        <w:shd w:val="clear" w:color="auto" w:fill="FFFFFF"/>
      </w:pPr>
      <w:r>
        <w:t>Nonetheless, the Soil report concludes that adherence to allotment management plans and forest plan standards and guidelines will keep project impacts to “acceptable levels” in the long-term. The EA repeats this justification in the Hungry Creek Vegetation Project 08/2023 Notice of Comment Period, Comment Consideration document (p. 3): “Design features include established forest service policies, Forest Plan standards and guidelines, federal laws and regulation as well as project and site-specific measures”, and the Range report refers to “Project Design Features for Noxious Weeds (NW1-3) and Range (RW1-3) to avoid or minimize impacts” (pp. 1-2).</w:t>
      </w:r>
    </w:p>
    <w:p w14:paraId="128000C8" w14:textId="77777777" w:rsidR="0011747D" w:rsidRDefault="00000000">
      <w:pPr>
        <w:widowControl w:val="0"/>
        <w:shd w:val="clear" w:color="auto" w:fill="FFFFFF"/>
      </w:pPr>
      <w:r>
        <w:t xml:space="preserve"> </w:t>
      </w:r>
    </w:p>
    <w:p w14:paraId="53AAB7D2" w14:textId="77777777" w:rsidR="0011747D" w:rsidRDefault="00000000">
      <w:pPr>
        <w:widowControl w:val="0"/>
        <w:shd w:val="clear" w:color="auto" w:fill="FFFFFF"/>
      </w:pPr>
      <w:r>
        <w:t>Citing guidelines as mitigation for admitted and on-going harms to a resource is not reassuring. Presumably the Forest was complying with allotment management plans and forest plan standards and guidelines already, but this has not been enough to prevent the soil damage the project is trying to correct.</w:t>
      </w:r>
    </w:p>
    <w:p w14:paraId="575AD1D9" w14:textId="77777777" w:rsidR="0011747D" w:rsidRDefault="0011747D">
      <w:pPr>
        <w:widowControl w:val="0"/>
        <w:shd w:val="clear" w:color="auto" w:fill="FFFFFF"/>
      </w:pPr>
    </w:p>
    <w:p w14:paraId="52315483" w14:textId="77777777" w:rsidR="0011747D" w:rsidRDefault="00000000">
      <w:pPr>
        <w:widowControl w:val="0"/>
        <w:shd w:val="clear" w:color="auto" w:fill="FFFFFF"/>
        <w:tabs>
          <w:tab w:val="left" w:pos="540"/>
        </w:tabs>
      </w:pPr>
      <w:r>
        <w:t>F.</w:t>
      </w:r>
      <w:r>
        <w:tab/>
        <w:t>Noxious Weeds</w:t>
      </w:r>
    </w:p>
    <w:p w14:paraId="498407E5" w14:textId="77777777" w:rsidR="0011747D" w:rsidRDefault="0011747D">
      <w:pPr>
        <w:widowControl w:val="0"/>
        <w:shd w:val="clear" w:color="auto" w:fill="FFFFFF"/>
        <w:tabs>
          <w:tab w:val="left" w:pos="540"/>
        </w:tabs>
      </w:pPr>
    </w:p>
    <w:p w14:paraId="692FC204" w14:textId="77777777" w:rsidR="0011747D" w:rsidRDefault="00000000">
      <w:pPr>
        <w:widowControl w:val="0"/>
        <w:shd w:val="clear" w:color="auto" w:fill="FFFFFF"/>
        <w:tabs>
          <w:tab w:val="left" w:pos="540"/>
        </w:tabs>
      </w:pPr>
      <w:r>
        <w:t>Regarding Direct Effects, the Range report states:  “Under the Proposed Action alternative there would be no direct effects to noxious weeds.”  Nothing is provided to substantiate this claim.  Regarding Indirect Effects, the Range report states:  “Noxious weeds may be indirectly affected from the proposed action due to the introduction of new weeds to the area from some of the treatments proposed.”  Regarding Cumulative Effects, the Range report states:  “Under the Proposed Action alternative there would be no measurable cumulative effects to rangeland resources or noxious weeds” (p. 1).</w:t>
      </w:r>
    </w:p>
    <w:p w14:paraId="68330DE2" w14:textId="77777777" w:rsidR="0011747D" w:rsidRDefault="0011747D">
      <w:pPr>
        <w:widowControl w:val="0"/>
        <w:shd w:val="clear" w:color="auto" w:fill="FFFFFF"/>
        <w:tabs>
          <w:tab w:val="left" w:pos="540"/>
        </w:tabs>
      </w:pPr>
    </w:p>
    <w:p w14:paraId="09A88FAA" w14:textId="77777777" w:rsidR="0011747D" w:rsidRDefault="00000000">
      <w:pPr>
        <w:widowControl w:val="0"/>
        <w:shd w:val="clear" w:color="auto" w:fill="FFFFFF"/>
        <w:tabs>
          <w:tab w:val="left" w:pos="540"/>
        </w:tabs>
      </w:pPr>
      <w:r>
        <w:t xml:space="preserve">It is well known that soil disturbance can promote the invasion or proliferation of noxious weeds, and this is admitted in the Range report.  Under the “Direct Effects” section of the “Environmental Consequences of No Action Alternative, the Range report states:  “There would be no direct effects promoting the invasion of noxious weeds due to the lack of disturbance” (p. 2).  Table 1, in summarizing effects regarding noxious weeds for Alternative 1 (Proposed Action), includes the following:  “All soil disturbing treatments need to be monitored on an annual basis for the presence of any new noxious weed infestations” (p. 3).  </w:t>
      </w:r>
      <w:proofErr w:type="gramStart"/>
      <w:r>
        <w:t>Thus</w:t>
      </w:r>
      <w:proofErr w:type="gramEnd"/>
      <w:r>
        <w:t xml:space="preserve"> the Range report recognizes that soil disturbance can result in effects with respect to noxious weeds.</w:t>
      </w:r>
    </w:p>
    <w:p w14:paraId="229C2A33" w14:textId="77777777" w:rsidR="0011747D" w:rsidRDefault="0011747D">
      <w:pPr>
        <w:widowControl w:val="0"/>
        <w:shd w:val="clear" w:color="auto" w:fill="FFFFFF"/>
        <w:tabs>
          <w:tab w:val="left" w:pos="540"/>
        </w:tabs>
      </w:pPr>
    </w:p>
    <w:p w14:paraId="5C0BBE44" w14:textId="77777777" w:rsidR="0011747D" w:rsidRDefault="00000000">
      <w:pPr>
        <w:widowControl w:val="0"/>
        <w:shd w:val="clear" w:color="auto" w:fill="FFFFFF"/>
        <w:tabs>
          <w:tab w:val="left" w:pos="540"/>
        </w:tabs>
      </w:pPr>
      <w:r>
        <w:t xml:space="preserve">It is also well known that cattle grazing and associated soil disturbance can promote the invasion or proliferation of noxious weeds.  This is not analyzed in the Range report or the EA itself.  The cumulative effects of cattle grazing on noxious weeds, both past, present, and reasonably foreseeable, along with the proposed action, have not been analyzed.  The Range report’s claim that there would be no measurable cumulative effects to noxious weeds is unjustified without having analyzed the </w:t>
      </w:r>
      <w:proofErr w:type="gramStart"/>
      <w:r>
        <w:t>aforementioned cumulative</w:t>
      </w:r>
      <w:proofErr w:type="gramEnd"/>
      <w:r>
        <w:t xml:space="preserve"> effects of cattle grazing in detail.  Furthermore, the Forest has failed to describe in sufficient detail that could reasonably be understood what is meant by “</w:t>
      </w:r>
      <w:r>
        <w:rPr>
          <w:i/>
        </w:rPr>
        <w:t>measurable</w:t>
      </w:r>
      <w:r>
        <w:t xml:space="preserve"> cumulative effects” regarding noxious weeds (emphasis added).  What exactly would be measured to justify the claim that there will be no measurable cumulative effects regarding noxious weeds?  What measurement methods would be used?  What would the quantitative threshold be for the existence of cumulative effects?  Information that would provide answers to these questions and allow for a reasonable understanding of what is meant by “measurable cumulative effects” is lacking in the analysis for this project.</w:t>
      </w:r>
    </w:p>
    <w:p w14:paraId="498F2B71" w14:textId="77777777" w:rsidR="0011747D" w:rsidRDefault="00000000">
      <w:pPr>
        <w:widowControl w:val="0"/>
        <w:shd w:val="clear" w:color="auto" w:fill="FFFFFF"/>
      </w:pPr>
      <w:r>
        <w:t xml:space="preserve"> </w:t>
      </w:r>
    </w:p>
    <w:p w14:paraId="148267BE" w14:textId="77777777" w:rsidR="0011747D" w:rsidRDefault="00000000">
      <w:pPr>
        <w:widowControl w:val="0"/>
        <w:shd w:val="clear" w:color="auto" w:fill="FFFFFF"/>
        <w:tabs>
          <w:tab w:val="left" w:pos="540"/>
        </w:tabs>
      </w:pPr>
      <w:r>
        <w:t xml:space="preserve">G. </w:t>
      </w:r>
      <w:r>
        <w:tab/>
        <w:t>Post-Implementation Grazing Monitoring</w:t>
      </w:r>
    </w:p>
    <w:p w14:paraId="69D2A7C2" w14:textId="77777777" w:rsidR="0011747D" w:rsidRDefault="00000000">
      <w:pPr>
        <w:widowControl w:val="0"/>
        <w:shd w:val="clear" w:color="auto" w:fill="FFFFFF"/>
      </w:pPr>
      <w:r>
        <w:t>Long-term monitoring of post-treatment grazing management is a critical component of project success. We are glad to see the EA acknowledge the need for monitoring of post-treatment livestock grazing (pp. 39-40).  The EA mentions herding and rest to protect treatments in riparian areas. It also sets measurable objectives for ground cover and desirable plant establishment prior to restocking treated areas.  In addition, the plan will not implement prescribed burns on units where invasive plants are above 5 percent.</w:t>
      </w:r>
    </w:p>
    <w:p w14:paraId="517A9F1B" w14:textId="77777777" w:rsidR="0011747D" w:rsidRDefault="00000000">
      <w:pPr>
        <w:widowControl w:val="0"/>
        <w:shd w:val="clear" w:color="auto" w:fill="FFFFFF"/>
      </w:pPr>
      <w:r>
        <w:t xml:space="preserve"> </w:t>
      </w:r>
    </w:p>
    <w:p w14:paraId="6836C2A5" w14:textId="77777777" w:rsidR="0011747D" w:rsidRDefault="00000000">
      <w:pPr>
        <w:widowControl w:val="0"/>
        <w:shd w:val="clear" w:color="auto" w:fill="FFFFFF"/>
      </w:pPr>
      <w:r>
        <w:t xml:space="preserve">However, the EA’s Comment Consideration response on this topic seems to be saying that utilization and trend data will be used to assess whether project objectives are met. </w:t>
      </w:r>
      <w:r>
        <w:lastRenderedPageBreak/>
        <w:t>However, according to Technical Reference 1734-3, utilization is defined as “the proportion or degree of the current year’s forage production that is consumed or destroyed by animals…”. The objectives of this project are related to vegetation structure, composition, disturbance regime, riparian restoration, and old-growth forest and distribution. Trend and utilization are relevant to range management, but not to monitor soils and vegetation for ground cover, vegetation cover and functional groups, and other parameters of healthy forests.</w:t>
      </w:r>
    </w:p>
    <w:p w14:paraId="17D62D1A" w14:textId="77777777" w:rsidR="0011747D" w:rsidRDefault="0011747D">
      <w:pPr>
        <w:widowControl w:val="0"/>
        <w:shd w:val="clear" w:color="auto" w:fill="FFFFFF"/>
      </w:pPr>
    </w:p>
    <w:p w14:paraId="0E8D0D46" w14:textId="77777777" w:rsidR="0011747D" w:rsidRDefault="00000000">
      <w:pPr>
        <w:widowControl w:val="0"/>
        <w:shd w:val="clear" w:color="auto" w:fill="FFFFFF"/>
      </w:pPr>
      <w:r>
        <w:t xml:space="preserve">Consequently, we would like to see more detail on the objectives and methods of </w:t>
      </w:r>
      <w:proofErr w:type="gramStart"/>
      <w:r>
        <w:t>monitoring in</w:t>
      </w:r>
      <w:proofErr w:type="gramEnd"/>
      <w:r>
        <w:t xml:space="preserve"> all vegetation types and treatment techniques. The proposed project is supposed to restore native ecosystem function, but the Forest does not have empirical evidence that its management has been successful over time. Monitoring is one of the most important ways to determine if management actions have been successful or, if not, how to use adaptive management to ensure long-term sustainability of the area where a project was implemented. </w:t>
      </w:r>
    </w:p>
    <w:p w14:paraId="5442ED34" w14:textId="77777777" w:rsidR="0011747D" w:rsidRDefault="0011747D">
      <w:pPr>
        <w:widowControl w:val="0"/>
        <w:shd w:val="clear" w:color="auto" w:fill="FFFFFF"/>
      </w:pPr>
    </w:p>
    <w:p w14:paraId="2692B544" w14:textId="77777777" w:rsidR="0011747D" w:rsidRDefault="00000000">
      <w:pPr>
        <w:widowControl w:val="0"/>
        <w:shd w:val="clear" w:color="auto" w:fill="FFFFFF"/>
      </w:pPr>
      <w:r>
        <w:t>This includes post-implementation grazing management. We encourage you to add grazing exclosures to collect long-term data on grazing management to ensure that project objectives are maintained. Exclosures provide invaluable information on land management techniques, which will be increasingly important as climate change makes predicting outcomes of project implementation even more difficult.</w:t>
      </w:r>
    </w:p>
    <w:p w14:paraId="6540AF38" w14:textId="77777777" w:rsidR="0011747D" w:rsidRDefault="00000000">
      <w:pPr>
        <w:widowControl w:val="0"/>
        <w:shd w:val="clear" w:color="auto" w:fill="FFFFFF"/>
      </w:pPr>
      <w:r>
        <w:t xml:space="preserve"> </w:t>
      </w:r>
    </w:p>
    <w:p w14:paraId="7D8ED60D" w14:textId="77777777" w:rsidR="0011747D" w:rsidRDefault="00000000">
      <w:pPr>
        <w:widowControl w:val="0"/>
        <w:shd w:val="clear" w:color="auto" w:fill="FFFFFF"/>
      </w:pPr>
      <w:r>
        <w:rPr>
          <w:u w:val="single"/>
        </w:rPr>
        <w:t>Proposed Resolution:</w:t>
      </w:r>
    </w:p>
    <w:p w14:paraId="6BB6A156" w14:textId="77777777" w:rsidR="0011747D" w:rsidRDefault="00000000">
      <w:pPr>
        <w:widowControl w:val="0"/>
        <w:numPr>
          <w:ilvl w:val="0"/>
          <w:numId w:val="3"/>
        </w:numPr>
        <w:shd w:val="clear" w:color="auto" w:fill="FFFFFF"/>
      </w:pPr>
      <w:r>
        <w:t>Analyze in detail the past, present, and reasonably foreseeable effects of livestock grazing along with the proposed action, including in the riparian, aspen, ponderosa pine, pinyon-juniper, and sagebrush/shrubland/grassland vegetation types.</w:t>
      </w:r>
    </w:p>
    <w:p w14:paraId="585860BE" w14:textId="77777777" w:rsidR="0011747D" w:rsidRDefault="00000000">
      <w:pPr>
        <w:widowControl w:val="0"/>
        <w:numPr>
          <w:ilvl w:val="0"/>
          <w:numId w:val="3"/>
        </w:numPr>
        <w:shd w:val="clear" w:color="auto" w:fill="FFFFFF"/>
      </w:pPr>
      <w:r>
        <w:t xml:space="preserve">Specify what is meant by </w:t>
      </w:r>
      <w:r>
        <w:rPr>
          <w:i/>
        </w:rPr>
        <w:t>measurable</w:t>
      </w:r>
      <w:r>
        <w:t xml:space="preserve"> cumulative effects, such as regarding noxious weeds, such that the public can understand the quantitative basis of the claim that there would be no measurable cumulative effects. </w:t>
      </w:r>
    </w:p>
    <w:p w14:paraId="518446A5" w14:textId="77777777" w:rsidR="0011747D" w:rsidRDefault="00000000">
      <w:pPr>
        <w:widowControl w:val="0"/>
        <w:numPr>
          <w:ilvl w:val="0"/>
          <w:numId w:val="3"/>
        </w:numPr>
        <w:shd w:val="clear" w:color="auto" w:fill="FFFFFF"/>
      </w:pPr>
      <w:r>
        <w:t xml:space="preserve">Add grazing exclosures to collect long-term data after cattle have returned to ensure that project objectives are </w:t>
      </w:r>
      <w:proofErr w:type="gramStart"/>
      <w:r>
        <w:t>maintained</w:t>
      </w:r>
      <w:proofErr w:type="gramEnd"/>
      <w:r>
        <w:t xml:space="preserve"> and project methods were successful.</w:t>
      </w:r>
    </w:p>
    <w:p w14:paraId="5A96F7D0" w14:textId="77777777" w:rsidR="0011747D" w:rsidRDefault="00000000">
      <w:pPr>
        <w:widowControl w:val="0"/>
        <w:numPr>
          <w:ilvl w:val="0"/>
          <w:numId w:val="3"/>
        </w:numPr>
        <w:shd w:val="clear" w:color="auto" w:fill="FFFFFF"/>
      </w:pPr>
      <w:r>
        <w:t xml:space="preserve">Include more detail on the objectives and methods of </w:t>
      </w:r>
      <w:proofErr w:type="gramStart"/>
      <w:r>
        <w:t>monitoring in</w:t>
      </w:r>
      <w:proofErr w:type="gramEnd"/>
      <w:r>
        <w:t xml:space="preserve"> all vegetation types and treatment techniques. Develop a plan that outlines protocols and establishes specific, objective, quantitative goals for all the expected outcomes, including triggers for adaptive management. Important indicators of landscape health should be included, such as vegetation diversity (species richness, functional and structural groups), percent cover of exotic plants, and percent cover of bare ground.</w:t>
      </w:r>
    </w:p>
    <w:p w14:paraId="6CADD887" w14:textId="77777777" w:rsidR="0011747D" w:rsidRDefault="0011747D">
      <w:pPr>
        <w:widowControl w:val="0"/>
        <w:shd w:val="clear" w:color="auto" w:fill="FFFFFF"/>
      </w:pPr>
    </w:p>
    <w:p w14:paraId="64589772" w14:textId="77777777" w:rsidR="0011747D" w:rsidRDefault="00000000">
      <w:pPr>
        <w:pStyle w:val="Heading2"/>
        <w:tabs>
          <w:tab w:val="left" w:pos="540"/>
        </w:tabs>
        <w:rPr>
          <w:b/>
          <w:sz w:val="24"/>
          <w:szCs w:val="24"/>
        </w:rPr>
      </w:pPr>
      <w:r>
        <w:rPr>
          <w:b/>
          <w:sz w:val="24"/>
          <w:szCs w:val="24"/>
        </w:rPr>
        <w:t xml:space="preserve">V. </w:t>
      </w:r>
      <w:r>
        <w:rPr>
          <w:b/>
          <w:sz w:val="24"/>
          <w:szCs w:val="24"/>
        </w:rPr>
        <w:tab/>
        <w:t>Soils and Biological Soil Crust</w:t>
      </w:r>
    </w:p>
    <w:p w14:paraId="35B6D98A" w14:textId="77777777" w:rsidR="0011747D" w:rsidRDefault="0011747D">
      <w:pPr>
        <w:pStyle w:val="Heading2"/>
        <w:tabs>
          <w:tab w:val="left" w:pos="540"/>
        </w:tabs>
        <w:spacing w:before="0"/>
        <w:rPr>
          <w:b/>
          <w:sz w:val="24"/>
          <w:szCs w:val="24"/>
        </w:rPr>
      </w:pPr>
    </w:p>
    <w:p w14:paraId="42C456E7" w14:textId="77777777" w:rsidR="0011747D" w:rsidRDefault="00000000">
      <w:pPr>
        <w:tabs>
          <w:tab w:val="left" w:pos="540"/>
        </w:tabs>
      </w:pPr>
      <w:r>
        <w:t xml:space="preserve">We raised concerns about potential effects to soils and biological soil crust in our comments.  The Soils report has identified impacts from the surface disturbance resulting from project activities, especially on shallow soils (p. 3). It acknowledges that the proposed treatment methods could result in long-term damage to soils: “Whole tree yarding, </w:t>
      </w:r>
      <w:r>
        <w:lastRenderedPageBreak/>
        <w:t xml:space="preserve">commercial harvesting, and removal of other biomass by mechanical means, hand thinning, and/or prescribed burning would have negative effects to soil functions and therefore long-term soil productivity.” There are also concerns about reduced coarse woody debris and organic matter and increased invasive species (pp. 13-14). In addition, the report cites </w:t>
      </w:r>
      <w:proofErr w:type="spellStart"/>
      <w:r>
        <w:t>Halofsky</w:t>
      </w:r>
      <w:proofErr w:type="spellEnd"/>
      <w:r>
        <w:t xml:space="preserve"> (2018) in warning about the possible soil resource declines due to climate change (p. 4).</w:t>
      </w:r>
    </w:p>
    <w:p w14:paraId="0146B89C" w14:textId="77777777" w:rsidR="0011747D" w:rsidRDefault="00000000">
      <w:pPr>
        <w:tabs>
          <w:tab w:val="left" w:pos="540"/>
        </w:tabs>
      </w:pPr>
      <w:r>
        <w:t xml:space="preserve"> </w:t>
      </w:r>
    </w:p>
    <w:p w14:paraId="1124E03D" w14:textId="77777777" w:rsidR="0011747D" w:rsidRDefault="00000000">
      <w:pPr>
        <w:tabs>
          <w:tab w:val="left" w:pos="540"/>
        </w:tabs>
      </w:pPr>
      <w:r>
        <w:t xml:space="preserve">The Soils report also specifically acknowledges the importance of biological soil crust as part of the forest </w:t>
      </w:r>
      <w:proofErr w:type="gramStart"/>
      <w:r>
        <w:t>ecosystem, and</w:t>
      </w:r>
      <w:proofErr w:type="gramEnd"/>
      <w:r>
        <w:t xml:space="preserve"> warns that it is easily damaged by disturbance (p. 10).  It describes the on-going spread of cheatgrass, which has increased fuel loads that facilitate fires, “posing a potentially widespread and new threat to bio-crusts”.</w:t>
      </w:r>
    </w:p>
    <w:p w14:paraId="4EBB340A" w14:textId="77777777" w:rsidR="0011747D" w:rsidRDefault="00000000">
      <w:pPr>
        <w:tabs>
          <w:tab w:val="left" w:pos="540"/>
        </w:tabs>
      </w:pPr>
      <w:r>
        <w:t xml:space="preserve"> </w:t>
      </w:r>
    </w:p>
    <w:p w14:paraId="7EC84B98" w14:textId="77777777" w:rsidR="0011747D" w:rsidRDefault="00000000">
      <w:pPr>
        <w:tabs>
          <w:tab w:val="left" w:pos="540"/>
        </w:tabs>
      </w:pPr>
      <w:r>
        <w:t xml:space="preserve">However, the report then appears to justify the project, albeit with </w:t>
      </w:r>
      <w:proofErr w:type="gramStart"/>
      <w:r>
        <w:t>a number of</w:t>
      </w:r>
      <w:proofErr w:type="gramEnd"/>
      <w:r>
        <w:t xml:space="preserve"> qualifications. It says that the project, if successful, it will result in benefits to soils but only if a balance is struck between protecting soil productivity and removal of “excess” fuel loading, if the area is not going to be re-treated too soon, and if there isn’t too much biomass removal (p. 13).</w:t>
      </w:r>
    </w:p>
    <w:p w14:paraId="6508F436" w14:textId="77777777" w:rsidR="0011747D" w:rsidRDefault="00000000">
      <w:pPr>
        <w:tabs>
          <w:tab w:val="left" w:pos="540"/>
        </w:tabs>
      </w:pPr>
      <w:r>
        <w:t xml:space="preserve"> </w:t>
      </w:r>
    </w:p>
    <w:p w14:paraId="238DAE56" w14:textId="77777777" w:rsidR="0011747D" w:rsidRDefault="00000000">
      <w:pPr>
        <w:tabs>
          <w:tab w:val="left" w:pos="540"/>
        </w:tabs>
      </w:pPr>
      <w:r>
        <w:t>The specialist report also lists ways to retain organic material and reduce soil erosion, which help mitigate the project impacts (p. 14). However, many of these methods (lop and scatter, chipping, felling and leaving large snags, and leaving slash) may have adverse effects on biocrust. There has been little research on the effects of piling woody material on biocrust, but Garcia-Carmona et al. (2023) found that mulch after wildfire inhibited biocrusts.</w:t>
      </w:r>
      <w:r>
        <w:rPr>
          <w:vertAlign w:val="superscript"/>
        </w:rPr>
        <w:footnoteReference w:id="17"/>
      </w:r>
      <w:r>
        <w:t xml:space="preserve"> In addition, the soils report itself defines a long-term impact as one in which damage lasts 20 years or more (p. 2). Well-developed, high functioning biocrust with mosses and lichens can take decades to re-establish, which is far beyond that time frame. For the purposes of this analysis, these effects can be considered permanent.</w:t>
      </w:r>
    </w:p>
    <w:p w14:paraId="0D65D03E" w14:textId="77777777" w:rsidR="0011747D" w:rsidRDefault="00000000">
      <w:pPr>
        <w:tabs>
          <w:tab w:val="left" w:pos="540"/>
        </w:tabs>
        <w:rPr>
          <w:highlight w:val="yellow"/>
        </w:rPr>
      </w:pPr>
      <w:r>
        <w:t xml:space="preserve">In short, the Soils report acknowledges the possibility of serious and long-term effects to soil structure and function but concludes that vague project design features and best management practices in the implementation checklist, which have no force of law or consequences for lack of implementation, will be adequate to mitigate project harms. These provisions are already in </w:t>
      </w:r>
      <w:proofErr w:type="gramStart"/>
      <w:r>
        <w:t>place</w:t>
      </w:r>
      <w:proofErr w:type="gramEnd"/>
      <w:r>
        <w:t xml:space="preserve"> but we still see soil resource damage following treatments, particularly to biological soil crust. Promising to implement general BMPs in the future for biocrusts, which the Forest has admitted will be impacted, is not adequate NEPA analysis.</w:t>
      </w:r>
    </w:p>
    <w:p w14:paraId="15F29A71" w14:textId="77777777" w:rsidR="0011747D" w:rsidRDefault="00000000">
      <w:pPr>
        <w:tabs>
          <w:tab w:val="left" w:pos="540"/>
        </w:tabs>
        <w:rPr>
          <w:highlight w:val="yellow"/>
        </w:rPr>
      </w:pPr>
      <w:r>
        <w:rPr>
          <w:highlight w:val="yellow"/>
        </w:rPr>
        <w:t xml:space="preserve"> </w:t>
      </w:r>
    </w:p>
    <w:p w14:paraId="171B9235" w14:textId="77777777" w:rsidR="0011747D" w:rsidRDefault="00000000">
      <w:pPr>
        <w:tabs>
          <w:tab w:val="left" w:pos="540"/>
        </w:tabs>
      </w:pPr>
      <w:r>
        <w:t xml:space="preserve">The analysis of cumulative impacts in the Soils report is confusing (p. 16). It discusses the potential for previous impacts to soils from earlier timber harvests in the project area, soil disturbance in the 1990s, and the possibility that prescribed fire in the proposed action will overlap with those treatments. Past activities like skid trails, roads, landings, and staging areas are still visible on the landscape and may still be affecting soil functions (p. 4). The soils report also refers the reader to the “Forest Service Schedule of Proposed Actions for </w:t>
      </w:r>
      <w:r>
        <w:lastRenderedPageBreak/>
        <w:t>the Dixie National Forest for a list of projects that are slated to begin or are currently undergoing environmental analysis and documentation” that may contribute to cumulative impacts.</w:t>
      </w:r>
    </w:p>
    <w:p w14:paraId="17C4B4BA" w14:textId="77777777" w:rsidR="0011747D" w:rsidRDefault="00000000">
      <w:pPr>
        <w:tabs>
          <w:tab w:val="left" w:pos="540"/>
        </w:tabs>
      </w:pPr>
      <w:r>
        <w:t xml:space="preserve"> </w:t>
      </w:r>
    </w:p>
    <w:p w14:paraId="70560342" w14:textId="77777777" w:rsidR="0011747D" w:rsidRDefault="00000000">
      <w:pPr>
        <w:tabs>
          <w:tab w:val="left" w:pos="540"/>
        </w:tabs>
      </w:pPr>
      <w:r>
        <w:t>However, the report then concludes that “…there is a very low likelihood that cumulative effects from the proposed actions within the project area would cause detrimental loss of long-term soil functions, soil productivity, or watershed conditions. Reasonably foreseeable projects would be analyzed under separate NEPA analysis to examine soil effects and would include this project if appropriate.” (p. 114).  Again, the EA improperly defers to future actions to avoid analyzing what are clearly potential cumulative impacts to soils and watershed function. This is a topic that should have been analyzed in the EA.</w:t>
      </w:r>
    </w:p>
    <w:p w14:paraId="2EC7E3F4" w14:textId="77777777" w:rsidR="0011747D" w:rsidRDefault="0011747D">
      <w:pPr>
        <w:tabs>
          <w:tab w:val="left" w:pos="540"/>
        </w:tabs>
        <w:rPr>
          <w:u w:val="single"/>
        </w:rPr>
      </w:pPr>
    </w:p>
    <w:p w14:paraId="4580CD8C" w14:textId="77777777" w:rsidR="0011747D" w:rsidRDefault="00000000">
      <w:pPr>
        <w:tabs>
          <w:tab w:val="left" w:pos="540"/>
        </w:tabs>
      </w:pPr>
      <w:r>
        <w:rPr>
          <w:u w:val="single"/>
        </w:rPr>
        <w:t>Proposed Resolution</w:t>
      </w:r>
      <w:r>
        <w:t>:</w:t>
      </w:r>
    </w:p>
    <w:p w14:paraId="795A5FC1" w14:textId="77777777" w:rsidR="0011747D" w:rsidRDefault="00000000">
      <w:pPr>
        <w:tabs>
          <w:tab w:val="left" w:pos="540"/>
        </w:tabs>
      </w:pPr>
      <w:r>
        <w:t xml:space="preserve"> </w:t>
      </w:r>
    </w:p>
    <w:p w14:paraId="1B185E89" w14:textId="77777777" w:rsidR="0011747D" w:rsidRDefault="00000000">
      <w:pPr>
        <w:numPr>
          <w:ilvl w:val="0"/>
          <w:numId w:val="10"/>
        </w:numPr>
        <w:tabs>
          <w:tab w:val="left" w:pos="540"/>
        </w:tabs>
      </w:pPr>
      <w:r>
        <w:t>Using recommendations in the soil report, implement the following to minimize damage to soils and biocrust (pp. 14-15):</w:t>
      </w:r>
    </w:p>
    <w:p w14:paraId="10EF6525" w14:textId="77777777" w:rsidR="0011747D" w:rsidRDefault="00000000">
      <w:pPr>
        <w:tabs>
          <w:tab w:val="left" w:pos="540"/>
        </w:tabs>
      </w:pPr>
      <w:r>
        <w:t xml:space="preserve"> </w:t>
      </w:r>
    </w:p>
    <w:p w14:paraId="4B07F8D5" w14:textId="77777777" w:rsidR="0011747D" w:rsidRDefault="00000000">
      <w:pPr>
        <w:tabs>
          <w:tab w:val="left" w:pos="540"/>
        </w:tabs>
        <w:ind w:left="720"/>
      </w:pPr>
      <w:r>
        <w:t>a. Remove the following from the project area:</w:t>
      </w:r>
    </w:p>
    <w:p w14:paraId="0BE1ECA8" w14:textId="77777777" w:rsidR="0011747D" w:rsidRDefault="00000000">
      <w:pPr>
        <w:numPr>
          <w:ilvl w:val="0"/>
          <w:numId w:val="13"/>
        </w:numPr>
        <w:tabs>
          <w:tab w:val="left" w:pos="540"/>
        </w:tabs>
      </w:pPr>
      <w:r>
        <w:t xml:space="preserve">acres in the proposed action treatment areas that are rated high for damage to soils by fire  </w:t>
      </w:r>
    </w:p>
    <w:p w14:paraId="7540A45F" w14:textId="77777777" w:rsidR="0011747D" w:rsidRDefault="00000000">
      <w:pPr>
        <w:numPr>
          <w:ilvl w:val="0"/>
          <w:numId w:val="13"/>
        </w:numPr>
        <w:tabs>
          <w:tab w:val="left" w:pos="540"/>
        </w:tabs>
      </w:pPr>
      <w:r>
        <w:t>sensitive and unstable soils</w:t>
      </w:r>
    </w:p>
    <w:p w14:paraId="4BEECB52" w14:textId="77777777" w:rsidR="0011747D" w:rsidRDefault="00000000">
      <w:pPr>
        <w:numPr>
          <w:ilvl w:val="0"/>
          <w:numId w:val="13"/>
        </w:numPr>
        <w:tabs>
          <w:tab w:val="left" w:pos="540"/>
        </w:tabs>
      </w:pPr>
      <w:r>
        <w:t>areas at risk for degradation and loss of soil productivity (defined as overlap between areas of high fire damage, drought vulnerable, and shallow soils). These acres occur mostly in Jake Hollow and the adjacent Hog Ranch IRAs. None occur within the commercial timber harvest areas.</w:t>
      </w:r>
    </w:p>
    <w:p w14:paraId="22FAD78A" w14:textId="77777777" w:rsidR="0011747D" w:rsidRDefault="00000000">
      <w:pPr>
        <w:tabs>
          <w:tab w:val="left" w:pos="540"/>
        </w:tabs>
        <w:ind w:left="720"/>
      </w:pPr>
      <w:r>
        <w:t xml:space="preserve"> </w:t>
      </w:r>
    </w:p>
    <w:p w14:paraId="0C2B9F4E" w14:textId="77777777" w:rsidR="0011747D" w:rsidRDefault="00000000">
      <w:pPr>
        <w:tabs>
          <w:tab w:val="left" w:pos="540"/>
        </w:tabs>
        <w:ind w:left="720"/>
      </w:pPr>
      <w:r>
        <w:t>b. Modify the following:</w:t>
      </w:r>
    </w:p>
    <w:p w14:paraId="008B2278" w14:textId="77777777" w:rsidR="0011747D" w:rsidRDefault="00000000">
      <w:pPr>
        <w:numPr>
          <w:ilvl w:val="0"/>
          <w:numId w:val="14"/>
        </w:numPr>
        <w:tabs>
          <w:tab w:val="left" w:pos="540"/>
        </w:tabs>
      </w:pPr>
      <w:r>
        <w:t>changing the harvest method to a harvest method that causes less soil disturbance (for example, changing tractor to skyline harvest)</w:t>
      </w:r>
    </w:p>
    <w:p w14:paraId="74B612BB" w14:textId="77777777" w:rsidR="0011747D" w:rsidRDefault="00000000">
      <w:pPr>
        <w:numPr>
          <w:ilvl w:val="0"/>
          <w:numId w:val="14"/>
        </w:numPr>
        <w:tabs>
          <w:tab w:val="left" w:pos="540"/>
        </w:tabs>
      </w:pPr>
      <w:r>
        <w:t>change skid trail spacing</w:t>
      </w:r>
    </w:p>
    <w:p w14:paraId="07F99888" w14:textId="77777777" w:rsidR="0011747D" w:rsidRDefault="00000000">
      <w:pPr>
        <w:numPr>
          <w:ilvl w:val="0"/>
          <w:numId w:val="14"/>
        </w:numPr>
        <w:tabs>
          <w:tab w:val="left" w:pos="540"/>
        </w:tabs>
      </w:pPr>
      <w:r>
        <w:t>rehabilitate (scarifying or re-contouring) legacy skid trails</w:t>
      </w:r>
    </w:p>
    <w:p w14:paraId="0D5D5D85" w14:textId="77777777" w:rsidR="0011747D" w:rsidRDefault="00000000">
      <w:pPr>
        <w:numPr>
          <w:ilvl w:val="0"/>
          <w:numId w:val="14"/>
        </w:numPr>
        <w:tabs>
          <w:tab w:val="left" w:pos="540"/>
        </w:tabs>
      </w:pPr>
      <w:r>
        <w:t>re-evaluate the location and length of temporary road</w:t>
      </w:r>
    </w:p>
    <w:p w14:paraId="51D96F10" w14:textId="77777777" w:rsidR="0011747D" w:rsidRDefault="00000000">
      <w:pPr>
        <w:numPr>
          <w:ilvl w:val="0"/>
          <w:numId w:val="14"/>
        </w:numPr>
        <w:tabs>
          <w:tab w:val="left" w:pos="540"/>
        </w:tabs>
      </w:pPr>
      <w:r>
        <w:t>refrain from broadcast prescribed burning as a secondary treatment</w:t>
      </w:r>
    </w:p>
    <w:p w14:paraId="1D86980C" w14:textId="77777777" w:rsidR="0011747D" w:rsidRDefault="0011747D">
      <w:pPr>
        <w:tabs>
          <w:tab w:val="left" w:pos="540"/>
        </w:tabs>
        <w:ind w:left="1440"/>
      </w:pPr>
    </w:p>
    <w:p w14:paraId="4F83D907" w14:textId="77777777" w:rsidR="0011747D" w:rsidRDefault="00000000">
      <w:pPr>
        <w:numPr>
          <w:ilvl w:val="0"/>
          <w:numId w:val="12"/>
        </w:numPr>
        <w:tabs>
          <w:tab w:val="left" w:pos="540"/>
        </w:tabs>
      </w:pPr>
      <w:r>
        <w:t>Site specific project implementation must include mapping, salvaging, or avoiding areas of late stage biocrust with moss and lichen development.</w:t>
      </w:r>
    </w:p>
    <w:p w14:paraId="1029C520" w14:textId="77777777" w:rsidR="0011747D" w:rsidRDefault="0011747D">
      <w:pPr>
        <w:tabs>
          <w:tab w:val="left" w:pos="540"/>
        </w:tabs>
      </w:pPr>
    </w:p>
    <w:p w14:paraId="2D7C1F76" w14:textId="77777777" w:rsidR="0011747D" w:rsidRDefault="00000000">
      <w:pPr>
        <w:pStyle w:val="Heading2"/>
        <w:tabs>
          <w:tab w:val="left" w:pos="540"/>
        </w:tabs>
        <w:rPr>
          <w:b/>
          <w:sz w:val="24"/>
          <w:szCs w:val="24"/>
        </w:rPr>
      </w:pPr>
      <w:r>
        <w:rPr>
          <w:b/>
          <w:sz w:val="24"/>
          <w:szCs w:val="24"/>
        </w:rPr>
        <w:lastRenderedPageBreak/>
        <w:t>VI.</w:t>
      </w:r>
      <w:r>
        <w:rPr>
          <w:b/>
          <w:sz w:val="24"/>
          <w:szCs w:val="24"/>
        </w:rPr>
        <w:tab/>
        <w:t>The Proposed Action Violates the Roadless Rule.</w:t>
      </w:r>
    </w:p>
    <w:p w14:paraId="0DCFCC9C" w14:textId="77777777" w:rsidR="0011747D" w:rsidRDefault="00000000">
      <w:pPr>
        <w:pStyle w:val="Heading2"/>
        <w:tabs>
          <w:tab w:val="left" w:pos="540"/>
        </w:tabs>
        <w:spacing w:before="240" w:after="240" w:line="276" w:lineRule="auto"/>
        <w:rPr>
          <w:sz w:val="24"/>
          <w:szCs w:val="24"/>
        </w:rPr>
      </w:pPr>
      <w:r>
        <w:rPr>
          <w:sz w:val="24"/>
          <w:szCs w:val="24"/>
        </w:rPr>
        <w:t>The national Roadless Area Conservation Rule, adopted in 2001, generally prohibits the cutting, sale or removal of timber from National Forest Service inventoried roadless areas in Utah. 36 C.F.R. § 294.13(a), published at 66 Fed. Reg. 3244 (Jan. 12, 2001) (“Timber may not be cut, sold, or removed in inventoried roadless areas of the National Forest System, except as provided in paragraph (b) of this section.”).</w:t>
      </w:r>
    </w:p>
    <w:p w14:paraId="77E92EDF" w14:textId="77777777" w:rsidR="0011747D" w:rsidRDefault="00000000">
      <w:pPr>
        <w:pStyle w:val="Heading2"/>
        <w:tabs>
          <w:tab w:val="left" w:pos="540"/>
        </w:tabs>
        <w:spacing w:before="240" w:after="240" w:line="276" w:lineRule="auto"/>
        <w:rPr>
          <w:sz w:val="24"/>
          <w:szCs w:val="24"/>
        </w:rPr>
      </w:pPr>
      <w:r>
        <w:rPr>
          <w:sz w:val="24"/>
          <w:szCs w:val="24"/>
        </w:rPr>
        <w:t>Because the Forest Service proposes logging within IRAs, the Forest Service can only authorize such treatments if they comply with the Roadless Rule. However, the Forest Service fails to demonstrate that the proposed action will comply with that law.</w:t>
      </w:r>
    </w:p>
    <w:p w14:paraId="47B815AD" w14:textId="77777777" w:rsidR="0011747D" w:rsidRDefault="00000000">
      <w:pPr>
        <w:pStyle w:val="Heading2"/>
        <w:tabs>
          <w:tab w:val="left" w:pos="540"/>
        </w:tabs>
        <w:spacing w:before="240" w:after="240" w:line="276" w:lineRule="auto"/>
        <w:rPr>
          <w:sz w:val="24"/>
          <w:szCs w:val="24"/>
        </w:rPr>
      </w:pPr>
      <w:r>
        <w:rPr>
          <w:sz w:val="24"/>
          <w:szCs w:val="24"/>
        </w:rPr>
        <w:t>Further, the potential impact to roadless area values and characteristics requires preparation of a full environmental impact statement</w:t>
      </w:r>
      <w:r>
        <w:rPr>
          <w:sz w:val="16"/>
          <w:szCs w:val="16"/>
        </w:rPr>
        <w:t xml:space="preserve">[TZ1] </w:t>
      </w:r>
      <w:r>
        <w:rPr>
          <w:sz w:val="24"/>
          <w:szCs w:val="24"/>
        </w:rPr>
        <w:t>.</w:t>
      </w:r>
    </w:p>
    <w:p w14:paraId="7C2460A4" w14:textId="77777777" w:rsidR="0011747D" w:rsidRDefault="00000000">
      <w:pPr>
        <w:pStyle w:val="Heading2"/>
        <w:tabs>
          <w:tab w:val="left" w:pos="540"/>
        </w:tabs>
        <w:spacing w:before="240" w:after="240" w:line="276" w:lineRule="auto"/>
        <w:rPr>
          <w:sz w:val="24"/>
          <w:szCs w:val="24"/>
        </w:rPr>
      </w:pPr>
      <w:r>
        <w:rPr>
          <w:sz w:val="24"/>
          <w:szCs w:val="24"/>
        </w:rPr>
        <w:t xml:space="preserve">Objectors raised each of these issues below in their comments on the 2023 EA. </w:t>
      </w:r>
      <w:r>
        <w:rPr>
          <w:i/>
          <w:sz w:val="24"/>
          <w:szCs w:val="24"/>
        </w:rPr>
        <w:t>See</w:t>
      </w:r>
      <w:r>
        <w:rPr>
          <w:sz w:val="24"/>
          <w:szCs w:val="24"/>
        </w:rPr>
        <w:t xml:space="preserve"> letter of M. Popejoy et al. (Aug. 28, 2023), in Forest Service project file.</w:t>
      </w:r>
    </w:p>
    <w:p w14:paraId="1A9C68C5" w14:textId="77777777" w:rsidR="0011747D" w:rsidRDefault="00000000">
      <w:pPr>
        <w:pStyle w:val="Heading2"/>
        <w:tabs>
          <w:tab w:val="left" w:pos="720"/>
        </w:tabs>
        <w:spacing w:before="0" w:after="240" w:line="276" w:lineRule="auto"/>
        <w:ind w:left="720"/>
        <w:rPr>
          <w:b/>
          <w:sz w:val="24"/>
          <w:szCs w:val="24"/>
        </w:rPr>
      </w:pPr>
      <w:r>
        <w:rPr>
          <w:b/>
          <w:sz w:val="24"/>
          <w:szCs w:val="24"/>
        </w:rPr>
        <w:t xml:space="preserve">A.      </w:t>
      </w:r>
      <w:r>
        <w:rPr>
          <w:b/>
          <w:sz w:val="24"/>
          <w:szCs w:val="24"/>
        </w:rPr>
        <w:tab/>
        <w:t>Proposed Actions within Roadless Areas</w:t>
      </w:r>
    </w:p>
    <w:p w14:paraId="7D6C0456" w14:textId="77777777" w:rsidR="0011747D" w:rsidRDefault="00000000">
      <w:pPr>
        <w:pStyle w:val="Heading2"/>
        <w:tabs>
          <w:tab w:val="left" w:pos="540"/>
        </w:tabs>
        <w:spacing w:before="240" w:after="240" w:line="276" w:lineRule="auto"/>
        <w:rPr>
          <w:sz w:val="24"/>
          <w:szCs w:val="24"/>
        </w:rPr>
      </w:pPr>
      <w:r>
        <w:rPr>
          <w:sz w:val="24"/>
          <w:szCs w:val="24"/>
        </w:rPr>
        <w:t xml:space="preserve">The project area includes nearly </w:t>
      </w:r>
      <w:proofErr w:type="gramStart"/>
      <w:r>
        <w:rPr>
          <w:sz w:val="24"/>
          <w:szCs w:val="24"/>
        </w:rPr>
        <w:t>all of</w:t>
      </w:r>
      <w:proofErr w:type="gramEnd"/>
      <w:r>
        <w:rPr>
          <w:sz w:val="24"/>
          <w:szCs w:val="24"/>
        </w:rPr>
        <w:t xml:space="preserve"> the 17,148-acre Hog Ranch IRA, nearly all of the 15,141-acre Jake Hollow IRA, and more than half of the 8,328-acre McGrath Lake-Auger Hole IRA. </w:t>
      </w:r>
      <w:r>
        <w:rPr>
          <w:i/>
          <w:sz w:val="24"/>
          <w:szCs w:val="24"/>
        </w:rPr>
        <w:t>See</w:t>
      </w:r>
      <w:r>
        <w:rPr>
          <w:sz w:val="24"/>
          <w:szCs w:val="24"/>
        </w:rPr>
        <w:t xml:space="preserve"> 2024 EA at 100.</w:t>
      </w:r>
    </w:p>
    <w:p w14:paraId="33EF4EFB" w14:textId="77777777" w:rsidR="0011747D" w:rsidRDefault="00000000">
      <w:pPr>
        <w:pStyle w:val="Heading2"/>
        <w:tabs>
          <w:tab w:val="left" w:pos="540"/>
        </w:tabs>
        <w:spacing w:before="240" w:after="240" w:line="276" w:lineRule="auto"/>
        <w:rPr>
          <w:sz w:val="24"/>
          <w:szCs w:val="24"/>
        </w:rPr>
      </w:pPr>
      <w:r>
        <w:rPr>
          <w:sz w:val="24"/>
          <w:szCs w:val="24"/>
        </w:rPr>
        <w:t>The proposed action for the Hungry Creek Vegetation Improvement Project would authorize logging (“silviculture” treatments) across these three roadless areas within the project area, across 24,348 acres, or more than 38 square miles. These logging “treatments” will include:</w:t>
      </w:r>
    </w:p>
    <w:p w14:paraId="7EB5B0D9" w14:textId="77777777" w:rsidR="0011747D" w:rsidRDefault="00000000">
      <w:pPr>
        <w:pStyle w:val="Heading2"/>
        <w:tabs>
          <w:tab w:val="left" w:pos="540"/>
        </w:tabs>
        <w:spacing w:before="240" w:after="240" w:line="276" w:lineRule="auto"/>
        <w:ind w:left="860" w:hanging="320"/>
        <w:rPr>
          <w:sz w:val="24"/>
          <w:szCs w:val="24"/>
        </w:rPr>
      </w:pPr>
      <w:r>
        <w:rPr>
          <w:sz w:val="24"/>
          <w:szCs w:val="24"/>
        </w:rPr>
        <w:t>-       more than 12,500 acres of “thinning,” involving “density reduction including sanitation for mistletoe control, removal of conifer for aspen, meadow restoration, and fuels reduction.” 2024 EA at 40, 45. Thinning in the “aspen vegetation type” will involve “</w:t>
      </w:r>
      <w:proofErr w:type="spellStart"/>
      <w:r>
        <w:rPr>
          <w:sz w:val="24"/>
          <w:szCs w:val="24"/>
        </w:rPr>
        <w:t>Remov</w:t>
      </w:r>
      <w:proofErr w:type="spellEnd"/>
      <w:r>
        <w:rPr>
          <w:sz w:val="24"/>
          <w:szCs w:val="24"/>
        </w:rPr>
        <w:t>[</w:t>
      </w:r>
      <w:proofErr w:type="spellStart"/>
      <w:r>
        <w:rPr>
          <w:sz w:val="24"/>
          <w:szCs w:val="24"/>
        </w:rPr>
        <w:t>ing</w:t>
      </w:r>
      <w:proofErr w:type="spellEnd"/>
      <w:r>
        <w:rPr>
          <w:sz w:val="24"/>
          <w:szCs w:val="24"/>
        </w:rPr>
        <w:t>] larger conifers from within stands of aspen to reset the succession back to aspen.” 2024 EA at 43. In mixed-conifer, spruce/fir, and ponderosa pine forests, thinning will involve “</w:t>
      </w:r>
      <w:proofErr w:type="spellStart"/>
      <w:r>
        <w:rPr>
          <w:sz w:val="24"/>
          <w:szCs w:val="24"/>
        </w:rPr>
        <w:t>Releas</w:t>
      </w:r>
      <w:proofErr w:type="spellEnd"/>
      <w:r>
        <w:rPr>
          <w:sz w:val="24"/>
          <w:szCs w:val="24"/>
        </w:rPr>
        <w:t>[</w:t>
      </w:r>
      <w:proofErr w:type="spellStart"/>
      <w:r>
        <w:rPr>
          <w:sz w:val="24"/>
          <w:szCs w:val="24"/>
        </w:rPr>
        <w:t>ing</w:t>
      </w:r>
      <w:proofErr w:type="spellEnd"/>
      <w:r>
        <w:rPr>
          <w:sz w:val="24"/>
          <w:szCs w:val="24"/>
        </w:rPr>
        <w:t>] seral aspen clones from conifer competition” by removing “conifers within 10 feet of the canopy drip line of any aspen 10 inches DBH or larger.” 2024 EA at 43.</w:t>
      </w:r>
    </w:p>
    <w:p w14:paraId="1B4E617B" w14:textId="77777777" w:rsidR="0011747D" w:rsidRDefault="00000000">
      <w:pPr>
        <w:pStyle w:val="Heading2"/>
        <w:tabs>
          <w:tab w:val="left" w:pos="540"/>
        </w:tabs>
        <w:spacing w:before="240" w:after="240" w:line="276" w:lineRule="auto"/>
        <w:ind w:left="860" w:hanging="320"/>
        <w:rPr>
          <w:sz w:val="24"/>
          <w:szCs w:val="24"/>
        </w:rPr>
      </w:pPr>
      <w:r>
        <w:rPr>
          <w:sz w:val="24"/>
          <w:szCs w:val="24"/>
        </w:rPr>
        <w:t>-       9,598 acres of “aspen restoration,” involving the “removal of competing conifer trees from within and surrounding aspen.” 2024 EA at 40, 45.</w:t>
      </w:r>
    </w:p>
    <w:p w14:paraId="28FE6DD9" w14:textId="77777777" w:rsidR="0011747D" w:rsidRDefault="00000000">
      <w:pPr>
        <w:pStyle w:val="Heading2"/>
        <w:tabs>
          <w:tab w:val="left" w:pos="540"/>
        </w:tabs>
        <w:spacing w:before="240" w:after="240" w:line="276" w:lineRule="auto"/>
        <w:ind w:left="860" w:hanging="320"/>
        <w:rPr>
          <w:sz w:val="24"/>
          <w:szCs w:val="24"/>
        </w:rPr>
      </w:pPr>
      <w:r>
        <w:rPr>
          <w:sz w:val="24"/>
          <w:szCs w:val="24"/>
        </w:rPr>
        <w:lastRenderedPageBreak/>
        <w:t>-       1,654 acres of “Sage steppe shrub-grass” treatments, involving “removing encroaching P/J [piñon-juniper], brush mastication, and herbicide treatments.” 2024 EA at 40, 46.</w:t>
      </w:r>
    </w:p>
    <w:p w14:paraId="43C8E038" w14:textId="77777777" w:rsidR="0011747D" w:rsidRDefault="00000000">
      <w:pPr>
        <w:pStyle w:val="Heading2"/>
        <w:tabs>
          <w:tab w:val="left" w:pos="540"/>
        </w:tabs>
        <w:spacing w:before="240" w:after="240" w:line="276" w:lineRule="auto"/>
        <w:ind w:left="860" w:hanging="320"/>
        <w:rPr>
          <w:sz w:val="24"/>
          <w:szCs w:val="24"/>
        </w:rPr>
      </w:pPr>
      <w:r>
        <w:rPr>
          <w:sz w:val="24"/>
          <w:szCs w:val="24"/>
        </w:rPr>
        <w:t>-       Nearly 600 acres of riparian logging, including “riparian machine and hand thin,” which includes logging via mastication and other means within 100 feet from the edge of water, and “riparian hand thin,” which includes logging within 100 feet from the edge of water. 2024 EA at 40, 46.</w:t>
      </w:r>
    </w:p>
    <w:p w14:paraId="0C4E9BA4" w14:textId="77777777" w:rsidR="0011747D" w:rsidRDefault="00000000">
      <w:pPr>
        <w:pStyle w:val="Heading2"/>
        <w:tabs>
          <w:tab w:val="left" w:pos="540"/>
        </w:tabs>
        <w:spacing w:before="240" w:after="240" w:line="276" w:lineRule="auto"/>
        <w:rPr>
          <w:sz w:val="24"/>
          <w:szCs w:val="24"/>
        </w:rPr>
      </w:pPr>
      <w:r>
        <w:rPr>
          <w:sz w:val="24"/>
          <w:szCs w:val="24"/>
        </w:rPr>
        <w:t xml:space="preserve">The EA discloses that logging (“silviculture”) will occur throughout 79% (13,495 acres) of the Hog Ranch Inventoried Roadless Area (IRA); 58% (8,765 acres) of the Jake Hollow IRA, and 25% (2,095 acres) of the McGrath Lake-Auger Hole IRA. 2024 EA at 40, 100. Thus, the majority of the project’s 47,663 acres of vegetation treatments involve logging within IRAs, 2024 EA at 110, and </w:t>
      </w:r>
      <w:proofErr w:type="gramStart"/>
      <w:r>
        <w:rPr>
          <w:sz w:val="24"/>
          <w:szCs w:val="24"/>
        </w:rPr>
        <w:t>the vast majority of</w:t>
      </w:r>
      <w:proofErr w:type="gramEnd"/>
      <w:r>
        <w:rPr>
          <w:sz w:val="24"/>
          <w:szCs w:val="24"/>
        </w:rPr>
        <w:t xml:space="preserve"> IRA acreage in the project area will be logged.</w:t>
      </w:r>
    </w:p>
    <w:p w14:paraId="3EB58725" w14:textId="77777777" w:rsidR="0011747D" w:rsidRDefault="00000000">
      <w:pPr>
        <w:pStyle w:val="Heading2"/>
        <w:tabs>
          <w:tab w:val="left" w:pos="540"/>
        </w:tabs>
        <w:spacing w:before="240" w:after="240" w:line="276" w:lineRule="auto"/>
        <w:rPr>
          <w:sz w:val="24"/>
          <w:szCs w:val="24"/>
        </w:rPr>
      </w:pPr>
      <w:r>
        <w:rPr>
          <w:sz w:val="24"/>
          <w:szCs w:val="24"/>
        </w:rPr>
        <w:t xml:space="preserve">Further tree removal and prescribed fire, described as “Fuels Treatment” will occur on nearly 24,000 IRA acres, </w:t>
      </w:r>
      <w:proofErr w:type="gramStart"/>
      <w:r>
        <w:rPr>
          <w:sz w:val="24"/>
          <w:szCs w:val="24"/>
        </w:rPr>
        <w:t>including on</w:t>
      </w:r>
      <w:proofErr w:type="gramEnd"/>
      <w:r>
        <w:rPr>
          <w:sz w:val="24"/>
          <w:szCs w:val="24"/>
        </w:rPr>
        <w:t xml:space="preserve"> 77% of the Hog Ranch IRA, 57% of the Jake Hollow IRAs, and 24% of the McGrath Lake-Auger Hole IRA. 2024 EA at 40, 100. “Fuels treatments” within the three IRAs includes:</w:t>
      </w:r>
    </w:p>
    <w:p w14:paraId="550E627E" w14:textId="77777777" w:rsidR="0011747D" w:rsidRDefault="00000000">
      <w:pPr>
        <w:pStyle w:val="Heading2"/>
        <w:tabs>
          <w:tab w:val="left" w:pos="540"/>
        </w:tabs>
        <w:spacing w:before="240" w:after="240" w:line="276" w:lineRule="auto"/>
        <w:ind w:left="540"/>
        <w:rPr>
          <w:sz w:val="24"/>
          <w:szCs w:val="24"/>
        </w:rPr>
      </w:pPr>
      <w:r>
        <w:rPr>
          <w:sz w:val="24"/>
          <w:szCs w:val="24"/>
        </w:rPr>
        <w:t>-  Broadcast burning</w:t>
      </w:r>
    </w:p>
    <w:p w14:paraId="23E563A0" w14:textId="77777777" w:rsidR="0011747D" w:rsidRDefault="00000000">
      <w:pPr>
        <w:pStyle w:val="Heading2"/>
        <w:tabs>
          <w:tab w:val="left" w:pos="540"/>
        </w:tabs>
        <w:spacing w:before="240" w:after="240" w:line="276" w:lineRule="auto"/>
        <w:ind w:left="540"/>
        <w:rPr>
          <w:sz w:val="24"/>
          <w:szCs w:val="24"/>
        </w:rPr>
      </w:pPr>
      <w:r>
        <w:rPr>
          <w:sz w:val="24"/>
          <w:szCs w:val="24"/>
        </w:rPr>
        <w:t>-  Lop and scatter</w:t>
      </w:r>
    </w:p>
    <w:p w14:paraId="322BC186" w14:textId="77777777" w:rsidR="0011747D" w:rsidRDefault="00000000">
      <w:pPr>
        <w:pStyle w:val="Heading2"/>
        <w:tabs>
          <w:tab w:val="left" w:pos="540"/>
        </w:tabs>
        <w:spacing w:before="240" w:after="240" w:line="276" w:lineRule="auto"/>
        <w:ind w:left="540"/>
        <w:rPr>
          <w:sz w:val="24"/>
          <w:szCs w:val="24"/>
        </w:rPr>
      </w:pPr>
      <w:r>
        <w:rPr>
          <w:sz w:val="24"/>
          <w:szCs w:val="24"/>
        </w:rPr>
        <w:t>-  Lop and scatter/pile burn</w:t>
      </w:r>
    </w:p>
    <w:p w14:paraId="53AC07B2" w14:textId="77777777" w:rsidR="0011747D" w:rsidRDefault="00000000">
      <w:pPr>
        <w:pStyle w:val="Heading2"/>
        <w:tabs>
          <w:tab w:val="left" w:pos="540"/>
        </w:tabs>
        <w:spacing w:before="240" w:after="240" w:line="276" w:lineRule="auto"/>
        <w:ind w:left="540"/>
        <w:rPr>
          <w:sz w:val="24"/>
          <w:szCs w:val="24"/>
        </w:rPr>
      </w:pPr>
      <w:r>
        <w:rPr>
          <w:sz w:val="24"/>
          <w:szCs w:val="24"/>
        </w:rPr>
        <w:t>-  Whole tree yarding/pile burn</w:t>
      </w:r>
    </w:p>
    <w:p w14:paraId="09B02596" w14:textId="77777777" w:rsidR="0011747D" w:rsidRDefault="00000000">
      <w:pPr>
        <w:pStyle w:val="Heading2"/>
        <w:tabs>
          <w:tab w:val="left" w:pos="540"/>
        </w:tabs>
        <w:spacing w:before="240" w:after="240" w:line="276" w:lineRule="auto"/>
        <w:rPr>
          <w:sz w:val="24"/>
          <w:szCs w:val="24"/>
        </w:rPr>
      </w:pPr>
      <w:r>
        <w:rPr>
          <w:sz w:val="24"/>
          <w:szCs w:val="24"/>
        </w:rPr>
        <w:t>2024 EA at 40.</w:t>
      </w:r>
    </w:p>
    <w:p w14:paraId="459EB0E0" w14:textId="77777777" w:rsidR="0011747D" w:rsidRDefault="00000000">
      <w:pPr>
        <w:pStyle w:val="Heading2"/>
        <w:tabs>
          <w:tab w:val="left" w:pos="540"/>
        </w:tabs>
        <w:spacing w:before="240" w:after="240" w:line="276" w:lineRule="auto"/>
        <w:ind w:left="540"/>
        <w:rPr>
          <w:b/>
          <w:sz w:val="24"/>
          <w:szCs w:val="24"/>
        </w:rPr>
      </w:pPr>
      <w:r>
        <w:rPr>
          <w:b/>
          <w:sz w:val="24"/>
          <w:szCs w:val="24"/>
        </w:rPr>
        <w:t xml:space="preserve">B.          </w:t>
      </w:r>
      <w:r>
        <w:rPr>
          <w:b/>
          <w:sz w:val="24"/>
          <w:szCs w:val="24"/>
        </w:rPr>
        <w:tab/>
        <w:t>Legal Framework: The Roadless Rule</w:t>
      </w:r>
    </w:p>
    <w:p w14:paraId="73F462DB" w14:textId="77777777" w:rsidR="0011747D" w:rsidRDefault="00000000">
      <w:pPr>
        <w:pStyle w:val="Heading2"/>
        <w:tabs>
          <w:tab w:val="left" w:pos="540"/>
        </w:tabs>
        <w:spacing w:before="240" w:after="240" w:line="276" w:lineRule="auto"/>
        <w:rPr>
          <w:sz w:val="24"/>
          <w:szCs w:val="24"/>
        </w:rPr>
      </w:pPr>
      <w:r>
        <w:rPr>
          <w:sz w:val="24"/>
          <w:szCs w:val="24"/>
        </w:rPr>
        <w:t>The Roadless Rule provides that, in general, “[t]</w:t>
      </w:r>
      <w:proofErr w:type="spellStart"/>
      <w:r>
        <w:rPr>
          <w:sz w:val="24"/>
          <w:szCs w:val="24"/>
        </w:rPr>
        <w:t>imber</w:t>
      </w:r>
      <w:proofErr w:type="spellEnd"/>
      <w:r>
        <w:rPr>
          <w:sz w:val="24"/>
          <w:szCs w:val="24"/>
        </w:rPr>
        <w:t xml:space="preserve"> may not be cut, sold, or removed in inventoried roadless areas of the National Forest System.” 36 C.F.R. § 294.13(a). One exception to this general provision states:</w:t>
      </w:r>
    </w:p>
    <w:p w14:paraId="01815177" w14:textId="77777777" w:rsidR="0011747D" w:rsidRDefault="00000000">
      <w:pPr>
        <w:pStyle w:val="Heading2"/>
        <w:tabs>
          <w:tab w:val="left" w:pos="540"/>
        </w:tabs>
        <w:spacing w:before="0" w:after="240" w:line="276" w:lineRule="auto"/>
        <w:ind w:left="720" w:right="720"/>
        <w:rPr>
          <w:i/>
          <w:sz w:val="24"/>
          <w:szCs w:val="24"/>
        </w:rPr>
      </w:pPr>
      <w:r>
        <w:rPr>
          <w:sz w:val="24"/>
          <w:szCs w:val="24"/>
        </w:rPr>
        <w:t xml:space="preserve">timber may be cut, sold, or removed in inventoried roadless areas if the Responsible Official determines that one of the following circumstances exists. The cutting, sale, or removal of timber in these areas </w:t>
      </w:r>
      <w:r>
        <w:rPr>
          <w:i/>
          <w:sz w:val="24"/>
          <w:szCs w:val="24"/>
        </w:rPr>
        <w:t>is expected to be infrequent.</w:t>
      </w:r>
    </w:p>
    <w:p w14:paraId="591EF6E7" w14:textId="77777777" w:rsidR="0011747D" w:rsidRDefault="00000000">
      <w:pPr>
        <w:pStyle w:val="Heading2"/>
        <w:tabs>
          <w:tab w:val="left" w:pos="540"/>
        </w:tabs>
        <w:spacing w:before="0" w:after="240" w:line="276" w:lineRule="auto"/>
        <w:ind w:left="1080" w:right="720"/>
        <w:rPr>
          <w:sz w:val="24"/>
          <w:szCs w:val="24"/>
        </w:rPr>
      </w:pPr>
      <w:r>
        <w:rPr>
          <w:sz w:val="24"/>
          <w:szCs w:val="24"/>
        </w:rPr>
        <w:lastRenderedPageBreak/>
        <w:t xml:space="preserve">(1) The cutting, sale, or removal of </w:t>
      </w:r>
      <w:r>
        <w:rPr>
          <w:i/>
          <w:sz w:val="24"/>
          <w:szCs w:val="24"/>
        </w:rPr>
        <w:t>generally small diameter timber</w:t>
      </w:r>
      <w:r>
        <w:rPr>
          <w:sz w:val="24"/>
          <w:szCs w:val="24"/>
        </w:rPr>
        <w:t xml:space="preserve"> is needed for one of the following purposes and will </w:t>
      </w:r>
      <w:r>
        <w:rPr>
          <w:i/>
          <w:sz w:val="24"/>
          <w:szCs w:val="24"/>
        </w:rPr>
        <w:t xml:space="preserve">maintain or improve one or more of the roadless area characteristics </w:t>
      </w:r>
      <w:r>
        <w:rPr>
          <w:sz w:val="24"/>
          <w:szCs w:val="24"/>
        </w:rPr>
        <w:t>as defined in § 294.11.</w:t>
      </w:r>
    </w:p>
    <w:p w14:paraId="13F2F05C" w14:textId="77777777" w:rsidR="0011747D" w:rsidRDefault="00000000">
      <w:pPr>
        <w:pStyle w:val="Heading2"/>
        <w:tabs>
          <w:tab w:val="left" w:pos="540"/>
        </w:tabs>
        <w:spacing w:before="0" w:after="240" w:line="276" w:lineRule="auto"/>
        <w:ind w:left="1440" w:right="720"/>
        <w:rPr>
          <w:sz w:val="24"/>
          <w:szCs w:val="24"/>
        </w:rPr>
      </w:pPr>
      <w:r>
        <w:rPr>
          <w:sz w:val="24"/>
          <w:szCs w:val="24"/>
        </w:rPr>
        <w:t>(</w:t>
      </w:r>
      <w:proofErr w:type="spellStart"/>
      <w:r>
        <w:rPr>
          <w:sz w:val="24"/>
          <w:szCs w:val="24"/>
        </w:rPr>
        <w:t>i</w:t>
      </w:r>
      <w:proofErr w:type="spellEnd"/>
      <w:r>
        <w:rPr>
          <w:sz w:val="24"/>
          <w:szCs w:val="24"/>
        </w:rPr>
        <w:t>) To improve threatened, endangered, proposed, or sensitive species habitat; or</w:t>
      </w:r>
    </w:p>
    <w:p w14:paraId="69FBC2B3" w14:textId="77777777" w:rsidR="0011747D" w:rsidRDefault="00000000">
      <w:pPr>
        <w:pStyle w:val="Heading2"/>
        <w:tabs>
          <w:tab w:val="left" w:pos="540"/>
        </w:tabs>
        <w:spacing w:before="0" w:after="240" w:line="276" w:lineRule="auto"/>
        <w:ind w:left="1440" w:right="720"/>
        <w:rPr>
          <w:sz w:val="24"/>
          <w:szCs w:val="24"/>
        </w:rPr>
      </w:pPr>
      <w:r>
        <w:rPr>
          <w:sz w:val="24"/>
          <w:szCs w:val="24"/>
        </w:rPr>
        <w:t>(ii) To maintain or restore the characteristics of ecosystem composition and structure, such as to reduce the risk of uncharacteristic wildfire effects, within the range of variability that would be expected to occur under natural disturbance regimes of the current climatic period.</w:t>
      </w:r>
    </w:p>
    <w:p w14:paraId="7A693F97" w14:textId="77777777" w:rsidR="0011747D" w:rsidRDefault="00000000">
      <w:pPr>
        <w:pStyle w:val="Heading2"/>
        <w:tabs>
          <w:tab w:val="left" w:pos="540"/>
        </w:tabs>
        <w:spacing w:before="240" w:after="240" w:line="276" w:lineRule="auto"/>
        <w:rPr>
          <w:sz w:val="24"/>
          <w:szCs w:val="24"/>
        </w:rPr>
      </w:pPr>
      <w:r>
        <w:rPr>
          <w:sz w:val="24"/>
          <w:szCs w:val="24"/>
        </w:rPr>
        <w:t>36 C.F.R. § 294.13(b)(1) (emphasis added). The Roadless Rule defines roadless area characteristics as:</w:t>
      </w:r>
    </w:p>
    <w:p w14:paraId="32B979A5" w14:textId="77777777" w:rsidR="0011747D" w:rsidRDefault="00000000">
      <w:pPr>
        <w:pStyle w:val="Heading2"/>
        <w:tabs>
          <w:tab w:val="left" w:pos="540"/>
        </w:tabs>
        <w:spacing w:before="0" w:after="240" w:line="276" w:lineRule="auto"/>
        <w:ind w:left="720"/>
        <w:rPr>
          <w:sz w:val="24"/>
          <w:szCs w:val="24"/>
        </w:rPr>
      </w:pPr>
      <w:r>
        <w:rPr>
          <w:sz w:val="24"/>
          <w:szCs w:val="24"/>
        </w:rPr>
        <w:t>Resources or features that are often present in and characterize inventoried roadless areas, including:</w:t>
      </w:r>
    </w:p>
    <w:p w14:paraId="107C771A" w14:textId="77777777" w:rsidR="0011747D" w:rsidRDefault="00000000">
      <w:pPr>
        <w:pStyle w:val="Heading2"/>
        <w:tabs>
          <w:tab w:val="left" w:pos="540"/>
        </w:tabs>
        <w:spacing w:before="0" w:after="240" w:line="276" w:lineRule="auto"/>
        <w:ind w:left="1080"/>
        <w:rPr>
          <w:sz w:val="24"/>
          <w:szCs w:val="24"/>
        </w:rPr>
      </w:pPr>
      <w:r>
        <w:rPr>
          <w:sz w:val="24"/>
          <w:szCs w:val="24"/>
        </w:rPr>
        <w:t xml:space="preserve">(1) High quality or undisturbed soil, water, and </w:t>
      </w:r>
      <w:proofErr w:type="gramStart"/>
      <w:r>
        <w:rPr>
          <w:sz w:val="24"/>
          <w:szCs w:val="24"/>
        </w:rPr>
        <w:t>air;</w:t>
      </w:r>
      <w:proofErr w:type="gramEnd"/>
    </w:p>
    <w:p w14:paraId="11F1D0DA" w14:textId="77777777" w:rsidR="0011747D" w:rsidRDefault="00000000">
      <w:pPr>
        <w:pStyle w:val="Heading2"/>
        <w:tabs>
          <w:tab w:val="left" w:pos="540"/>
        </w:tabs>
        <w:spacing w:before="0" w:after="240" w:line="276" w:lineRule="auto"/>
        <w:ind w:left="1080"/>
        <w:rPr>
          <w:sz w:val="24"/>
          <w:szCs w:val="24"/>
        </w:rPr>
      </w:pPr>
      <w:r>
        <w:rPr>
          <w:sz w:val="24"/>
          <w:szCs w:val="24"/>
        </w:rPr>
        <w:t xml:space="preserve">(2) Sources of public drinking </w:t>
      </w:r>
      <w:proofErr w:type="gramStart"/>
      <w:r>
        <w:rPr>
          <w:sz w:val="24"/>
          <w:szCs w:val="24"/>
        </w:rPr>
        <w:t>water;</w:t>
      </w:r>
      <w:proofErr w:type="gramEnd"/>
    </w:p>
    <w:p w14:paraId="04E5FBB6" w14:textId="77777777" w:rsidR="0011747D" w:rsidRDefault="00000000">
      <w:pPr>
        <w:pStyle w:val="Heading2"/>
        <w:tabs>
          <w:tab w:val="left" w:pos="540"/>
        </w:tabs>
        <w:spacing w:before="0" w:after="240" w:line="276" w:lineRule="auto"/>
        <w:ind w:left="1080"/>
        <w:rPr>
          <w:sz w:val="24"/>
          <w:szCs w:val="24"/>
        </w:rPr>
      </w:pPr>
      <w:r>
        <w:rPr>
          <w:sz w:val="24"/>
          <w:szCs w:val="24"/>
        </w:rPr>
        <w:t xml:space="preserve">(3) Diversity of plant and animal </w:t>
      </w:r>
      <w:proofErr w:type="gramStart"/>
      <w:r>
        <w:rPr>
          <w:sz w:val="24"/>
          <w:szCs w:val="24"/>
        </w:rPr>
        <w:t>communities;</w:t>
      </w:r>
      <w:proofErr w:type="gramEnd"/>
    </w:p>
    <w:p w14:paraId="05F637A8" w14:textId="77777777" w:rsidR="0011747D" w:rsidRDefault="00000000">
      <w:pPr>
        <w:pStyle w:val="Heading2"/>
        <w:tabs>
          <w:tab w:val="left" w:pos="540"/>
        </w:tabs>
        <w:spacing w:before="0" w:after="240" w:line="276" w:lineRule="auto"/>
        <w:ind w:left="1080"/>
        <w:rPr>
          <w:sz w:val="24"/>
          <w:szCs w:val="24"/>
        </w:rPr>
      </w:pPr>
      <w:r>
        <w:rPr>
          <w:sz w:val="24"/>
          <w:szCs w:val="24"/>
        </w:rPr>
        <w:t xml:space="preserve">(4) Habitat for threatened, endangered, proposed, candidate, and sensitive species and for those species dependent on large, undisturbed areas of </w:t>
      </w:r>
      <w:proofErr w:type="gramStart"/>
      <w:r>
        <w:rPr>
          <w:sz w:val="24"/>
          <w:szCs w:val="24"/>
        </w:rPr>
        <w:t>land;</w:t>
      </w:r>
      <w:proofErr w:type="gramEnd"/>
    </w:p>
    <w:p w14:paraId="51C1E6E5" w14:textId="77777777" w:rsidR="0011747D" w:rsidRDefault="00000000">
      <w:pPr>
        <w:pStyle w:val="Heading2"/>
        <w:tabs>
          <w:tab w:val="left" w:pos="540"/>
        </w:tabs>
        <w:spacing w:before="0" w:after="240" w:line="276" w:lineRule="auto"/>
        <w:ind w:left="1080"/>
        <w:rPr>
          <w:sz w:val="24"/>
          <w:szCs w:val="24"/>
        </w:rPr>
      </w:pPr>
      <w:r>
        <w:rPr>
          <w:sz w:val="24"/>
          <w:szCs w:val="24"/>
        </w:rPr>
        <w:t xml:space="preserve">(5) Primitive, semi-primitive nonmotorized and semi-primitive motorized classes of dispersed </w:t>
      </w:r>
      <w:proofErr w:type="gramStart"/>
      <w:r>
        <w:rPr>
          <w:sz w:val="24"/>
          <w:szCs w:val="24"/>
        </w:rPr>
        <w:t>recreation;</w:t>
      </w:r>
      <w:proofErr w:type="gramEnd"/>
    </w:p>
    <w:p w14:paraId="16C3C83E" w14:textId="77777777" w:rsidR="0011747D" w:rsidRDefault="00000000">
      <w:pPr>
        <w:pStyle w:val="Heading2"/>
        <w:tabs>
          <w:tab w:val="left" w:pos="540"/>
        </w:tabs>
        <w:spacing w:before="0" w:after="240" w:line="276" w:lineRule="auto"/>
        <w:ind w:left="1080"/>
        <w:rPr>
          <w:sz w:val="24"/>
          <w:szCs w:val="24"/>
        </w:rPr>
      </w:pPr>
      <w:r>
        <w:rPr>
          <w:sz w:val="24"/>
          <w:szCs w:val="24"/>
        </w:rPr>
        <w:t xml:space="preserve">(6) Reference </w:t>
      </w:r>
      <w:proofErr w:type="gramStart"/>
      <w:r>
        <w:rPr>
          <w:sz w:val="24"/>
          <w:szCs w:val="24"/>
        </w:rPr>
        <w:t>landscapes;</w:t>
      </w:r>
      <w:proofErr w:type="gramEnd"/>
    </w:p>
    <w:p w14:paraId="6FE5BF53" w14:textId="77777777" w:rsidR="0011747D" w:rsidRDefault="00000000">
      <w:pPr>
        <w:pStyle w:val="Heading2"/>
        <w:tabs>
          <w:tab w:val="left" w:pos="540"/>
        </w:tabs>
        <w:spacing w:before="0" w:after="240" w:line="276" w:lineRule="auto"/>
        <w:ind w:left="1080"/>
        <w:rPr>
          <w:sz w:val="24"/>
          <w:szCs w:val="24"/>
        </w:rPr>
      </w:pPr>
      <w:r>
        <w:rPr>
          <w:sz w:val="24"/>
          <w:szCs w:val="24"/>
        </w:rPr>
        <w:t xml:space="preserve">(7) Natural appearing landscapes with high scenic </w:t>
      </w:r>
      <w:proofErr w:type="gramStart"/>
      <w:r>
        <w:rPr>
          <w:sz w:val="24"/>
          <w:szCs w:val="24"/>
        </w:rPr>
        <w:t>quality;</w:t>
      </w:r>
      <w:proofErr w:type="gramEnd"/>
    </w:p>
    <w:p w14:paraId="5BE9B3F5" w14:textId="77777777" w:rsidR="0011747D" w:rsidRDefault="00000000">
      <w:pPr>
        <w:pStyle w:val="Heading2"/>
        <w:tabs>
          <w:tab w:val="left" w:pos="540"/>
        </w:tabs>
        <w:spacing w:before="0" w:after="240" w:line="276" w:lineRule="auto"/>
        <w:ind w:left="1080"/>
        <w:rPr>
          <w:sz w:val="24"/>
          <w:szCs w:val="24"/>
        </w:rPr>
      </w:pPr>
      <w:r>
        <w:rPr>
          <w:sz w:val="24"/>
          <w:szCs w:val="24"/>
        </w:rPr>
        <w:t>(8) Traditional cultural properties and sacred sites; and</w:t>
      </w:r>
    </w:p>
    <w:p w14:paraId="2FA9B1EB" w14:textId="77777777" w:rsidR="0011747D" w:rsidRDefault="00000000">
      <w:pPr>
        <w:pStyle w:val="Heading2"/>
        <w:tabs>
          <w:tab w:val="left" w:pos="540"/>
        </w:tabs>
        <w:spacing w:before="0" w:after="240" w:line="276" w:lineRule="auto"/>
        <w:ind w:left="1080"/>
        <w:rPr>
          <w:sz w:val="24"/>
          <w:szCs w:val="24"/>
        </w:rPr>
      </w:pPr>
      <w:r>
        <w:rPr>
          <w:sz w:val="24"/>
          <w:szCs w:val="24"/>
        </w:rPr>
        <w:t>(9) Other locally identified unique characteristics.</w:t>
      </w:r>
    </w:p>
    <w:p w14:paraId="1C1B5E23" w14:textId="77777777" w:rsidR="0011747D" w:rsidRDefault="00000000">
      <w:pPr>
        <w:pStyle w:val="Heading2"/>
        <w:tabs>
          <w:tab w:val="left" w:pos="540"/>
        </w:tabs>
        <w:spacing w:before="240" w:after="240" w:line="276" w:lineRule="auto"/>
        <w:rPr>
          <w:sz w:val="24"/>
          <w:szCs w:val="24"/>
        </w:rPr>
      </w:pPr>
      <w:r>
        <w:rPr>
          <w:sz w:val="24"/>
          <w:szCs w:val="24"/>
        </w:rPr>
        <w:t>36 C.F.R. § 294.11. The rule requires a highly site-specific analysis, given the regulation’s emphasis on “</w:t>
      </w:r>
      <w:r>
        <w:rPr>
          <w:i/>
          <w:sz w:val="24"/>
          <w:szCs w:val="24"/>
        </w:rPr>
        <w:t>locally identified</w:t>
      </w:r>
      <w:r>
        <w:rPr>
          <w:sz w:val="24"/>
          <w:szCs w:val="24"/>
        </w:rPr>
        <w:t xml:space="preserve"> unique characteristics.” </w:t>
      </w:r>
      <w:r>
        <w:rPr>
          <w:i/>
          <w:sz w:val="24"/>
          <w:szCs w:val="24"/>
        </w:rPr>
        <w:t xml:space="preserve">Id. </w:t>
      </w:r>
      <w:r>
        <w:rPr>
          <w:sz w:val="24"/>
          <w:szCs w:val="24"/>
        </w:rPr>
        <w:t>(emphasis added).</w:t>
      </w:r>
    </w:p>
    <w:p w14:paraId="60F72F6B" w14:textId="77777777" w:rsidR="0011747D" w:rsidRDefault="00000000">
      <w:pPr>
        <w:pStyle w:val="Heading2"/>
        <w:tabs>
          <w:tab w:val="left" w:pos="540"/>
        </w:tabs>
        <w:spacing w:before="240" w:after="240" w:line="276" w:lineRule="auto"/>
        <w:rPr>
          <w:sz w:val="24"/>
          <w:szCs w:val="24"/>
        </w:rPr>
      </w:pPr>
      <w:r>
        <w:rPr>
          <w:sz w:val="24"/>
          <w:szCs w:val="24"/>
        </w:rPr>
        <w:t>The Roadless Rule’s preamble reinforces the need for such a site-specific analysis.</w:t>
      </w:r>
    </w:p>
    <w:p w14:paraId="05E2F963" w14:textId="77777777" w:rsidR="0011747D" w:rsidRDefault="00000000">
      <w:pPr>
        <w:pStyle w:val="Heading2"/>
        <w:tabs>
          <w:tab w:val="left" w:pos="540"/>
        </w:tabs>
        <w:spacing w:before="0" w:after="240" w:line="276" w:lineRule="auto"/>
        <w:ind w:left="720" w:right="720"/>
        <w:rPr>
          <w:sz w:val="24"/>
          <w:szCs w:val="24"/>
        </w:rPr>
      </w:pPr>
      <w:r>
        <w:rPr>
          <w:sz w:val="24"/>
          <w:szCs w:val="24"/>
        </w:rPr>
        <w:lastRenderedPageBreak/>
        <w:t xml:space="preserve">Because of the great variation in stand characteristics between vegetation types in different areas, a description of what constitutes “generally small diameter timber” is not specifically included in this rule. Such determinations are best made through </w:t>
      </w:r>
      <w:r>
        <w:rPr>
          <w:i/>
          <w:sz w:val="24"/>
          <w:szCs w:val="24"/>
        </w:rPr>
        <w:t>project specific</w:t>
      </w:r>
      <w:r>
        <w:rPr>
          <w:sz w:val="24"/>
          <w:szCs w:val="24"/>
        </w:rPr>
        <w:t xml:space="preserve"> or land and resource management plan </w:t>
      </w:r>
      <w:r>
        <w:rPr>
          <w:i/>
          <w:sz w:val="24"/>
          <w:szCs w:val="24"/>
        </w:rPr>
        <w:t>NEPA analyses</w:t>
      </w:r>
      <w:r>
        <w:rPr>
          <w:sz w:val="24"/>
          <w:szCs w:val="24"/>
        </w:rPr>
        <w:t>, as guided by ecological considerations such as those described below.</w:t>
      </w:r>
    </w:p>
    <w:p w14:paraId="6F85F273" w14:textId="77777777" w:rsidR="0011747D" w:rsidRDefault="00000000">
      <w:pPr>
        <w:pStyle w:val="Heading2"/>
        <w:tabs>
          <w:tab w:val="left" w:pos="540"/>
        </w:tabs>
        <w:spacing w:before="0" w:after="240" w:line="276" w:lineRule="auto"/>
        <w:ind w:left="720" w:right="720"/>
        <w:rPr>
          <w:sz w:val="24"/>
          <w:szCs w:val="24"/>
        </w:rPr>
      </w:pPr>
      <w:r>
        <w:rPr>
          <w:sz w:val="24"/>
          <w:szCs w:val="24"/>
        </w:rPr>
        <w:t xml:space="preserve">The intent of the rule is to limit the cutting, sale, or removal of timber </w:t>
      </w:r>
      <w:r>
        <w:rPr>
          <w:i/>
          <w:sz w:val="24"/>
          <w:szCs w:val="24"/>
        </w:rPr>
        <w:t>to those areas that have become overgrown with smaller diameter trees</w:t>
      </w:r>
      <w:r>
        <w:rPr>
          <w:sz w:val="24"/>
          <w:szCs w:val="24"/>
        </w:rPr>
        <w:t>….</w:t>
      </w:r>
    </w:p>
    <w:p w14:paraId="00B31B6B" w14:textId="77777777" w:rsidR="0011747D" w:rsidRDefault="00000000">
      <w:pPr>
        <w:pStyle w:val="Heading2"/>
        <w:tabs>
          <w:tab w:val="left" w:pos="540"/>
        </w:tabs>
        <w:spacing w:before="0" w:after="240" w:line="276" w:lineRule="auto"/>
        <w:ind w:left="720" w:right="720"/>
        <w:rPr>
          <w:sz w:val="24"/>
          <w:szCs w:val="24"/>
        </w:rPr>
      </w:pPr>
      <w:r>
        <w:rPr>
          <w:sz w:val="24"/>
          <w:szCs w:val="24"/>
        </w:rPr>
        <w:t>[A]</w:t>
      </w:r>
      <w:proofErr w:type="spellStart"/>
      <w:r>
        <w:rPr>
          <w:sz w:val="24"/>
          <w:szCs w:val="24"/>
        </w:rPr>
        <w:t>ll</w:t>
      </w:r>
      <w:proofErr w:type="spellEnd"/>
      <w:r>
        <w:rPr>
          <w:sz w:val="24"/>
          <w:szCs w:val="24"/>
        </w:rPr>
        <w:t xml:space="preserve"> such </w:t>
      </w:r>
      <w:r>
        <w:rPr>
          <w:i/>
          <w:sz w:val="24"/>
          <w:szCs w:val="24"/>
        </w:rPr>
        <w:t xml:space="preserve">determinations of what constitutes </w:t>
      </w:r>
      <w:r>
        <w:rPr>
          <w:sz w:val="24"/>
          <w:szCs w:val="24"/>
        </w:rPr>
        <w:t>“</w:t>
      </w:r>
      <w:r>
        <w:rPr>
          <w:i/>
          <w:sz w:val="24"/>
          <w:szCs w:val="24"/>
        </w:rPr>
        <w:t>generally small diameter timber</w:t>
      </w:r>
      <w:r>
        <w:rPr>
          <w:sz w:val="24"/>
          <w:szCs w:val="24"/>
        </w:rPr>
        <w:t xml:space="preserve">” will consider how the cutting or removal of various size classes of trees would affect the potential for future development </w:t>
      </w:r>
      <w:r>
        <w:rPr>
          <w:i/>
          <w:sz w:val="24"/>
          <w:szCs w:val="24"/>
        </w:rPr>
        <w:t>of the stand</w:t>
      </w:r>
      <w:r>
        <w:rPr>
          <w:sz w:val="24"/>
          <w:szCs w:val="24"/>
        </w:rPr>
        <w:t xml:space="preserve">, and the characteristics and interrelationships of plant and animal communities associated with the site and the overall landscape. </w:t>
      </w:r>
      <w:r>
        <w:rPr>
          <w:i/>
          <w:sz w:val="24"/>
          <w:szCs w:val="24"/>
        </w:rPr>
        <w:t>Site productivity due to factors such as moisture and elevational gradients, site aspect, and soil types will be considered, as well as how such cutting or removal of various size classes of standing or down timber would mimic the role and legacies of natural disturbance regimes in providing the habitat patches, connectivity, and structural diversity critical to maintaining biological diversity</w:t>
      </w:r>
      <w:r>
        <w:rPr>
          <w:sz w:val="24"/>
          <w:szCs w:val="24"/>
        </w:rPr>
        <w:t>. In all cases, the cutting, sale, or removal of small diameter timber will be consistent with maintaining or improving one or more of the roadless area characteristics as defined in § 294.11. ….</w:t>
      </w:r>
    </w:p>
    <w:p w14:paraId="722F923D" w14:textId="77777777" w:rsidR="0011747D" w:rsidRDefault="00000000">
      <w:pPr>
        <w:pStyle w:val="Heading2"/>
        <w:tabs>
          <w:tab w:val="left" w:pos="540"/>
        </w:tabs>
        <w:spacing w:before="0" w:after="240" w:line="276" w:lineRule="auto"/>
        <w:ind w:left="720" w:right="720"/>
        <w:rPr>
          <w:sz w:val="24"/>
          <w:szCs w:val="24"/>
        </w:rPr>
      </w:pPr>
      <w:r>
        <w:rPr>
          <w:sz w:val="24"/>
          <w:szCs w:val="24"/>
        </w:rPr>
        <w:t xml:space="preserve">Vegetative management would focus on removing generally small diameter trees while leaving the overstory trees intact. The cutting, sale, or removal of trees pursuant to 294.13(b)(1) </w:t>
      </w:r>
      <w:r>
        <w:rPr>
          <w:i/>
          <w:sz w:val="24"/>
          <w:szCs w:val="24"/>
        </w:rPr>
        <w:t>must be clearly shown through project level analysis to contribute to the ecological objectives described</w:t>
      </w:r>
      <w:r>
        <w:rPr>
          <w:sz w:val="24"/>
          <w:szCs w:val="24"/>
        </w:rPr>
        <w:t>. Such management activities are expected to be rare and to focus on small diameter trees.</w:t>
      </w:r>
    </w:p>
    <w:p w14:paraId="260A1B1C" w14:textId="77777777" w:rsidR="0011747D" w:rsidRDefault="00000000">
      <w:pPr>
        <w:pStyle w:val="Heading2"/>
        <w:tabs>
          <w:tab w:val="left" w:pos="540"/>
        </w:tabs>
        <w:spacing w:before="240" w:after="240" w:line="276" w:lineRule="auto"/>
        <w:rPr>
          <w:sz w:val="24"/>
          <w:szCs w:val="24"/>
        </w:rPr>
      </w:pPr>
      <w:r>
        <w:rPr>
          <w:sz w:val="24"/>
          <w:szCs w:val="24"/>
        </w:rPr>
        <w:t xml:space="preserve">Forest Service, Roadless Area Conservation Rule, 66 Fed. Reg. 3244, 3257, 3258 (Jan. 12, 2001) (emphases added). In adopting the Roadless Rule, the Forest Service thus anticipated that logging in IRAs under this specific exception would only occur following a project-level NEPA analysis that evaluated </w:t>
      </w:r>
      <w:r>
        <w:rPr>
          <w:i/>
          <w:sz w:val="24"/>
          <w:szCs w:val="24"/>
        </w:rPr>
        <w:t>stand-specific conditions</w:t>
      </w:r>
      <w:r>
        <w:rPr>
          <w:sz w:val="24"/>
          <w:szCs w:val="24"/>
        </w:rPr>
        <w:t>.</w:t>
      </w:r>
    </w:p>
    <w:p w14:paraId="6CBEC43B" w14:textId="77777777" w:rsidR="0011747D" w:rsidRDefault="00000000">
      <w:pPr>
        <w:pStyle w:val="Heading2"/>
        <w:tabs>
          <w:tab w:val="left" w:pos="540"/>
        </w:tabs>
        <w:spacing w:before="240" w:after="240" w:line="276" w:lineRule="auto"/>
        <w:rPr>
          <w:sz w:val="24"/>
          <w:szCs w:val="24"/>
        </w:rPr>
      </w:pPr>
      <w:r>
        <w:rPr>
          <w:sz w:val="24"/>
          <w:szCs w:val="24"/>
        </w:rPr>
        <w:t>As the Ninth Circuit Court of Appeals has summarized the Roadless Rule’s requirements:</w:t>
      </w:r>
    </w:p>
    <w:p w14:paraId="6D7AFB13" w14:textId="77777777" w:rsidR="0011747D" w:rsidRDefault="00000000">
      <w:pPr>
        <w:pStyle w:val="Heading2"/>
        <w:tabs>
          <w:tab w:val="left" w:pos="540"/>
        </w:tabs>
        <w:spacing w:before="0" w:after="240" w:line="276" w:lineRule="auto"/>
        <w:ind w:left="720" w:right="720"/>
        <w:rPr>
          <w:sz w:val="24"/>
          <w:szCs w:val="24"/>
        </w:rPr>
      </w:pPr>
      <w:r>
        <w:rPr>
          <w:sz w:val="24"/>
          <w:szCs w:val="24"/>
        </w:rPr>
        <w:lastRenderedPageBreak/>
        <w:t>“[w]</w:t>
      </w:r>
      <w:proofErr w:type="spellStart"/>
      <w:r>
        <w:rPr>
          <w:sz w:val="24"/>
          <w:szCs w:val="24"/>
        </w:rPr>
        <w:t>hether</w:t>
      </w:r>
      <w:proofErr w:type="spellEnd"/>
      <w:r>
        <w:rPr>
          <w:sz w:val="24"/>
          <w:szCs w:val="24"/>
        </w:rPr>
        <w:t xml:space="preserve"> the [Forest] Service may harvest timber in an inventoried roadless area is a three-step inquiry</w:t>
      </w:r>
      <w:r>
        <w:rPr>
          <w:i/>
          <w:sz w:val="24"/>
          <w:szCs w:val="24"/>
        </w:rPr>
        <w:t>.” All. for the Wild Rockies v. Krueger</w:t>
      </w:r>
      <w:r>
        <w:rPr>
          <w:sz w:val="24"/>
          <w:szCs w:val="24"/>
        </w:rPr>
        <w:t xml:space="preserve">, 950 F. Supp. 2d 1196, 1214 (D. Mont. 2013), </w:t>
      </w:r>
      <w:r>
        <w:rPr>
          <w:i/>
          <w:sz w:val="24"/>
          <w:szCs w:val="24"/>
        </w:rPr>
        <w:t>aff’d sub nom</w:t>
      </w:r>
      <w:r>
        <w:rPr>
          <w:sz w:val="24"/>
          <w:szCs w:val="24"/>
        </w:rPr>
        <w:t xml:space="preserve">. </w:t>
      </w:r>
      <w:r>
        <w:rPr>
          <w:i/>
          <w:sz w:val="24"/>
          <w:szCs w:val="24"/>
        </w:rPr>
        <w:t>All. for the Wild Rockies v. Christensen</w:t>
      </w:r>
      <w:r>
        <w:rPr>
          <w:sz w:val="24"/>
          <w:szCs w:val="24"/>
        </w:rPr>
        <w:t xml:space="preserve">, 663 F. </w:t>
      </w:r>
      <w:proofErr w:type="spellStart"/>
      <w:r>
        <w:rPr>
          <w:sz w:val="24"/>
          <w:szCs w:val="24"/>
        </w:rPr>
        <w:t>App’x</w:t>
      </w:r>
      <w:proofErr w:type="spellEnd"/>
      <w:r>
        <w:rPr>
          <w:sz w:val="24"/>
          <w:szCs w:val="24"/>
        </w:rPr>
        <w:t xml:space="preserve"> 515 (9th Cir. 2016). “First, the timber to be harvested must be ‘generally small diameter.’ Second, the harvest must be needed for one of two listed purposes [as defined in 36 C.F.R. § 294.13]. Third, the harvest must maintain or improve one or more of the roadless area characteristics as defined in § 294.11.” </w:t>
      </w:r>
      <w:r>
        <w:rPr>
          <w:i/>
          <w:sz w:val="24"/>
          <w:szCs w:val="24"/>
        </w:rPr>
        <w:t>Id</w:t>
      </w:r>
      <w:r>
        <w:rPr>
          <w:sz w:val="24"/>
          <w:szCs w:val="24"/>
        </w:rPr>
        <w:t>.</w:t>
      </w:r>
    </w:p>
    <w:p w14:paraId="21FEFA9F" w14:textId="77777777" w:rsidR="0011747D" w:rsidRDefault="00000000">
      <w:pPr>
        <w:pStyle w:val="Heading2"/>
        <w:tabs>
          <w:tab w:val="left" w:pos="540"/>
        </w:tabs>
        <w:spacing w:before="240" w:after="240" w:line="276" w:lineRule="auto"/>
        <w:rPr>
          <w:sz w:val="24"/>
          <w:szCs w:val="24"/>
        </w:rPr>
      </w:pPr>
      <w:r>
        <w:rPr>
          <w:i/>
          <w:sz w:val="24"/>
          <w:szCs w:val="24"/>
        </w:rPr>
        <w:t xml:space="preserve">Los Padres </w:t>
      </w:r>
      <w:proofErr w:type="spellStart"/>
      <w:r>
        <w:rPr>
          <w:i/>
          <w:sz w:val="24"/>
          <w:szCs w:val="24"/>
        </w:rPr>
        <w:t>ForestWatch</w:t>
      </w:r>
      <w:proofErr w:type="spellEnd"/>
      <w:r>
        <w:rPr>
          <w:i/>
          <w:sz w:val="24"/>
          <w:szCs w:val="24"/>
        </w:rPr>
        <w:t xml:space="preserve"> v. United States Forest Serv</w:t>
      </w:r>
      <w:r>
        <w:rPr>
          <w:sz w:val="24"/>
          <w:szCs w:val="24"/>
        </w:rPr>
        <w:t>., 25 F.4th 649, 656 (9th Cir. 2022).</w:t>
      </w:r>
    </w:p>
    <w:p w14:paraId="4DE15CD5" w14:textId="77777777" w:rsidR="0011747D" w:rsidRDefault="00000000">
      <w:pPr>
        <w:pStyle w:val="Heading2"/>
        <w:tabs>
          <w:tab w:val="left" w:pos="540"/>
        </w:tabs>
        <w:spacing w:before="0" w:after="240" w:line="276" w:lineRule="auto"/>
        <w:ind w:left="1440" w:hanging="720"/>
        <w:rPr>
          <w:b/>
          <w:sz w:val="24"/>
          <w:szCs w:val="24"/>
        </w:rPr>
      </w:pPr>
      <w:r>
        <w:rPr>
          <w:b/>
          <w:sz w:val="24"/>
          <w:szCs w:val="24"/>
        </w:rPr>
        <w:t xml:space="preserve">C.      </w:t>
      </w:r>
      <w:r>
        <w:rPr>
          <w:b/>
          <w:sz w:val="24"/>
          <w:szCs w:val="24"/>
        </w:rPr>
        <w:tab/>
        <w:t>The Forest Service Fails to Ensure that the Project Will Not Construct Roads within IRAs.</w:t>
      </w:r>
    </w:p>
    <w:p w14:paraId="59B344A0" w14:textId="77777777" w:rsidR="0011747D" w:rsidRDefault="00000000">
      <w:pPr>
        <w:pStyle w:val="Heading2"/>
        <w:tabs>
          <w:tab w:val="left" w:pos="540"/>
        </w:tabs>
        <w:spacing w:before="0" w:after="240" w:line="276" w:lineRule="auto"/>
        <w:ind w:left="-40"/>
        <w:rPr>
          <w:sz w:val="24"/>
          <w:szCs w:val="24"/>
        </w:rPr>
      </w:pPr>
      <w:r>
        <w:rPr>
          <w:sz w:val="24"/>
          <w:szCs w:val="24"/>
        </w:rPr>
        <w:t>The Roadless Rule prohibits road construction within IRAs except in a narrow number of circumstances, none of which apply to this project, and none of which the EA invokes. 36 C.F.R. § 294.12.</w:t>
      </w:r>
    </w:p>
    <w:p w14:paraId="4D5C8185" w14:textId="77777777" w:rsidR="0011747D" w:rsidRDefault="00000000">
      <w:pPr>
        <w:pStyle w:val="Heading2"/>
        <w:tabs>
          <w:tab w:val="left" w:pos="540"/>
        </w:tabs>
        <w:spacing w:before="0" w:after="240" w:line="276" w:lineRule="auto"/>
        <w:ind w:left="-40"/>
        <w:rPr>
          <w:sz w:val="24"/>
          <w:szCs w:val="24"/>
        </w:rPr>
      </w:pPr>
      <w:r>
        <w:rPr>
          <w:sz w:val="24"/>
          <w:szCs w:val="24"/>
        </w:rPr>
        <w:t>The Forest Service alleges that “No new roads would be constructed for this project nor is reconstruction proposed within the IRAs,” Dixie NF, Hungry Creek Vegetation Improvement Project Response to Comments (June 25, 2024) at 13 of 20; 2024 EA at 100. However, the Forest Service fails to ensure that the project will not permit road construction in IRAs.</w:t>
      </w:r>
    </w:p>
    <w:p w14:paraId="70E1AB86" w14:textId="77777777" w:rsidR="0011747D" w:rsidRDefault="00000000">
      <w:pPr>
        <w:pStyle w:val="Heading2"/>
        <w:tabs>
          <w:tab w:val="left" w:pos="540"/>
        </w:tabs>
        <w:spacing w:before="0" w:after="240" w:line="276" w:lineRule="auto"/>
        <w:ind w:left="-40"/>
        <w:rPr>
          <w:sz w:val="24"/>
          <w:szCs w:val="24"/>
        </w:rPr>
      </w:pPr>
      <w:r>
        <w:rPr>
          <w:sz w:val="24"/>
          <w:szCs w:val="24"/>
        </w:rPr>
        <w:t xml:space="preserve">First, the draft 2023 EA indicated that logging equipment would utilize, and the Forest would “reopen” miles of “closed roads” within at least two IRAs. </w:t>
      </w:r>
      <w:r>
        <w:rPr>
          <w:i/>
          <w:sz w:val="24"/>
          <w:szCs w:val="24"/>
        </w:rPr>
        <w:t>See</w:t>
      </w:r>
      <w:r>
        <w:rPr>
          <w:sz w:val="24"/>
          <w:szCs w:val="24"/>
        </w:rPr>
        <w:t xml:space="preserve"> 2023 EA at 46 (showing “utilized closed routes” within the Hog Ranch IRA, including routes G4100, G4101, and G4102, and such a route, 30499, within the Jake Hollow IRA). In comments on the 2023 EA, we asserted that the Forest Service should provide photographic evidence of the condition of each of these routes because “reopening” closed roads could amount to temporary road construction.</w:t>
      </w:r>
    </w:p>
    <w:p w14:paraId="1C7E1637" w14:textId="77777777" w:rsidR="0011747D" w:rsidRDefault="00000000" w:rsidP="004F6835">
      <w:pPr>
        <w:pStyle w:val="Heading2"/>
        <w:tabs>
          <w:tab w:val="left" w:pos="540"/>
        </w:tabs>
        <w:spacing w:before="0"/>
        <w:ind w:left="-43"/>
        <w:rPr>
          <w:sz w:val="24"/>
          <w:szCs w:val="24"/>
        </w:rPr>
      </w:pPr>
      <w:r>
        <w:rPr>
          <w:sz w:val="24"/>
          <w:szCs w:val="24"/>
        </w:rPr>
        <w:t xml:space="preserve">“Reopening” of roads in IRAs has been set aside as in violation of the Roadless Rule by at least one federal court. </w:t>
      </w:r>
      <w:r>
        <w:rPr>
          <w:i/>
          <w:sz w:val="24"/>
          <w:szCs w:val="24"/>
        </w:rPr>
        <w:t>See Helena Hunter &amp; Anglers v. Marten</w:t>
      </w:r>
      <w:r>
        <w:rPr>
          <w:sz w:val="24"/>
          <w:szCs w:val="24"/>
        </w:rPr>
        <w:t>, 470 F. Supp. 3d 1151 (D. Mont. 2020).</w:t>
      </w:r>
      <w:r>
        <w:rPr>
          <w:sz w:val="24"/>
          <w:szCs w:val="24"/>
          <w:vertAlign w:val="superscript"/>
        </w:rPr>
        <w:footnoteReference w:id="18"/>
      </w:r>
      <w:r>
        <w:rPr>
          <w:sz w:val="24"/>
          <w:szCs w:val="24"/>
        </w:rPr>
        <w:t xml:space="preserve"> In </w:t>
      </w:r>
      <w:r>
        <w:rPr>
          <w:i/>
          <w:sz w:val="24"/>
          <w:szCs w:val="24"/>
        </w:rPr>
        <w:t>Marten</w:t>
      </w:r>
      <w:r>
        <w:rPr>
          <w:sz w:val="24"/>
          <w:szCs w:val="24"/>
        </w:rPr>
        <w:t xml:space="preserve">, the Forest Service failed to disclose the nature of the closed roads that would allegedly be “reopened” in the IRAs with minor work. The court held that the roads to be reopened barely existed on the ground and would have to be effectively constructed before they could be used. As a result, the court found that the Forest Service had violated the Roadless Rule’s ban on road </w:t>
      </w:r>
      <w:proofErr w:type="gramStart"/>
      <w:r>
        <w:rPr>
          <w:sz w:val="24"/>
          <w:szCs w:val="24"/>
        </w:rPr>
        <w:t>construction, and</w:t>
      </w:r>
      <w:proofErr w:type="gramEnd"/>
      <w:r>
        <w:rPr>
          <w:sz w:val="24"/>
          <w:szCs w:val="24"/>
        </w:rPr>
        <w:t xml:space="preserve"> vacated the agency’s timber project within the roadless areas. </w:t>
      </w:r>
      <w:r>
        <w:rPr>
          <w:i/>
          <w:sz w:val="24"/>
          <w:szCs w:val="24"/>
        </w:rPr>
        <w:t>Id</w:t>
      </w:r>
      <w:r>
        <w:rPr>
          <w:sz w:val="24"/>
          <w:szCs w:val="24"/>
        </w:rPr>
        <w:t>., 470 F. Supp. 3d at 1162-72, 1181.</w:t>
      </w:r>
    </w:p>
    <w:p w14:paraId="2C26EA10" w14:textId="77777777" w:rsidR="0011747D" w:rsidRDefault="00000000">
      <w:pPr>
        <w:pStyle w:val="Heading2"/>
        <w:tabs>
          <w:tab w:val="left" w:pos="540"/>
        </w:tabs>
        <w:spacing w:before="0" w:after="240" w:line="276" w:lineRule="auto"/>
        <w:ind w:left="-40"/>
        <w:rPr>
          <w:sz w:val="24"/>
          <w:szCs w:val="24"/>
        </w:rPr>
      </w:pPr>
      <w:r>
        <w:rPr>
          <w:sz w:val="24"/>
          <w:szCs w:val="24"/>
        </w:rPr>
        <w:lastRenderedPageBreak/>
        <w:t xml:space="preserve">Rather than provide the requested evidence, however, the Forest Service produced a new map which, without explanation, identifies the “utilized closed routes” as “seasonal roads.” Compare 2023 EA at 46 with 2024 EA at 60. This change, without any explanation, is arbitrary and capricious. The 2024 EA’s map appears to designate G4100, G4101, and G4102 as “seasonal roads” or “temporary roads” (the map color is not clear), </w:t>
      </w:r>
      <w:r>
        <w:rPr>
          <w:i/>
          <w:sz w:val="24"/>
          <w:szCs w:val="24"/>
        </w:rPr>
        <w:t>see</w:t>
      </w:r>
      <w:r>
        <w:rPr>
          <w:sz w:val="24"/>
          <w:szCs w:val="24"/>
        </w:rPr>
        <w:t xml:space="preserve"> 2024 EA at 60, </w:t>
      </w:r>
      <w:proofErr w:type="gramStart"/>
      <w:r>
        <w:rPr>
          <w:sz w:val="24"/>
          <w:szCs w:val="24"/>
        </w:rPr>
        <w:t>despite the fact that</w:t>
      </w:r>
      <w:proofErr w:type="gramEnd"/>
      <w:r>
        <w:rPr>
          <w:sz w:val="24"/>
          <w:szCs w:val="24"/>
        </w:rPr>
        <w:t xml:space="preserve"> none of those routes appear on the map identifying routes open to public motorized use in the April 2009 Record of Decision for the Dixie National Forest Motorized Travel Plan. See</w:t>
      </w:r>
      <w:hyperlink r:id="rId9">
        <w:r>
          <w:rPr>
            <w:sz w:val="24"/>
            <w:szCs w:val="24"/>
          </w:rPr>
          <w:t xml:space="preserve"> </w:t>
        </w:r>
      </w:hyperlink>
      <w:hyperlink r:id="rId10">
        <w:r>
          <w:rPr>
            <w:color w:val="1155CC"/>
            <w:sz w:val="24"/>
            <w:szCs w:val="24"/>
            <w:u w:val="single"/>
          </w:rPr>
          <w:t>https://www.fs.usda.gov/Internet/FSE_DOCUMENTS/stelprdb5213433.pdf</w:t>
        </w:r>
      </w:hyperlink>
      <w:r>
        <w:rPr>
          <w:sz w:val="24"/>
          <w:szCs w:val="24"/>
        </w:rPr>
        <w:t xml:space="preserve"> (last visited June 28, 2024).</w:t>
      </w:r>
    </w:p>
    <w:p w14:paraId="6BEE367C" w14:textId="77777777" w:rsidR="0011747D" w:rsidRDefault="00000000">
      <w:pPr>
        <w:pStyle w:val="Heading2"/>
        <w:tabs>
          <w:tab w:val="left" w:pos="540"/>
        </w:tabs>
        <w:spacing w:before="0" w:after="240" w:line="276" w:lineRule="auto"/>
        <w:ind w:left="-40"/>
        <w:rPr>
          <w:sz w:val="24"/>
          <w:szCs w:val="24"/>
        </w:rPr>
      </w:pPr>
      <w:r>
        <w:rPr>
          <w:sz w:val="24"/>
          <w:szCs w:val="24"/>
        </w:rPr>
        <w:t>At a minimum, the Forest Service should use the objection resolution process to explain the discrepancy between the draft and final EAs.</w:t>
      </w:r>
    </w:p>
    <w:p w14:paraId="2CAD289C" w14:textId="77777777" w:rsidR="0011747D" w:rsidRDefault="00000000">
      <w:pPr>
        <w:pStyle w:val="Heading2"/>
        <w:tabs>
          <w:tab w:val="left" w:pos="540"/>
        </w:tabs>
        <w:spacing w:before="0" w:after="240" w:line="276" w:lineRule="auto"/>
        <w:ind w:left="-40"/>
        <w:rPr>
          <w:sz w:val="24"/>
          <w:szCs w:val="24"/>
        </w:rPr>
      </w:pPr>
      <w:r>
        <w:rPr>
          <w:sz w:val="24"/>
          <w:szCs w:val="24"/>
        </w:rPr>
        <w:t>The agency’s failure to respond to comments also violates NEPA. 2024 EA at 153.</w:t>
      </w:r>
    </w:p>
    <w:p w14:paraId="09FBC25D" w14:textId="77777777" w:rsidR="0011747D" w:rsidRDefault="00000000">
      <w:pPr>
        <w:pStyle w:val="Heading2"/>
        <w:tabs>
          <w:tab w:val="left" w:pos="540"/>
        </w:tabs>
        <w:spacing w:before="0" w:after="240" w:line="276" w:lineRule="auto"/>
        <w:ind w:left="-40"/>
        <w:rPr>
          <w:sz w:val="24"/>
          <w:szCs w:val="24"/>
        </w:rPr>
      </w:pPr>
      <w:r>
        <w:rPr>
          <w:sz w:val="24"/>
          <w:szCs w:val="24"/>
        </w:rPr>
        <w:t>Second, the 2024 EA indicates that administrative “roads” will likely be used to facilitate logging and other project activities in IRAs. The EA states that “[w]</w:t>
      </w:r>
      <w:proofErr w:type="spellStart"/>
      <w:r>
        <w:rPr>
          <w:sz w:val="24"/>
          <w:szCs w:val="24"/>
        </w:rPr>
        <w:t>ithin</w:t>
      </w:r>
      <w:proofErr w:type="spellEnd"/>
      <w:r>
        <w:rPr>
          <w:sz w:val="24"/>
          <w:szCs w:val="24"/>
        </w:rPr>
        <w:t xml:space="preserve"> the analysis area there are … 85.47 miles of admin roads,” implying that these roads would be used for project purposes. The Forest Service identifies a number of these administrative routes within the northeast portion of the Hog Ranch IRA, the northwest portion of the Jake Hollow IRA, and several locations within the McGrath Lake-Auger Hole IRA. </w:t>
      </w:r>
      <w:r>
        <w:rPr>
          <w:i/>
          <w:sz w:val="24"/>
          <w:szCs w:val="24"/>
        </w:rPr>
        <w:t>See</w:t>
      </w:r>
      <w:r>
        <w:rPr>
          <w:sz w:val="24"/>
          <w:szCs w:val="24"/>
        </w:rPr>
        <w:t xml:space="preserve"> 2024 EA at 60. The Forest Service provides no evidence of the status of these administrative routes, nor explains the level of work that will be needed to “upgrade” these routes to accommodate heavy equipment required to remove trees for the project. A cursory review of aerial photos reveals little more than two-tracks, if that, in the locations of some of these “admin roads.”</w:t>
      </w:r>
    </w:p>
    <w:p w14:paraId="1A5C2D86" w14:textId="77777777" w:rsidR="0011747D" w:rsidRDefault="00000000">
      <w:pPr>
        <w:pStyle w:val="Heading2"/>
        <w:tabs>
          <w:tab w:val="left" w:pos="540"/>
        </w:tabs>
        <w:spacing w:before="0" w:after="240" w:line="276" w:lineRule="auto"/>
        <w:ind w:left="-40"/>
        <w:rPr>
          <w:sz w:val="24"/>
          <w:szCs w:val="24"/>
        </w:rPr>
      </w:pPr>
      <w:r>
        <w:rPr>
          <w:sz w:val="24"/>
          <w:szCs w:val="24"/>
        </w:rPr>
        <w:t>To comply with NEPA’s “hard look” mandate as well as the Roadless Rule, the Forest Service must disclose the current state of the administrative routes that the agency intends to use to facilitate tree removal in any of the IRAs, and what work will be needed to “reconstruct” the route to the specification required to implement the project.</w:t>
      </w:r>
    </w:p>
    <w:p w14:paraId="5D4B28F2" w14:textId="77777777" w:rsidR="0011747D" w:rsidRDefault="00000000">
      <w:pPr>
        <w:pStyle w:val="Heading2"/>
        <w:tabs>
          <w:tab w:val="left" w:pos="540"/>
        </w:tabs>
        <w:spacing w:before="0" w:after="240" w:line="276" w:lineRule="auto"/>
        <w:ind w:left="-40"/>
        <w:rPr>
          <w:sz w:val="24"/>
          <w:szCs w:val="24"/>
        </w:rPr>
      </w:pPr>
      <w:r>
        <w:rPr>
          <w:sz w:val="24"/>
          <w:szCs w:val="24"/>
        </w:rPr>
        <w:t xml:space="preserve">Third, the EA implies that 40 miles of vehicle routes - skid trails - will be built into roadless areas. 2024 EA at 47. (“Areas within the IRAs that require access for mechanical treatments would have skid trails </w:t>
      </w:r>
      <w:r>
        <w:rPr>
          <w:i/>
          <w:sz w:val="24"/>
          <w:szCs w:val="24"/>
        </w:rPr>
        <w:t xml:space="preserve">built </w:t>
      </w:r>
      <w:r>
        <w:rPr>
          <w:sz w:val="24"/>
          <w:szCs w:val="24"/>
        </w:rPr>
        <w:t xml:space="preserve">to facilitate [motorized] access.” (emphasis added)). The Roadless Rule bars temporary and permanent road </w:t>
      </w:r>
      <w:proofErr w:type="gramStart"/>
      <w:r>
        <w:rPr>
          <w:sz w:val="24"/>
          <w:szCs w:val="24"/>
        </w:rPr>
        <w:t>construction, and</w:t>
      </w:r>
      <w:proofErr w:type="gramEnd"/>
      <w:r>
        <w:rPr>
          <w:sz w:val="24"/>
          <w:szCs w:val="24"/>
        </w:rPr>
        <w:t xml:space="preserve"> defines a “road” as “a motor vehicle </w:t>
      </w:r>
      <w:proofErr w:type="spellStart"/>
      <w:r>
        <w:rPr>
          <w:sz w:val="24"/>
          <w:szCs w:val="24"/>
        </w:rPr>
        <w:t>travelway</w:t>
      </w:r>
      <w:proofErr w:type="spellEnd"/>
      <w:r>
        <w:rPr>
          <w:sz w:val="24"/>
          <w:szCs w:val="24"/>
        </w:rPr>
        <w:t xml:space="preserve"> over 50 inches wide,” and a “temporary road” as “road authorized by contract, permit, lease, other written authorization, or emergency operation, not intended to be part of the forest transportation system and not necessary for long-term resource management.” 36 C.F.R. § 294.11.</w:t>
      </w:r>
    </w:p>
    <w:p w14:paraId="276EBFC1" w14:textId="77777777" w:rsidR="0011747D" w:rsidRDefault="00000000">
      <w:pPr>
        <w:pStyle w:val="Heading2"/>
        <w:tabs>
          <w:tab w:val="left" w:pos="540"/>
        </w:tabs>
        <w:spacing w:before="0" w:after="240" w:line="276" w:lineRule="auto"/>
        <w:ind w:left="-40"/>
        <w:rPr>
          <w:sz w:val="24"/>
          <w:szCs w:val="24"/>
        </w:rPr>
      </w:pPr>
      <w:r>
        <w:rPr>
          <w:sz w:val="24"/>
          <w:szCs w:val="24"/>
        </w:rPr>
        <w:lastRenderedPageBreak/>
        <w:t>In comments on the 2023 EA, we requested that the Forest Service explain whether any skid trail built for the project would be over 50 inches wide, which would appear to meet the definition of a “temporary road” whose construction is barred by the Roadless Rule. The Forest Service failed to do so. The need to address this issue is underscored by the Forest Service’s admission that the skid trails constructed in the 1970s through 1990s are still harming the land. 2024 EA at 110 (“Past harvest operation activities [from the 1970s-1990s] such as skid trails, roads, landings, and staging areas are still visible on the landscape and may still be affecting soil functions.”). The Forest Service cannot simply designate roads constructed to facilitate logging as “skid trails” to avoid the Rule’s ban on new road construction.</w:t>
      </w:r>
    </w:p>
    <w:p w14:paraId="5EBF21E8" w14:textId="77777777" w:rsidR="0011747D" w:rsidRDefault="00000000">
      <w:pPr>
        <w:pStyle w:val="Heading2"/>
        <w:tabs>
          <w:tab w:val="left" w:pos="540"/>
        </w:tabs>
        <w:spacing w:before="0" w:after="240" w:line="276" w:lineRule="auto"/>
        <w:ind w:left="-40"/>
        <w:rPr>
          <w:sz w:val="24"/>
          <w:szCs w:val="24"/>
        </w:rPr>
      </w:pPr>
      <w:r>
        <w:rPr>
          <w:sz w:val="24"/>
          <w:szCs w:val="24"/>
        </w:rPr>
        <w:t>Again, the Forest Service’s failure to respond to this comment violates NEPA.</w:t>
      </w:r>
    </w:p>
    <w:p w14:paraId="6584B678" w14:textId="77777777" w:rsidR="0011747D" w:rsidRDefault="00000000">
      <w:pPr>
        <w:pStyle w:val="Heading2"/>
        <w:tabs>
          <w:tab w:val="left" w:pos="540"/>
        </w:tabs>
        <w:spacing w:before="0" w:after="240" w:line="276" w:lineRule="auto"/>
        <w:ind w:left="720"/>
        <w:rPr>
          <w:sz w:val="24"/>
          <w:szCs w:val="24"/>
        </w:rPr>
      </w:pPr>
      <w:r>
        <w:rPr>
          <w:sz w:val="24"/>
          <w:szCs w:val="24"/>
          <w:u w:val="single"/>
        </w:rPr>
        <w:t>Proposed Resolution</w:t>
      </w:r>
      <w:r>
        <w:rPr>
          <w:sz w:val="24"/>
          <w:szCs w:val="24"/>
        </w:rPr>
        <w:t>: The Forest Service should demonstrate, with evidence, that no roads will be constructed within any of the IRAs. For example, the Forest Service should prepare a new NEPA analysis, preferably an EIS, that:</w:t>
      </w:r>
    </w:p>
    <w:p w14:paraId="2F58F6BB" w14:textId="77777777" w:rsidR="0011747D" w:rsidRDefault="00000000">
      <w:pPr>
        <w:pStyle w:val="Heading2"/>
        <w:numPr>
          <w:ilvl w:val="0"/>
          <w:numId w:val="11"/>
        </w:numPr>
        <w:tabs>
          <w:tab w:val="left" w:pos="540"/>
        </w:tabs>
        <w:spacing w:before="0" w:line="276" w:lineRule="auto"/>
        <w:ind w:left="1800"/>
        <w:rPr>
          <w:sz w:val="24"/>
          <w:szCs w:val="24"/>
        </w:rPr>
      </w:pPr>
      <w:r>
        <w:rPr>
          <w:sz w:val="24"/>
          <w:szCs w:val="24"/>
        </w:rPr>
        <w:t>Explains why the 2023 EA stated that the project would involve “reopen[</w:t>
      </w:r>
      <w:proofErr w:type="spellStart"/>
      <w:r>
        <w:rPr>
          <w:sz w:val="24"/>
          <w:szCs w:val="24"/>
        </w:rPr>
        <w:t>ing</w:t>
      </w:r>
      <w:proofErr w:type="spellEnd"/>
      <w:r>
        <w:rPr>
          <w:sz w:val="24"/>
          <w:szCs w:val="24"/>
        </w:rPr>
        <w:t>]” miles of “closed roads” within at least two IRAs, but the 2024 EA altered that statement.</w:t>
      </w:r>
    </w:p>
    <w:p w14:paraId="02FE354F" w14:textId="77777777" w:rsidR="0011747D" w:rsidRDefault="00000000">
      <w:pPr>
        <w:pStyle w:val="Heading2"/>
        <w:numPr>
          <w:ilvl w:val="0"/>
          <w:numId w:val="11"/>
        </w:numPr>
        <w:tabs>
          <w:tab w:val="left" w:pos="540"/>
        </w:tabs>
        <w:spacing w:before="0" w:line="276" w:lineRule="auto"/>
        <w:ind w:left="1800"/>
        <w:rPr>
          <w:sz w:val="24"/>
          <w:szCs w:val="24"/>
        </w:rPr>
      </w:pPr>
      <w:r>
        <w:rPr>
          <w:sz w:val="24"/>
          <w:szCs w:val="24"/>
        </w:rPr>
        <w:t>Discloses the location, current condition and nature of the “administrative roads” within the IRAs that the Forest Service intends to use to implement the project.</w:t>
      </w:r>
    </w:p>
    <w:p w14:paraId="6D4FD537" w14:textId="77777777" w:rsidR="0011747D" w:rsidRDefault="00000000">
      <w:pPr>
        <w:pStyle w:val="Heading2"/>
        <w:numPr>
          <w:ilvl w:val="0"/>
          <w:numId w:val="11"/>
        </w:numPr>
        <w:tabs>
          <w:tab w:val="left" w:pos="540"/>
        </w:tabs>
        <w:spacing w:before="0" w:line="276" w:lineRule="auto"/>
        <w:ind w:left="1800"/>
        <w:rPr>
          <w:sz w:val="24"/>
          <w:szCs w:val="24"/>
        </w:rPr>
      </w:pPr>
      <w:r>
        <w:rPr>
          <w:sz w:val="24"/>
          <w:szCs w:val="24"/>
        </w:rPr>
        <w:t>Explains why the skid trails to be “built” within the IRAs does not amount to road construction.</w:t>
      </w:r>
    </w:p>
    <w:p w14:paraId="2AB37DB2" w14:textId="77777777" w:rsidR="0011747D" w:rsidRDefault="00000000">
      <w:pPr>
        <w:pStyle w:val="Heading2"/>
        <w:numPr>
          <w:ilvl w:val="0"/>
          <w:numId w:val="11"/>
        </w:numPr>
        <w:tabs>
          <w:tab w:val="left" w:pos="540"/>
        </w:tabs>
        <w:spacing w:before="0" w:after="240" w:line="276" w:lineRule="auto"/>
        <w:ind w:left="1800"/>
        <w:rPr>
          <w:sz w:val="24"/>
          <w:szCs w:val="24"/>
        </w:rPr>
      </w:pPr>
      <w:r>
        <w:rPr>
          <w:sz w:val="24"/>
          <w:szCs w:val="24"/>
        </w:rPr>
        <w:t>Responds to public comments on the 2023 EA and in this objection, rather than ignoring them.</w:t>
      </w:r>
    </w:p>
    <w:p w14:paraId="42E9D0A2" w14:textId="77777777" w:rsidR="0011747D" w:rsidRDefault="0011747D"/>
    <w:p w14:paraId="1EF5AED2" w14:textId="77777777" w:rsidR="0011747D" w:rsidRDefault="00000000">
      <w:pPr>
        <w:spacing w:after="240" w:line="276" w:lineRule="auto"/>
        <w:ind w:left="1440" w:hanging="720"/>
        <w:rPr>
          <w:b/>
        </w:rPr>
      </w:pPr>
      <w:r>
        <w:rPr>
          <w:b/>
        </w:rPr>
        <w:t xml:space="preserve">D.      </w:t>
      </w:r>
      <w:r>
        <w:rPr>
          <w:b/>
        </w:rPr>
        <w:tab/>
        <w:t>Absent an Exception to the Roadless Rule, Removal of Pinyon and Juniper Trees for This Project Would Violate the Rule.</w:t>
      </w:r>
    </w:p>
    <w:p w14:paraId="52406B34" w14:textId="77777777" w:rsidR="0011747D" w:rsidRDefault="00000000">
      <w:pPr>
        <w:spacing w:before="240" w:after="240" w:line="276" w:lineRule="auto"/>
      </w:pPr>
      <w:r>
        <w:t>The Forest Service cannot argue that the Roadless Rule’s prohibition on tree removal (which reads “[t]</w:t>
      </w:r>
      <w:proofErr w:type="spellStart"/>
      <w:r>
        <w:t>imber</w:t>
      </w:r>
      <w:proofErr w:type="spellEnd"/>
      <w:r>
        <w:t xml:space="preserve"> may not be cut, sold, or removed in inventoried roadless areas of the National Forest System”) does not apply to piñon and juniper trees because trees are not “timber.” 36 C.F.R. § 294.13(a). Such an interpretation would be precedent-setting, and thus would require preparation of an EIS. The preamble to the rule uses the terms “timber” and “trees” interchangeably, indicating that the ban on tree removal applies </w:t>
      </w:r>
      <w:r>
        <w:rPr>
          <w:i/>
        </w:rPr>
        <w:t>to all trees and not just those generally sold for wood products</w:t>
      </w:r>
      <w:r>
        <w:t xml:space="preserve">. Roadless Area Conservation Rule, 66 Fed. Reg. at 3257, 3258 (e.g., “Vegetative management would focus on removing generally small diameter </w:t>
      </w:r>
      <w:r>
        <w:rPr>
          <w:i/>
        </w:rPr>
        <w:t>trees</w:t>
      </w:r>
      <w:r>
        <w:t xml:space="preserve"> while leaving the overstory </w:t>
      </w:r>
      <w:r>
        <w:rPr>
          <w:i/>
        </w:rPr>
        <w:t>trees</w:t>
      </w:r>
      <w:r>
        <w:t xml:space="preserve"> </w:t>
      </w:r>
      <w:proofErr w:type="gramStart"/>
      <w:r>
        <w:t>intact.”</w:t>
      </w:r>
      <w:proofErr w:type="gramEnd"/>
      <w:r>
        <w:t xml:space="preserve">). In any event, the Dixie National </w:t>
      </w:r>
      <w:r>
        <w:lastRenderedPageBreak/>
        <w:t>Forest Plan identifies “pinyon-juniper” as a “Timber Management” issue requiring further research, indicating the Forest considers pinyon and juniper to fit under the definition of “timber.” Dixie National Forest, Land and Resource Management Plan (1986) at II-61. If an exception to the rule is claimed, removal of pinyon and juniper must be infrequent and limited to small diameter trees.</w:t>
      </w:r>
    </w:p>
    <w:p w14:paraId="0C5D9D95" w14:textId="77777777" w:rsidR="0011747D" w:rsidRDefault="00000000">
      <w:pPr>
        <w:spacing w:before="240" w:after="240" w:line="276" w:lineRule="auto"/>
      </w:pPr>
      <w:r>
        <w:t xml:space="preserve">The EA appears to admit that the Roadless Rule, absent an exception, would bar the logging of piñon and juniper trees. </w:t>
      </w:r>
      <w:r>
        <w:rPr>
          <w:i/>
        </w:rPr>
        <w:t>See</w:t>
      </w:r>
      <w:r>
        <w:t xml:space="preserve"> 2024 EA at 100 (“Removal of small diameter trees including mixed conifer, aspen, pinyon and juniper and ponderosa pine would occur in the IRAs.”).</w:t>
      </w:r>
    </w:p>
    <w:p w14:paraId="7E7321FC" w14:textId="77777777" w:rsidR="0011747D" w:rsidRDefault="00000000">
      <w:pPr>
        <w:spacing w:before="240" w:after="240" w:line="276" w:lineRule="auto"/>
      </w:pPr>
      <w:r>
        <w:t>We previously urged the Forest Service to make explicit that the Roadless Rule applies to the removal of piñon and juniper trees.</w:t>
      </w:r>
    </w:p>
    <w:p w14:paraId="21EBBDFB" w14:textId="77777777" w:rsidR="0011747D" w:rsidRDefault="00000000">
      <w:pPr>
        <w:spacing w:before="240" w:after="240" w:line="276" w:lineRule="auto"/>
      </w:pPr>
      <w:r>
        <w:t>The Forest Service failed to do so, or to otherwise respond to this comment, violating NEPA’s mandate that agencies respond to comments.</w:t>
      </w:r>
    </w:p>
    <w:p w14:paraId="6BE3FC5B" w14:textId="77777777" w:rsidR="0011747D" w:rsidRDefault="00000000">
      <w:pPr>
        <w:spacing w:before="240" w:after="240" w:line="276" w:lineRule="auto"/>
        <w:ind w:left="540"/>
      </w:pPr>
      <w:r>
        <w:rPr>
          <w:u w:val="single"/>
        </w:rPr>
        <w:t>Proposed Resolution</w:t>
      </w:r>
      <w:r>
        <w:t>: In any subsequently prepared NEPA document, preferably an EIS, the Forest Service should explicitly state that the Roadless Rule applies to the removal of piñon and juniper trees.</w:t>
      </w:r>
    </w:p>
    <w:p w14:paraId="2455156A" w14:textId="77777777" w:rsidR="0011747D" w:rsidRDefault="00000000">
      <w:pPr>
        <w:spacing w:after="240" w:line="276" w:lineRule="auto"/>
        <w:ind w:left="1440" w:hanging="720"/>
        <w:rPr>
          <w:b/>
        </w:rPr>
      </w:pPr>
      <w:r>
        <w:rPr>
          <w:b/>
        </w:rPr>
        <w:t xml:space="preserve">E.      </w:t>
      </w:r>
      <w:r>
        <w:rPr>
          <w:b/>
        </w:rPr>
        <w:tab/>
        <w:t>The Forest Service Fails to Ensure that Roadless Area Logging Will Be “Infrequent.”</w:t>
      </w:r>
    </w:p>
    <w:p w14:paraId="6F233BC7" w14:textId="77777777" w:rsidR="0011747D" w:rsidRDefault="00000000">
      <w:pPr>
        <w:spacing w:before="240" w:after="240" w:line="276" w:lineRule="auto"/>
      </w:pPr>
      <w:r>
        <w:t>The Roadless Rule “expects” that logging (tree removal) in roadless areas for any purpose will “be infrequent.” 36 C.F.R. § 294.13(b).</w:t>
      </w:r>
    </w:p>
    <w:p w14:paraId="35B92AF1" w14:textId="77777777" w:rsidR="0011747D" w:rsidRDefault="00000000">
      <w:pPr>
        <w:spacing w:before="240" w:after="240" w:line="276" w:lineRule="auto"/>
      </w:pPr>
      <w:r>
        <w:t>Instead, logging in the IRAs in the project will be pervasive, ongoing for up to 20 years, and the Forest Service may conclude that it needs to recur. Logging in the IRAs will thus fail to be infrequent, violating the Rule.</w:t>
      </w:r>
    </w:p>
    <w:p w14:paraId="1BB13DE3" w14:textId="77777777" w:rsidR="0011747D" w:rsidRDefault="00000000">
      <w:pPr>
        <w:spacing w:before="240" w:after="240" w:line="276" w:lineRule="auto"/>
      </w:pPr>
      <w:r>
        <w:t>Logging (tree removal) will occur across more than 3/4s of the Hog Ranch IRA (79%) and more than ½ of the Jake Hollow IRA (58%). 2024 EA at 100. Logging will also occur within 25% of the McGath Lake-Auger Hole, although that figure is misleading, because a significant portion of that IRA is located outside the project area (</w:t>
      </w:r>
      <w:r>
        <w:rPr>
          <w:i/>
        </w:rPr>
        <w:t>see</w:t>
      </w:r>
      <w:r>
        <w:t xml:space="preserve"> map, 2024 EA at 58); that portion could be treated in the future in another project.</w:t>
      </w:r>
    </w:p>
    <w:p w14:paraId="799FFB3D" w14:textId="77777777" w:rsidR="0011747D" w:rsidRDefault="00000000">
      <w:pPr>
        <w:spacing w:before="240" w:after="240" w:line="276" w:lineRule="auto"/>
      </w:pPr>
      <w:r>
        <w:t xml:space="preserve">Logging in the IRAs “would be implemented over a 10–20-year period,” 2024 EA at 100, meaning that those seeking to enjoy the IRAs for their sense of solitude and naturalness will be excluded for nearly a generation. The project will thus degrade “roadless characteristics,” including opportunities for “primitive” recreation and “natural appearing landscapes with high scenic quality” that the Rule requires the Forest Service to protect. 36 C.F.R. § 294.11. The Roadless Brief prepared for the project confirms these harms: “During </w:t>
      </w:r>
      <w:r>
        <w:lastRenderedPageBreak/>
        <w:t>active project work,” which could last 20 years, “due to presence of crews and equipment, opportunities for solitude may be reduced and could impact some visitor’s experience.” Region 4 Roadless Project Summary and Briefing Sheet, 2001 Roadless Rule (May 10, 2024) at 3.</w:t>
      </w:r>
    </w:p>
    <w:p w14:paraId="097641D5" w14:textId="77777777" w:rsidR="0011747D" w:rsidRDefault="00000000">
      <w:pPr>
        <w:spacing w:before="240" w:after="240" w:line="276" w:lineRule="auto"/>
      </w:pPr>
      <w:r>
        <w:t xml:space="preserve">The Forest Service seeks to minimize the frequency of treatments within the IRA by stating that up to 20 years of logging </w:t>
      </w:r>
      <w:r>
        <w:rPr>
          <w:i/>
        </w:rPr>
        <w:t xml:space="preserve">may </w:t>
      </w:r>
      <w:r>
        <w:t xml:space="preserve">result in no need to treat these areas for “close to 100 years,” in the event they achieve their desired goals. 2024 EA at 100. </w:t>
      </w:r>
      <w:proofErr w:type="gramStart"/>
      <w:r>
        <w:t>However</w:t>
      </w:r>
      <w:proofErr w:type="gramEnd"/>
      <w:r>
        <w:t xml:space="preserve"> this means that: (1) if the treatments are unsuccessful (and the 2024 EA does not explain the chances that the project will achieve its objectives), treatment will need to be more frequent; and (2) if the treatments succeed, these IRAs will be being logged </w:t>
      </w:r>
      <w:r>
        <w:rPr>
          <w:i/>
        </w:rPr>
        <w:t>1 out of every 5 years on average</w:t>
      </w:r>
      <w:r>
        <w:t xml:space="preserve"> over the next century. That is hardly “infrequent.” The Forest Service fails to explain why it meets that definition.</w:t>
      </w:r>
    </w:p>
    <w:p w14:paraId="18C846CC" w14:textId="77777777" w:rsidR="0011747D" w:rsidRDefault="00000000">
      <w:pPr>
        <w:spacing w:before="240" w:after="240" w:line="276" w:lineRule="auto"/>
      </w:pPr>
      <w:r>
        <w:t>The EA also vaguely asserts that “[t]his project while spanning many years will attempt to keep disturbances within IRAs as infrequent as possible,” 2024 EA at 101, while providing no definition for what “as infrequent as possible” means, nor by what means the agency will “attempt” to minimize logging’s disturbance. The 2024 EA identifies no mitigation measures for how it would do so. In sum, the agency fails to ensure that logging in these IRAs will be “infrequent,” violating the Roadless Rule.</w:t>
      </w:r>
    </w:p>
    <w:p w14:paraId="5650BF59" w14:textId="77777777" w:rsidR="0011747D" w:rsidRDefault="00000000">
      <w:pPr>
        <w:spacing w:before="240" w:after="240" w:line="276" w:lineRule="auto"/>
        <w:ind w:left="540"/>
      </w:pPr>
      <w:r>
        <w:rPr>
          <w:u w:val="single"/>
        </w:rPr>
        <w:t>Proposed Resolution</w:t>
      </w:r>
      <w:r>
        <w:t>: In any subsequently prepared NEPA document, preferably an EIS, the Forest Service must ensure that any tree removal is “infrequent,” and explain how it would be so.</w:t>
      </w:r>
    </w:p>
    <w:p w14:paraId="72C99EDB" w14:textId="77777777" w:rsidR="0011747D" w:rsidRDefault="00000000">
      <w:pPr>
        <w:spacing w:after="240" w:line="276" w:lineRule="auto"/>
        <w:ind w:left="1440" w:hanging="720"/>
        <w:rPr>
          <w:b/>
        </w:rPr>
      </w:pPr>
      <w:r>
        <w:rPr>
          <w:b/>
        </w:rPr>
        <w:t xml:space="preserve">F.       </w:t>
      </w:r>
      <w:r>
        <w:rPr>
          <w:b/>
        </w:rPr>
        <w:tab/>
        <w:t>The Forest Service Fails to Ensure that Logging Will Be Limited to “Generally Small Diameter Timber.”</w:t>
      </w:r>
    </w:p>
    <w:p w14:paraId="3BE03C7B" w14:textId="77777777" w:rsidR="0011747D" w:rsidRDefault="00000000">
      <w:pPr>
        <w:spacing w:before="240" w:after="240" w:line="276" w:lineRule="auto"/>
      </w:pPr>
      <w:r>
        <w:t xml:space="preserve">The EA fails to explain how it can approve “thinning,” “whole tree yarding,” or other logging and tree removal within individual stands, much less across the entire planning area, without violating the Roadless Rule’s mandate prohibiting tree removal. The Forest Service must explain why and how, </w:t>
      </w:r>
      <w:r>
        <w:rPr>
          <w:i/>
        </w:rPr>
        <w:t>for each stand within each IRA</w:t>
      </w:r>
      <w:r>
        <w:t>, the proposed action complies with the Roadless Rule.</w:t>
      </w:r>
    </w:p>
    <w:p w14:paraId="247D1D84" w14:textId="77777777" w:rsidR="0011747D" w:rsidRDefault="00000000">
      <w:pPr>
        <w:spacing w:before="240" w:after="240" w:line="276" w:lineRule="auto"/>
      </w:pPr>
      <w:r>
        <w:t>The Forest Service contends that it can authorize logging within IRAs under the Roadless Rule exception for logging of “generally small diameter timber.” However, neither the EA nor related documents make that case. To the contrary, the logging proposed for this project will violate this Roadless Rule provision.</w:t>
      </w:r>
    </w:p>
    <w:p w14:paraId="6EE21AD4" w14:textId="77777777" w:rsidR="0011747D" w:rsidRDefault="00000000">
      <w:pPr>
        <w:spacing w:before="240" w:after="240" w:line="276" w:lineRule="auto"/>
      </w:pPr>
      <w:r>
        <w:t xml:space="preserve">In adopting the Roadless Rule, the Department of Agriculture explained that “[t]he intent of the rule is to limit the cutting, sale, or removal of timber </w:t>
      </w:r>
      <w:r>
        <w:rPr>
          <w:i/>
        </w:rPr>
        <w:t xml:space="preserve">to those areas that have become </w:t>
      </w:r>
      <w:r>
        <w:rPr>
          <w:i/>
        </w:rPr>
        <w:lastRenderedPageBreak/>
        <w:t>overgrown with smaller diameter trees</w:t>
      </w:r>
      <w:r>
        <w:t>.” Forest Service, Roadless Area Conservation Rule, 66 Fed. Reg. 3244, 3257 (Jan. 12, 2001) (emphasis added). The Forest Service provides little evidence that the proposed action would do so, or that the area has become overgrown with such trees.</w:t>
      </w:r>
    </w:p>
    <w:p w14:paraId="732C3AF6" w14:textId="77777777" w:rsidR="0011747D" w:rsidRDefault="00000000">
      <w:pPr>
        <w:spacing w:before="240" w:after="240" w:line="276" w:lineRule="auto"/>
      </w:pPr>
      <w:r>
        <w:rPr>
          <w:u w:val="single"/>
        </w:rPr>
        <w:t>EA fails to define “generally small diameter trees.”</w:t>
      </w:r>
      <w:r>
        <w:t xml:space="preserve"> First and foremost, the EA does not provide a definition of “generally small diameter trees.” Based on this same error, the Intermountain Regional Office recently instructed the </w:t>
      </w:r>
      <w:proofErr w:type="spellStart"/>
      <w:r>
        <w:t>Manti_La</w:t>
      </w:r>
      <w:proofErr w:type="spellEnd"/>
      <w:r>
        <w:t xml:space="preserve"> Sal National Forest that a decision memo could not be signed until the Forest defined “generally small diameter timber” in the environmental assessment to be consistent with the Roadless Briefing. See letter of D. Oakeson, Deputy Regional Forester, Intermountain Region to Objector (Apr. 24, 2024) at 2, attached as Ex. 3; Forest Service Intermountain Regional Office, Response to Objections on the Manti-La Sal National Forest Restoration and Fuels Reduction Prescribed Fire Project at 8, attached as Ex. 4.</w:t>
      </w:r>
    </w:p>
    <w:p w14:paraId="02DEEAA1" w14:textId="77777777" w:rsidR="0011747D" w:rsidRDefault="00000000">
      <w:pPr>
        <w:spacing w:before="240" w:after="240" w:line="276" w:lineRule="auto"/>
      </w:pPr>
      <w:r>
        <w:rPr>
          <w:u w:val="single"/>
        </w:rPr>
        <w:t>The project will remove large diameter trees</w:t>
      </w:r>
      <w:r>
        <w:t>. Second, the EA makes clear that the project will remove large diameter trees. Several of the specific types of logging that the proposed action would authorize target larger trees or authorize logging without limits on the size of tree to be logged, thus failing to ensure that the Forest Service would meet the Rule’s mandate to remove “generally small diameter” trees.</w:t>
      </w:r>
    </w:p>
    <w:p w14:paraId="3CDBCE52" w14:textId="77777777" w:rsidR="0011747D" w:rsidRDefault="00000000">
      <w:pPr>
        <w:spacing w:before="240" w:after="240" w:line="276" w:lineRule="auto"/>
      </w:pPr>
      <w:r>
        <w:t>For example, thinning in the “aspen vegetation type” will involve “[r]</w:t>
      </w:r>
      <w:proofErr w:type="spellStart"/>
      <w:r>
        <w:t>emov</w:t>
      </w:r>
      <w:proofErr w:type="spellEnd"/>
      <w:r>
        <w:t>[</w:t>
      </w:r>
      <w:proofErr w:type="spellStart"/>
      <w:r>
        <w:t>ing</w:t>
      </w:r>
      <w:proofErr w:type="spellEnd"/>
      <w:r>
        <w:t xml:space="preserve">] </w:t>
      </w:r>
      <w:r>
        <w:rPr>
          <w:i/>
        </w:rPr>
        <w:t>larger</w:t>
      </w:r>
      <w:r>
        <w:t xml:space="preserve"> conifers from within stands of aspen to reset the succession back to aspen.” 2024 EA at 43 (emphasis added). By targeting “larger” conifers, the proposed action will do precisely the opposite of the Roadless Rule’s mandate. The EA does not assert that aspen stands have become “overgrown with smaller diameter trees,” but instead that they include larger trees of the wrong type. The Roadless Rule does not authorize logging in such situations.</w:t>
      </w:r>
    </w:p>
    <w:p w14:paraId="57870398" w14:textId="77777777" w:rsidR="0011747D" w:rsidRDefault="00000000">
      <w:pPr>
        <w:spacing w:before="240" w:after="240" w:line="276" w:lineRule="auto"/>
      </w:pPr>
      <w:r>
        <w:t>In addition, in mixed-conifer, spruce/fir, and ponderosa pine forests, thinning will involve “[r]</w:t>
      </w:r>
      <w:proofErr w:type="spellStart"/>
      <w:r>
        <w:t>eleas</w:t>
      </w:r>
      <w:proofErr w:type="spellEnd"/>
      <w:r>
        <w:t>[</w:t>
      </w:r>
      <w:proofErr w:type="spellStart"/>
      <w:r>
        <w:t>ing</w:t>
      </w:r>
      <w:proofErr w:type="spellEnd"/>
      <w:r>
        <w:t>] seral aspen clones from conifer competition” by removing “conifers within 10 feet of the canopy drip line of any aspen 10 inches DBH or larger.” 2024 EA at 43. The EA does not place any limit on the size of conifers removed, or any direction to remove only “generally small” conifers, nor does it allege that these conifers will be generally small.</w:t>
      </w:r>
    </w:p>
    <w:p w14:paraId="71A1CCF6" w14:textId="77777777" w:rsidR="0011747D" w:rsidRDefault="00000000">
      <w:pPr>
        <w:spacing w:before="240" w:after="240" w:line="276" w:lineRule="auto"/>
      </w:pPr>
      <w:r>
        <w:t xml:space="preserve">The proposed action would also authorize 9,588 acres of “aspen restoration,” involving the “removal of competing conifer trees from within and surrounding aspen,” again without any limit on the size of conifers to be logged, or any allegation that the area is overgrown with small trees. 2024 EA at 35. If logging is necessary to remove conifers as competition, these are likely to be larger conifers that are shading out smaller aspen. </w:t>
      </w:r>
      <w:r>
        <w:rPr>
          <w:i/>
        </w:rPr>
        <w:t xml:space="preserve">See </w:t>
      </w:r>
      <w:r>
        <w:t>USDA Forest Service, Hungry Creek Vegetation Improvement Project Effects</w:t>
      </w:r>
      <w:r>
        <w:rPr>
          <w:i/>
        </w:rPr>
        <w:t xml:space="preserve"> </w:t>
      </w:r>
      <w:r>
        <w:t xml:space="preserve">Analysis, “Forestry, Silviculture and Vegetation Report” (revised Mar. 29, 2024) at 11 (noting that “[t]he </w:t>
      </w:r>
      <w:r>
        <w:lastRenderedPageBreak/>
        <w:t xml:space="preserve">percentage of aspen </w:t>
      </w:r>
      <w:r>
        <w:rPr>
          <w:i/>
        </w:rPr>
        <w:t>in the overstory</w:t>
      </w:r>
      <w:r>
        <w:t xml:space="preserve"> of mature seral stands is declining due to forest succession as conifer species </w:t>
      </w:r>
      <w:r>
        <w:rPr>
          <w:i/>
        </w:rPr>
        <w:t>continue to over-top aspen</w:t>
      </w:r>
      <w:r>
        <w:t xml:space="preserve"> clones,” meaning that logging conifer in these stands would remove the largest, overtopping trees (emphasis added)), in USFS project file.</w:t>
      </w:r>
    </w:p>
    <w:p w14:paraId="6740E509" w14:textId="77777777" w:rsidR="0011747D" w:rsidRDefault="00000000">
      <w:pPr>
        <w:spacing w:before="240" w:after="240" w:line="276" w:lineRule="auto"/>
      </w:pPr>
      <w:r>
        <w:t xml:space="preserve">The 2024 EA now contains a “project design feature” that may limit the logging of </w:t>
      </w:r>
      <w:r>
        <w:rPr>
          <w:i/>
        </w:rPr>
        <w:t>some</w:t>
      </w:r>
      <w:r>
        <w:t xml:space="preserve"> of the largest conifers, but that does not ensure that logging will be limited to “generally small diameter” trees. The EA states: “Within areas identified for Aspen Restoration treatment, avoid the cutting of large conifers &gt; 18” </w:t>
      </w:r>
      <w:proofErr w:type="spellStart"/>
      <w:r>
        <w:t>dbh</w:t>
      </w:r>
      <w:proofErr w:type="spellEnd"/>
      <w:r>
        <w:t xml:space="preserve"> that established prior to the aspen clone (clearly larger and taller than the main aspen canopy) unless necessary for safety reasons.” 2024 EA at 54. But the EA fails to assess the environmental impacts of this measure which still contemplates the removal of larger conifers – those 18” DBH or greater – if they are not “clearly larger and taller” than nearby aspen. The vague and undefined terms “clearly larger and taller” leaves room for large diameter trees that aren’t “clearly … taller.” The safety exception also allows the largest trees to be logged. Nor does the EA disclose whether trees less than 18” </w:t>
      </w:r>
      <w:proofErr w:type="spellStart"/>
      <w:r>
        <w:t>dbh</w:t>
      </w:r>
      <w:proofErr w:type="spellEnd"/>
      <w:r>
        <w:t xml:space="preserve"> are considered “small diameter.” Because the Forest Service fails to disclose the impact of this measure, it cannot conclude that the project will remove only “general small diameter trees,” as the law requires.</w:t>
      </w:r>
    </w:p>
    <w:p w14:paraId="3F9F8B39" w14:textId="77777777" w:rsidR="0011747D" w:rsidRDefault="00000000">
      <w:pPr>
        <w:spacing w:before="240" w:after="240" w:line="276" w:lineRule="auto"/>
      </w:pPr>
      <w:r>
        <w:t>The EA’s brief descriptions of “thinning” fails to include any description or limits on the type or size of trees that can be cut down in IRAs, or the nature of the stands in areas to be thinned or yarded. For example, “thinning” in spruce/fir vegetation type would include reducing the basal area to 70 ft</w:t>
      </w:r>
      <w:r>
        <w:rPr>
          <w:vertAlign w:val="superscript"/>
        </w:rPr>
        <w:t>2</w:t>
      </w:r>
      <w:r>
        <w:t xml:space="preserve"> per acre. 2024 EA at 42. The prescription places no limits on the size of </w:t>
      </w:r>
      <w:proofErr w:type="gramStart"/>
      <w:r>
        <w:t>tree</w:t>
      </w:r>
      <w:proofErr w:type="gramEnd"/>
      <w:r>
        <w:t xml:space="preserve"> to be removed. For virtually every other forest type to be thinned, the only limits relate to basal area; the description contains no diameter limits or definition of small diameter trees. 2024 EA at 42-46.</w:t>
      </w:r>
    </w:p>
    <w:p w14:paraId="66ACD455" w14:textId="77777777" w:rsidR="0011747D" w:rsidRDefault="00000000">
      <w:pPr>
        <w:spacing w:before="240" w:after="240" w:line="276" w:lineRule="auto"/>
      </w:pPr>
      <w:r>
        <w:t>The EA asserts that “[p]</w:t>
      </w:r>
      <w:proofErr w:type="spellStart"/>
      <w:r>
        <w:t>rior</w:t>
      </w:r>
      <w:proofErr w:type="spellEnd"/>
      <w:r>
        <w:t xml:space="preserve"> to implementing proposed activities an Interdisciplinary Team would use an implementation checklist (see Appendix 1) to ensure necessary design features, policy requirements, and/or concern mitigations are addressed.” 2024 EA at 46. Nothing in the checklist places any limits on tree removal in IRAs based on size.</w:t>
      </w:r>
    </w:p>
    <w:p w14:paraId="0F5ABDCA" w14:textId="77777777" w:rsidR="0011747D" w:rsidRDefault="00000000">
      <w:pPr>
        <w:spacing w:before="240" w:after="240" w:line="276" w:lineRule="auto"/>
      </w:pPr>
      <w:r>
        <w:t>The EA fails entirely to describe what “whole tree yarding” will entail, or how it will remove “generally small diameter” trees.</w:t>
      </w:r>
    </w:p>
    <w:p w14:paraId="272F99FE" w14:textId="77777777" w:rsidR="0011747D" w:rsidRDefault="00000000">
      <w:pPr>
        <w:spacing w:before="240" w:after="240" w:line="276" w:lineRule="auto"/>
      </w:pPr>
      <w:r>
        <w:rPr>
          <w:u w:val="single"/>
        </w:rPr>
        <w:t>The project will not remove generally small diameter trees</w:t>
      </w:r>
      <w:r>
        <w:t>. The EA and supporting documents contain little information about what size trees the project will remove to attain its basal area targets. And what information it does contain indicates that the project will not remove generally small diameter trees.</w:t>
      </w:r>
    </w:p>
    <w:p w14:paraId="6833742C" w14:textId="77777777" w:rsidR="0011747D" w:rsidRDefault="00000000">
      <w:pPr>
        <w:spacing w:before="240" w:after="240" w:line="276" w:lineRule="auto"/>
      </w:pPr>
      <w:r>
        <w:lastRenderedPageBreak/>
        <w:t>The most explicit statement concerning the size of trees the project will remove is found not in the EA but in the Roadless Briefing Sheet, which contradicts the notion that the project will remove the small diameter trees:</w:t>
      </w:r>
    </w:p>
    <w:p w14:paraId="18FCA017" w14:textId="77777777" w:rsidR="0011747D" w:rsidRDefault="00000000">
      <w:pPr>
        <w:spacing w:before="240" w:after="240" w:line="276" w:lineRule="auto"/>
        <w:ind w:left="720" w:right="720"/>
      </w:pPr>
      <w:r>
        <w:t>The average diameter for removal is anticipated to be 8-14 inches. Under regional guidance the smallest diameter non-saw merchantable timber is 8” Diameter at Breast Height (DBH). Historical markets show 10-14” diameter is the smallest diameter considered feasible for harvest.”</w:t>
      </w:r>
    </w:p>
    <w:p w14:paraId="2E965F9C" w14:textId="77777777" w:rsidR="0011747D" w:rsidRDefault="00000000">
      <w:pPr>
        <w:spacing w:before="240" w:after="240" w:line="276" w:lineRule="auto"/>
      </w:pPr>
      <w:r>
        <w:t>Region 4 Roadless Project Summary and Briefing Sheet, 2001 Roadless Rule (May 10, 2024) at 2-3, in USFS project file.</w:t>
      </w:r>
    </w:p>
    <w:p w14:paraId="59DEA190" w14:textId="77777777" w:rsidR="0011747D" w:rsidRDefault="00000000">
      <w:pPr>
        <w:spacing w:before="240" w:after="240" w:line="276" w:lineRule="auto"/>
      </w:pPr>
      <w:r>
        <w:t xml:space="preserve">This statement does not clarify whether the project will comply with the Roadless Rule’s command that the agency can authorize the removal of generally small diameter trees, and then only under certain conditions. An “average” of 8-14 inches in diameter is not an average at all but a broad range. A 14-inch DBH tree has a 75% greater diameter and has </w:t>
      </w:r>
      <w:r>
        <w:rPr>
          <w:i/>
        </w:rPr>
        <w:t xml:space="preserve">three times </w:t>
      </w:r>
      <w:r>
        <w:t xml:space="preserve">the basal area of an 8-inch DBH tree. The two are vastly different. Because this statement discusses an “average,” it doesn’t make clear whether </w:t>
      </w:r>
      <w:proofErr w:type="gramStart"/>
      <w:r>
        <w:t>the vast majority of</w:t>
      </w:r>
      <w:proofErr w:type="gramEnd"/>
      <w:r>
        <w:t xml:space="preserve"> trees (the “general” type of tree) removed will be smaller, or whether two-thirds of the trees will be somewhat above the average, and a smaller number will be well below the average.</w:t>
      </w:r>
    </w:p>
    <w:p w14:paraId="4CE8EC80" w14:textId="77777777" w:rsidR="0011747D" w:rsidRDefault="00000000">
      <w:pPr>
        <w:spacing w:before="240" w:after="240" w:line="276" w:lineRule="auto"/>
      </w:pPr>
      <w:r>
        <w:t xml:space="preserve">The Roadless Briefing’s statement also appears to assume that the Roadless Rule limits the removal of trees that are the smallest diameter for </w:t>
      </w:r>
      <w:r>
        <w:rPr>
          <w:i/>
        </w:rPr>
        <w:t>commercial harvest</w:t>
      </w:r>
      <w:r>
        <w:t xml:space="preserve">. This assumption is false. The Rule bars the “cutting, sale, </w:t>
      </w:r>
      <w:r>
        <w:rPr>
          <w:i/>
        </w:rPr>
        <w:t>or removal</w:t>
      </w:r>
      <w:r>
        <w:t xml:space="preserve">” of timber. By including “sale” (which means commercial harvest) and separately “removal,” the regulation clearly distinguishes between the two and contemplates that not only the commercial “sale” but </w:t>
      </w:r>
      <w:r>
        <w:rPr>
          <w:i/>
        </w:rPr>
        <w:t>also</w:t>
      </w:r>
      <w:r>
        <w:t xml:space="preserve"> the “removal” of trees is banned. Further, the Rule’s preamble states that Rule’s intent “is to limit the cutting, sale, or removal of timber </w:t>
      </w:r>
      <w:r>
        <w:rPr>
          <w:i/>
        </w:rPr>
        <w:t>to those areas that have become overgrown with smaller diameter trees</w:t>
      </w:r>
      <w:r>
        <w:t>,” specifically where those small trees have become fire hazards. 66 Fed. Reg. at 3257 (emphasis added). The Rule in no way indicates it was meant to limit tree removal to those areas that have become overgrown with too many trees that would support a commercially viable timber sale.</w:t>
      </w:r>
    </w:p>
    <w:p w14:paraId="1EC5C684" w14:textId="77777777" w:rsidR="0011747D" w:rsidRDefault="00000000">
      <w:pPr>
        <w:spacing w:before="240" w:after="240" w:line="276" w:lineRule="auto"/>
      </w:pPr>
      <w:r>
        <w:t xml:space="preserve">Further, the statement that “the average diameter for removal is anticipated to be 8-14 inches” indicates that in many cases the project will target generally middle-sized trees, not those of small diameter. For example, the project intends to target the “overabundance of the </w:t>
      </w:r>
      <w:r>
        <w:rPr>
          <w:i/>
        </w:rPr>
        <w:t>medium size classes</w:t>
      </w:r>
      <w:r>
        <w:t xml:space="preserve"> (5-11.9” and 12-17.9”)” of ponderosa pine because there are virtually no small ponderosa pine trees: “the ponderosa pine type show[s] a pronounced lack of early successional forest.” 2024 EA at 23 (emphasis added).</w:t>
      </w:r>
    </w:p>
    <w:p w14:paraId="245D6B87" w14:textId="77777777" w:rsidR="0011747D" w:rsidRDefault="00000000">
      <w:pPr>
        <w:spacing w:before="240" w:after="240" w:line="276" w:lineRule="auto"/>
      </w:pPr>
      <w:r>
        <w:lastRenderedPageBreak/>
        <w:t xml:space="preserve">With respect to aspen, logging trees up to 14 inches in diameter will mean removing some of the largest aspen on the landscape. The EA indicates that aspen in the </w:t>
      </w:r>
      <w:proofErr w:type="gramStart"/>
      <w:r>
        <w:t>5-12 inch</w:t>
      </w:r>
      <w:proofErr w:type="gramEnd"/>
      <w:r>
        <w:t xml:space="preserve"> diameter class are “mature aspen stems,” and that there are no aspen larger than 18 inches in diameter. 2024 EA at 20. </w:t>
      </w:r>
      <w:proofErr w:type="gramStart"/>
      <w:r>
        <w:t>Thus</w:t>
      </w:r>
      <w:proofErr w:type="gramEnd"/>
      <w:r>
        <w:t xml:space="preserve"> logging trees an “average [of] 8-14 inches” would be removing larger mature aspen trees.</w:t>
      </w:r>
    </w:p>
    <w:p w14:paraId="2EF2EF03" w14:textId="77777777" w:rsidR="0011747D" w:rsidRDefault="00000000">
      <w:pPr>
        <w:spacing w:before="240" w:after="240" w:line="276" w:lineRule="auto"/>
      </w:pPr>
      <w:r>
        <w:t>Logging pinyon-juniper will also require logging larger, not smaller, trees because “[m]</w:t>
      </w:r>
      <w:proofErr w:type="spellStart"/>
      <w:r>
        <w:t>ost</w:t>
      </w:r>
      <w:proofErr w:type="spellEnd"/>
      <w:r>
        <w:t xml:space="preserve"> of the pinyon-juniper stands are mature.” 2024 EA at 26.</w:t>
      </w:r>
    </w:p>
    <w:p w14:paraId="38C81F2E" w14:textId="77777777" w:rsidR="0011747D" w:rsidRDefault="00000000">
      <w:pPr>
        <w:spacing w:before="240" w:after="240" w:line="276" w:lineRule="auto"/>
      </w:pPr>
      <w:r>
        <w:t xml:space="preserve">The EA indicates that logging in mixed conifer will target the “overabundance of the small </w:t>
      </w:r>
      <w:r>
        <w:rPr>
          <w:i/>
        </w:rPr>
        <w:t>to medium</w:t>
      </w:r>
      <w:r>
        <w:t xml:space="preserve"> size classes (5-11.9”),” 2024 EA at 16, but not the smallest trees (in VSS 1 and 2) which are “lacking” on the landscape. Thus, logging trees up to an “average” of 14 inches in diameter will remove, on average, medium sized trees or larger.</w:t>
      </w:r>
    </w:p>
    <w:p w14:paraId="7061006C" w14:textId="77777777" w:rsidR="0011747D" w:rsidRDefault="00000000">
      <w:pPr>
        <w:spacing w:before="240" w:after="240" w:line="276" w:lineRule="auto"/>
      </w:pPr>
      <w:r>
        <w:t>In short, the Roadless Briefing Sheet’s statement that the “average diameter for removal is anticipated to be 8-14 inches” does not ensure that project logging in IRAs will remove generally small diameter trees.</w:t>
      </w:r>
    </w:p>
    <w:p w14:paraId="545A31D5" w14:textId="77777777" w:rsidR="0011747D" w:rsidRDefault="00000000">
      <w:pPr>
        <w:spacing w:before="240" w:after="240" w:line="276" w:lineRule="auto"/>
      </w:pPr>
      <w:r>
        <w:rPr>
          <w:u w:val="single"/>
        </w:rPr>
        <w:t>The EA’s explanation of how the project will allegedly comply with the Roadless Rule does not do so</w:t>
      </w:r>
      <w:r>
        <w:t>. The 2024 EA contains little more than four sentences addressing how the project will comply with the Roadless Rule’s mandate that logging in IRAs can only occur if it involves the removal of generally small diameter trees. Those sentences read:</w:t>
      </w:r>
    </w:p>
    <w:p w14:paraId="2336A94C" w14:textId="77777777" w:rsidR="0011747D" w:rsidRDefault="00000000">
      <w:pPr>
        <w:spacing w:after="240" w:line="276" w:lineRule="auto"/>
        <w:ind w:left="720" w:right="720"/>
      </w:pPr>
      <w:r>
        <w:t xml:space="preserve">Removal of generally small diameter trees including mixed conifer, aspen, pinyon and juniper and ponderosa pine would occur in the IRAs. These treatments would focus on trees in VSS 4 and below (for mixed conifer, ponderosa, and aspen) and strive to maintain </w:t>
      </w:r>
      <w:proofErr w:type="gramStart"/>
      <w:r>
        <w:t>the VSS</w:t>
      </w:r>
      <w:proofErr w:type="gramEnd"/>
      <w:r>
        <w:t xml:space="preserve"> 5 and 6. Likewise within pinyon and juniper stands treatments would be geared to treating smaller diameter trees. This would benefit the vegetative characteristics of the IRAs by thinning out the understory and promoting retention of stands with mature and old growth characteristics. See the Vegetation and Forestry Report for additional details.</w:t>
      </w:r>
    </w:p>
    <w:p w14:paraId="03099830" w14:textId="77777777" w:rsidR="0011747D" w:rsidRDefault="00000000">
      <w:pPr>
        <w:spacing w:before="240" w:after="240" w:line="276" w:lineRule="auto"/>
      </w:pPr>
      <w:r>
        <w:t>2024 EA at 100.</w:t>
      </w:r>
    </w:p>
    <w:p w14:paraId="2220192B" w14:textId="77777777" w:rsidR="0011747D" w:rsidRDefault="00000000">
      <w:pPr>
        <w:spacing w:before="240" w:after="240" w:line="276" w:lineRule="auto"/>
      </w:pPr>
      <w:r>
        <w:t>None of these sentences ensures compliance with the Roadless Rule.</w:t>
      </w:r>
    </w:p>
    <w:p w14:paraId="44725526" w14:textId="77777777" w:rsidR="0011747D" w:rsidRDefault="00000000">
      <w:pPr>
        <w:spacing w:before="240" w:after="240" w:line="276" w:lineRule="auto"/>
      </w:pPr>
      <w:r>
        <w:t>First, the EA fails to define or distinguish between small, medium, and large diameter trees, nor does it provide any information about the nature of trees to be logged within IRAs at the stand level, as the Roadless Rule preamble directed. This contradicts the Roadless Rule preamble’s assumption that the Forest Service would make “</w:t>
      </w:r>
      <w:r>
        <w:rPr>
          <w:i/>
        </w:rPr>
        <w:t xml:space="preserve">determinations of what constitutes </w:t>
      </w:r>
      <w:r>
        <w:t>‘</w:t>
      </w:r>
      <w:r>
        <w:rPr>
          <w:i/>
        </w:rPr>
        <w:t>generally small diameter timber</w:t>
      </w:r>
      <w:r>
        <w:t>’”</w:t>
      </w:r>
      <w:r>
        <w:rPr>
          <w:i/>
        </w:rPr>
        <w:t xml:space="preserve"> </w:t>
      </w:r>
      <w:r>
        <w:t xml:space="preserve">and would </w:t>
      </w:r>
      <w:r>
        <w:rPr>
          <w:i/>
        </w:rPr>
        <w:t>“</w:t>
      </w:r>
      <w:r>
        <w:t xml:space="preserve">consider how the cutting or </w:t>
      </w:r>
      <w:r>
        <w:lastRenderedPageBreak/>
        <w:t xml:space="preserve">removal of various size classes of trees would affect the potential for future development </w:t>
      </w:r>
      <w:r>
        <w:rPr>
          <w:i/>
        </w:rPr>
        <w:t>of the stand</w:t>
      </w:r>
      <w:r>
        <w:t>, and the characteristics and interrelationships of plant and animal communities associated with the site and the overall landscape.” Forest Service, Roadless Area Conservation Rule, 66 Fed. Reg. 3244, 3258 (Jan. 12, 2001) (emphasis added).</w:t>
      </w:r>
    </w:p>
    <w:p w14:paraId="71396B11" w14:textId="77777777" w:rsidR="0011747D" w:rsidRDefault="00000000">
      <w:pPr>
        <w:spacing w:before="240" w:after="240" w:line="276" w:lineRule="auto"/>
      </w:pPr>
      <w:r>
        <w:t xml:space="preserve">Here, the EA nowhere “determines” what constitutes a small diameter tree, let alone does so at the </w:t>
      </w:r>
      <w:r>
        <w:rPr>
          <w:i/>
        </w:rPr>
        <w:t>stand level</w:t>
      </w:r>
      <w:r>
        <w:t xml:space="preserve"> as the Rule’s preamble indicates. (In fact, neither the EA nor any of the supporting documents identifies the nature of the forests within the IRAs, as opposed to across the entire project area.) Thus, the public is left only with the agency’s bald assertion that the trees logged will be “small” without evidence of any kind, or any limits on the size of trees to be removed.</w:t>
      </w:r>
      <w:r>
        <w:rPr>
          <w:vertAlign w:val="superscript"/>
        </w:rPr>
        <w:footnoteReference w:id="19"/>
      </w:r>
    </w:p>
    <w:p w14:paraId="42CD6A54" w14:textId="77777777" w:rsidR="0011747D" w:rsidRDefault="00000000">
      <w:pPr>
        <w:spacing w:before="240" w:after="240" w:line="276" w:lineRule="auto"/>
      </w:pPr>
      <w:r>
        <w:t>Second, even if the statement that treatments in IRAs “would focus on trees in VSS 4 and below (for mixed conifer, ponderosa, and aspen) and strive to maintain the VSS 5 and 6,” 2024 EA at 100, is meant to define what constitutes “generally small diameter trees” as those VSS 4 and below, the EA’s description of the proposed action does not ensure that “generally small diameter trees” would be removed. See discussion above.</w:t>
      </w:r>
    </w:p>
    <w:p w14:paraId="5D74FBCB" w14:textId="77777777" w:rsidR="0011747D" w:rsidRDefault="00000000">
      <w:pPr>
        <w:spacing w:before="240" w:after="240" w:line="276" w:lineRule="auto"/>
      </w:pPr>
      <w:r>
        <w:t xml:space="preserve">Further, for each of these forest types, the Forest Service identifies VSS 4 trees as “Mid-Age Forest” and having a diameter between 12 and 18 inches. 2024 EA at 13. The 2023 silviculturist confirms this. </w:t>
      </w:r>
      <w:r>
        <w:rPr>
          <w:i/>
        </w:rPr>
        <w:t>See</w:t>
      </w:r>
      <w:r>
        <w:t xml:space="preserve"> B. Hoppus, Silviculturist, USDA Forest Service - Hungry Creek Vegetation Improvement Project Effects Analysis (July 17, 2023) (“2023 Silviculturist Report”) at 12 (table displaying existing VSS distribution “for a representative aspen stand”</w:t>
      </w:r>
      <w:proofErr w:type="gramStart"/>
      <w:r>
        <w:t>);</w:t>
      </w:r>
      <w:proofErr w:type="gramEnd"/>
      <w:r>
        <w:t xml:space="preserve"> </w:t>
      </w:r>
      <w:r>
        <w:rPr>
          <w:i/>
        </w:rPr>
        <w:t>id</w:t>
      </w:r>
      <w:r>
        <w:t xml:space="preserve">. at 14 (same for a “representative mixed conifer stand”); </w:t>
      </w:r>
      <w:r>
        <w:rPr>
          <w:i/>
        </w:rPr>
        <w:t>id</w:t>
      </w:r>
      <w:r>
        <w:t xml:space="preserve">. at 17 (same for a “for a representative Ponderosa pine stand”). This means aspen, ponderosa, and mixed conifer (which includes a variety of species including ponderosa pine, Douglas fir, White fir, Limber pine, </w:t>
      </w:r>
      <w:proofErr w:type="gramStart"/>
      <w:r>
        <w:t>Blue</w:t>
      </w:r>
      <w:proofErr w:type="gramEnd"/>
      <w:r>
        <w:t xml:space="preserve"> spruce, and aspen (</w:t>
      </w:r>
      <w:r>
        <w:rPr>
          <w:i/>
        </w:rPr>
        <w:t>see</w:t>
      </w:r>
      <w:r>
        <w:t xml:space="preserve"> 2023 Silviculturist Report at 13)) up to 18 inches DBH will be the “focus” of removal.</w:t>
      </w:r>
    </w:p>
    <w:p w14:paraId="6BEC8E6F" w14:textId="77777777" w:rsidR="0011747D" w:rsidRDefault="00000000">
      <w:pPr>
        <w:spacing w:before="240" w:after="240" w:line="276" w:lineRule="auto"/>
      </w:pPr>
      <w:r>
        <w:t xml:space="preserve">The Forest Service provides no description or evidence to explain by what definition an aspen, ponderosa, or species within the mixed conifer type would be considered “small.” The EA fails to explain why 18 inches in diameter is “small” for each of these half-dozen species. Note that, to the contrary, Forest Service reports identified aspen old growth to include trees 14 inches DBH, indicating that logging aspen in VSS 4 will be removing some of the largest, not “generally small diameter,” trees of that species. </w:t>
      </w:r>
      <w:r>
        <w:rPr>
          <w:i/>
        </w:rPr>
        <w:t>See</w:t>
      </w:r>
      <w:r>
        <w:t xml:space="preserve"> U.S. Forest Service, Old-Growth Forests in the Southwest and Rocky Mountain Regions (Mar. 1992), General Tech. Report RM-213, available at</w:t>
      </w:r>
      <w:hyperlink r:id="rId11">
        <w:r>
          <w:t xml:space="preserve"> </w:t>
        </w:r>
      </w:hyperlink>
      <w:hyperlink r:id="rId12">
        <w:r>
          <w:rPr>
            <w:color w:val="1155CC"/>
            <w:u w:val="single"/>
          </w:rPr>
          <w:t>https://www.fs.usda.gov/rm/pubs_series/rm/gtr/rm_gtr213.pdf</w:t>
        </w:r>
      </w:hyperlink>
      <w:r>
        <w:t xml:space="preserve">. Nor does the Forest Service provide evidence or scholarly support for its conclusion that aspen, ponderosa, Douglas fir, White fir, Limber pine, </w:t>
      </w:r>
      <w:proofErr w:type="gramStart"/>
      <w:r>
        <w:t>Blue</w:t>
      </w:r>
      <w:proofErr w:type="gramEnd"/>
      <w:r>
        <w:t xml:space="preserve"> spruce are </w:t>
      </w:r>
      <w:r>
        <w:rPr>
          <w:i/>
        </w:rPr>
        <w:t>all identical,</w:t>
      </w:r>
      <w:r>
        <w:t xml:space="preserve"> in that 12-18 inches DBH is considered the size of a middle-aged tree for </w:t>
      </w:r>
      <w:r>
        <w:rPr>
          <w:i/>
        </w:rPr>
        <w:t>each and every one of these species without any variation</w:t>
      </w:r>
      <w:r>
        <w:t>.</w:t>
      </w:r>
    </w:p>
    <w:p w14:paraId="6D21238B" w14:textId="77777777" w:rsidR="0011747D" w:rsidRDefault="00000000">
      <w:pPr>
        <w:spacing w:before="240" w:after="240" w:line="276" w:lineRule="auto"/>
      </w:pPr>
      <w:r>
        <w:t>The EA’s statement that the proposed action would “strive to maintain the VSS 5 and 6,” 2024 EA at 100, does not bar logging these very largest trees, nor of medium sized trees, nor does it explain where or under what circumstances, or how many of, such large trees may be removed from roadless area forests, again making it impossible to tell whether the agency will comply with the law.</w:t>
      </w:r>
    </w:p>
    <w:p w14:paraId="2B5D8901" w14:textId="77777777" w:rsidR="0011747D" w:rsidRDefault="00000000">
      <w:pPr>
        <w:spacing w:before="240" w:after="240" w:line="276" w:lineRule="auto"/>
      </w:pPr>
      <w:r>
        <w:t xml:space="preserve">Third, the statement that “within pinyon and juniper stands treatments would be geared to treating smaller diameter trees” is simply an assertion backed with no evidence and no design criteria. How will the Forest Service and the contractor ensure that no medium or large pinyon or juniper trees will be logged, when the EA provides no definition of a small-diameter pinyon or juniper tree, nor does it limit logging in P-J to a tree of any </w:t>
      </w:r>
      <w:proofErr w:type="gramStart"/>
      <w:r>
        <w:t>particular size</w:t>
      </w:r>
      <w:proofErr w:type="gramEnd"/>
      <w:r>
        <w:t>. It would be arbitrary and capricious for the agency to rely on this unsupported allegation.</w:t>
      </w:r>
    </w:p>
    <w:p w14:paraId="3E5DA86E" w14:textId="77777777" w:rsidR="0011747D" w:rsidRDefault="00000000">
      <w:pPr>
        <w:spacing w:before="240" w:after="240" w:line="276" w:lineRule="auto"/>
      </w:pPr>
      <w:r>
        <w:t xml:space="preserve">The EA cites one other document – an “IRA Characteristics Worksheets” – as supporting the Forest Service’s determination that the project complies with the Roadless Rule. While the IRA Worksheets allege that logging will benefit IRAs, it fails to address at all the size of trees that the project will remove. </w:t>
      </w:r>
      <w:r>
        <w:rPr>
          <w:i/>
        </w:rPr>
        <w:t>See</w:t>
      </w:r>
      <w:r>
        <w:t xml:space="preserve"> IRA Worksheets, in USFS project file.</w:t>
      </w:r>
    </w:p>
    <w:p w14:paraId="2A135F3A" w14:textId="77777777" w:rsidR="0011747D" w:rsidRDefault="00000000">
      <w:pPr>
        <w:spacing w:before="240" w:after="240" w:line="276" w:lineRule="auto"/>
      </w:pPr>
      <w:r>
        <w:t xml:space="preserve">The Forest Service could have clarified its compliance with the Roadless Rule by providing explicit design features to limit tree removal to generally small trees as identified by stand and species type with specific diameter limits to comply with the Roadless Rule. But the EA contains no design features limiting the size of trees to be logged in IRAs – or any design features specifically tailored to protect IRAs’ special values or to ensure the compliance with laws related to Roadless Area management. </w:t>
      </w:r>
      <w:r>
        <w:rPr>
          <w:i/>
        </w:rPr>
        <w:t>See</w:t>
      </w:r>
      <w:r>
        <w:t xml:space="preserve"> 2024 EA at 47-56 (listing project design features). To the contrary, one design feature indicates that logging may involve removal of some trees greater than 14 inches DBH. 2024 EA at 54 (“TM-9. To prevent spruce beetle spread, all live or recently killed Engelmann spruce felled or pushed over, which exceed 14 inches diameter and 18 inches in length, shall be skidded to a designated landing for disposal.”). As noted above, the Roadless Rule preamble indicates that before the agency can use the exception permitting logging within IRAs, it must undertake a </w:t>
      </w:r>
      <w:r>
        <w:rPr>
          <w:i/>
        </w:rPr>
        <w:t>site-</w:t>
      </w:r>
      <w:r>
        <w:rPr>
          <w:i/>
        </w:rPr>
        <w:lastRenderedPageBreak/>
        <w:t>specific analysis</w:t>
      </w:r>
      <w:r>
        <w:t xml:space="preserve"> to determine the </w:t>
      </w:r>
      <w:r>
        <w:rPr>
          <w:i/>
        </w:rPr>
        <w:t>nature of individual stands to be logged</w:t>
      </w:r>
      <w:r>
        <w:t>. The EA does not attempt to undertake such analysis.</w:t>
      </w:r>
      <w:r>
        <w:rPr>
          <w:vertAlign w:val="superscript"/>
        </w:rPr>
        <w:footnoteReference w:id="20"/>
      </w:r>
    </w:p>
    <w:p w14:paraId="4438F0B0" w14:textId="77777777" w:rsidR="0011747D" w:rsidRDefault="00000000">
      <w:pPr>
        <w:spacing w:before="240" w:after="240" w:line="276" w:lineRule="auto"/>
      </w:pPr>
      <w:r>
        <w:t xml:space="preserve">The Roadless Rule preamble indicates that before the agency can use the exception permitting logging within IRAs, it must undertake a site-specific analysis to determine the nature of individual stands to be logged. This the EA and the Roadless Evaluation fail to do. The EA makes clear that it will not undertake a site-specific review to identify </w:t>
      </w:r>
      <w:proofErr w:type="gramStart"/>
      <w:r>
        <w:t>the what</w:t>
      </w:r>
      <w:proofErr w:type="gramEnd"/>
      <w:r>
        <w:t xml:space="preserve">, where, and how of treatments within individual stands in roadless areas </w:t>
      </w:r>
      <w:r>
        <w:rPr>
          <w:i/>
        </w:rPr>
        <w:t>until after the NEPA review is complete</w:t>
      </w:r>
      <w:r>
        <w:t>. In fact, the EA makes clear that the Forest Service will approve logging in roadless areas now, and decide the nature of that logging later, precisely the opposite of what both NEPA and the Roadless Rule provide.</w:t>
      </w:r>
    </w:p>
    <w:p w14:paraId="577667C1" w14:textId="77777777" w:rsidR="0011747D" w:rsidRDefault="00000000">
      <w:pPr>
        <w:spacing w:before="240" w:after="240" w:line="276" w:lineRule="auto"/>
      </w:pPr>
      <w:r>
        <w:t xml:space="preserve">A recent federal appeals court decision demonstrates that this project is likely to be found to violate the Roadless Rule. In </w:t>
      </w:r>
      <w:r>
        <w:rPr>
          <w:i/>
        </w:rPr>
        <w:t xml:space="preserve">Los Padres </w:t>
      </w:r>
      <w:proofErr w:type="spellStart"/>
      <w:r>
        <w:rPr>
          <w:i/>
        </w:rPr>
        <w:t>ForestWatch</w:t>
      </w:r>
      <w:proofErr w:type="spellEnd"/>
      <w:r>
        <w:rPr>
          <w:i/>
        </w:rPr>
        <w:t xml:space="preserve"> v. United States Forest Serv</w:t>
      </w:r>
      <w:r>
        <w:t xml:space="preserve">., 25 F.4th 649 (9th Cir. 2022), the Forest Service approved the </w:t>
      </w:r>
      <w:proofErr w:type="spellStart"/>
      <w:r>
        <w:t>Tecuya</w:t>
      </w:r>
      <w:proofErr w:type="spellEnd"/>
      <w:r>
        <w:t xml:space="preserve"> Ridge logging project in a roadless area, setting a limit of logging trees less than 21 inches diameter at breast height (</w:t>
      </w:r>
      <w:proofErr w:type="spellStart"/>
      <w:r>
        <w:t>dbh</w:t>
      </w:r>
      <w:proofErr w:type="spellEnd"/>
      <w:r>
        <w:t xml:space="preserve">), arguing that trees of such width constituted “generally small diameter timber.” </w:t>
      </w:r>
      <w:r>
        <w:rPr>
          <w:i/>
        </w:rPr>
        <w:t xml:space="preserve">Los Padres </w:t>
      </w:r>
      <w:proofErr w:type="spellStart"/>
      <w:r>
        <w:rPr>
          <w:i/>
        </w:rPr>
        <w:t>ForestWatch</w:t>
      </w:r>
      <w:proofErr w:type="spellEnd"/>
      <w:r>
        <w:t xml:space="preserve">, 25 F.4th at 656-57. The court found that the Forest Service failed to support its conclusion that a </w:t>
      </w:r>
      <w:proofErr w:type="gramStart"/>
      <w:r>
        <w:t>21 inch</w:t>
      </w:r>
      <w:proofErr w:type="gramEnd"/>
      <w:r>
        <w:t xml:space="preserve"> DBH tree constituted a “small diameter” tree, noting among other things that “the Forest Service did not attempt to articulate this explanation or, indeed, provide any information at all on the average </w:t>
      </w:r>
      <w:proofErr w:type="spellStart"/>
      <w:r>
        <w:t>dbh</w:t>
      </w:r>
      <w:proofErr w:type="spellEnd"/>
      <w:r>
        <w:t xml:space="preserve"> of the trees located within the … Project area.” </w:t>
      </w:r>
      <w:r>
        <w:rPr>
          <w:i/>
        </w:rPr>
        <w:t>Id</w:t>
      </w:r>
      <w:r>
        <w:t xml:space="preserve">. at 658. The court therefore found the agency violated the Roadless Rule and remanded the project back to the Forest Service for further explanation as to what constitutes a small diameter tree. </w:t>
      </w:r>
      <w:r>
        <w:rPr>
          <w:i/>
        </w:rPr>
        <w:t>Id</w:t>
      </w:r>
      <w:r>
        <w:t>. at 659.</w:t>
      </w:r>
    </w:p>
    <w:p w14:paraId="74772C74" w14:textId="77777777" w:rsidR="0011747D" w:rsidRDefault="00000000">
      <w:pPr>
        <w:spacing w:before="240" w:after="240" w:line="276" w:lineRule="auto"/>
      </w:pPr>
      <w:r>
        <w:t xml:space="preserve">Here, the Dixie National Forest has done </w:t>
      </w:r>
      <w:r>
        <w:rPr>
          <w:i/>
        </w:rPr>
        <w:t>even less</w:t>
      </w:r>
      <w:r>
        <w:t xml:space="preserve"> than the Forest Service in </w:t>
      </w:r>
      <w:r>
        <w:rPr>
          <w:i/>
        </w:rPr>
        <w:t xml:space="preserve">Los Padres </w:t>
      </w:r>
      <w:proofErr w:type="spellStart"/>
      <w:r>
        <w:rPr>
          <w:i/>
        </w:rPr>
        <w:t>ForestWatch</w:t>
      </w:r>
      <w:proofErr w:type="spellEnd"/>
      <w:r>
        <w:t xml:space="preserve">. Neither the EA nor any of the Dixie National Forest’s supporting documents purport to define what constitutes a “small diameter” tree for any of the stands within the massive project area, let alone within IRAs. Nor does the Forest Service explain how any of the project’s provisions will limit logging to small trees, whatever those might be, while some of those documents indicate just the opposite: that large conifers will be targeted for logging in aspen stands. The agency does not provide the average size of trees in individual stands or across each IRA, and the representative tree stand data provided indicates that the agency’s approval of logging in VSS4 and below will involve the logging of some of the largest remaining trees in those stands, as few trees are larger. Because the Forest Service provides no stand-level data at all for the project (including roadless areas), neither the public nor the decision-maker can discern the size of trees in stands in the project area, or </w:t>
      </w:r>
      <w:r>
        <w:lastRenderedPageBreak/>
        <w:t xml:space="preserve">the size of trees to be removed. Thus, as with the project at issue in the </w:t>
      </w:r>
      <w:r>
        <w:rPr>
          <w:i/>
        </w:rPr>
        <w:t xml:space="preserve">Los Padres </w:t>
      </w:r>
      <w:proofErr w:type="spellStart"/>
      <w:r>
        <w:rPr>
          <w:i/>
        </w:rPr>
        <w:t>ForestWatch</w:t>
      </w:r>
      <w:proofErr w:type="spellEnd"/>
      <w:r>
        <w:rPr>
          <w:i/>
        </w:rPr>
        <w:t xml:space="preserve"> </w:t>
      </w:r>
      <w:r>
        <w:t>case, a reviewing court is likely to set aside the Hungry Creek project for violating the Roadless Rule.</w:t>
      </w:r>
    </w:p>
    <w:p w14:paraId="1AF15A13" w14:textId="77777777" w:rsidR="0011747D" w:rsidRDefault="00000000">
      <w:pPr>
        <w:spacing w:before="240" w:after="240" w:line="276" w:lineRule="auto"/>
      </w:pPr>
      <w:r>
        <w:t>Further, because the Hungry Creek Project is likely to violate the Roadless Rule, the Forest Service must prepare a full environmental impact statement (EIS). Council on Environmental Quality regulations implementing NEPA have identified numerous factors that may require an agency to find that an action is likely to have a significant impact, and therefore requires preparation of an EIS. One of those is “[w]</w:t>
      </w:r>
      <w:proofErr w:type="spellStart"/>
      <w:r>
        <w:t>hether</w:t>
      </w:r>
      <w:proofErr w:type="spellEnd"/>
      <w:r>
        <w:t xml:space="preserve"> the action threatens a violation of federal, state, or local law or requirements imposed for the protection of the environment.” 40 C.F.R. §1508.27(b)(10) (2019). </w:t>
      </w:r>
      <w:r>
        <w:rPr>
          <w:i/>
        </w:rPr>
        <w:t>See also</w:t>
      </w:r>
      <w:r>
        <w:t xml:space="preserve"> Forest Service Handbook 1909.15, Ch. 15 (agency NEPA handbook quoting the CEQ regulations).</w:t>
      </w:r>
    </w:p>
    <w:p w14:paraId="38194F2A" w14:textId="77777777" w:rsidR="0011747D" w:rsidRDefault="00000000">
      <w:pPr>
        <w:spacing w:before="240" w:after="240" w:line="276" w:lineRule="auto"/>
        <w:ind w:left="720"/>
      </w:pPr>
      <w:r>
        <w:rPr>
          <w:u w:val="single"/>
        </w:rPr>
        <w:t>Proposed Resolution</w:t>
      </w:r>
      <w:r>
        <w:t xml:space="preserve">: In any subsequently prepared NEPA document, preferably an EIS, the Forest Service must describe, specifically, whether and how each treatment type within each IRA will comply with the Roadless Rule requirement that allows removal of only “generally small diameter trees,” with reference to each individual stand that is proposed for any type of tree </w:t>
      </w:r>
      <w:proofErr w:type="gramStart"/>
      <w:r>
        <w:t>removal, and</w:t>
      </w:r>
      <w:proofErr w:type="gramEnd"/>
      <w:r>
        <w:t xml:space="preserve"> must define “generally small diameter tree” within that context.</w:t>
      </w:r>
    </w:p>
    <w:p w14:paraId="3DFEC3F1" w14:textId="77777777" w:rsidR="0011747D" w:rsidRDefault="00000000">
      <w:pPr>
        <w:spacing w:before="240" w:after="240" w:line="276" w:lineRule="auto"/>
        <w:ind w:left="720"/>
      </w:pPr>
      <w:r>
        <w:t>Without this information, neither the Forest Service nor the public can determine whether the Forest Service will limit logging within Roadless Areas to that allowed by law.</w:t>
      </w:r>
    </w:p>
    <w:p w14:paraId="71AFCB8A" w14:textId="77777777" w:rsidR="0011747D" w:rsidRDefault="00000000">
      <w:pPr>
        <w:spacing w:after="240" w:line="276" w:lineRule="auto"/>
        <w:ind w:left="1440" w:hanging="720"/>
        <w:rPr>
          <w:b/>
        </w:rPr>
      </w:pPr>
      <w:r>
        <w:rPr>
          <w:b/>
        </w:rPr>
        <w:t xml:space="preserve">G.      </w:t>
      </w:r>
      <w:r>
        <w:rPr>
          <w:b/>
        </w:rPr>
        <w:tab/>
        <w:t>The Forest Service Fails to Disclose or Ensure that Logging Will Maintain or Improve One or More Roadless Area Characteristics.</w:t>
      </w:r>
    </w:p>
    <w:p w14:paraId="002068EB" w14:textId="77777777" w:rsidR="0011747D" w:rsidRDefault="00000000">
      <w:pPr>
        <w:spacing w:before="240" w:after="240" w:line="276" w:lineRule="auto"/>
      </w:pPr>
      <w:r>
        <w:t>The exception the Forest Service invokes to allow logging in IRAs requires that logging “will maintain or improve one or more of the roadless area characteristics.” 36 C.F.R. § 294.13(b)(1).</w:t>
      </w:r>
    </w:p>
    <w:p w14:paraId="7665B58B" w14:textId="77777777" w:rsidR="0011747D" w:rsidRDefault="00000000">
      <w:pPr>
        <w:spacing w:before="240" w:after="240" w:line="276" w:lineRule="auto"/>
      </w:pPr>
      <w:r>
        <w:t>Virtually all roadless area characteristics identified in the Roadless Rule could be degraded by logging, the use of heavy equipment and skid trails, and pile burning. Further, the analysis concerning impacts to roadless characteristics requires a highly site-specific analysis, given the regulation’s emphasis on “</w:t>
      </w:r>
      <w:r>
        <w:rPr>
          <w:i/>
        </w:rPr>
        <w:t>locally identified</w:t>
      </w:r>
      <w:r>
        <w:t xml:space="preserve"> unique characteristics.” 36 C.F.R. § 294.11. Thus, the only way to determine whether a project may comply with these provisions is for the Forest Service to undertake a site-specific analysis that maps the roadless areas at issue, reviews the values of each roadless area to be impacted by specific logging treatments at specific locations, and evaluates the impacts of the proposed action at the </w:t>
      </w:r>
      <w:r>
        <w:rPr>
          <w:i/>
        </w:rPr>
        <w:t>stand-specific level</w:t>
      </w:r>
      <w:r>
        <w:t xml:space="preserve">, with stands broken down by vegetation type, at a minimum. Because the Hungry Creek project would approve numerous, ill-defined tree removal and </w:t>
      </w:r>
      <w:r>
        <w:lastRenderedPageBreak/>
        <w:t>other actions across multiple roadless areas over an indeterminate number of years, the Forest Service must demonstrate how it can ensure compliance with this Roadless Rule exception.</w:t>
      </w:r>
    </w:p>
    <w:p w14:paraId="36F27BDA" w14:textId="77777777" w:rsidR="0011747D" w:rsidRDefault="00000000">
      <w:pPr>
        <w:spacing w:before="240" w:after="240" w:line="276" w:lineRule="auto"/>
      </w:pPr>
      <w:r>
        <w:t xml:space="preserve">The Forest Service may allege that the IRA Worksheets address the impacts to IRA </w:t>
      </w:r>
      <w:proofErr w:type="gramStart"/>
      <w:r>
        <w:t>characteristics, and</w:t>
      </w:r>
      <w:proofErr w:type="gramEnd"/>
      <w:r>
        <w:t xml:space="preserve"> demonstrate that the project will improve at least one roadless area characteristic in each IRA. While the IRA Worksheets address various factors for each impacted IRA, the discussion is general, and does not address stand-specific impacts. Further, much of the discussion of impacts to characteristics is premised on the assumption that the project will reduce the risk of uncharacteristic wildfire, without ever disclosing the current risk of such fire, or disclosing by what amount the proposed action will reduce that risk, or whether that reduction will continue over the years as climate change results in ever more severe weather and fire behavior.</w:t>
      </w:r>
    </w:p>
    <w:p w14:paraId="0F8620B5" w14:textId="77777777" w:rsidR="0011747D" w:rsidRDefault="00000000">
      <w:pPr>
        <w:spacing w:before="240" w:after="240" w:line="276" w:lineRule="auto"/>
      </w:pPr>
      <w:r>
        <w:t>Further, the proposed logging will likely degrade, or at least is unlikely to “maintain or improve,” many of the roadless area characteristics in ways the IRA Worksheet does not acknowledge. For example, the EA admits that the “40 miles of skid trails would be required to implement treatments in the IRAs,” effectively building one mile of road per square mile of IRA treated. 2024 EA at 47. Skid trails - effectively roads used to drag timber out of the forest - may be clustered as close as 100 feet apart. 2024 EA at 54 (“skid trails should be located approximately 100 to 150 feet apart, depending on terrain”). The Forest Service fails to disclose the location of these built, motorized trails within IRAs, leaving that decision largely to the logging industry, subject to Forest Service approval. 2024 EA at 49 (“Skid trail locations will be agreed upon with Timber Sale Administrator prior to implementation”). Up to one-seventh of a logging unit may be clearcut for skid trails. 2024 EA at 51 (“Designate skid trails to the extent practicable to limit site disturbance to less than 15% of unit area.”).</w:t>
      </w:r>
    </w:p>
    <w:p w14:paraId="27A1704F" w14:textId="77777777" w:rsidR="0011747D" w:rsidRDefault="00000000">
      <w:pPr>
        <w:spacing w:before="240" w:after="240" w:line="276" w:lineRule="auto"/>
      </w:pPr>
      <w:r>
        <w:t xml:space="preserve">The Forest Service concludes that impacts from logging, including skid trail construction, will be “short term,” claiming logging will result in decreasing scenic integrity “in the short term (1-3 years) after vegetation removal … but will increase in the long term.” Hungry Creek Project IRA Characteristics Worksheet – McGath-Auger Hole IRA (Oct. 27, 2022) at 4 (Dixie NF project file) This assertion is arbitrary and capricious, given that skid trails and other evidence of logging </w:t>
      </w:r>
      <w:r>
        <w:rPr>
          <w:i/>
        </w:rPr>
        <w:t>more 20-50 years ago within this very project area are still degrading the landscape and hydrologic function</w:t>
      </w:r>
      <w:r>
        <w:t xml:space="preserve"> within the project area:</w:t>
      </w:r>
    </w:p>
    <w:p w14:paraId="775E5525" w14:textId="77777777" w:rsidR="0011747D" w:rsidRDefault="00000000">
      <w:pPr>
        <w:spacing w:before="240" w:after="240" w:line="276" w:lineRule="auto"/>
        <w:ind w:left="720" w:right="720"/>
      </w:pPr>
      <w:r>
        <w:t xml:space="preserve">Past timber harvests in the project area have occurred on 17,988 acres from the 1970s-1990s. Past harvest operation activities such as skid trails, roads, landings, and staging areas </w:t>
      </w:r>
      <w:r>
        <w:rPr>
          <w:i/>
        </w:rPr>
        <w:t>are still visible on the landscape and may still be affecting soil functions</w:t>
      </w:r>
      <w:r>
        <w:t>.</w:t>
      </w:r>
    </w:p>
    <w:p w14:paraId="78F57376" w14:textId="77777777" w:rsidR="0011747D" w:rsidRDefault="00000000">
      <w:pPr>
        <w:spacing w:before="240" w:after="240" w:line="276" w:lineRule="auto"/>
      </w:pPr>
      <w:r>
        <w:lastRenderedPageBreak/>
        <w:t xml:space="preserve">2024 EA at 110 (emphasis added). At a minimum, the Forest Service must explain why the long-term and ongoing impacts of prior skid trail construction in the Project area </w:t>
      </w:r>
      <w:proofErr w:type="gramStart"/>
      <w:r>
        <w:t>are not a good predictor of the impacts of skid trails</w:t>
      </w:r>
      <w:proofErr w:type="gramEnd"/>
      <w:r>
        <w:t xml:space="preserve"> built for this Project, and what the Forest Service is doing differently now from what it did in the 1970s-1990s that has resulted in 30-50 years of ongoing scenic and hydrologic degradation. The Forest Service ignored this comment on the draft EA and failed to explain this disconnect.</w:t>
      </w:r>
    </w:p>
    <w:p w14:paraId="7B5B5BFE" w14:textId="77777777" w:rsidR="0011747D" w:rsidRDefault="00000000">
      <w:pPr>
        <w:spacing w:before="240" w:after="240" w:line="276" w:lineRule="auto"/>
      </w:pPr>
      <w:r>
        <w:t xml:space="preserve">Further, the specialist’s report on scenery contradicts the conclusion that decreased scenic integrity will only persist for 1-3 years after treatment. The report states: “After one or two growing seasons, these lines would become more natural in appearance but may not be fully integrated into the landscape until regeneration has occurred </w:t>
      </w:r>
      <w:r>
        <w:rPr>
          <w:i/>
        </w:rPr>
        <w:t xml:space="preserve">for a </w:t>
      </w:r>
      <w:proofErr w:type="gramStart"/>
      <w:r>
        <w:rPr>
          <w:i/>
        </w:rPr>
        <w:t>5-10 year</w:t>
      </w:r>
      <w:proofErr w:type="gramEnd"/>
      <w:r>
        <w:rPr>
          <w:i/>
        </w:rPr>
        <w:t xml:space="preserve"> period</w:t>
      </w:r>
      <w:r>
        <w:t>.” USDA Forest Service, Hungry Creek Vegetation Improvement Project, “Recreation, Wilderness, Inventoried Roadless Area, and Scenery Report” (Mar. 20, 2023), in USFS project file. These divergent conclusions regarding the impacts of skid trails on roadless scenic values render the agency’s analysis arbitrary and capricious.</w:t>
      </w:r>
    </w:p>
    <w:p w14:paraId="7AE50F4A" w14:textId="77777777" w:rsidR="0011747D" w:rsidRDefault="00000000">
      <w:pPr>
        <w:spacing w:before="240" w:after="240" w:line="276" w:lineRule="auto"/>
      </w:pPr>
      <w:r>
        <w:t xml:space="preserve">Unless and until the Forest Service undertakes a specific analysis of </w:t>
      </w:r>
      <w:r>
        <w:rPr>
          <w:i/>
        </w:rPr>
        <w:t>each stand-specific treatment</w:t>
      </w:r>
      <w:r>
        <w:t xml:space="preserve"> within each specific roadless area, and how each treatment will impact each IRA’s roadless characteristics, it cannot ensure that it will comply with the Roadless Rule. Further, because the EA and supporting documents fail to disclose the location of any treatment or skid trail or fire line or any other ground-disturbing activity within IRAs, it cannot take the hard look required by NEPA at roadless area characteristics or comply with the Roadless Rule.</w:t>
      </w:r>
    </w:p>
    <w:p w14:paraId="40887900" w14:textId="77777777" w:rsidR="0011747D" w:rsidRDefault="00000000">
      <w:pPr>
        <w:spacing w:before="240" w:after="240" w:line="276" w:lineRule="auto"/>
      </w:pPr>
      <w:r>
        <w:t>Roadless areas are beloved and staunchly protected by forest advocates because these areas include the last remnants of undisturbed ecosystems, pure water, critical wildlife habitat and quiet recreation. The Forest Service should tread particularly carefully when proposing management in these areas, and carefully ensure compliance with the law that protects those areas. This is not to say that the Forest Service cannot demonstrate that some treatments in some roadless areas may be necessary and helpful. But the EA and proposed decision, like the earlier EA, have failed to do so.</w:t>
      </w:r>
    </w:p>
    <w:p w14:paraId="4E96DD3A" w14:textId="77777777" w:rsidR="0011747D" w:rsidRDefault="00000000">
      <w:pPr>
        <w:spacing w:before="240" w:after="240" w:line="276" w:lineRule="auto"/>
        <w:ind w:left="540"/>
      </w:pPr>
      <w:r>
        <w:rPr>
          <w:u w:val="single"/>
        </w:rPr>
        <w:t>Proposed Resolution</w:t>
      </w:r>
      <w:r>
        <w:t>: Any subsequently prepared NEPA document, preferably an EIS, must address, and ensure compliance with, the Roadless Rule requirement that the project’s tree removal in IRAs will “maintain or improve” one or more roadless area value.</w:t>
      </w:r>
    </w:p>
    <w:p w14:paraId="0CB1C6F3" w14:textId="77777777" w:rsidR="0011747D" w:rsidRDefault="00000000">
      <w:pPr>
        <w:pStyle w:val="Heading2"/>
        <w:tabs>
          <w:tab w:val="left" w:pos="540"/>
        </w:tabs>
        <w:rPr>
          <w:sz w:val="24"/>
          <w:szCs w:val="24"/>
        </w:rPr>
      </w:pPr>
      <w:bookmarkStart w:id="3" w:name="_heading=h.hvz55ry5l3hl" w:colFirst="0" w:colLast="0"/>
      <w:bookmarkEnd w:id="3"/>
      <w:r>
        <w:rPr>
          <w:b/>
          <w:sz w:val="24"/>
          <w:szCs w:val="24"/>
        </w:rPr>
        <w:t>VII.</w:t>
      </w:r>
      <w:r>
        <w:rPr>
          <w:b/>
          <w:sz w:val="24"/>
          <w:szCs w:val="24"/>
        </w:rPr>
        <w:tab/>
        <w:t>Cumulative Effects</w:t>
      </w:r>
    </w:p>
    <w:p w14:paraId="1B2A19B1" w14:textId="77777777" w:rsidR="0011747D" w:rsidRDefault="0011747D">
      <w:pPr>
        <w:tabs>
          <w:tab w:val="left" w:pos="540"/>
        </w:tabs>
      </w:pPr>
    </w:p>
    <w:p w14:paraId="392864BB" w14:textId="77777777" w:rsidR="0011747D" w:rsidRDefault="00000000">
      <w:pPr>
        <w:tabs>
          <w:tab w:val="left" w:pos="540"/>
        </w:tabs>
      </w:pPr>
      <w:r>
        <w:t xml:space="preserve">NEPA expressly requires agencies to consider whether agency actions are “related to other actions with individually insignificant but cumulatively significant impacts.” 40 C.F.R. § </w:t>
      </w:r>
      <w:r>
        <w:lastRenderedPageBreak/>
        <w:t>1508.27(b)(7). A cumulative impact results from the incremental impact of the proposed action “when added to the effects of other past, present, and reasonably foreseeable future actions regardless of what agency . . . undertakes such other actions.”</w:t>
      </w:r>
      <w:r>
        <w:rPr>
          <w:vertAlign w:val="superscript"/>
        </w:rPr>
        <w:footnoteReference w:id="21"/>
      </w:r>
      <w:r>
        <w:t xml:space="preserve"> “Cumulative effects can result from individually minor but collectively significant actions taking place over a period of time.”</w:t>
      </w:r>
      <w:r>
        <w:rPr>
          <w:vertAlign w:val="superscript"/>
        </w:rPr>
        <w:footnoteReference w:id="22"/>
      </w:r>
      <w:r>
        <w:t xml:space="preserve">  Under NEPA, “effects” and “impacts” are synonymous terms that include “ecological (such as the effects on natural resources and on the components, structures, and functioning of affected ecosystems), aesthetic, historic, cultural, economic, social, or health.”</w:t>
      </w:r>
      <w:r>
        <w:rPr>
          <w:vertAlign w:val="superscript"/>
        </w:rPr>
        <w:footnoteReference w:id="23"/>
      </w:r>
      <w:r>
        <w:t xml:space="preserve"> The agency’s statements “shall be supported by evidence that the agency has made the necessary environmental analyses.”</w:t>
      </w:r>
      <w:r>
        <w:rPr>
          <w:vertAlign w:val="superscript"/>
        </w:rPr>
        <w:footnoteReference w:id="24"/>
      </w:r>
    </w:p>
    <w:p w14:paraId="5DAD3412" w14:textId="77777777" w:rsidR="0011747D" w:rsidRDefault="00000000">
      <w:pPr>
        <w:tabs>
          <w:tab w:val="left" w:pos="540"/>
        </w:tabs>
        <w:spacing w:before="240" w:after="240"/>
      </w:pPr>
      <w:r>
        <w:t>In this case, the Agency has failed to adequately assess cumulative impacts in at least two significant ways.  First, the EA inappropriately constrained the area of effects to the project area, neglecting to analyze impacts on all five affected watersheds, or provide a justification for only considering these watersheds and not additional nearby ones. Second, the EA does not evaluate the cumulative impacts from other intensive vegetative treatment projects currently being proposed.</w:t>
      </w:r>
    </w:p>
    <w:p w14:paraId="58B38415" w14:textId="77777777" w:rsidR="0011747D" w:rsidRDefault="00000000">
      <w:pPr>
        <w:tabs>
          <w:tab w:val="left" w:pos="540"/>
        </w:tabs>
        <w:spacing w:before="240" w:after="240"/>
      </w:pPr>
      <w:r>
        <w:t>The cumulative effects area for the environmental assessment should have at least encompassed all five watersheds impacted by the project, but instead it is limited to the project area which only covers portions of the five affected watersheds.</w:t>
      </w:r>
    </w:p>
    <w:p w14:paraId="79DF08E5" w14:textId="77777777" w:rsidR="0011747D" w:rsidRDefault="00000000">
      <w:pPr>
        <w:tabs>
          <w:tab w:val="left" w:pos="540"/>
        </w:tabs>
        <w:spacing w:before="240" w:after="240"/>
        <w:ind w:left="720"/>
      </w:pPr>
      <w:r>
        <w:t xml:space="preserve">In the case of a site-specific vegetation management project such as HCVIP, the likely cumulative effects area (CEA) will be the </w:t>
      </w:r>
      <w:r>
        <w:rPr>
          <w:b/>
        </w:rPr>
        <w:t xml:space="preserve">affected watersheds or the areas of contiguous habitat. </w:t>
      </w:r>
      <w:r>
        <w:t xml:space="preserve">(See the Council on Environmental Quality’s “Considering Cumulative Effects Under the National Environmental Policy Act,” 1997.) In this case, the project area </w:t>
      </w:r>
      <w:r>
        <w:rPr>
          <w:b/>
        </w:rPr>
        <w:t>covers portions</w:t>
      </w:r>
      <w:r>
        <w:t xml:space="preserve"> of five watersheds—Upper North Creek (29,593-acres), Lower North Creek (18,434-acres), Upper Pine Creek (30,863-acres), Lower Pine Creek (23,545-acres) and Wide Hollow Reservoir-Escalante River (917 acres)—a total area of approximately 103,351 acres. This will be the areal extent of the CEA for the forest vegetation effects associated with HCVIP. (See Appendix 3 – Cumulative Effects Consideration.)</w:t>
      </w:r>
    </w:p>
    <w:p w14:paraId="7C652F46" w14:textId="77777777" w:rsidR="0011747D" w:rsidRDefault="00000000">
      <w:pPr>
        <w:tabs>
          <w:tab w:val="left" w:pos="540"/>
        </w:tabs>
        <w:spacing w:before="240" w:after="240"/>
      </w:pPr>
      <w:r>
        <w:t xml:space="preserve">Final EA, p. 70 (emphasis added).  However, as noted in Table 45 of the Final EA, limiting the CEA to the project area means that there is no cumulative effects analysis at the watershed level. The proposed project only encompasses 84% of the Upper North Creek </w:t>
      </w:r>
      <w:proofErr w:type="spellStart"/>
      <w:r>
        <w:t>subwatershed</w:t>
      </w:r>
      <w:proofErr w:type="spellEnd"/>
      <w:r>
        <w:t xml:space="preserve">,  63% of the Lower North Creek Watershed,  57% of the Upper Pine Creek </w:t>
      </w:r>
      <w:proofErr w:type="spellStart"/>
      <w:r>
        <w:t>subwatershed</w:t>
      </w:r>
      <w:proofErr w:type="spellEnd"/>
      <w:r>
        <w:t xml:space="preserve">, 48% of the lower Pine Creek Watershed, and a mere 6% of the Wide Hollow River Escalante River </w:t>
      </w:r>
      <w:proofErr w:type="spellStart"/>
      <w:r>
        <w:t>subwatershed</w:t>
      </w:r>
      <w:proofErr w:type="spellEnd"/>
      <w:r>
        <w:t xml:space="preserve">. Final EA, p. 89, Table 45. Sixth level Hydrologic Unit Sub-Watersheds overlapped by the Hungry Creek Vegetation Improvement Project. Having established that affected watersheds are the correct CEA, the Agency may not then proceed to use a CEA that only includes parts of watersheds.  While it is often said that “the whole is </w:t>
      </w:r>
      <w:r>
        <w:lastRenderedPageBreak/>
        <w:t>greater than the sum of its parts,” at a very minimum, the whole must be at least equal to the sum of its parts. Here, large swaths of watersheds have simply been excluded  from the cumulative effects analysis rendering it legally and scientifically deficient.</w:t>
      </w:r>
    </w:p>
    <w:p w14:paraId="50D39AD2" w14:textId="77777777" w:rsidR="0011747D" w:rsidRDefault="00000000">
      <w:pPr>
        <w:tabs>
          <w:tab w:val="left" w:pos="540"/>
        </w:tabs>
        <w:spacing w:before="240"/>
        <w:rPr>
          <w:highlight w:val="white"/>
        </w:rPr>
      </w:pPr>
      <w:r>
        <w:rPr>
          <w:color w:val="222222"/>
          <w:highlight w:val="white"/>
        </w:rPr>
        <w:t>The Agency has also failed to evaluate a large landscape-scale proposal being planned for the Aquarius Plateau and Boulder Mountain involving the removal or manipulation of ponderosa pine, mixed conifer, aspen, and spruce-fir</w:t>
      </w:r>
      <w:r>
        <w:t xml:space="preserve">.  These actions are being considered by the Escalante Ranger District of </w:t>
      </w:r>
      <w:proofErr w:type="gramStart"/>
      <w:r>
        <w:t>the Dixie</w:t>
      </w:r>
      <w:proofErr w:type="gramEnd"/>
      <w:r>
        <w:t xml:space="preserve"> NF and the Fremont River District of the Fishlake NF. This project will either encompass the Hungry Creek project </w:t>
      </w:r>
      <w:proofErr w:type="gramStart"/>
      <w:r>
        <w:t>area, or</w:t>
      </w:r>
      <w:proofErr w:type="gramEnd"/>
      <w:r>
        <w:t xml:space="preserve"> be directly adjacent if the latter is cut out. The Agency invited the public to participate in a field tour to discuss this project on September 18,  2023,</w:t>
      </w:r>
      <w:r>
        <w:rPr>
          <w:vertAlign w:val="superscript"/>
        </w:rPr>
        <w:footnoteReference w:id="25"/>
      </w:r>
      <w:r>
        <w:t xml:space="preserve"> but it was not referenced or addressed in the Final EA.   As stated by the Forest Service, “t</w:t>
      </w:r>
      <w:r>
        <w:rPr>
          <w:highlight w:val="white"/>
        </w:rPr>
        <w:t xml:space="preserve">he purpose of the tour is </w:t>
      </w:r>
      <w:proofErr w:type="gramStart"/>
      <w:r>
        <w:rPr>
          <w:highlight w:val="white"/>
        </w:rPr>
        <w:t>get</w:t>
      </w:r>
      <w:proofErr w:type="gramEnd"/>
      <w:r>
        <w:rPr>
          <w:highlight w:val="white"/>
        </w:rPr>
        <w:t xml:space="preserve"> stakeholder input on issues that are important to you as it relates to possible future projects for the management of vegetation and wildlife habitat on the Boulder Mountains as the Forest Service begins to evaluate these actions through the NEPA process.” </w:t>
      </w:r>
      <w:r>
        <w:t>The CEQ has defined</w:t>
      </w:r>
      <w:r>
        <w:rPr>
          <w:highlight w:val="white"/>
        </w:rPr>
        <w:t xml:space="preserve"> reasonably foreseeable to mean, “sufficiently likely to occur such that a person of ordinary prudence would take it into account in reaching a decision.</w:t>
      </w:r>
      <w:r>
        <w:t xml:space="preserve">” 40 C.F.R.  § 1508.1. </w:t>
      </w:r>
      <w:r>
        <w:rPr>
          <w:highlight w:val="white"/>
        </w:rPr>
        <w:t>We recognize that this project is in the early stages, but if the Agency is far enough along in the planning to solicit public input, then it was reasonable for them to take it into account in the Final EA.  Given the geographic proximity and the potentially expansive nature of the actions being considered, it is particularly important that the Agency consider the potential cumulative impacts of these actions together with the proposed action.</w:t>
      </w:r>
    </w:p>
    <w:p w14:paraId="60E75702" w14:textId="77777777" w:rsidR="0011747D" w:rsidRDefault="0011747D">
      <w:pPr>
        <w:tabs>
          <w:tab w:val="left" w:pos="540"/>
        </w:tabs>
        <w:rPr>
          <w:highlight w:val="white"/>
        </w:rPr>
      </w:pPr>
    </w:p>
    <w:p w14:paraId="2601D712" w14:textId="77777777" w:rsidR="0011747D" w:rsidRDefault="00000000">
      <w:pPr>
        <w:shd w:val="clear" w:color="auto" w:fill="FFFFFF"/>
        <w:rPr>
          <w:u w:val="single"/>
        </w:rPr>
      </w:pPr>
      <w:r>
        <w:rPr>
          <w:u w:val="single"/>
        </w:rPr>
        <w:t>Proposed Resolution:</w:t>
      </w:r>
    </w:p>
    <w:p w14:paraId="2FA4A43B" w14:textId="77777777" w:rsidR="0011747D" w:rsidRDefault="00000000">
      <w:pPr>
        <w:numPr>
          <w:ilvl w:val="0"/>
          <w:numId w:val="6"/>
        </w:numPr>
        <w:shd w:val="clear" w:color="auto" w:fill="FFFFFF"/>
      </w:pPr>
      <w:r>
        <w:t>Revise the CEA to include all affected watersheds.</w:t>
      </w:r>
    </w:p>
    <w:p w14:paraId="5A3D4B57" w14:textId="77777777" w:rsidR="0011747D" w:rsidRDefault="00000000">
      <w:pPr>
        <w:numPr>
          <w:ilvl w:val="0"/>
          <w:numId w:val="6"/>
        </w:numPr>
        <w:shd w:val="clear" w:color="auto" w:fill="FFFFFF"/>
      </w:pPr>
      <w:r>
        <w:t>Undertake a revised cumulative impacts analysis that includes an analysis of the cumulative impacts arising from the proposed Aquarius Plateau/Boulder Mountain project(s) and determine whether the cumulative impacts could be significant.</w:t>
      </w:r>
    </w:p>
    <w:p w14:paraId="7C80359F" w14:textId="77777777" w:rsidR="0011747D" w:rsidRDefault="0011747D">
      <w:pPr>
        <w:shd w:val="clear" w:color="auto" w:fill="FFFFFF"/>
      </w:pPr>
    </w:p>
    <w:p w14:paraId="588920EC" w14:textId="77777777" w:rsidR="004F6835" w:rsidRDefault="004F6835">
      <w:pPr>
        <w:shd w:val="clear" w:color="auto" w:fill="FFFFFF"/>
      </w:pPr>
    </w:p>
    <w:p w14:paraId="5D961FFA" w14:textId="77777777" w:rsidR="0011747D" w:rsidRDefault="00000000">
      <w:pPr>
        <w:shd w:val="clear" w:color="auto" w:fill="FFFFFF"/>
        <w:tabs>
          <w:tab w:val="left" w:pos="540"/>
        </w:tabs>
        <w:rPr>
          <w:b/>
          <w:color w:val="000000"/>
        </w:rPr>
      </w:pPr>
      <w:r>
        <w:rPr>
          <w:b/>
        </w:rPr>
        <w:t>VIII.</w:t>
      </w:r>
      <w:r>
        <w:rPr>
          <w:b/>
        </w:rPr>
        <w:tab/>
      </w:r>
      <w:r>
        <w:rPr>
          <w:b/>
          <w:color w:val="000000"/>
        </w:rPr>
        <w:t>The Forest Service Must Prepare an EIS.</w:t>
      </w:r>
      <w:bookmarkStart w:id="4" w:name="_heading=h.9de4lbtsydx7" w:colFirst="0" w:colLast="0"/>
      <w:bookmarkEnd w:id="4"/>
    </w:p>
    <w:p w14:paraId="6355A68A" w14:textId="77777777" w:rsidR="0011747D" w:rsidRDefault="00000000" w:rsidP="004F6835">
      <w:pPr>
        <w:pStyle w:val="Heading3"/>
        <w:spacing w:before="0" w:after="240"/>
        <w:rPr>
          <w:color w:val="000000"/>
        </w:rPr>
      </w:pPr>
      <w:r>
        <w:rPr>
          <w:color w:val="000000"/>
        </w:rPr>
        <w:lastRenderedPageBreak/>
        <w:t>NEPA requires federal agencies to prepare a full environmental impact statement (EIS) before undertaking “major Federal actions significantly affecting the quality of the human environment.” 42 U.S.C. § 4332(C). Federal courts affirm this approach.</w:t>
      </w:r>
    </w:p>
    <w:p w14:paraId="67E2EB79" w14:textId="77777777" w:rsidR="0011747D" w:rsidRDefault="00000000">
      <w:pPr>
        <w:pStyle w:val="Heading3"/>
        <w:spacing w:before="0" w:after="240" w:line="276" w:lineRule="auto"/>
        <w:ind w:left="720" w:right="720"/>
        <w:rPr>
          <w:color w:val="000000"/>
        </w:rPr>
      </w:pPr>
      <w:r>
        <w:rPr>
          <w:color w:val="000000"/>
        </w:rPr>
        <w:t>We have held that an EIS must be prepared if ‘substantial questions are raised as to whether a project ... may cause significant degradation to some human environmental factor.’ To trigger this requirement a ‘plaintiff need not show that significant effects will in fact occur,’ [but instead] raising ‘substantial questions whether a project may have a significant effect’ is sufficient.</w:t>
      </w:r>
    </w:p>
    <w:p w14:paraId="07707E04" w14:textId="77777777" w:rsidR="0011747D" w:rsidRDefault="00000000">
      <w:pPr>
        <w:pStyle w:val="Heading3"/>
        <w:spacing w:before="240" w:after="240" w:line="276" w:lineRule="auto"/>
        <w:rPr>
          <w:color w:val="000000"/>
        </w:rPr>
      </w:pPr>
      <w:r>
        <w:rPr>
          <w:i/>
          <w:color w:val="000000"/>
        </w:rPr>
        <w:t>Idaho Sporting Cong. v. Thomas</w:t>
      </w:r>
      <w:r>
        <w:rPr>
          <w:color w:val="000000"/>
        </w:rPr>
        <w:t xml:space="preserve">, 137 F.3d 1146, 1149-50 (9th Cir. 1998) (citations omitted) (emphasis original). </w:t>
      </w:r>
      <w:r>
        <w:rPr>
          <w:i/>
          <w:color w:val="000000"/>
        </w:rPr>
        <w:t>See also</w:t>
      </w:r>
      <w:r>
        <w:rPr>
          <w:color w:val="000000"/>
        </w:rPr>
        <w:t xml:space="preserve"> </w:t>
      </w:r>
      <w:r>
        <w:rPr>
          <w:i/>
          <w:color w:val="000000"/>
        </w:rPr>
        <w:t>Ocean Advocates v. U.S. Army Corps of</w:t>
      </w:r>
      <w:r>
        <w:rPr>
          <w:color w:val="000000"/>
        </w:rPr>
        <w:t xml:space="preserve"> </w:t>
      </w:r>
      <w:proofErr w:type="spellStart"/>
      <w:r>
        <w:rPr>
          <w:i/>
          <w:color w:val="000000"/>
        </w:rPr>
        <w:t>Eng’rs</w:t>
      </w:r>
      <w:proofErr w:type="spellEnd"/>
      <w:r>
        <w:rPr>
          <w:color w:val="000000"/>
        </w:rPr>
        <w:t xml:space="preserve">, 402 F.3d 846, 864-65 (9th Cir. 2005) (“To trigger this [EIS] requirement a plaintiff need not show that significant effects will in fact occur, but raising substantial questions whether a project may have a significant effect is sufficient.” (internal quotations, citations, and alterations </w:t>
      </w:r>
      <w:proofErr w:type="gramStart"/>
      <w:r>
        <w:rPr>
          <w:color w:val="000000"/>
        </w:rPr>
        <w:t>omitted))</w:t>
      </w:r>
      <w:proofErr w:type="gramEnd"/>
      <w:r>
        <w:rPr>
          <w:color w:val="000000"/>
        </w:rPr>
        <w:t xml:space="preserve">. Other circuit courts agree. “If the agency determines that its proposed action may ‘significantly affect’ the environment, the agency must prepare a detailed statement on the environmental impact of the proposed action in the form of an EIS.” </w:t>
      </w:r>
      <w:r>
        <w:rPr>
          <w:i/>
          <w:color w:val="000000"/>
        </w:rPr>
        <w:t>Airport Neighbors Alliance v. U.S.,</w:t>
      </w:r>
      <w:r>
        <w:rPr>
          <w:color w:val="000000"/>
        </w:rPr>
        <w:t xml:space="preserve"> 90 F.3d 426, 429 (10th Cir. 1996) (citation omitted) (emphasis added).</w:t>
      </w:r>
    </w:p>
    <w:p w14:paraId="019F1901" w14:textId="77777777" w:rsidR="0011747D" w:rsidRDefault="00000000">
      <w:pPr>
        <w:pStyle w:val="Heading3"/>
        <w:spacing w:before="240" w:after="240" w:line="276" w:lineRule="auto"/>
        <w:rPr>
          <w:color w:val="000000"/>
        </w:rPr>
      </w:pPr>
      <w:r>
        <w:rPr>
          <w:color w:val="000000"/>
        </w:rPr>
        <w:t xml:space="preserve">If an agency “decides not to prepare an EIS, ‘it must put forth a convincing statement of reasons’ that explains why the project will impact the environment no more than insignificantly. This account proves crucial to evaluating whether the [agency] took the requisite ‘hard look.’” </w:t>
      </w:r>
      <w:r>
        <w:rPr>
          <w:i/>
          <w:color w:val="000000"/>
        </w:rPr>
        <w:t xml:space="preserve">Ocean </w:t>
      </w:r>
      <w:proofErr w:type="spellStart"/>
      <w:r>
        <w:rPr>
          <w:i/>
          <w:color w:val="000000"/>
        </w:rPr>
        <w:t>Advoc</w:t>
      </w:r>
      <w:proofErr w:type="spellEnd"/>
      <w:r>
        <w:rPr>
          <w:i/>
          <w:color w:val="000000"/>
        </w:rPr>
        <w:t>.</w:t>
      </w:r>
      <w:r>
        <w:rPr>
          <w:color w:val="000000"/>
        </w:rPr>
        <w:t>, 402 F.3d at 864.</w:t>
      </w:r>
    </w:p>
    <w:p w14:paraId="4F8EDBA8" w14:textId="77777777" w:rsidR="0011747D" w:rsidRDefault="00000000">
      <w:pPr>
        <w:pStyle w:val="Heading3"/>
        <w:spacing w:before="240" w:after="240" w:line="276" w:lineRule="auto"/>
        <w:rPr>
          <w:color w:val="000000"/>
        </w:rPr>
      </w:pPr>
      <w:r>
        <w:rPr>
          <w:color w:val="000000"/>
        </w:rPr>
        <w:t>Under the familiar 1978 CEQ regulations, “significance” requires consideration of the action’s context and intensity. 40 C.F.R. § 1508.27 (1978). An agency must analyze the significance of the action in several contexts, including short- and long-term effects within the setting of the proposed action (including site-specific, local impacts). 40 C.F.R. § 1508.27(a) (1978). Intensity refers to the severity of the impact and requires consideration of ten identified factors that may generally lead to a significance determination, including:</w:t>
      </w:r>
    </w:p>
    <w:p w14:paraId="368DA0E3" w14:textId="77777777" w:rsidR="0011747D" w:rsidRDefault="00000000">
      <w:pPr>
        <w:pStyle w:val="Heading3"/>
        <w:spacing w:before="0" w:after="240" w:line="276" w:lineRule="auto"/>
        <w:ind w:left="720"/>
        <w:rPr>
          <w:color w:val="000000"/>
        </w:rPr>
      </w:pPr>
      <w:r>
        <w:rPr>
          <w:color w:val="000000"/>
        </w:rPr>
        <w:t xml:space="preserve">(1) Unique characteristics of the geographic area such as proximity to historic or cultural resources, park lands, prime farmlands, wetlands, wild and scenic rivers, or ecologically critical </w:t>
      </w:r>
      <w:proofErr w:type="gramStart"/>
      <w:r>
        <w:rPr>
          <w:color w:val="000000"/>
        </w:rPr>
        <w:t>areas;</w:t>
      </w:r>
      <w:proofErr w:type="gramEnd"/>
    </w:p>
    <w:p w14:paraId="7261F622" w14:textId="77777777" w:rsidR="0011747D" w:rsidRDefault="00000000">
      <w:pPr>
        <w:pStyle w:val="Heading3"/>
        <w:spacing w:before="240" w:after="240" w:line="276" w:lineRule="auto"/>
        <w:ind w:left="720"/>
        <w:rPr>
          <w:color w:val="000000"/>
        </w:rPr>
      </w:pPr>
      <w:r>
        <w:rPr>
          <w:color w:val="000000"/>
        </w:rPr>
        <w:t xml:space="preserve">(2) whether the action is likely to be highly </w:t>
      </w:r>
      <w:proofErr w:type="gramStart"/>
      <w:r>
        <w:rPr>
          <w:color w:val="000000"/>
        </w:rPr>
        <w:t>controversial;</w:t>
      </w:r>
      <w:proofErr w:type="gramEnd"/>
    </w:p>
    <w:p w14:paraId="332C761B" w14:textId="77777777" w:rsidR="0011747D" w:rsidRDefault="00000000">
      <w:pPr>
        <w:pStyle w:val="Heading3"/>
        <w:spacing w:before="0" w:after="240" w:line="276" w:lineRule="auto"/>
        <w:ind w:left="720"/>
        <w:rPr>
          <w:color w:val="000000"/>
        </w:rPr>
      </w:pPr>
      <w:r>
        <w:rPr>
          <w:color w:val="000000"/>
        </w:rPr>
        <w:t xml:space="preserve">(3) whether the effects on the environment are highly uncertain or involve unique or unknown </w:t>
      </w:r>
      <w:proofErr w:type="gramStart"/>
      <w:r>
        <w:rPr>
          <w:color w:val="000000"/>
        </w:rPr>
        <w:t>risks;</w:t>
      </w:r>
      <w:proofErr w:type="gramEnd"/>
    </w:p>
    <w:p w14:paraId="4BBBB81C" w14:textId="77777777" w:rsidR="0011747D" w:rsidRDefault="00000000">
      <w:pPr>
        <w:pStyle w:val="Heading3"/>
        <w:spacing w:before="240" w:after="240" w:line="276" w:lineRule="auto"/>
        <w:ind w:left="720"/>
        <w:rPr>
          <w:color w:val="000000"/>
        </w:rPr>
      </w:pPr>
      <w:r>
        <w:rPr>
          <w:color w:val="000000"/>
        </w:rPr>
        <w:lastRenderedPageBreak/>
        <w:t xml:space="preserve">(4) whether the action may have cumulative significant </w:t>
      </w:r>
      <w:proofErr w:type="gramStart"/>
      <w:r>
        <w:rPr>
          <w:color w:val="000000"/>
        </w:rPr>
        <w:t>impacts;</w:t>
      </w:r>
      <w:proofErr w:type="gramEnd"/>
    </w:p>
    <w:p w14:paraId="7B92DCE4" w14:textId="77777777" w:rsidR="0011747D" w:rsidRDefault="00000000">
      <w:pPr>
        <w:pStyle w:val="Heading3"/>
        <w:spacing w:before="0" w:after="240" w:line="276" w:lineRule="auto"/>
        <w:ind w:left="720"/>
        <w:rPr>
          <w:color w:val="000000"/>
        </w:rPr>
      </w:pPr>
      <w:r>
        <w:rPr>
          <w:color w:val="000000"/>
        </w:rPr>
        <w:t>(5) The degree to which the action may adversely affect an endangered or threatened species or its habitat that has been determined to be critical under the Endangered Species Act of 1973; and</w:t>
      </w:r>
    </w:p>
    <w:p w14:paraId="4C31050C" w14:textId="77777777" w:rsidR="0011747D" w:rsidRDefault="00000000">
      <w:pPr>
        <w:pStyle w:val="Heading3"/>
        <w:spacing w:before="0" w:after="240" w:line="276" w:lineRule="auto"/>
        <w:ind w:left="720"/>
        <w:rPr>
          <w:color w:val="000000"/>
        </w:rPr>
      </w:pPr>
      <w:r>
        <w:rPr>
          <w:color w:val="000000"/>
        </w:rPr>
        <w:t>(6) Whether the action threatens a violation of Federal, State, or local law or requirements imposed for the protection of the environment.</w:t>
      </w:r>
    </w:p>
    <w:p w14:paraId="0F9B7EB2" w14:textId="77777777" w:rsidR="0011747D" w:rsidRDefault="00000000">
      <w:pPr>
        <w:pStyle w:val="Heading3"/>
        <w:spacing w:before="240" w:after="240" w:line="276" w:lineRule="auto"/>
        <w:rPr>
          <w:color w:val="000000"/>
        </w:rPr>
      </w:pPr>
      <w:r>
        <w:rPr>
          <w:color w:val="000000"/>
        </w:rPr>
        <w:t>40 C.F.R. § 1508.27(b)(3)-(5), (7), (9)-(10) (1978).</w:t>
      </w:r>
    </w:p>
    <w:p w14:paraId="5B582444" w14:textId="77777777" w:rsidR="0011747D" w:rsidRDefault="00000000">
      <w:pPr>
        <w:pStyle w:val="Heading3"/>
        <w:spacing w:before="240" w:after="240" w:line="276" w:lineRule="auto"/>
        <w:rPr>
          <w:color w:val="000000"/>
        </w:rPr>
      </w:pPr>
      <w:r>
        <w:rPr>
          <w:color w:val="000000"/>
        </w:rPr>
        <w:t xml:space="preserve">With respect to the degree to which the environmental effects are likely to be highly controversial, the word “controversial” refers to situations where “‘substantial dispute exists as to the size, nature, or effect of the major federal action.’” </w:t>
      </w:r>
      <w:r>
        <w:rPr>
          <w:i/>
          <w:color w:val="000000"/>
        </w:rPr>
        <w:t>Town of Cave Creek v. FAA,</w:t>
      </w:r>
      <w:r>
        <w:rPr>
          <w:color w:val="000000"/>
        </w:rPr>
        <w:t xml:space="preserve"> 325 F.3d 320, 331 (D.C. Cir. 2003) (quoting </w:t>
      </w:r>
      <w:r>
        <w:rPr>
          <w:i/>
          <w:color w:val="000000"/>
        </w:rPr>
        <w:t>North American Wild Sheep v. U.S. Department of Agriculture</w:t>
      </w:r>
      <w:r>
        <w:rPr>
          <w:color w:val="000000"/>
        </w:rPr>
        <w:t xml:space="preserve">, 681 F.2d 1172, 1182 (9th Cir. 1982)) (emphasis in original). </w:t>
      </w:r>
      <w:r>
        <w:rPr>
          <w:i/>
          <w:color w:val="000000"/>
        </w:rPr>
        <w:t>See also</w:t>
      </w:r>
      <w:r>
        <w:rPr>
          <w:color w:val="000000"/>
        </w:rPr>
        <w:t xml:space="preserve"> </w:t>
      </w:r>
      <w:r>
        <w:rPr>
          <w:i/>
          <w:color w:val="000000"/>
        </w:rPr>
        <w:t>Middle Rio Grande Conservancy Dist. v. Norton</w:t>
      </w:r>
      <w:r>
        <w:rPr>
          <w:color w:val="000000"/>
        </w:rPr>
        <w:t xml:space="preserve">, 294 F.3d 1220, 1229 (10th Cir. 2002) (same); </w:t>
      </w:r>
      <w:r>
        <w:rPr>
          <w:i/>
          <w:color w:val="000000"/>
        </w:rPr>
        <w:t>Town of Superior v. U.S. Fish and Wildlife Serv.</w:t>
      </w:r>
      <w:r>
        <w:rPr>
          <w:color w:val="000000"/>
        </w:rPr>
        <w:t>, 913 F. Supp. 2d 1087, 1120 (D. Colo. 2012) (same).</w:t>
      </w:r>
    </w:p>
    <w:p w14:paraId="5F7427FB" w14:textId="77777777" w:rsidR="0011747D" w:rsidRDefault="00000000">
      <w:pPr>
        <w:pStyle w:val="Heading3"/>
        <w:spacing w:before="240" w:after="240" w:line="276" w:lineRule="auto"/>
        <w:rPr>
          <w:color w:val="000000"/>
        </w:rPr>
      </w:pPr>
      <w:r>
        <w:rPr>
          <w:color w:val="000000"/>
        </w:rPr>
        <w:t>Under the Trump 2020 CEQ regulations, to evaluate significance:</w:t>
      </w:r>
    </w:p>
    <w:p w14:paraId="062EBBE0" w14:textId="77777777" w:rsidR="0011747D" w:rsidRDefault="00000000">
      <w:pPr>
        <w:pStyle w:val="Heading3"/>
        <w:spacing w:before="0" w:after="240" w:line="276" w:lineRule="auto"/>
        <w:ind w:left="720" w:right="720"/>
        <w:rPr>
          <w:color w:val="000000"/>
        </w:rPr>
      </w:pPr>
      <w:r>
        <w:rPr>
          <w:color w:val="000000"/>
        </w:rPr>
        <w:t>agencies shall analyze the potentially affected environment and degree of the effects of the action….</w:t>
      </w:r>
    </w:p>
    <w:p w14:paraId="49EA453C" w14:textId="77777777" w:rsidR="0011747D" w:rsidRDefault="00000000">
      <w:pPr>
        <w:pStyle w:val="Heading3"/>
        <w:spacing w:before="0" w:after="240" w:line="276" w:lineRule="auto"/>
        <w:ind w:left="1440" w:right="720"/>
        <w:rPr>
          <w:color w:val="000000"/>
        </w:rPr>
      </w:pPr>
      <w:r>
        <w:rPr>
          <w:color w:val="000000"/>
        </w:rPr>
        <w:t>(1) In considering the potentially affected environment, agencies should consider, as appropriate to the specific action, the affected area (national, regional, or local) and its resources, such as listed species and designated critical habitat under the Endangered Species Act. Significance varies with the setting of the proposed action. For instance, in the case of a site-specific action, significance would usually depend only upon the effects in the local area.</w:t>
      </w:r>
    </w:p>
    <w:p w14:paraId="3B6EE5DD" w14:textId="77777777" w:rsidR="0011747D" w:rsidRDefault="00000000">
      <w:pPr>
        <w:pStyle w:val="Heading3"/>
        <w:spacing w:before="0" w:after="40" w:line="276" w:lineRule="auto"/>
        <w:ind w:left="1440"/>
        <w:rPr>
          <w:color w:val="000000"/>
        </w:rPr>
      </w:pPr>
      <w:r>
        <w:rPr>
          <w:color w:val="000000"/>
        </w:rPr>
        <w:t>(2) In considering the degree of the effects, agencies should consider the following, as appropriate to the specific action:</w:t>
      </w:r>
    </w:p>
    <w:p w14:paraId="28752BAC" w14:textId="77777777" w:rsidR="0011747D" w:rsidRDefault="00000000">
      <w:pPr>
        <w:pStyle w:val="Heading3"/>
        <w:spacing w:before="0" w:after="40" w:line="276" w:lineRule="auto"/>
        <w:ind w:left="2340" w:hanging="440"/>
        <w:rPr>
          <w:color w:val="000000"/>
        </w:rPr>
      </w:pPr>
      <w:r>
        <w:rPr>
          <w:color w:val="000000"/>
        </w:rPr>
        <w:t>(</w:t>
      </w:r>
      <w:proofErr w:type="spellStart"/>
      <w:r>
        <w:rPr>
          <w:color w:val="000000"/>
        </w:rPr>
        <w:t>i</w:t>
      </w:r>
      <w:proofErr w:type="spellEnd"/>
      <w:r>
        <w:rPr>
          <w:color w:val="000000"/>
        </w:rPr>
        <w:t>)    Both short- and long-term effects.</w:t>
      </w:r>
    </w:p>
    <w:p w14:paraId="32193DE7" w14:textId="77777777" w:rsidR="0011747D" w:rsidRDefault="00000000">
      <w:pPr>
        <w:pStyle w:val="Heading3"/>
        <w:spacing w:before="0" w:after="40" w:line="276" w:lineRule="auto"/>
        <w:ind w:left="2340" w:hanging="440"/>
        <w:rPr>
          <w:color w:val="000000"/>
        </w:rPr>
      </w:pPr>
      <w:r>
        <w:rPr>
          <w:color w:val="000000"/>
        </w:rPr>
        <w:t>(ii)   Both beneficial and adverse effects.</w:t>
      </w:r>
    </w:p>
    <w:p w14:paraId="0D688749" w14:textId="77777777" w:rsidR="0011747D" w:rsidRDefault="00000000">
      <w:pPr>
        <w:pStyle w:val="Heading3"/>
        <w:spacing w:before="0" w:after="40" w:line="276" w:lineRule="auto"/>
        <w:ind w:left="2340" w:hanging="440"/>
        <w:rPr>
          <w:color w:val="000000"/>
        </w:rPr>
      </w:pPr>
      <w:r>
        <w:rPr>
          <w:color w:val="000000"/>
        </w:rPr>
        <w:t>(iii) Effects on public health and safety.</w:t>
      </w:r>
    </w:p>
    <w:p w14:paraId="7E1AB01E" w14:textId="77777777" w:rsidR="0011747D" w:rsidRDefault="00000000">
      <w:pPr>
        <w:pStyle w:val="Heading3"/>
        <w:spacing w:before="0" w:after="240" w:line="276" w:lineRule="auto"/>
        <w:ind w:left="2340" w:hanging="440"/>
        <w:rPr>
          <w:color w:val="000000"/>
        </w:rPr>
      </w:pPr>
      <w:r>
        <w:rPr>
          <w:color w:val="000000"/>
        </w:rPr>
        <w:t>(iv)  Effects that would violate Federal, State, Tribal, or local law protecting the environment.</w:t>
      </w:r>
    </w:p>
    <w:p w14:paraId="60E35C5E" w14:textId="77777777" w:rsidR="0011747D" w:rsidRDefault="00000000">
      <w:pPr>
        <w:pStyle w:val="Heading3"/>
        <w:spacing w:before="240" w:after="240" w:line="276" w:lineRule="auto"/>
        <w:rPr>
          <w:color w:val="000000"/>
        </w:rPr>
      </w:pPr>
      <w:r>
        <w:rPr>
          <w:color w:val="000000"/>
        </w:rPr>
        <w:t>40 C.F.R. § 1501.3(b) (2020).</w:t>
      </w:r>
    </w:p>
    <w:p w14:paraId="0D5B6A87" w14:textId="77777777" w:rsidR="0011747D" w:rsidRDefault="00000000">
      <w:pPr>
        <w:pStyle w:val="Heading3"/>
        <w:spacing w:before="0" w:after="240" w:line="276" w:lineRule="auto"/>
        <w:ind w:left="1440" w:hanging="720"/>
        <w:rPr>
          <w:b/>
          <w:color w:val="000000"/>
        </w:rPr>
      </w:pPr>
      <w:r>
        <w:rPr>
          <w:b/>
          <w:color w:val="000000"/>
        </w:rPr>
        <w:lastRenderedPageBreak/>
        <w:t>A.</w:t>
      </w:r>
      <w:r>
        <w:rPr>
          <w:color w:val="000000"/>
          <w:sz w:val="14"/>
          <w:szCs w:val="14"/>
        </w:rPr>
        <w:t xml:space="preserve">             </w:t>
      </w:r>
      <w:r>
        <w:rPr>
          <w:b/>
          <w:color w:val="000000"/>
        </w:rPr>
        <w:t>Because the Hungry Creek Project Is Likely to Have Significant Impacts, the Forest Service Should Prepare an EIS.</w:t>
      </w:r>
    </w:p>
    <w:p w14:paraId="0712717F" w14:textId="77777777" w:rsidR="0011747D" w:rsidRDefault="00000000">
      <w:pPr>
        <w:pStyle w:val="Heading3"/>
        <w:spacing w:before="240" w:after="240" w:line="276" w:lineRule="auto"/>
        <w:rPr>
          <w:color w:val="000000"/>
        </w:rPr>
      </w:pPr>
      <w:r>
        <w:rPr>
          <w:color w:val="000000"/>
        </w:rPr>
        <w:t>The Hungry Creek project meets numerous standards for “significance,” under both the 1978 and 2020 regulations.</w:t>
      </w:r>
      <w:r>
        <w:rPr>
          <w:color w:val="000000"/>
          <w:vertAlign w:val="superscript"/>
        </w:rPr>
        <w:footnoteReference w:id="26"/>
      </w:r>
    </w:p>
    <w:p w14:paraId="6998CE4E" w14:textId="77777777" w:rsidR="0011747D" w:rsidRDefault="00000000">
      <w:pPr>
        <w:pStyle w:val="Heading3"/>
        <w:spacing w:before="240" w:after="240" w:line="276" w:lineRule="auto"/>
        <w:rPr>
          <w:color w:val="000000"/>
        </w:rPr>
      </w:pPr>
      <w:r>
        <w:rPr>
          <w:color w:val="000000"/>
        </w:rPr>
        <w:t>Per the 1978 CEQ regulations, the Hungry Creek project area has unique characteristics including its adjacency to the Box Death Hollow Wilderness and the Grand Staircase-Escalante National Monument, its habitat for goshawk, and the fact that it is largely roadless. These unique and sensitive values are at risk from logging, road building, road maintenance, road use, and fire.</w:t>
      </w:r>
    </w:p>
    <w:p w14:paraId="262F76E1" w14:textId="77777777" w:rsidR="0011747D" w:rsidRDefault="00000000">
      <w:pPr>
        <w:pStyle w:val="Heading3"/>
        <w:spacing w:before="240" w:after="240" w:line="276" w:lineRule="auto"/>
        <w:rPr>
          <w:color w:val="000000"/>
        </w:rPr>
      </w:pPr>
      <w:proofErr w:type="gramStart"/>
      <w:r>
        <w:rPr>
          <w:color w:val="000000"/>
        </w:rPr>
        <w:t>All of</w:t>
      </w:r>
      <w:proofErr w:type="gramEnd"/>
      <w:r>
        <w:rPr>
          <w:color w:val="000000"/>
        </w:rPr>
        <w:t xml:space="preserve"> these values may be impacted by the proposed action; this fact requires the Forest Service to prepare an EIS.</w:t>
      </w:r>
    </w:p>
    <w:p w14:paraId="05F068D6" w14:textId="77777777" w:rsidR="0011747D" w:rsidRDefault="00000000">
      <w:pPr>
        <w:pStyle w:val="Heading3"/>
        <w:spacing w:before="240" w:after="240" w:line="276" w:lineRule="auto"/>
        <w:rPr>
          <w:color w:val="000000"/>
        </w:rPr>
      </w:pPr>
      <w:r>
        <w:rPr>
          <w:color w:val="000000"/>
        </w:rPr>
        <w:t>The size of the project alone – involving logging (tree removal) across 47,570 acres – is significant. The area to be logged is greater in size than the District of Columbia. It’s the size of more than 36,000 football fields.</w:t>
      </w:r>
    </w:p>
    <w:p w14:paraId="72F29E13" w14:textId="77777777" w:rsidR="0011747D" w:rsidRDefault="00000000">
      <w:pPr>
        <w:pStyle w:val="Heading3"/>
        <w:spacing w:before="240" w:after="240" w:line="276" w:lineRule="auto"/>
        <w:rPr>
          <w:color w:val="000000"/>
        </w:rPr>
      </w:pPr>
      <w:r>
        <w:rPr>
          <w:color w:val="000000"/>
        </w:rPr>
        <w:t>The Hungry Creek project’s effects on the environment are also highly uncertain or involve unique or unknown risks. The 2024 EA is based on the critical assumption that logging and burning now will improve the forest’s “resilience” in comparison to doing nothing because it will forestall damaging impacts (e.g., from climate, fire or bugs). But while logging will immediately degrade mature forests, wildlife habitat and other values, the threat such logging attempts to forestall may never occur.</w:t>
      </w:r>
    </w:p>
    <w:p w14:paraId="60A731EA" w14:textId="77777777" w:rsidR="0011747D" w:rsidRDefault="00000000">
      <w:pPr>
        <w:pStyle w:val="Heading3"/>
        <w:spacing w:before="240" w:after="240" w:line="276" w:lineRule="auto"/>
        <w:rPr>
          <w:color w:val="000000"/>
        </w:rPr>
      </w:pPr>
      <w:r>
        <w:rPr>
          <w:color w:val="000000"/>
        </w:rPr>
        <w:t xml:space="preserve">Further, the project’s impacts are highly uncertain because the Forest Service does not disclose, and has not yet identified, the location of up to 40 miles of skid trails in roadless areas, or the precise location or timing of treatments. The Forest Service cannot have it both ways: it </w:t>
      </w:r>
      <w:proofErr w:type="gramStart"/>
      <w:r>
        <w:rPr>
          <w:color w:val="000000"/>
        </w:rPr>
        <w:t>cannot both</w:t>
      </w:r>
      <w:proofErr w:type="gramEnd"/>
      <w:r>
        <w:rPr>
          <w:color w:val="000000"/>
        </w:rPr>
        <w:t xml:space="preserve"> conclude that this huge project will have no significant effects, while simultaneously declining to disclose its site-specific impacts.</w:t>
      </w:r>
    </w:p>
    <w:p w14:paraId="0932D752" w14:textId="77777777" w:rsidR="0011747D" w:rsidRDefault="00000000">
      <w:pPr>
        <w:pStyle w:val="Heading3"/>
        <w:spacing w:before="240" w:after="240" w:line="276" w:lineRule="auto"/>
        <w:rPr>
          <w:color w:val="000000"/>
        </w:rPr>
      </w:pPr>
      <w:r>
        <w:rPr>
          <w:color w:val="000000"/>
        </w:rPr>
        <w:t>The project also threatens a violation of law meant to protect the environment: the Roadless Rule. It does so by, among other things, failing to ensure that logging in IRAs will only remove generally small diameter trees.</w:t>
      </w:r>
    </w:p>
    <w:p w14:paraId="7E7B1B2F" w14:textId="77777777" w:rsidR="0011747D" w:rsidRDefault="00000000" w:rsidP="004F6835">
      <w:pPr>
        <w:pStyle w:val="Heading3"/>
        <w:spacing w:before="240"/>
        <w:rPr>
          <w:color w:val="000000"/>
        </w:rPr>
      </w:pPr>
      <w:r>
        <w:rPr>
          <w:color w:val="000000"/>
        </w:rPr>
        <w:t xml:space="preserve">For similar reasons, the project will have significant impacts as evaluated under the </w:t>
      </w:r>
      <w:proofErr w:type="gramStart"/>
      <w:r>
        <w:rPr>
          <w:color w:val="000000"/>
        </w:rPr>
        <w:t>unlawfully-adopted</w:t>
      </w:r>
      <w:proofErr w:type="gramEnd"/>
      <w:r>
        <w:rPr>
          <w:color w:val="000000"/>
        </w:rPr>
        <w:t xml:space="preserve"> 2020 Trump CEQ NEPA regulations. The nature and scale of impacts in the “local area,” including more than 47,000+ acres of logging, including 12,502 acres of thinning. Short-term impacts – to scenic integrity, IRAs, and other values– are significant as described above. Long-term impacts are significant as well.</w:t>
      </w:r>
    </w:p>
    <w:p w14:paraId="53CED555" w14:textId="77777777" w:rsidR="0011747D" w:rsidRDefault="00000000">
      <w:pPr>
        <w:pStyle w:val="Heading3"/>
        <w:spacing w:before="0" w:after="240" w:line="276" w:lineRule="auto"/>
        <w:ind w:left="1440" w:hanging="720"/>
        <w:rPr>
          <w:b/>
          <w:color w:val="000000"/>
        </w:rPr>
      </w:pPr>
      <w:r>
        <w:rPr>
          <w:b/>
          <w:color w:val="000000"/>
        </w:rPr>
        <w:lastRenderedPageBreak/>
        <w:t xml:space="preserve">B.    </w:t>
      </w:r>
      <w:r>
        <w:rPr>
          <w:b/>
          <w:color w:val="000000"/>
        </w:rPr>
        <w:tab/>
        <w:t>The Proposed Action Is Highly Controversial Because the Science Upon Which It Is Based Is Questionable.</w:t>
      </w:r>
    </w:p>
    <w:p w14:paraId="40DAF013" w14:textId="77777777" w:rsidR="0011747D" w:rsidRDefault="00000000">
      <w:pPr>
        <w:pStyle w:val="Heading3"/>
        <w:spacing w:before="240" w:after="240" w:line="276" w:lineRule="auto"/>
        <w:rPr>
          <w:color w:val="000000"/>
        </w:rPr>
      </w:pPr>
      <w:r>
        <w:rPr>
          <w:color w:val="000000"/>
        </w:rPr>
        <w:t xml:space="preserve">The effects of this project meet the 1978 CEQ regulations’ definition of “highly controversial.” 40 C.F.R. § 1508.27(b)(4) (1978). In this context, the term “controversial” refers to “cases where a substantial dispute exists as to the size, nature, or effect of the major Federal action rather than to the existence of opposition to a use.” </w:t>
      </w:r>
      <w:r>
        <w:rPr>
          <w:i/>
          <w:color w:val="000000"/>
        </w:rPr>
        <w:t>Sierra Club v. United States Forest Serv</w:t>
      </w:r>
      <w:r>
        <w:rPr>
          <w:color w:val="000000"/>
        </w:rPr>
        <w:t>., 843 F.2d 1190, 1193 (9th Cir. 1988) (finding that where Sierra Club presented evidence from experts showing the EA’s inadequacies and casting doubt on the agency’s conclusions, “this is precisely the type of ‘controversial’ action for which an EIS must be prepared.”). Courts explain:</w:t>
      </w:r>
    </w:p>
    <w:p w14:paraId="2A38ECB5" w14:textId="77777777" w:rsidR="0011747D" w:rsidRDefault="00000000">
      <w:pPr>
        <w:pStyle w:val="Heading3"/>
        <w:spacing w:before="0" w:after="240" w:line="276" w:lineRule="auto"/>
        <w:ind w:left="720" w:right="720"/>
        <w:rPr>
          <w:color w:val="000000"/>
        </w:rPr>
      </w:pPr>
      <w:r>
        <w:rPr>
          <w:color w:val="000000"/>
        </w:rPr>
        <w:t xml:space="preserve">A substantial dispute exists when “evidence, raised prior to the preparation of an EIS or FONSI, casts serious doubt upon the reasonableness of the agency’s conclusions.” </w:t>
      </w:r>
      <w:proofErr w:type="spellStart"/>
      <w:r>
        <w:rPr>
          <w:i/>
          <w:color w:val="000000"/>
        </w:rPr>
        <w:t>Nat’l</w:t>
      </w:r>
      <w:proofErr w:type="spellEnd"/>
      <w:r>
        <w:rPr>
          <w:i/>
          <w:color w:val="000000"/>
        </w:rPr>
        <w:t xml:space="preserve"> Parks </w:t>
      </w:r>
      <w:r>
        <w:rPr>
          <w:color w:val="000000"/>
        </w:rPr>
        <w:t>[</w:t>
      </w:r>
      <w:r>
        <w:rPr>
          <w:i/>
          <w:color w:val="000000"/>
        </w:rPr>
        <w:t xml:space="preserve">&amp; Conservation </w:t>
      </w:r>
      <w:proofErr w:type="spellStart"/>
      <w:r>
        <w:rPr>
          <w:i/>
          <w:color w:val="000000"/>
        </w:rPr>
        <w:t>Ass’n</w:t>
      </w:r>
      <w:proofErr w:type="spellEnd"/>
      <w:r>
        <w:rPr>
          <w:i/>
          <w:color w:val="000000"/>
        </w:rPr>
        <w:t xml:space="preserve"> v. Babbitt,</w:t>
      </w:r>
      <w:r>
        <w:rPr>
          <w:color w:val="000000"/>
        </w:rPr>
        <w:t xml:space="preserve"> 241 F.3d 722, 736 (9th Cir. 2001)] (internal citation omitted). Such evidence generally challenges the scope of the scientific analysis, the methodology used, or the data presented by the agency. </w:t>
      </w:r>
      <w:r>
        <w:rPr>
          <w:i/>
          <w:color w:val="000000"/>
        </w:rPr>
        <w:t xml:space="preserve">See Blue Mountain </w:t>
      </w:r>
      <w:r>
        <w:rPr>
          <w:color w:val="000000"/>
        </w:rPr>
        <w:t>[</w:t>
      </w:r>
      <w:r>
        <w:rPr>
          <w:i/>
          <w:color w:val="000000"/>
        </w:rPr>
        <w:t>Biodiversity Project v. Blackwood</w:t>
      </w:r>
      <w:r>
        <w:rPr>
          <w:color w:val="000000"/>
        </w:rPr>
        <w:t>, 161 F.3d 1208, 1212-13 (9th Cir. 1998)] (citing the Forest Service’s failure to consider the recommendations and data of an independent scientific report that ran contrary to the proposed action as evidence of controversy).</w:t>
      </w:r>
    </w:p>
    <w:p w14:paraId="64DDB37E" w14:textId="77777777" w:rsidR="0011747D" w:rsidRDefault="00000000">
      <w:pPr>
        <w:pStyle w:val="Heading3"/>
        <w:spacing w:before="240" w:after="240" w:line="276" w:lineRule="auto"/>
        <w:rPr>
          <w:color w:val="000000"/>
        </w:rPr>
      </w:pPr>
      <w:r>
        <w:rPr>
          <w:i/>
          <w:color w:val="000000"/>
        </w:rPr>
        <w:t>Anglers of the Au Sable v. United States Forest Serv</w:t>
      </w:r>
      <w:r>
        <w:rPr>
          <w:color w:val="000000"/>
        </w:rPr>
        <w:t xml:space="preserve">., 565 F. Supp. 2d 812, 827-828 (E.D. Mich. 2008). Here, the Forest Service assumes that thinning and clearcutting will enhance landscape “resilience” to beetle outbreaks and lower fire risk to communities, despite contrary evidence and studies. There is thus a genuine controversy as to whether the project will meet the stated purpose and need, or will have the impacts predicted, given the scientific studies cited above that undercut, or refute, those conclusions. This is precisely the type of “controversy” that courts find sufficient to require preparation of an EIS. </w:t>
      </w:r>
      <w:r>
        <w:rPr>
          <w:i/>
          <w:color w:val="000000"/>
        </w:rPr>
        <w:t xml:space="preserve">See id. </w:t>
      </w:r>
      <w:r>
        <w:rPr>
          <w:color w:val="000000"/>
        </w:rPr>
        <w:t>The dispute is heightened here because the Forest Service has so far ignored and failed to acknowledge many of these contrary studies.</w:t>
      </w:r>
    </w:p>
    <w:p w14:paraId="283BDD83" w14:textId="77777777" w:rsidR="0011747D" w:rsidRDefault="00000000">
      <w:pPr>
        <w:pStyle w:val="Heading3"/>
        <w:spacing w:before="240" w:after="240" w:line="276" w:lineRule="auto"/>
        <w:ind w:left="720"/>
        <w:rPr>
          <w:b/>
          <w:color w:val="000000"/>
          <w:highlight w:val="yellow"/>
        </w:rPr>
      </w:pPr>
      <w:bookmarkStart w:id="5" w:name="_heading=h.4bwfb0us85v3" w:colFirst="0" w:colLast="0"/>
      <w:bookmarkEnd w:id="5"/>
      <w:r>
        <w:rPr>
          <w:color w:val="000000"/>
          <w:u w:val="single"/>
        </w:rPr>
        <w:t>Proposed Resolution</w:t>
      </w:r>
      <w:r>
        <w:rPr>
          <w:color w:val="000000"/>
        </w:rPr>
        <w:t xml:space="preserve">: </w:t>
      </w:r>
      <w:proofErr w:type="gramStart"/>
      <w:r>
        <w:rPr>
          <w:color w:val="000000"/>
        </w:rPr>
        <w:t>The Dixie</w:t>
      </w:r>
      <w:proofErr w:type="gramEnd"/>
      <w:r>
        <w:rPr>
          <w:color w:val="000000"/>
        </w:rPr>
        <w:t xml:space="preserve"> NF should prepare an EIS to fully disclose the impacts of the Hungry Creek project.</w:t>
      </w:r>
    </w:p>
    <w:p w14:paraId="1BADC448" w14:textId="77777777" w:rsidR="0011747D" w:rsidRDefault="00000000">
      <w:pPr>
        <w:pStyle w:val="Heading3"/>
        <w:tabs>
          <w:tab w:val="left" w:pos="540"/>
        </w:tabs>
      </w:pPr>
      <w:bookmarkStart w:id="6" w:name="_heading=h.v6ypesst73ee" w:colFirst="0" w:colLast="0"/>
      <w:bookmarkEnd w:id="6"/>
      <w:r>
        <w:rPr>
          <w:b/>
          <w:color w:val="000000"/>
        </w:rPr>
        <w:t>IX.</w:t>
      </w:r>
      <w:r>
        <w:rPr>
          <w:b/>
          <w:color w:val="000000"/>
        </w:rPr>
        <w:tab/>
        <w:t>Conclusion</w:t>
      </w:r>
    </w:p>
    <w:p w14:paraId="744FC1E3" w14:textId="77777777" w:rsidR="0011747D" w:rsidRDefault="00000000">
      <w:pPr>
        <w:spacing w:before="240" w:after="240" w:line="276" w:lineRule="auto"/>
      </w:pPr>
      <w:r>
        <w:t>The Grand Canyon Trust, Center for Biological Diversity, and Western Watersheds Project appreciate your consideration of the information and concerns raised in our comments and highlighted in this objection.</w:t>
      </w:r>
    </w:p>
    <w:p w14:paraId="32CE2976" w14:textId="77777777" w:rsidR="0011747D" w:rsidRDefault="00000000">
      <w:pPr>
        <w:spacing w:before="240" w:after="240" w:line="276" w:lineRule="auto"/>
      </w:pPr>
      <w:r>
        <w:lastRenderedPageBreak/>
        <w:t>We request a meeting to discuss potential resolution of issues raised in this objection, pursuant to 36 C.F.R. § 218.11(a). We hope that the Forest Service will use the objection process and such a meeting as opportunities to engage with stakeholders, including the objectors here, to develop a project that is legally and ecologically sound.</w:t>
      </w:r>
    </w:p>
    <w:p w14:paraId="46B4F504" w14:textId="77777777" w:rsidR="00282564" w:rsidRDefault="00282564"/>
    <w:p w14:paraId="549AE315" w14:textId="77777777" w:rsidR="00282564" w:rsidRDefault="00282564"/>
    <w:p w14:paraId="2A19616B" w14:textId="27286AEE" w:rsidR="0011747D" w:rsidRDefault="00000000">
      <w:r>
        <w:t>Sincerely,</w:t>
      </w:r>
    </w:p>
    <w:p w14:paraId="2ABB1FA3" w14:textId="77777777" w:rsidR="0011747D" w:rsidRDefault="00000000">
      <w:r>
        <w:rPr>
          <w:noProof/>
        </w:rPr>
        <w:drawing>
          <wp:inline distT="0" distB="0" distL="0" distR="0" wp14:anchorId="6220BF70" wp14:editId="1D5D241A">
            <wp:extent cx="1399295" cy="498843"/>
            <wp:effectExtent l="0" t="0" r="0" b="0"/>
            <wp:docPr id="732230187" name="image1.jpg" descr="A signature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ignature of a person&#10;&#10;Description automatically generated"/>
                    <pic:cNvPicPr preferRelativeResize="0"/>
                  </pic:nvPicPr>
                  <pic:blipFill>
                    <a:blip r:embed="rId13"/>
                    <a:srcRect/>
                    <a:stretch>
                      <a:fillRect/>
                    </a:stretch>
                  </pic:blipFill>
                  <pic:spPr>
                    <a:xfrm>
                      <a:off x="0" y="0"/>
                      <a:ext cx="1399295" cy="498843"/>
                    </a:xfrm>
                    <a:prstGeom prst="rect">
                      <a:avLst/>
                    </a:prstGeom>
                    <a:ln/>
                  </pic:spPr>
                </pic:pic>
              </a:graphicData>
            </a:graphic>
          </wp:inline>
        </w:drawing>
      </w:r>
    </w:p>
    <w:p w14:paraId="67B97AEB" w14:textId="77777777" w:rsidR="0011747D" w:rsidRDefault="00000000">
      <w:r>
        <w:t>Mike Popejoy, Lead Objector</w:t>
      </w:r>
    </w:p>
    <w:p w14:paraId="51AD66E1" w14:textId="77777777" w:rsidR="0011747D" w:rsidRDefault="00000000">
      <w:r>
        <w:t>Utah Public Lands Director</w:t>
      </w:r>
    </w:p>
    <w:p w14:paraId="0450B9F5" w14:textId="77777777" w:rsidR="0011747D" w:rsidRDefault="00000000">
      <w:r>
        <w:t>Grand Canyon Trust</w:t>
      </w:r>
    </w:p>
    <w:p w14:paraId="27FA94EB" w14:textId="77777777" w:rsidR="0011747D" w:rsidRDefault="00000000">
      <w:r>
        <w:t>2601 N. Fort Valley Rd.</w:t>
      </w:r>
    </w:p>
    <w:p w14:paraId="532FB597" w14:textId="77777777" w:rsidR="0011747D" w:rsidRDefault="00000000">
      <w:r>
        <w:t>Flagstaff, AZ 86001</w:t>
      </w:r>
    </w:p>
    <w:p w14:paraId="685640DD" w14:textId="77777777" w:rsidR="0011747D" w:rsidRDefault="00000000">
      <w:r>
        <w:t>(928) 707-1419</w:t>
      </w:r>
    </w:p>
    <w:p w14:paraId="50034469" w14:textId="77777777" w:rsidR="0011747D" w:rsidRDefault="00000000">
      <w:hyperlink r:id="rId14">
        <w:r>
          <w:rPr>
            <w:color w:val="1155CC"/>
            <w:u w:val="single"/>
          </w:rPr>
          <w:t>mpopejoy@grandcanyontrust.org</w:t>
        </w:r>
      </w:hyperlink>
    </w:p>
    <w:p w14:paraId="28646017" w14:textId="77777777" w:rsidR="0011747D" w:rsidRDefault="0011747D"/>
    <w:p w14:paraId="2DC71412" w14:textId="77777777" w:rsidR="0011747D" w:rsidRDefault="00000000">
      <w:r>
        <w:t>Laura Welp</w:t>
      </w:r>
    </w:p>
    <w:p w14:paraId="4959B57B" w14:textId="77777777" w:rsidR="0011747D" w:rsidRDefault="00000000">
      <w:r>
        <w:t>Ecosystems Specialist</w:t>
      </w:r>
    </w:p>
    <w:p w14:paraId="1193F957" w14:textId="77777777" w:rsidR="0011747D" w:rsidRDefault="00000000">
      <w:r>
        <w:t>Western Watersheds Project</w:t>
      </w:r>
    </w:p>
    <w:p w14:paraId="74D14748" w14:textId="77777777" w:rsidR="0011747D" w:rsidRDefault="00000000">
      <w:r>
        <w:t>325 NW Cleveland Street</w:t>
      </w:r>
    </w:p>
    <w:p w14:paraId="1BA89CB4" w14:textId="77777777" w:rsidR="0011747D" w:rsidRDefault="00000000">
      <w:r>
        <w:t>Pullman, WA 99163</w:t>
      </w:r>
    </w:p>
    <w:p w14:paraId="2E906F7F" w14:textId="77777777" w:rsidR="0011747D" w:rsidRDefault="00000000">
      <w:r>
        <w:t>435-899-0204</w:t>
      </w:r>
    </w:p>
    <w:p w14:paraId="76122743" w14:textId="77777777" w:rsidR="0011747D" w:rsidRDefault="00000000">
      <w:hyperlink r:id="rId15">
        <w:r>
          <w:rPr>
            <w:color w:val="1155CC"/>
            <w:u w:val="single"/>
          </w:rPr>
          <w:t>laura@westernwatersheds.org</w:t>
        </w:r>
      </w:hyperlink>
    </w:p>
    <w:p w14:paraId="31792429" w14:textId="77777777" w:rsidR="0011747D" w:rsidRDefault="0011747D"/>
    <w:p w14:paraId="0F6D0540" w14:textId="77777777" w:rsidR="0011747D" w:rsidRDefault="00000000">
      <w:r>
        <w:t>Edward B. Zukoski, Senior Attorney</w:t>
      </w:r>
    </w:p>
    <w:p w14:paraId="646F1F3F" w14:textId="77777777" w:rsidR="0011747D" w:rsidRDefault="00000000">
      <w:r>
        <w:t>Center for Biological Diversity</w:t>
      </w:r>
    </w:p>
    <w:p w14:paraId="160E9A2B" w14:textId="77777777" w:rsidR="0011747D" w:rsidRDefault="00000000">
      <w:r>
        <w:t>1536 Wynkoop Street, Suite 421</w:t>
      </w:r>
    </w:p>
    <w:p w14:paraId="493D14C6" w14:textId="77777777" w:rsidR="0011747D" w:rsidRDefault="00000000">
      <w:r>
        <w:t>Denver, CO 80202</w:t>
      </w:r>
    </w:p>
    <w:p w14:paraId="4752CFC3" w14:textId="77777777" w:rsidR="0011747D" w:rsidRDefault="00000000">
      <w:r>
        <w:t>(303) 641-3149</w:t>
      </w:r>
    </w:p>
    <w:p w14:paraId="4EF951E4" w14:textId="77777777" w:rsidR="0011747D" w:rsidRDefault="00000000">
      <w:hyperlink r:id="rId16">
        <w:r>
          <w:rPr>
            <w:color w:val="1155CC"/>
            <w:u w:val="single"/>
          </w:rPr>
          <w:t>tzukoski@biologicaldiversity.org</w:t>
        </w:r>
      </w:hyperlink>
    </w:p>
    <w:p w14:paraId="4DC780CD" w14:textId="77777777" w:rsidR="0011747D" w:rsidRDefault="0011747D"/>
    <w:p w14:paraId="79A524AA" w14:textId="77777777" w:rsidR="0011747D" w:rsidRDefault="00000000">
      <w:r>
        <w:t>Laura Welp</w:t>
      </w:r>
    </w:p>
    <w:p w14:paraId="4F7C990D" w14:textId="77777777" w:rsidR="0011747D" w:rsidRDefault="00000000">
      <w:r>
        <w:t>Ecosystems Specialist</w:t>
      </w:r>
    </w:p>
    <w:p w14:paraId="7A0854F8" w14:textId="77777777" w:rsidR="0011747D" w:rsidRDefault="00000000">
      <w:r>
        <w:t>Western Watersheds Project</w:t>
      </w:r>
    </w:p>
    <w:p w14:paraId="2CB0B8B6" w14:textId="77777777" w:rsidR="0011747D" w:rsidRDefault="00000000">
      <w:r>
        <w:t>325 NW Cleveland Street</w:t>
      </w:r>
    </w:p>
    <w:p w14:paraId="12AAF975" w14:textId="77777777" w:rsidR="0011747D" w:rsidRDefault="00000000">
      <w:r>
        <w:t>Pullman, WA 99163</w:t>
      </w:r>
    </w:p>
    <w:p w14:paraId="4430C117" w14:textId="77777777" w:rsidR="0011747D" w:rsidRDefault="00000000">
      <w:r>
        <w:t>435-899-0204</w:t>
      </w:r>
    </w:p>
    <w:p w14:paraId="1D6C630E" w14:textId="77777777" w:rsidR="0011747D" w:rsidRDefault="00000000">
      <w:hyperlink r:id="rId17">
        <w:r>
          <w:rPr>
            <w:color w:val="1155CC"/>
            <w:u w:val="single"/>
          </w:rPr>
          <w:t>laura@westernwatersheds.org</w:t>
        </w:r>
      </w:hyperlink>
    </w:p>
    <w:sectPr w:rsidR="0011747D">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7CE2E" w14:textId="77777777" w:rsidR="00537314" w:rsidRDefault="00537314">
      <w:r>
        <w:separator/>
      </w:r>
    </w:p>
  </w:endnote>
  <w:endnote w:type="continuationSeparator" w:id="0">
    <w:p w14:paraId="29BACDC5" w14:textId="77777777" w:rsidR="00537314" w:rsidRDefault="0053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6EA8" w14:textId="77777777" w:rsidR="0011747D" w:rsidRDefault="00000000">
    <w:pPr>
      <w:jc w:val="center"/>
    </w:pPr>
    <w:r>
      <w:fldChar w:fldCharType="begin"/>
    </w:r>
    <w:r>
      <w:instrText>PAGE</w:instrText>
    </w:r>
    <w:r>
      <w:fldChar w:fldCharType="separate"/>
    </w:r>
    <w:r w:rsidR="004F68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113CF" w14:textId="77777777" w:rsidR="00537314" w:rsidRDefault="00537314">
      <w:r>
        <w:separator/>
      </w:r>
    </w:p>
  </w:footnote>
  <w:footnote w:type="continuationSeparator" w:id="0">
    <w:p w14:paraId="66BA2553" w14:textId="77777777" w:rsidR="00537314" w:rsidRDefault="00537314">
      <w:r>
        <w:continuationSeparator/>
      </w:r>
    </w:p>
  </w:footnote>
  <w:footnote w:id="1">
    <w:p w14:paraId="3625A104" w14:textId="77777777" w:rsidR="0011747D" w:rsidRDefault="00000000">
      <w:pPr>
        <w:rPr>
          <w:sz w:val="16"/>
          <w:szCs w:val="16"/>
        </w:rPr>
      </w:pPr>
      <w:r>
        <w:rPr>
          <w:vertAlign w:val="superscript"/>
        </w:rPr>
        <w:footnoteRef/>
      </w:r>
      <w:r>
        <w:rPr>
          <w:sz w:val="20"/>
          <w:szCs w:val="20"/>
        </w:rPr>
        <w:t xml:space="preserve"> 40 </w:t>
      </w:r>
      <w:proofErr w:type="gramStart"/>
      <w:r>
        <w:rPr>
          <w:sz w:val="20"/>
          <w:szCs w:val="20"/>
        </w:rPr>
        <w:t>C.F.R..</w:t>
      </w:r>
      <w:proofErr w:type="gramEnd"/>
      <w:r>
        <w:rPr>
          <w:sz w:val="20"/>
          <w:szCs w:val="20"/>
        </w:rPr>
        <w:t xml:space="preserve"> §§ 1508.25(c),1508.8(a).</w:t>
      </w:r>
    </w:p>
  </w:footnote>
  <w:footnote w:id="2">
    <w:p w14:paraId="5C9EF157" w14:textId="77777777" w:rsidR="0011747D" w:rsidRDefault="00000000">
      <w:pPr>
        <w:rPr>
          <w:sz w:val="20"/>
          <w:szCs w:val="20"/>
        </w:rPr>
      </w:pPr>
      <w:r>
        <w:rPr>
          <w:vertAlign w:val="superscript"/>
        </w:rPr>
        <w:footnoteRef/>
      </w:r>
      <w:r>
        <w:rPr>
          <w:sz w:val="20"/>
          <w:szCs w:val="20"/>
        </w:rPr>
        <w:t xml:space="preserve"> </w:t>
      </w:r>
      <w:r>
        <w:rPr>
          <w:i/>
          <w:sz w:val="20"/>
          <w:szCs w:val="20"/>
        </w:rPr>
        <w:t xml:space="preserve">Los Alamos Study Grp. v. U.S. </w:t>
      </w:r>
      <w:proofErr w:type="spellStart"/>
      <w:r>
        <w:rPr>
          <w:i/>
          <w:sz w:val="20"/>
          <w:szCs w:val="20"/>
        </w:rPr>
        <w:t>Dep't</w:t>
      </w:r>
      <w:proofErr w:type="spellEnd"/>
      <w:r>
        <w:rPr>
          <w:i/>
          <w:sz w:val="20"/>
          <w:szCs w:val="20"/>
        </w:rPr>
        <w:t xml:space="preserve"> of Energy</w:t>
      </w:r>
      <w:r>
        <w:rPr>
          <w:sz w:val="20"/>
          <w:szCs w:val="20"/>
        </w:rPr>
        <w:t xml:space="preserve">, 692 F.3d 1057, 1060 (10th Cir. 2012) ( NEPA’s dual goals are that the agency “consider every significant aspect of the environmental impact of a proposed action” and “inform the public that it has indeed considered environmental concerns in its </w:t>
      </w:r>
      <w:proofErr w:type="spellStart"/>
      <w:r>
        <w:rPr>
          <w:sz w:val="20"/>
          <w:szCs w:val="20"/>
        </w:rPr>
        <w:t>decisionmaking</w:t>
      </w:r>
      <w:proofErr w:type="spellEnd"/>
      <w:r>
        <w:rPr>
          <w:sz w:val="20"/>
          <w:szCs w:val="20"/>
        </w:rPr>
        <w:t xml:space="preserve"> process.”) (internal citations omitted).</w:t>
      </w:r>
    </w:p>
    <w:p w14:paraId="589D7D1B" w14:textId="77777777" w:rsidR="0011747D" w:rsidRDefault="0011747D">
      <w:pPr>
        <w:shd w:val="clear" w:color="auto" w:fill="FFFFFF"/>
        <w:spacing w:line="349" w:lineRule="auto"/>
        <w:rPr>
          <w:rFonts w:ascii="Arial" w:eastAsia="Arial" w:hAnsi="Arial" w:cs="Arial"/>
          <w:sz w:val="20"/>
          <w:szCs w:val="20"/>
        </w:rPr>
      </w:pPr>
    </w:p>
    <w:p w14:paraId="2CD5613B" w14:textId="77777777" w:rsidR="0011747D" w:rsidRDefault="0011747D">
      <w:pPr>
        <w:rPr>
          <w:sz w:val="20"/>
          <w:szCs w:val="20"/>
        </w:rPr>
      </w:pPr>
    </w:p>
  </w:footnote>
  <w:footnote w:id="3">
    <w:p w14:paraId="10FFE7E8" w14:textId="77777777" w:rsidR="0011747D" w:rsidRDefault="00000000">
      <w:pPr>
        <w:rPr>
          <w:sz w:val="20"/>
          <w:szCs w:val="20"/>
        </w:rPr>
      </w:pPr>
      <w:r>
        <w:rPr>
          <w:vertAlign w:val="superscript"/>
        </w:rPr>
        <w:footnoteRef/>
      </w:r>
      <w:r>
        <w:rPr>
          <w:sz w:val="20"/>
          <w:szCs w:val="20"/>
        </w:rPr>
        <w:t xml:space="preserve"> We are aware of Figures 3 and 4 on pp. 57-58 of the EA and Table 19 on p. 28 in the Forestry Report.  These do not provide the necessary clarity to answer the questions raised above.</w:t>
      </w:r>
    </w:p>
  </w:footnote>
  <w:footnote w:id="4">
    <w:p w14:paraId="44707018" w14:textId="77777777" w:rsidR="0011747D" w:rsidRDefault="00000000">
      <w:pPr>
        <w:shd w:val="clear" w:color="auto" w:fill="FFFFFF"/>
        <w:rPr>
          <w:sz w:val="20"/>
          <w:szCs w:val="20"/>
        </w:rPr>
      </w:pPr>
      <w:r>
        <w:rPr>
          <w:vertAlign w:val="superscript"/>
        </w:rPr>
        <w:footnoteRef/>
      </w:r>
      <w:r>
        <w:rPr>
          <w:sz w:val="20"/>
          <w:szCs w:val="20"/>
        </w:rPr>
        <w:t xml:space="preserve"> 69 F. Supp. 2d 1202, 1217–18 (E.D. Cal. 1999).</w:t>
      </w:r>
    </w:p>
  </w:footnote>
  <w:footnote w:id="5">
    <w:p w14:paraId="28892721" w14:textId="77777777" w:rsidR="0011747D" w:rsidRDefault="00000000">
      <w:pPr>
        <w:shd w:val="clear" w:color="auto" w:fill="FFFFFF"/>
        <w:rPr>
          <w:sz w:val="20"/>
          <w:szCs w:val="20"/>
        </w:rPr>
      </w:pPr>
      <w:r>
        <w:rPr>
          <w:vertAlign w:val="superscript"/>
        </w:rPr>
        <w:footnoteRef/>
      </w:r>
      <w:r>
        <w:rPr>
          <w:sz w:val="20"/>
          <w:szCs w:val="20"/>
        </w:rPr>
        <w:t xml:space="preserve"> </w:t>
      </w:r>
      <w:proofErr w:type="spellStart"/>
      <w:r>
        <w:rPr>
          <w:i/>
          <w:sz w:val="20"/>
          <w:szCs w:val="20"/>
        </w:rPr>
        <w:t>Defs</w:t>
      </w:r>
      <w:proofErr w:type="spellEnd"/>
      <w:r>
        <w:rPr>
          <w:i/>
          <w:sz w:val="20"/>
          <w:szCs w:val="20"/>
        </w:rPr>
        <w:t xml:space="preserve">. of Wildlife v. Bureau of Ocean Energy Mgmt., </w:t>
      </w:r>
      <w:r>
        <w:rPr>
          <w:sz w:val="20"/>
          <w:szCs w:val="20"/>
        </w:rPr>
        <w:t>684 F.3d 1242, 1250 (11th Cir. 2012)</w:t>
      </w:r>
    </w:p>
  </w:footnote>
  <w:footnote w:id="6">
    <w:p w14:paraId="30AEF1BC" w14:textId="77777777" w:rsidR="0011747D" w:rsidRDefault="00000000">
      <w:pPr>
        <w:rPr>
          <w:sz w:val="20"/>
          <w:szCs w:val="20"/>
        </w:rPr>
      </w:pPr>
      <w:r>
        <w:rPr>
          <w:vertAlign w:val="superscript"/>
        </w:rPr>
        <w:footnoteRef/>
      </w:r>
      <w:r>
        <w:rPr>
          <w:sz w:val="20"/>
          <w:szCs w:val="20"/>
        </w:rPr>
        <w:t xml:space="preserve"> Letter from United States Environmental Protection Agency Region 8 to Terence DeLay, District Ranger</w:t>
      </w:r>
    </w:p>
    <w:p w14:paraId="427C7D7B" w14:textId="77777777" w:rsidR="0011747D" w:rsidRDefault="00000000">
      <w:pPr>
        <w:rPr>
          <w:sz w:val="20"/>
          <w:szCs w:val="20"/>
        </w:rPr>
      </w:pPr>
      <w:r>
        <w:rPr>
          <w:sz w:val="20"/>
          <w:szCs w:val="20"/>
        </w:rPr>
        <w:t>Dixie National Forest, August 28, 2023</w:t>
      </w:r>
    </w:p>
  </w:footnote>
  <w:footnote w:id="7">
    <w:p w14:paraId="3CE6BCC3" w14:textId="77777777" w:rsidR="0011747D" w:rsidRDefault="00000000">
      <w:pPr>
        <w:rPr>
          <w:sz w:val="20"/>
          <w:szCs w:val="20"/>
        </w:rPr>
      </w:pPr>
      <w:r>
        <w:rPr>
          <w:vertAlign w:val="superscript"/>
        </w:rPr>
        <w:footnoteRef/>
      </w:r>
      <w:r>
        <w:rPr>
          <w:sz w:val="20"/>
          <w:szCs w:val="20"/>
        </w:rPr>
        <w:t xml:space="preserve"> Hamilton states:  “For the remainder of Utah National Forests, the eastern sites influenced by Colorado pinyon and the zone of hybridization, the description and old-growth criteria developed by the Southwest Region (Region 3) are applicable.” This reference to “the remainder of Utah National Forests” includes the Dixie National Forest.  The old-growth criteria developed by the Southwest Region are presented in U.S. Forest Service publication GTR RM-213, Table 1, p. 100, and are identical to those listed above in the text (i.e., 9” DRC on low productivity sites and 12” DRC on high productivity sites). </w:t>
      </w:r>
    </w:p>
  </w:footnote>
  <w:footnote w:id="8">
    <w:p w14:paraId="7AE45FF3" w14:textId="77777777" w:rsidR="0011747D" w:rsidRDefault="00000000">
      <w:pPr>
        <w:rPr>
          <w:sz w:val="20"/>
          <w:szCs w:val="20"/>
        </w:rPr>
      </w:pPr>
      <w:r>
        <w:rPr>
          <w:vertAlign w:val="superscript"/>
        </w:rPr>
        <w:footnoteRef/>
      </w:r>
      <w:r>
        <w:rPr>
          <w:sz w:val="20"/>
          <w:szCs w:val="20"/>
        </w:rPr>
        <w:t xml:space="preserve"> These figures correspond well with site-specific findings from the nearby Fishlake NF presented in:  </w:t>
      </w:r>
      <w:proofErr w:type="spellStart"/>
      <w:r>
        <w:rPr>
          <w:sz w:val="20"/>
          <w:szCs w:val="20"/>
        </w:rPr>
        <w:t>Orlemann</w:t>
      </w:r>
      <w:proofErr w:type="spellEnd"/>
      <w:r>
        <w:rPr>
          <w:sz w:val="20"/>
          <w:szCs w:val="20"/>
        </w:rPr>
        <w:t xml:space="preserve">, A., &amp; Robison, D.L. (2020). Learning from project implementation: removing pinyon and juniper trees from sage-steppe and grassland sites on the Fishlake National Forest in central Utah, USA. </w:t>
      </w:r>
      <w:r>
        <w:rPr>
          <w:i/>
          <w:sz w:val="20"/>
          <w:szCs w:val="20"/>
        </w:rPr>
        <w:t>Western North American Naturalist, 80</w:t>
      </w:r>
      <w:r>
        <w:rPr>
          <w:sz w:val="20"/>
          <w:szCs w:val="20"/>
        </w:rPr>
        <w:t xml:space="preserve">(3), 337-344. </w:t>
      </w:r>
      <w:proofErr w:type="spellStart"/>
      <w:r>
        <w:rPr>
          <w:sz w:val="20"/>
          <w:szCs w:val="20"/>
        </w:rPr>
        <w:t>Orlemann</w:t>
      </w:r>
      <w:proofErr w:type="spellEnd"/>
      <w:r>
        <w:rPr>
          <w:sz w:val="20"/>
          <w:szCs w:val="20"/>
        </w:rPr>
        <w:t xml:space="preserve"> &amp; Robison 2020.  That study examined authorized removal of trees up to 15” diameter at root collar (DRC), which was intended to preserve pre-settlement trees (pp. 337-338).  </w:t>
      </w:r>
      <w:proofErr w:type="spellStart"/>
      <w:r>
        <w:rPr>
          <w:sz w:val="20"/>
          <w:szCs w:val="20"/>
        </w:rPr>
        <w:t>Orlemann</w:t>
      </w:r>
      <w:proofErr w:type="spellEnd"/>
      <w:r>
        <w:rPr>
          <w:sz w:val="20"/>
          <w:szCs w:val="20"/>
        </w:rPr>
        <w:t xml:space="preserve"> &amp; Robinson found that trees 10” DRC are likely pre-settlement trees, estimated at 155 to 175 years old (pp. 340, 343).</w:t>
      </w:r>
    </w:p>
  </w:footnote>
  <w:footnote w:id="9">
    <w:p w14:paraId="2641E8B0" w14:textId="77777777" w:rsidR="0011747D" w:rsidRDefault="00000000">
      <w:pPr>
        <w:rPr>
          <w:sz w:val="20"/>
          <w:szCs w:val="20"/>
        </w:rPr>
      </w:pPr>
      <w:r>
        <w:rPr>
          <w:vertAlign w:val="superscript"/>
        </w:rPr>
        <w:footnoteRef/>
      </w:r>
      <w:r>
        <w:rPr>
          <w:sz w:val="20"/>
          <w:szCs w:val="20"/>
        </w:rPr>
        <w:t xml:space="preserve"> Boone JD, Witt C, Ammon EM (2021) Behavior-specific occurrence patterns of Pinyon Jays (Gymnorhinus cyanocephalus) in three Great Basin study areas and significance for pinyon-juniper woodland management. </w:t>
      </w:r>
      <w:proofErr w:type="spellStart"/>
      <w:r>
        <w:rPr>
          <w:sz w:val="20"/>
          <w:szCs w:val="20"/>
        </w:rPr>
        <w:t>PLoS</w:t>
      </w:r>
      <w:proofErr w:type="spellEnd"/>
      <w:r>
        <w:rPr>
          <w:sz w:val="20"/>
          <w:szCs w:val="20"/>
        </w:rPr>
        <w:t xml:space="preserve"> ONE 16(1): e0237721. </w:t>
      </w:r>
      <w:hyperlink r:id="rId1">
        <w:r>
          <w:rPr>
            <w:sz w:val="20"/>
            <w:szCs w:val="20"/>
          </w:rPr>
          <w:t>https://doi.org/10.1371/journal.pone.0237621</w:t>
        </w:r>
      </w:hyperlink>
      <w:r>
        <w:rPr>
          <w:sz w:val="20"/>
          <w:szCs w:val="20"/>
        </w:rPr>
        <w:t xml:space="preserve">; Partners in Flight Avian Conservation Assessment Database, </w:t>
      </w:r>
      <w:hyperlink r:id="rId2">
        <w:r>
          <w:rPr>
            <w:sz w:val="20"/>
            <w:szCs w:val="20"/>
          </w:rPr>
          <w:t>https://pif.birdconservancy.org/avian-conservation-assessment-database-scores/</w:t>
        </w:r>
      </w:hyperlink>
      <w:r>
        <w:rPr>
          <w:sz w:val="20"/>
          <w:szCs w:val="20"/>
        </w:rPr>
        <w:t xml:space="preserve">. </w:t>
      </w:r>
    </w:p>
  </w:footnote>
  <w:footnote w:id="10">
    <w:p w14:paraId="498861B5" w14:textId="77777777" w:rsidR="0011747D" w:rsidRDefault="00000000">
      <w:pPr>
        <w:rPr>
          <w:sz w:val="20"/>
          <w:szCs w:val="20"/>
        </w:rPr>
      </w:pPr>
      <w:r>
        <w:rPr>
          <w:vertAlign w:val="superscript"/>
        </w:rPr>
        <w:footnoteRef/>
      </w:r>
      <w:r>
        <w:rPr>
          <w:sz w:val="20"/>
          <w:szCs w:val="20"/>
        </w:rPr>
        <w:t xml:space="preserve"> </w:t>
      </w:r>
      <w:hyperlink r:id="rId3">
        <w:r>
          <w:rPr>
            <w:sz w:val="20"/>
            <w:szCs w:val="20"/>
          </w:rPr>
          <w:t>https://www.govinfo.gov/content/pkg/FR-2023-08-17/pdf/2023-17726.pdf</w:t>
        </w:r>
      </w:hyperlink>
      <w:r>
        <w:rPr>
          <w:sz w:val="20"/>
          <w:szCs w:val="20"/>
        </w:rPr>
        <w:t xml:space="preserve"> </w:t>
      </w:r>
    </w:p>
  </w:footnote>
  <w:footnote w:id="11">
    <w:p w14:paraId="10193852" w14:textId="77777777" w:rsidR="0011747D" w:rsidRDefault="00000000">
      <w:pPr>
        <w:rPr>
          <w:sz w:val="20"/>
          <w:szCs w:val="20"/>
        </w:rPr>
      </w:pPr>
      <w:r>
        <w:rPr>
          <w:vertAlign w:val="superscript"/>
        </w:rPr>
        <w:footnoteRef/>
      </w:r>
      <w:r>
        <w:rPr>
          <w:sz w:val="20"/>
          <w:szCs w:val="20"/>
        </w:rPr>
        <w:t xml:space="preserve"> 2020 Addendum – Changes to Utah Species of Greatest Conservation Need, </w:t>
      </w:r>
      <w:hyperlink r:id="rId4">
        <w:r>
          <w:rPr>
            <w:sz w:val="20"/>
            <w:szCs w:val="20"/>
          </w:rPr>
          <w:t>https://wildlife.utah.gov/pdf/WAP/2020-addendum.pdf</w:t>
        </w:r>
      </w:hyperlink>
      <w:r>
        <w:rPr>
          <w:sz w:val="20"/>
          <w:szCs w:val="20"/>
        </w:rPr>
        <w:t xml:space="preserve">, pp. 1, 3; see also Utah’s Species of Greatest Conservation Need October 2021, </w:t>
      </w:r>
      <w:hyperlink r:id="rId5">
        <w:r>
          <w:rPr>
            <w:sz w:val="20"/>
            <w:szCs w:val="20"/>
          </w:rPr>
          <w:t>https://wildlife.utah.gov/pdf/WAP/2021-10-sgcn-list.pdf</w:t>
        </w:r>
      </w:hyperlink>
      <w:r>
        <w:rPr>
          <w:sz w:val="20"/>
          <w:szCs w:val="20"/>
        </w:rPr>
        <w:t>, p. 1.</w:t>
      </w:r>
    </w:p>
  </w:footnote>
  <w:footnote w:id="12">
    <w:p w14:paraId="329253EB" w14:textId="77777777" w:rsidR="0011747D" w:rsidRDefault="00000000">
      <w:pPr>
        <w:rPr>
          <w:sz w:val="20"/>
          <w:szCs w:val="20"/>
        </w:rPr>
      </w:pPr>
      <w:r>
        <w:rPr>
          <w:vertAlign w:val="superscript"/>
        </w:rPr>
        <w:footnoteRef/>
      </w:r>
      <w:r>
        <w:rPr>
          <w:sz w:val="20"/>
          <w:szCs w:val="20"/>
        </w:rPr>
        <w:t xml:space="preserve"> </w:t>
      </w:r>
      <w:r>
        <w:rPr>
          <w:sz w:val="20"/>
          <w:szCs w:val="20"/>
          <w:u w:val="single"/>
        </w:rPr>
        <w:t>Rocky Mountain Wild v. Dallas</w:t>
      </w:r>
      <w:r>
        <w:rPr>
          <w:sz w:val="20"/>
          <w:szCs w:val="20"/>
        </w:rPr>
        <w:t>, 98 F.4th 1263, 1293 (10th Cir. 2024)(NEPA requires that an agency take a ‘hard look’ at the environmental consequences before taking a major action by</w:t>
      </w:r>
      <w:r>
        <w:rPr>
          <w:sz w:val="20"/>
          <w:szCs w:val="20"/>
          <w:highlight w:val="white"/>
        </w:rPr>
        <w:t xml:space="preserve"> considering the direct, indirect, and cumulative environmental impacts of the action.)</w:t>
      </w:r>
    </w:p>
  </w:footnote>
  <w:footnote w:id="13">
    <w:p w14:paraId="32AA25B4" w14:textId="77777777" w:rsidR="0011747D" w:rsidRDefault="00000000">
      <w:pPr>
        <w:rPr>
          <w:sz w:val="16"/>
          <w:szCs w:val="16"/>
        </w:rPr>
      </w:pPr>
      <w:r>
        <w:rPr>
          <w:vertAlign w:val="superscript"/>
        </w:rPr>
        <w:footnoteRef/>
      </w:r>
      <w:r>
        <w:rPr>
          <w:sz w:val="20"/>
          <w:szCs w:val="20"/>
        </w:rPr>
        <w:t xml:space="preserve"> Dixie National Forest. 2020. Biennial Monitoring Evaluation Report for the Dixie National Forest 2017-2018 Plan. Unpublished report. Page 33.</w:t>
      </w:r>
      <w:hyperlink r:id="rId6">
        <w:r>
          <w:rPr>
            <w:sz w:val="20"/>
            <w:szCs w:val="20"/>
          </w:rPr>
          <w:t xml:space="preserve"> </w:t>
        </w:r>
      </w:hyperlink>
      <w:hyperlink r:id="rId7">
        <w:r>
          <w:rPr>
            <w:color w:val="1155CC"/>
            <w:sz w:val="20"/>
            <w:szCs w:val="20"/>
            <w:u w:val="single"/>
          </w:rPr>
          <w:t>https://www.fs.usda.gov/Internet/FSE_DOCUMENTS/fseprd728026.pdf</w:t>
        </w:r>
      </w:hyperlink>
      <w:r>
        <w:rPr>
          <w:sz w:val="20"/>
          <w:szCs w:val="20"/>
        </w:rPr>
        <w:t xml:space="preserve"> Accessed 6/21/2024.</w:t>
      </w:r>
    </w:p>
  </w:footnote>
  <w:footnote w:id="14">
    <w:p w14:paraId="4475413C" w14:textId="77777777" w:rsidR="0011747D" w:rsidRDefault="00000000">
      <w:pPr>
        <w:rPr>
          <w:sz w:val="16"/>
          <w:szCs w:val="16"/>
        </w:rPr>
      </w:pPr>
      <w:r>
        <w:rPr>
          <w:vertAlign w:val="superscript"/>
        </w:rPr>
        <w:footnoteRef/>
      </w:r>
      <w:r>
        <w:rPr>
          <w:sz w:val="20"/>
          <w:szCs w:val="20"/>
        </w:rPr>
        <w:t xml:space="preserve"> e.g., Rhodes, A.C., R.T. Larsen, and S.B. St. Clair. 2018. Differential effects of cattle, mule deer, and elk herbivory on aspen forest regeneration and recruitment. Forest Ecology and Management</w:t>
      </w:r>
      <w:hyperlink r:id="rId8">
        <w:r>
          <w:rPr>
            <w:sz w:val="20"/>
            <w:szCs w:val="20"/>
          </w:rPr>
          <w:t xml:space="preserve"> </w:t>
        </w:r>
      </w:hyperlink>
      <w:hyperlink r:id="rId9">
        <w:r>
          <w:rPr>
            <w:color w:val="1155CC"/>
            <w:sz w:val="20"/>
            <w:szCs w:val="20"/>
            <w:u w:val="single"/>
          </w:rPr>
          <w:t>https://doi.org/10.1016/j.foreco.2018.04.013</w:t>
        </w:r>
      </w:hyperlink>
    </w:p>
  </w:footnote>
  <w:footnote w:id="15">
    <w:p w14:paraId="61546247" w14:textId="77777777" w:rsidR="0011747D" w:rsidRDefault="00000000">
      <w:pPr>
        <w:rPr>
          <w:sz w:val="16"/>
          <w:szCs w:val="16"/>
        </w:rPr>
      </w:pPr>
      <w:r>
        <w:rPr>
          <w:vertAlign w:val="superscript"/>
        </w:rPr>
        <w:footnoteRef/>
      </w:r>
      <w:r>
        <w:rPr>
          <w:sz w:val="20"/>
          <w:szCs w:val="20"/>
        </w:rPr>
        <w:t xml:space="preserve"> Rogers, P. C., and J. A. Gale. 2017. Restoration of the iconic Pando aspen clone: emerging evidence of recovery. Ecosphere 8(1):e01661. 10.1002/ecs2.1661.</w:t>
      </w:r>
    </w:p>
  </w:footnote>
  <w:footnote w:id="16">
    <w:p w14:paraId="7D4B2291" w14:textId="77777777" w:rsidR="0011747D" w:rsidRDefault="00000000">
      <w:pPr>
        <w:rPr>
          <w:sz w:val="16"/>
          <w:szCs w:val="16"/>
        </w:rPr>
      </w:pPr>
      <w:r>
        <w:rPr>
          <w:vertAlign w:val="superscript"/>
        </w:rPr>
        <w:footnoteRef/>
      </w:r>
      <w:r>
        <w:rPr>
          <w:sz w:val="20"/>
          <w:szCs w:val="20"/>
        </w:rPr>
        <w:t xml:space="preserve"> FSH 1907.12. 2013. Land Use Planning Handbook. Chapter 40.</w:t>
      </w:r>
    </w:p>
  </w:footnote>
  <w:footnote w:id="17">
    <w:p w14:paraId="467A20A4" w14:textId="77777777" w:rsidR="0011747D" w:rsidRDefault="00000000">
      <w:pPr>
        <w:rPr>
          <w:sz w:val="16"/>
          <w:szCs w:val="16"/>
        </w:rPr>
      </w:pPr>
      <w:r>
        <w:rPr>
          <w:vertAlign w:val="superscript"/>
        </w:rPr>
        <w:footnoteRef/>
      </w:r>
      <w:r>
        <w:rPr>
          <w:sz w:val="20"/>
          <w:szCs w:val="20"/>
        </w:rPr>
        <w:t xml:space="preserve"> Minerva García-Carmona, Clementine </w:t>
      </w:r>
      <w:proofErr w:type="spellStart"/>
      <w:r>
        <w:rPr>
          <w:sz w:val="20"/>
          <w:szCs w:val="20"/>
        </w:rPr>
        <w:t>Lepinay</w:t>
      </w:r>
      <w:proofErr w:type="spellEnd"/>
      <w:r>
        <w:rPr>
          <w:sz w:val="20"/>
          <w:szCs w:val="20"/>
        </w:rPr>
        <w:t xml:space="preserve">, Jorge </w:t>
      </w:r>
      <w:proofErr w:type="spellStart"/>
      <w:r>
        <w:rPr>
          <w:sz w:val="20"/>
          <w:szCs w:val="20"/>
        </w:rPr>
        <w:t>Mataix</w:t>
      </w:r>
      <w:proofErr w:type="spellEnd"/>
      <w:r>
        <w:rPr>
          <w:sz w:val="20"/>
          <w:szCs w:val="20"/>
        </w:rPr>
        <w:t xml:space="preserve">-Solera, Petr Baldrian, Victoria </w:t>
      </w:r>
      <w:proofErr w:type="spellStart"/>
      <w:r>
        <w:rPr>
          <w:sz w:val="20"/>
          <w:szCs w:val="20"/>
        </w:rPr>
        <w:t>Arcenegui</w:t>
      </w:r>
      <w:proofErr w:type="spellEnd"/>
      <w:r>
        <w:rPr>
          <w:sz w:val="20"/>
          <w:szCs w:val="20"/>
        </w:rPr>
        <w:t xml:space="preserve">, Tomas </w:t>
      </w:r>
      <w:proofErr w:type="spellStart"/>
      <w:r>
        <w:rPr>
          <w:sz w:val="20"/>
          <w:szCs w:val="20"/>
        </w:rPr>
        <w:t>Cajthaml</w:t>
      </w:r>
      <w:proofErr w:type="spellEnd"/>
      <w:r>
        <w:rPr>
          <w:sz w:val="20"/>
          <w:szCs w:val="20"/>
        </w:rPr>
        <w:t>, and Fuensanta García-</w:t>
      </w:r>
      <w:proofErr w:type="spellStart"/>
      <w:r>
        <w:rPr>
          <w:sz w:val="20"/>
          <w:szCs w:val="20"/>
        </w:rPr>
        <w:t>Orenes</w:t>
      </w:r>
      <w:proofErr w:type="spellEnd"/>
      <w:r>
        <w:rPr>
          <w:sz w:val="20"/>
          <w:szCs w:val="20"/>
        </w:rPr>
        <w:t>. Post-</w:t>
      </w:r>
      <w:proofErr w:type="gramStart"/>
      <w:r>
        <w:rPr>
          <w:sz w:val="20"/>
          <w:szCs w:val="20"/>
        </w:rPr>
        <w:t>fire wood</w:t>
      </w:r>
      <w:proofErr w:type="gramEnd"/>
      <w:r>
        <w:rPr>
          <w:sz w:val="20"/>
          <w:szCs w:val="20"/>
        </w:rPr>
        <w:t xml:space="preserve"> mulch negatively affects the moss biocrust cover and its positive effects on microbial diversity in a semi-arid Mediterranean forest. Applied Soil Ecology Volume 191, November 2023, 105026.</w:t>
      </w:r>
    </w:p>
  </w:footnote>
  <w:footnote w:id="18">
    <w:p w14:paraId="5643191B" w14:textId="77777777" w:rsidR="0011747D" w:rsidRDefault="00000000">
      <w:r>
        <w:rPr>
          <w:vertAlign w:val="superscript"/>
        </w:rPr>
        <w:footnoteRef/>
      </w:r>
      <w:r>
        <w:rPr>
          <w:sz w:val="20"/>
          <w:szCs w:val="20"/>
        </w:rPr>
        <w:t xml:space="preserve"> </w:t>
      </w:r>
      <w:r>
        <w:t>Objectors provided an incorrect citation to this case in their comments on the 2023 EA. We regret the error. The correct citation is provided here.</w:t>
      </w:r>
    </w:p>
    <w:p w14:paraId="6726FF5E" w14:textId="77777777" w:rsidR="0011747D" w:rsidRDefault="0011747D">
      <w:pPr>
        <w:rPr>
          <w:sz w:val="20"/>
          <w:szCs w:val="20"/>
        </w:rPr>
      </w:pPr>
    </w:p>
  </w:footnote>
  <w:footnote w:id="19">
    <w:p w14:paraId="5E1F9BD4" w14:textId="77777777" w:rsidR="0011747D" w:rsidRDefault="00000000">
      <w:pPr>
        <w:rPr>
          <w:sz w:val="20"/>
          <w:szCs w:val="20"/>
        </w:rPr>
      </w:pPr>
      <w:r>
        <w:rPr>
          <w:vertAlign w:val="superscript"/>
        </w:rPr>
        <w:footnoteRef/>
      </w:r>
      <w:r>
        <w:rPr>
          <w:sz w:val="20"/>
          <w:szCs w:val="20"/>
        </w:rPr>
        <w:t xml:space="preserve"> The Forest Service evidently has stand-specific data; data that it could use to ensure that it will log only generally small diameter timber in each stand, as the Forest Service anticipated in adopting the Roadless Rule. Because the Forest Service does not use such site-specific data nor explain why it cannot, the agency’s proposal to log within IRAs violates the Roadless Rule and is arbitrary and capricious.</w:t>
      </w:r>
    </w:p>
  </w:footnote>
  <w:footnote w:id="20">
    <w:p w14:paraId="7DA9F651" w14:textId="77777777" w:rsidR="0011747D" w:rsidRDefault="00000000">
      <w:pPr>
        <w:rPr>
          <w:sz w:val="20"/>
          <w:szCs w:val="20"/>
        </w:rPr>
      </w:pPr>
      <w:r>
        <w:rPr>
          <w:vertAlign w:val="superscript"/>
        </w:rPr>
        <w:footnoteRef/>
      </w:r>
      <w:r>
        <w:rPr>
          <w:sz w:val="20"/>
          <w:szCs w:val="20"/>
        </w:rPr>
        <w:t xml:space="preserve"> The EA identifies a design feature relating to the size of trees that is ambiguous. REC-9 states: “Leave all healthy trees over 18 inches within 200 feet of roads 30145, 30149, 30153 and 30154 to help protect the visual corridor.” 2024 EA at 53. Whether this means 18 inches high, or 18 inches DBH is unclear.</w:t>
      </w:r>
    </w:p>
  </w:footnote>
  <w:footnote w:id="21">
    <w:p w14:paraId="7C5B8D9D" w14:textId="77777777" w:rsidR="0011747D" w:rsidRDefault="00000000">
      <w:pPr>
        <w:rPr>
          <w:sz w:val="20"/>
          <w:szCs w:val="20"/>
        </w:rPr>
      </w:pPr>
      <w:r>
        <w:rPr>
          <w:vertAlign w:val="superscript"/>
        </w:rPr>
        <w:footnoteRef/>
      </w:r>
      <w:r>
        <w:rPr>
          <w:sz w:val="20"/>
          <w:szCs w:val="20"/>
        </w:rPr>
        <w:t xml:space="preserve"> 40 C.F.R.  § 1508.7.</w:t>
      </w:r>
    </w:p>
  </w:footnote>
  <w:footnote w:id="22">
    <w:p w14:paraId="5F54BA8B" w14:textId="77777777" w:rsidR="0011747D" w:rsidRDefault="00000000">
      <w:pPr>
        <w:rPr>
          <w:sz w:val="20"/>
          <w:szCs w:val="20"/>
        </w:rPr>
      </w:pPr>
      <w:r>
        <w:rPr>
          <w:vertAlign w:val="superscript"/>
        </w:rPr>
        <w:footnoteRef/>
      </w:r>
      <w:r>
        <w:rPr>
          <w:sz w:val="20"/>
          <w:szCs w:val="20"/>
        </w:rPr>
        <w:t xml:space="preserve"> </w:t>
      </w:r>
      <w:r>
        <w:rPr>
          <w:i/>
          <w:sz w:val="22"/>
          <w:szCs w:val="22"/>
        </w:rPr>
        <w:t>Id</w:t>
      </w:r>
      <w:r>
        <w:rPr>
          <w:sz w:val="22"/>
          <w:szCs w:val="22"/>
        </w:rPr>
        <w:t>.</w:t>
      </w:r>
    </w:p>
  </w:footnote>
  <w:footnote w:id="23">
    <w:p w14:paraId="50853FBC" w14:textId="77777777" w:rsidR="0011747D" w:rsidRDefault="00000000">
      <w:pPr>
        <w:rPr>
          <w:sz w:val="20"/>
          <w:szCs w:val="20"/>
        </w:rPr>
      </w:pPr>
      <w:r>
        <w:rPr>
          <w:vertAlign w:val="superscript"/>
        </w:rPr>
        <w:footnoteRef/>
      </w:r>
      <w:r>
        <w:rPr>
          <w:sz w:val="20"/>
          <w:szCs w:val="20"/>
        </w:rPr>
        <w:t xml:space="preserve"> 40 C.F.R.  § 1508.8  (emphasis added); see also id. § 1508.14.</w:t>
      </w:r>
    </w:p>
  </w:footnote>
  <w:footnote w:id="24">
    <w:p w14:paraId="22EAF5F3" w14:textId="77777777" w:rsidR="0011747D" w:rsidRDefault="00000000">
      <w:pPr>
        <w:rPr>
          <w:sz w:val="20"/>
          <w:szCs w:val="20"/>
        </w:rPr>
      </w:pPr>
      <w:r>
        <w:rPr>
          <w:vertAlign w:val="superscript"/>
        </w:rPr>
        <w:footnoteRef/>
      </w:r>
      <w:r>
        <w:rPr>
          <w:sz w:val="20"/>
          <w:szCs w:val="20"/>
        </w:rPr>
        <w:t xml:space="preserve"> </w:t>
      </w:r>
      <w:r>
        <w:rPr>
          <w:i/>
          <w:sz w:val="20"/>
          <w:szCs w:val="20"/>
        </w:rPr>
        <w:t>Id</w:t>
      </w:r>
      <w:r>
        <w:rPr>
          <w:sz w:val="20"/>
          <w:szCs w:val="20"/>
        </w:rPr>
        <w:t>. § 1502.1.</w:t>
      </w:r>
    </w:p>
  </w:footnote>
  <w:footnote w:id="25">
    <w:p w14:paraId="2AEA3F46" w14:textId="77777777" w:rsidR="0011747D" w:rsidRDefault="00000000">
      <w:pPr>
        <w:rPr>
          <w:sz w:val="20"/>
          <w:szCs w:val="20"/>
        </w:rPr>
      </w:pPr>
      <w:r>
        <w:rPr>
          <w:vertAlign w:val="superscript"/>
        </w:rPr>
        <w:footnoteRef/>
      </w:r>
      <w:r>
        <w:rPr>
          <w:sz w:val="20"/>
          <w:szCs w:val="20"/>
        </w:rPr>
        <w:t xml:space="preserve"> Email from Kevin Wright, Forest Supervisor, Dixie National Forest, to Mike Popejoy, Utah Public Lands Director, Grand Canyon Trust, Sept. 18th</w:t>
      </w:r>
      <w:proofErr w:type="gramStart"/>
      <w:r>
        <w:rPr>
          <w:sz w:val="20"/>
          <w:szCs w:val="20"/>
        </w:rPr>
        <w:t xml:space="preserve"> 2023</w:t>
      </w:r>
      <w:proofErr w:type="gramEnd"/>
      <w:r>
        <w:rPr>
          <w:sz w:val="20"/>
          <w:szCs w:val="20"/>
        </w:rPr>
        <w:t>.</w:t>
      </w:r>
    </w:p>
  </w:footnote>
  <w:footnote w:id="26">
    <w:p w14:paraId="778A2BA8" w14:textId="77777777" w:rsidR="0011747D" w:rsidRDefault="00000000">
      <w:pPr>
        <w:rPr>
          <w:sz w:val="20"/>
          <w:szCs w:val="20"/>
        </w:rPr>
      </w:pPr>
      <w:r>
        <w:rPr>
          <w:vertAlign w:val="superscript"/>
        </w:rPr>
        <w:footnoteRef/>
      </w:r>
      <w:r>
        <w:rPr>
          <w:sz w:val="20"/>
          <w:szCs w:val="20"/>
        </w:rPr>
        <w:t xml:space="preserve"> Because the 2020 CEQ NEPA regulations were adopted unlawfully, the Forest Service cannot rely on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0A6"/>
    <w:multiLevelType w:val="multilevel"/>
    <w:tmpl w:val="A5DA2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DB5021"/>
    <w:multiLevelType w:val="multilevel"/>
    <w:tmpl w:val="89587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E66D1D"/>
    <w:multiLevelType w:val="multilevel"/>
    <w:tmpl w:val="7A1E4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BC2603"/>
    <w:multiLevelType w:val="multilevel"/>
    <w:tmpl w:val="DF2C4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723968"/>
    <w:multiLevelType w:val="multilevel"/>
    <w:tmpl w:val="37645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CC6879"/>
    <w:multiLevelType w:val="multilevel"/>
    <w:tmpl w:val="7396C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1D774B"/>
    <w:multiLevelType w:val="multilevel"/>
    <w:tmpl w:val="99283EC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DC3459"/>
    <w:multiLevelType w:val="multilevel"/>
    <w:tmpl w:val="EBA231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487C7FF2"/>
    <w:multiLevelType w:val="multilevel"/>
    <w:tmpl w:val="5DDA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543022"/>
    <w:multiLevelType w:val="multilevel"/>
    <w:tmpl w:val="9E665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829A2"/>
    <w:multiLevelType w:val="multilevel"/>
    <w:tmpl w:val="D870E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1B0759"/>
    <w:multiLevelType w:val="multilevel"/>
    <w:tmpl w:val="33661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523B35"/>
    <w:multiLevelType w:val="multilevel"/>
    <w:tmpl w:val="6040F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8E11BD"/>
    <w:multiLevelType w:val="multilevel"/>
    <w:tmpl w:val="786E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560876">
    <w:abstractNumId w:val="3"/>
  </w:num>
  <w:num w:numId="2" w16cid:durableId="768741406">
    <w:abstractNumId w:val="9"/>
  </w:num>
  <w:num w:numId="3" w16cid:durableId="1411662200">
    <w:abstractNumId w:val="1"/>
  </w:num>
  <w:num w:numId="4" w16cid:durableId="172569208">
    <w:abstractNumId w:val="13"/>
  </w:num>
  <w:num w:numId="5" w16cid:durableId="1010521246">
    <w:abstractNumId w:val="11"/>
  </w:num>
  <w:num w:numId="6" w16cid:durableId="1395741758">
    <w:abstractNumId w:val="8"/>
  </w:num>
  <w:num w:numId="7" w16cid:durableId="396435352">
    <w:abstractNumId w:val="5"/>
  </w:num>
  <w:num w:numId="8" w16cid:durableId="1572733975">
    <w:abstractNumId w:val="6"/>
  </w:num>
  <w:num w:numId="9" w16cid:durableId="1151482173">
    <w:abstractNumId w:val="10"/>
  </w:num>
  <w:num w:numId="10" w16cid:durableId="1786196648">
    <w:abstractNumId w:val="4"/>
  </w:num>
  <w:num w:numId="11" w16cid:durableId="1793940399">
    <w:abstractNumId w:val="7"/>
  </w:num>
  <w:num w:numId="12" w16cid:durableId="1648238146">
    <w:abstractNumId w:val="12"/>
  </w:num>
  <w:num w:numId="13" w16cid:durableId="1228419269">
    <w:abstractNumId w:val="2"/>
  </w:num>
  <w:num w:numId="14" w16cid:durableId="41223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D"/>
    <w:rsid w:val="0011747D"/>
    <w:rsid w:val="00282564"/>
    <w:rsid w:val="004F6835"/>
    <w:rsid w:val="00537314"/>
    <w:rsid w:val="00FD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0F47"/>
  <w15:docId w15:val="{3D5F5576-E746-4920-ADB1-A0C1C409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B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E61B8"/>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1A1E25"/>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C45E2"/>
    <w:rPr>
      <w:color w:val="0563C1" w:themeColor="hyperlink"/>
      <w:u w:val="single"/>
    </w:rPr>
  </w:style>
  <w:style w:type="character" w:styleId="UnresolvedMention">
    <w:name w:val="Unresolved Mention"/>
    <w:basedOn w:val="DefaultParagraphFont"/>
    <w:uiPriority w:val="99"/>
    <w:semiHidden/>
    <w:unhideWhenUsed/>
    <w:rsid w:val="00DC45E2"/>
    <w:rPr>
      <w:color w:val="605E5C"/>
      <w:shd w:val="clear" w:color="auto" w:fill="E1DFDD"/>
    </w:rPr>
  </w:style>
  <w:style w:type="character" w:customStyle="1" w:styleId="Heading2Char">
    <w:name w:val="Heading 2 Char"/>
    <w:basedOn w:val="DefaultParagraphFont"/>
    <w:link w:val="Heading2"/>
    <w:uiPriority w:val="9"/>
    <w:rsid w:val="00AE61B8"/>
    <w:rPr>
      <w:rFonts w:ascii="Cambria" w:eastAsiaTheme="majorEastAsia" w:hAnsi="Cambria" w:cstheme="majorBidi"/>
      <w:sz w:val="26"/>
      <w:szCs w:val="26"/>
    </w:rPr>
  </w:style>
  <w:style w:type="paragraph" w:customStyle="1" w:styleId="Default">
    <w:name w:val="Default"/>
    <w:rsid w:val="00BE103F"/>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07215"/>
    <w:rPr>
      <w:sz w:val="16"/>
      <w:szCs w:val="16"/>
    </w:rPr>
  </w:style>
  <w:style w:type="paragraph" w:styleId="CommentText">
    <w:name w:val="annotation text"/>
    <w:basedOn w:val="Normal"/>
    <w:link w:val="CommentTextChar"/>
    <w:uiPriority w:val="99"/>
    <w:unhideWhenUsed/>
    <w:rsid w:val="00507215"/>
    <w:rPr>
      <w:sz w:val="20"/>
      <w:szCs w:val="20"/>
    </w:rPr>
  </w:style>
  <w:style w:type="character" w:customStyle="1" w:styleId="CommentTextChar">
    <w:name w:val="Comment Text Char"/>
    <w:basedOn w:val="DefaultParagraphFont"/>
    <w:link w:val="CommentText"/>
    <w:uiPriority w:val="99"/>
    <w:rsid w:val="00507215"/>
    <w:rPr>
      <w:sz w:val="20"/>
      <w:szCs w:val="20"/>
    </w:rPr>
  </w:style>
  <w:style w:type="paragraph" w:styleId="CommentSubject">
    <w:name w:val="annotation subject"/>
    <w:basedOn w:val="CommentText"/>
    <w:next w:val="CommentText"/>
    <w:link w:val="CommentSubjectChar"/>
    <w:uiPriority w:val="99"/>
    <w:semiHidden/>
    <w:unhideWhenUsed/>
    <w:rsid w:val="00507215"/>
    <w:rPr>
      <w:b/>
      <w:bCs/>
    </w:rPr>
  </w:style>
  <w:style w:type="character" w:customStyle="1" w:styleId="CommentSubjectChar">
    <w:name w:val="Comment Subject Char"/>
    <w:basedOn w:val="CommentTextChar"/>
    <w:link w:val="CommentSubject"/>
    <w:uiPriority w:val="99"/>
    <w:semiHidden/>
    <w:rsid w:val="00507215"/>
    <w:rPr>
      <w:b/>
      <w:bCs/>
      <w:sz w:val="20"/>
      <w:szCs w:val="20"/>
    </w:rPr>
  </w:style>
  <w:style w:type="character" w:customStyle="1" w:styleId="Heading3Char">
    <w:name w:val="Heading 3 Char"/>
    <w:basedOn w:val="DefaultParagraphFont"/>
    <w:link w:val="Heading3"/>
    <w:uiPriority w:val="9"/>
    <w:rsid w:val="001A1E25"/>
    <w:rPr>
      <w:rFonts w:ascii="Cambria" w:eastAsiaTheme="majorEastAsia" w:hAnsi="Cambria"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popejoy@grandcanyontrust.org" TargetMode="Externa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usda.gov/rm/pubs_series/rm/gtr/rm_gtr213.pdf" TargetMode="External"/><Relationship Id="rId17" Type="http://schemas.openxmlformats.org/officeDocument/2006/relationships/hyperlink" Target="mailto:laura@westernwatersheds.org" TargetMode="External"/><Relationship Id="rId2" Type="http://schemas.openxmlformats.org/officeDocument/2006/relationships/numbering" Target="numbering.xml"/><Relationship Id="rId16" Type="http://schemas.openxmlformats.org/officeDocument/2006/relationships/hyperlink" Target="mailto:tzukoski@biologicaldiversit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usda.gov/rm/pubs_series/rm/gtr/rm_gtr213.pdf" TargetMode="External"/><Relationship Id="rId5" Type="http://schemas.openxmlformats.org/officeDocument/2006/relationships/webSettings" Target="webSettings.xml"/><Relationship Id="rId15" Type="http://schemas.openxmlformats.org/officeDocument/2006/relationships/hyperlink" Target="mailto:laura@westernwatersheds.org" TargetMode="External"/><Relationship Id="rId10" Type="http://schemas.openxmlformats.org/officeDocument/2006/relationships/hyperlink" Target="https://www.fs.usda.gov/Internet/FSE_DOCUMENTS/stelprdb521343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s.usda.gov/Internet/FSE_DOCUMENTS/stelprdb5213433.pdf" TargetMode="External"/><Relationship Id="rId14" Type="http://schemas.openxmlformats.org/officeDocument/2006/relationships/hyperlink" Target="mailto:mpopejoy@grandcanyontrust.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foreco.2018.04.013" TargetMode="External"/><Relationship Id="rId3" Type="http://schemas.openxmlformats.org/officeDocument/2006/relationships/hyperlink" Target="https://www.govinfo.gov/content/pkg/FR-2023-08-17/pdf/2023-17726.pdf" TargetMode="External"/><Relationship Id="rId7" Type="http://schemas.openxmlformats.org/officeDocument/2006/relationships/hyperlink" Target="https://www.fs.usda.gov/Internet/FSE_DOCUMENTS/fseprd728026.pdf" TargetMode="External"/><Relationship Id="rId2" Type="http://schemas.openxmlformats.org/officeDocument/2006/relationships/hyperlink" Target="https://pif.birdconservancy.org/avian-conservation-assessment-database-scores/" TargetMode="External"/><Relationship Id="rId1" Type="http://schemas.openxmlformats.org/officeDocument/2006/relationships/hyperlink" Target="https://doi.org/10.1371/journal.pone.0237621" TargetMode="External"/><Relationship Id="rId6" Type="http://schemas.openxmlformats.org/officeDocument/2006/relationships/hyperlink" Target="https://www.fs.usda.gov/Internet/FSE_DOCUMENTS/fseprd728026.pdf" TargetMode="External"/><Relationship Id="rId5" Type="http://schemas.openxmlformats.org/officeDocument/2006/relationships/hyperlink" Target="https://wildlife.utah.gov/pdf/WAP/2021-10-sgcn-list.pdf" TargetMode="External"/><Relationship Id="rId4" Type="http://schemas.openxmlformats.org/officeDocument/2006/relationships/hyperlink" Target="https://wildlife.utah.gov/pdf/WAP/2020-addendum.pdf" TargetMode="External"/><Relationship Id="rId9" Type="http://schemas.openxmlformats.org/officeDocument/2006/relationships/hyperlink" Target="https://doi.org/10.1016/j.foreco.2018.04.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mQjtjDScIPxJ6J3kzWDTS33Q==">CgMxLjAikQIKC0FBQUJRWUZzRjRvEtsBCgtBQUFCUVlGc0Y0bxILQUFBQlFZRnNGNG8aDQoJdGV4dC9odG1sEgAiDgoKdGV4dC9wbGFpbhIAKhsiFTExNTEyMzkwMzM5MzY4NjQ4MjQ1NSgAOAAwutql1YYyOLrapdWGMko7CiRhcHBsaWNhdGlvbi92bmQuZ29vZ2xlLWFwcHMuZG9jcy5tZHMaE8LX2uQBDRoLCgcKASIQARgAEAFaDDVyOW1ucmpwc3dsaXICIAB4AIIBFHN1Z2dlc3QuOTF0OGhhYTl5b2E4mgEGCAAQABgAsAEAuAEAGLrapdWGMiC62qXVhjIwAEIUc3VnZ2VzdC45MXQ4aGFhOXlvYTgikgIKC0FBQUJRaUI2UkwwEtwBCgtBQUFCUWlCNlJMMBILQUFBQlFpQjZSTDAaDQoJdGV4dC9odG1sEgAiDgoKdGV4dC9wbGFpbhIAKhsiFTExNTEyMzkwMzM5MzY4NjQ4MjQ1NSgAOAAwqPuLiIcyOLyGjIiHMko8CiRhcHBsaWNhdGlvbi92bmQuZ29vZ2xlLWFwcHMuZG9jcy5tZHMaFMLX2uQBDhoMCggKAlVzEAEYABABWgxmYzA2cm5qNDI0bG5yAiAAeACCARRzdWdnZXN0LnpobDNrYjZzYTZ0MZoBBggAEAAYALABALgBABio+4uIhzIgvIaMiIcyMABCFHN1Z2dlc3QuemhsM2tiNnNhNnQxIpECCgtBQUFCUVlGc0Y0ZxLbAQoLQUFBQlFZRnNGNGcSC0FBQUJRWUZzRjRnGg0KCXRleHQvaHRtbBIAIg4KCnRleHQvcGxhaW4SACobIhUxMTUxMjM5MDMzOTM2ODY0ODI0NTUoADgAMN3KpdWGMjj40KXVhjJKOwokYXBwbGljYXRpb24vdm5kLmdvb2dsZS1hcHBzLmRvY3MubWRzGhPC19rkAQ0aCwoHCgEiEAEYABABWgxtZ2Zxa25rbjRmeTVyAiAAeACCARRzdWdnZXN0LmV3cmhoOWM3dXg2dJoBBggAEAAYALABALgBABjdyqXVhjIg+NCl1YYyMABCFHN1Z2dlc3QuZXdyaGg5Yzd1eDZ0IpICCgtBQUFCUVlGc0Y1NBLcAQoLQUFBQlFZRnNGNTQSC0FBQUJRWUZzRjU0Gg0KCXRleHQvaHRtbBIAIg4KCnRleHQvcGxhaW4SACobIhUxMTUxMjM5MDMzOTM2ODY0ODI0NTUoADgAMPO/49WGMjiVxuPVhjJKPAokYXBwbGljYXRpb24vdm5kLmdvb2dsZS1hcHBzLmRvY3MubWRzGhTC19rkAQ4iBAhSEAEiBggMCA0QAVoMeXEzNjJucWUzNHZycgIgAHgAggEUc3VnZ2VzdC40MGxnMW1hbzkxNnKaAQYIABAAGACwAQC4AQAY87/j1YYyIJXG49WGMjAAQhRzdWdnZXN0LjQwbGcxbWFvOTE2ciKRAgoLQUFBQlFaTnJCc0kS2wEKC0FBQUJRWk5yQnNJEgtBQUFCUVpOckJzSRoNCgl0ZXh0L2h0bWwSACIOCgp0ZXh0L3BsYWluEgAqGyIVMTE1MTIzOTAzMzkzNjg2NDgyNDU1KAA4ADD93qv4hjI41uOr+IYySjsKJGFwcGxpY2F0aW9uL3ZuZC5nb29nbGUtYXBwcy5kb2NzLm1kcxoTwtfa5AENGgsKBwoBJxABGAAQAVoMYWM2OHowdGNvdzZtcgIgAHgAggEUc3VnZ2VzdC4xbjJ2cHlmejdjZ3maAQYIABAAGACwAQC4AQAY/d6r+IYyINbjq/iGMjAAQhRzdWdnZXN0LjFuMnZweWZ6N2NneSKTAgoLQUFBQlFaTnJDRXcS3QEKC0FBQUJRWk5yQ0V3EgtBQUFCUVpOckNFdxoNCgl0ZXh0L2h0bWwSACIOCgp0ZXh0L3BsYWluEgAqGyIVMTAyODM4NzQxOTg0MzM0ODQ2NjkxKAA4ADD63u7+hjI49uPu/oYySj0KJGFwcGxpY2F0aW9uL3ZuZC5nb29nbGUtYXBwcy5kb2NzLm1kcxoVwtfa5AEPGg0KCQoDPT09EAEYABABWgxzMXVpd3Y2Ym1vMmZyAiAAeACCARRzdWdnZXN0LmV5cGkyZTkxdDQ0dpoBBggAEAAYALABALgBABj63u7+hjIg9uPu/oYyMABCFHN1Z2dlc3QuZXlwaTJlOTF0NDR2IpwCCgtBQUFCUVlGc0Z6cxLmAQoLQUFBQlFZRnNGenMSC0FBQUJRWUZzRnpzGg0KCXRleHQvaHRtbBIAIg4KCnRleHQvcGxhaW4SACobIhUxMTUxMjM5MDMzOTM2ODY0ODI0NTUoADgAMNiJztOGMji9lc7ThjJKRgokYXBwbGljYXRpb24vdm5kLmdvb2dsZS1hcHBzLmRvY3MubWRzGh7C19rkARgSFgoSCgxvbiBwYWdlIDkzIGEQARgAEAFaDHAxdjFnM2F6bXhoMXICIAB4AIIBFHN1Z2dlc3QuNzQ2eGloOHg4bXFnmgEGCAAQABgAsAEAuAEAGNiJztOGMiC9lc7ThjIwAEIUc3VnZ2VzdC43NDZ4aWg4eDhtcWciqAIKC0FBQUJRWUZzRno0EvIBCgtBQUFCUVlGc0Z6NBILQUFBQlFZRnNGejQaDQoJdGV4dC9odG1sEgAiDgoKdGV4dC9wbGFpbhIAKhsiFTExNTEyMzkwMzM5MzY4NjQ4MjQ1NSgAOAAw+MvP04YyOPrWz9OGMkpSCiRhcHBsaWNhdGlvbi92bmQuZ29vZ2xlLWFwcHMuZG9jcy5tZHMaKsLX2uQBJAoiCg0KB2dyYXppbmcQARgAEg8KCWxpdmVzdG9jaxABGAAYAVoMcWJoOHEzNTMxaG15cgIgAHgAggEUc3VnZ2VzdC5kdzgzNHBlNXAxOTOaAQYIABAAGACwAQC4AQAY+MvP04YyIPrWz9OGMjAAQhRzdWdnZXN0LmR3ODM0cGU1cDE5MyKcAgoLQUFBQlFZRnNGejAS5gEKC0FBQUJRWUZzRnowEgtBQUFCUVlGc0Z6MBoNCgl0ZXh0L2h0bWwSACIOCgp0ZXh0L3BsYWluEgAqGyIVMTE1MTIzOTAzMzkzNjg2NDgyNDU1KAA4ADCFic/ThjI4lpTP04YySkYKJGFwcGxpY2F0aW9uL3ZuZC5nb29nbGUtYXBwcy5kb2NzLm1kcxoewtfa5AEYChYKBwoBLhABGAASCQoDYWdlEAEYABgBWgxhbzFlNXF5YnV3ZXNyAiAAeACCARRzdWdnZXN0LmowZTc2dnpoeDY5NpoBBggAEAAYALABALgBABiFic/ThjIglpTP04YyMABCFHN1Z2dlc3QuajBlNzZ2emh4Njk2Mg1oLmM0M3d6NTJnOTg2Mg5oLmYzZWVyYXRhYWwzaTIOaC5rcDZreXg2NTZpcGQyDWguYzQzd3o1Mmc5ODYyDmguaHZ6NTVyeTVsM2hsMg5oLjlkZTRsYnRzeWR4N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jRid2ZiMHVzODV2MzIOaC40YndmYjB1czg1djMyDmguNGJ3ZmIwdXM4NXYzMg5oLnY2eXBlc3N0NzNlZTgAaiQKFHN1Z2dlc3QuNmRwcng4bnR3MzN4EgxNaWtlIFBvcGVqb3lqJAoUc3VnZ2VzdC5rZ3VwdTRmd25ucnkSDE1pa2UgUG9wZWpveWojChNzdWdnZXN0LmMyamwwcTl1MGNqEgxNaWtlIFBvcGVqb3lqJAoUc3VnZ2VzdC45MXQ4aGFhOXlvYTgSDE1pa2UgUG9wZWpveWokChRzdWdnZXN0LnF0dDdzazUwNXQzbhIMTWlrZSBQb3Blam95aiQKFHN1Z2dlc3Qua2l4Z2t2Z2pwMXA4EgxNaWtlIFBvcGVqb3lqJAoUc3VnZ2VzdC56aGwza2I2c2E2dDESDE1pa2UgUG9wZWpveWokChRzdWdnZXN0LmV3cmhoOWM3dXg2dBIMTWlrZSBQb3Blam95aiQKFHN1Z2dlc3Qud3VidTZoY2ZjZWoxEgxNaWtlIFBvcGVqb3lqJAoUc3VnZ2VzdC54NXNwMzNhOG03anQSDE1pa2UgUG9wZWpveWokChRzdWdnZXN0LjQwbGcxbWFvOTE2chIMTWlrZSBQb3Blam95aiQKFHN1Z2dlc3QubmV5a3FqZWUxY3hrEgxNaWtlIFBvcGVqb3lqIwoTc3VnZ2VzdC5tNTF2eXN0MnFsYRIMTWlrZSBQb3Blam95aiQKFHN1Z2dlc3QudXJzbjd2bXlnaHMzEgxNaWtlIFBvcGVqb3lqJAoUc3VnZ2VzdC5nZm1sMDhhZDNxZW4SDE1pa2UgUG9wZWpveWokChRzdWdnZXN0Lmx4Nmx5ZjZtNDdqYRIMTWlrZSBQb3Blam95aiQKFHN1Z2dlc3QuM2t4YTFkZGp1ZXp4EgxNaWtlIFBvcGVqb3lqJAoUc3VnZ2VzdC55Y2V5dDN0ZThjYnMSDE1pa2UgUG9wZWpveWokChRzdWdnZXN0LjE3MGFkeXh4MGllORIMTWlrZSBQb3Blam95aiQKFHN1Z2dlc3QuZTRkcDVxeDB6MzU4EgxNaWtlIFBvcGVqb3lqJAoUc3VnZ2VzdC5vYWNqNWdrZ3N4c3MSDE1pa2UgUG9wZWpveWokChRzdWdnZXN0Ljd3cDU2eDM0b3d4ahIMTWlrZSBQb3Blam95aiQKFHN1Z2dlc3Quam1jMjl6MWh4em1rEgxNaWtlIFBvcGVqb3lqJQoUc3VnZ2VzdC5vam5zbGtvZml2bnISDUNoYWl0bmEgU2luaGFqJAoUc3VnZ2VzdC55MWNuZjk3aGJiYm8SDE1pa2UgUG9wZWpveWokChRzdWdnZXN0LnlmOHJvMnYwOTh0cRIMTWlrZSBQb3Blam95aiUKFHN1Z2dlc3QubGgxa3Q0N2lmaHpjEg1DaGFpdG5hIFNpbmhhaiQKFHN1Z2dlc3QubXE2NW45djIwbGFiEgxNaWtlIFBvcGVqb3lqJQoUc3VnZ2VzdC51aHFrZjg1dDd3eTISDUNoYWl0bmEgU2luaGFqJAoUc3VnZ2VzdC5yb280NmdhcWo0aGUSDE1pa2UgUG9wZWpveWokChRzdWdnZXN0Lnlsa3JzOW1reXM3ZBIMTWlrZSBQb3Blam95aiQKFHN1Z2dlc3QucDloZXB0MzR3NXd0EgxNaWtlIFBvcGVqb3lqJAoUc3VnZ2VzdC5mNHJxNTYyM2prejcSDE1pa2UgUG9wZWpveWokChRzdWdnZXN0LnB3MmRkc2diZGVkMhIMTWlrZSBQb3Blam95aiQKFHN1Z2dlc3Qua3Z4aDgwcnF5ZDU0EgxNaWtlIFBvcGVqb3lqJAoUc3VnZ2VzdC5zY3J3bHgxaXVudnMSDE1pa2UgUG9wZWpveWokChRzdWdnZXN0LjF2NXB1ZWh1bWk3chIMTWlrZSBQb3Blam95aiQKFHN1Z2dlc3QuajF6NXl4cjFqYXl2EgxNaWtlIFBvcGVqb3lqJAoUc3VnZ2VzdC53NjlpZnlmNnpwN2sSDE1pa2UgUG9wZWpveWokChRzdWdnZXN0LnI1dmE5eHJuaXNyYRIMTWlrZSBQb3Blam95aiQKFHN1Z2dlc3QuOHhwdDVvMjdteDAyEgxNaWtlIFBvcGVqb3lqJAoUc3VnZ2VzdC5pMXQ0Ynl2cTMxd2cSDE1pa2UgUG9wZWpveWokChRzdWdnZXN0LmF4YWVzMzd2b2UybRIMTWlrZSBQb3Blam95aiUKFHN1Z2dlc3QudTR5azg3c2l6bWJmEg1DaGFpdG5hIFNpbmhhaiQKFHN1Z2dlc3QucHYycTZzdjJ6cDc4EgxNaWtlIFBvcGVqb3lqJAoUc3VnZ2VzdC5zeXpkbzh5OGk1ZHASDE1pa2UgUG9wZWpveWokChRzdWdnZXN0LmV6Njl0Yzh3aTRjaxIMTWlrZSBQb3Blam95aiQKFHN1Z2dlc3QuajY1Zzk0ZWNla3o3EgxNaWtlIFBvcGVqb3lqJAoUc3VnZ2VzdC5xNnF6ZHdwZXZsZWsSDE1pa2UgUG9wZWpveWokChRzdWdnZXN0LnFib2Q2bXNqODQzMxIMTWlrZSBQb3Blam95aiQKFHN1Z2dlc3QubWxvMm5sZWxmM2NtEgxNaWtlIFBvcGVqb3lqJAoUc3VnZ2VzdC43aTMwNDk5Y3BxY2wSDE1pa2UgUG9wZWpveWokChRzdWdnZXN0LmhyYWUyOTUwM2I1MhIMTWlrZSBQb3Blam95aiQKFHN1Z2dlc3Qud2xobmNrdzBxM25pEgxNaWtlIFBvcGVqb3lqJAoUc3VnZ2VzdC5oend4ZHliYWYwd2gSDE1pa2UgUG9wZWpveWojChNzdWdnZXN0LmxodnZrbmM5ZGJ0EgxNaWtlIFBvcGVqb3lqJAoUc3VnZ2VzdC43azAydms0bjM3bGYSDE1pa2UgUG9wZWpveWokChRzdWdnZXN0LmFuanJwNHlwdGk2aBIMTWlrZSBQb3Blam95aiQKFHN1Z2dlc3QuM3ZtbWc3aTY0cmh2EgxNaWtlIFBvcGVqb3lqJAoUc3VnZ2VzdC5pc2l2OG8zaHZycmESDE1pa2UgUG9wZWpveWokChRzdWdnZXN0LjYwcjlpb3FnYjd1dRIMTWlrZSBQb3Blam95aiQKFHN1Z2dlc3QuNWpvZ2x3bmdrNWoxEgxNaWtlIFBvcGVqb3lqJAoUc3VnZ2VzdC45dXpvOTFveHI2aHgSDE1pa2UgUG9wZWpveWokChRzdWdnZXN0LnhtcHB3enYzeDZqahIMTWlrZSBQb3Blam95aiQKFHN1Z2dlc3QuNnM3Ym1jYXZwMjRqEgxNaWtlIFBvcGVqb3lqJQoUc3VnZ2VzdC5iemJwODUzajVuNm4SDUNoYWl0bmEgU2luaGFqJAoUc3VnZ2VzdC5hNnZkNHpvbmRsZGQSDE1pa2UgUG9wZWpveWo4ChRzdWdnZXN0Lnd2eWc5MW42NjQ4ZRIgdHp1a29za2lAYmlvbG9naWNhbGRpdmVyc2l0eS5vcmdqJAoUc3VnZ2VzdC44dWI1OTNmODZwY2ESDE1pa2UgUG9wZWpveWokChRzdWdnZXN0Lmh5b25kMGFsc25vNBIMTWlrZSBQb3Blam95aiQKFHN1Z2dlc3QuMW4ydnB5Zno3Y2d5EgxNaWtlIFBvcGVqb3lqJAoUc3VnZ2VzdC56aGV4Mjg1d2xjYW4SDE1pa2UgUG9wZWpveWokChRzdWdnZXN0LjNnbmNydWsyMzMyMRIMTWlrZSBQb3Blam95aiQKFHN1Z2dlc3Quazc5cGJ5eGZrdXJ6EgxNaWtlIFBvcGVqb3lqOAoUc3VnZ2VzdC5maGl0dGVzdGhobTQSIHR6dWtvc2tpQGJpb2xvZ2ljYWxkaXZlcnNpdHkub3JnaiUKFHN1Z2dlc3QucTcxZjd4b2l5ZDY4Eg1DaGFpdG5hIFNpbmhhaiUKFHN1Z2dlc3QuMTJ6OWsxaGdndjVsEg1DaGFpdG5hIFNpbmhhaiQKFHN1Z2dlc3QubGxveGF2bDBxcHc1EgxNaWtlIFBvcGVqb3lqOAoUc3VnZ2VzdC5kZXAwODJhcGdhbWcSIHR6dWtvc2tpQGJpb2xvZ2ljYWxkaXZlcnNpdHkub3JnaiUKFHN1Z2dlc3QuNnR0a3NmNnNwZ2Z6Eg1DaGFpdG5hIFNpbmhhaiQKFHN1Z2dlc3QubHJraHFwYnlya3NmEgxNaWtlIFBvcGVqb3lqJAoUc3VnZ2VzdC5qMGsyd3R2dmo3ajgSDE1pa2UgUG9wZWpveWolChRzdWdnZXN0LmswZ2tleTJzaHoxNRINQ2hhaXRuYSBTaW5oYWolChRzdWdnZXN0Lng5OXFxdW9zejhyNhINQ2hhaXRuYSBTaW5oYWolChRzdWdnZXN0LjcyMmQ0Z2o0ZmF5chINQ2hhaXRuYSBTaW5oYWolChRzdWdnZXN0LjJrM3hnMWJtbjhhZBINQ2hhaXRuYSBTaW5oYWolChRzdWdnZXN0LnFqNjNvMjNkbzdwcBINQ2hhaXRuYSBTaW5oYWo4ChRzdWdnZXN0Lm8weWcxczZyNjZoZRIgdHp1a29za2lAYmlvbG9naWNhbGRpdmVyc2l0eS5vcmdqJAoUc3VnZ2VzdC5wNjU4MnJhOHltdWUSDE1pa2UgUG9wZWpveWo4ChRzdWdnZXN0LnU0N3NiODN2c2ptYhIgdHp1a29za2lAYmlvbG9naWNhbGRpdmVyc2l0eS5vcmdqJQoUc3VnZ2VzdC5oeHRpb2w4Ym04N3gSDUNoYWl0bmEgU2luaGFqJAoUc3VnZ2VzdC43OWdubmJ1amprd2MSDE1pa2UgUG9wZWpveWolChRzdWdnZXN0LmE1em14NmVvZGF2bRINQ2hhaXRuYSBTaW5oYWolChRzdWdnZXN0LmJlM3k0amR1ZWJldBINQ2hhaXRuYSBTaW5oYWolChRzdWdnZXN0LmV5cGkyZTkxdDQ0dhINQ2hhaXRuYSBTaW5oYWokChRzdWdnZXN0LnlkNWJmdmdqaGV1chIMTWlrZSBQb3Blam95aiQKFHN1Z2dlc3QucXVydGw5eWk0NjlsEgxNaWtlIFBvcGVqb3lqJAoUc3VnZ2VzdC5vemZ6dGIxc2t4cmISDE1pa2UgUG9wZWpveWokChRzdWdnZXN0LmRvNHRsM2F6NjhxZRIMTWlrZSBQb3Blam95aiQKFHN1Z2dlc3QuNnkwc3dhODhtZmt4EgxNaWtlIFBvcGVqb3lqJAoUc3VnZ2VzdC42anY0azEzeTRjaWISDE1pa2UgUG9wZWpveWokChRzdWdnZXN0LnR5aGwzbDkzaXJ5eRIMTWlrZSBQb3Blam95aiQKFHN1Z2dlc3QuNG5renc0YXhreWRvEgxNaWtlIFBvcGVqb3lqJAoUc3VnZ2VzdC5veXlkc2NqNG9wanoSDE1pa2UgUG9wZWpveWokChRzdWdnZXN0Lm9hbjB1eXY2aG5tZxIMTWlrZSBQb3Blam95aiQKFHN1Z2dlc3QuampkMXoyd3BiZzRwEgxNaWtlIFBvcGVqb3lqJAoUc3VnZ2VzdC5ncDVkcHNwbGR6NjgSDE1pa2UgUG9wZWpveWokChRzdWdnZXN0LmNzcjNjdXV5NmFzdRIMTWlrZSBQb3Blam95ajgKFHN1Z2dlc3QubXB4djRhd3ByY3JsEiB0enVrb3NraUBiaW9sb2dpY2FsZGl2ZXJzaXR5Lm9yZ2o4ChRzdWdnZXN0LmF4eml1ZndtYmQxORIgdHp1a29za2lAYmlvbG9naWNhbGRpdmVyc2l0eS5vcmdqJAoUc3VnZ2VzdC5rcHdoZHIxN2hhYTESDE1pa2UgUG9wZWpveWokChRzdWdnZXN0LmU2dzd0MXFjODhmOBIMTWlrZSBQb3Blam95ajgKFHN1Z2dlc3QuaXZkamxiZDJ2emNoEiB0enVrb3NraUBiaW9sb2dpY2FsZGl2ZXJzaXR5Lm9yZ2okChRzdWdnZXN0LmVvY3AyYmtqZ3JxMxIMTWlrZSBQb3Blam95ajgKFHN1Z2dlc3QuOGZzcGJvZDJrcXQ3EiB0enVrb3NraUBiaW9sb2dpY2FsZGl2ZXJzaXR5Lm9yZ2okChRzdWdnZXN0Lm01MGNwb282enI1OBIMTWlrZSBQb3Blam95aiQKFHN1Z2dlc3QudHZwc3NmdjJ3MjA3EgxNaWtlIFBvcGVqb3lqJAoUc3VnZ2VzdC5kMTJ4MmQyM3JrdGwSDE1pa2UgUG9wZWpveWo4ChRzdWdnZXN0LjN1Y3I0bm1zMmFmORIgdHp1a29za2lAYmlvbG9naWNhbGRpdmVyc2l0eS5vcmdqJAoUc3VnZ2VzdC5sY3ptcDAzdjRkYmISDE1pa2UgUG9wZWpveWokChRzdWdnZXN0LmI4bDNqcnZ6ajJnbRIMTWlrZSBQb3Blam95ajgKFHN1Z2dlc3QubGZ0dGwzcmlmOXF3EiB0enVrb3NraUBiaW9sb2dpY2FsZGl2ZXJzaXR5Lm9yZ2okChRzdWdnZXN0LnNwbmo3bzRtb2gzOBIMTWlrZSBQb3Blam95aiQKFHN1Z2dlc3QuMmptZGxwYWFuaWQ4EgxNaWtlIFBvcGVqb3lqOAoUc3VnZ2VzdC5uOTgxc2J2d2RlazcSIHR6dWtvc2tpQGJpb2xvZ2ljYWxkaXZlcnNpdHkub3JnaiQKFHN1Z2dlc3QuNW8zdWZycGwxZmR3EgxNaWtlIFBvcGVqb3lqJAoUc3VnZ2VzdC45eHR4dWl4N20xM2gSDE1pa2UgUG9wZWpveWokChRzdWdnZXN0Ljc0NnhpaDh4OG1xZxIMTWlrZSBQb3Blam95aiQKFHN1Z2dlc3QubWQ1cmRzemRndHBtEgxNaWtlIFBvcGVqb3lqIwoTc3VnZ2VzdC53bjllb3Blcml6NBIMTWlrZSBQb3Blam95aiMKE3N1Z2dlc3QudjZ4NW12b2hpMGkSDE1pa2UgUG9wZWpveWokChRzdWdnZXN0Lm0ydmxrY2xmZWt3NBIMTWlrZSBQb3Blam95aiQKFHN1Z2dlc3QueHh6d2NkNjR3cm9nEgxNaWtlIFBvcGVqb3lqIwoTc3VnZ2VzdC4zYmtjNzd3ZG5odBIMTWlrZSBQb3Blam95aiQKFHN1Z2dlc3QucHZ1N2FiZXgycmFmEgxNaWtlIFBvcGVqb3lqJAoUc3VnZ2VzdC51MDF6eWd5bDl5em4SDE1pa2UgUG9wZWpveWokChRzdWdnZXN0LnN5dHB1dGE3cnNkZhIMTWlrZSBQb3Blam95aiQKFHN1Z2dlc3Qua3lsbmRqazZwbTNhEgxNaWtlIFBvcGVqb3lqJAoUc3VnZ2VzdC43cW52bWF3Z3JwbHISDE1pa2UgUG9wZWpveWokChRzdWdnZXN0LjI3eDJ1dDZhc3RzcRIMTWlrZSBQb3Blam95aiQKFHN1Z2dlc3QucXhvYmNwazF6eG5hEgxNaWtlIFBvcGVqb3lqJAoUc3VnZ2VzdC4yOXUyZ2k0eGQyMXMSDE1pa2UgUG9wZWpveWo4ChRzdWdnZXN0LnJ4ZXp1djNoa3d3aRIgdHp1a29za2lAYmlvbG9naWNhbGRpdmVyc2l0eS5vcmdqJAoUc3VnZ2VzdC5xcTRoaW1vcjdhdHgSDE1pa2UgUG9wZWpveWolChRzdWdnZXN0LmNvOHR3MWd6eXlmNxINQ2hhaXRuYSBTaW5oYWo4ChRzdWdnZXN0LmNmN2ZsMW01eHJiMBIgdHp1a29za2lAYmlvbG9naWNhbGRpdmVyc2l0eS5vcmdqJAoUc3VnZ2VzdC5lcXkxYjkzMGYyNXkSDE1pa2UgUG9wZWpveWokChRzdWdnZXN0LnA3cjc3N2xoZGh2dxIMTWlrZSBQb3Blam95aiQKFHN1Z2dlc3QuaTA3OHVwa2xsY2cxEgxNaWtlIFBvcGVqb3lqJAoUc3VnZ2VzdC5ud3doZzBoaHVzMTESDE1pa2UgUG9wZWpveWokChRzdWdnZXN0LmR3ODM0cGU1cDE5MxIMTWlrZSBQb3Blam95aiQKFHN1Z2dlc3QuajBlNzZ2emh4Njk2EgxNaWtlIFBvcGVqb3lqJAoUc3VnZ2VzdC5jMjYzM2s1cmVqcnYSDE1pa2UgUG9wZWpveWokChRzdWdnZXN0LjYzMzdlOXI1czRlYxIMTWlrZSBQb3Blam95aiQKFHN1Z2dlc3QuM25qZGNuZGlvMWo5EgxNaWtlIFBvcGVqb3lqJAoUc3VnZ2VzdC5scGYyNjBibWY3b24SDE1pa2UgUG9wZWpveWokChRzdWdnZXN0LjFzOHNtNDVjOGY4YRIMTWlrZSBQb3Blam95aiQKFHN1Z2dlc3QuNnpicW9mcmllbml3EgxNaWtlIFBvcGVqb3lqJAoUc3VnZ2VzdC4zNTAxZ3poemFoYzkSDE1pa2UgUG9wZWpveWokChRzdWdnZXN0LjJsanp1OWJpYWYwZhIMTWlrZSBQb3Blam95aiQKFHN1Z2dlc3QuMXB0MTJiZG5iNTZuEgxNaWtlIFBvcGVqb3lyITFUMFFjYkoxT052ckRnRlBaaHdwN181TXRYT3loSFdH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17999</Words>
  <Characters>102596</Characters>
  <Application>Microsoft Office Word</Application>
  <DocSecurity>0</DocSecurity>
  <Lines>854</Lines>
  <Paragraphs>240</Paragraphs>
  <ScaleCrop>false</ScaleCrop>
  <Company/>
  <LinksUpToDate>false</LinksUpToDate>
  <CharactersWithSpaces>120355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Fertig</dc:creator>
  <cp:lastModifiedBy>Mike Popejoy</cp:lastModifiedBy>
  <cp:revision>3</cp:revision>
  <dcterms:created xsi:type="dcterms:W3CDTF">2024-07-02T05:27:00Z</dcterms:created>
  <dcterms:modified xsi:type="dcterms:W3CDTF">2024-07-02T05:28:00Z</dcterms:modified>
</cp:coreProperties>
</file>