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6B8B" w14:textId="77777777" w:rsidR="00BA2D67" w:rsidRPr="008F15CD" w:rsidRDefault="008A69CF" w:rsidP="008A69CF">
      <w:pPr>
        <w:rPr>
          <w:sz w:val="56"/>
          <w:szCs w:val="60"/>
        </w:rPr>
      </w:pPr>
      <w:r w:rsidRPr="008F15CD">
        <w:rPr>
          <w:sz w:val="22"/>
          <w:lang w:val="en-CA"/>
        </w:rPr>
        <w:fldChar w:fldCharType="begin"/>
      </w:r>
      <w:r w:rsidRPr="008F15CD">
        <w:rPr>
          <w:sz w:val="22"/>
          <w:lang w:val="en-CA"/>
        </w:rPr>
        <w:instrText xml:space="preserve"> SEQ CHAPTER \h \r 1</w:instrText>
      </w:r>
      <w:r w:rsidRPr="008F15CD">
        <w:rPr>
          <w:sz w:val="22"/>
          <w:lang w:val="en-CA"/>
        </w:rPr>
        <w:fldChar w:fldCharType="end"/>
      </w:r>
      <w:r w:rsidRPr="008F15CD">
        <w:rPr>
          <w:sz w:val="56"/>
          <w:szCs w:val="60"/>
        </w:rPr>
        <w:t>Economic importance of off-highway vehicle recreation</w:t>
      </w:r>
      <w:r w:rsidR="006B35EA" w:rsidRPr="008F15CD">
        <w:rPr>
          <w:sz w:val="56"/>
          <w:szCs w:val="60"/>
        </w:rPr>
        <w:t>: A</w:t>
      </w:r>
      <w:r w:rsidR="008F15CD" w:rsidRPr="008F15CD">
        <w:rPr>
          <w:sz w:val="56"/>
          <w:szCs w:val="60"/>
        </w:rPr>
        <w:t>n analysis of Idaho c</w:t>
      </w:r>
      <w:r w:rsidR="006B35EA" w:rsidRPr="008F15CD">
        <w:rPr>
          <w:sz w:val="56"/>
          <w:szCs w:val="60"/>
        </w:rPr>
        <w:t>ount</w:t>
      </w:r>
      <w:r w:rsidR="008F15CD" w:rsidRPr="008F15CD">
        <w:rPr>
          <w:sz w:val="56"/>
          <w:szCs w:val="60"/>
        </w:rPr>
        <w:t>ies</w:t>
      </w:r>
    </w:p>
    <w:p w14:paraId="1681961B" w14:textId="77777777" w:rsidR="008F15CD" w:rsidRDefault="008F15CD" w:rsidP="008A69CF">
      <w:pPr>
        <w:rPr>
          <w:lang w:val="en-CA"/>
        </w:rPr>
      </w:pPr>
    </w:p>
    <w:p w14:paraId="04683EC9" w14:textId="77777777" w:rsidR="008A69CF" w:rsidRDefault="008A69CF" w:rsidP="008A69CF">
      <w:pPr>
        <w:rPr>
          <w:b/>
          <w:bCs/>
        </w:rPr>
      </w:pPr>
      <w:r>
        <w:rPr>
          <w:lang w:val="en-CA"/>
        </w:rPr>
        <w:fldChar w:fldCharType="begin"/>
      </w:r>
      <w:r>
        <w:rPr>
          <w:lang w:val="en-CA"/>
        </w:rPr>
        <w:instrText xml:space="preserve"> SEQ CHAPTER \h \r 1</w:instrText>
      </w:r>
      <w:r>
        <w:rPr>
          <w:lang w:val="en-CA"/>
        </w:rPr>
        <w:fldChar w:fldCharType="end"/>
      </w:r>
      <w:r>
        <w:rPr>
          <w:b/>
          <w:bCs/>
        </w:rPr>
        <w:t>University of Idaho • College of Agricultural and Life Sciences</w:t>
      </w:r>
    </w:p>
    <w:p w14:paraId="2B7C4AE3" w14:textId="5A51B3CA" w:rsidR="00B51F1C" w:rsidRPr="00B51F1C" w:rsidRDefault="008A69CF" w:rsidP="008A69CF">
      <w:pPr>
        <w:rPr>
          <w:b/>
          <w:bCs/>
          <w:i/>
          <w:iCs/>
        </w:rPr>
      </w:pPr>
      <w:r>
        <w:rPr>
          <w:b/>
          <w:bCs/>
          <w:i/>
          <w:iCs/>
        </w:rPr>
        <w:t>Christopher Anderson and Garth Taylor</w:t>
      </w:r>
    </w:p>
    <w:p w14:paraId="04E2D602" w14:textId="77777777" w:rsidR="008A69CF" w:rsidRDefault="008A69CF" w:rsidP="006C5D51"/>
    <w:p w14:paraId="00396DB4" w14:textId="77777777" w:rsidR="009215BC" w:rsidRDefault="009215BC" w:rsidP="006C5D51"/>
    <w:p w14:paraId="74AC77F2" w14:textId="078A42CF" w:rsidR="004C6D5C" w:rsidRPr="00942D4B" w:rsidRDefault="00414FF2" w:rsidP="006C5D51">
      <w:r w:rsidRPr="00942D4B">
        <w:t xml:space="preserve">Off-highway vehicle </w:t>
      </w:r>
      <w:r w:rsidR="00633CF1" w:rsidRPr="00942D4B">
        <w:t>(</w:t>
      </w:r>
      <w:r w:rsidR="00AA2118" w:rsidRPr="00942D4B">
        <w:t>OHV</w:t>
      </w:r>
      <w:r w:rsidR="00633CF1" w:rsidRPr="00942D4B">
        <w:t>)</w:t>
      </w:r>
      <w:r w:rsidR="00BA2D67" w:rsidRPr="00942D4B">
        <w:t xml:space="preserve"> recreation is big business</w:t>
      </w:r>
      <w:r w:rsidR="007415FB" w:rsidRPr="00942D4B">
        <w:t xml:space="preserve"> in Idaho</w:t>
      </w:r>
      <w:r w:rsidR="001E0534" w:rsidRPr="00942D4B">
        <w:t>.</w:t>
      </w:r>
      <w:r w:rsidR="00BA2D67" w:rsidRPr="00942D4B">
        <w:t xml:space="preserve">  </w:t>
      </w:r>
      <w:r w:rsidR="000C67DF" w:rsidRPr="00942D4B">
        <w:t xml:space="preserve">In 2012, </w:t>
      </w:r>
      <w:r w:rsidR="006B35EA" w:rsidRPr="00942D4B">
        <w:t>OHV</w:t>
      </w:r>
      <w:r w:rsidR="000C67DF" w:rsidRPr="00942D4B">
        <w:t xml:space="preserve"> enthusiasts spent</w:t>
      </w:r>
      <w:r w:rsidR="000C67DF" w:rsidRPr="00942D4B">
        <w:rPr>
          <w:b/>
        </w:rPr>
        <w:t xml:space="preserve"> $436 million dollars </w:t>
      </w:r>
      <w:r w:rsidR="00BA2D67" w:rsidRPr="00942D4B">
        <w:rPr>
          <w:b/>
        </w:rPr>
        <w:t>in Idaho</w:t>
      </w:r>
      <w:r w:rsidR="000C67DF" w:rsidRPr="00942D4B">
        <w:t xml:space="preserve">. </w:t>
      </w:r>
      <w:r w:rsidR="00BA2D67" w:rsidRPr="00942D4B">
        <w:t xml:space="preserve"> </w:t>
      </w:r>
      <w:r w:rsidR="00530BBE" w:rsidRPr="00942D4B">
        <w:t>$186</w:t>
      </w:r>
      <w:r w:rsidR="00A409D4" w:rsidRPr="00942D4B">
        <w:t xml:space="preserve"> </w:t>
      </w:r>
      <w:r w:rsidR="00033283" w:rsidRPr="00942D4B">
        <w:t>million dollars were</w:t>
      </w:r>
      <w:r w:rsidR="00AA2118" w:rsidRPr="00942D4B">
        <w:t xml:space="preserve"> trip expenditures</w:t>
      </w:r>
      <w:r w:rsidR="00AD4EBF">
        <w:t xml:space="preserve"> </w:t>
      </w:r>
      <w:r w:rsidR="000C67DF" w:rsidRPr="00942D4B">
        <w:t>and</w:t>
      </w:r>
      <w:r w:rsidR="00BA2D67" w:rsidRPr="00942D4B">
        <w:t xml:space="preserve"> </w:t>
      </w:r>
      <w:r w:rsidR="007415FB" w:rsidRPr="00942D4B">
        <w:t xml:space="preserve">$250 million </w:t>
      </w:r>
      <w:r w:rsidR="00BA2D67" w:rsidRPr="00942D4B">
        <w:t>were made in capital expenditures.</w:t>
      </w:r>
      <w:r w:rsidR="00885AA2">
        <w:t xml:space="preserve"> OHV enthusiasts took</w:t>
      </w:r>
      <w:r w:rsidR="00931E65" w:rsidRPr="00942D4B">
        <w:t xml:space="preserve"> close to one million </w:t>
      </w:r>
      <w:r w:rsidR="006307CF" w:rsidRPr="00942D4B">
        <w:t xml:space="preserve">OHV </w:t>
      </w:r>
      <w:r w:rsidR="00BA2D67" w:rsidRPr="00942D4B">
        <w:t>trips per year. On averag</w:t>
      </w:r>
      <w:r w:rsidR="00885AA2">
        <w:t>e, each of these households took</w:t>
      </w:r>
      <w:r w:rsidR="00BA2D67" w:rsidRPr="00942D4B">
        <w:t xml:space="preserve"> </w:t>
      </w:r>
      <w:r w:rsidR="008A75C9" w:rsidRPr="00942D4B">
        <w:t xml:space="preserve">twelve </w:t>
      </w:r>
      <w:r w:rsidR="00BA2D67" w:rsidRPr="00942D4B">
        <w:t xml:space="preserve">OHV-related trips </w:t>
      </w:r>
      <w:r w:rsidR="00885AA2">
        <w:t>in a year</w:t>
      </w:r>
      <w:r w:rsidR="00AA2118" w:rsidRPr="00942D4B">
        <w:t>,</w:t>
      </w:r>
      <w:r w:rsidR="00BA2D67" w:rsidRPr="00942D4B">
        <w:t xml:space="preserve"> with a party size of </w:t>
      </w:r>
      <w:r w:rsidR="00577680" w:rsidRPr="00942D4B">
        <w:t xml:space="preserve">just </w:t>
      </w:r>
      <w:r w:rsidR="008A75C9" w:rsidRPr="00942D4B">
        <w:t xml:space="preserve">over </w:t>
      </w:r>
      <w:r w:rsidR="00577680" w:rsidRPr="00942D4B">
        <w:t>four people</w:t>
      </w:r>
      <w:r w:rsidR="00BA2D67" w:rsidRPr="00942D4B">
        <w:t xml:space="preserve">.  A typical OHV trip </w:t>
      </w:r>
      <w:r w:rsidR="00C94B41" w:rsidRPr="00942D4B">
        <w:t>t</w:t>
      </w:r>
      <w:r w:rsidR="00885AA2">
        <w:t>ook</w:t>
      </w:r>
      <w:r w:rsidR="00C94B41" w:rsidRPr="00942D4B">
        <w:t xml:space="preserve"> </w:t>
      </w:r>
      <w:r w:rsidR="00577680" w:rsidRPr="00942D4B">
        <w:t>close to three</w:t>
      </w:r>
      <w:r w:rsidR="00BA2D67" w:rsidRPr="00942D4B">
        <w:t xml:space="preserve"> days. </w:t>
      </w:r>
    </w:p>
    <w:p w14:paraId="27A0CEEB" w14:textId="77777777" w:rsidR="004E490B" w:rsidRPr="00942D4B" w:rsidRDefault="004E490B" w:rsidP="004E490B">
      <w:pPr>
        <w:widowControl w:val="0"/>
      </w:pPr>
    </w:p>
    <w:p w14:paraId="3FA1C907" w14:textId="48069682" w:rsidR="00541563" w:rsidRPr="00942D4B" w:rsidRDefault="00CE6EDA" w:rsidP="004E490B">
      <w:pPr>
        <w:widowControl w:val="0"/>
      </w:pPr>
      <w:r w:rsidRPr="00942D4B">
        <w:t xml:space="preserve">The most frequently visited counties in Idaho were Valley, Owyhee, and Boise.  The least visited counties </w:t>
      </w:r>
      <w:r w:rsidR="000B6CD0">
        <w:t>were</w:t>
      </w:r>
      <w:r w:rsidRPr="00942D4B">
        <w:t xml:space="preserve"> Jerome, Lincoln, Oneida, and Washington. </w:t>
      </w:r>
      <w:r w:rsidR="007415FB" w:rsidRPr="00942D4B">
        <w:t>Of the</w:t>
      </w:r>
      <w:r w:rsidR="00B378EC" w:rsidRPr="00942D4B">
        <w:t xml:space="preserve"> one million t</w:t>
      </w:r>
      <w:r w:rsidR="00AA2118" w:rsidRPr="00942D4B">
        <w:t>rips taken by OHV enthusiasts</w:t>
      </w:r>
      <w:r w:rsidR="00B378EC" w:rsidRPr="00942D4B">
        <w:t xml:space="preserve">, over half </w:t>
      </w:r>
      <w:r w:rsidR="000B6CD0">
        <w:t>were</w:t>
      </w:r>
      <w:r w:rsidR="00B378EC" w:rsidRPr="00942D4B">
        <w:t xml:space="preserve"> taken outside their home county. </w:t>
      </w:r>
      <w:r w:rsidR="006307CF" w:rsidRPr="00942D4B">
        <w:t>Owyhee</w:t>
      </w:r>
      <w:r w:rsidR="007415FB" w:rsidRPr="00942D4B">
        <w:t xml:space="preserve"> Coun</w:t>
      </w:r>
      <w:r w:rsidR="000B6CD0">
        <w:t>ty received</w:t>
      </w:r>
      <w:r w:rsidR="00530BBE" w:rsidRPr="00942D4B">
        <w:t xml:space="preserve"> the most </w:t>
      </w:r>
      <w:r w:rsidR="006307CF" w:rsidRPr="00942D4B">
        <w:t xml:space="preserve">out-of county </w:t>
      </w:r>
      <w:r w:rsidR="00530BBE" w:rsidRPr="00942D4B">
        <w:t>visitation</w:t>
      </w:r>
      <w:r w:rsidR="007415FB" w:rsidRPr="00942D4B">
        <w:t xml:space="preserve"> with </w:t>
      </w:r>
      <w:r w:rsidR="006307CF" w:rsidRPr="00942D4B">
        <w:t>51</w:t>
      </w:r>
      <w:r w:rsidR="00530BBE" w:rsidRPr="00942D4B">
        <w:t xml:space="preserve">,000 </w:t>
      </w:r>
      <w:r w:rsidR="00E66B00" w:rsidRPr="00942D4B">
        <w:t>trips per year</w:t>
      </w:r>
      <w:r w:rsidR="007415FB" w:rsidRPr="00942D4B">
        <w:t xml:space="preserve">. </w:t>
      </w:r>
      <w:r w:rsidR="00E66B00" w:rsidRPr="00942D4B">
        <w:t xml:space="preserve"> </w:t>
      </w:r>
    </w:p>
    <w:p w14:paraId="5F2ECABC" w14:textId="77777777" w:rsidR="004E490B" w:rsidRPr="00942D4B" w:rsidRDefault="004E490B" w:rsidP="004E490B">
      <w:pPr>
        <w:widowControl w:val="0"/>
      </w:pPr>
    </w:p>
    <w:p w14:paraId="2124856F" w14:textId="3FC8E25A" w:rsidR="004E490B" w:rsidRPr="00942D4B" w:rsidRDefault="000C67DF" w:rsidP="004E490B">
      <w:pPr>
        <w:widowControl w:val="0"/>
      </w:pPr>
      <w:r w:rsidRPr="00942D4B">
        <w:t>Of the $186</w:t>
      </w:r>
      <w:r w:rsidR="00AA43E6" w:rsidRPr="00942D4B">
        <w:t xml:space="preserve"> million in total tri</w:t>
      </w:r>
      <w:r w:rsidR="000B6CD0">
        <w:t>p expenditures, $84 million was</w:t>
      </w:r>
      <w:r w:rsidR="00701A7B" w:rsidRPr="00942D4B">
        <w:t xml:space="preserve"> </w:t>
      </w:r>
      <w:r w:rsidR="00347E9F" w:rsidRPr="00942D4B">
        <w:t xml:space="preserve">spent </w:t>
      </w:r>
      <w:r w:rsidR="00AA43E6" w:rsidRPr="00942D4B">
        <w:t>o</w:t>
      </w:r>
      <w:r w:rsidR="00701A7B" w:rsidRPr="00942D4B">
        <w:t>n trips in</w:t>
      </w:r>
      <w:r w:rsidR="00AA43E6" w:rsidRPr="00942D4B">
        <w:t xml:space="preserve"> the home county</w:t>
      </w:r>
      <w:r w:rsidR="00347E9F" w:rsidRPr="00942D4B">
        <w:t>,</w:t>
      </w:r>
      <w:r w:rsidR="00701A7B" w:rsidRPr="00942D4B">
        <w:t xml:space="preserve"> and $10</w:t>
      </w:r>
      <w:r w:rsidR="00D93830" w:rsidRPr="00942D4B">
        <w:t>2</w:t>
      </w:r>
      <w:r w:rsidR="000B6CD0">
        <w:t xml:space="preserve"> million was</w:t>
      </w:r>
      <w:r w:rsidR="00AA43E6" w:rsidRPr="00942D4B">
        <w:t xml:space="preserve"> </w:t>
      </w:r>
      <w:r w:rsidR="00347E9F" w:rsidRPr="00942D4B">
        <w:t>spent on out-</w:t>
      </w:r>
      <w:r w:rsidR="00AA43E6" w:rsidRPr="00942D4B">
        <w:t xml:space="preserve">of-county trips. Of the total trip </w:t>
      </w:r>
      <w:r w:rsidR="00A44A37" w:rsidRPr="00942D4B">
        <w:t>expenditures for</w:t>
      </w:r>
      <w:r w:rsidR="00AA43E6" w:rsidRPr="00942D4B">
        <w:t xml:space="preserve"> out-o</w:t>
      </w:r>
      <w:r w:rsidR="00503348" w:rsidRPr="00942D4B">
        <w:t xml:space="preserve">f-county trips, close to </w:t>
      </w:r>
      <w:r w:rsidR="00025C23" w:rsidRPr="00942D4B">
        <w:t>76</w:t>
      </w:r>
      <w:r w:rsidR="000B6CD0">
        <w:t>% were</w:t>
      </w:r>
      <w:r w:rsidR="00AD4EBF">
        <w:t xml:space="preserve"> made with</w:t>
      </w:r>
      <w:r w:rsidR="00AA43E6" w:rsidRPr="00942D4B">
        <w:t>in the home county</w:t>
      </w:r>
      <w:r w:rsidR="00503348" w:rsidRPr="00942D4B">
        <w:t>. T</w:t>
      </w:r>
      <w:r w:rsidR="00AA43E6" w:rsidRPr="00942D4B">
        <w:t>he remaining 2</w:t>
      </w:r>
      <w:r w:rsidR="00025C23" w:rsidRPr="00942D4B">
        <w:t>4</w:t>
      </w:r>
      <w:r w:rsidR="00AA43E6" w:rsidRPr="00942D4B">
        <w:t>%</w:t>
      </w:r>
      <w:r w:rsidR="000B6CD0">
        <w:t xml:space="preserve"> were</w:t>
      </w:r>
      <w:r w:rsidR="00AA43E6" w:rsidRPr="00942D4B">
        <w:t xml:space="preserve"> </w:t>
      </w:r>
      <w:r w:rsidR="00025C23" w:rsidRPr="00942D4B">
        <w:t xml:space="preserve">made </w:t>
      </w:r>
      <w:r w:rsidR="00AA43E6" w:rsidRPr="00942D4B">
        <w:t>in the destination county</w:t>
      </w:r>
      <w:r w:rsidR="00503348" w:rsidRPr="00942D4B">
        <w:t>. The destination counties</w:t>
      </w:r>
      <w:r w:rsidR="00A44A37" w:rsidRPr="00942D4B">
        <w:t xml:space="preserve"> for OHV recreation fail</w:t>
      </w:r>
      <w:r w:rsidR="000B6CD0">
        <w:t>ed</w:t>
      </w:r>
      <w:r w:rsidR="00A44A37" w:rsidRPr="00942D4B">
        <w:t xml:space="preserve"> to </w:t>
      </w:r>
      <w:r w:rsidR="00503348" w:rsidRPr="00942D4B">
        <w:t>capture most of the trip</w:t>
      </w:r>
      <w:r w:rsidR="00A44A37" w:rsidRPr="00942D4B">
        <w:t xml:space="preserve"> expenditures.</w:t>
      </w:r>
    </w:p>
    <w:p w14:paraId="2085623C" w14:textId="77777777" w:rsidR="00503348" w:rsidRPr="00942D4B" w:rsidRDefault="00503348" w:rsidP="00503348">
      <w:pPr>
        <w:widowControl w:val="0"/>
        <w:jc w:val="both"/>
      </w:pPr>
    </w:p>
    <w:p w14:paraId="6110B7C2" w14:textId="0952C848" w:rsidR="002D1FC5" w:rsidRPr="00064B4D" w:rsidRDefault="00064B4D" w:rsidP="00064B4D">
      <w:pPr>
        <w:widowControl w:val="0"/>
        <w:rPr>
          <w:sz w:val="28"/>
          <w:szCs w:val="28"/>
        </w:rPr>
      </w:pPr>
      <w:r w:rsidRPr="00942D4B">
        <w:t>Ada, Kootenai, Bonneville, Bannock,</w:t>
      </w:r>
      <w:r w:rsidR="000B6CD0">
        <w:t xml:space="preserve"> Twin Falls, and Canyon County</w:t>
      </w:r>
      <w:r w:rsidRPr="00942D4B">
        <w:t xml:space="preserve">, </w:t>
      </w:r>
      <w:r w:rsidR="000B6CD0">
        <w:t>captured over half of Idaho’s</w:t>
      </w:r>
      <w:r w:rsidRPr="00942D4B">
        <w:t xml:space="preserve"> $250 million OHV capital expenditures</w:t>
      </w:r>
      <w:r w:rsidRPr="00064B4D">
        <w:rPr>
          <w:sz w:val="28"/>
          <w:szCs w:val="28"/>
        </w:rPr>
        <w:t>.</w:t>
      </w:r>
      <w:r>
        <w:rPr>
          <w:sz w:val="28"/>
          <w:szCs w:val="28"/>
        </w:rPr>
        <w:t xml:space="preserve"> </w:t>
      </w:r>
    </w:p>
    <w:p w14:paraId="54762FE9" w14:textId="73177275" w:rsidR="00831EB6" w:rsidRPr="00DE6EFF" w:rsidRDefault="00831EB6">
      <w:pPr>
        <w:spacing w:after="200"/>
        <w:rPr>
          <w:b/>
        </w:rPr>
      </w:pPr>
      <w:r w:rsidRPr="00DE6EFF">
        <w:rPr>
          <w:b/>
        </w:rPr>
        <w:br w:type="page"/>
      </w:r>
    </w:p>
    <w:p w14:paraId="4C5005C2" w14:textId="315619F4" w:rsidR="00414FF2" w:rsidRPr="009E6B2B" w:rsidRDefault="00414FF2" w:rsidP="00414FF2">
      <w:pPr>
        <w:spacing w:line="276" w:lineRule="auto"/>
        <w:rPr>
          <w:b/>
          <w:sz w:val="28"/>
          <w:szCs w:val="28"/>
        </w:rPr>
      </w:pPr>
      <w:r w:rsidRPr="009E6B2B">
        <w:rPr>
          <w:b/>
          <w:sz w:val="28"/>
          <w:szCs w:val="28"/>
        </w:rPr>
        <w:lastRenderedPageBreak/>
        <w:t>Study Details</w:t>
      </w:r>
      <w:r>
        <w:rPr>
          <w:b/>
          <w:sz w:val="28"/>
          <w:szCs w:val="28"/>
        </w:rPr>
        <w:t xml:space="preserve"> </w:t>
      </w:r>
    </w:p>
    <w:p w14:paraId="34F9C795" w14:textId="77777777" w:rsidR="00414FF2" w:rsidRDefault="00414FF2" w:rsidP="00414FF2">
      <w:pPr>
        <w:rPr>
          <w:sz w:val="22"/>
        </w:rPr>
      </w:pPr>
    </w:p>
    <w:p w14:paraId="6D6A6C61" w14:textId="14A0C385" w:rsidR="00414FF2" w:rsidRPr="00780BA9" w:rsidRDefault="00414FF2" w:rsidP="00414FF2">
      <w:pPr>
        <w:rPr>
          <w:b/>
          <w:sz w:val="22"/>
          <w:szCs w:val="22"/>
        </w:rPr>
      </w:pPr>
      <w:r w:rsidRPr="00780BA9">
        <w:rPr>
          <w:sz w:val="22"/>
          <w:szCs w:val="22"/>
        </w:rPr>
        <w:t xml:space="preserve">In 2012-2013, the University of Idaho in cooperation with the Idaho Department of Parks and Recreation (IDPR), surveyed registered Off-Highway Vehicle (OHV) owners to determine the economic importance of OHV use in Idaho. The survey sample was drawn from IDPR registered OHV owners.  OHV activities not related to recreation (e.g. work) and out of state visitors, could not be sampled. </w:t>
      </w:r>
      <w:r w:rsidRPr="00780BA9">
        <w:rPr>
          <w:b/>
          <w:sz w:val="22"/>
          <w:szCs w:val="22"/>
        </w:rPr>
        <w:t xml:space="preserve">Trips and expenditures for OHV </w:t>
      </w:r>
      <w:r w:rsidR="00F17B06" w:rsidRPr="00780BA9">
        <w:rPr>
          <w:b/>
          <w:sz w:val="22"/>
          <w:szCs w:val="22"/>
        </w:rPr>
        <w:t xml:space="preserve">recreation </w:t>
      </w:r>
      <w:r w:rsidRPr="00780BA9">
        <w:rPr>
          <w:b/>
          <w:sz w:val="22"/>
          <w:szCs w:val="22"/>
        </w:rPr>
        <w:t xml:space="preserve">in Idaho would be higher if non-resident </w:t>
      </w:r>
      <w:r w:rsidR="000B6CD0">
        <w:rPr>
          <w:b/>
          <w:sz w:val="22"/>
          <w:szCs w:val="22"/>
        </w:rPr>
        <w:t>OHV</w:t>
      </w:r>
      <w:r w:rsidR="00F17B06" w:rsidRPr="00780BA9">
        <w:rPr>
          <w:b/>
          <w:sz w:val="22"/>
          <w:szCs w:val="22"/>
        </w:rPr>
        <w:t xml:space="preserve"> recreation could be estimated.</w:t>
      </w:r>
      <w:r w:rsidRPr="00780BA9">
        <w:rPr>
          <w:b/>
          <w:sz w:val="22"/>
          <w:szCs w:val="22"/>
        </w:rPr>
        <w:t xml:space="preserve"> </w:t>
      </w:r>
    </w:p>
    <w:p w14:paraId="4F2E85EC" w14:textId="77777777" w:rsidR="00633CF1" w:rsidRDefault="00633CF1" w:rsidP="00BE295C">
      <w:pPr>
        <w:rPr>
          <w:b/>
          <w:sz w:val="28"/>
        </w:rPr>
      </w:pPr>
    </w:p>
    <w:p w14:paraId="3D7E283F" w14:textId="77777777" w:rsidR="00D16451" w:rsidRDefault="00D16451" w:rsidP="00BE295C">
      <w:pPr>
        <w:rPr>
          <w:b/>
          <w:sz w:val="28"/>
        </w:rPr>
      </w:pPr>
    </w:p>
    <w:p w14:paraId="5518D8AE" w14:textId="36A8EB05" w:rsidR="00BE295C" w:rsidRPr="009E6B2B" w:rsidRDefault="00BE295C" w:rsidP="00BE295C">
      <w:pPr>
        <w:rPr>
          <w:b/>
          <w:sz w:val="28"/>
        </w:rPr>
      </w:pPr>
      <w:r w:rsidRPr="009E6B2B">
        <w:rPr>
          <w:b/>
          <w:sz w:val="28"/>
        </w:rPr>
        <w:t xml:space="preserve">Idaho OHV </w:t>
      </w:r>
      <w:r w:rsidR="0037760B" w:rsidRPr="009E6B2B">
        <w:rPr>
          <w:b/>
          <w:sz w:val="28"/>
        </w:rPr>
        <w:t xml:space="preserve">Trips </w:t>
      </w:r>
    </w:p>
    <w:tbl>
      <w:tblPr>
        <w:tblpPr w:leftFromText="180" w:rightFromText="180" w:vertAnchor="text" w:horzAnchor="margin" w:tblpXSpec="right" w:tblpY="29"/>
        <w:tblOverlap w:val="never"/>
        <w:tblW w:w="3556" w:type="dxa"/>
        <w:tblLook w:val="04A0" w:firstRow="1" w:lastRow="0" w:firstColumn="1" w:lastColumn="0" w:noHBand="0" w:noVBand="1"/>
      </w:tblPr>
      <w:tblGrid>
        <w:gridCol w:w="399"/>
        <w:gridCol w:w="983"/>
        <w:gridCol w:w="738"/>
        <w:gridCol w:w="900"/>
        <w:gridCol w:w="665"/>
      </w:tblGrid>
      <w:tr w:rsidR="00C83987" w:rsidRPr="00AF7D94" w14:paraId="044D40C9" w14:textId="77777777" w:rsidTr="0066037C">
        <w:trPr>
          <w:trHeight w:val="300"/>
        </w:trPr>
        <w:tc>
          <w:tcPr>
            <w:tcW w:w="3556" w:type="dxa"/>
            <w:gridSpan w:val="5"/>
            <w:tcBorders>
              <w:top w:val="nil"/>
              <w:left w:val="nil"/>
              <w:bottom w:val="nil"/>
              <w:right w:val="nil"/>
            </w:tcBorders>
            <w:shd w:val="clear" w:color="auto" w:fill="auto"/>
            <w:noWrap/>
            <w:vAlign w:val="bottom"/>
            <w:hideMark/>
          </w:tcPr>
          <w:p w14:paraId="78D0FB7F" w14:textId="77777777" w:rsidR="00C83987" w:rsidRPr="0066037C" w:rsidRDefault="00C83987" w:rsidP="00C83987">
            <w:pPr>
              <w:rPr>
                <w:rFonts w:ascii="Calibri" w:eastAsia="Times New Roman" w:hAnsi="Calibri" w:cs="Times New Roman"/>
                <w:color w:val="000000"/>
                <w:sz w:val="20"/>
                <w:szCs w:val="20"/>
              </w:rPr>
            </w:pPr>
            <w:r w:rsidRPr="0066037C">
              <w:rPr>
                <w:rFonts w:ascii="Calibri" w:eastAsia="Times New Roman" w:hAnsi="Calibri" w:cs="Times New Roman"/>
                <w:color w:val="000000"/>
                <w:sz w:val="20"/>
                <w:szCs w:val="20"/>
              </w:rPr>
              <w:t>Table 1. OHV recreation trips (thousands)</w:t>
            </w:r>
          </w:p>
        </w:tc>
      </w:tr>
      <w:tr w:rsidR="00C83987" w:rsidRPr="00AF7D94" w14:paraId="336D3FDF" w14:textId="77777777" w:rsidTr="0066037C">
        <w:trPr>
          <w:trHeight w:val="465"/>
        </w:trPr>
        <w:tc>
          <w:tcPr>
            <w:tcW w:w="270" w:type="dxa"/>
            <w:tcBorders>
              <w:top w:val="single" w:sz="4" w:space="0" w:color="auto"/>
              <w:left w:val="single" w:sz="4" w:space="0" w:color="auto"/>
              <w:bottom w:val="nil"/>
              <w:right w:val="nil"/>
            </w:tcBorders>
            <w:shd w:val="clear" w:color="auto" w:fill="auto"/>
            <w:noWrap/>
            <w:vAlign w:val="bottom"/>
            <w:hideMark/>
          </w:tcPr>
          <w:p w14:paraId="22BB060F" w14:textId="77777777" w:rsidR="00C83987" w:rsidRPr="00AF7D94" w:rsidRDefault="00C83987" w:rsidP="00C83987">
            <w:pPr>
              <w:rPr>
                <w:rFonts w:ascii="Calibri" w:eastAsia="Times New Roman" w:hAnsi="Calibri" w:cs="Times New Roman"/>
                <w:color w:val="000000"/>
                <w:sz w:val="22"/>
                <w:szCs w:val="22"/>
              </w:rPr>
            </w:pPr>
            <w:r w:rsidRPr="00AF7D94">
              <w:rPr>
                <w:rFonts w:ascii="Calibri" w:eastAsia="Times New Roman" w:hAnsi="Calibri" w:cs="Times New Roman"/>
                <w:color w:val="000000"/>
                <w:sz w:val="22"/>
                <w:szCs w:val="22"/>
              </w:rPr>
              <w:t> </w:t>
            </w:r>
          </w:p>
        </w:tc>
        <w:tc>
          <w:tcPr>
            <w:tcW w:w="983" w:type="dxa"/>
            <w:tcBorders>
              <w:top w:val="single" w:sz="4" w:space="0" w:color="auto"/>
              <w:left w:val="nil"/>
              <w:bottom w:val="nil"/>
              <w:right w:val="nil"/>
            </w:tcBorders>
            <w:shd w:val="clear" w:color="auto" w:fill="auto"/>
            <w:noWrap/>
            <w:vAlign w:val="bottom"/>
            <w:hideMark/>
          </w:tcPr>
          <w:p w14:paraId="7BE43946" w14:textId="77777777" w:rsidR="00C83987" w:rsidRPr="00AF7D94" w:rsidRDefault="00C83987" w:rsidP="00C83987">
            <w:pPr>
              <w:rPr>
                <w:rFonts w:ascii="Calibri" w:eastAsia="Times New Roman" w:hAnsi="Calibri" w:cs="Times New Roman"/>
                <w:b/>
                <w:bCs/>
                <w:color w:val="000000"/>
                <w:sz w:val="22"/>
                <w:szCs w:val="22"/>
              </w:rPr>
            </w:pPr>
            <w:r w:rsidRPr="00AF7D94">
              <w:rPr>
                <w:rFonts w:ascii="Calibri" w:eastAsia="Times New Roman" w:hAnsi="Calibri" w:cs="Times New Roman"/>
                <w:b/>
                <w:bCs/>
                <w:color w:val="000000"/>
                <w:sz w:val="22"/>
                <w:szCs w:val="22"/>
              </w:rPr>
              <w:t> </w:t>
            </w:r>
          </w:p>
        </w:tc>
        <w:tc>
          <w:tcPr>
            <w:tcW w:w="738" w:type="dxa"/>
            <w:tcBorders>
              <w:top w:val="single" w:sz="4" w:space="0" w:color="auto"/>
              <w:left w:val="single" w:sz="4" w:space="0" w:color="auto"/>
              <w:bottom w:val="single" w:sz="4" w:space="0" w:color="auto"/>
              <w:right w:val="nil"/>
            </w:tcBorders>
            <w:shd w:val="clear" w:color="auto" w:fill="auto"/>
            <w:vAlign w:val="center"/>
            <w:hideMark/>
          </w:tcPr>
          <w:p w14:paraId="7D762BBC"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Home County </w:t>
            </w:r>
          </w:p>
        </w:tc>
        <w:tc>
          <w:tcPr>
            <w:tcW w:w="900" w:type="dxa"/>
            <w:tcBorders>
              <w:top w:val="single" w:sz="4" w:space="0" w:color="auto"/>
              <w:left w:val="nil"/>
              <w:bottom w:val="single" w:sz="4" w:space="0" w:color="auto"/>
              <w:right w:val="nil"/>
            </w:tcBorders>
            <w:shd w:val="clear" w:color="auto" w:fill="auto"/>
            <w:vAlign w:val="center"/>
            <w:hideMark/>
          </w:tcPr>
          <w:p w14:paraId="3978CE7F"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Out-of-county</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6A96BA12"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Total Trips</w:t>
            </w:r>
          </w:p>
        </w:tc>
      </w:tr>
      <w:tr w:rsidR="00C83987" w:rsidRPr="00AF7D94" w14:paraId="3FE27DE7"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0138271B"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w:t>
            </w:r>
          </w:p>
        </w:tc>
        <w:tc>
          <w:tcPr>
            <w:tcW w:w="983" w:type="dxa"/>
            <w:tcBorders>
              <w:top w:val="nil"/>
              <w:left w:val="nil"/>
              <w:bottom w:val="nil"/>
              <w:right w:val="nil"/>
            </w:tcBorders>
            <w:shd w:val="clear" w:color="auto" w:fill="auto"/>
            <w:noWrap/>
            <w:vAlign w:val="bottom"/>
            <w:hideMark/>
          </w:tcPr>
          <w:p w14:paraId="6240E929"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Valley </w:t>
            </w:r>
          </w:p>
        </w:tc>
        <w:tc>
          <w:tcPr>
            <w:tcW w:w="738" w:type="dxa"/>
            <w:tcBorders>
              <w:top w:val="nil"/>
              <w:left w:val="single" w:sz="4" w:space="0" w:color="auto"/>
              <w:bottom w:val="nil"/>
              <w:right w:val="nil"/>
            </w:tcBorders>
            <w:shd w:val="clear" w:color="auto" w:fill="auto"/>
            <w:noWrap/>
            <w:vAlign w:val="bottom"/>
            <w:hideMark/>
          </w:tcPr>
          <w:p w14:paraId="6F3DA621"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9</w:t>
            </w:r>
          </w:p>
        </w:tc>
        <w:tc>
          <w:tcPr>
            <w:tcW w:w="900" w:type="dxa"/>
            <w:tcBorders>
              <w:top w:val="nil"/>
              <w:left w:val="nil"/>
              <w:bottom w:val="nil"/>
              <w:right w:val="nil"/>
            </w:tcBorders>
            <w:shd w:val="clear" w:color="auto" w:fill="auto"/>
            <w:noWrap/>
            <w:vAlign w:val="bottom"/>
            <w:hideMark/>
          </w:tcPr>
          <w:p w14:paraId="2B1B3C4C"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49</w:t>
            </w:r>
          </w:p>
        </w:tc>
        <w:tc>
          <w:tcPr>
            <w:tcW w:w="665" w:type="dxa"/>
            <w:tcBorders>
              <w:top w:val="nil"/>
              <w:left w:val="nil"/>
              <w:bottom w:val="nil"/>
              <w:right w:val="single" w:sz="4" w:space="0" w:color="auto"/>
            </w:tcBorders>
            <w:shd w:val="clear" w:color="auto" w:fill="auto"/>
            <w:noWrap/>
            <w:vAlign w:val="bottom"/>
            <w:hideMark/>
          </w:tcPr>
          <w:p w14:paraId="4EE4F046"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58</w:t>
            </w:r>
          </w:p>
        </w:tc>
      </w:tr>
      <w:tr w:rsidR="00C83987" w:rsidRPr="00AF7D94" w14:paraId="20917AAE"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6F04E3E7"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w:t>
            </w:r>
          </w:p>
        </w:tc>
        <w:tc>
          <w:tcPr>
            <w:tcW w:w="983" w:type="dxa"/>
            <w:tcBorders>
              <w:top w:val="nil"/>
              <w:left w:val="nil"/>
              <w:bottom w:val="nil"/>
              <w:right w:val="nil"/>
            </w:tcBorders>
            <w:shd w:val="clear" w:color="auto" w:fill="auto"/>
            <w:noWrap/>
            <w:vAlign w:val="bottom"/>
            <w:hideMark/>
          </w:tcPr>
          <w:p w14:paraId="29A7FEB8"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Owyhee </w:t>
            </w:r>
          </w:p>
        </w:tc>
        <w:tc>
          <w:tcPr>
            <w:tcW w:w="738" w:type="dxa"/>
            <w:tcBorders>
              <w:top w:val="nil"/>
              <w:left w:val="single" w:sz="4" w:space="0" w:color="auto"/>
              <w:bottom w:val="nil"/>
              <w:right w:val="nil"/>
            </w:tcBorders>
            <w:shd w:val="clear" w:color="auto" w:fill="auto"/>
            <w:noWrap/>
            <w:vAlign w:val="bottom"/>
            <w:hideMark/>
          </w:tcPr>
          <w:p w14:paraId="2CE39E9A"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w:t>
            </w:r>
          </w:p>
        </w:tc>
        <w:tc>
          <w:tcPr>
            <w:tcW w:w="900" w:type="dxa"/>
            <w:tcBorders>
              <w:top w:val="nil"/>
              <w:left w:val="nil"/>
              <w:bottom w:val="nil"/>
              <w:right w:val="nil"/>
            </w:tcBorders>
            <w:shd w:val="clear" w:color="auto" w:fill="auto"/>
            <w:noWrap/>
            <w:vAlign w:val="bottom"/>
            <w:hideMark/>
          </w:tcPr>
          <w:p w14:paraId="334857E8"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51</w:t>
            </w:r>
          </w:p>
        </w:tc>
        <w:tc>
          <w:tcPr>
            <w:tcW w:w="665" w:type="dxa"/>
            <w:tcBorders>
              <w:top w:val="nil"/>
              <w:left w:val="nil"/>
              <w:bottom w:val="nil"/>
              <w:right w:val="single" w:sz="4" w:space="0" w:color="auto"/>
            </w:tcBorders>
            <w:shd w:val="clear" w:color="auto" w:fill="auto"/>
            <w:noWrap/>
            <w:vAlign w:val="bottom"/>
            <w:hideMark/>
          </w:tcPr>
          <w:p w14:paraId="79613093"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55</w:t>
            </w:r>
          </w:p>
        </w:tc>
      </w:tr>
      <w:tr w:rsidR="00C83987" w:rsidRPr="00AF7D94" w14:paraId="690F6CB6"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081C21AF"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w:t>
            </w:r>
          </w:p>
        </w:tc>
        <w:tc>
          <w:tcPr>
            <w:tcW w:w="983" w:type="dxa"/>
            <w:tcBorders>
              <w:top w:val="nil"/>
              <w:left w:val="nil"/>
              <w:bottom w:val="nil"/>
              <w:right w:val="nil"/>
            </w:tcBorders>
            <w:shd w:val="clear" w:color="auto" w:fill="auto"/>
            <w:noWrap/>
            <w:vAlign w:val="bottom"/>
            <w:hideMark/>
          </w:tcPr>
          <w:p w14:paraId="3A44DA17"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Boise </w:t>
            </w:r>
          </w:p>
        </w:tc>
        <w:tc>
          <w:tcPr>
            <w:tcW w:w="738" w:type="dxa"/>
            <w:tcBorders>
              <w:top w:val="nil"/>
              <w:left w:val="single" w:sz="4" w:space="0" w:color="auto"/>
              <w:bottom w:val="nil"/>
              <w:right w:val="nil"/>
            </w:tcBorders>
            <w:shd w:val="clear" w:color="auto" w:fill="auto"/>
            <w:noWrap/>
            <w:vAlign w:val="bottom"/>
            <w:hideMark/>
          </w:tcPr>
          <w:p w14:paraId="7E6F81F0"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10</w:t>
            </w:r>
          </w:p>
        </w:tc>
        <w:tc>
          <w:tcPr>
            <w:tcW w:w="900" w:type="dxa"/>
            <w:tcBorders>
              <w:top w:val="nil"/>
              <w:left w:val="nil"/>
              <w:bottom w:val="nil"/>
              <w:right w:val="nil"/>
            </w:tcBorders>
            <w:shd w:val="clear" w:color="auto" w:fill="auto"/>
            <w:noWrap/>
            <w:vAlign w:val="bottom"/>
            <w:hideMark/>
          </w:tcPr>
          <w:p w14:paraId="16D8CF5F"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44</w:t>
            </w:r>
          </w:p>
        </w:tc>
        <w:tc>
          <w:tcPr>
            <w:tcW w:w="665" w:type="dxa"/>
            <w:tcBorders>
              <w:top w:val="nil"/>
              <w:left w:val="nil"/>
              <w:bottom w:val="nil"/>
              <w:right w:val="single" w:sz="4" w:space="0" w:color="auto"/>
            </w:tcBorders>
            <w:shd w:val="clear" w:color="auto" w:fill="auto"/>
            <w:noWrap/>
            <w:vAlign w:val="bottom"/>
            <w:hideMark/>
          </w:tcPr>
          <w:p w14:paraId="16983AAB"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54</w:t>
            </w:r>
          </w:p>
        </w:tc>
      </w:tr>
      <w:tr w:rsidR="00C83987" w:rsidRPr="00AF7D94" w14:paraId="521092DC"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0FCA83F9"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w:t>
            </w:r>
          </w:p>
        </w:tc>
        <w:tc>
          <w:tcPr>
            <w:tcW w:w="983" w:type="dxa"/>
            <w:tcBorders>
              <w:top w:val="nil"/>
              <w:left w:val="nil"/>
              <w:bottom w:val="nil"/>
              <w:right w:val="nil"/>
            </w:tcBorders>
            <w:shd w:val="clear" w:color="auto" w:fill="auto"/>
            <w:noWrap/>
            <w:vAlign w:val="bottom"/>
            <w:hideMark/>
          </w:tcPr>
          <w:p w14:paraId="6735929D"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Kootenai </w:t>
            </w:r>
          </w:p>
        </w:tc>
        <w:tc>
          <w:tcPr>
            <w:tcW w:w="738" w:type="dxa"/>
            <w:tcBorders>
              <w:top w:val="nil"/>
              <w:left w:val="single" w:sz="4" w:space="0" w:color="auto"/>
              <w:bottom w:val="nil"/>
              <w:right w:val="nil"/>
            </w:tcBorders>
            <w:shd w:val="clear" w:color="auto" w:fill="auto"/>
            <w:noWrap/>
            <w:vAlign w:val="bottom"/>
            <w:hideMark/>
          </w:tcPr>
          <w:p w14:paraId="0D4682DB"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49</w:t>
            </w:r>
          </w:p>
        </w:tc>
        <w:tc>
          <w:tcPr>
            <w:tcW w:w="900" w:type="dxa"/>
            <w:tcBorders>
              <w:top w:val="nil"/>
              <w:left w:val="nil"/>
              <w:bottom w:val="nil"/>
              <w:right w:val="nil"/>
            </w:tcBorders>
            <w:shd w:val="clear" w:color="auto" w:fill="auto"/>
            <w:noWrap/>
            <w:vAlign w:val="bottom"/>
            <w:hideMark/>
          </w:tcPr>
          <w:p w14:paraId="6516BBA9"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w:t>
            </w:r>
          </w:p>
        </w:tc>
        <w:tc>
          <w:tcPr>
            <w:tcW w:w="665" w:type="dxa"/>
            <w:tcBorders>
              <w:top w:val="nil"/>
              <w:left w:val="nil"/>
              <w:bottom w:val="nil"/>
              <w:right w:val="single" w:sz="4" w:space="0" w:color="auto"/>
            </w:tcBorders>
            <w:shd w:val="clear" w:color="auto" w:fill="auto"/>
            <w:noWrap/>
            <w:vAlign w:val="bottom"/>
            <w:hideMark/>
          </w:tcPr>
          <w:p w14:paraId="342A33C3"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53</w:t>
            </w:r>
          </w:p>
        </w:tc>
      </w:tr>
      <w:tr w:rsidR="00C83987" w:rsidRPr="00AF7D94" w14:paraId="6B551C2E"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60DEE5A6"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w:t>
            </w:r>
          </w:p>
        </w:tc>
        <w:tc>
          <w:tcPr>
            <w:tcW w:w="983" w:type="dxa"/>
            <w:tcBorders>
              <w:top w:val="nil"/>
              <w:left w:val="nil"/>
              <w:bottom w:val="nil"/>
              <w:right w:val="nil"/>
            </w:tcBorders>
            <w:shd w:val="clear" w:color="auto" w:fill="auto"/>
            <w:noWrap/>
            <w:vAlign w:val="bottom"/>
            <w:hideMark/>
          </w:tcPr>
          <w:p w14:paraId="621D0870"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Ada </w:t>
            </w:r>
          </w:p>
        </w:tc>
        <w:tc>
          <w:tcPr>
            <w:tcW w:w="738" w:type="dxa"/>
            <w:tcBorders>
              <w:top w:val="nil"/>
              <w:left w:val="single" w:sz="4" w:space="0" w:color="auto"/>
              <w:bottom w:val="nil"/>
              <w:right w:val="nil"/>
            </w:tcBorders>
            <w:shd w:val="clear" w:color="auto" w:fill="auto"/>
            <w:noWrap/>
            <w:vAlign w:val="bottom"/>
            <w:hideMark/>
          </w:tcPr>
          <w:p w14:paraId="0ED9A98D"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31</w:t>
            </w:r>
          </w:p>
        </w:tc>
        <w:tc>
          <w:tcPr>
            <w:tcW w:w="900" w:type="dxa"/>
            <w:tcBorders>
              <w:top w:val="nil"/>
              <w:left w:val="nil"/>
              <w:bottom w:val="nil"/>
              <w:right w:val="nil"/>
            </w:tcBorders>
            <w:shd w:val="clear" w:color="auto" w:fill="auto"/>
            <w:noWrap/>
            <w:vAlign w:val="bottom"/>
            <w:hideMark/>
          </w:tcPr>
          <w:p w14:paraId="4F4A392C"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18</w:t>
            </w:r>
          </w:p>
        </w:tc>
        <w:tc>
          <w:tcPr>
            <w:tcW w:w="665" w:type="dxa"/>
            <w:tcBorders>
              <w:top w:val="nil"/>
              <w:left w:val="nil"/>
              <w:bottom w:val="nil"/>
              <w:right w:val="single" w:sz="4" w:space="0" w:color="auto"/>
            </w:tcBorders>
            <w:shd w:val="clear" w:color="auto" w:fill="auto"/>
            <w:noWrap/>
            <w:vAlign w:val="bottom"/>
            <w:hideMark/>
          </w:tcPr>
          <w:p w14:paraId="6D803A9A"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49</w:t>
            </w:r>
          </w:p>
        </w:tc>
      </w:tr>
      <w:tr w:rsidR="00C83987" w:rsidRPr="00AF7D94" w14:paraId="15862A99"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3B2702D4"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6</w:t>
            </w:r>
          </w:p>
        </w:tc>
        <w:tc>
          <w:tcPr>
            <w:tcW w:w="983" w:type="dxa"/>
            <w:tcBorders>
              <w:top w:val="nil"/>
              <w:left w:val="nil"/>
              <w:bottom w:val="nil"/>
              <w:right w:val="nil"/>
            </w:tcBorders>
            <w:shd w:val="clear" w:color="auto" w:fill="auto"/>
            <w:noWrap/>
            <w:vAlign w:val="bottom"/>
            <w:hideMark/>
          </w:tcPr>
          <w:p w14:paraId="62A44B11"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Idaho </w:t>
            </w:r>
          </w:p>
        </w:tc>
        <w:tc>
          <w:tcPr>
            <w:tcW w:w="738" w:type="dxa"/>
            <w:tcBorders>
              <w:top w:val="nil"/>
              <w:left w:val="single" w:sz="4" w:space="0" w:color="auto"/>
              <w:bottom w:val="nil"/>
              <w:right w:val="nil"/>
            </w:tcBorders>
            <w:shd w:val="clear" w:color="auto" w:fill="auto"/>
            <w:noWrap/>
            <w:vAlign w:val="bottom"/>
            <w:hideMark/>
          </w:tcPr>
          <w:p w14:paraId="53E0B307"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23</w:t>
            </w:r>
          </w:p>
        </w:tc>
        <w:tc>
          <w:tcPr>
            <w:tcW w:w="900" w:type="dxa"/>
            <w:tcBorders>
              <w:top w:val="nil"/>
              <w:left w:val="nil"/>
              <w:bottom w:val="nil"/>
              <w:right w:val="nil"/>
            </w:tcBorders>
            <w:shd w:val="clear" w:color="auto" w:fill="auto"/>
            <w:noWrap/>
            <w:vAlign w:val="bottom"/>
            <w:hideMark/>
          </w:tcPr>
          <w:p w14:paraId="6E40E3F0"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21</w:t>
            </w:r>
          </w:p>
        </w:tc>
        <w:tc>
          <w:tcPr>
            <w:tcW w:w="665" w:type="dxa"/>
            <w:tcBorders>
              <w:top w:val="nil"/>
              <w:left w:val="nil"/>
              <w:bottom w:val="nil"/>
              <w:right w:val="single" w:sz="4" w:space="0" w:color="auto"/>
            </w:tcBorders>
            <w:shd w:val="clear" w:color="auto" w:fill="auto"/>
            <w:noWrap/>
            <w:vAlign w:val="bottom"/>
            <w:hideMark/>
          </w:tcPr>
          <w:p w14:paraId="4A756A91"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45</w:t>
            </w:r>
          </w:p>
        </w:tc>
      </w:tr>
      <w:tr w:rsidR="00C83987" w:rsidRPr="00AF7D94" w14:paraId="7483A487"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571CF4F7"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7</w:t>
            </w:r>
          </w:p>
        </w:tc>
        <w:tc>
          <w:tcPr>
            <w:tcW w:w="983" w:type="dxa"/>
            <w:tcBorders>
              <w:top w:val="nil"/>
              <w:left w:val="nil"/>
              <w:bottom w:val="nil"/>
              <w:right w:val="nil"/>
            </w:tcBorders>
            <w:shd w:val="clear" w:color="auto" w:fill="auto"/>
            <w:noWrap/>
            <w:vAlign w:val="bottom"/>
            <w:hideMark/>
          </w:tcPr>
          <w:p w14:paraId="0CEE8937"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Shoshone </w:t>
            </w:r>
          </w:p>
        </w:tc>
        <w:tc>
          <w:tcPr>
            <w:tcW w:w="738" w:type="dxa"/>
            <w:tcBorders>
              <w:top w:val="nil"/>
              <w:left w:val="single" w:sz="4" w:space="0" w:color="auto"/>
              <w:bottom w:val="nil"/>
              <w:right w:val="nil"/>
            </w:tcBorders>
            <w:shd w:val="clear" w:color="auto" w:fill="auto"/>
            <w:noWrap/>
            <w:vAlign w:val="bottom"/>
            <w:hideMark/>
          </w:tcPr>
          <w:p w14:paraId="3612C285"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9</w:t>
            </w:r>
          </w:p>
        </w:tc>
        <w:tc>
          <w:tcPr>
            <w:tcW w:w="900" w:type="dxa"/>
            <w:tcBorders>
              <w:top w:val="nil"/>
              <w:left w:val="nil"/>
              <w:bottom w:val="nil"/>
              <w:right w:val="nil"/>
            </w:tcBorders>
            <w:shd w:val="clear" w:color="auto" w:fill="auto"/>
            <w:noWrap/>
            <w:vAlign w:val="bottom"/>
            <w:hideMark/>
          </w:tcPr>
          <w:p w14:paraId="08BD435C"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35</w:t>
            </w:r>
          </w:p>
        </w:tc>
        <w:tc>
          <w:tcPr>
            <w:tcW w:w="665" w:type="dxa"/>
            <w:tcBorders>
              <w:top w:val="nil"/>
              <w:left w:val="nil"/>
              <w:bottom w:val="nil"/>
              <w:right w:val="single" w:sz="4" w:space="0" w:color="auto"/>
            </w:tcBorders>
            <w:shd w:val="clear" w:color="auto" w:fill="auto"/>
            <w:noWrap/>
            <w:vAlign w:val="bottom"/>
            <w:hideMark/>
          </w:tcPr>
          <w:p w14:paraId="5FCDC822"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44</w:t>
            </w:r>
          </w:p>
        </w:tc>
      </w:tr>
      <w:tr w:rsidR="00C83987" w:rsidRPr="00AF7D94" w14:paraId="6C2C3670"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794BC99F"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8</w:t>
            </w:r>
          </w:p>
        </w:tc>
        <w:tc>
          <w:tcPr>
            <w:tcW w:w="983" w:type="dxa"/>
            <w:tcBorders>
              <w:top w:val="nil"/>
              <w:left w:val="nil"/>
              <w:bottom w:val="nil"/>
              <w:right w:val="nil"/>
            </w:tcBorders>
            <w:shd w:val="clear" w:color="auto" w:fill="auto"/>
            <w:noWrap/>
            <w:vAlign w:val="bottom"/>
            <w:hideMark/>
          </w:tcPr>
          <w:p w14:paraId="6B82DF41"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Bonneville </w:t>
            </w:r>
          </w:p>
        </w:tc>
        <w:tc>
          <w:tcPr>
            <w:tcW w:w="738" w:type="dxa"/>
            <w:tcBorders>
              <w:top w:val="nil"/>
              <w:left w:val="single" w:sz="4" w:space="0" w:color="auto"/>
              <w:bottom w:val="nil"/>
              <w:right w:val="nil"/>
            </w:tcBorders>
            <w:shd w:val="clear" w:color="auto" w:fill="auto"/>
            <w:noWrap/>
            <w:vAlign w:val="bottom"/>
            <w:hideMark/>
          </w:tcPr>
          <w:p w14:paraId="16BBC29E"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19</w:t>
            </w:r>
          </w:p>
        </w:tc>
        <w:tc>
          <w:tcPr>
            <w:tcW w:w="900" w:type="dxa"/>
            <w:tcBorders>
              <w:top w:val="nil"/>
              <w:left w:val="nil"/>
              <w:bottom w:val="nil"/>
              <w:right w:val="nil"/>
            </w:tcBorders>
            <w:shd w:val="clear" w:color="auto" w:fill="auto"/>
            <w:noWrap/>
            <w:vAlign w:val="bottom"/>
            <w:hideMark/>
          </w:tcPr>
          <w:p w14:paraId="3C25E092"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21</w:t>
            </w:r>
          </w:p>
        </w:tc>
        <w:tc>
          <w:tcPr>
            <w:tcW w:w="665" w:type="dxa"/>
            <w:tcBorders>
              <w:top w:val="nil"/>
              <w:left w:val="nil"/>
              <w:bottom w:val="nil"/>
              <w:right w:val="single" w:sz="4" w:space="0" w:color="auto"/>
            </w:tcBorders>
            <w:shd w:val="clear" w:color="auto" w:fill="auto"/>
            <w:noWrap/>
            <w:vAlign w:val="bottom"/>
            <w:hideMark/>
          </w:tcPr>
          <w:p w14:paraId="14250B39"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41</w:t>
            </w:r>
          </w:p>
        </w:tc>
      </w:tr>
      <w:tr w:rsidR="00C83987" w:rsidRPr="00AF7D94" w14:paraId="294CB3E1" w14:textId="77777777" w:rsidTr="0066037C">
        <w:trPr>
          <w:trHeight w:val="240"/>
        </w:trPr>
        <w:tc>
          <w:tcPr>
            <w:tcW w:w="270" w:type="dxa"/>
            <w:tcBorders>
              <w:top w:val="nil"/>
              <w:left w:val="single" w:sz="4" w:space="0" w:color="auto"/>
              <w:bottom w:val="nil"/>
              <w:right w:val="nil"/>
            </w:tcBorders>
            <w:shd w:val="clear" w:color="auto" w:fill="auto"/>
            <w:noWrap/>
            <w:vAlign w:val="bottom"/>
            <w:hideMark/>
          </w:tcPr>
          <w:p w14:paraId="77315162"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9</w:t>
            </w:r>
          </w:p>
        </w:tc>
        <w:tc>
          <w:tcPr>
            <w:tcW w:w="983" w:type="dxa"/>
            <w:tcBorders>
              <w:top w:val="nil"/>
              <w:left w:val="nil"/>
              <w:bottom w:val="nil"/>
              <w:right w:val="nil"/>
            </w:tcBorders>
            <w:shd w:val="clear" w:color="auto" w:fill="auto"/>
            <w:noWrap/>
            <w:vAlign w:val="bottom"/>
            <w:hideMark/>
          </w:tcPr>
          <w:p w14:paraId="3A0C0F9E"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Fremont </w:t>
            </w:r>
          </w:p>
        </w:tc>
        <w:tc>
          <w:tcPr>
            <w:tcW w:w="738" w:type="dxa"/>
            <w:tcBorders>
              <w:top w:val="nil"/>
              <w:left w:val="single" w:sz="4" w:space="0" w:color="auto"/>
              <w:bottom w:val="nil"/>
              <w:right w:val="nil"/>
            </w:tcBorders>
            <w:shd w:val="clear" w:color="auto" w:fill="auto"/>
            <w:noWrap/>
            <w:vAlign w:val="bottom"/>
            <w:hideMark/>
          </w:tcPr>
          <w:p w14:paraId="7BBFF357"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15</w:t>
            </w:r>
          </w:p>
        </w:tc>
        <w:tc>
          <w:tcPr>
            <w:tcW w:w="900" w:type="dxa"/>
            <w:tcBorders>
              <w:top w:val="nil"/>
              <w:left w:val="nil"/>
              <w:bottom w:val="nil"/>
              <w:right w:val="nil"/>
            </w:tcBorders>
            <w:shd w:val="clear" w:color="auto" w:fill="auto"/>
            <w:noWrap/>
            <w:vAlign w:val="bottom"/>
            <w:hideMark/>
          </w:tcPr>
          <w:p w14:paraId="0DE753BC"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24</w:t>
            </w:r>
          </w:p>
        </w:tc>
        <w:tc>
          <w:tcPr>
            <w:tcW w:w="665" w:type="dxa"/>
            <w:tcBorders>
              <w:top w:val="nil"/>
              <w:left w:val="nil"/>
              <w:bottom w:val="nil"/>
              <w:right w:val="single" w:sz="4" w:space="0" w:color="auto"/>
            </w:tcBorders>
            <w:shd w:val="clear" w:color="auto" w:fill="auto"/>
            <w:noWrap/>
            <w:vAlign w:val="bottom"/>
            <w:hideMark/>
          </w:tcPr>
          <w:p w14:paraId="7E8401F9"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39</w:t>
            </w:r>
          </w:p>
        </w:tc>
      </w:tr>
      <w:tr w:rsidR="00C83987" w:rsidRPr="00AF7D94" w14:paraId="539C2AAD" w14:textId="77777777" w:rsidTr="0066037C">
        <w:trPr>
          <w:trHeight w:val="240"/>
        </w:trPr>
        <w:tc>
          <w:tcPr>
            <w:tcW w:w="270" w:type="dxa"/>
            <w:tcBorders>
              <w:top w:val="nil"/>
              <w:left w:val="single" w:sz="4" w:space="0" w:color="auto"/>
              <w:bottom w:val="single" w:sz="4" w:space="0" w:color="auto"/>
              <w:right w:val="nil"/>
            </w:tcBorders>
            <w:shd w:val="clear" w:color="auto" w:fill="auto"/>
            <w:noWrap/>
            <w:vAlign w:val="bottom"/>
            <w:hideMark/>
          </w:tcPr>
          <w:p w14:paraId="7E9D937B" w14:textId="77777777" w:rsidR="00C83987" w:rsidRPr="00942D4B" w:rsidRDefault="00C83987" w:rsidP="00C83987">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10</w:t>
            </w:r>
          </w:p>
        </w:tc>
        <w:tc>
          <w:tcPr>
            <w:tcW w:w="983" w:type="dxa"/>
            <w:tcBorders>
              <w:top w:val="nil"/>
              <w:left w:val="nil"/>
              <w:bottom w:val="single" w:sz="4" w:space="0" w:color="auto"/>
              <w:right w:val="nil"/>
            </w:tcBorders>
            <w:shd w:val="clear" w:color="auto" w:fill="auto"/>
            <w:noWrap/>
            <w:vAlign w:val="bottom"/>
            <w:hideMark/>
          </w:tcPr>
          <w:p w14:paraId="7E2FC03A" w14:textId="77777777" w:rsidR="00C83987" w:rsidRPr="00942D4B" w:rsidRDefault="00C83987" w:rsidP="00C83987">
            <w:pP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Bonner </w:t>
            </w:r>
          </w:p>
        </w:tc>
        <w:tc>
          <w:tcPr>
            <w:tcW w:w="738" w:type="dxa"/>
            <w:tcBorders>
              <w:top w:val="nil"/>
              <w:left w:val="single" w:sz="4" w:space="0" w:color="auto"/>
              <w:bottom w:val="single" w:sz="4" w:space="0" w:color="auto"/>
              <w:right w:val="nil"/>
            </w:tcBorders>
            <w:shd w:val="clear" w:color="auto" w:fill="auto"/>
            <w:noWrap/>
            <w:vAlign w:val="bottom"/>
            <w:hideMark/>
          </w:tcPr>
          <w:p w14:paraId="08EE7CAA"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19</w:t>
            </w:r>
          </w:p>
        </w:tc>
        <w:tc>
          <w:tcPr>
            <w:tcW w:w="900" w:type="dxa"/>
            <w:tcBorders>
              <w:top w:val="nil"/>
              <w:left w:val="nil"/>
              <w:bottom w:val="single" w:sz="4" w:space="0" w:color="auto"/>
              <w:right w:val="nil"/>
            </w:tcBorders>
            <w:shd w:val="clear" w:color="auto" w:fill="auto"/>
            <w:noWrap/>
            <w:vAlign w:val="bottom"/>
            <w:hideMark/>
          </w:tcPr>
          <w:p w14:paraId="40314885"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19</w:t>
            </w:r>
          </w:p>
        </w:tc>
        <w:tc>
          <w:tcPr>
            <w:tcW w:w="665" w:type="dxa"/>
            <w:tcBorders>
              <w:top w:val="nil"/>
              <w:left w:val="nil"/>
              <w:bottom w:val="single" w:sz="4" w:space="0" w:color="auto"/>
              <w:right w:val="single" w:sz="4" w:space="0" w:color="auto"/>
            </w:tcBorders>
            <w:shd w:val="clear" w:color="auto" w:fill="auto"/>
            <w:noWrap/>
            <w:vAlign w:val="bottom"/>
            <w:hideMark/>
          </w:tcPr>
          <w:p w14:paraId="3DB7EA16" w14:textId="77777777" w:rsidR="00C83987" w:rsidRPr="00942D4B" w:rsidRDefault="00C83987" w:rsidP="00C83987">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38</w:t>
            </w:r>
          </w:p>
        </w:tc>
      </w:tr>
    </w:tbl>
    <w:p w14:paraId="353D7FA7" w14:textId="77777777" w:rsidR="00BE295C" w:rsidRDefault="00BE295C" w:rsidP="00BE295C">
      <w:pPr>
        <w:rPr>
          <w:sz w:val="22"/>
        </w:rPr>
      </w:pPr>
    </w:p>
    <w:p w14:paraId="6626FC2C" w14:textId="5DD18C4C" w:rsidR="00B51F1C" w:rsidRPr="00780BA9" w:rsidRDefault="00126EE6" w:rsidP="00BE295C">
      <w:pPr>
        <w:rPr>
          <w:sz w:val="22"/>
          <w:szCs w:val="22"/>
        </w:rPr>
      </w:pPr>
      <w:r w:rsidRPr="00780BA9">
        <w:rPr>
          <w:sz w:val="22"/>
          <w:szCs w:val="22"/>
        </w:rPr>
        <w:t xml:space="preserve">Trips are estimated as total trips taken </w:t>
      </w:r>
      <w:bookmarkStart w:id="0" w:name="_GoBack"/>
      <w:r w:rsidRPr="002D7B22">
        <w:rPr>
          <w:sz w:val="22"/>
          <w:szCs w:val="22"/>
        </w:rPr>
        <w:t>to</w:t>
      </w:r>
      <w:bookmarkEnd w:id="0"/>
      <w:r w:rsidRPr="00780BA9">
        <w:rPr>
          <w:sz w:val="22"/>
          <w:szCs w:val="22"/>
        </w:rPr>
        <w:t xml:space="preserve"> each county in Idaho, either by residents of the county or by OHV users from other co</w:t>
      </w:r>
      <w:r w:rsidR="00503348" w:rsidRPr="00780BA9">
        <w:rPr>
          <w:sz w:val="22"/>
          <w:szCs w:val="22"/>
        </w:rPr>
        <w:t xml:space="preserve">unties. For example, there </w:t>
      </w:r>
      <w:r w:rsidR="00501A30">
        <w:rPr>
          <w:sz w:val="22"/>
          <w:szCs w:val="22"/>
        </w:rPr>
        <w:t xml:space="preserve">were </w:t>
      </w:r>
      <w:r w:rsidR="00503348" w:rsidRPr="00780BA9">
        <w:rPr>
          <w:sz w:val="22"/>
          <w:szCs w:val="22"/>
        </w:rPr>
        <w:t>an</w:t>
      </w:r>
      <w:r w:rsidR="002A1CDD" w:rsidRPr="00780BA9">
        <w:rPr>
          <w:sz w:val="22"/>
          <w:szCs w:val="22"/>
        </w:rPr>
        <w:t xml:space="preserve"> estimated 44,000 total</w:t>
      </w:r>
      <w:r w:rsidR="000B6CD0">
        <w:rPr>
          <w:sz w:val="22"/>
          <w:szCs w:val="22"/>
        </w:rPr>
        <w:t xml:space="preserve"> trips taken to Shoshone County;</w:t>
      </w:r>
      <w:r w:rsidR="002A1CDD" w:rsidRPr="00780BA9">
        <w:rPr>
          <w:sz w:val="22"/>
          <w:szCs w:val="22"/>
        </w:rPr>
        <w:t xml:space="preserve"> 9,000 by </w:t>
      </w:r>
      <w:r w:rsidR="000B6CD0">
        <w:rPr>
          <w:sz w:val="22"/>
          <w:szCs w:val="22"/>
        </w:rPr>
        <w:t>Shoshone County residents</w:t>
      </w:r>
      <w:r w:rsidR="002A1CDD" w:rsidRPr="00780BA9">
        <w:rPr>
          <w:sz w:val="22"/>
          <w:szCs w:val="22"/>
        </w:rPr>
        <w:t xml:space="preserve"> and 35</w:t>
      </w:r>
      <w:r w:rsidR="009E6B2B" w:rsidRPr="00780BA9">
        <w:rPr>
          <w:sz w:val="22"/>
          <w:szCs w:val="22"/>
        </w:rPr>
        <w:t xml:space="preserve">,000 </w:t>
      </w:r>
      <w:r w:rsidR="00885AA2">
        <w:rPr>
          <w:sz w:val="22"/>
          <w:szCs w:val="22"/>
        </w:rPr>
        <w:t>from outside the c</w:t>
      </w:r>
      <w:r w:rsidR="000B6CD0">
        <w:rPr>
          <w:sz w:val="22"/>
          <w:szCs w:val="22"/>
        </w:rPr>
        <w:t>ounty</w:t>
      </w:r>
      <w:r w:rsidR="00B51F1C" w:rsidRPr="00780BA9">
        <w:rPr>
          <w:sz w:val="22"/>
          <w:szCs w:val="22"/>
        </w:rPr>
        <w:t>.</w:t>
      </w:r>
      <w:r w:rsidR="004466A7" w:rsidRPr="00780BA9">
        <w:rPr>
          <w:i/>
          <w:sz w:val="22"/>
          <w:szCs w:val="22"/>
        </w:rPr>
        <w:t xml:space="preserve"> </w:t>
      </w:r>
      <w:r w:rsidR="004466A7" w:rsidRPr="00780BA9">
        <w:rPr>
          <w:sz w:val="22"/>
          <w:szCs w:val="22"/>
        </w:rPr>
        <w:t xml:space="preserve"> </w:t>
      </w:r>
    </w:p>
    <w:p w14:paraId="54EC7659" w14:textId="77777777" w:rsidR="00B51F1C" w:rsidRPr="00780BA9" w:rsidRDefault="00B51F1C" w:rsidP="00BE295C">
      <w:pPr>
        <w:rPr>
          <w:sz w:val="22"/>
          <w:szCs w:val="22"/>
        </w:rPr>
      </w:pPr>
    </w:p>
    <w:p w14:paraId="61E4D557" w14:textId="1EBD7CB0" w:rsidR="00E01AE6" w:rsidRPr="00780BA9" w:rsidRDefault="000B6CD0" w:rsidP="00BE295C">
      <w:pPr>
        <w:rPr>
          <w:sz w:val="22"/>
          <w:szCs w:val="22"/>
        </w:rPr>
      </w:pPr>
      <w:r>
        <w:rPr>
          <w:sz w:val="22"/>
          <w:szCs w:val="22"/>
        </w:rPr>
        <w:t>During the study period</w:t>
      </w:r>
      <w:r w:rsidR="00E01AE6" w:rsidRPr="00780BA9">
        <w:rPr>
          <w:sz w:val="22"/>
          <w:szCs w:val="22"/>
        </w:rPr>
        <w:t>,</w:t>
      </w:r>
      <w:r w:rsidR="004466A7" w:rsidRPr="00780BA9">
        <w:rPr>
          <w:sz w:val="22"/>
          <w:szCs w:val="22"/>
        </w:rPr>
        <w:t xml:space="preserve"> </w:t>
      </w:r>
      <w:r w:rsidR="00E01AE6" w:rsidRPr="00780BA9">
        <w:rPr>
          <w:sz w:val="22"/>
          <w:szCs w:val="22"/>
        </w:rPr>
        <w:t xml:space="preserve">close to a million OHV </w:t>
      </w:r>
      <w:r w:rsidR="004466A7" w:rsidRPr="00780BA9">
        <w:rPr>
          <w:sz w:val="22"/>
          <w:szCs w:val="22"/>
        </w:rPr>
        <w:t>trips</w:t>
      </w:r>
      <w:r w:rsidR="00E01AE6" w:rsidRPr="00780BA9">
        <w:rPr>
          <w:sz w:val="22"/>
          <w:szCs w:val="22"/>
        </w:rPr>
        <w:t xml:space="preserve"> were taken and over half of those were taken outside of the resident county</w:t>
      </w:r>
      <w:r w:rsidR="00BE295C" w:rsidRPr="00780BA9">
        <w:rPr>
          <w:sz w:val="22"/>
          <w:szCs w:val="22"/>
        </w:rPr>
        <w:t xml:space="preserve">. </w:t>
      </w:r>
      <w:r w:rsidR="00516354" w:rsidRPr="00780BA9">
        <w:rPr>
          <w:sz w:val="22"/>
          <w:szCs w:val="22"/>
        </w:rPr>
        <w:t xml:space="preserve">More OHV </w:t>
      </w:r>
      <w:r w:rsidR="00885AA2">
        <w:rPr>
          <w:sz w:val="22"/>
          <w:szCs w:val="22"/>
        </w:rPr>
        <w:t>trips were</w:t>
      </w:r>
      <w:r w:rsidR="002A4DD3" w:rsidRPr="00780BA9">
        <w:rPr>
          <w:sz w:val="22"/>
          <w:szCs w:val="22"/>
        </w:rPr>
        <w:t xml:space="preserve"> taken to </w:t>
      </w:r>
      <w:r w:rsidR="00E2045B" w:rsidRPr="00780BA9">
        <w:rPr>
          <w:sz w:val="22"/>
          <w:szCs w:val="22"/>
        </w:rPr>
        <w:t>Valley County</w:t>
      </w:r>
      <w:r w:rsidR="00516354" w:rsidRPr="00780BA9">
        <w:rPr>
          <w:sz w:val="22"/>
          <w:szCs w:val="22"/>
        </w:rPr>
        <w:t xml:space="preserve"> than any</w:t>
      </w:r>
      <w:r w:rsidR="002A4DD3" w:rsidRPr="00780BA9">
        <w:rPr>
          <w:sz w:val="22"/>
          <w:szCs w:val="22"/>
        </w:rPr>
        <w:t xml:space="preserve"> other county in the state (Table 1</w:t>
      </w:r>
      <w:r w:rsidR="00E2045B" w:rsidRPr="00780BA9">
        <w:rPr>
          <w:sz w:val="22"/>
          <w:szCs w:val="22"/>
        </w:rPr>
        <w:t xml:space="preserve">). </w:t>
      </w:r>
      <w:r w:rsidR="002A4DD3" w:rsidRPr="00780BA9">
        <w:rPr>
          <w:sz w:val="22"/>
          <w:szCs w:val="22"/>
        </w:rPr>
        <w:t>Valley County</w:t>
      </w:r>
      <w:r w:rsidR="00E2045B" w:rsidRPr="00780BA9">
        <w:rPr>
          <w:sz w:val="22"/>
          <w:szCs w:val="22"/>
        </w:rPr>
        <w:t xml:space="preserve"> host</w:t>
      </w:r>
      <w:r w:rsidR="00885AA2">
        <w:rPr>
          <w:sz w:val="22"/>
          <w:szCs w:val="22"/>
        </w:rPr>
        <w:t>ed</w:t>
      </w:r>
      <w:r w:rsidR="00E2045B" w:rsidRPr="00780BA9">
        <w:rPr>
          <w:sz w:val="22"/>
          <w:szCs w:val="22"/>
        </w:rPr>
        <w:t xml:space="preserve"> </w:t>
      </w:r>
      <w:r w:rsidR="006C617B" w:rsidRPr="00780BA9">
        <w:rPr>
          <w:sz w:val="22"/>
          <w:szCs w:val="22"/>
        </w:rPr>
        <w:t>58</w:t>
      </w:r>
      <w:r w:rsidR="00516354" w:rsidRPr="00780BA9">
        <w:rPr>
          <w:sz w:val="22"/>
          <w:szCs w:val="22"/>
        </w:rPr>
        <w:t>,000 OHV recreation visits</w:t>
      </w:r>
      <w:r w:rsidR="00E2045B" w:rsidRPr="00780BA9">
        <w:rPr>
          <w:sz w:val="22"/>
          <w:szCs w:val="22"/>
        </w:rPr>
        <w:t xml:space="preserve"> </w:t>
      </w:r>
      <w:r w:rsidR="00885AA2">
        <w:rPr>
          <w:sz w:val="22"/>
          <w:szCs w:val="22"/>
        </w:rPr>
        <w:t>during the year</w:t>
      </w:r>
      <w:r w:rsidR="00E2045B" w:rsidRPr="00780BA9">
        <w:rPr>
          <w:sz w:val="22"/>
          <w:szCs w:val="22"/>
        </w:rPr>
        <w:t>;</w:t>
      </w:r>
      <w:r w:rsidR="006C617B" w:rsidRPr="00780BA9">
        <w:rPr>
          <w:sz w:val="22"/>
          <w:szCs w:val="22"/>
        </w:rPr>
        <w:t xml:space="preserve"> </w:t>
      </w:r>
      <w:r w:rsidR="00E01AE6" w:rsidRPr="00780BA9">
        <w:rPr>
          <w:sz w:val="22"/>
          <w:szCs w:val="22"/>
        </w:rPr>
        <w:t xml:space="preserve">9,000 </w:t>
      </w:r>
      <w:r w:rsidR="00885AA2">
        <w:rPr>
          <w:sz w:val="22"/>
          <w:szCs w:val="22"/>
        </w:rPr>
        <w:t>by</w:t>
      </w:r>
      <w:r w:rsidR="00BE295C" w:rsidRPr="00780BA9">
        <w:rPr>
          <w:sz w:val="22"/>
          <w:szCs w:val="22"/>
        </w:rPr>
        <w:t xml:space="preserve"> </w:t>
      </w:r>
      <w:r w:rsidR="002A4DD3" w:rsidRPr="00780BA9">
        <w:rPr>
          <w:sz w:val="22"/>
          <w:szCs w:val="22"/>
        </w:rPr>
        <w:t>Valley County</w:t>
      </w:r>
      <w:r w:rsidR="00BE295C" w:rsidRPr="00780BA9">
        <w:rPr>
          <w:sz w:val="22"/>
          <w:szCs w:val="22"/>
        </w:rPr>
        <w:t xml:space="preserve"> residents</w:t>
      </w:r>
      <w:r w:rsidR="00885AA2">
        <w:rPr>
          <w:sz w:val="22"/>
          <w:szCs w:val="22"/>
        </w:rPr>
        <w:t xml:space="preserve"> and </w:t>
      </w:r>
      <w:r w:rsidR="00885AA2" w:rsidRPr="00885AA2">
        <w:rPr>
          <w:sz w:val="22"/>
          <w:szCs w:val="22"/>
        </w:rPr>
        <w:t>49,000 were from outside the county</w:t>
      </w:r>
      <w:r w:rsidR="00BE295C" w:rsidRPr="00780BA9">
        <w:rPr>
          <w:sz w:val="22"/>
          <w:szCs w:val="22"/>
        </w:rPr>
        <w:t xml:space="preserve">. </w:t>
      </w:r>
    </w:p>
    <w:p w14:paraId="1E85CDAC" w14:textId="2E9401E8" w:rsidR="006C6AA9" w:rsidRPr="00780BA9" w:rsidRDefault="006C6AA9" w:rsidP="00BE295C">
      <w:pPr>
        <w:rPr>
          <w:sz w:val="22"/>
          <w:szCs w:val="22"/>
        </w:rPr>
      </w:pPr>
    </w:p>
    <w:p w14:paraId="2A2F5CBC" w14:textId="54CF8A7B" w:rsidR="006C6AA9" w:rsidRDefault="00E2045B" w:rsidP="00BE295C">
      <w:r w:rsidRPr="00780BA9">
        <w:rPr>
          <w:sz w:val="22"/>
          <w:szCs w:val="22"/>
        </w:rPr>
        <w:t xml:space="preserve">Three of </w:t>
      </w:r>
      <w:r w:rsidR="00BE295C" w:rsidRPr="00780BA9">
        <w:rPr>
          <w:sz w:val="22"/>
          <w:szCs w:val="22"/>
        </w:rPr>
        <w:t>the top ten counti</w:t>
      </w:r>
      <w:r w:rsidR="00885AA2">
        <w:rPr>
          <w:sz w:val="22"/>
          <w:szCs w:val="22"/>
        </w:rPr>
        <w:t>es (Owyhee, Boise, and Valley) were</w:t>
      </w:r>
      <w:r w:rsidR="00B777E7" w:rsidRPr="00780BA9">
        <w:rPr>
          <w:sz w:val="22"/>
          <w:szCs w:val="22"/>
        </w:rPr>
        <w:t xml:space="preserve"> the OHV playground for </w:t>
      </w:r>
      <w:r w:rsidR="00043F0E" w:rsidRPr="00780BA9">
        <w:rPr>
          <w:sz w:val="22"/>
          <w:szCs w:val="22"/>
        </w:rPr>
        <w:t>the Treasure Valley</w:t>
      </w:r>
      <w:r w:rsidRPr="00780BA9">
        <w:rPr>
          <w:sz w:val="22"/>
          <w:szCs w:val="22"/>
        </w:rPr>
        <w:t xml:space="preserve">.  </w:t>
      </w:r>
      <w:r w:rsidR="00BE295C" w:rsidRPr="00780BA9">
        <w:rPr>
          <w:sz w:val="22"/>
          <w:szCs w:val="22"/>
        </w:rPr>
        <w:t>Similarly, Ko</w:t>
      </w:r>
      <w:r w:rsidR="00885AA2">
        <w:rPr>
          <w:sz w:val="22"/>
          <w:szCs w:val="22"/>
        </w:rPr>
        <w:t>otenai and Shoshone counties were</w:t>
      </w:r>
      <w:r w:rsidR="00BE295C" w:rsidRPr="00780BA9">
        <w:rPr>
          <w:sz w:val="22"/>
          <w:szCs w:val="22"/>
        </w:rPr>
        <w:t xml:space="preserve"> the</w:t>
      </w:r>
      <w:r w:rsidR="00DE6EFF" w:rsidRPr="00780BA9">
        <w:rPr>
          <w:sz w:val="22"/>
          <w:szCs w:val="22"/>
        </w:rPr>
        <w:t xml:space="preserve"> playground for Coeur d’Alene and Post Falls residents. Most Kootenai tr</w:t>
      </w:r>
      <w:r w:rsidR="00885AA2">
        <w:rPr>
          <w:sz w:val="22"/>
          <w:szCs w:val="22"/>
        </w:rPr>
        <w:t>ips (49,000 of 53,000 trips) were</w:t>
      </w:r>
      <w:r w:rsidR="00DE6EFF" w:rsidRPr="00780BA9">
        <w:rPr>
          <w:sz w:val="22"/>
          <w:szCs w:val="22"/>
        </w:rPr>
        <w:t xml:space="preserve"> taken by residents of Kootenai County.  The St. Anthony San</w:t>
      </w:r>
      <w:r w:rsidR="00885AA2">
        <w:rPr>
          <w:sz w:val="22"/>
          <w:szCs w:val="22"/>
        </w:rPr>
        <w:t>d Dunes and Island Park area were</w:t>
      </w:r>
      <w:r w:rsidR="00DE6EFF" w:rsidRPr="00780BA9">
        <w:rPr>
          <w:sz w:val="22"/>
          <w:szCs w:val="22"/>
        </w:rPr>
        <w:t xml:space="preserve"> huge OHV visitor destinations, which explains why Fremont C</w:t>
      </w:r>
      <w:r w:rsidR="00885AA2">
        <w:rPr>
          <w:sz w:val="22"/>
          <w:szCs w:val="22"/>
        </w:rPr>
        <w:t>ounty ranked</w:t>
      </w:r>
      <w:r w:rsidR="00DE6EFF" w:rsidRPr="00780BA9">
        <w:rPr>
          <w:sz w:val="22"/>
          <w:szCs w:val="22"/>
        </w:rPr>
        <w:t xml:space="preserve"> 9</w:t>
      </w:r>
      <w:r w:rsidR="00DE6EFF" w:rsidRPr="00780BA9">
        <w:rPr>
          <w:sz w:val="22"/>
          <w:szCs w:val="22"/>
          <w:vertAlign w:val="superscript"/>
        </w:rPr>
        <w:t>th</w:t>
      </w:r>
      <w:r w:rsidR="00DE6EFF" w:rsidRPr="00780BA9">
        <w:rPr>
          <w:sz w:val="22"/>
          <w:szCs w:val="22"/>
        </w:rPr>
        <w:t xml:space="preserve"> in total trips despite low resident population.  Owyhee, Valley, Boise, and Shoshone counties receive</w:t>
      </w:r>
      <w:r w:rsidR="00885AA2">
        <w:rPr>
          <w:sz w:val="22"/>
          <w:szCs w:val="22"/>
        </w:rPr>
        <w:t>d</w:t>
      </w:r>
      <w:r w:rsidR="00DE6EFF" w:rsidRPr="00780BA9">
        <w:rPr>
          <w:sz w:val="22"/>
          <w:szCs w:val="22"/>
        </w:rPr>
        <w:t xml:space="preserve"> the most visits from out-of-county residents.  Lincoln, Oneida, Washington and Jerome counties host the fewest number of total OHV trips.</w:t>
      </w:r>
      <w:r w:rsidR="00BE295C" w:rsidRPr="001F1330">
        <w:t xml:space="preserve"> </w:t>
      </w:r>
    </w:p>
    <w:p w14:paraId="7A12036F" w14:textId="77777777" w:rsidR="00942D4B" w:rsidRDefault="00942D4B" w:rsidP="00BE295C"/>
    <w:p w14:paraId="201AB76E" w14:textId="77777777" w:rsidR="00942D4B" w:rsidRDefault="00942D4B" w:rsidP="00BE295C"/>
    <w:p w14:paraId="3BFBC569" w14:textId="2BB97EB5" w:rsidR="00942D4B" w:rsidRDefault="00942D4B" w:rsidP="00BE295C"/>
    <w:p w14:paraId="44D12DCD" w14:textId="2381A016" w:rsidR="00942D4B" w:rsidRDefault="00942D4B" w:rsidP="00BE295C"/>
    <w:p w14:paraId="27D6F774" w14:textId="0708709B" w:rsidR="00942D4B" w:rsidRDefault="00942D4B" w:rsidP="00BE295C"/>
    <w:p w14:paraId="174FA687" w14:textId="77777777" w:rsidR="00C54C2A" w:rsidRDefault="00C54C2A" w:rsidP="00BE295C"/>
    <w:p w14:paraId="51CC5245" w14:textId="69090E51" w:rsidR="00C54C2A" w:rsidRDefault="00C54C2A" w:rsidP="00BE295C"/>
    <w:p w14:paraId="267D12E2" w14:textId="2A7B37D4" w:rsidR="00C54C2A" w:rsidRDefault="00C54C2A" w:rsidP="00BE295C"/>
    <w:p w14:paraId="7CDFD8C8" w14:textId="586EACC0" w:rsidR="00942D4B" w:rsidRDefault="00942D4B" w:rsidP="00BE295C"/>
    <w:p w14:paraId="0A011097" w14:textId="00BE95B0" w:rsidR="00780BA9" w:rsidRDefault="00780BA9" w:rsidP="00BE295C"/>
    <w:p w14:paraId="65E6163E" w14:textId="40A2D456" w:rsidR="00780BA9" w:rsidRDefault="00780BA9" w:rsidP="00BE295C"/>
    <w:p w14:paraId="46F03ADD" w14:textId="01896C68" w:rsidR="00780BA9" w:rsidRDefault="00780BA9" w:rsidP="00BE295C"/>
    <w:p w14:paraId="090F112C" w14:textId="0DE75A91" w:rsidR="00780BA9" w:rsidRDefault="00780BA9" w:rsidP="00BE295C"/>
    <w:p w14:paraId="4C3C39B1" w14:textId="41225546" w:rsidR="00D16451" w:rsidRPr="001F1330" w:rsidRDefault="00D16451" w:rsidP="00BE295C"/>
    <w:p w14:paraId="21CA59D1" w14:textId="78F1A143" w:rsidR="00BE295C" w:rsidRPr="00A96754" w:rsidRDefault="0072050C" w:rsidP="00BE295C">
      <w:pPr>
        <w:rPr>
          <w:b/>
          <w:sz w:val="22"/>
        </w:rPr>
      </w:pPr>
      <w:r w:rsidRPr="00780BA9">
        <w:rPr>
          <w:noProof/>
          <w:sz w:val="22"/>
          <w:szCs w:val="22"/>
        </w:rPr>
        <w:lastRenderedPageBreak/>
        <w:drawing>
          <wp:anchor distT="0" distB="0" distL="114300" distR="114300" simplePos="0" relativeHeight="251661312" behindDoc="1" locked="0" layoutInCell="1" allowOverlap="1" wp14:anchorId="33EF97D9" wp14:editId="128785CA">
            <wp:simplePos x="0" y="0"/>
            <wp:positionH relativeFrom="margin">
              <wp:posOffset>3577590</wp:posOffset>
            </wp:positionH>
            <wp:positionV relativeFrom="paragraph">
              <wp:posOffset>82550</wp:posOffset>
            </wp:positionV>
            <wp:extent cx="2971800" cy="2276475"/>
            <wp:effectExtent l="0" t="0" r="0" b="9525"/>
            <wp:wrapTight wrapText="bothSides">
              <wp:wrapPolygon edited="0">
                <wp:start x="0" y="0"/>
                <wp:lineTo x="0" y="21510"/>
                <wp:lineTo x="21462" y="21510"/>
                <wp:lineTo x="2146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BE295C" w:rsidRPr="00A96754">
        <w:rPr>
          <w:sz w:val="22"/>
        </w:rPr>
        <w:t xml:space="preserve"> </w:t>
      </w:r>
    </w:p>
    <w:p w14:paraId="1B021654" w14:textId="6EE24157" w:rsidR="00414FF2" w:rsidRDefault="00642264" w:rsidP="00221B17">
      <w:pPr>
        <w:rPr>
          <w:b/>
          <w:bCs/>
          <w:sz w:val="28"/>
          <w:szCs w:val="28"/>
        </w:rPr>
      </w:pPr>
      <w:r w:rsidRPr="00237E89">
        <w:rPr>
          <w:sz w:val="28"/>
          <w:lang w:val="en-CA"/>
        </w:rPr>
        <w:fldChar w:fldCharType="begin"/>
      </w:r>
      <w:r w:rsidRPr="00237E89">
        <w:rPr>
          <w:sz w:val="28"/>
          <w:lang w:val="en-CA"/>
        </w:rPr>
        <w:instrText xml:space="preserve"> SEQ CHAPTER \h \r 1</w:instrText>
      </w:r>
      <w:r w:rsidRPr="00237E89">
        <w:rPr>
          <w:sz w:val="28"/>
          <w:lang w:val="en-CA"/>
        </w:rPr>
        <w:fldChar w:fldCharType="end"/>
      </w:r>
      <w:r w:rsidRPr="00237E89">
        <w:rPr>
          <w:b/>
          <w:bCs/>
          <w:sz w:val="28"/>
          <w:szCs w:val="28"/>
        </w:rPr>
        <w:t xml:space="preserve">OHV </w:t>
      </w:r>
      <w:r w:rsidR="00633CF1">
        <w:rPr>
          <w:b/>
          <w:bCs/>
          <w:sz w:val="28"/>
          <w:szCs w:val="28"/>
        </w:rPr>
        <w:t>Recreation</w:t>
      </w:r>
      <w:r w:rsidR="008A2AE0" w:rsidRPr="00237E89">
        <w:rPr>
          <w:b/>
          <w:bCs/>
          <w:sz w:val="28"/>
          <w:szCs w:val="28"/>
        </w:rPr>
        <w:t xml:space="preserve"> </w:t>
      </w:r>
      <w:r w:rsidR="007177CE" w:rsidRPr="00237E89">
        <w:rPr>
          <w:b/>
          <w:bCs/>
          <w:sz w:val="28"/>
          <w:szCs w:val="28"/>
        </w:rPr>
        <w:t>Expenditures</w:t>
      </w:r>
    </w:p>
    <w:p w14:paraId="5A8F9A38" w14:textId="1D2BAEA1" w:rsidR="0045566B" w:rsidRDefault="0045566B" w:rsidP="00221B17">
      <w:pPr>
        <w:rPr>
          <w:sz w:val="22"/>
          <w:szCs w:val="22"/>
        </w:rPr>
      </w:pPr>
    </w:p>
    <w:tbl>
      <w:tblPr>
        <w:tblpPr w:leftFromText="187" w:rightFromText="187" w:vertAnchor="text" w:horzAnchor="margin" w:tblpY="2678"/>
        <w:tblOverlap w:val="never"/>
        <w:tblW w:w="4738" w:type="dxa"/>
        <w:tblLook w:val="04A0" w:firstRow="1" w:lastRow="0" w:firstColumn="1" w:lastColumn="0" w:noHBand="0" w:noVBand="1"/>
      </w:tblPr>
      <w:tblGrid>
        <w:gridCol w:w="399"/>
        <w:gridCol w:w="983"/>
        <w:gridCol w:w="962"/>
        <w:gridCol w:w="559"/>
        <w:gridCol w:w="873"/>
        <w:gridCol w:w="962"/>
      </w:tblGrid>
      <w:tr w:rsidR="00294CB1" w:rsidRPr="00A96754" w14:paraId="3FDCE4DF" w14:textId="77777777" w:rsidTr="00294CB1">
        <w:trPr>
          <w:trHeight w:val="62"/>
        </w:trPr>
        <w:tc>
          <w:tcPr>
            <w:tcW w:w="4738" w:type="dxa"/>
            <w:gridSpan w:val="6"/>
            <w:tcBorders>
              <w:top w:val="nil"/>
              <w:left w:val="nil"/>
              <w:bottom w:val="nil"/>
              <w:right w:val="nil"/>
            </w:tcBorders>
            <w:shd w:val="clear" w:color="auto" w:fill="auto"/>
            <w:noWrap/>
            <w:vAlign w:val="bottom"/>
          </w:tcPr>
          <w:p w14:paraId="02A2EFF9" w14:textId="77777777" w:rsidR="00294CB1" w:rsidRDefault="00294CB1" w:rsidP="00294CB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Table 2. Trip expenditures made by county residents.</w:t>
            </w:r>
          </w:p>
        </w:tc>
      </w:tr>
      <w:tr w:rsidR="00294CB1" w:rsidRPr="00A96754" w14:paraId="552718AC" w14:textId="77777777" w:rsidTr="00294CB1">
        <w:trPr>
          <w:trHeight w:val="140"/>
        </w:trPr>
        <w:tc>
          <w:tcPr>
            <w:tcW w:w="399" w:type="dxa"/>
            <w:tcBorders>
              <w:top w:val="single" w:sz="4" w:space="0" w:color="auto"/>
              <w:left w:val="single" w:sz="4" w:space="0" w:color="auto"/>
              <w:bottom w:val="nil"/>
              <w:right w:val="nil"/>
            </w:tcBorders>
            <w:shd w:val="clear" w:color="auto" w:fill="auto"/>
            <w:noWrap/>
            <w:vAlign w:val="bottom"/>
            <w:hideMark/>
          </w:tcPr>
          <w:p w14:paraId="18450872" w14:textId="77777777" w:rsidR="00294CB1" w:rsidRPr="00A96754" w:rsidRDefault="00294CB1" w:rsidP="00294CB1">
            <w:pP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 </w:t>
            </w:r>
          </w:p>
        </w:tc>
        <w:tc>
          <w:tcPr>
            <w:tcW w:w="983" w:type="dxa"/>
            <w:tcBorders>
              <w:top w:val="single" w:sz="4" w:space="0" w:color="auto"/>
              <w:left w:val="nil"/>
              <w:bottom w:val="nil"/>
              <w:right w:val="nil"/>
            </w:tcBorders>
            <w:shd w:val="clear" w:color="auto" w:fill="auto"/>
            <w:noWrap/>
            <w:vAlign w:val="bottom"/>
            <w:hideMark/>
          </w:tcPr>
          <w:p w14:paraId="2B61C832" w14:textId="77777777" w:rsidR="00294CB1" w:rsidRPr="00A96754" w:rsidRDefault="00294CB1" w:rsidP="00294CB1">
            <w:pP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 </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49E447" w14:textId="77777777" w:rsidR="00294CB1" w:rsidRPr="00A96754" w:rsidRDefault="00294CB1" w:rsidP="00294CB1">
            <w:pPr>
              <w:jc w:val="center"/>
              <w:rPr>
                <w:rFonts w:ascii="Calibri" w:eastAsia="Times New Roman" w:hAnsi="Calibri" w:cs="Times New Roman"/>
                <w:color w:val="000000"/>
                <w:sz w:val="14"/>
                <w:szCs w:val="16"/>
              </w:rPr>
            </w:pPr>
            <w:r>
              <w:rPr>
                <w:rFonts w:ascii="Calibri" w:eastAsia="Times New Roman" w:hAnsi="Calibri" w:cs="Times New Roman"/>
                <w:color w:val="000000"/>
                <w:sz w:val="14"/>
                <w:szCs w:val="16"/>
              </w:rPr>
              <w:t>Home County Trip Expenditures</w:t>
            </w:r>
            <w:r w:rsidRPr="00A96754">
              <w:rPr>
                <w:rFonts w:ascii="Calibri" w:eastAsia="Times New Roman" w:hAnsi="Calibri" w:cs="Times New Roman"/>
                <w:color w:val="000000"/>
                <w:sz w:val="14"/>
                <w:szCs w:val="16"/>
              </w:rPr>
              <w:t xml:space="preserve"> ($millions)</w:t>
            </w:r>
          </w:p>
        </w:tc>
        <w:tc>
          <w:tcPr>
            <w:tcW w:w="1432" w:type="dxa"/>
            <w:gridSpan w:val="2"/>
            <w:tcBorders>
              <w:top w:val="single" w:sz="4" w:space="0" w:color="auto"/>
              <w:left w:val="nil"/>
              <w:bottom w:val="single" w:sz="4" w:space="0" w:color="auto"/>
              <w:right w:val="nil"/>
            </w:tcBorders>
            <w:shd w:val="clear" w:color="auto" w:fill="auto"/>
            <w:vAlign w:val="bottom"/>
            <w:hideMark/>
          </w:tcPr>
          <w:p w14:paraId="6AC767E2" w14:textId="77777777" w:rsidR="00294CB1" w:rsidRPr="00A96754" w:rsidRDefault="00294CB1" w:rsidP="00294CB1">
            <w:pPr>
              <w:jc w:val="center"/>
              <w:rPr>
                <w:rFonts w:ascii="Calibri" w:eastAsia="Times New Roman" w:hAnsi="Calibri" w:cs="Times New Roman"/>
                <w:color w:val="000000"/>
                <w:sz w:val="14"/>
                <w:szCs w:val="16"/>
              </w:rPr>
            </w:pPr>
            <w:r>
              <w:rPr>
                <w:rFonts w:ascii="Calibri" w:eastAsia="Times New Roman" w:hAnsi="Calibri" w:cs="Times New Roman"/>
                <w:color w:val="000000"/>
                <w:sz w:val="14"/>
                <w:szCs w:val="16"/>
              </w:rPr>
              <w:t>Out of County Trip Expenditures</w:t>
            </w:r>
            <w:r w:rsidRPr="00A96754">
              <w:rPr>
                <w:rFonts w:ascii="Calibri" w:eastAsia="Times New Roman" w:hAnsi="Calibri" w:cs="Times New Roman"/>
                <w:color w:val="000000"/>
                <w:sz w:val="14"/>
                <w:szCs w:val="16"/>
              </w:rPr>
              <w:t xml:space="preserve"> ($millions)</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93F1C" w14:textId="77777777" w:rsidR="00294CB1" w:rsidRPr="00A96754" w:rsidRDefault="00294CB1" w:rsidP="00294CB1">
            <w:pPr>
              <w:jc w:val="center"/>
              <w:rPr>
                <w:rFonts w:ascii="Calibri" w:eastAsia="Times New Roman" w:hAnsi="Calibri" w:cs="Times New Roman"/>
                <w:color w:val="000000"/>
                <w:sz w:val="14"/>
                <w:szCs w:val="16"/>
              </w:rPr>
            </w:pPr>
            <w:r>
              <w:rPr>
                <w:rFonts w:ascii="Calibri" w:eastAsia="Times New Roman" w:hAnsi="Calibri" w:cs="Times New Roman"/>
                <w:color w:val="000000"/>
                <w:sz w:val="14"/>
                <w:szCs w:val="16"/>
              </w:rPr>
              <w:t>Total Trip Expenditures</w:t>
            </w:r>
            <w:r w:rsidRPr="00A96754">
              <w:rPr>
                <w:rFonts w:ascii="Calibri" w:eastAsia="Times New Roman" w:hAnsi="Calibri" w:cs="Times New Roman"/>
                <w:color w:val="000000"/>
                <w:sz w:val="14"/>
                <w:szCs w:val="16"/>
              </w:rPr>
              <w:t xml:space="preserve"> ($millions)</w:t>
            </w:r>
          </w:p>
        </w:tc>
      </w:tr>
      <w:tr w:rsidR="00294CB1" w:rsidRPr="00A96754" w14:paraId="5784070D"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57EA4FEE" w14:textId="77777777" w:rsidR="00294CB1" w:rsidRPr="00A96754" w:rsidRDefault="00294CB1" w:rsidP="00294CB1">
            <w:pP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 </w:t>
            </w:r>
          </w:p>
        </w:tc>
        <w:tc>
          <w:tcPr>
            <w:tcW w:w="983" w:type="dxa"/>
            <w:tcBorders>
              <w:top w:val="nil"/>
              <w:left w:val="nil"/>
              <w:bottom w:val="nil"/>
              <w:right w:val="nil"/>
            </w:tcBorders>
            <w:shd w:val="clear" w:color="auto" w:fill="auto"/>
            <w:noWrap/>
            <w:vAlign w:val="bottom"/>
            <w:hideMark/>
          </w:tcPr>
          <w:p w14:paraId="5309484F" w14:textId="77777777" w:rsidR="00294CB1" w:rsidRPr="00A96754" w:rsidRDefault="00294CB1" w:rsidP="00294CB1">
            <w:pPr>
              <w:rPr>
                <w:rFonts w:ascii="Calibri" w:eastAsia="Times New Roman" w:hAnsi="Calibri" w:cs="Times New Roman"/>
                <w:color w:val="000000"/>
                <w:sz w:val="20"/>
                <w:szCs w:val="22"/>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2627D94A" w14:textId="77777777" w:rsidR="00294CB1" w:rsidRPr="00A96754" w:rsidRDefault="00294CB1" w:rsidP="00294CB1">
            <w:pPr>
              <w:rPr>
                <w:rFonts w:ascii="Calibri" w:eastAsia="Times New Roman" w:hAnsi="Calibri" w:cs="Times New Roman"/>
                <w:color w:val="000000"/>
                <w:sz w:val="14"/>
                <w:szCs w:val="16"/>
              </w:rPr>
            </w:pPr>
          </w:p>
        </w:tc>
        <w:tc>
          <w:tcPr>
            <w:tcW w:w="559" w:type="dxa"/>
            <w:tcBorders>
              <w:top w:val="nil"/>
              <w:left w:val="nil"/>
              <w:bottom w:val="single" w:sz="4" w:space="0" w:color="auto"/>
              <w:right w:val="nil"/>
            </w:tcBorders>
            <w:shd w:val="clear" w:color="auto" w:fill="auto"/>
            <w:noWrap/>
            <w:vAlign w:val="bottom"/>
            <w:hideMark/>
          </w:tcPr>
          <w:p w14:paraId="61C7B682" w14:textId="77777777" w:rsidR="00294CB1" w:rsidRPr="00A96754" w:rsidRDefault="00294CB1" w:rsidP="00294CB1">
            <w:pPr>
              <w:jc w:val="center"/>
              <w:rPr>
                <w:rFonts w:ascii="Calibri" w:eastAsia="Times New Roman" w:hAnsi="Calibri" w:cs="Times New Roman"/>
                <w:color w:val="000000"/>
                <w:sz w:val="14"/>
                <w:szCs w:val="16"/>
              </w:rPr>
            </w:pPr>
            <w:r w:rsidRPr="00A96754">
              <w:rPr>
                <w:rFonts w:ascii="Calibri" w:eastAsia="Times New Roman" w:hAnsi="Calibri" w:cs="Times New Roman"/>
                <w:color w:val="000000"/>
                <w:sz w:val="14"/>
                <w:szCs w:val="16"/>
              </w:rPr>
              <w:t xml:space="preserve">Home </w:t>
            </w:r>
          </w:p>
        </w:tc>
        <w:tc>
          <w:tcPr>
            <w:tcW w:w="873" w:type="dxa"/>
            <w:tcBorders>
              <w:top w:val="nil"/>
              <w:left w:val="nil"/>
              <w:bottom w:val="single" w:sz="4" w:space="0" w:color="auto"/>
              <w:right w:val="nil"/>
            </w:tcBorders>
            <w:shd w:val="clear" w:color="auto" w:fill="auto"/>
            <w:noWrap/>
            <w:vAlign w:val="bottom"/>
            <w:hideMark/>
          </w:tcPr>
          <w:p w14:paraId="45B19622" w14:textId="77777777" w:rsidR="00294CB1" w:rsidRPr="00A96754" w:rsidRDefault="00294CB1" w:rsidP="00294CB1">
            <w:pPr>
              <w:jc w:val="center"/>
              <w:rPr>
                <w:rFonts w:ascii="Calibri" w:eastAsia="Times New Roman" w:hAnsi="Calibri" w:cs="Times New Roman"/>
                <w:color w:val="000000"/>
                <w:sz w:val="14"/>
                <w:szCs w:val="16"/>
              </w:rPr>
            </w:pPr>
            <w:r w:rsidRPr="00A96754">
              <w:rPr>
                <w:rFonts w:ascii="Calibri" w:eastAsia="Times New Roman" w:hAnsi="Calibri" w:cs="Times New Roman"/>
                <w:color w:val="000000"/>
                <w:sz w:val="14"/>
                <w:szCs w:val="16"/>
              </w:rPr>
              <w:t>Destination</w:t>
            </w: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48D96853" w14:textId="77777777" w:rsidR="00294CB1" w:rsidRPr="00A96754" w:rsidRDefault="00294CB1" w:rsidP="00294CB1">
            <w:pPr>
              <w:rPr>
                <w:rFonts w:ascii="Calibri" w:eastAsia="Times New Roman" w:hAnsi="Calibri" w:cs="Times New Roman"/>
                <w:color w:val="000000"/>
                <w:sz w:val="14"/>
                <w:szCs w:val="16"/>
              </w:rPr>
            </w:pPr>
          </w:p>
        </w:tc>
      </w:tr>
      <w:tr w:rsidR="00294CB1" w:rsidRPr="00A96754" w14:paraId="2E0621B6"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7F0F61D3"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1</w:t>
            </w:r>
          </w:p>
        </w:tc>
        <w:tc>
          <w:tcPr>
            <w:tcW w:w="983" w:type="dxa"/>
            <w:tcBorders>
              <w:top w:val="nil"/>
              <w:left w:val="nil"/>
              <w:bottom w:val="nil"/>
              <w:right w:val="nil"/>
            </w:tcBorders>
            <w:shd w:val="clear" w:color="auto" w:fill="auto"/>
            <w:noWrap/>
            <w:vAlign w:val="bottom"/>
            <w:hideMark/>
          </w:tcPr>
          <w:p w14:paraId="0C28CF45"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Ada </w:t>
            </w:r>
          </w:p>
        </w:tc>
        <w:tc>
          <w:tcPr>
            <w:tcW w:w="962" w:type="dxa"/>
            <w:tcBorders>
              <w:top w:val="nil"/>
              <w:left w:val="single" w:sz="4" w:space="0" w:color="auto"/>
              <w:bottom w:val="nil"/>
              <w:right w:val="single" w:sz="4" w:space="0" w:color="auto"/>
            </w:tcBorders>
            <w:shd w:val="clear" w:color="auto" w:fill="auto"/>
            <w:noWrap/>
            <w:vAlign w:val="bottom"/>
            <w:hideMark/>
          </w:tcPr>
          <w:p w14:paraId="14A44809"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7</w:t>
            </w:r>
          </w:p>
        </w:tc>
        <w:tc>
          <w:tcPr>
            <w:tcW w:w="559" w:type="dxa"/>
            <w:tcBorders>
              <w:top w:val="nil"/>
              <w:left w:val="nil"/>
              <w:bottom w:val="nil"/>
              <w:right w:val="nil"/>
            </w:tcBorders>
            <w:shd w:val="clear" w:color="auto" w:fill="auto"/>
            <w:noWrap/>
            <w:vAlign w:val="bottom"/>
            <w:hideMark/>
          </w:tcPr>
          <w:p w14:paraId="7D6C3D0F"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23</w:t>
            </w:r>
          </w:p>
        </w:tc>
        <w:tc>
          <w:tcPr>
            <w:tcW w:w="873" w:type="dxa"/>
            <w:tcBorders>
              <w:top w:val="nil"/>
              <w:left w:val="nil"/>
              <w:bottom w:val="nil"/>
              <w:right w:val="single" w:sz="4" w:space="0" w:color="auto"/>
            </w:tcBorders>
            <w:shd w:val="clear" w:color="auto" w:fill="auto"/>
            <w:noWrap/>
            <w:vAlign w:val="bottom"/>
            <w:hideMark/>
          </w:tcPr>
          <w:p w14:paraId="3C6F66B4"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6</w:t>
            </w:r>
          </w:p>
        </w:tc>
        <w:tc>
          <w:tcPr>
            <w:tcW w:w="962" w:type="dxa"/>
            <w:tcBorders>
              <w:top w:val="nil"/>
              <w:left w:val="nil"/>
              <w:bottom w:val="nil"/>
              <w:right w:val="single" w:sz="4" w:space="0" w:color="auto"/>
            </w:tcBorders>
            <w:shd w:val="clear" w:color="auto" w:fill="auto"/>
            <w:noWrap/>
            <w:vAlign w:val="bottom"/>
            <w:hideMark/>
          </w:tcPr>
          <w:p w14:paraId="18C3E3C8"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35</w:t>
            </w:r>
          </w:p>
        </w:tc>
      </w:tr>
      <w:tr w:rsidR="00294CB1" w:rsidRPr="00A96754" w14:paraId="761EB7A7"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3C48037B"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2</w:t>
            </w:r>
          </w:p>
        </w:tc>
        <w:tc>
          <w:tcPr>
            <w:tcW w:w="983" w:type="dxa"/>
            <w:tcBorders>
              <w:top w:val="nil"/>
              <w:left w:val="nil"/>
              <w:bottom w:val="nil"/>
              <w:right w:val="nil"/>
            </w:tcBorders>
            <w:shd w:val="clear" w:color="auto" w:fill="auto"/>
            <w:noWrap/>
            <w:vAlign w:val="bottom"/>
            <w:hideMark/>
          </w:tcPr>
          <w:p w14:paraId="31BA60A6"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Bonneville </w:t>
            </w:r>
          </w:p>
        </w:tc>
        <w:tc>
          <w:tcPr>
            <w:tcW w:w="962" w:type="dxa"/>
            <w:tcBorders>
              <w:top w:val="nil"/>
              <w:left w:val="single" w:sz="4" w:space="0" w:color="auto"/>
              <w:bottom w:val="nil"/>
              <w:right w:val="single" w:sz="4" w:space="0" w:color="auto"/>
            </w:tcBorders>
            <w:shd w:val="clear" w:color="auto" w:fill="auto"/>
            <w:noWrap/>
            <w:vAlign w:val="bottom"/>
            <w:hideMark/>
          </w:tcPr>
          <w:p w14:paraId="561A8769"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w:t>
            </w:r>
          </w:p>
        </w:tc>
        <w:tc>
          <w:tcPr>
            <w:tcW w:w="559" w:type="dxa"/>
            <w:tcBorders>
              <w:top w:val="nil"/>
              <w:left w:val="nil"/>
              <w:bottom w:val="nil"/>
              <w:right w:val="nil"/>
            </w:tcBorders>
            <w:shd w:val="clear" w:color="auto" w:fill="auto"/>
            <w:noWrap/>
            <w:vAlign w:val="bottom"/>
            <w:hideMark/>
          </w:tcPr>
          <w:p w14:paraId="52C9AF72"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18</w:t>
            </w:r>
          </w:p>
        </w:tc>
        <w:tc>
          <w:tcPr>
            <w:tcW w:w="873" w:type="dxa"/>
            <w:tcBorders>
              <w:top w:val="nil"/>
              <w:left w:val="nil"/>
              <w:bottom w:val="nil"/>
              <w:right w:val="single" w:sz="4" w:space="0" w:color="auto"/>
            </w:tcBorders>
            <w:shd w:val="clear" w:color="auto" w:fill="auto"/>
            <w:noWrap/>
            <w:vAlign w:val="bottom"/>
            <w:hideMark/>
          </w:tcPr>
          <w:p w14:paraId="1E5C7C43"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w:t>
            </w:r>
          </w:p>
        </w:tc>
        <w:tc>
          <w:tcPr>
            <w:tcW w:w="962" w:type="dxa"/>
            <w:tcBorders>
              <w:top w:val="nil"/>
              <w:left w:val="nil"/>
              <w:bottom w:val="nil"/>
              <w:right w:val="single" w:sz="4" w:space="0" w:color="auto"/>
            </w:tcBorders>
            <w:shd w:val="clear" w:color="auto" w:fill="auto"/>
            <w:noWrap/>
            <w:vAlign w:val="bottom"/>
            <w:hideMark/>
          </w:tcPr>
          <w:p w14:paraId="5D17D3A1"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24</w:t>
            </w:r>
          </w:p>
        </w:tc>
      </w:tr>
      <w:tr w:rsidR="00294CB1" w:rsidRPr="00A96754" w14:paraId="7C7BA074"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13787EA7"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3</w:t>
            </w:r>
          </w:p>
        </w:tc>
        <w:tc>
          <w:tcPr>
            <w:tcW w:w="983" w:type="dxa"/>
            <w:tcBorders>
              <w:top w:val="nil"/>
              <w:left w:val="nil"/>
              <w:bottom w:val="nil"/>
              <w:right w:val="nil"/>
            </w:tcBorders>
            <w:shd w:val="clear" w:color="auto" w:fill="auto"/>
            <w:noWrap/>
            <w:vAlign w:val="bottom"/>
            <w:hideMark/>
          </w:tcPr>
          <w:p w14:paraId="109F7F3F"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Kootenai </w:t>
            </w:r>
          </w:p>
        </w:tc>
        <w:tc>
          <w:tcPr>
            <w:tcW w:w="962" w:type="dxa"/>
            <w:tcBorders>
              <w:top w:val="nil"/>
              <w:left w:val="single" w:sz="4" w:space="0" w:color="auto"/>
              <w:bottom w:val="nil"/>
              <w:right w:val="single" w:sz="4" w:space="0" w:color="auto"/>
            </w:tcBorders>
            <w:shd w:val="clear" w:color="auto" w:fill="auto"/>
            <w:noWrap/>
            <w:vAlign w:val="bottom"/>
            <w:hideMark/>
          </w:tcPr>
          <w:p w14:paraId="51E15EAA"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12</w:t>
            </w:r>
          </w:p>
        </w:tc>
        <w:tc>
          <w:tcPr>
            <w:tcW w:w="559" w:type="dxa"/>
            <w:tcBorders>
              <w:top w:val="nil"/>
              <w:left w:val="nil"/>
              <w:bottom w:val="nil"/>
              <w:right w:val="nil"/>
            </w:tcBorders>
            <w:shd w:val="clear" w:color="auto" w:fill="auto"/>
            <w:noWrap/>
            <w:vAlign w:val="bottom"/>
            <w:hideMark/>
          </w:tcPr>
          <w:p w14:paraId="4DF9843C"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4</w:t>
            </w:r>
          </w:p>
        </w:tc>
        <w:tc>
          <w:tcPr>
            <w:tcW w:w="873" w:type="dxa"/>
            <w:tcBorders>
              <w:top w:val="nil"/>
              <w:left w:val="nil"/>
              <w:bottom w:val="nil"/>
              <w:right w:val="single" w:sz="4" w:space="0" w:color="auto"/>
            </w:tcBorders>
            <w:shd w:val="clear" w:color="auto" w:fill="auto"/>
            <w:noWrap/>
            <w:vAlign w:val="bottom"/>
            <w:hideMark/>
          </w:tcPr>
          <w:p w14:paraId="7852E1E3"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962" w:type="dxa"/>
            <w:tcBorders>
              <w:top w:val="nil"/>
              <w:left w:val="nil"/>
              <w:bottom w:val="nil"/>
              <w:right w:val="single" w:sz="4" w:space="0" w:color="auto"/>
            </w:tcBorders>
            <w:shd w:val="clear" w:color="auto" w:fill="auto"/>
            <w:noWrap/>
            <w:vAlign w:val="bottom"/>
            <w:hideMark/>
          </w:tcPr>
          <w:p w14:paraId="1EB0B77B"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17</w:t>
            </w:r>
          </w:p>
        </w:tc>
      </w:tr>
      <w:tr w:rsidR="00294CB1" w:rsidRPr="00A96754" w14:paraId="5291F733"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2DC779E1"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4</w:t>
            </w:r>
          </w:p>
        </w:tc>
        <w:tc>
          <w:tcPr>
            <w:tcW w:w="983" w:type="dxa"/>
            <w:tcBorders>
              <w:top w:val="nil"/>
              <w:left w:val="nil"/>
              <w:bottom w:val="nil"/>
              <w:right w:val="nil"/>
            </w:tcBorders>
            <w:shd w:val="clear" w:color="auto" w:fill="auto"/>
            <w:noWrap/>
            <w:vAlign w:val="bottom"/>
            <w:hideMark/>
          </w:tcPr>
          <w:p w14:paraId="589B6A67"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Bannock </w:t>
            </w:r>
          </w:p>
        </w:tc>
        <w:tc>
          <w:tcPr>
            <w:tcW w:w="962" w:type="dxa"/>
            <w:tcBorders>
              <w:top w:val="nil"/>
              <w:left w:val="single" w:sz="4" w:space="0" w:color="auto"/>
              <w:bottom w:val="nil"/>
              <w:right w:val="single" w:sz="4" w:space="0" w:color="auto"/>
            </w:tcBorders>
            <w:shd w:val="clear" w:color="auto" w:fill="auto"/>
            <w:noWrap/>
            <w:vAlign w:val="bottom"/>
            <w:hideMark/>
          </w:tcPr>
          <w:p w14:paraId="5D4DDE10"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4</w:t>
            </w:r>
          </w:p>
        </w:tc>
        <w:tc>
          <w:tcPr>
            <w:tcW w:w="559" w:type="dxa"/>
            <w:tcBorders>
              <w:top w:val="nil"/>
              <w:left w:val="nil"/>
              <w:bottom w:val="nil"/>
              <w:right w:val="nil"/>
            </w:tcBorders>
            <w:shd w:val="clear" w:color="auto" w:fill="auto"/>
            <w:noWrap/>
            <w:vAlign w:val="bottom"/>
            <w:hideMark/>
          </w:tcPr>
          <w:p w14:paraId="0F4CF431"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4</w:t>
            </w:r>
          </w:p>
        </w:tc>
        <w:tc>
          <w:tcPr>
            <w:tcW w:w="873" w:type="dxa"/>
            <w:tcBorders>
              <w:top w:val="nil"/>
              <w:left w:val="nil"/>
              <w:bottom w:val="nil"/>
              <w:right w:val="single" w:sz="4" w:space="0" w:color="auto"/>
            </w:tcBorders>
            <w:shd w:val="clear" w:color="auto" w:fill="auto"/>
            <w:noWrap/>
            <w:vAlign w:val="bottom"/>
            <w:hideMark/>
          </w:tcPr>
          <w:p w14:paraId="1640B041"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w:t>
            </w:r>
          </w:p>
        </w:tc>
        <w:tc>
          <w:tcPr>
            <w:tcW w:w="962" w:type="dxa"/>
            <w:tcBorders>
              <w:top w:val="nil"/>
              <w:left w:val="nil"/>
              <w:bottom w:val="nil"/>
              <w:right w:val="single" w:sz="4" w:space="0" w:color="auto"/>
            </w:tcBorders>
            <w:shd w:val="clear" w:color="auto" w:fill="auto"/>
            <w:noWrap/>
            <w:vAlign w:val="bottom"/>
            <w:hideMark/>
          </w:tcPr>
          <w:p w14:paraId="4AB666C9"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10</w:t>
            </w:r>
          </w:p>
        </w:tc>
      </w:tr>
      <w:tr w:rsidR="00294CB1" w:rsidRPr="00A96754" w14:paraId="123C7487"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44C5329F"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5</w:t>
            </w:r>
          </w:p>
        </w:tc>
        <w:tc>
          <w:tcPr>
            <w:tcW w:w="983" w:type="dxa"/>
            <w:tcBorders>
              <w:top w:val="nil"/>
              <w:left w:val="nil"/>
              <w:bottom w:val="nil"/>
              <w:right w:val="nil"/>
            </w:tcBorders>
            <w:shd w:val="clear" w:color="auto" w:fill="auto"/>
            <w:noWrap/>
            <w:vAlign w:val="bottom"/>
            <w:hideMark/>
          </w:tcPr>
          <w:p w14:paraId="5C33E875"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Bonner </w:t>
            </w:r>
          </w:p>
        </w:tc>
        <w:tc>
          <w:tcPr>
            <w:tcW w:w="962" w:type="dxa"/>
            <w:tcBorders>
              <w:top w:val="nil"/>
              <w:left w:val="single" w:sz="4" w:space="0" w:color="auto"/>
              <w:bottom w:val="nil"/>
              <w:right w:val="single" w:sz="4" w:space="0" w:color="auto"/>
            </w:tcBorders>
            <w:shd w:val="clear" w:color="auto" w:fill="auto"/>
            <w:noWrap/>
            <w:vAlign w:val="bottom"/>
            <w:hideMark/>
          </w:tcPr>
          <w:p w14:paraId="4E69C385"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w:t>
            </w:r>
          </w:p>
        </w:tc>
        <w:tc>
          <w:tcPr>
            <w:tcW w:w="559" w:type="dxa"/>
            <w:tcBorders>
              <w:top w:val="nil"/>
              <w:left w:val="nil"/>
              <w:bottom w:val="nil"/>
              <w:right w:val="nil"/>
            </w:tcBorders>
            <w:shd w:val="clear" w:color="auto" w:fill="auto"/>
            <w:noWrap/>
            <w:vAlign w:val="bottom"/>
            <w:hideMark/>
          </w:tcPr>
          <w:p w14:paraId="4A7E9830"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w:t>
            </w:r>
          </w:p>
        </w:tc>
        <w:tc>
          <w:tcPr>
            <w:tcW w:w="873" w:type="dxa"/>
            <w:tcBorders>
              <w:top w:val="nil"/>
              <w:left w:val="nil"/>
              <w:bottom w:val="nil"/>
              <w:right w:val="single" w:sz="4" w:space="0" w:color="auto"/>
            </w:tcBorders>
            <w:shd w:val="clear" w:color="auto" w:fill="auto"/>
            <w:noWrap/>
            <w:vAlign w:val="bottom"/>
            <w:hideMark/>
          </w:tcPr>
          <w:p w14:paraId="75A13F3A"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5</w:t>
            </w:r>
          </w:p>
        </w:tc>
        <w:tc>
          <w:tcPr>
            <w:tcW w:w="962" w:type="dxa"/>
            <w:tcBorders>
              <w:top w:val="nil"/>
              <w:left w:val="nil"/>
              <w:bottom w:val="nil"/>
              <w:right w:val="single" w:sz="4" w:space="0" w:color="auto"/>
            </w:tcBorders>
            <w:shd w:val="clear" w:color="auto" w:fill="auto"/>
            <w:noWrap/>
            <w:vAlign w:val="bottom"/>
            <w:hideMark/>
          </w:tcPr>
          <w:p w14:paraId="46039373"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9</w:t>
            </w:r>
          </w:p>
        </w:tc>
      </w:tr>
      <w:tr w:rsidR="00294CB1" w:rsidRPr="00A96754" w14:paraId="75BE34BE"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344F190A"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6</w:t>
            </w:r>
          </w:p>
        </w:tc>
        <w:tc>
          <w:tcPr>
            <w:tcW w:w="983" w:type="dxa"/>
            <w:tcBorders>
              <w:top w:val="nil"/>
              <w:left w:val="nil"/>
              <w:bottom w:val="nil"/>
              <w:right w:val="nil"/>
            </w:tcBorders>
            <w:shd w:val="clear" w:color="auto" w:fill="auto"/>
            <w:noWrap/>
            <w:vAlign w:val="bottom"/>
            <w:hideMark/>
          </w:tcPr>
          <w:p w14:paraId="59805EBC"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Bingham </w:t>
            </w:r>
          </w:p>
        </w:tc>
        <w:tc>
          <w:tcPr>
            <w:tcW w:w="962" w:type="dxa"/>
            <w:tcBorders>
              <w:top w:val="nil"/>
              <w:left w:val="single" w:sz="4" w:space="0" w:color="auto"/>
              <w:bottom w:val="nil"/>
              <w:right w:val="single" w:sz="4" w:space="0" w:color="auto"/>
            </w:tcBorders>
            <w:shd w:val="clear" w:color="auto" w:fill="auto"/>
            <w:noWrap/>
            <w:vAlign w:val="bottom"/>
            <w:hideMark/>
          </w:tcPr>
          <w:p w14:paraId="2CBF44CA"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4</w:t>
            </w:r>
          </w:p>
        </w:tc>
        <w:tc>
          <w:tcPr>
            <w:tcW w:w="559" w:type="dxa"/>
            <w:tcBorders>
              <w:top w:val="nil"/>
              <w:left w:val="nil"/>
              <w:bottom w:val="nil"/>
              <w:right w:val="nil"/>
            </w:tcBorders>
            <w:shd w:val="clear" w:color="auto" w:fill="auto"/>
            <w:noWrap/>
            <w:vAlign w:val="bottom"/>
            <w:hideMark/>
          </w:tcPr>
          <w:p w14:paraId="40BEC1D7"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w:t>
            </w:r>
          </w:p>
        </w:tc>
        <w:tc>
          <w:tcPr>
            <w:tcW w:w="873" w:type="dxa"/>
            <w:tcBorders>
              <w:top w:val="nil"/>
              <w:left w:val="nil"/>
              <w:bottom w:val="nil"/>
              <w:right w:val="single" w:sz="4" w:space="0" w:color="auto"/>
            </w:tcBorders>
            <w:shd w:val="clear" w:color="auto" w:fill="auto"/>
            <w:noWrap/>
            <w:vAlign w:val="bottom"/>
            <w:hideMark/>
          </w:tcPr>
          <w:p w14:paraId="711F2161"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962" w:type="dxa"/>
            <w:tcBorders>
              <w:top w:val="nil"/>
              <w:left w:val="nil"/>
              <w:bottom w:val="nil"/>
              <w:right w:val="single" w:sz="4" w:space="0" w:color="auto"/>
            </w:tcBorders>
            <w:shd w:val="clear" w:color="auto" w:fill="auto"/>
            <w:noWrap/>
            <w:vAlign w:val="bottom"/>
            <w:hideMark/>
          </w:tcPr>
          <w:p w14:paraId="525082FE"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8</w:t>
            </w:r>
          </w:p>
        </w:tc>
      </w:tr>
      <w:tr w:rsidR="00294CB1" w:rsidRPr="00A96754" w14:paraId="7AC60BB6"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1CFA6180"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7</w:t>
            </w:r>
          </w:p>
        </w:tc>
        <w:tc>
          <w:tcPr>
            <w:tcW w:w="983" w:type="dxa"/>
            <w:tcBorders>
              <w:top w:val="nil"/>
              <w:left w:val="nil"/>
              <w:bottom w:val="nil"/>
              <w:right w:val="nil"/>
            </w:tcBorders>
            <w:shd w:val="clear" w:color="auto" w:fill="auto"/>
            <w:noWrap/>
            <w:vAlign w:val="bottom"/>
            <w:hideMark/>
          </w:tcPr>
          <w:p w14:paraId="4C7B245F"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Jefferson </w:t>
            </w:r>
          </w:p>
        </w:tc>
        <w:tc>
          <w:tcPr>
            <w:tcW w:w="962" w:type="dxa"/>
            <w:tcBorders>
              <w:top w:val="nil"/>
              <w:left w:val="single" w:sz="4" w:space="0" w:color="auto"/>
              <w:bottom w:val="nil"/>
              <w:right w:val="single" w:sz="4" w:space="0" w:color="auto"/>
            </w:tcBorders>
            <w:shd w:val="clear" w:color="auto" w:fill="auto"/>
            <w:noWrap/>
            <w:vAlign w:val="bottom"/>
            <w:hideMark/>
          </w:tcPr>
          <w:p w14:paraId="2B2F252F"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5</w:t>
            </w:r>
          </w:p>
        </w:tc>
        <w:tc>
          <w:tcPr>
            <w:tcW w:w="559" w:type="dxa"/>
            <w:tcBorders>
              <w:top w:val="nil"/>
              <w:left w:val="nil"/>
              <w:bottom w:val="nil"/>
              <w:right w:val="nil"/>
            </w:tcBorders>
            <w:shd w:val="clear" w:color="auto" w:fill="auto"/>
            <w:noWrap/>
            <w:vAlign w:val="bottom"/>
            <w:hideMark/>
          </w:tcPr>
          <w:p w14:paraId="4AB2394A"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873" w:type="dxa"/>
            <w:tcBorders>
              <w:top w:val="nil"/>
              <w:left w:val="nil"/>
              <w:bottom w:val="nil"/>
              <w:right w:val="single" w:sz="4" w:space="0" w:color="auto"/>
            </w:tcBorders>
            <w:shd w:val="clear" w:color="auto" w:fill="auto"/>
            <w:noWrap/>
            <w:vAlign w:val="bottom"/>
            <w:hideMark/>
          </w:tcPr>
          <w:p w14:paraId="324CB515"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0</w:t>
            </w:r>
          </w:p>
        </w:tc>
        <w:tc>
          <w:tcPr>
            <w:tcW w:w="962" w:type="dxa"/>
            <w:tcBorders>
              <w:top w:val="nil"/>
              <w:left w:val="nil"/>
              <w:bottom w:val="nil"/>
              <w:right w:val="single" w:sz="4" w:space="0" w:color="auto"/>
            </w:tcBorders>
            <w:shd w:val="clear" w:color="auto" w:fill="auto"/>
            <w:noWrap/>
            <w:vAlign w:val="bottom"/>
            <w:hideMark/>
          </w:tcPr>
          <w:p w14:paraId="43CBC15E"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6</w:t>
            </w:r>
          </w:p>
        </w:tc>
      </w:tr>
      <w:tr w:rsidR="00294CB1" w:rsidRPr="00A96754" w14:paraId="5A0D185F"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1ABC39C8"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8</w:t>
            </w:r>
          </w:p>
        </w:tc>
        <w:tc>
          <w:tcPr>
            <w:tcW w:w="983" w:type="dxa"/>
            <w:tcBorders>
              <w:top w:val="nil"/>
              <w:left w:val="nil"/>
              <w:bottom w:val="nil"/>
              <w:right w:val="nil"/>
            </w:tcBorders>
            <w:shd w:val="clear" w:color="auto" w:fill="auto"/>
            <w:noWrap/>
            <w:vAlign w:val="bottom"/>
            <w:hideMark/>
          </w:tcPr>
          <w:p w14:paraId="42018074"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Twin Falls </w:t>
            </w:r>
          </w:p>
        </w:tc>
        <w:tc>
          <w:tcPr>
            <w:tcW w:w="962" w:type="dxa"/>
            <w:tcBorders>
              <w:top w:val="nil"/>
              <w:left w:val="single" w:sz="4" w:space="0" w:color="auto"/>
              <w:bottom w:val="nil"/>
              <w:right w:val="single" w:sz="4" w:space="0" w:color="auto"/>
            </w:tcBorders>
            <w:shd w:val="clear" w:color="auto" w:fill="auto"/>
            <w:noWrap/>
            <w:vAlign w:val="bottom"/>
            <w:hideMark/>
          </w:tcPr>
          <w:p w14:paraId="4EA9B0F7"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559" w:type="dxa"/>
            <w:tcBorders>
              <w:top w:val="nil"/>
              <w:left w:val="nil"/>
              <w:bottom w:val="nil"/>
              <w:right w:val="nil"/>
            </w:tcBorders>
            <w:shd w:val="clear" w:color="auto" w:fill="auto"/>
            <w:noWrap/>
            <w:vAlign w:val="bottom"/>
            <w:hideMark/>
          </w:tcPr>
          <w:p w14:paraId="5EF6D0DD"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w:t>
            </w:r>
          </w:p>
        </w:tc>
        <w:tc>
          <w:tcPr>
            <w:tcW w:w="873" w:type="dxa"/>
            <w:tcBorders>
              <w:top w:val="nil"/>
              <w:left w:val="nil"/>
              <w:bottom w:val="nil"/>
              <w:right w:val="single" w:sz="4" w:space="0" w:color="auto"/>
            </w:tcBorders>
            <w:shd w:val="clear" w:color="auto" w:fill="auto"/>
            <w:noWrap/>
            <w:vAlign w:val="bottom"/>
            <w:hideMark/>
          </w:tcPr>
          <w:p w14:paraId="3DB7A605"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2</w:t>
            </w:r>
          </w:p>
        </w:tc>
        <w:tc>
          <w:tcPr>
            <w:tcW w:w="962" w:type="dxa"/>
            <w:tcBorders>
              <w:top w:val="nil"/>
              <w:left w:val="nil"/>
              <w:bottom w:val="nil"/>
              <w:right w:val="single" w:sz="4" w:space="0" w:color="auto"/>
            </w:tcBorders>
            <w:shd w:val="clear" w:color="auto" w:fill="auto"/>
            <w:noWrap/>
            <w:vAlign w:val="bottom"/>
            <w:hideMark/>
          </w:tcPr>
          <w:p w14:paraId="4968F1B2"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6</w:t>
            </w:r>
          </w:p>
        </w:tc>
      </w:tr>
      <w:tr w:rsidR="00294CB1" w:rsidRPr="00A96754" w14:paraId="3E827DFD" w14:textId="77777777" w:rsidTr="00294CB1">
        <w:trPr>
          <w:trHeight w:val="73"/>
        </w:trPr>
        <w:tc>
          <w:tcPr>
            <w:tcW w:w="399" w:type="dxa"/>
            <w:tcBorders>
              <w:top w:val="nil"/>
              <w:left w:val="single" w:sz="4" w:space="0" w:color="auto"/>
              <w:bottom w:val="nil"/>
              <w:right w:val="nil"/>
            </w:tcBorders>
            <w:shd w:val="clear" w:color="auto" w:fill="auto"/>
            <w:noWrap/>
            <w:vAlign w:val="bottom"/>
            <w:hideMark/>
          </w:tcPr>
          <w:p w14:paraId="436CE521"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9</w:t>
            </w:r>
          </w:p>
        </w:tc>
        <w:tc>
          <w:tcPr>
            <w:tcW w:w="983" w:type="dxa"/>
            <w:tcBorders>
              <w:top w:val="nil"/>
              <w:left w:val="nil"/>
              <w:bottom w:val="nil"/>
              <w:right w:val="nil"/>
            </w:tcBorders>
            <w:shd w:val="clear" w:color="auto" w:fill="auto"/>
            <w:noWrap/>
            <w:vAlign w:val="bottom"/>
            <w:hideMark/>
          </w:tcPr>
          <w:p w14:paraId="439EFD0D"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Idaho </w:t>
            </w:r>
          </w:p>
        </w:tc>
        <w:tc>
          <w:tcPr>
            <w:tcW w:w="962" w:type="dxa"/>
            <w:tcBorders>
              <w:top w:val="nil"/>
              <w:left w:val="single" w:sz="4" w:space="0" w:color="auto"/>
              <w:bottom w:val="nil"/>
              <w:right w:val="single" w:sz="4" w:space="0" w:color="auto"/>
            </w:tcBorders>
            <w:shd w:val="clear" w:color="auto" w:fill="auto"/>
            <w:noWrap/>
            <w:vAlign w:val="bottom"/>
            <w:hideMark/>
          </w:tcPr>
          <w:p w14:paraId="455EC24D"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6</w:t>
            </w:r>
          </w:p>
        </w:tc>
        <w:tc>
          <w:tcPr>
            <w:tcW w:w="559" w:type="dxa"/>
            <w:tcBorders>
              <w:top w:val="nil"/>
              <w:left w:val="nil"/>
              <w:bottom w:val="nil"/>
              <w:right w:val="nil"/>
            </w:tcBorders>
            <w:shd w:val="clear" w:color="auto" w:fill="auto"/>
            <w:noWrap/>
            <w:vAlign w:val="bottom"/>
            <w:hideMark/>
          </w:tcPr>
          <w:p w14:paraId="5F50D0FF"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0</w:t>
            </w:r>
          </w:p>
        </w:tc>
        <w:tc>
          <w:tcPr>
            <w:tcW w:w="873" w:type="dxa"/>
            <w:tcBorders>
              <w:top w:val="nil"/>
              <w:left w:val="nil"/>
              <w:bottom w:val="nil"/>
              <w:right w:val="single" w:sz="4" w:space="0" w:color="auto"/>
            </w:tcBorders>
            <w:shd w:val="clear" w:color="auto" w:fill="auto"/>
            <w:noWrap/>
            <w:vAlign w:val="bottom"/>
            <w:hideMark/>
          </w:tcPr>
          <w:p w14:paraId="3A6EBC5A"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0</w:t>
            </w:r>
          </w:p>
        </w:tc>
        <w:tc>
          <w:tcPr>
            <w:tcW w:w="962" w:type="dxa"/>
            <w:tcBorders>
              <w:top w:val="nil"/>
              <w:left w:val="nil"/>
              <w:bottom w:val="nil"/>
              <w:right w:val="single" w:sz="4" w:space="0" w:color="auto"/>
            </w:tcBorders>
            <w:shd w:val="clear" w:color="auto" w:fill="auto"/>
            <w:noWrap/>
            <w:vAlign w:val="bottom"/>
            <w:hideMark/>
          </w:tcPr>
          <w:p w14:paraId="453C89E2"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6</w:t>
            </w:r>
          </w:p>
        </w:tc>
      </w:tr>
      <w:tr w:rsidR="00294CB1" w:rsidRPr="00A96754" w14:paraId="59D4AAFD" w14:textId="77777777" w:rsidTr="00294CB1">
        <w:trPr>
          <w:trHeight w:val="73"/>
        </w:trPr>
        <w:tc>
          <w:tcPr>
            <w:tcW w:w="399" w:type="dxa"/>
            <w:tcBorders>
              <w:top w:val="nil"/>
              <w:left w:val="single" w:sz="4" w:space="0" w:color="auto"/>
              <w:bottom w:val="single" w:sz="4" w:space="0" w:color="auto"/>
              <w:right w:val="nil"/>
            </w:tcBorders>
            <w:shd w:val="clear" w:color="auto" w:fill="auto"/>
            <w:noWrap/>
            <w:vAlign w:val="bottom"/>
            <w:hideMark/>
          </w:tcPr>
          <w:p w14:paraId="2F28396A" w14:textId="77777777" w:rsidR="00294CB1" w:rsidRPr="00BA5D11" w:rsidRDefault="00294CB1" w:rsidP="00294CB1">
            <w:pPr>
              <w:jc w:val="right"/>
              <w:rPr>
                <w:rFonts w:ascii="Calibri" w:eastAsia="Times New Roman" w:hAnsi="Calibri" w:cs="Times New Roman"/>
                <w:color w:val="000000"/>
                <w:sz w:val="18"/>
                <w:szCs w:val="18"/>
              </w:rPr>
            </w:pPr>
            <w:r w:rsidRPr="00BA5D11">
              <w:rPr>
                <w:rFonts w:ascii="Calibri" w:eastAsia="Times New Roman" w:hAnsi="Calibri" w:cs="Times New Roman"/>
                <w:color w:val="000000"/>
                <w:sz w:val="18"/>
                <w:szCs w:val="18"/>
              </w:rPr>
              <w:t>10</w:t>
            </w:r>
          </w:p>
        </w:tc>
        <w:tc>
          <w:tcPr>
            <w:tcW w:w="983" w:type="dxa"/>
            <w:tcBorders>
              <w:top w:val="nil"/>
              <w:left w:val="nil"/>
              <w:bottom w:val="single" w:sz="4" w:space="0" w:color="auto"/>
              <w:right w:val="nil"/>
            </w:tcBorders>
            <w:shd w:val="clear" w:color="auto" w:fill="auto"/>
            <w:noWrap/>
            <w:vAlign w:val="bottom"/>
            <w:hideMark/>
          </w:tcPr>
          <w:p w14:paraId="352F5D91" w14:textId="77777777" w:rsidR="00294CB1" w:rsidRPr="00A96754" w:rsidRDefault="00294CB1" w:rsidP="00294CB1">
            <w:pPr>
              <w:rPr>
                <w:rFonts w:ascii="Calibri" w:eastAsia="Times New Roman" w:hAnsi="Calibri" w:cs="Times New Roman"/>
                <w:color w:val="000000"/>
                <w:sz w:val="18"/>
                <w:szCs w:val="20"/>
              </w:rPr>
            </w:pPr>
            <w:r w:rsidRPr="00A96754">
              <w:rPr>
                <w:rFonts w:ascii="Calibri" w:eastAsia="Times New Roman" w:hAnsi="Calibri" w:cs="Times New Roman"/>
                <w:color w:val="000000"/>
                <w:sz w:val="18"/>
                <w:szCs w:val="20"/>
              </w:rPr>
              <w:t xml:space="preserve">Latah </w:t>
            </w:r>
          </w:p>
        </w:tc>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5255725"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3</w:t>
            </w:r>
          </w:p>
        </w:tc>
        <w:tc>
          <w:tcPr>
            <w:tcW w:w="559" w:type="dxa"/>
            <w:tcBorders>
              <w:top w:val="nil"/>
              <w:left w:val="nil"/>
              <w:bottom w:val="single" w:sz="4" w:space="0" w:color="auto"/>
              <w:right w:val="nil"/>
            </w:tcBorders>
            <w:shd w:val="clear" w:color="auto" w:fill="auto"/>
            <w:noWrap/>
            <w:vAlign w:val="bottom"/>
            <w:hideMark/>
          </w:tcPr>
          <w:p w14:paraId="348D0D9E"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873" w:type="dxa"/>
            <w:tcBorders>
              <w:top w:val="nil"/>
              <w:left w:val="nil"/>
              <w:bottom w:val="single" w:sz="4" w:space="0" w:color="auto"/>
              <w:right w:val="single" w:sz="4" w:space="0" w:color="auto"/>
            </w:tcBorders>
            <w:shd w:val="clear" w:color="auto" w:fill="auto"/>
            <w:noWrap/>
            <w:vAlign w:val="bottom"/>
            <w:hideMark/>
          </w:tcPr>
          <w:p w14:paraId="225044E3"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1</w:t>
            </w:r>
          </w:p>
        </w:tc>
        <w:tc>
          <w:tcPr>
            <w:tcW w:w="962" w:type="dxa"/>
            <w:tcBorders>
              <w:top w:val="nil"/>
              <w:left w:val="nil"/>
              <w:bottom w:val="single" w:sz="4" w:space="0" w:color="auto"/>
              <w:right w:val="single" w:sz="4" w:space="0" w:color="auto"/>
            </w:tcBorders>
            <w:shd w:val="clear" w:color="auto" w:fill="auto"/>
            <w:noWrap/>
            <w:vAlign w:val="bottom"/>
            <w:hideMark/>
          </w:tcPr>
          <w:p w14:paraId="7C6F6DCF" w14:textId="77777777" w:rsidR="00294CB1" w:rsidRPr="00A96754" w:rsidRDefault="00294CB1" w:rsidP="00294CB1">
            <w:pPr>
              <w:jc w:val="center"/>
              <w:rPr>
                <w:rFonts w:ascii="Calibri" w:eastAsia="Times New Roman" w:hAnsi="Calibri" w:cs="Times New Roman"/>
                <w:color w:val="000000"/>
                <w:sz w:val="20"/>
                <w:szCs w:val="22"/>
              </w:rPr>
            </w:pPr>
            <w:r w:rsidRPr="00A96754">
              <w:rPr>
                <w:rFonts w:ascii="Calibri" w:eastAsia="Times New Roman" w:hAnsi="Calibri" w:cs="Times New Roman"/>
                <w:color w:val="000000"/>
                <w:sz w:val="20"/>
                <w:szCs w:val="22"/>
              </w:rPr>
              <w:t>5</w:t>
            </w:r>
          </w:p>
        </w:tc>
      </w:tr>
    </w:tbl>
    <w:p w14:paraId="6A5D46DE" w14:textId="6250BB99" w:rsidR="00221B17" w:rsidRPr="00780BA9" w:rsidRDefault="007177CE" w:rsidP="00221B17">
      <w:pPr>
        <w:rPr>
          <w:b/>
          <w:bCs/>
          <w:sz w:val="22"/>
          <w:szCs w:val="22"/>
        </w:rPr>
      </w:pPr>
      <w:r w:rsidRPr="00780BA9">
        <w:rPr>
          <w:sz w:val="22"/>
          <w:szCs w:val="22"/>
        </w:rPr>
        <w:t>OH</w:t>
      </w:r>
      <w:r w:rsidR="00C05FA0">
        <w:rPr>
          <w:sz w:val="22"/>
          <w:szCs w:val="22"/>
        </w:rPr>
        <w:t xml:space="preserve">V expenditures were classified into two categories; </w:t>
      </w:r>
      <w:r w:rsidR="00C05FA0">
        <w:rPr>
          <w:i/>
          <w:sz w:val="22"/>
          <w:szCs w:val="22"/>
          <w:u w:val="single"/>
        </w:rPr>
        <w:t xml:space="preserve">Trip </w:t>
      </w:r>
      <w:r w:rsidR="00C05FA0">
        <w:rPr>
          <w:sz w:val="22"/>
          <w:szCs w:val="22"/>
        </w:rPr>
        <w:t xml:space="preserve">and </w:t>
      </w:r>
      <w:r w:rsidR="00C05FA0">
        <w:rPr>
          <w:i/>
          <w:sz w:val="22"/>
          <w:szCs w:val="22"/>
          <w:u w:val="single"/>
        </w:rPr>
        <w:t xml:space="preserve">Capital </w:t>
      </w:r>
      <w:r w:rsidR="00C05FA0">
        <w:rPr>
          <w:sz w:val="22"/>
          <w:szCs w:val="22"/>
        </w:rPr>
        <w:t>e</w:t>
      </w:r>
      <w:r w:rsidR="00C05FA0" w:rsidRPr="00C05FA0">
        <w:rPr>
          <w:sz w:val="22"/>
          <w:szCs w:val="22"/>
        </w:rPr>
        <w:t>xpenditures.</w:t>
      </w:r>
      <w:r w:rsidR="00C05FA0">
        <w:rPr>
          <w:sz w:val="22"/>
          <w:szCs w:val="22"/>
        </w:rPr>
        <w:t xml:space="preserve">  </w:t>
      </w:r>
      <w:r w:rsidR="00C05FA0" w:rsidRPr="00C05FA0">
        <w:rPr>
          <w:i/>
          <w:sz w:val="22"/>
          <w:szCs w:val="22"/>
          <w:u w:val="single"/>
        </w:rPr>
        <w:t>Trip</w:t>
      </w:r>
      <w:r w:rsidR="00C05FA0">
        <w:rPr>
          <w:i/>
          <w:sz w:val="22"/>
          <w:szCs w:val="22"/>
          <w:u w:val="single"/>
        </w:rPr>
        <w:t xml:space="preserve"> expenditures</w:t>
      </w:r>
      <w:r w:rsidR="00C05FA0">
        <w:rPr>
          <w:sz w:val="22"/>
          <w:szCs w:val="22"/>
        </w:rPr>
        <w:t xml:space="preserve"> were</w:t>
      </w:r>
      <w:r w:rsidR="001807D4" w:rsidRPr="00780BA9">
        <w:rPr>
          <w:sz w:val="22"/>
          <w:szCs w:val="22"/>
        </w:rPr>
        <w:t xml:space="preserve"> those expenses made for non-durable goods and se</w:t>
      </w:r>
      <w:r w:rsidR="008A2AE0" w:rsidRPr="00780BA9">
        <w:rPr>
          <w:sz w:val="22"/>
          <w:szCs w:val="22"/>
        </w:rPr>
        <w:t>rvices</w:t>
      </w:r>
      <w:r w:rsidR="001807D4" w:rsidRPr="00780BA9">
        <w:rPr>
          <w:sz w:val="22"/>
          <w:szCs w:val="22"/>
        </w:rPr>
        <w:t>.</w:t>
      </w:r>
      <w:r w:rsidR="009A4B81" w:rsidRPr="00780BA9">
        <w:rPr>
          <w:sz w:val="22"/>
          <w:szCs w:val="22"/>
        </w:rPr>
        <w:t xml:space="preserve"> </w:t>
      </w:r>
      <w:r w:rsidR="001807D4" w:rsidRPr="00780BA9">
        <w:rPr>
          <w:sz w:val="22"/>
          <w:szCs w:val="22"/>
        </w:rPr>
        <w:t xml:space="preserve"> </w:t>
      </w:r>
      <w:r w:rsidR="00642264" w:rsidRPr="00780BA9">
        <w:rPr>
          <w:sz w:val="22"/>
          <w:szCs w:val="22"/>
        </w:rPr>
        <w:t>Fuel purchases constitute</w:t>
      </w:r>
      <w:r w:rsidR="00C05FA0">
        <w:rPr>
          <w:sz w:val="22"/>
          <w:szCs w:val="22"/>
        </w:rPr>
        <w:t>d</w:t>
      </w:r>
      <w:r w:rsidR="00642264" w:rsidRPr="00780BA9">
        <w:rPr>
          <w:sz w:val="22"/>
          <w:szCs w:val="22"/>
        </w:rPr>
        <w:t xml:space="preserve"> 39% of total trip expenditures (</w:t>
      </w:r>
      <w:r w:rsidR="006A561C" w:rsidRPr="00780BA9">
        <w:rPr>
          <w:sz w:val="22"/>
          <w:szCs w:val="22"/>
        </w:rPr>
        <w:t>F</w:t>
      </w:r>
      <w:r w:rsidR="00642264" w:rsidRPr="00780BA9">
        <w:rPr>
          <w:sz w:val="22"/>
          <w:szCs w:val="22"/>
        </w:rPr>
        <w:t>igure</w:t>
      </w:r>
      <w:r w:rsidR="00253571" w:rsidRPr="00780BA9">
        <w:rPr>
          <w:sz w:val="22"/>
          <w:szCs w:val="22"/>
        </w:rPr>
        <w:t xml:space="preserve"> </w:t>
      </w:r>
      <w:r w:rsidR="00A516F6" w:rsidRPr="00780BA9">
        <w:rPr>
          <w:sz w:val="22"/>
          <w:szCs w:val="22"/>
        </w:rPr>
        <w:t>1</w:t>
      </w:r>
      <w:r w:rsidR="00642264" w:rsidRPr="00780BA9">
        <w:rPr>
          <w:sz w:val="22"/>
          <w:szCs w:val="22"/>
        </w:rPr>
        <w:t>).</w:t>
      </w:r>
      <w:r w:rsidR="0026007B" w:rsidRPr="00780BA9">
        <w:rPr>
          <w:sz w:val="22"/>
          <w:szCs w:val="22"/>
        </w:rPr>
        <w:t xml:space="preserve"> Groceries accounted for 27%. </w:t>
      </w:r>
      <w:r w:rsidR="008A2AE0" w:rsidRPr="00780BA9">
        <w:rPr>
          <w:sz w:val="22"/>
          <w:szCs w:val="22"/>
        </w:rPr>
        <w:t>Dining, retail, and lodging</w:t>
      </w:r>
      <w:r w:rsidR="00C05FA0">
        <w:rPr>
          <w:sz w:val="22"/>
          <w:szCs w:val="22"/>
        </w:rPr>
        <w:t xml:space="preserve"> made</w:t>
      </w:r>
      <w:r w:rsidR="008A2AE0" w:rsidRPr="00780BA9">
        <w:rPr>
          <w:sz w:val="22"/>
          <w:szCs w:val="22"/>
        </w:rPr>
        <w:t xml:space="preserve"> up the</w:t>
      </w:r>
      <w:r w:rsidR="0026007B" w:rsidRPr="00780BA9">
        <w:rPr>
          <w:sz w:val="22"/>
          <w:szCs w:val="22"/>
        </w:rPr>
        <w:t xml:space="preserve"> remaining </w:t>
      </w:r>
      <w:r w:rsidR="00C05FA0">
        <w:rPr>
          <w:sz w:val="22"/>
          <w:szCs w:val="22"/>
        </w:rPr>
        <w:t xml:space="preserve">portion </w:t>
      </w:r>
      <w:r w:rsidR="008A2AE0" w:rsidRPr="00780BA9">
        <w:rPr>
          <w:sz w:val="22"/>
          <w:szCs w:val="22"/>
        </w:rPr>
        <w:t>of trip expenditures.</w:t>
      </w:r>
      <w:r w:rsidR="00C05FA0">
        <w:rPr>
          <w:sz w:val="22"/>
          <w:szCs w:val="22"/>
        </w:rPr>
        <w:t xml:space="preserve"> Home county expenditures were</w:t>
      </w:r>
      <w:r w:rsidR="00221B17" w:rsidRPr="00780BA9">
        <w:rPr>
          <w:sz w:val="22"/>
          <w:szCs w:val="22"/>
        </w:rPr>
        <w:t xml:space="preserve"> those made within the individual’s county of residence. Trips ta</w:t>
      </w:r>
      <w:r w:rsidR="00C05FA0">
        <w:rPr>
          <w:sz w:val="22"/>
          <w:szCs w:val="22"/>
        </w:rPr>
        <w:t>ken within resident counties were</w:t>
      </w:r>
      <w:r w:rsidR="00221B17" w:rsidRPr="00780BA9">
        <w:rPr>
          <w:sz w:val="22"/>
          <w:szCs w:val="22"/>
        </w:rPr>
        <w:t xml:space="preserve"> often l</w:t>
      </w:r>
      <w:r w:rsidR="00C05FA0">
        <w:rPr>
          <w:sz w:val="22"/>
          <w:szCs w:val="22"/>
        </w:rPr>
        <w:t xml:space="preserve">ow budget day trips. Ada </w:t>
      </w:r>
      <w:r w:rsidR="00221B17" w:rsidRPr="00780BA9">
        <w:rPr>
          <w:sz w:val="22"/>
          <w:szCs w:val="22"/>
        </w:rPr>
        <w:t>and Bonneville County receive</w:t>
      </w:r>
      <w:r w:rsidR="00C05FA0">
        <w:rPr>
          <w:sz w:val="22"/>
          <w:szCs w:val="22"/>
        </w:rPr>
        <w:t>d</w:t>
      </w:r>
      <w:r w:rsidR="00221B17" w:rsidRPr="00780BA9">
        <w:rPr>
          <w:sz w:val="22"/>
          <w:szCs w:val="22"/>
        </w:rPr>
        <w:t xml:space="preserve"> the highest home-county trip expenditures (Table 2). </w:t>
      </w:r>
      <w:r w:rsidR="0018045A" w:rsidRPr="00780BA9">
        <w:rPr>
          <w:sz w:val="22"/>
          <w:szCs w:val="22"/>
        </w:rPr>
        <w:t xml:space="preserve">The </w:t>
      </w:r>
      <w:r w:rsidR="00F17B06" w:rsidRPr="00780BA9">
        <w:rPr>
          <w:sz w:val="22"/>
          <w:szCs w:val="22"/>
        </w:rPr>
        <w:t>top destination</w:t>
      </w:r>
      <w:r w:rsidR="00221B17" w:rsidRPr="00780BA9">
        <w:rPr>
          <w:sz w:val="22"/>
          <w:szCs w:val="22"/>
        </w:rPr>
        <w:t xml:space="preserve"> counti</w:t>
      </w:r>
      <w:r w:rsidR="00C05FA0">
        <w:rPr>
          <w:sz w:val="22"/>
          <w:szCs w:val="22"/>
        </w:rPr>
        <w:t xml:space="preserve">es (Owyhee, Valley and Boise) didn’t </w:t>
      </w:r>
      <w:r w:rsidR="00221B17" w:rsidRPr="00780BA9">
        <w:rPr>
          <w:sz w:val="22"/>
          <w:szCs w:val="22"/>
        </w:rPr>
        <w:t xml:space="preserve">capture the OHV trip expenditures.  </w:t>
      </w:r>
      <w:r w:rsidR="0018045A" w:rsidRPr="00780BA9">
        <w:rPr>
          <w:sz w:val="22"/>
          <w:szCs w:val="22"/>
        </w:rPr>
        <w:t>For example, t</w:t>
      </w:r>
      <w:r w:rsidR="00221B17" w:rsidRPr="00780BA9">
        <w:rPr>
          <w:sz w:val="22"/>
          <w:szCs w:val="22"/>
        </w:rPr>
        <w:t>rip expenditures for visits to Owy</w:t>
      </w:r>
      <w:r w:rsidR="00C05FA0">
        <w:rPr>
          <w:sz w:val="22"/>
          <w:szCs w:val="22"/>
        </w:rPr>
        <w:t>hee, Valley and Boise County were</w:t>
      </w:r>
      <w:r w:rsidR="00221B17" w:rsidRPr="00780BA9">
        <w:rPr>
          <w:sz w:val="22"/>
          <w:szCs w:val="22"/>
        </w:rPr>
        <w:t xml:space="preserve"> made primarily in the Treasure Valley.  The destination counties often fail</w:t>
      </w:r>
      <w:r w:rsidR="00C05FA0">
        <w:rPr>
          <w:sz w:val="22"/>
          <w:szCs w:val="22"/>
        </w:rPr>
        <w:t>ed</w:t>
      </w:r>
      <w:r w:rsidR="00221B17" w:rsidRPr="00780BA9">
        <w:rPr>
          <w:sz w:val="22"/>
          <w:szCs w:val="22"/>
        </w:rPr>
        <w:t xml:space="preserve"> to capture the trip expenditures for the majority of trips</w:t>
      </w:r>
      <w:r w:rsidR="00654391" w:rsidRPr="00780BA9">
        <w:rPr>
          <w:sz w:val="22"/>
          <w:szCs w:val="22"/>
        </w:rPr>
        <w:t xml:space="preserve">. </w:t>
      </w:r>
      <w:r w:rsidR="00C05FA0">
        <w:rPr>
          <w:sz w:val="22"/>
          <w:szCs w:val="22"/>
        </w:rPr>
        <w:t>A total of $102 million was</w:t>
      </w:r>
      <w:r w:rsidR="00410CD5" w:rsidRPr="00780BA9">
        <w:rPr>
          <w:sz w:val="22"/>
          <w:szCs w:val="22"/>
        </w:rPr>
        <w:t xml:space="preserve"> spent </w:t>
      </w:r>
      <w:r w:rsidR="00D11002" w:rsidRPr="00780BA9">
        <w:rPr>
          <w:sz w:val="22"/>
          <w:szCs w:val="22"/>
        </w:rPr>
        <w:t xml:space="preserve">for </w:t>
      </w:r>
      <w:r w:rsidR="00410CD5" w:rsidRPr="00780BA9">
        <w:rPr>
          <w:sz w:val="22"/>
          <w:szCs w:val="22"/>
        </w:rPr>
        <w:t>out of county trips</w:t>
      </w:r>
      <w:r w:rsidR="00602F0D" w:rsidRPr="00780BA9">
        <w:rPr>
          <w:sz w:val="22"/>
          <w:szCs w:val="22"/>
        </w:rPr>
        <w:t>,</w:t>
      </w:r>
      <w:r w:rsidR="00410CD5" w:rsidRPr="00780BA9">
        <w:rPr>
          <w:sz w:val="22"/>
          <w:szCs w:val="22"/>
        </w:rPr>
        <w:t xml:space="preserve"> 76% </w:t>
      </w:r>
      <w:r w:rsidR="00602F0D" w:rsidRPr="00780BA9">
        <w:rPr>
          <w:sz w:val="22"/>
          <w:szCs w:val="22"/>
        </w:rPr>
        <w:t xml:space="preserve">of which </w:t>
      </w:r>
      <w:r w:rsidR="00D11002" w:rsidRPr="00780BA9">
        <w:rPr>
          <w:sz w:val="22"/>
          <w:szCs w:val="22"/>
        </w:rPr>
        <w:t>was</w:t>
      </w:r>
      <w:r w:rsidR="00602F0D" w:rsidRPr="00780BA9">
        <w:rPr>
          <w:sz w:val="22"/>
          <w:szCs w:val="22"/>
        </w:rPr>
        <w:t xml:space="preserve"> expended in the home county. For example, Ada County OHV recreationists spen</w:t>
      </w:r>
      <w:r w:rsidR="00F44D40" w:rsidRPr="00780BA9">
        <w:rPr>
          <w:sz w:val="22"/>
          <w:szCs w:val="22"/>
        </w:rPr>
        <w:t>t</w:t>
      </w:r>
      <w:r w:rsidR="00602F0D" w:rsidRPr="00780BA9">
        <w:rPr>
          <w:sz w:val="22"/>
          <w:szCs w:val="22"/>
        </w:rPr>
        <w:t xml:space="preserve"> </w:t>
      </w:r>
      <w:r w:rsidR="00F44D40" w:rsidRPr="00780BA9">
        <w:rPr>
          <w:sz w:val="22"/>
          <w:szCs w:val="22"/>
        </w:rPr>
        <w:t xml:space="preserve">a total of </w:t>
      </w:r>
      <w:r w:rsidR="00602F0D" w:rsidRPr="00780BA9">
        <w:rPr>
          <w:sz w:val="22"/>
          <w:szCs w:val="22"/>
        </w:rPr>
        <w:t xml:space="preserve">$28.3 million for trips to counties other than Ada </w:t>
      </w:r>
      <w:r w:rsidR="00DE0644">
        <w:rPr>
          <w:sz w:val="22"/>
          <w:szCs w:val="22"/>
        </w:rPr>
        <w:t>but only $5.5 million was e</w:t>
      </w:r>
      <w:r w:rsidR="00F44D40" w:rsidRPr="00780BA9">
        <w:rPr>
          <w:sz w:val="22"/>
          <w:szCs w:val="22"/>
        </w:rPr>
        <w:t>xpended in the destination county.</w:t>
      </w:r>
    </w:p>
    <w:p w14:paraId="75A611BD" w14:textId="76224A0B" w:rsidR="00C54C2A" w:rsidRDefault="00221B17" w:rsidP="00AD5429">
      <w:pPr>
        <w:rPr>
          <w:sz w:val="22"/>
        </w:rPr>
      </w:pPr>
      <w:r>
        <w:rPr>
          <w:sz w:val="22"/>
        </w:rPr>
        <w:t xml:space="preserve"> </w:t>
      </w:r>
    </w:p>
    <w:p w14:paraId="62C0AFF6" w14:textId="1C7F7252" w:rsidR="00294CB1" w:rsidRDefault="003A72F7" w:rsidP="00AD5429">
      <w:pPr>
        <w:rPr>
          <w:i/>
          <w:sz w:val="22"/>
          <w:u w:val="single"/>
        </w:rPr>
      </w:pPr>
      <w:r w:rsidRPr="00780BA9">
        <w:rPr>
          <w:noProof/>
          <w:sz w:val="22"/>
          <w:szCs w:val="22"/>
        </w:rPr>
        <w:drawing>
          <wp:anchor distT="0" distB="0" distL="114300" distR="114300" simplePos="0" relativeHeight="251658240" behindDoc="1" locked="0" layoutInCell="1" allowOverlap="1" wp14:anchorId="7CA94E44" wp14:editId="31174D7B">
            <wp:simplePos x="0" y="0"/>
            <wp:positionH relativeFrom="margin">
              <wp:posOffset>3826510</wp:posOffset>
            </wp:positionH>
            <wp:positionV relativeFrom="paragraph">
              <wp:posOffset>15875</wp:posOffset>
            </wp:positionV>
            <wp:extent cx="2700655" cy="2428875"/>
            <wp:effectExtent l="0" t="0" r="4445" b="9525"/>
            <wp:wrapTight wrapText="bothSides">
              <wp:wrapPolygon edited="0">
                <wp:start x="0" y="0"/>
                <wp:lineTo x="0" y="21515"/>
                <wp:lineTo x="21483" y="21515"/>
                <wp:lineTo x="2148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214"/>
        <w:tblW w:w="3157" w:type="dxa"/>
        <w:tblLook w:val="04A0" w:firstRow="1" w:lastRow="0" w:firstColumn="1" w:lastColumn="0" w:noHBand="0" w:noVBand="1"/>
      </w:tblPr>
      <w:tblGrid>
        <w:gridCol w:w="440"/>
        <w:gridCol w:w="1223"/>
        <w:gridCol w:w="1494"/>
      </w:tblGrid>
      <w:tr w:rsidR="00347B20" w:rsidRPr="00A96754" w14:paraId="276D7403" w14:textId="77777777" w:rsidTr="00347B20">
        <w:trPr>
          <w:trHeight w:val="300"/>
        </w:trPr>
        <w:tc>
          <w:tcPr>
            <w:tcW w:w="3157" w:type="dxa"/>
            <w:gridSpan w:val="3"/>
            <w:tcBorders>
              <w:top w:val="nil"/>
              <w:left w:val="nil"/>
              <w:bottom w:val="nil"/>
              <w:right w:val="nil"/>
            </w:tcBorders>
            <w:shd w:val="clear" w:color="auto" w:fill="auto"/>
            <w:noWrap/>
            <w:vAlign w:val="bottom"/>
            <w:hideMark/>
          </w:tcPr>
          <w:p w14:paraId="03C13DD3" w14:textId="77777777" w:rsidR="00347B20" w:rsidRPr="0024046D" w:rsidRDefault="00347B20" w:rsidP="00347B20">
            <w:pPr>
              <w:rPr>
                <w:rFonts w:ascii="Calibri" w:eastAsia="Times New Roman" w:hAnsi="Calibri" w:cs="Times New Roman"/>
                <w:color w:val="000000"/>
                <w:sz w:val="16"/>
                <w:szCs w:val="16"/>
              </w:rPr>
            </w:pPr>
            <w:r w:rsidRPr="0024046D">
              <w:rPr>
                <w:rFonts w:ascii="Calibri" w:eastAsia="Times New Roman" w:hAnsi="Calibri" w:cs="Times New Roman"/>
                <w:color w:val="000000"/>
                <w:sz w:val="16"/>
                <w:szCs w:val="16"/>
              </w:rPr>
              <w:t>Table 3. Capital expenditures ($ millions)</w:t>
            </w:r>
          </w:p>
        </w:tc>
      </w:tr>
      <w:tr w:rsidR="00347B20" w:rsidRPr="00A96754" w14:paraId="74302F95" w14:textId="77777777" w:rsidTr="00347B20">
        <w:trPr>
          <w:trHeight w:val="317"/>
        </w:trPr>
        <w:tc>
          <w:tcPr>
            <w:tcW w:w="440" w:type="dxa"/>
            <w:tcBorders>
              <w:top w:val="single" w:sz="4" w:space="0" w:color="auto"/>
              <w:left w:val="single" w:sz="4" w:space="0" w:color="auto"/>
              <w:bottom w:val="nil"/>
              <w:right w:val="nil"/>
            </w:tcBorders>
            <w:shd w:val="clear" w:color="auto" w:fill="auto"/>
            <w:noWrap/>
            <w:vAlign w:val="bottom"/>
            <w:hideMark/>
          </w:tcPr>
          <w:p w14:paraId="2D085EF3" w14:textId="77777777" w:rsidR="00347B20" w:rsidRPr="00AF7D94" w:rsidRDefault="00347B20" w:rsidP="00347B20">
            <w:pPr>
              <w:rPr>
                <w:rFonts w:ascii="Calibri" w:eastAsia="Times New Roman" w:hAnsi="Calibri" w:cs="Times New Roman"/>
                <w:color w:val="000000"/>
                <w:sz w:val="22"/>
                <w:szCs w:val="22"/>
              </w:rPr>
            </w:pPr>
            <w:r w:rsidRPr="00AF7D94">
              <w:rPr>
                <w:rFonts w:ascii="Calibri" w:eastAsia="Times New Roman" w:hAnsi="Calibri" w:cs="Times New Roman"/>
                <w:color w:val="000000"/>
                <w:sz w:val="22"/>
                <w:szCs w:val="22"/>
              </w:rPr>
              <w:t> </w:t>
            </w:r>
          </w:p>
        </w:tc>
        <w:tc>
          <w:tcPr>
            <w:tcW w:w="1223" w:type="dxa"/>
            <w:tcBorders>
              <w:top w:val="single" w:sz="4" w:space="0" w:color="auto"/>
              <w:left w:val="nil"/>
              <w:bottom w:val="nil"/>
              <w:right w:val="nil"/>
            </w:tcBorders>
            <w:shd w:val="clear" w:color="auto" w:fill="auto"/>
            <w:noWrap/>
            <w:vAlign w:val="bottom"/>
            <w:hideMark/>
          </w:tcPr>
          <w:p w14:paraId="352F4B2C" w14:textId="77777777" w:rsidR="00347B20" w:rsidRPr="00AF7D94" w:rsidRDefault="00347B20" w:rsidP="00347B20">
            <w:pPr>
              <w:rPr>
                <w:rFonts w:ascii="Calibri" w:eastAsia="Times New Roman" w:hAnsi="Calibri" w:cs="Times New Roman"/>
                <w:color w:val="000000"/>
                <w:sz w:val="22"/>
                <w:szCs w:val="22"/>
              </w:rPr>
            </w:pPr>
            <w:r w:rsidRPr="00AF7D94">
              <w:rPr>
                <w:rFonts w:ascii="Calibri" w:eastAsia="Times New Roman" w:hAnsi="Calibri" w:cs="Times New Roman"/>
                <w:color w:val="000000"/>
                <w:sz w:val="22"/>
                <w:szCs w:val="22"/>
              </w:rPr>
              <w:t> </w:t>
            </w:r>
          </w:p>
        </w:tc>
        <w:tc>
          <w:tcPr>
            <w:tcW w:w="1494" w:type="dxa"/>
            <w:tcBorders>
              <w:top w:val="single" w:sz="4" w:space="0" w:color="auto"/>
              <w:left w:val="nil"/>
              <w:bottom w:val="nil"/>
              <w:right w:val="single" w:sz="4" w:space="0" w:color="auto"/>
            </w:tcBorders>
            <w:shd w:val="clear" w:color="auto" w:fill="auto"/>
            <w:vAlign w:val="bottom"/>
            <w:hideMark/>
          </w:tcPr>
          <w:p w14:paraId="7263A7FB"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 xml:space="preserve">Capital Expenditures </w:t>
            </w:r>
          </w:p>
        </w:tc>
      </w:tr>
      <w:tr w:rsidR="00347B20" w:rsidRPr="00A96754" w14:paraId="4B120F25" w14:textId="77777777" w:rsidTr="00347B20">
        <w:trPr>
          <w:trHeight w:val="222"/>
        </w:trPr>
        <w:tc>
          <w:tcPr>
            <w:tcW w:w="440" w:type="dxa"/>
            <w:tcBorders>
              <w:top w:val="single" w:sz="4" w:space="0" w:color="auto"/>
              <w:left w:val="single" w:sz="4" w:space="0" w:color="auto"/>
              <w:bottom w:val="nil"/>
              <w:right w:val="nil"/>
            </w:tcBorders>
            <w:shd w:val="clear" w:color="auto" w:fill="auto"/>
            <w:noWrap/>
            <w:vAlign w:val="bottom"/>
            <w:hideMark/>
          </w:tcPr>
          <w:p w14:paraId="779E5A71"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w:t>
            </w:r>
          </w:p>
        </w:tc>
        <w:tc>
          <w:tcPr>
            <w:tcW w:w="1223" w:type="dxa"/>
            <w:tcBorders>
              <w:top w:val="single" w:sz="4" w:space="0" w:color="auto"/>
              <w:left w:val="nil"/>
              <w:bottom w:val="nil"/>
              <w:right w:val="single" w:sz="4" w:space="0" w:color="auto"/>
            </w:tcBorders>
            <w:shd w:val="clear" w:color="auto" w:fill="auto"/>
            <w:noWrap/>
            <w:vAlign w:val="bottom"/>
            <w:hideMark/>
          </w:tcPr>
          <w:p w14:paraId="11008FDF"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Ada </w:t>
            </w:r>
          </w:p>
        </w:tc>
        <w:tc>
          <w:tcPr>
            <w:tcW w:w="1494" w:type="dxa"/>
            <w:tcBorders>
              <w:top w:val="single" w:sz="4" w:space="0" w:color="auto"/>
              <w:left w:val="nil"/>
              <w:bottom w:val="nil"/>
              <w:right w:val="single" w:sz="4" w:space="0" w:color="auto"/>
            </w:tcBorders>
            <w:shd w:val="clear" w:color="auto" w:fill="auto"/>
            <w:noWrap/>
            <w:vAlign w:val="center"/>
            <w:hideMark/>
          </w:tcPr>
          <w:p w14:paraId="5D9C2A5D"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40</w:t>
            </w:r>
          </w:p>
        </w:tc>
      </w:tr>
      <w:tr w:rsidR="00347B20" w:rsidRPr="00A96754" w14:paraId="2844B6AB"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0EDBE4B9"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w:t>
            </w:r>
          </w:p>
        </w:tc>
        <w:tc>
          <w:tcPr>
            <w:tcW w:w="1223" w:type="dxa"/>
            <w:tcBorders>
              <w:top w:val="nil"/>
              <w:left w:val="nil"/>
              <w:bottom w:val="nil"/>
              <w:right w:val="nil"/>
            </w:tcBorders>
            <w:shd w:val="clear" w:color="auto" w:fill="auto"/>
            <w:noWrap/>
            <w:vAlign w:val="bottom"/>
            <w:hideMark/>
          </w:tcPr>
          <w:p w14:paraId="24E23E5D"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Kootenai </w:t>
            </w:r>
          </w:p>
        </w:tc>
        <w:tc>
          <w:tcPr>
            <w:tcW w:w="1494" w:type="dxa"/>
            <w:tcBorders>
              <w:top w:val="nil"/>
              <w:left w:val="single" w:sz="4" w:space="0" w:color="auto"/>
              <w:bottom w:val="nil"/>
              <w:right w:val="single" w:sz="4" w:space="0" w:color="auto"/>
            </w:tcBorders>
            <w:shd w:val="clear" w:color="auto" w:fill="auto"/>
            <w:noWrap/>
            <w:vAlign w:val="center"/>
            <w:hideMark/>
          </w:tcPr>
          <w:p w14:paraId="167F2F42"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22</w:t>
            </w:r>
          </w:p>
        </w:tc>
      </w:tr>
      <w:tr w:rsidR="00347B20" w:rsidRPr="00A96754" w14:paraId="41E1448C"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6F2080BB"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3</w:t>
            </w:r>
          </w:p>
        </w:tc>
        <w:tc>
          <w:tcPr>
            <w:tcW w:w="1223" w:type="dxa"/>
            <w:tcBorders>
              <w:top w:val="nil"/>
              <w:left w:val="nil"/>
              <w:bottom w:val="nil"/>
              <w:right w:val="nil"/>
            </w:tcBorders>
            <w:shd w:val="clear" w:color="auto" w:fill="auto"/>
            <w:noWrap/>
            <w:vAlign w:val="bottom"/>
            <w:hideMark/>
          </w:tcPr>
          <w:p w14:paraId="4CF77221"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Bannock </w:t>
            </w:r>
          </w:p>
        </w:tc>
        <w:tc>
          <w:tcPr>
            <w:tcW w:w="1494" w:type="dxa"/>
            <w:tcBorders>
              <w:top w:val="nil"/>
              <w:left w:val="single" w:sz="4" w:space="0" w:color="auto"/>
              <w:bottom w:val="nil"/>
              <w:right w:val="single" w:sz="4" w:space="0" w:color="auto"/>
            </w:tcBorders>
            <w:shd w:val="clear" w:color="auto" w:fill="auto"/>
            <w:noWrap/>
            <w:vAlign w:val="center"/>
            <w:hideMark/>
          </w:tcPr>
          <w:p w14:paraId="4BE240EB"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20</w:t>
            </w:r>
          </w:p>
        </w:tc>
      </w:tr>
      <w:tr w:rsidR="00347B20" w:rsidRPr="00A96754" w14:paraId="0286286D"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7A0F8C24"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4</w:t>
            </w:r>
          </w:p>
        </w:tc>
        <w:tc>
          <w:tcPr>
            <w:tcW w:w="1223" w:type="dxa"/>
            <w:tcBorders>
              <w:top w:val="nil"/>
              <w:left w:val="nil"/>
              <w:bottom w:val="nil"/>
              <w:right w:val="nil"/>
            </w:tcBorders>
            <w:shd w:val="clear" w:color="auto" w:fill="auto"/>
            <w:noWrap/>
            <w:vAlign w:val="bottom"/>
            <w:hideMark/>
          </w:tcPr>
          <w:p w14:paraId="418046C0"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Canyon </w:t>
            </w:r>
          </w:p>
        </w:tc>
        <w:tc>
          <w:tcPr>
            <w:tcW w:w="1494" w:type="dxa"/>
            <w:tcBorders>
              <w:top w:val="nil"/>
              <w:left w:val="single" w:sz="4" w:space="0" w:color="auto"/>
              <w:bottom w:val="nil"/>
              <w:right w:val="single" w:sz="4" w:space="0" w:color="auto"/>
            </w:tcBorders>
            <w:shd w:val="clear" w:color="auto" w:fill="auto"/>
            <w:noWrap/>
            <w:vAlign w:val="center"/>
            <w:hideMark/>
          </w:tcPr>
          <w:p w14:paraId="71270F62"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20</w:t>
            </w:r>
          </w:p>
        </w:tc>
      </w:tr>
      <w:tr w:rsidR="00347B20" w:rsidRPr="00A96754" w14:paraId="33C4AC20"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6FC9A0F5"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5</w:t>
            </w:r>
          </w:p>
        </w:tc>
        <w:tc>
          <w:tcPr>
            <w:tcW w:w="1223" w:type="dxa"/>
            <w:tcBorders>
              <w:top w:val="nil"/>
              <w:left w:val="nil"/>
              <w:bottom w:val="nil"/>
              <w:right w:val="nil"/>
            </w:tcBorders>
            <w:shd w:val="clear" w:color="auto" w:fill="auto"/>
            <w:noWrap/>
            <w:vAlign w:val="bottom"/>
            <w:hideMark/>
          </w:tcPr>
          <w:p w14:paraId="2530BC29"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Bonneville </w:t>
            </w:r>
          </w:p>
        </w:tc>
        <w:tc>
          <w:tcPr>
            <w:tcW w:w="1494" w:type="dxa"/>
            <w:tcBorders>
              <w:top w:val="nil"/>
              <w:left w:val="single" w:sz="4" w:space="0" w:color="auto"/>
              <w:bottom w:val="nil"/>
              <w:right w:val="single" w:sz="4" w:space="0" w:color="auto"/>
            </w:tcBorders>
            <w:shd w:val="clear" w:color="auto" w:fill="auto"/>
            <w:noWrap/>
            <w:vAlign w:val="center"/>
            <w:hideMark/>
          </w:tcPr>
          <w:p w14:paraId="59AF43B0"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16</w:t>
            </w:r>
          </w:p>
        </w:tc>
      </w:tr>
      <w:tr w:rsidR="00347B20" w:rsidRPr="00A96754" w14:paraId="11C1A3D9"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1B0C24C3"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6</w:t>
            </w:r>
          </w:p>
        </w:tc>
        <w:tc>
          <w:tcPr>
            <w:tcW w:w="1223" w:type="dxa"/>
            <w:tcBorders>
              <w:top w:val="nil"/>
              <w:left w:val="nil"/>
              <w:bottom w:val="nil"/>
              <w:right w:val="nil"/>
            </w:tcBorders>
            <w:shd w:val="clear" w:color="auto" w:fill="auto"/>
            <w:noWrap/>
            <w:vAlign w:val="bottom"/>
            <w:hideMark/>
          </w:tcPr>
          <w:p w14:paraId="3BEB1E36"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Twin Falls </w:t>
            </w:r>
          </w:p>
        </w:tc>
        <w:tc>
          <w:tcPr>
            <w:tcW w:w="1494" w:type="dxa"/>
            <w:tcBorders>
              <w:top w:val="nil"/>
              <w:left w:val="single" w:sz="4" w:space="0" w:color="auto"/>
              <w:bottom w:val="nil"/>
              <w:right w:val="single" w:sz="4" w:space="0" w:color="auto"/>
            </w:tcBorders>
            <w:shd w:val="clear" w:color="auto" w:fill="auto"/>
            <w:noWrap/>
            <w:vAlign w:val="center"/>
            <w:hideMark/>
          </w:tcPr>
          <w:p w14:paraId="45F2E17F"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14</w:t>
            </w:r>
          </w:p>
        </w:tc>
      </w:tr>
      <w:tr w:rsidR="00347B20" w:rsidRPr="00A96754" w14:paraId="01745DCA"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4CB78616"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7</w:t>
            </w:r>
          </w:p>
        </w:tc>
        <w:tc>
          <w:tcPr>
            <w:tcW w:w="1223" w:type="dxa"/>
            <w:tcBorders>
              <w:top w:val="nil"/>
              <w:left w:val="nil"/>
              <w:bottom w:val="nil"/>
              <w:right w:val="nil"/>
            </w:tcBorders>
            <w:shd w:val="clear" w:color="auto" w:fill="auto"/>
            <w:noWrap/>
            <w:vAlign w:val="bottom"/>
            <w:hideMark/>
          </w:tcPr>
          <w:p w14:paraId="379FD40F"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Nez Perce </w:t>
            </w:r>
          </w:p>
        </w:tc>
        <w:tc>
          <w:tcPr>
            <w:tcW w:w="1494" w:type="dxa"/>
            <w:tcBorders>
              <w:top w:val="nil"/>
              <w:left w:val="single" w:sz="4" w:space="0" w:color="auto"/>
              <w:bottom w:val="nil"/>
              <w:right w:val="single" w:sz="4" w:space="0" w:color="auto"/>
            </w:tcBorders>
            <w:shd w:val="clear" w:color="auto" w:fill="auto"/>
            <w:noWrap/>
            <w:vAlign w:val="center"/>
            <w:hideMark/>
          </w:tcPr>
          <w:p w14:paraId="099703AB"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13</w:t>
            </w:r>
          </w:p>
        </w:tc>
      </w:tr>
      <w:tr w:rsidR="00347B20" w:rsidRPr="00A96754" w14:paraId="332AD4B9"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683EB75E"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8</w:t>
            </w:r>
          </w:p>
        </w:tc>
        <w:tc>
          <w:tcPr>
            <w:tcW w:w="1223" w:type="dxa"/>
            <w:tcBorders>
              <w:top w:val="nil"/>
              <w:left w:val="nil"/>
              <w:bottom w:val="nil"/>
              <w:right w:val="nil"/>
            </w:tcBorders>
            <w:shd w:val="clear" w:color="auto" w:fill="auto"/>
            <w:noWrap/>
            <w:vAlign w:val="bottom"/>
            <w:hideMark/>
          </w:tcPr>
          <w:p w14:paraId="490D78B3"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Bingham </w:t>
            </w:r>
          </w:p>
        </w:tc>
        <w:tc>
          <w:tcPr>
            <w:tcW w:w="1494" w:type="dxa"/>
            <w:tcBorders>
              <w:top w:val="nil"/>
              <w:left w:val="single" w:sz="4" w:space="0" w:color="auto"/>
              <w:bottom w:val="nil"/>
              <w:right w:val="single" w:sz="4" w:space="0" w:color="auto"/>
            </w:tcBorders>
            <w:shd w:val="clear" w:color="auto" w:fill="auto"/>
            <w:noWrap/>
            <w:vAlign w:val="center"/>
            <w:hideMark/>
          </w:tcPr>
          <w:p w14:paraId="24DC5162"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10</w:t>
            </w:r>
          </w:p>
        </w:tc>
      </w:tr>
      <w:tr w:rsidR="00347B20" w:rsidRPr="00A96754" w14:paraId="2774640E" w14:textId="77777777" w:rsidTr="00347B20">
        <w:trPr>
          <w:trHeight w:val="222"/>
        </w:trPr>
        <w:tc>
          <w:tcPr>
            <w:tcW w:w="440" w:type="dxa"/>
            <w:tcBorders>
              <w:top w:val="nil"/>
              <w:left w:val="single" w:sz="4" w:space="0" w:color="auto"/>
              <w:bottom w:val="nil"/>
              <w:right w:val="nil"/>
            </w:tcBorders>
            <w:shd w:val="clear" w:color="auto" w:fill="auto"/>
            <w:noWrap/>
            <w:vAlign w:val="bottom"/>
            <w:hideMark/>
          </w:tcPr>
          <w:p w14:paraId="0D2F98EC"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9</w:t>
            </w:r>
          </w:p>
        </w:tc>
        <w:tc>
          <w:tcPr>
            <w:tcW w:w="1223" w:type="dxa"/>
            <w:tcBorders>
              <w:top w:val="nil"/>
              <w:left w:val="nil"/>
              <w:bottom w:val="nil"/>
              <w:right w:val="nil"/>
            </w:tcBorders>
            <w:shd w:val="clear" w:color="auto" w:fill="auto"/>
            <w:noWrap/>
            <w:vAlign w:val="bottom"/>
            <w:hideMark/>
          </w:tcPr>
          <w:p w14:paraId="760A55CC"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Cassia</w:t>
            </w:r>
          </w:p>
        </w:tc>
        <w:tc>
          <w:tcPr>
            <w:tcW w:w="1494" w:type="dxa"/>
            <w:tcBorders>
              <w:top w:val="nil"/>
              <w:left w:val="single" w:sz="4" w:space="0" w:color="auto"/>
              <w:bottom w:val="nil"/>
              <w:right w:val="single" w:sz="4" w:space="0" w:color="auto"/>
            </w:tcBorders>
            <w:shd w:val="clear" w:color="auto" w:fill="auto"/>
            <w:noWrap/>
            <w:vAlign w:val="center"/>
            <w:hideMark/>
          </w:tcPr>
          <w:p w14:paraId="058A5891"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7</w:t>
            </w:r>
          </w:p>
        </w:tc>
      </w:tr>
      <w:tr w:rsidR="00347B20" w:rsidRPr="00A96754" w14:paraId="723DD734" w14:textId="77777777" w:rsidTr="00347B20">
        <w:trPr>
          <w:trHeight w:val="222"/>
        </w:trPr>
        <w:tc>
          <w:tcPr>
            <w:tcW w:w="440" w:type="dxa"/>
            <w:tcBorders>
              <w:top w:val="nil"/>
              <w:left w:val="single" w:sz="4" w:space="0" w:color="auto"/>
              <w:bottom w:val="single" w:sz="4" w:space="0" w:color="auto"/>
              <w:right w:val="nil"/>
            </w:tcBorders>
            <w:shd w:val="clear" w:color="auto" w:fill="auto"/>
            <w:noWrap/>
            <w:vAlign w:val="bottom"/>
            <w:hideMark/>
          </w:tcPr>
          <w:p w14:paraId="372F3B76" w14:textId="77777777" w:rsidR="00347B20" w:rsidRPr="00942D4B" w:rsidRDefault="00347B20" w:rsidP="00347B20">
            <w:pPr>
              <w:jc w:val="right"/>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10</w:t>
            </w:r>
          </w:p>
        </w:tc>
        <w:tc>
          <w:tcPr>
            <w:tcW w:w="1223" w:type="dxa"/>
            <w:tcBorders>
              <w:top w:val="nil"/>
              <w:left w:val="nil"/>
              <w:bottom w:val="single" w:sz="4" w:space="0" w:color="auto"/>
              <w:right w:val="nil"/>
            </w:tcBorders>
            <w:shd w:val="clear" w:color="auto" w:fill="auto"/>
            <w:noWrap/>
            <w:vAlign w:val="bottom"/>
            <w:hideMark/>
          </w:tcPr>
          <w:p w14:paraId="2A08F78F" w14:textId="77777777" w:rsidR="00347B20" w:rsidRPr="00942D4B" w:rsidRDefault="00347B20" w:rsidP="00347B20">
            <w:pPr>
              <w:rPr>
                <w:rFonts w:ascii="Verdana" w:eastAsia="Times New Roman" w:hAnsi="Verdana" w:cs="Times New Roman"/>
                <w:sz w:val="18"/>
                <w:szCs w:val="18"/>
              </w:rPr>
            </w:pPr>
            <w:r w:rsidRPr="00942D4B">
              <w:rPr>
                <w:rFonts w:ascii="Verdana" w:eastAsia="Times New Roman" w:hAnsi="Verdana" w:cs="Times New Roman"/>
                <w:sz w:val="18"/>
                <w:szCs w:val="18"/>
              </w:rPr>
              <w:t xml:space="preserve">Shoshone </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350DECAF" w14:textId="77777777" w:rsidR="00347B20" w:rsidRPr="00942D4B" w:rsidRDefault="00347B20" w:rsidP="00347B20">
            <w:pPr>
              <w:jc w:val="center"/>
              <w:rPr>
                <w:rFonts w:ascii="Calibri" w:eastAsia="Times New Roman" w:hAnsi="Calibri" w:cs="Times New Roman"/>
                <w:color w:val="000000"/>
                <w:sz w:val="18"/>
                <w:szCs w:val="18"/>
              </w:rPr>
            </w:pPr>
            <w:r w:rsidRPr="00942D4B">
              <w:rPr>
                <w:rFonts w:ascii="Calibri" w:eastAsia="Times New Roman" w:hAnsi="Calibri" w:cs="Times New Roman"/>
                <w:color w:val="000000"/>
                <w:sz w:val="18"/>
                <w:szCs w:val="18"/>
              </w:rPr>
              <w:t>7</w:t>
            </w:r>
          </w:p>
        </w:tc>
      </w:tr>
    </w:tbl>
    <w:p w14:paraId="400A7B0F" w14:textId="3C05D677" w:rsidR="004E5E35" w:rsidRDefault="00AD5429" w:rsidP="004B3C66">
      <w:pPr>
        <w:rPr>
          <w:b/>
          <w:sz w:val="20"/>
          <w:szCs w:val="20"/>
        </w:rPr>
      </w:pPr>
      <w:r w:rsidRPr="00780BA9">
        <w:rPr>
          <w:i/>
          <w:sz w:val="22"/>
          <w:szCs w:val="22"/>
          <w:u w:val="single"/>
        </w:rPr>
        <w:t>Capital expenditures</w:t>
      </w:r>
      <w:r w:rsidR="00C91940" w:rsidRPr="00780BA9">
        <w:rPr>
          <w:sz w:val="22"/>
          <w:szCs w:val="22"/>
        </w:rPr>
        <w:t xml:space="preserve"> include OHVs, trailers, tow</w:t>
      </w:r>
      <w:r w:rsidRPr="00780BA9">
        <w:rPr>
          <w:sz w:val="22"/>
          <w:szCs w:val="22"/>
        </w:rPr>
        <w:t xml:space="preserve"> vehicles, m</w:t>
      </w:r>
      <w:r w:rsidR="00D60F4C" w:rsidRPr="00780BA9">
        <w:rPr>
          <w:sz w:val="22"/>
          <w:szCs w:val="22"/>
        </w:rPr>
        <w:t>aintenance, and OHV accessories</w:t>
      </w:r>
      <w:r w:rsidR="00C05FA0">
        <w:rPr>
          <w:sz w:val="22"/>
          <w:szCs w:val="22"/>
        </w:rPr>
        <w:t>. Annual c</w:t>
      </w:r>
      <w:r w:rsidRPr="00780BA9">
        <w:rPr>
          <w:sz w:val="22"/>
          <w:szCs w:val="22"/>
        </w:rPr>
        <w:t>apital expenditures average</w:t>
      </w:r>
      <w:r w:rsidR="00C05FA0">
        <w:rPr>
          <w:sz w:val="22"/>
          <w:szCs w:val="22"/>
        </w:rPr>
        <w:t>d</w:t>
      </w:r>
      <w:r w:rsidRPr="00780BA9">
        <w:rPr>
          <w:sz w:val="22"/>
          <w:szCs w:val="22"/>
        </w:rPr>
        <w:t xml:space="preserve"> $</w:t>
      </w:r>
      <w:r w:rsidR="00C05FA0">
        <w:rPr>
          <w:sz w:val="22"/>
          <w:szCs w:val="22"/>
        </w:rPr>
        <w:t>4,500 per OHV household</w:t>
      </w:r>
      <w:r w:rsidRPr="00780BA9">
        <w:rPr>
          <w:sz w:val="22"/>
          <w:szCs w:val="22"/>
        </w:rPr>
        <w:t>.  More than</w:t>
      </w:r>
      <w:r w:rsidR="00C05FA0">
        <w:rPr>
          <w:sz w:val="22"/>
          <w:szCs w:val="22"/>
        </w:rPr>
        <w:t xml:space="preserve"> 75% of capital expenditures were</w:t>
      </w:r>
      <w:r w:rsidRPr="00780BA9">
        <w:rPr>
          <w:sz w:val="22"/>
          <w:szCs w:val="22"/>
        </w:rPr>
        <w:t xml:space="preserve"> </w:t>
      </w:r>
      <w:r w:rsidR="00D60F4C" w:rsidRPr="00780BA9">
        <w:rPr>
          <w:sz w:val="22"/>
          <w:szCs w:val="22"/>
        </w:rPr>
        <w:t xml:space="preserve">OHVs and </w:t>
      </w:r>
      <w:proofErr w:type="spellStart"/>
      <w:r w:rsidR="00D60F4C" w:rsidRPr="00780BA9">
        <w:rPr>
          <w:sz w:val="22"/>
          <w:szCs w:val="22"/>
        </w:rPr>
        <w:t>tow</w:t>
      </w:r>
      <w:proofErr w:type="spellEnd"/>
      <w:r w:rsidR="00D60F4C" w:rsidRPr="00780BA9">
        <w:rPr>
          <w:sz w:val="22"/>
          <w:szCs w:val="22"/>
        </w:rPr>
        <w:t xml:space="preserve"> </w:t>
      </w:r>
      <w:r w:rsidRPr="00780BA9">
        <w:rPr>
          <w:sz w:val="22"/>
          <w:szCs w:val="22"/>
        </w:rPr>
        <w:t xml:space="preserve">vehicles (Figure 2). </w:t>
      </w:r>
      <w:r w:rsidR="007971C7" w:rsidRPr="00780BA9">
        <w:rPr>
          <w:sz w:val="22"/>
          <w:szCs w:val="22"/>
        </w:rPr>
        <w:t>Ada, Kootenai, Bonneville, Bannock, Twin Falls, and Canyon counties captured over half of Idaho’s total OHV capital expenditures (Tab</w:t>
      </w:r>
      <w:r w:rsidR="00C05FA0">
        <w:rPr>
          <w:sz w:val="22"/>
          <w:szCs w:val="22"/>
        </w:rPr>
        <w:t>le 3). Ada County alone captured</w:t>
      </w:r>
      <w:r w:rsidR="007971C7" w:rsidRPr="00780BA9">
        <w:rPr>
          <w:sz w:val="22"/>
          <w:szCs w:val="22"/>
        </w:rPr>
        <w:t xml:space="preserve"> over 16% of the capital expenditures.</w:t>
      </w:r>
      <w:r w:rsidR="00F17B06" w:rsidRPr="00780BA9">
        <w:rPr>
          <w:sz w:val="22"/>
          <w:szCs w:val="22"/>
        </w:rPr>
        <w:t xml:space="preserve"> Idaho’s trade centers capture</w:t>
      </w:r>
      <w:r w:rsidR="00C05FA0">
        <w:rPr>
          <w:sz w:val="22"/>
          <w:szCs w:val="22"/>
        </w:rPr>
        <w:t>d</w:t>
      </w:r>
      <w:r w:rsidR="00F17B06" w:rsidRPr="00780BA9">
        <w:rPr>
          <w:sz w:val="22"/>
          <w:szCs w:val="22"/>
        </w:rPr>
        <w:t xml:space="preserve"> OHV capital expenditures made by their own residents</w:t>
      </w:r>
      <w:r w:rsidR="00C05FA0">
        <w:rPr>
          <w:sz w:val="22"/>
          <w:szCs w:val="22"/>
        </w:rPr>
        <w:t xml:space="preserve">, and </w:t>
      </w:r>
      <w:r w:rsidR="00F17B06" w:rsidRPr="00780BA9">
        <w:rPr>
          <w:sz w:val="22"/>
          <w:szCs w:val="22"/>
        </w:rPr>
        <w:t>attract</w:t>
      </w:r>
      <w:r w:rsidR="00C05FA0">
        <w:rPr>
          <w:sz w:val="22"/>
          <w:szCs w:val="22"/>
        </w:rPr>
        <w:t>ed</w:t>
      </w:r>
      <w:r w:rsidR="00F17B06" w:rsidRPr="00780BA9">
        <w:rPr>
          <w:sz w:val="22"/>
          <w:szCs w:val="22"/>
        </w:rPr>
        <w:t xml:space="preserve"> the capital expenditures o</w:t>
      </w:r>
      <w:r w:rsidR="00C05FA0">
        <w:rPr>
          <w:sz w:val="22"/>
          <w:szCs w:val="22"/>
        </w:rPr>
        <w:t xml:space="preserve">f </w:t>
      </w:r>
      <w:r w:rsidR="00F17B06" w:rsidRPr="00780BA9">
        <w:rPr>
          <w:sz w:val="22"/>
          <w:szCs w:val="22"/>
        </w:rPr>
        <w:t>surrounding rural counties.</w:t>
      </w:r>
    </w:p>
    <w:p w14:paraId="5342C94B" w14:textId="77777777" w:rsidR="003A72F7" w:rsidRDefault="003A72F7" w:rsidP="004E5E35">
      <w:pPr>
        <w:rPr>
          <w:b/>
          <w:sz w:val="20"/>
          <w:szCs w:val="20"/>
        </w:rPr>
      </w:pPr>
    </w:p>
    <w:p w14:paraId="1F623A21" w14:textId="74233548" w:rsidR="00A94135" w:rsidRPr="004E5E35" w:rsidRDefault="00F17B06" w:rsidP="003A72F7">
      <w:pPr>
        <w:ind w:left="3600"/>
        <w:rPr>
          <w:sz w:val="20"/>
          <w:szCs w:val="20"/>
        </w:rPr>
      </w:pPr>
      <w:r w:rsidRPr="00033755">
        <w:rPr>
          <w:b/>
          <w:sz w:val="20"/>
          <w:szCs w:val="20"/>
        </w:rPr>
        <w:t>Authors:</w:t>
      </w:r>
      <w:r w:rsidRPr="00033755">
        <w:rPr>
          <w:sz w:val="20"/>
          <w:szCs w:val="20"/>
        </w:rPr>
        <w:t xml:space="preserve">  Christopher Anderson and Garth Taylor, Department of Agricultural Economics, University of Idaho. Survey was conducted by the University of Idaho, Social Science Research Unit. </w:t>
      </w:r>
    </w:p>
    <w:p w14:paraId="61B6082E" w14:textId="060A727B" w:rsidR="007634C5" w:rsidRPr="0006427E" w:rsidRDefault="00A94135" w:rsidP="004B3C66">
      <w:pPr>
        <w:rPr>
          <w:rFonts w:ascii="FranklinGothic-Book" w:eastAsiaTheme="minorHAnsi" w:hAnsi="FranklinGothic-Book" w:cs="FranklinGothic-Book"/>
          <w:sz w:val="25"/>
          <w:szCs w:val="19"/>
        </w:rPr>
      </w:pPr>
      <w:r w:rsidRPr="00A94135">
        <w:rPr>
          <w:noProof/>
        </w:rPr>
        <w:lastRenderedPageBreak/>
        <w:drawing>
          <wp:inline distT="0" distB="0" distL="0" distR="0" wp14:anchorId="5BB5E355" wp14:editId="342B8E9A">
            <wp:extent cx="6410325" cy="786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7867650"/>
                    </a:xfrm>
                    <a:prstGeom prst="rect">
                      <a:avLst/>
                    </a:prstGeom>
                    <a:noFill/>
                    <a:ln>
                      <a:noFill/>
                    </a:ln>
                  </pic:spPr>
                </pic:pic>
              </a:graphicData>
            </a:graphic>
          </wp:inline>
        </w:drawing>
      </w:r>
    </w:p>
    <w:sectPr w:rsidR="007634C5" w:rsidRPr="0006427E" w:rsidSect="00687EA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EBSKY I+ Franklin Goth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anklinGothic-Book">
    <w:altName w:val="Franklin Gothic 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67"/>
    <w:rsid w:val="000127BB"/>
    <w:rsid w:val="0002143D"/>
    <w:rsid w:val="00025C23"/>
    <w:rsid w:val="0002684D"/>
    <w:rsid w:val="000306AC"/>
    <w:rsid w:val="0003110C"/>
    <w:rsid w:val="00033283"/>
    <w:rsid w:val="00033755"/>
    <w:rsid w:val="0003680A"/>
    <w:rsid w:val="00043F0E"/>
    <w:rsid w:val="00062F6C"/>
    <w:rsid w:val="0006427E"/>
    <w:rsid w:val="00064B4D"/>
    <w:rsid w:val="00072743"/>
    <w:rsid w:val="00072798"/>
    <w:rsid w:val="0007562D"/>
    <w:rsid w:val="00083441"/>
    <w:rsid w:val="00084878"/>
    <w:rsid w:val="0009309D"/>
    <w:rsid w:val="0009679F"/>
    <w:rsid w:val="000A18FD"/>
    <w:rsid w:val="000A4E57"/>
    <w:rsid w:val="000B59D2"/>
    <w:rsid w:val="000B6CD0"/>
    <w:rsid w:val="000B74BF"/>
    <w:rsid w:val="000C10CA"/>
    <w:rsid w:val="000C67DF"/>
    <w:rsid w:val="000D2240"/>
    <w:rsid w:val="000D5570"/>
    <w:rsid w:val="000D6710"/>
    <w:rsid w:val="000F276C"/>
    <w:rsid w:val="000F48E8"/>
    <w:rsid w:val="000F53AF"/>
    <w:rsid w:val="001047DC"/>
    <w:rsid w:val="00126EE6"/>
    <w:rsid w:val="00127D9B"/>
    <w:rsid w:val="00133EC2"/>
    <w:rsid w:val="00141224"/>
    <w:rsid w:val="00145A06"/>
    <w:rsid w:val="001568E5"/>
    <w:rsid w:val="00157F1B"/>
    <w:rsid w:val="00162C65"/>
    <w:rsid w:val="001659FB"/>
    <w:rsid w:val="00176B73"/>
    <w:rsid w:val="0018045A"/>
    <w:rsid w:val="001807D4"/>
    <w:rsid w:val="00182364"/>
    <w:rsid w:val="0018776A"/>
    <w:rsid w:val="00191E26"/>
    <w:rsid w:val="00196CEE"/>
    <w:rsid w:val="001A665C"/>
    <w:rsid w:val="001A792B"/>
    <w:rsid w:val="001B009C"/>
    <w:rsid w:val="001B4BF7"/>
    <w:rsid w:val="001D1D43"/>
    <w:rsid w:val="001D6B48"/>
    <w:rsid w:val="001E01D2"/>
    <w:rsid w:val="001E0534"/>
    <w:rsid w:val="001E1484"/>
    <w:rsid w:val="001E56ED"/>
    <w:rsid w:val="001F1330"/>
    <w:rsid w:val="0021720F"/>
    <w:rsid w:val="00221B17"/>
    <w:rsid w:val="002225A3"/>
    <w:rsid w:val="00237C76"/>
    <w:rsid w:val="00237E89"/>
    <w:rsid w:val="0024046D"/>
    <w:rsid w:val="00252235"/>
    <w:rsid w:val="00253571"/>
    <w:rsid w:val="0026007B"/>
    <w:rsid w:val="002668C3"/>
    <w:rsid w:val="00273703"/>
    <w:rsid w:val="0028547E"/>
    <w:rsid w:val="0028690C"/>
    <w:rsid w:val="00294CB1"/>
    <w:rsid w:val="00296E92"/>
    <w:rsid w:val="002A18C9"/>
    <w:rsid w:val="002A1CDD"/>
    <w:rsid w:val="002A404C"/>
    <w:rsid w:val="002A4DD3"/>
    <w:rsid w:val="002A61AF"/>
    <w:rsid w:val="002A6669"/>
    <w:rsid w:val="002C2BCB"/>
    <w:rsid w:val="002D01BF"/>
    <w:rsid w:val="002D1FC5"/>
    <w:rsid w:val="002D7B22"/>
    <w:rsid w:val="002E1BE1"/>
    <w:rsid w:val="002E265D"/>
    <w:rsid w:val="002E28C9"/>
    <w:rsid w:val="002E65E8"/>
    <w:rsid w:val="002F7DEF"/>
    <w:rsid w:val="00305A0A"/>
    <w:rsid w:val="00323B9B"/>
    <w:rsid w:val="00325D7F"/>
    <w:rsid w:val="00330AB4"/>
    <w:rsid w:val="00332699"/>
    <w:rsid w:val="00337053"/>
    <w:rsid w:val="00341A9B"/>
    <w:rsid w:val="00347B20"/>
    <w:rsid w:val="00347E9F"/>
    <w:rsid w:val="00364D01"/>
    <w:rsid w:val="00366EA6"/>
    <w:rsid w:val="00371B46"/>
    <w:rsid w:val="00371CE5"/>
    <w:rsid w:val="00371E6E"/>
    <w:rsid w:val="00373BCF"/>
    <w:rsid w:val="00375FF6"/>
    <w:rsid w:val="0037760B"/>
    <w:rsid w:val="00397B91"/>
    <w:rsid w:val="003A72F7"/>
    <w:rsid w:val="003B0B42"/>
    <w:rsid w:val="003B1AE2"/>
    <w:rsid w:val="003E0E6C"/>
    <w:rsid w:val="003E5E88"/>
    <w:rsid w:val="00410CD5"/>
    <w:rsid w:val="00414FF2"/>
    <w:rsid w:val="00416924"/>
    <w:rsid w:val="00416C14"/>
    <w:rsid w:val="0042169F"/>
    <w:rsid w:val="00424B3B"/>
    <w:rsid w:val="004343AD"/>
    <w:rsid w:val="0044562F"/>
    <w:rsid w:val="004466A7"/>
    <w:rsid w:val="004516DD"/>
    <w:rsid w:val="0045566B"/>
    <w:rsid w:val="0045630A"/>
    <w:rsid w:val="00463B0A"/>
    <w:rsid w:val="004732A5"/>
    <w:rsid w:val="004734CF"/>
    <w:rsid w:val="00481716"/>
    <w:rsid w:val="00486217"/>
    <w:rsid w:val="0048641B"/>
    <w:rsid w:val="00493A8D"/>
    <w:rsid w:val="00494B21"/>
    <w:rsid w:val="00497A6A"/>
    <w:rsid w:val="004B3607"/>
    <w:rsid w:val="004B3C66"/>
    <w:rsid w:val="004B70F8"/>
    <w:rsid w:val="004C6A72"/>
    <w:rsid w:val="004C6D5C"/>
    <w:rsid w:val="004D7638"/>
    <w:rsid w:val="004D7856"/>
    <w:rsid w:val="004E490B"/>
    <w:rsid w:val="004E5E35"/>
    <w:rsid w:val="004F2435"/>
    <w:rsid w:val="00501A30"/>
    <w:rsid w:val="00502D54"/>
    <w:rsid w:val="00503348"/>
    <w:rsid w:val="00511DA8"/>
    <w:rsid w:val="00516354"/>
    <w:rsid w:val="005253B6"/>
    <w:rsid w:val="0052607A"/>
    <w:rsid w:val="0052749A"/>
    <w:rsid w:val="00530BBE"/>
    <w:rsid w:val="00541563"/>
    <w:rsid w:val="00542B23"/>
    <w:rsid w:val="0054561C"/>
    <w:rsid w:val="00556EE1"/>
    <w:rsid w:val="005605B8"/>
    <w:rsid w:val="00560698"/>
    <w:rsid w:val="00577680"/>
    <w:rsid w:val="0059216F"/>
    <w:rsid w:val="005B2E23"/>
    <w:rsid w:val="005B5103"/>
    <w:rsid w:val="005C01F3"/>
    <w:rsid w:val="005C4DD0"/>
    <w:rsid w:val="005E74B3"/>
    <w:rsid w:val="00602786"/>
    <w:rsid w:val="00602F0D"/>
    <w:rsid w:val="00604B59"/>
    <w:rsid w:val="00605803"/>
    <w:rsid w:val="00605887"/>
    <w:rsid w:val="0060727D"/>
    <w:rsid w:val="00614CDF"/>
    <w:rsid w:val="006307CF"/>
    <w:rsid w:val="00632F40"/>
    <w:rsid w:val="00633424"/>
    <w:rsid w:val="00633CF1"/>
    <w:rsid w:val="00642264"/>
    <w:rsid w:val="0064518D"/>
    <w:rsid w:val="00652F82"/>
    <w:rsid w:val="00654391"/>
    <w:rsid w:val="00656391"/>
    <w:rsid w:val="0065727F"/>
    <w:rsid w:val="0066037C"/>
    <w:rsid w:val="00676898"/>
    <w:rsid w:val="006772CE"/>
    <w:rsid w:val="0068009F"/>
    <w:rsid w:val="00686938"/>
    <w:rsid w:val="00687EAA"/>
    <w:rsid w:val="00690CCC"/>
    <w:rsid w:val="00695186"/>
    <w:rsid w:val="006A1E99"/>
    <w:rsid w:val="006A41BC"/>
    <w:rsid w:val="006A561C"/>
    <w:rsid w:val="006B35EA"/>
    <w:rsid w:val="006B3B65"/>
    <w:rsid w:val="006C5D51"/>
    <w:rsid w:val="006C617B"/>
    <w:rsid w:val="006C682D"/>
    <w:rsid w:val="006C6AA9"/>
    <w:rsid w:val="006F1404"/>
    <w:rsid w:val="006F5CD3"/>
    <w:rsid w:val="00700F26"/>
    <w:rsid w:val="00701A7B"/>
    <w:rsid w:val="00712AA7"/>
    <w:rsid w:val="007177CE"/>
    <w:rsid w:val="0072050C"/>
    <w:rsid w:val="00721A77"/>
    <w:rsid w:val="007415FB"/>
    <w:rsid w:val="00750113"/>
    <w:rsid w:val="0075180B"/>
    <w:rsid w:val="007634C5"/>
    <w:rsid w:val="00780BA9"/>
    <w:rsid w:val="00784F59"/>
    <w:rsid w:val="00787C1E"/>
    <w:rsid w:val="00793941"/>
    <w:rsid w:val="00797129"/>
    <w:rsid w:val="007971C7"/>
    <w:rsid w:val="00797CD6"/>
    <w:rsid w:val="007A017C"/>
    <w:rsid w:val="007B2A53"/>
    <w:rsid w:val="007B4F59"/>
    <w:rsid w:val="007B57B2"/>
    <w:rsid w:val="007E0945"/>
    <w:rsid w:val="007E395E"/>
    <w:rsid w:val="007E682A"/>
    <w:rsid w:val="007F54D5"/>
    <w:rsid w:val="00801313"/>
    <w:rsid w:val="0080282E"/>
    <w:rsid w:val="00804B76"/>
    <w:rsid w:val="0081446A"/>
    <w:rsid w:val="00814CC9"/>
    <w:rsid w:val="00822A1F"/>
    <w:rsid w:val="00824B83"/>
    <w:rsid w:val="00827B3D"/>
    <w:rsid w:val="00831EB6"/>
    <w:rsid w:val="008415EA"/>
    <w:rsid w:val="0084532B"/>
    <w:rsid w:val="00847D1E"/>
    <w:rsid w:val="0086405B"/>
    <w:rsid w:val="008653E9"/>
    <w:rsid w:val="00885AA2"/>
    <w:rsid w:val="00885DFA"/>
    <w:rsid w:val="008864A3"/>
    <w:rsid w:val="00892987"/>
    <w:rsid w:val="008A2977"/>
    <w:rsid w:val="008A2AE0"/>
    <w:rsid w:val="008A69CF"/>
    <w:rsid w:val="008A75C9"/>
    <w:rsid w:val="008C258F"/>
    <w:rsid w:val="008D639F"/>
    <w:rsid w:val="008E09EF"/>
    <w:rsid w:val="008E4058"/>
    <w:rsid w:val="008F0C8F"/>
    <w:rsid w:val="008F15CD"/>
    <w:rsid w:val="00901EBC"/>
    <w:rsid w:val="00906E8E"/>
    <w:rsid w:val="00910B43"/>
    <w:rsid w:val="00910BA9"/>
    <w:rsid w:val="00912ACA"/>
    <w:rsid w:val="0091774C"/>
    <w:rsid w:val="009215BC"/>
    <w:rsid w:val="00931E65"/>
    <w:rsid w:val="00934688"/>
    <w:rsid w:val="00934F1B"/>
    <w:rsid w:val="00935D77"/>
    <w:rsid w:val="00942D4B"/>
    <w:rsid w:val="00944D91"/>
    <w:rsid w:val="00947ABD"/>
    <w:rsid w:val="00966081"/>
    <w:rsid w:val="0097309C"/>
    <w:rsid w:val="009748B4"/>
    <w:rsid w:val="00976A2E"/>
    <w:rsid w:val="009863EE"/>
    <w:rsid w:val="00992B85"/>
    <w:rsid w:val="009A4B81"/>
    <w:rsid w:val="009B76B7"/>
    <w:rsid w:val="009D2972"/>
    <w:rsid w:val="009E64C2"/>
    <w:rsid w:val="009E6B2B"/>
    <w:rsid w:val="009F56D9"/>
    <w:rsid w:val="009F638B"/>
    <w:rsid w:val="009F72BD"/>
    <w:rsid w:val="009F776A"/>
    <w:rsid w:val="009F7E17"/>
    <w:rsid w:val="00A33DFF"/>
    <w:rsid w:val="00A409D4"/>
    <w:rsid w:val="00A42524"/>
    <w:rsid w:val="00A4350B"/>
    <w:rsid w:val="00A44A37"/>
    <w:rsid w:val="00A516F6"/>
    <w:rsid w:val="00A5527B"/>
    <w:rsid w:val="00A73198"/>
    <w:rsid w:val="00A74A7F"/>
    <w:rsid w:val="00A9219E"/>
    <w:rsid w:val="00A92F13"/>
    <w:rsid w:val="00A94135"/>
    <w:rsid w:val="00A9473F"/>
    <w:rsid w:val="00A96754"/>
    <w:rsid w:val="00AA2118"/>
    <w:rsid w:val="00AA43E6"/>
    <w:rsid w:val="00AC5BE8"/>
    <w:rsid w:val="00AC7526"/>
    <w:rsid w:val="00AD0138"/>
    <w:rsid w:val="00AD4EBF"/>
    <w:rsid w:val="00AD5429"/>
    <w:rsid w:val="00AE400A"/>
    <w:rsid w:val="00AE717D"/>
    <w:rsid w:val="00AF7D94"/>
    <w:rsid w:val="00B24E68"/>
    <w:rsid w:val="00B276BE"/>
    <w:rsid w:val="00B378EC"/>
    <w:rsid w:val="00B37EAA"/>
    <w:rsid w:val="00B422A0"/>
    <w:rsid w:val="00B47E52"/>
    <w:rsid w:val="00B504F3"/>
    <w:rsid w:val="00B51F1C"/>
    <w:rsid w:val="00B62B80"/>
    <w:rsid w:val="00B7413F"/>
    <w:rsid w:val="00B76ABD"/>
    <w:rsid w:val="00B77025"/>
    <w:rsid w:val="00B777E7"/>
    <w:rsid w:val="00B9019D"/>
    <w:rsid w:val="00B93359"/>
    <w:rsid w:val="00BA06BC"/>
    <w:rsid w:val="00BA0C8D"/>
    <w:rsid w:val="00BA2C7F"/>
    <w:rsid w:val="00BA2D67"/>
    <w:rsid w:val="00BA5D11"/>
    <w:rsid w:val="00BB5929"/>
    <w:rsid w:val="00BC58C9"/>
    <w:rsid w:val="00BC7874"/>
    <w:rsid w:val="00BD55C3"/>
    <w:rsid w:val="00BD6AB3"/>
    <w:rsid w:val="00BD7815"/>
    <w:rsid w:val="00BE295C"/>
    <w:rsid w:val="00BF27B1"/>
    <w:rsid w:val="00BF3EE3"/>
    <w:rsid w:val="00BF5F53"/>
    <w:rsid w:val="00C05FA0"/>
    <w:rsid w:val="00C078CE"/>
    <w:rsid w:val="00C15E6B"/>
    <w:rsid w:val="00C24B93"/>
    <w:rsid w:val="00C25518"/>
    <w:rsid w:val="00C42D5F"/>
    <w:rsid w:val="00C47E13"/>
    <w:rsid w:val="00C515C7"/>
    <w:rsid w:val="00C52D17"/>
    <w:rsid w:val="00C54C2A"/>
    <w:rsid w:val="00C618B3"/>
    <w:rsid w:val="00C65512"/>
    <w:rsid w:val="00C73604"/>
    <w:rsid w:val="00C830BE"/>
    <w:rsid w:val="00C83987"/>
    <w:rsid w:val="00C86ED7"/>
    <w:rsid w:val="00C91940"/>
    <w:rsid w:val="00C94A69"/>
    <w:rsid w:val="00C94B41"/>
    <w:rsid w:val="00C9781C"/>
    <w:rsid w:val="00CC2354"/>
    <w:rsid w:val="00CC6787"/>
    <w:rsid w:val="00CE6EDA"/>
    <w:rsid w:val="00CE7870"/>
    <w:rsid w:val="00CF0618"/>
    <w:rsid w:val="00CF4DAF"/>
    <w:rsid w:val="00D11002"/>
    <w:rsid w:val="00D16451"/>
    <w:rsid w:val="00D2227C"/>
    <w:rsid w:val="00D314FA"/>
    <w:rsid w:val="00D361E9"/>
    <w:rsid w:val="00D466B5"/>
    <w:rsid w:val="00D56A93"/>
    <w:rsid w:val="00D606DE"/>
    <w:rsid w:val="00D60F4C"/>
    <w:rsid w:val="00D7398B"/>
    <w:rsid w:val="00D76B34"/>
    <w:rsid w:val="00D84471"/>
    <w:rsid w:val="00D84608"/>
    <w:rsid w:val="00D867B2"/>
    <w:rsid w:val="00D87EF6"/>
    <w:rsid w:val="00D9215E"/>
    <w:rsid w:val="00D93830"/>
    <w:rsid w:val="00DB238F"/>
    <w:rsid w:val="00DC0DFE"/>
    <w:rsid w:val="00DC7A1F"/>
    <w:rsid w:val="00DE0644"/>
    <w:rsid w:val="00DE6EFF"/>
    <w:rsid w:val="00DF065C"/>
    <w:rsid w:val="00DF4CDE"/>
    <w:rsid w:val="00E01AE6"/>
    <w:rsid w:val="00E03C44"/>
    <w:rsid w:val="00E0498A"/>
    <w:rsid w:val="00E04AA8"/>
    <w:rsid w:val="00E060D5"/>
    <w:rsid w:val="00E2045B"/>
    <w:rsid w:val="00E23C55"/>
    <w:rsid w:val="00E270EE"/>
    <w:rsid w:val="00E43373"/>
    <w:rsid w:val="00E45C44"/>
    <w:rsid w:val="00E545A9"/>
    <w:rsid w:val="00E57465"/>
    <w:rsid w:val="00E64575"/>
    <w:rsid w:val="00E66984"/>
    <w:rsid w:val="00E66B00"/>
    <w:rsid w:val="00E7204D"/>
    <w:rsid w:val="00E72F1A"/>
    <w:rsid w:val="00E7493F"/>
    <w:rsid w:val="00E778DA"/>
    <w:rsid w:val="00E95A0D"/>
    <w:rsid w:val="00EC21AA"/>
    <w:rsid w:val="00ED1BB1"/>
    <w:rsid w:val="00ED3E86"/>
    <w:rsid w:val="00ED50CF"/>
    <w:rsid w:val="00EE35AC"/>
    <w:rsid w:val="00EE60A6"/>
    <w:rsid w:val="00EF4EA9"/>
    <w:rsid w:val="00F03AF8"/>
    <w:rsid w:val="00F063B4"/>
    <w:rsid w:val="00F13169"/>
    <w:rsid w:val="00F13689"/>
    <w:rsid w:val="00F14384"/>
    <w:rsid w:val="00F176FF"/>
    <w:rsid w:val="00F17B06"/>
    <w:rsid w:val="00F17CD1"/>
    <w:rsid w:val="00F32386"/>
    <w:rsid w:val="00F37DC9"/>
    <w:rsid w:val="00F4199F"/>
    <w:rsid w:val="00F44D40"/>
    <w:rsid w:val="00F450E3"/>
    <w:rsid w:val="00F544DC"/>
    <w:rsid w:val="00F60823"/>
    <w:rsid w:val="00F70E7F"/>
    <w:rsid w:val="00F710C7"/>
    <w:rsid w:val="00F729F7"/>
    <w:rsid w:val="00F7416A"/>
    <w:rsid w:val="00F81B44"/>
    <w:rsid w:val="00F81F18"/>
    <w:rsid w:val="00F8515C"/>
    <w:rsid w:val="00F94F4F"/>
    <w:rsid w:val="00F970C1"/>
    <w:rsid w:val="00FA7128"/>
    <w:rsid w:val="00FC5306"/>
    <w:rsid w:val="00FD3A4F"/>
    <w:rsid w:val="00FD4A39"/>
    <w:rsid w:val="00FE68EF"/>
    <w:rsid w:val="00FE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5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67"/>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7F1B"/>
    <w:rPr>
      <w:sz w:val="16"/>
      <w:szCs w:val="16"/>
    </w:rPr>
  </w:style>
  <w:style w:type="paragraph" w:styleId="CommentText">
    <w:name w:val="annotation text"/>
    <w:basedOn w:val="Normal"/>
    <w:link w:val="CommentTextChar"/>
    <w:uiPriority w:val="99"/>
    <w:semiHidden/>
    <w:unhideWhenUsed/>
    <w:rsid w:val="00157F1B"/>
    <w:rPr>
      <w:sz w:val="20"/>
      <w:szCs w:val="20"/>
    </w:rPr>
  </w:style>
  <w:style w:type="character" w:customStyle="1" w:styleId="CommentTextChar">
    <w:name w:val="Comment Text Char"/>
    <w:basedOn w:val="DefaultParagraphFont"/>
    <w:link w:val="CommentText"/>
    <w:uiPriority w:val="99"/>
    <w:semiHidden/>
    <w:rsid w:val="00157F1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7F1B"/>
    <w:rPr>
      <w:b/>
      <w:bCs/>
    </w:rPr>
  </w:style>
  <w:style w:type="character" w:customStyle="1" w:styleId="CommentSubjectChar">
    <w:name w:val="Comment Subject Char"/>
    <w:basedOn w:val="CommentTextChar"/>
    <w:link w:val="CommentSubject"/>
    <w:uiPriority w:val="99"/>
    <w:semiHidden/>
    <w:rsid w:val="00157F1B"/>
    <w:rPr>
      <w:rFonts w:eastAsiaTheme="minorEastAsia"/>
      <w:b/>
      <w:bCs/>
      <w:sz w:val="20"/>
      <w:szCs w:val="20"/>
    </w:rPr>
  </w:style>
  <w:style w:type="paragraph" w:styleId="BalloonText">
    <w:name w:val="Balloon Text"/>
    <w:basedOn w:val="Normal"/>
    <w:link w:val="BalloonTextChar"/>
    <w:uiPriority w:val="99"/>
    <w:semiHidden/>
    <w:unhideWhenUsed/>
    <w:rsid w:val="00157F1B"/>
    <w:rPr>
      <w:rFonts w:ascii="Tahoma" w:hAnsi="Tahoma" w:cs="Tahoma"/>
      <w:sz w:val="16"/>
      <w:szCs w:val="16"/>
    </w:rPr>
  </w:style>
  <w:style w:type="character" w:customStyle="1" w:styleId="BalloonTextChar">
    <w:name w:val="Balloon Text Char"/>
    <w:basedOn w:val="DefaultParagraphFont"/>
    <w:link w:val="BalloonText"/>
    <w:uiPriority w:val="99"/>
    <w:semiHidden/>
    <w:rsid w:val="00157F1B"/>
    <w:rPr>
      <w:rFonts w:ascii="Tahoma" w:eastAsiaTheme="minorEastAsia" w:hAnsi="Tahoma" w:cs="Tahoma"/>
      <w:sz w:val="16"/>
      <w:szCs w:val="16"/>
    </w:rPr>
  </w:style>
  <w:style w:type="paragraph" w:customStyle="1" w:styleId="Default">
    <w:name w:val="Default"/>
    <w:rsid w:val="0028547E"/>
    <w:pPr>
      <w:autoSpaceDE w:val="0"/>
      <w:autoSpaceDN w:val="0"/>
      <w:adjustRightInd w:val="0"/>
      <w:spacing w:after="0"/>
    </w:pPr>
    <w:rPr>
      <w:rFonts w:ascii="EBSKY I+ Franklin Gothic" w:hAnsi="EBSKY I+ Franklin Gothic" w:cs="EBSKY I+ Franklin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67"/>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7F1B"/>
    <w:rPr>
      <w:sz w:val="16"/>
      <w:szCs w:val="16"/>
    </w:rPr>
  </w:style>
  <w:style w:type="paragraph" w:styleId="CommentText">
    <w:name w:val="annotation text"/>
    <w:basedOn w:val="Normal"/>
    <w:link w:val="CommentTextChar"/>
    <w:uiPriority w:val="99"/>
    <w:semiHidden/>
    <w:unhideWhenUsed/>
    <w:rsid w:val="00157F1B"/>
    <w:rPr>
      <w:sz w:val="20"/>
      <w:szCs w:val="20"/>
    </w:rPr>
  </w:style>
  <w:style w:type="character" w:customStyle="1" w:styleId="CommentTextChar">
    <w:name w:val="Comment Text Char"/>
    <w:basedOn w:val="DefaultParagraphFont"/>
    <w:link w:val="CommentText"/>
    <w:uiPriority w:val="99"/>
    <w:semiHidden/>
    <w:rsid w:val="00157F1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7F1B"/>
    <w:rPr>
      <w:b/>
      <w:bCs/>
    </w:rPr>
  </w:style>
  <w:style w:type="character" w:customStyle="1" w:styleId="CommentSubjectChar">
    <w:name w:val="Comment Subject Char"/>
    <w:basedOn w:val="CommentTextChar"/>
    <w:link w:val="CommentSubject"/>
    <w:uiPriority w:val="99"/>
    <w:semiHidden/>
    <w:rsid w:val="00157F1B"/>
    <w:rPr>
      <w:rFonts w:eastAsiaTheme="minorEastAsia"/>
      <w:b/>
      <w:bCs/>
      <w:sz w:val="20"/>
      <w:szCs w:val="20"/>
    </w:rPr>
  </w:style>
  <w:style w:type="paragraph" w:styleId="BalloonText">
    <w:name w:val="Balloon Text"/>
    <w:basedOn w:val="Normal"/>
    <w:link w:val="BalloonTextChar"/>
    <w:uiPriority w:val="99"/>
    <w:semiHidden/>
    <w:unhideWhenUsed/>
    <w:rsid w:val="00157F1B"/>
    <w:rPr>
      <w:rFonts w:ascii="Tahoma" w:hAnsi="Tahoma" w:cs="Tahoma"/>
      <w:sz w:val="16"/>
      <w:szCs w:val="16"/>
    </w:rPr>
  </w:style>
  <w:style w:type="character" w:customStyle="1" w:styleId="BalloonTextChar">
    <w:name w:val="Balloon Text Char"/>
    <w:basedOn w:val="DefaultParagraphFont"/>
    <w:link w:val="BalloonText"/>
    <w:uiPriority w:val="99"/>
    <w:semiHidden/>
    <w:rsid w:val="00157F1B"/>
    <w:rPr>
      <w:rFonts w:ascii="Tahoma" w:eastAsiaTheme="minorEastAsia" w:hAnsi="Tahoma" w:cs="Tahoma"/>
      <w:sz w:val="16"/>
      <w:szCs w:val="16"/>
    </w:rPr>
  </w:style>
  <w:style w:type="paragraph" w:customStyle="1" w:styleId="Default">
    <w:name w:val="Default"/>
    <w:rsid w:val="0028547E"/>
    <w:pPr>
      <w:autoSpaceDE w:val="0"/>
      <w:autoSpaceDN w:val="0"/>
      <w:adjustRightInd w:val="0"/>
      <w:spacing w:after="0"/>
    </w:pPr>
    <w:rPr>
      <w:rFonts w:ascii="EBSKY I+ Franklin Gothic" w:hAnsi="EBSKY I+ Franklin Gothic" w:cs="EBSKY I+ Frankli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588">
      <w:bodyDiv w:val="1"/>
      <w:marLeft w:val="0"/>
      <w:marRight w:val="0"/>
      <w:marTop w:val="0"/>
      <w:marBottom w:val="0"/>
      <w:divBdr>
        <w:top w:val="none" w:sz="0" w:space="0" w:color="auto"/>
        <w:left w:val="none" w:sz="0" w:space="0" w:color="auto"/>
        <w:bottom w:val="none" w:sz="0" w:space="0" w:color="auto"/>
        <w:right w:val="none" w:sz="0" w:space="0" w:color="auto"/>
      </w:divBdr>
    </w:div>
    <w:div w:id="38482427">
      <w:bodyDiv w:val="1"/>
      <w:marLeft w:val="0"/>
      <w:marRight w:val="0"/>
      <w:marTop w:val="0"/>
      <w:marBottom w:val="0"/>
      <w:divBdr>
        <w:top w:val="none" w:sz="0" w:space="0" w:color="auto"/>
        <w:left w:val="none" w:sz="0" w:space="0" w:color="auto"/>
        <w:bottom w:val="none" w:sz="0" w:space="0" w:color="auto"/>
        <w:right w:val="none" w:sz="0" w:space="0" w:color="auto"/>
      </w:divBdr>
    </w:div>
    <w:div w:id="54092646">
      <w:bodyDiv w:val="1"/>
      <w:marLeft w:val="0"/>
      <w:marRight w:val="0"/>
      <w:marTop w:val="0"/>
      <w:marBottom w:val="0"/>
      <w:divBdr>
        <w:top w:val="none" w:sz="0" w:space="0" w:color="auto"/>
        <w:left w:val="none" w:sz="0" w:space="0" w:color="auto"/>
        <w:bottom w:val="none" w:sz="0" w:space="0" w:color="auto"/>
        <w:right w:val="none" w:sz="0" w:space="0" w:color="auto"/>
      </w:divBdr>
    </w:div>
    <w:div w:id="114831964">
      <w:bodyDiv w:val="1"/>
      <w:marLeft w:val="0"/>
      <w:marRight w:val="0"/>
      <w:marTop w:val="0"/>
      <w:marBottom w:val="0"/>
      <w:divBdr>
        <w:top w:val="none" w:sz="0" w:space="0" w:color="auto"/>
        <w:left w:val="none" w:sz="0" w:space="0" w:color="auto"/>
        <w:bottom w:val="none" w:sz="0" w:space="0" w:color="auto"/>
        <w:right w:val="none" w:sz="0" w:space="0" w:color="auto"/>
      </w:divBdr>
    </w:div>
    <w:div w:id="140931857">
      <w:bodyDiv w:val="1"/>
      <w:marLeft w:val="0"/>
      <w:marRight w:val="0"/>
      <w:marTop w:val="0"/>
      <w:marBottom w:val="0"/>
      <w:divBdr>
        <w:top w:val="none" w:sz="0" w:space="0" w:color="auto"/>
        <w:left w:val="none" w:sz="0" w:space="0" w:color="auto"/>
        <w:bottom w:val="none" w:sz="0" w:space="0" w:color="auto"/>
        <w:right w:val="none" w:sz="0" w:space="0" w:color="auto"/>
      </w:divBdr>
    </w:div>
    <w:div w:id="149516445">
      <w:bodyDiv w:val="1"/>
      <w:marLeft w:val="0"/>
      <w:marRight w:val="0"/>
      <w:marTop w:val="0"/>
      <w:marBottom w:val="0"/>
      <w:divBdr>
        <w:top w:val="none" w:sz="0" w:space="0" w:color="auto"/>
        <w:left w:val="none" w:sz="0" w:space="0" w:color="auto"/>
        <w:bottom w:val="none" w:sz="0" w:space="0" w:color="auto"/>
        <w:right w:val="none" w:sz="0" w:space="0" w:color="auto"/>
      </w:divBdr>
    </w:div>
    <w:div w:id="178280319">
      <w:bodyDiv w:val="1"/>
      <w:marLeft w:val="0"/>
      <w:marRight w:val="0"/>
      <w:marTop w:val="0"/>
      <w:marBottom w:val="0"/>
      <w:divBdr>
        <w:top w:val="none" w:sz="0" w:space="0" w:color="auto"/>
        <w:left w:val="none" w:sz="0" w:space="0" w:color="auto"/>
        <w:bottom w:val="none" w:sz="0" w:space="0" w:color="auto"/>
        <w:right w:val="none" w:sz="0" w:space="0" w:color="auto"/>
      </w:divBdr>
    </w:div>
    <w:div w:id="182673407">
      <w:bodyDiv w:val="1"/>
      <w:marLeft w:val="0"/>
      <w:marRight w:val="0"/>
      <w:marTop w:val="0"/>
      <w:marBottom w:val="0"/>
      <w:divBdr>
        <w:top w:val="none" w:sz="0" w:space="0" w:color="auto"/>
        <w:left w:val="none" w:sz="0" w:space="0" w:color="auto"/>
        <w:bottom w:val="none" w:sz="0" w:space="0" w:color="auto"/>
        <w:right w:val="none" w:sz="0" w:space="0" w:color="auto"/>
      </w:divBdr>
    </w:div>
    <w:div w:id="206768370">
      <w:bodyDiv w:val="1"/>
      <w:marLeft w:val="0"/>
      <w:marRight w:val="0"/>
      <w:marTop w:val="0"/>
      <w:marBottom w:val="0"/>
      <w:divBdr>
        <w:top w:val="none" w:sz="0" w:space="0" w:color="auto"/>
        <w:left w:val="none" w:sz="0" w:space="0" w:color="auto"/>
        <w:bottom w:val="none" w:sz="0" w:space="0" w:color="auto"/>
        <w:right w:val="none" w:sz="0" w:space="0" w:color="auto"/>
      </w:divBdr>
    </w:div>
    <w:div w:id="289093330">
      <w:bodyDiv w:val="1"/>
      <w:marLeft w:val="0"/>
      <w:marRight w:val="0"/>
      <w:marTop w:val="0"/>
      <w:marBottom w:val="0"/>
      <w:divBdr>
        <w:top w:val="none" w:sz="0" w:space="0" w:color="auto"/>
        <w:left w:val="none" w:sz="0" w:space="0" w:color="auto"/>
        <w:bottom w:val="none" w:sz="0" w:space="0" w:color="auto"/>
        <w:right w:val="none" w:sz="0" w:space="0" w:color="auto"/>
      </w:divBdr>
    </w:div>
    <w:div w:id="339626425">
      <w:bodyDiv w:val="1"/>
      <w:marLeft w:val="0"/>
      <w:marRight w:val="0"/>
      <w:marTop w:val="0"/>
      <w:marBottom w:val="0"/>
      <w:divBdr>
        <w:top w:val="none" w:sz="0" w:space="0" w:color="auto"/>
        <w:left w:val="none" w:sz="0" w:space="0" w:color="auto"/>
        <w:bottom w:val="none" w:sz="0" w:space="0" w:color="auto"/>
        <w:right w:val="none" w:sz="0" w:space="0" w:color="auto"/>
      </w:divBdr>
    </w:div>
    <w:div w:id="349264066">
      <w:bodyDiv w:val="1"/>
      <w:marLeft w:val="0"/>
      <w:marRight w:val="0"/>
      <w:marTop w:val="0"/>
      <w:marBottom w:val="0"/>
      <w:divBdr>
        <w:top w:val="none" w:sz="0" w:space="0" w:color="auto"/>
        <w:left w:val="none" w:sz="0" w:space="0" w:color="auto"/>
        <w:bottom w:val="none" w:sz="0" w:space="0" w:color="auto"/>
        <w:right w:val="none" w:sz="0" w:space="0" w:color="auto"/>
      </w:divBdr>
    </w:div>
    <w:div w:id="448546338">
      <w:bodyDiv w:val="1"/>
      <w:marLeft w:val="0"/>
      <w:marRight w:val="0"/>
      <w:marTop w:val="0"/>
      <w:marBottom w:val="0"/>
      <w:divBdr>
        <w:top w:val="none" w:sz="0" w:space="0" w:color="auto"/>
        <w:left w:val="none" w:sz="0" w:space="0" w:color="auto"/>
        <w:bottom w:val="none" w:sz="0" w:space="0" w:color="auto"/>
        <w:right w:val="none" w:sz="0" w:space="0" w:color="auto"/>
      </w:divBdr>
    </w:div>
    <w:div w:id="461073320">
      <w:bodyDiv w:val="1"/>
      <w:marLeft w:val="0"/>
      <w:marRight w:val="0"/>
      <w:marTop w:val="0"/>
      <w:marBottom w:val="0"/>
      <w:divBdr>
        <w:top w:val="none" w:sz="0" w:space="0" w:color="auto"/>
        <w:left w:val="none" w:sz="0" w:space="0" w:color="auto"/>
        <w:bottom w:val="none" w:sz="0" w:space="0" w:color="auto"/>
        <w:right w:val="none" w:sz="0" w:space="0" w:color="auto"/>
      </w:divBdr>
    </w:div>
    <w:div w:id="468323232">
      <w:bodyDiv w:val="1"/>
      <w:marLeft w:val="0"/>
      <w:marRight w:val="0"/>
      <w:marTop w:val="0"/>
      <w:marBottom w:val="0"/>
      <w:divBdr>
        <w:top w:val="none" w:sz="0" w:space="0" w:color="auto"/>
        <w:left w:val="none" w:sz="0" w:space="0" w:color="auto"/>
        <w:bottom w:val="none" w:sz="0" w:space="0" w:color="auto"/>
        <w:right w:val="none" w:sz="0" w:space="0" w:color="auto"/>
      </w:divBdr>
    </w:div>
    <w:div w:id="493492805">
      <w:bodyDiv w:val="1"/>
      <w:marLeft w:val="0"/>
      <w:marRight w:val="0"/>
      <w:marTop w:val="0"/>
      <w:marBottom w:val="0"/>
      <w:divBdr>
        <w:top w:val="none" w:sz="0" w:space="0" w:color="auto"/>
        <w:left w:val="none" w:sz="0" w:space="0" w:color="auto"/>
        <w:bottom w:val="none" w:sz="0" w:space="0" w:color="auto"/>
        <w:right w:val="none" w:sz="0" w:space="0" w:color="auto"/>
      </w:divBdr>
    </w:div>
    <w:div w:id="563225981">
      <w:bodyDiv w:val="1"/>
      <w:marLeft w:val="0"/>
      <w:marRight w:val="0"/>
      <w:marTop w:val="0"/>
      <w:marBottom w:val="0"/>
      <w:divBdr>
        <w:top w:val="none" w:sz="0" w:space="0" w:color="auto"/>
        <w:left w:val="none" w:sz="0" w:space="0" w:color="auto"/>
        <w:bottom w:val="none" w:sz="0" w:space="0" w:color="auto"/>
        <w:right w:val="none" w:sz="0" w:space="0" w:color="auto"/>
      </w:divBdr>
    </w:div>
    <w:div w:id="569655140">
      <w:bodyDiv w:val="1"/>
      <w:marLeft w:val="0"/>
      <w:marRight w:val="0"/>
      <w:marTop w:val="0"/>
      <w:marBottom w:val="0"/>
      <w:divBdr>
        <w:top w:val="none" w:sz="0" w:space="0" w:color="auto"/>
        <w:left w:val="none" w:sz="0" w:space="0" w:color="auto"/>
        <w:bottom w:val="none" w:sz="0" w:space="0" w:color="auto"/>
        <w:right w:val="none" w:sz="0" w:space="0" w:color="auto"/>
      </w:divBdr>
    </w:div>
    <w:div w:id="582764453">
      <w:bodyDiv w:val="1"/>
      <w:marLeft w:val="0"/>
      <w:marRight w:val="0"/>
      <w:marTop w:val="0"/>
      <w:marBottom w:val="0"/>
      <w:divBdr>
        <w:top w:val="none" w:sz="0" w:space="0" w:color="auto"/>
        <w:left w:val="none" w:sz="0" w:space="0" w:color="auto"/>
        <w:bottom w:val="none" w:sz="0" w:space="0" w:color="auto"/>
        <w:right w:val="none" w:sz="0" w:space="0" w:color="auto"/>
      </w:divBdr>
    </w:div>
    <w:div w:id="674236132">
      <w:bodyDiv w:val="1"/>
      <w:marLeft w:val="0"/>
      <w:marRight w:val="0"/>
      <w:marTop w:val="0"/>
      <w:marBottom w:val="0"/>
      <w:divBdr>
        <w:top w:val="none" w:sz="0" w:space="0" w:color="auto"/>
        <w:left w:val="none" w:sz="0" w:space="0" w:color="auto"/>
        <w:bottom w:val="none" w:sz="0" w:space="0" w:color="auto"/>
        <w:right w:val="none" w:sz="0" w:space="0" w:color="auto"/>
      </w:divBdr>
    </w:div>
    <w:div w:id="696200136">
      <w:bodyDiv w:val="1"/>
      <w:marLeft w:val="0"/>
      <w:marRight w:val="0"/>
      <w:marTop w:val="0"/>
      <w:marBottom w:val="0"/>
      <w:divBdr>
        <w:top w:val="none" w:sz="0" w:space="0" w:color="auto"/>
        <w:left w:val="none" w:sz="0" w:space="0" w:color="auto"/>
        <w:bottom w:val="none" w:sz="0" w:space="0" w:color="auto"/>
        <w:right w:val="none" w:sz="0" w:space="0" w:color="auto"/>
      </w:divBdr>
    </w:div>
    <w:div w:id="719355634">
      <w:bodyDiv w:val="1"/>
      <w:marLeft w:val="0"/>
      <w:marRight w:val="0"/>
      <w:marTop w:val="0"/>
      <w:marBottom w:val="0"/>
      <w:divBdr>
        <w:top w:val="none" w:sz="0" w:space="0" w:color="auto"/>
        <w:left w:val="none" w:sz="0" w:space="0" w:color="auto"/>
        <w:bottom w:val="none" w:sz="0" w:space="0" w:color="auto"/>
        <w:right w:val="none" w:sz="0" w:space="0" w:color="auto"/>
      </w:divBdr>
    </w:div>
    <w:div w:id="735397502">
      <w:bodyDiv w:val="1"/>
      <w:marLeft w:val="0"/>
      <w:marRight w:val="0"/>
      <w:marTop w:val="0"/>
      <w:marBottom w:val="0"/>
      <w:divBdr>
        <w:top w:val="none" w:sz="0" w:space="0" w:color="auto"/>
        <w:left w:val="none" w:sz="0" w:space="0" w:color="auto"/>
        <w:bottom w:val="none" w:sz="0" w:space="0" w:color="auto"/>
        <w:right w:val="none" w:sz="0" w:space="0" w:color="auto"/>
      </w:divBdr>
    </w:div>
    <w:div w:id="739985032">
      <w:bodyDiv w:val="1"/>
      <w:marLeft w:val="0"/>
      <w:marRight w:val="0"/>
      <w:marTop w:val="0"/>
      <w:marBottom w:val="0"/>
      <w:divBdr>
        <w:top w:val="none" w:sz="0" w:space="0" w:color="auto"/>
        <w:left w:val="none" w:sz="0" w:space="0" w:color="auto"/>
        <w:bottom w:val="none" w:sz="0" w:space="0" w:color="auto"/>
        <w:right w:val="none" w:sz="0" w:space="0" w:color="auto"/>
      </w:divBdr>
    </w:div>
    <w:div w:id="748112390">
      <w:bodyDiv w:val="1"/>
      <w:marLeft w:val="0"/>
      <w:marRight w:val="0"/>
      <w:marTop w:val="0"/>
      <w:marBottom w:val="0"/>
      <w:divBdr>
        <w:top w:val="none" w:sz="0" w:space="0" w:color="auto"/>
        <w:left w:val="none" w:sz="0" w:space="0" w:color="auto"/>
        <w:bottom w:val="none" w:sz="0" w:space="0" w:color="auto"/>
        <w:right w:val="none" w:sz="0" w:space="0" w:color="auto"/>
      </w:divBdr>
    </w:div>
    <w:div w:id="774667275">
      <w:bodyDiv w:val="1"/>
      <w:marLeft w:val="0"/>
      <w:marRight w:val="0"/>
      <w:marTop w:val="0"/>
      <w:marBottom w:val="0"/>
      <w:divBdr>
        <w:top w:val="none" w:sz="0" w:space="0" w:color="auto"/>
        <w:left w:val="none" w:sz="0" w:space="0" w:color="auto"/>
        <w:bottom w:val="none" w:sz="0" w:space="0" w:color="auto"/>
        <w:right w:val="none" w:sz="0" w:space="0" w:color="auto"/>
      </w:divBdr>
    </w:div>
    <w:div w:id="805051285">
      <w:bodyDiv w:val="1"/>
      <w:marLeft w:val="0"/>
      <w:marRight w:val="0"/>
      <w:marTop w:val="0"/>
      <w:marBottom w:val="0"/>
      <w:divBdr>
        <w:top w:val="none" w:sz="0" w:space="0" w:color="auto"/>
        <w:left w:val="none" w:sz="0" w:space="0" w:color="auto"/>
        <w:bottom w:val="none" w:sz="0" w:space="0" w:color="auto"/>
        <w:right w:val="none" w:sz="0" w:space="0" w:color="auto"/>
      </w:divBdr>
    </w:div>
    <w:div w:id="813526194">
      <w:bodyDiv w:val="1"/>
      <w:marLeft w:val="0"/>
      <w:marRight w:val="0"/>
      <w:marTop w:val="0"/>
      <w:marBottom w:val="0"/>
      <w:divBdr>
        <w:top w:val="none" w:sz="0" w:space="0" w:color="auto"/>
        <w:left w:val="none" w:sz="0" w:space="0" w:color="auto"/>
        <w:bottom w:val="none" w:sz="0" w:space="0" w:color="auto"/>
        <w:right w:val="none" w:sz="0" w:space="0" w:color="auto"/>
      </w:divBdr>
    </w:div>
    <w:div w:id="847603889">
      <w:bodyDiv w:val="1"/>
      <w:marLeft w:val="0"/>
      <w:marRight w:val="0"/>
      <w:marTop w:val="0"/>
      <w:marBottom w:val="0"/>
      <w:divBdr>
        <w:top w:val="none" w:sz="0" w:space="0" w:color="auto"/>
        <w:left w:val="none" w:sz="0" w:space="0" w:color="auto"/>
        <w:bottom w:val="none" w:sz="0" w:space="0" w:color="auto"/>
        <w:right w:val="none" w:sz="0" w:space="0" w:color="auto"/>
      </w:divBdr>
    </w:div>
    <w:div w:id="876552048">
      <w:bodyDiv w:val="1"/>
      <w:marLeft w:val="0"/>
      <w:marRight w:val="0"/>
      <w:marTop w:val="0"/>
      <w:marBottom w:val="0"/>
      <w:divBdr>
        <w:top w:val="none" w:sz="0" w:space="0" w:color="auto"/>
        <w:left w:val="none" w:sz="0" w:space="0" w:color="auto"/>
        <w:bottom w:val="none" w:sz="0" w:space="0" w:color="auto"/>
        <w:right w:val="none" w:sz="0" w:space="0" w:color="auto"/>
      </w:divBdr>
    </w:div>
    <w:div w:id="882670180">
      <w:bodyDiv w:val="1"/>
      <w:marLeft w:val="0"/>
      <w:marRight w:val="0"/>
      <w:marTop w:val="0"/>
      <w:marBottom w:val="0"/>
      <w:divBdr>
        <w:top w:val="none" w:sz="0" w:space="0" w:color="auto"/>
        <w:left w:val="none" w:sz="0" w:space="0" w:color="auto"/>
        <w:bottom w:val="none" w:sz="0" w:space="0" w:color="auto"/>
        <w:right w:val="none" w:sz="0" w:space="0" w:color="auto"/>
      </w:divBdr>
    </w:div>
    <w:div w:id="931815656">
      <w:bodyDiv w:val="1"/>
      <w:marLeft w:val="0"/>
      <w:marRight w:val="0"/>
      <w:marTop w:val="0"/>
      <w:marBottom w:val="0"/>
      <w:divBdr>
        <w:top w:val="none" w:sz="0" w:space="0" w:color="auto"/>
        <w:left w:val="none" w:sz="0" w:space="0" w:color="auto"/>
        <w:bottom w:val="none" w:sz="0" w:space="0" w:color="auto"/>
        <w:right w:val="none" w:sz="0" w:space="0" w:color="auto"/>
      </w:divBdr>
    </w:div>
    <w:div w:id="1002123939">
      <w:bodyDiv w:val="1"/>
      <w:marLeft w:val="0"/>
      <w:marRight w:val="0"/>
      <w:marTop w:val="0"/>
      <w:marBottom w:val="0"/>
      <w:divBdr>
        <w:top w:val="none" w:sz="0" w:space="0" w:color="auto"/>
        <w:left w:val="none" w:sz="0" w:space="0" w:color="auto"/>
        <w:bottom w:val="none" w:sz="0" w:space="0" w:color="auto"/>
        <w:right w:val="none" w:sz="0" w:space="0" w:color="auto"/>
      </w:divBdr>
    </w:div>
    <w:div w:id="1005589836">
      <w:bodyDiv w:val="1"/>
      <w:marLeft w:val="0"/>
      <w:marRight w:val="0"/>
      <w:marTop w:val="0"/>
      <w:marBottom w:val="0"/>
      <w:divBdr>
        <w:top w:val="none" w:sz="0" w:space="0" w:color="auto"/>
        <w:left w:val="none" w:sz="0" w:space="0" w:color="auto"/>
        <w:bottom w:val="none" w:sz="0" w:space="0" w:color="auto"/>
        <w:right w:val="none" w:sz="0" w:space="0" w:color="auto"/>
      </w:divBdr>
    </w:div>
    <w:div w:id="1082411127">
      <w:bodyDiv w:val="1"/>
      <w:marLeft w:val="0"/>
      <w:marRight w:val="0"/>
      <w:marTop w:val="0"/>
      <w:marBottom w:val="0"/>
      <w:divBdr>
        <w:top w:val="none" w:sz="0" w:space="0" w:color="auto"/>
        <w:left w:val="none" w:sz="0" w:space="0" w:color="auto"/>
        <w:bottom w:val="none" w:sz="0" w:space="0" w:color="auto"/>
        <w:right w:val="none" w:sz="0" w:space="0" w:color="auto"/>
      </w:divBdr>
    </w:div>
    <w:div w:id="1082720988">
      <w:bodyDiv w:val="1"/>
      <w:marLeft w:val="0"/>
      <w:marRight w:val="0"/>
      <w:marTop w:val="0"/>
      <w:marBottom w:val="0"/>
      <w:divBdr>
        <w:top w:val="none" w:sz="0" w:space="0" w:color="auto"/>
        <w:left w:val="none" w:sz="0" w:space="0" w:color="auto"/>
        <w:bottom w:val="none" w:sz="0" w:space="0" w:color="auto"/>
        <w:right w:val="none" w:sz="0" w:space="0" w:color="auto"/>
      </w:divBdr>
    </w:div>
    <w:div w:id="1190878067">
      <w:bodyDiv w:val="1"/>
      <w:marLeft w:val="0"/>
      <w:marRight w:val="0"/>
      <w:marTop w:val="0"/>
      <w:marBottom w:val="0"/>
      <w:divBdr>
        <w:top w:val="none" w:sz="0" w:space="0" w:color="auto"/>
        <w:left w:val="none" w:sz="0" w:space="0" w:color="auto"/>
        <w:bottom w:val="none" w:sz="0" w:space="0" w:color="auto"/>
        <w:right w:val="none" w:sz="0" w:space="0" w:color="auto"/>
      </w:divBdr>
    </w:div>
    <w:div w:id="1269389506">
      <w:bodyDiv w:val="1"/>
      <w:marLeft w:val="0"/>
      <w:marRight w:val="0"/>
      <w:marTop w:val="0"/>
      <w:marBottom w:val="0"/>
      <w:divBdr>
        <w:top w:val="none" w:sz="0" w:space="0" w:color="auto"/>
        <w:left w:val="none" w:sz="0" w:space="0" w:color="auto"/>
        <w:bottom w:val="none" w:sz="0" w:space="0" w:color="auto"/>
        <w:right w:val="none" w:sz="0" w:space="0" w:color="auto"/>
      </w:divBdr>
    </w:div>
    <w:div w:id="1317033889">
      <w:bodyDiv w:val="1"/>
      <w:marLeft w:val="0"/>
      <w:marRight w:val="0"/>
      <w:marTop w:val="0"/>
      <w:marBottom w:val="0"/>
      <w:divBdr>
        <w:top w:val="none" w:sz="0" w:space="0" w:color="auto"/>
        <w:left w:val="none" w:sz="0" w:space="0" w:color="auto"/>
        <w:bottom w:val="none" w:sz="0" w:space="0" w:color="auto"/>
        <w:right w:val="none" w:sz="0" w:space="0" w:color="auto"/>
      </w:divBdr>
    </w:div>
    <w:div w:id="1317220776">
      <w:bodyDiv w:val="1"/>
      <w:marLeft w:val="0"/>
      <w:marRight w:val="0"/>
      <w:marTop w:val="0"/>
      <w:marBottom w:val="0"/>
      <w:divBdr>
        <w:top w:val="none" w:sz="0" w:space="0" w:color="auto"/>
        <w:left w:val="none" w:sz="0" w:space="0" w:color="auto"/>
        <w:bottom w:val="none" w:sz="0" w:space="0" w:color="auto"/>
        <w:right w:val="none" w:sz="0" w:space="0" w:color="auto"/>
      </w:divBdr>
    </w:div>
    <w:div w:id="1324502363">
      <w:bodyDiv w:val="1"/>
      <w:marLeft w:val="0"/>
      <w:marRight w:val="0"/>
      <w:marTop w:val="0"/>
      <w:marBottom w:val="0"/>
      <w:divBdr>
        <w:top w:val="none" w:sz="0" w:space="0" w:color="auto"/>
        <w:left w:val="none" w:sz="0" w:space="0" w:color="auto"/>
        <w:bottom w:val="none" w:sz="0" w:space="0" w:color="auto"/>
        <w:right w:val="none" w:sz="0" w:space="0" w:color="auto"/>
      </w:divBdr>
    </w:div>
    <w:div w:id="1361474187">
      <w:bodyDiv w:val="1"/>
      <w:marLeft w:val="0"/>
      <w:marRight w:val="0"/>
      <w:marTop w:val="0"/>
      <w:marBottom w:val="0"/>
      <w:divBdr>
        <w:top w:val="none" w:sz="0" w:space="0" w:color="auto"/>
        <w:left w:val="none" w:sz="0" w:space="0" w:color="auto"/>
        <w:bottom w:val="none" w:sz="0" w:space="0" w:color="auto"/>
        <w:right w:val="none" w:sz="0" w:space="0" w:color="auto"/>
      </w:divBdr>
    </w:div>
    <w:div w:id="1474837144">
      <w:bodyDiv w:val="1"/>
      <w:marLeft w:val="0"/>
      <w:marRight w:val="0"/>
      <w:marTop w:val="0"/>
      <w:marBottom w:val="0"/>
      <w:divBdr>
        <w:top w:val="none" w:sz="0" w:space="0" w:color="auto"/>
        <w:left w:val="none" w:sz="0" w:space="0" w:color="auto"/>
        <w:bottom w:val="none" w:sz="0" w:space="0" w:color="auto"/>
        <w:right w:val="none" w:sz="0" w:space="0" w:color="auto"/>
      </w:divBdr>
    </w:div>
    <w:div w:id="1508254142">
      <w:bodyDiv w:val="1"/>
      <w:marLeft w:val="0"/>
      <w:marRight w:val="0"/>
      <w:marTop w:val="0"/>
      <w:marBottom w:val="0"/>
      <w:divBdr>
        <w:top w:val="none" w:sz="0" w:space="0" w:color="auto"/>
        <w:left w:val="none" w:sz="0" w:space="0" w:color="auto"/>
        <w:bottom w:val="none" w:sz="0" w:space="0" w:color="auto"/>
        <w:right w:val="none" w:sz="0" w:space="0" w:color="auto"/>
      </w:divBdr>
    </w:div>
    <w:div w:id="1560363487">
      <w:bodyDiv w:val="1"/>
      <w:marLeft w:val="0"/>
      <w:marRight w:val="0"/>
      <w:marTop w:val="0"/>
      <w:marBottom w:val="0"/>
      <w:divBdr>
        <w:top w:val="none" w:sz="0" w:space="0" w:color="auto"/>
        <w:left w:val="none" w:sz="0" w:space="0" w:color="auto"/>
        <w:bottom w:val="none" w:sz="0" w:space="0" w:color="auto"/>
        <w:right w:val="none" w:sz="0" w:space="0" w:color="auto"/>
      </w:divBdr>
    </w:div>
    <w:div w:id="1624843156">
      <w:bodyDiv w:val="1"/>
      <w:marLeft w:val="0"/>
      <w:marRight w:val="0"/>
      <w:marTop w:val="0"/>
      <w:marBottom w:val="0"/>
      <w:divBdr>
        <w:top w:val="none" w:sz="0" w:space="0" w:color="auto"/>
        <w:left w:val="none" w:sz="0" w:space="0" w:color="auto"/>
        <w:bottom w:val="none" w:sz="0" w:space="0" w:color="auto"/>
        <w:right w:val="none" w:sz="0" w:space="0" w:color="auto"/>
      </w:divBdr>
    </w:div>
    <w:div w:id="1647782076">
      <w:bodyDiv w:val="1"/>
      <w:marLeft w:val="0"/>
      <w:marRight w:val="0"/>
      <w:marTop w:val="0"/>
      <w:marBottom w:val="0"/>
      <w:divBdr>
        <w:top w:val="none" w:sz="0" w:space="0" w:color="auto"/>
        <w:left w:val="none" w:sz="0" w:space="0" w:color="auto"/>
        <w:bottom w:val="none" w:sz="0" w:space="0" w:color="auto"/>
        <w:right w:val="none" w:sz="0" w:space="0" w:color="auto"/>
      </w:divBdr>
    </w:div>
    <w:div w:id="1657489420">
      <w:bodyDiv w:val="1"/>
      <w:marLeft w:val="0"/>
      <w:marRight w:val="0"/>
      <w:marTop w:val="0"/>
      <w:marBottom w:val="0"/>
      <w:divBdr>
        <w:top w:val="none" w:sz="0" w:space="0" w:color="auto"/>
        <w:left w:val="none" w:sz="0" w:space="0" w:color="auto"/>
        <w:bottom w:val="none" w:sz="0" w:space="0" w:color="auto"/>
        <w:right w:val="none" w:sz="0" w:space="0" w:color="auto"/>
      </w:divBdr>
    </w:div>
    <w:div w:id="1739091517">
      <w:bodyDiv w:val="1"/>
      <w:marLeft w:val="0"/>
      <w:marRight w:val="0"/>
      <w:marTop w:val="0"/>
      <w:marBottom w:val="0"/>
      <w:divBdr>
        <w:top w:val="none" w:sz="0" w:space="0" w:color="auto"/>
        <w:left w:val="none" w:sz="0" w:space="0" w:color="auto"/>
        <w:bottom w:val="none" w:sz="0" w:space="0" w:color="auto"/>
        <w:right w:val="none" w:sz="0" w:space="0" w:color="auto"/>
      </w:divBdr>
    </w:div>
    <w:div w:id="1778716340">
      <w:bodyDiv w:val="1"/>
      <w:marLeft w:val="0"/>
      <w:marRight w:val="0"/>
      <w:marTop w:val="0"/>
      <w:marBottom w:val="0"/>
      <w:divBdr>
        <w:top w:val="none" w:sz="0" w:space="0" w:color="auto"/>
        <w:left w:val="none" w:sz="0" w:space="0" w:color="auto"/>
        <w:bottom w:val="none" w:sz="0" w:space="0" w:color="auto"/>
        <w:right w:val="none" w:sz="0" w:space="0" w:color="auto"/>
      </w:divBdr>
    </w:div>
    <w:div w:id="1824464279">
      <w:bodyDiv w:val="1"/>
      <w:marLeft w:val="0"/>
      <w:marRight w:val="0"/>
      <w:marTop w:val="0"/>
      <w:marBottom w:val="0"/>
      <w:divBdr>
        <w:top w:val="none" w:sz="0" w:space="0" w:color="auto"/>
        <w:left w:val="none" w:sz="0" w:space="0" w:color="auto"/>
        <w:bottom w:val="none" w:sz="0" w:space="0" w:color="auto"/>
        <w:right w:val="none" w:sz="0" w:space="0" w:color="auto"/>
      </w:divBdr>
    </w:div>
    <w:div w:id="1841188974">
      <w:bodyDiv w:val="1"/>
      <w:marLeft w:val="0"/>
      <w:marRight w:val="0"/>
      <w:marTop w:val="0"/>
      <w:marBottom w:val="0"/>
      <w:divBdr>
        <w:top w:val="none" w:sz="0" w:space="0" w:color="auto"/>
        <w:left w:val="none" w:sz="0" w:space="0" w:color="auto"/>
        <w:bottom w:val="none" w:sz="0" w:space="0" w:color="auto"/>
        <w:right w:val="none" w:sz="0" w:space="0" w:color="auto"/>
      </w:divBdr>
    </w:div>
    <w:div w:id="1852331147">
      <w:bodyDiv w:val="1"/>
      <w:marLeft w:val="0"/>
      <w:marRight w:val="0"/>
      <w:marTop w:val="0"/>
      <w:marBottom w:val="0"/>
      <w:divBdr>
        <w:top w:val="none" w:sz="0" w:space="0" w:color="auto"/>
        <w:left w:val="none" w:sz="0" w:space="0" w:color="auto"/>
        <w:bottom w:val="none" w:sz="0" w:space="0" w:color="auto"/>
        <w:right w:val="none" w:sz="0" w:space="0" w:color="auto"/>
      </w:divBdr>
    </w:div>
    <w:div w:id="1954630619">
      <w:bodyDiv w:val="1"/>
      <w:marLeft w:val="0"/>
      <w:marRight w:val="0"/>
      <w:marTop w:val="0"/>
      <w:marBottom w:val="0"/>
      <w:divBdr>
        <w:top w:val="none" w:sz="0" w:space="0" w:color="auto"/>
        <w:left w:val="none" w:sz="0" w:space="0" w:color="auto"/>
        <w:bottom w:val="none" w:sz="0" w:space="0" w:color="auto"/>
        <w:right w:val="none" w:sz="0" w:space="0" w:color="auto"/>
      </w:divBdr>
    </w:div>
    <w:div w:id="2076777690">
      <w:bodyDiv w:val="1"/>
      <w:marLeft w:val="0"/>
      <w:marRight w:val="0"/>
      <w:marTop w:val="0"/>
      <w:marBottom w:val="0"/>
      <w:divBdr>
        <w:top w:val="none" w:sz="0" w:space="0" w:color="auto"/>
        <w:left w:val="none" w:sz="0" w:space="0" w:color="auto"/>
        <w:bottom w:val="none" w:sz="0" w:space="0" w:color="auto"/>
        <w:right w:val="none" w:sz="0" w:space="0" w:color="auto"/>
      </w:divBdr>
    </w:div>
    <w:div w:id="20849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HV\Sept%202013\Copy%20of%20IDPR%20table%20regions%20v2%20Garth%20edits%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HV\Sept%202013\Copy%20of%20IDPR%20table%20regions%20v2%20Garth%20edit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100" b="0"/>
              <a:t>Figure 1. OHV Trip Expenditures</a:t>
            </a:r>
          </a:p>
        </c:rich>
      </c:tx>
      <c:overlay val="0"/>
    </c:title>
    <c:autoTitleDeleted val="0"/>
    <c:plotArea>
      <c:layout/>
      <c:pieChart>
        <c:varyColors val="1"/>
        <c:ser>
          <c:idx val="0"/>
          <c:order val="0"/>
          <c:dLbls>
            <c:dLbl>
              <c:idx val="0"/>
              <c:layout>
                <c:manualLayout>
                  <c:x val="-2.1657076519281244E-2"/>
                  <c:y val="3.9244226270879291E-2"/>
                </c:manualLayout>
              </c:layout>
              <c:tx>
                <c:rich>
                  <a:bodyPr/>
                  <a:lstStyle/>
                  <a:p>
                    <a:r>
                      <a:rPr lang="en-US" sz="800"/>
                      <a:t>Lodging (9%)</a:t>
                    </a:r>
                  </a:p>
                </c:rich>
              </c:tx>
              <c:showLegendKey val="0"/>
              <c:showVal val="0"/>
              <c:showCatName val="1"/>
              <c:showSerName val="0"/>
              <c:showPercent val="0"/>
              <c:showBubbleSize val="0"/>
              <c:extLst>
                <c:ext xmlns:c15="http://schemas.microsoft.com/office/drawing/2012/chart" uri="{CE6537A1-D6FC-4f65-9D91-7224C49458BB}">
                  <c15:layout>
                    <c:manualLayout>
                      <c:w val="0.32632478632478629"/>
                      <c:h val="0.12569037656903764"/>
                    </c:manualLayout>
                  </c15:layout>
                </c:ext>
              </c:extLst>
            </c:dLbl>
            <c:dLbl>
              <c:idx val="1"/>
              <c:layout>
                <c:manualLayout>
                  <c:x val="-8.4719698499226056E-3"/>
                  <c:y val="1.924708156250338E-2"/>
                </c:manualLayout>
              </c:layout>
              <c:tx>
                <c:rich>
                  <a:bodyPr/>
                  <a:lstStyle/>
                  <a:p>
                    <a:r>
                      <a:rPr lang="en-US"/>
                      <a:t>Dining (14%)</a:t>
                    </a:r>
                  </a:p>
                </c:rich>
              </c:tx>
              <c:showLegendKey val="0"/>
              <c:showVal val="0"/>
              <c:showCatName val="1"/>
              <c:showSerName val="0"/>
              <c:showPercent val="0"/>
              <c:showBubbleSize val="0"/>
              <c:extLst>
                <c:ext xmlns:c15="http://schemas.microsoft.com/office/drawing/2012/chart" uri="{CE6537A1-D6FC-4f65-9D91-7224C49458BB}">
                  <c15:layout>
                    <c:manualLayout>
                      <c:w val="0.21267077192274042"/>
                      <c:h val="0.12569037656903764"/>
                    </c:manualLayout>
                  </c15:layout>
                </c:ext>
              </c:extLst>
            </c:dLbl>
            <c:dLbl>
              <c:idx val="2"/>
              <c:layout>
                <c:manualLayout>
                  <c:x val="-1.3538932633420901E-2"/>
                  <c:y val="-3.217276710704059E-2"/>
                </c:manualLayout>
              </c:layout>
              <c:tx>
                <c:rich>
                  <a:bodyPr wrap="square" lIns="38100" tIns="19050" rIns="38100" bIns="19050" anchor="ctr">
                    <a:noAutofit/>
                  </a:bodyPr>
                  <a:lstStyle/>
                  <a:p>
                    <a:pPr>
                      <a:defRPr sz="800"/>
                    </a:pPr>
                    <a:r>
                      <a:rPr lang="en-US" sz="800"/>
                      <a:t> Groceries</a:t>
                    </a:r>
                    <a:r>
                      <a:rPr lang="en-US" sz="800" baseline="0"/>
                      <a:t> (27%)</a:t>
                    </a:r>
                    <a:endParaRPr lang="en-US" sz="800"/>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260900176795408"/>
                      <c:h val="9.0503916895445527E-2"/>
                    </c:manualLayout>
                  </c15:layout>
                </c:ext>
              </c:extLst>
            </c:dLbl>
            <c:dLbl>
              <c:idx val="3"/>
              <c:layout>
                <c:manualLayout>
                  <c:x val="1.3329283394471833E-2"/>
                  <c:y val="-3.807403384921712E-2"/>
                </c:manualLayout>
              </c:layout>
              <c:tx>
                <c:rich>
                  <a:bodyPr wrap="square" lIns="38100" tIns="19050" rIns="38100" bIns="19050" anchor="ctr">
                    <a:noAutofit/>
                  </a:bodyPr>
                  <a:lstStyle/>
                  <a:p>
                    <a:pPr>
                      <a:defRPr sz="800"/>
                    </a:pPr>
                    <a:r>
                      <a:rPr lang="en-US" sz="800"/>
                      <a:t>Fuel (39%)</a:t>
                    </a:r>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2064689984968496"/>
                      <c:h val="6.0102372260938647E-2"/>
                    </c:manualLayout>
                  </c15:layout>
                </c:ext>
              </c:extLst>
            </c:dLbl>
            <c:dLbl>
              <c:idx val="4"/>
              <c:layout>
                <c:manualLayout>
                  <c:x val="-2.7962514301096978E-2"/>
                  <c:y val="1.8477690288713912E-2"/>
                </c:manualLayout>
              </c:layout>
              <c:tx>
                <c:rich>
                  <a:bodyPr/>
                  <a:lstStyle/>
                  <a:p>
                    <a:r>
                      <a:rPr lang="en-US" sz="800"/>
                      <a:t>Retail (9%)</a:t>
                    </a:r>
                  </a:p>
                </c:rich>
              </c:tx>
              <c:showLegendKey val="0"/>
              <c:showVal val="0"/>
              <c:showCatName val="1"/>
              <c:showSerName val="0"/>
              <c:showPercent val="0"/>
              <c:showBubbleSize val="0"/>
              <c:extLst>
                <c:ext xmlns:c15="http://schemas.microsoft.com/office/drawing/2012/chart" uri="{CE6537A1-D6FC-4f65-9D91-7224C49458BB}">
                  <c15:layout/>
                </c:ext>
              </c:extLst>
            </c:dLbl>
            <c:dLbl>
              <c:idx val="5"/>
              <c:layout>
                <c:manualLayout>
                  <c:x val="4.2111032327760041E-3"/>
                  <c:y val="-1.8961386502050467E-2"/>
                </c:manualLayout>
              </c:layout>
              <c:tx>
                <c:rich>
                  <a:bodyPr/>
                  <a:lstStyle/>
                  <a:p>
                    <a:r>
                      <a:rPr lang="en-US" sz="800"/>
                      <a:t>Other (2%)</a:t>
                    </a:r>
                  </a:p>
                </c:rich>
              </c:tx>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800"/>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'Trip.Capital Pie'!$A$4:$F$4</c:f>
              <c:strCache>
                <c:ptCount val="6"/>
                <c:pt idx="0">
                  <c:v>Lodging(9%)</c:v>
                </c:pt>
                <c:pt idx="1">
                  <c:v>Dining(14%)</c:v>
                </c:pt>
                <c:pt idx="2">
                  <c:v>Store Food/Bev.(27%)</c:v>
                </c:pt>
                <c:pt idx="3">
                  <c:v>Fuel(39%)</c:v>
                </c:pt>
                <c:pt idx="4">
                  <c:v>Retail(9%)</c:v>
                </c:pt>
                <c:pt idx="5">
                  <c:v>Other(2%)</c:v>
                </c:pt>
              </c:strCache>
            </c:strRef>
          </c:cat>
          <c:val>
            <c:numRef>
              <c:f>'Trip.Capital Pie'!$A$3:$F$3</c:f>
              <c:numCache>
                <c:formatCode>General</c:formatCode>
                <c:ptCount val="6"/>
                <c:pt idx="0">
                  <c:v>22.568000000000001</c:v>
                </c:pt>
                <c:pt idx="1">
                  <c:v>34.549999999999997</c:v>
                </c:pt>
                <c:pt idx="2">
                  <c:v>63.884</c:v>
                </c:pt>
                <c:pt idx="3">
                  <c:v>92.838000000000008</c:v>
                </c:pt>
                <c:pt idx="4">
                  <c:v>22.23</c:v>
                </c:pt>
                <c:pt idx="5">
                  <c:v>4.95</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100" b="0"/>
              <a:t>Figure 2.</a:t>
            </a:r>
            <a:r>
              <a:rPr lang="en-US" sz="1100" b="0" baseline="0"/>
              <a:t> OHV </a:t>
            </a:r>
            <a:r>
              <a:rPr lang="en-US" sz="1100" b="0"/>
              <a:t>Capital Expenditures</a:t>
            </a:r>
          </a:p>
        </c:rich>
      </c:tx>
      <c:overlay val="0"/>
    </c:title>
    <c:autoTitleDeleted val="0"/>
    <c:plotArea>
      <c:layout/>
      <c:pieChart>
        <c:varyColors val="1"/>
        <c:ser>
          <c:idx val="0"/>
          <c:order val="0"/>
          <c:dLbls>
            <c:dLbl>
              <c:idx val="0"/>
              <c:layout>
                <c:manualLayout>
                  <c:x val="-7.4734785520694888E-2"/>
                  <c:y val="-0.1541078045391385"/>
                </c:manualLayout>
              </c:layout>
              <c:tx>
                <c:rich>
                  <a:bodyPr wrap="square" lIns="38100" tIns="19050" rIns="38100" bIns="19050" anchor="ctr">
                    <a:noAutofit/>
                  </a:bodyPr>
                  <a:lstStyle/>
                  <a:p>
                    <a:pPr>
                      <a:defRPr sz="800"/>
                    </a:pPr>
                    <a:r>
                      <a:rPr lang="en-US"/>
                      <a:t>OHV (44%)</a:t>
                    </a:r>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25029239766081873"/>
                      <c:h val="8.4969378827646533E-2"/>
                    </c:manualLayout>
                  </c15:layout>
                </c:ext>
              </c:extLst>
            </c:dLbl>
            <c:dLbl>
              <c:idx val="1"/>
              <c:layout>
                <c:manualLayout>
                  <c:x val="5.6140350877192984E-2"/>
                  <c:y val="-2.4185865655681929E-3"/>
                </c:manualLayout>
              </c:layout>
              <c:tx>
                <c:rich>
                  <a:bodyPr wrap="square" lIns="38100" tIns="19050" rIns="38100" bIns="19050" anchor="ctr">
                    <a:noAutofit/>
                  </a:bodyPr>
                  <a:lstStyle/>
                  <a:p>
                    <a:pPr>
                      <a:defRPr sz="800"/>
                    </a:pPr>
                    <a:r>
                      <a:rPr lang="en-US"/>
                      <a:t>Trailer (10%)</a:t>
                    </a:r>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32748538011695905"/>
                      <c:h val="5.4012345679012343E-2"/>
                    </c:manualLayout>
                  </c15:layout>
                </c:ext>
              </c:extLst>
            </c:dLbl>
            <c:dLbl>
              <c:idx val="2"/>
              <c:layout>
                <c:manualLayout>
                  <c:x val="0.10191370815490169"/>
                  <c:y val="3.0607076893166132E-2"/>
                </c:manualLayout>
              </c:layout>
              <c:tx>
                <c:rich>
                  <a:bodyPr wrap="square" lIns="38100" tIns="19050" rIns="38100" bIns="19050" anchor="ctr">
                    <a:noAutofit/>
                  </a:bodyPr>
                  <a:lstStyle/>
                  <a:p>
                    <a:pPr>
                      <a:defRPr sz="800"/>
                    </a:pPr>
                    <a:r>
                      <a:rPr lang="en-US"/>
                      <a:t>Equip</a:t>
                    </a:r>
                    <a:r>
                      <a:rPr lang="en-US" baseline="0"/>
                      <a:t> (3%)</a:t>
                    </a:r>
                    <a:endParaRPr lang="en-US"/>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35843882672560662"/>
                      <c:h val="4.4368620589093029E-2"/>
                    </c:manualLayout>
                  </c15:layout>
                </c:ext>
              </c:extLst>
            </c:dLbl>
            <c:dLbl>
              <c:idx val="3"/>
              <c:layout>
                <c:manualLayout>
                  <c:x val="4.1459521173780114E-2"/>
                  <c:y val="-1.7450653792710404E-2"/>
                </c:manualLayout>
              </c:layout>
              <c:tx>
                <c:rich>
                  <a:bodyPr/>
                  <a:lstStyle/>
                  <a:p>
                    <a:r>
                      <a:rPr lang="en-US"/>
                      <a:t>Repairs (7%)</a:t>
                    </a:r>
                  </a:p>
                </c:rich>
              </c:tx>
              <c:showLegendKey val="0"/>
              <c:showVal val="0"/>
              <c:showCatName val="1"/>
              <c:showSerName val="0"/>
              <c:showPercent val="0"/>
              <c:showBubbleSize val="0"/>
              <c:extLst>
                <c:ext xmlns:c15="http://schemas.microsoft.com/office/drawing/2012/chart" uri="{CE6537A1-D6FC-4f65-9D91-7224C49458BB}">
                  <c15:layout>
                    <c:manualLayout>
                      <c:w val="0.31812865497076026"/>
                      <c:h val="7.8703703703703706E-2"/>
                    </c:manualLayout>
                  </c15:layout>
                </c:ext>
              </c:extLst>
            </c:dLbl>
            <c:dLbl>
              <c:idx val="4"/>
              <c:layout>
                <c:manualLayout>
                  <c:x val="-9.6628447759819491E-3"/>
                  <c:y val="-3.7664041994750659E-2"/>
                </c:manualLayout>
              </c:layout>
              <c:tx>
                <c:rich>
                  <a:bodyPr/>
                  <a:lstStyle/>
                  <a:p>
                    <a:r>
                      <a:rPr lang="en-US"/>
                      <a:t>Fees (2%)</a:t>
                    </a:r>
                  </a:p>
                </c:rich>
              </c:tx>
              <c:showLegendKey val="0"/>
              <c:showVal val="0"/>
              <c:showCatName val="1"/>
              <c:showSerName val="0"/>
              <c:showPercent val="0"/>
              <c:showBubbleSize val="0"/>
              <c:extLst>
                <c:ext xmlns:c15="http://schemas.microsoft.com/office/drawing/2012/chart" uri="{CE6537A1-D6FC-4f65-9D91-7224C49458BB}">
                  <c15:layout/>
                </c:ext>
              </c:extLst>
            </c:dLbl>
            <c:dLbl>
              <c:idx val="5"/>
              <c:layout>
                <c:manualLayout>
                  <c:x val="1.1754555839231593E-3"/>
                  <c:y val="-0.11011661777571925"/>
                </c:manualLayout>
              </c:layout>
              <c:tx>
                <c:rich>
                  <a:bodyPr wrap="square" lIns="38100" tIns="19050" rIns="38100" bIns="19050" anchor="ctr">
                    <a:noAutofit/>
                  </a:bodyPr>
                  <a:lstStyle/>
                  <a:p>
                    <a:pPr>
                      <a:defRPr sz="800"/>
                    </a:pPr>
                    <a:r>
                      <a:rPr lang="en-US"/>
                      <a:t>Tow vehicles</a:t>
                    </a:r>
                    <a:r>
                      <a:rPr lang="en-US" baseline="0"/>
                      <a:t> (32%)</a:t>
                    </a:r>
                    <a:endParaRPr lang="en-US"/>
                  </a:p>
                </c:rich>
              </c:tx>
              <c:spPr>
                <a:noFill/>
                <a:ln>
                  <a:noFill/>
                </a:ln>
                <a:effectLst/>
              </c:spPr>
              <c:showLegendKey val="0"/>
              <c:showVal val="0"/>
              <c:showCatName val="1"/>
              <c:showSerName val="0"/>
              <c:showPercent val="0"/>
              <c:showBubbleSize val="0"/>
              <c:extLst>
                <c:ext xmlns:c15="http://schemas.microsoft.com/office/drawing/2012/chart" uri="{CE6537A1-D6FC-4f65-9D91-7224C49458BB}">
                  <c15:layout>
                    <c:manualLayout>
                      <c:w val="0.36629221347331575"/>
                      <c:h val="0.13145086030912803"/>
                    </c:manualLayout>
                  </c15:layout>
                </c:ext>
              </c:extLst>
            </c:dLbl>
            <c:spPr>
              <a:noFill/>
              <a:ln>
                <a:noFill/>
              </a:ln>
              <a:effectLst/>
            </c:spPr>
            <c:txPr>
              <a:bodyPr wrap="square" lIns="38100" tIns="19050" rIns="38100" bIns="19050" anchor="ctr">
                <a:spAutoFit/>
              </a:bodyPr>
              <a:lstStyle/>
              <a:p>
                <a:pPr>
                  <a:defRPr sz="800"/>
                </a:pPr>
                <a:endParaRPr lang="en-US"/>
              </a:p>
            </c:txPr>
            <c:showLegendKey val="0"/>
            <c:showVal val="0"/>
            <c:showCatName val="1"/>
            <c:showSerName val="0"/>
            <c:showPercent val="0"/>
            <c:showBubbleSize val="0"/>
            <c:showLeaderLines val="0"/>
            <c:extLst>
              <c:ext xmlns:c15="http://schemas.microsoft.com/office/drawing/2012/chart" uri="{CE6537A1-D6FC-4f65-9D91-7224C49458BB}">
                <c15:layout/>
              </c:ext>
            </c:extLst>
          </c:dLbls>
          <c:cat>
            <c:strRef>
              <c:f>'Trip.Capital Pie'!$G$4:$M$4</c:f>
              <c:strCache>
                <c:ptCount val="7"/>
                <c:pt idx="0">
                  <c:v>OHV(44%)</c:v>
                </c:pt>
                <c:pt idx="1">
                  <c:v>Trailer(10%)</c:v>
                </c:pt>
                <c:pt idx="2">
                  <c:v>Equipment(3%)</c:v>
                </c:pt>
                <c:pt idx="3">
                  <c:v>Repairs(7%)</c:v>
                </c:pt>
                <c:pt idx="4">
                  <c:v>Fees(2%)</c:v>
                </c:pt>
                <c:pt idx="5">
                  <c:v>Towing Vehicle(32%)</c:v>
                </c:pt>
                <c:pt idx="6">
                  <c:v>Other(3%)</c:v>
                </c:pt>
              </c:strCache>
            </c:strRef>
          </c:cat>
          <c:val>
            <c:numRef>
              <c:f>'Trip.Capital Pie'!$G$3:$M$3</c:f>
              <c:numCache>
                <c:formatCode>General</c:formatCode>
                <c:ptCount val="7"/>
                <c:pt idx="0">
                  <c:v>1959.615</c:v>
                </c:pt>
                <c:pt idx="1">
                  <c:v>464.51499999999999</c:v>
                </c:pt>
                <c:pt idx="2">
                  <c:v>125.402</c:v>
                </c:pt>
                <c:pt idx="3">
                  <c:v>315.71300000000002</c:v>
                </c:pt>
                <c:pt idx="4">
                  <c:v>81.784000000000006</c:v>
                </c:pt>
                <c:pt idx="5">
                  <c:v>1423.568</c:v>
                </c:pt>
                <c:pt idx="6">
                  <c:v>116.931</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C4BB-C4CF-470D-98A2-38B89F57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Idaho Department of Parks and Recreation</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telmore</dc:creator>
  <cp:lastModifiedBy>telmore</cp:lastModifiedBy>
  <cp:revision>3</cp:revision>
  <cp:lastPrinted>2014-03-07T18:41:00Z</cp:lastPrinted>
  <dcterms:created xsi:type="dcterms:W3CDTF">2014-04-09T17:59:00Z</dcterms:created>
  <dcterms:modified xsi:type="dcterms:W3CDTF">2014-04-15T15:57:00Z</dcterms:modified>
</cp:coreProperties>
</file>