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1A8" w:rsidRPr="00B936A6" w:rsidRDefault="006741A8">
      <w:bookmarkStart w:id="0" w:name="_GoBack"/>
      <w:bookmarkEnd w:id="0"/>
    </w:p>
    <w:p w:rsidR="00C13CE6" w:rsidRPr="00B936A6" w:rsidRDefault="001F7D2F" w:rsidP="00C13CE6">
      <w:r w:rsidRPr="00B936A6">
        <w:t xml:space="preserve">8 </w:t>
      </w:r>
      <w:r w:rsidR="00B152BE" w:rsidRPr="00B936A6">
        <w:t xml:space="preserve">April </w:t>
      </w:r>
      <w:r w:rsidR="00C13CE6" w:rsidRPr="00B936A6">
        <w:t>2024</w:t>
      </w:r>
    </w:p>
    <w:p w:rsidR="00C13CE6" w:rsidRPr="00B936A6" w:rsidRDefault="00C13CE6" w:rsidP="00C13CE6"/>
    <w:p w:rsidR="00C13CE6" w:rsidRPr="00B936A6" w:rsidRDefault="00C13CE6" w:rsidP="00C13CE6">
      <w:r w:rsidRPr="00B936A6">
        <w:t xml:space="preserve">TO: </w:t>
      </w:r>
      <w:r w:rsidR="00B152BE" w:rsidRPr="00B936A6">
        <w:t xml:space="preserve">Stephaney </w:t>
      </w:r>
      <w:proofErr w:type="spellStart"/>
      <w:r w:rsidR="00B152BE" w:rsidRPr="00B936A6">
        <w:t>Kerley</w:t>
      </w:r>
      <w:proofErr w:type="spellEnd"/>
      <w:r w:rsidR="00B152BE" w:rsidRPr="00B936A6">
        <w:t xml:space="preserve">, Acting Whitman District Ranger </w:t>
      </w:r>
    </w:p>
    <w:p w:rsidR="00C13CE6" w:rsidRPr="00B936A6" w:rsidRDefault="00C13CE6" w:rsidP="00C13CE6">
      <w:r w:rsidRPr="00B936A6">
        <w:t xml:space="preserve">VIA: </w:t>
      </w:r>
      <w:hyperlink r:id="rId7" w:history="1">
        <w:r w:rsidR="00B152BE" w:rsidRPr="00B936A6">
          <w:rPr>
            <w:rStyle w:val="Hyperlink"/>
          </w:rPr>
          <w:t>https://cara.fs2c.usda.gov/Public//CommentInput?Project=58480</w:t>
        </w:r>
      </w:hyperlink>
      <w:r w:rsidR="00B152BE" w:rsidRPr="00B936A6">
        <w:t xml:space="preserve"> </w:t>
      </w:r>
    </w:p>
    <w:p w:rsidR="00C13CE6" w:rsidRPr="00B936A6" w:rsidRDefault="00C13CE6" w:rsidP="00C13CE6"/>
    <w:p w:rsidR="00C13CE6" w:rsidRPr="00B936A6" w:rsidRDefault="00C13CE6" w:rsidP="00C13CE6">
      <w:pPr>
        <w:rPr>
          <w:b/>
        </w:rPr>
      </w:pPr>
      <w:r w:rsidRPr="00B936A6">
        <w:rPr>
          <w:b/>
        </w:rPr>
        <w:t xml:space="preserve">Subject: </w:t>
      </w:r>
      <w:r w:rsidR="00B152BE" w:rsidRPr="00B936A6">
        <w:rPr>
          <w:b/>
        </w:rPr>
        <w:t xml:space="preserve">Baker City Watershed </w:t>
      </w:r>
      <w:r w:rsidRPr="00B936A6">
        <w:rPr>
          <w:b/>
        </w:rPr>
        <w:t xml:space="preserve">Project </w:t>
      </w:r>
      <w:r w:rsidR="00F61E13" w:rsidRPr="00B936A6">
        <w:rPr>
          <w:b/>
          <w:i/>
        </w:rPr>
        <w:t>draft</w:t>
      </w:r>
      <w:r w:rsidR="00F61E13" w:rsidRPr="00B936A6">
        <w:rPr>
          <w:b/>
        </w:rPr>
        <w:t xml:space="preserve"> </w:t>
      </w:r>
      <w:r w:rsidR="00B152BE" w:rsidRPr="00B936A6">
        <w:rPr>
          <w:b/>
        </w:rPr>
        <w:t xml:space="preserve">EA </w:t>
      </w:r>
      <w:r w:rsidRPr="00B936A6">
        <w:rPr>
          <w:b/>
        </w:rPr>
        <w:t>—</w:t>
      </w:r>
      <w:r w:rsidR="00BE0853" w:rsidRPr="00B936A6">
        <w:rPr>
          <w:b/>
        </w:rPr>
        <w:t xml:space="preserve"> </w:t>
      </w:r>
      <w:r w:rsidRPr="00B936A6">
        <w:rPr>
          <w:b/>
        </w:rPr>
        <w:t>comments</w:t>
      </w:r>
    </w:p>
    <w:p w:rsidR="00C13CE6" w:rsidRPr="00B936A6" w:rsidRDefault="00C13CE6" w:rsidP="00C13CE6"/>
    <w:p w:rsidR="00C13CE6" w:rsidRPr="00B936A6" w:rsidRDefault="00C13CE6" w:rsidP="00C13CE6">
      <w:r w:rsidRPr="00B936A6">
        <w:t xml:space="preserve">Please accept the following comments from Oregon Wild concerning the </w:t>
      </w:r>
      <w:r w:rsidR="00B152BE" w:rsidRPr="00B936A6">
        <w:t xml:space="preserve">Baker City Watershed Project </w:t>
      </w:r>
      <w:r w:rsidR="00F61E13" w:rsidRPr="00B936A6">
        <w:rPr>
          <w:i/>
        </w:rPr>
        <w:t>draft</w:t>
      </w:r>
      <w:r w:rsidR="00F61E13" w:rsidRPr="00B936A6">
        <w:t xml:space="preserve"> </w:t>
      </w:r>
      <w:r w:rsidR="00B152BE" w:rsidRPr="00B936A6">
        <w:t>EA</w:t>
      </w:r>
      <w:r w:rsidRPr="00B936A6">
        <w:t xml:space="preserve">, </w:t>
      </w:r>
      <w:hyperlink r:id="rId8" w:history="1">
        <w:r w:rsidR="00B152BE" w:rsidRPr="00B936A6">
          <w:rPr>
            <w:rStyle w:val="Hyperlink"/>
          </w:rPr>
          <w:t>https://www.fs.usda.gov/project/wallowa-whitman/?project=58480</w:t>
        </w:r>
      </w:hyperlink>
      <w:r w:rsidRPr="00B936A6">
        <w:t>. Oregon Wild represents 20,000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C13CE6" w:rsidRDefault="00C13CE6" w:rsidP="00C13CE6"/>
    <w:p w:rsidR="00B936A6" w:rsidRDefault="00B936A6" w:rsidP="00C13CE6">
      <w:r>
        <w:t>/ / /</w:t>
      </w:r>
    </w:p>
    <w:p w:rsidR="00B936A6" w:rsidRDefault="00B936A6" w:rsidP="00C13CE6"/>
    <w:p w:rsidR="00B936A6" w:rsidRDefault="00B936A6" w:rsidP="00C13CE6">
      <w:r>
        <w:t>/ / /</w:t>
      </w:r>
    </w:p>
    <w:p w:rsidR="00B936A6" w:rsidRDefault="00B936A6" w:rsidP="00C13CE6"/>
    <w:p w:rsidR="00B936A6" w:rsidRPr="00B936A6" w:rsidRDefault="00B936A6" w:rsidP="00C13CE6">
      <w:r>
        <w:t xml:space="preserve">/ / / </w:t>
      </w:r>
    </w:p>
    <w:p w:rsidR="00C13CE6" w:rsidRDefault="00C13CE6" w:rsidP="00C13CE6"/>
    <w:p w:rsidR="00B936A6" w:rsidRDefault="00B936A6" w:rsidP="00C13CE6"/>
    <w:p w:rsidR="00B936A6" w:rsidRDefault="00B936A6" w:rsidP="00C13CE6"/>
    <w:p w:rsidR="00B936A6" w:rsidRDefault="00B936A6" w:rsidP="00C13CE6"/>
    <w:p w:rsidR="00B936A6" w:rsidRDefault="00B936A6" w:rsidP="00C13CE6"/>
    <w:p w:rsidR="00B936A6" w:rsidRDefault="00B936A6" w:rsidP="00C13CE6"/>
    <w:p w:rsidR="00B936A6" w:rsidRDefault="00B936A6" w:rsidP="00C13CE6"/>
    <w:p w:rsidR="00B936A6" w:rsidRDefault="00B936A6" w:rsidP="00C13CE6"/>
    <w:p w:rsidR="00B936A6" w:rsidRDefault="00B936A6" w:rsidP="00C13CE6"/>
    <w:p w:rsidR="00B936A6" w:rsidRDefault="00B936A6" w:rsidP="00C13CE6"/>
    <w:p w:rsidR="00B936A6" w:rsidRDefault="00B936A6" w:rsidP="00C13CE6"/>
    <w:p w:rsidR="00B936A6" w:rsidRDefault="00B936A6" w:rsidP="00C13CE6"/>
    <w:p w:rsidR="00B936A6" w:rsidRDefault="00B936A6" w:rsidP="00C13CE6"/>
    <w:p w:rsidR="00B936A6" w:rsidRDefault="00B936A6" w:rsidP="00C13CE6"/>
    <w:p w:rsidR="00B936A6" w:rsidRDefault="00B936A6" w:rsidP="00C13CE6"/>
    <w:p w:rsidR="00B936A6" w:rsidRDefault="00B936A6" w:rsidP="00C13CE6"/>
    <w:p w:rsidR="00B936A6" w:rsidRDefault="00B936A6" w:rsidP="00C13CE6"/>
    <w:p w:rsidR="00B936A6" w:rsidRDefault="00B936A6" w:rsidP="00C13CE6"/>
    <w:p w:rsidR="00B936A6" w:rsidRPr="00B936A6" w:rsidRDefault="00B936A6" w:rsidP="00C13CE6"/>
    <w:p w:rsidR="00B936A6" w:rsidRDefault="00B936A6" w:rsidP="00C13CE6">
      <w:r w:rsidRPr="00B936A6">
        <w:lastRenderedPageBreak/>
        <w:t>This proposal involves</w:t>
      </w:r>
      <w:r>
        <w:t>:</w:t>
      </w:r>
    </w:p>
    <w:p w:rsidR="00786628" w:rsidRDefault="00786628" w:rsidP="00C13CE6">
      <w:r w:rsidRPr="00B936A6">
        <w:rPr>
          <w:noProof/>
          <w:lang w:val="en-US"/>
        </w:rPr>
        <w:drawing>
          <wp:inline distT="0" distB="0" distL="0" distR="0" wp14:anchorId="023BA87C" wp14:editId="78E58AC5">
            <wp:extent cx="4574478" cy="5951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85855" cy="5966022"/>
                    </a:xfrm>
                    <a:prstGeom prst="rect">
                      <a:avLst/>
                    </a:prstGeom>
                  </pic:spPr>
                </pic:pic>
              </a:graphicData>
            </a:graphic>
          </wp:inline>
        </w:drawing>
      </w:r>
    </w:p>
    <w:p w:rsidR="00B936A6" w:rsidRDefault="00B936A6" w:rsidP="00C13CE6">
      <w:r>
        <w:t>/ / /</w:t>
      </w:r>
    </w:p>
    <w:p w:rsidR="00B936A6" w:rsidRDefault="00B936A6" w:rsidP="00C13CE6"/>
    <w:p w:rsidR="00B936A6" w:rsidRDefault="00B936A6" w:rsidP="00C13CE6">
      <w:r>
        <w:t>/ / /</w:t>
      </w:r>
    </w:p>
    <w:p w:rsidR="00B936A6" w:rsidRDefault="00B936A6" w:rsidP="00C13CE6"/>
    <w:p w:rsidR="00B936A6" w:rsidRPr="00B936A6" w:rsidRDefault="00B936A6" w:rsidP="00C13CE6">
      <w:r>
        <w:t xml:space="preserve">/ / / </w:t>
      </w:r>
    </w:p>
    <w:p w:rsidR="00786628" w:rsidRPr="00B936A6" w:rsidRDefault="00786628" w:rsidP="00C13CE6">
      <w:r w:rsidRPr="00B936A6">
        <w:rPr>
          <w:noProof/>
          <w:lang w:val="en-US"/>
        </w:rPr>
        <w:lastRenderedPageBreak/>
        <w:drawing>
          <wp:inline distT="0" distB="0" distL="0" distR="0" wp14:anchorId="0258F7F5" wp14:editId="43F562C8">
            <wp:extent cx="4579620" cy="304818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92992" cy="3057088"/>
                    </a:xfrm>
                    <a:prstGeom prst="rect">
                      <a:avLst/>
                    </a:prstGeom>
                  </pic:spPr>
                </pic:pic>
              </a:graphicData>
            </a:graphic>
          </wp:inline>
        </w:drawing>
      </w:r>
    </w:p>
    <w:p w:rsidR="00C13CE6" w:rsidRPr="00B936A6" w:rsidRDefault="00786628" w:rsidP="00786628">
      <w:pPr>
        <w:numPr>
          <w:ilvl w:val="0"/>
          <w:numId w:val="1"/>
        </w:numPr>
      </w:pPr>
      <w:r w:rsidRPr="00B936A6">
        <w:t xml:space="preserve">1616 acres of DFPZ in inventoried roadless area </w:t>
      </w:r>
    </w:p>
    <w:p w:rsidR="00786628" w:rsidRPr="00B936A6" w:rsidRDefault="00786628" w:rsidP="00786628">
      <w:pPr>
        <w:numPr>
          <w:ilvl w:val="0"/>
          <w:numId w:val="1"/>
        </w:numPr>
      </w:pPr>
      <w:r w:rsidRPr="00B936A6">
        <w:t xml:space="preserve">10.3 miles of temporary road construction </w:t>
      </w:r>
    </w:p>
    <w:p w:rsidR="009B4CCC" w:rsidRDefault="00666743" w:rsidP="009B4CCC">
      <w:pPr>
        <w:pStyle w:val="Heading2"/>
      </w:pPr>
      <w:r>
        <w:t xml:space="preserve">Inadequate </w:t>
      </w:r>
      <w:r w:rsidR="009B4CCC">
        <w:t xml:space="preserve">NEPA </w:t>
      </w:r>
    </w:p>
    <w:p w:rsidR="00803A29" w:rsidRPr="00B936A6" w:rsidRDefault="00803A29" w:rsidP="009B4CCC">
      <w:r w:rsidRPr="00B936A6">
        <w:t xml:space="preserve">The draft EA for this project is a failed attempt at NEPA compliance. </w:t>
      </w:r>
      <w:r w:rsidR="00666743" w:rsidRPr="00B936A6">
        <w:t xml:space="preserve">The analysis is rushed and sloppy compared to normal, compliant NEPA. </w:t>
      </w:r>
      <w:r w:rsidRPr="00B936A6">
        <w:t>It does not fulfill the minimum requirements for disclosure and analysis, thus it cannot form the basis for informed public comments or informed decision-making.</w:t>
      </w:r>
    </w:p>
    <w:p w:rsidR="00803A29" w:rsidRPr="00B936A6" w:rsidRDefault="00803A29" w:rsidP="009B4CCC"/>
    <w:p w:rsidR="009B4CCC" w:rsidRPr="00B936A6" w:rsidRDefault="009B4CCC" w:rsidP="009B4CCC">
      <w:r w:rsidRPr="00B936A6">
        <w:t xml:space="preserve">The effects analysis in the draft EA is only 15 pages long and </w:t>
      </w:r>
      <w:r w:rsidR="00B936A6">
        <w:t xml:space="preserve">contains mostly boilerplate that </w:t>
      </w:r>
      <w:r w:rsidRPr="00B936A6">
        <w:t xml:space="preserve">fails to </w:t>
      </w:r>
      <w:r w:rsidR="00597159" w:rsidRPr="00B936A6">
        <w:t xml:space="preserve">even minimally describe, let alone </w:t>
      </w:r>
      <w:r w:rsidRPr="00B936A6">
        <w:t>take a hard look at</w:t>
      </w:r>
      <w:r w:rsidR="00597159" w:rsidRPr="00B936A6">
        <w:t>,</w:t>
      </w:r>
      <w:r w:rsidRPr="00B936A6">
        <w:t xml:space="preserve"> the effects of alternatives and trade-offs among competing uses of the environment.</w:t>
      </w:r>
    </w:p>
    <w:p w:rsidR="009B4CCC" w:rsidRPr="00B936A6" w:rsidRDefault="009B4CCC" w:rsidP="009B4CCC"/>
    <w:p w:rsidR="00F9052E" w:rsidRPr="00B936A6" w:rsidRDefault="00F9052E" w:rsidP="009B4CCC">
      <w:r w:rsidRPr="00B936A6">
        <w:t>The draft EA analysis of the no action alternative also fails to disclose the benefits of conservation and serve as a fair and balanced basis for comparison of alternatives.</w:t>
      </w:r>
    </w:p>
    <w:p w:rsidR="00675D38" w:rsidRPr="00B936A6" w:rsidRDefault="00675D38" w:rsidP="009B4CCC"/>
    <w:p w:rsidR="00675D38" w:rsidRPr="00B936A6" w:rsidRDefault="00675D38" w:rsidP="009B4CCC">
      <w:r w:rsidRPr="00B936A6">
        <w:t xml:space="preserve">There are a variety of potentially significant effects, especially given that this is a relatively high elevation project area, with a relatively short growing season, so the land </w:t>
      </w:r>
      <w:r w:rsidR="00B936A6">
        <w:t xml:space="preserve">and ecosystems tend to </w:t>
      </w:r>
      <w:r w:rsidRPr="00B936A6">
        <w:t xml:space="preserve">heal from slowly after disturbances such as </w:t>
      </w:r>
      <w:r w:rsidR="00B936A6">
        <w:t>heavy equipment, biomass removal,</w:t>
      </w:r>
      <w:r w:rsidRPr="00B936A6">
        <w:t xml:space="preserve"> and roads.</w:t>
      </w:r>
    </w:p>
    <w:p w:rsidR="000C5334" w:rsidRPr="00B936A6" w:rsidRDefault="000C5334" w:rsidP="009B4CCC"/>
    <w:p w:rsidR="00976C7B" w:rsidRPr="00B936A6" w:rsidRDefault="000C5334" w:rsidP="000C5334">
      <w:pPr>
        <w:rPr>
          <w:rFonts w:cs="Times New Roman"/>
          <w:color w:val="000000"/>
          <w:shd w:val="clear" w:color="auto" w:fill="FFFFFF"/>
        </w:rPr>
      </w:pPr>
      <w:r w:rsidRPr="00B936A6">
        <w:t xml:space="preserve">A lot of the </w:t>
      </w:r>
      <w:r w:rsidR="00B936A6">
        <w:t xml:space="preserve">alleged NEPA </w:t>
      </w:r>
      <w:r w:rsidRPr="00B936A6">
        <w:t>analysis is buried in specialist reports</w:t>
      </w:r>
      <w:r w:rsidR="00B936A6">
        <w:t xml:space="preserve">. </w:t>
      </w:r>
      <w:r w:rsidR="00B936A6" w:rsidRPr="00B936A6">
        <w:rPr>
          <w:rFonts w:cs="Times New Roman"/>
          <w:color w:val="000000"/>
          <w:shd w:val="clear" w:color="auto" w:fill="FFFFFF"/>
        </w:rPr>
        <w:t>The EA does not even do a competent job of summarizing the contents of the specialists reports.</w:t>
      </w:r>
      <w:r w:rsidRPr="00B936A6">
        <w:t xml:space="preserve"> </w:t>
      </w:r>
      <w:r w:rsidR="00B936A6">
        <w:t>This impedes</w:t>
      </w:r>
      <w:r w:rsidR="00E1249F" w:rsidRPr="00B936A6">
        <w:t xml:space="preserve"> </w:t>
      </w:r>
      <w:r w:rsidRPr="00B936A6">
        <w:t>the public</w:t>
      </w:r>
      <w:r w:rsidR="00B936A6">
        <w:t>’s</w:t>
      </w:r>
      <w:r w:rsidRPr="00B936A6">
        <w:t xml:space="preserve"> </w:t>
      </w:r>
      <w:r w:rsidRPr="00B936A6">
        <w:lastRenderedPageBreak/>
        <w:t xml:space="preserve">the opportunity to provide informed comments. </w:t>
      </w:r>
      <w:r w:rsidR="00976C7B" w:rsidRPr="00B936A6">
        <w:rPr>
          <w:noProof/>
          <w:lang w:val="en-US"/>
        </w:rPr>
        <w:drawing>
          <wp:inline distT="0" distB="0" distL="0" distR="0" wp14:anchorId="51287383" wp14:editId="40D4C399">
            <wp:extent cx="4999767" cy="29870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20091" cy="2999182"/>
                    </a:xfrm>
                    <a:prstGeom prst="rect">
                      <a:avLst/>
                    </a:prstGeom>
                  </pic:spPr>
                </pic:pic>
              </a:graphicData>
            </a:graphic>
          </wp:inline>
        </w:drawing>
      </w:r>
      <w:r w:rsidR="00976C7B" w:rsidRPr="00B936A6">
        <w:rPr>
          <w:rFonts w:cs="Times New Roman"/>
          <w:color w:val="000000"/>
          <w:shd w:val="clear" w:color="auto" w:fill="FFFFFF"/>
        </w:rPr>
        <w:t xml:space="preserve"> </w:t>
      </w:r>
    </w:p>
    <w:p w:rsidR="00976C7B" w:rsidRDefault="00976C7B" w:rsidP="000C5334">
      <w:pPr>
        <w:rPr>
          <w:rFonts w:cs="Times New Roman"/>
          <w:color w:val="000000"/>
          <w:shd w:val="clear" w:color="auto" w:fill="FFFFFF"/>
        </w:rPr>
      </w:pPr>
    </w:p>
    <w:p w:rsidR="00BA0A26" w:rsidRPr="00B936A6" w:rsidRDefault="00BA0A26" w:rsidP="00BA0A26">
      <w:r w:rsidRPr="00B936A6">
        <w:t xml:space="preserve">This </w:t>
      </w:r>
      <w:r>
        <w:t xml:space="preserve">approach to NEPA </w:t>
      </w:r>
      <w:r w:rsidRPr="00B936A6">
        <w:t xml:space="preserve">is not allowed. </w:t>
      </w:r>
    </w:p>
    <w:p w:rsidR="00BA0A26" w:rsidRPr="00B936A6" w:rsidRDefault="00BA0A26" w:rsidP="000C5334">
      <w:pPr>
        <w:rPr>
          <w:rFonts w:cs="Times New Roman"/>
          <w:color w:val="000000"/>
          <w:shd w:val="clear" w:color="auto" w:fill="FFFFFF"/>
        </w:rPr>
      </w:pPr>
    </w:p>
    <w:p w:rsidR="000C5334" w:rsidRPr="00B936A6" w:rsidRDefault="000C5334" w:rsidP="000C5334">
      <w:pPr>
        <w:rPr>
          <w:rFonts w:cs="Times New Roman"/>
          <w:color w:val="000000"/>
          <w:shd w:val="clear" w:color="auto" w:fill="FFFFFF"/>
        </w:rPr>
      </w:pPr>
      <w:r w:rsidRPr="00B936A6">
        <w:rPr>
          <w:rFonts w:cs="Times New Roman"/>
          <w:color w:val="000000"/>
          <w:shd w:val="clear" w:color="auto" w:fill="FFFFFF"/>
        </w:rPr>
        <w:t>Important parts of the NEPA analysis cannot be buried in specialists reports and appendices:</w:t>
      </w:r>
    </w:p>
    <w:p w:rsidR="000C5334" w:rsidRPr="00B936A6" w:rsidRDefault="000C5334" w:rsidP="000C5334">
      <w:pPr>
        <w:ind w:left="576"/>
        <w:rPr>
          <w:color w:val="000000"/>
          <w:shd w:val="clear" w:color="auto" w:fill="FFFFFF"/>
        </w:rPr>
      </w:pPr>
      <w:r w:rsidRPr="00B936A6">
        <w:rPr>
          <w:color w:val="000000"/>
          <w:shd w:val="clear" w:color="auto" w:fill="FFFFFF"/>
        </w:rPr>
        <w:t>“</w:t>
      </w:r>
      <w:r w:rsidRPr="00B936A6">
        <w:rPr>
          <w:color w:val="212529"/>
          <w:shd w:val="clear" w:color="auto" w:fill="FFFFFF"/>
        </w:rPr>
        <w:t>The EA's cursory and inconsistent treatment of sedimentation issues, alone, raises substantial questions about the project's effects on the environment and the unknown risks to the area's renowned fish populations. We do not find adequate support for the Forest Service's decision in its argument that the 3,000 page administrative record contains supporting data. The EA contains virtually no references to any material in support of or in opposition to its conclusions. That is where the Forest Service's defense of its position must be found. See </w:t>
      </w:r>
      <w:hyperlink r:id="rId12" w:tgtFrame="_blank" w:history="1">
        <w:r w:rsidRPr="00B936A6">
          <w:rPr>
            <w:rStyle w:val="Hyperlink"/>
            <w:color w:val="005AAA"/>
            <w:shd w:val="clear" w:color="auto" w:fill="FFFFFF"/>
          </w:rPr>
          <w:t>40 C.F.R. § 1508.9(a)</w:t>
        </w:r>
      </w:hyperlink>
      <w:r w:rsidRPr="00B936A6">
        <w:rPr>
          <w:color w:val="212529"/>
          <w:shd w:val="clear" w:color="auto" w:fill="FFFFFF"/>
        </w:rPr>
        <w:t xml:space="preserve"> (an environmental assessment is "a concise public document" that "briefly provide[s] sufficient evidence and analysis for determining whether to prepare an environmental impact statement or a finding of no significant impact").” </w:t>
      </w:r>
    </w:p>
    <w:p w:rsidR="000C5334" w:rsidRPr="00B936A6" w:rsidRDefault="000C5334" w:rsidP="000C5334">
      <w:r w:rsidRPr="00B936A6">
        <w:rPr>
          <w:u w:val="single"/>
        </w:rPr>
        <w:t>Blue Mountains Biodiversity Project v. Blackwood</w:t>
      </w:r>
      <w:r w:rsidRPr="00B936A6">
        <w:t>, 161 F.3d 1208 (9</w:t>
      </w:r>
      <w:r w:rsidRPr="00B936A6">
        <w:rPr>
          <w:vertAlign w:val="superscript"/>
        </w:rPr>
        <w:t>th</w:t>
      </w:r>
      <w:r w:rsidRPr="00B936A6">
        <w:t xml:space="preserve"> Cir. 1998), </w:t>
      </w:r>
      <w:hyperlink r:id="rId13" w:history="1">
        <w:r w:rsidRPr="00B936A6">
          <w:rPr>
            <w:rStyle w:val="Hyperlink"/>
          </w:rPr>
          <w:t>https://caselaw.findlaw.com/us-9th-circuit/1180061.html</w:t>
        </w:r>
      </w:hyperlink>
      <w:r w:rsidRPr="00B936A6">
        <w:t xml:space="preserve">. </w:t>
      </w:r>
    </w:p>
    <w:p w:rsidR="000C5334" w:rsidRPr="00B936A6" w:rsidRDefault="000C5334" w:rsidP="000C5334"/>
    <w:p w:rsidR="000C5334" w:rsidRPr="00B936A6" w:rsidRDefault="000C5334" w:rsidP="000C5334">
      <w:pPr>
        <w:ind w:left="720"/>
      </w:pPr>
      <w:r w:rsidRPr="00B936A6">
        <w:t>The Court finds that the Forest Service violated NEPA by failing to make the Specialist Reports accessible to the public. The Forest Service's failure to include the Specialist Reports in the appendices of the draft EIS accompanied by its refusal to disclose during the comment period material on which it relied in the draft EIS is contrary to the spirit of NEPA and the letter of the CEQ regulations.</w:t>
      </w:r>
    </w:p>
    <w:p w:rsidR="000C5334" w:rsidRPr="00B936A6" w:rsidRDefault="000C5334" w:rsidP="000C5334">
      <w:pPr>
        <w:ind w:left="720"/>
      </w:pPr>
      <w:r w:rsidRPr="00B936A6">
        <w:t>...</w:t>
      </w:r>
    </w:p>
    <w:p w:rsidR="000C5334" w:rsidRPr="00B936A6" w:rsidRDefault="000C5334" w:rsidP="000C5334">
      <w:pPr>
        <w:ind w:left="720"/>
      </w:pPr>
      <w:r w:rsidRPr="00B936A6">
        <w:t>The CEQ regulation related to appendices provides:</w:t>
      </w:r>
    </w:p>
    <w:p w:rsidR="000C5334" w:rsidRPr="00B936A6" w:rsidRDefault="000C5334" w:rsidP="000C5334">
      <w:pPr>
        <w:ind w:left="1440"/>
      </w:pPr>
      <w:r w:rsidRPr="00B936A6">
        <w:t>If an agency prepares an appendix to an environmental impact statement the appendix shall:</w:t>
      </w:r>
    </w:p>
    <w:p w:rsidR="000C5334" w:rsidRPr="00B936A6" w:rsidRDefault="000C5334" w:rsidP="000C5334">
      <w:pPr>
        <w:ind w:left="1440"/>
      </w:pPr>
      <w:r w:rsidRPr="00B936A6">
        <w:lastRenderedPageBreak/>
        <w:t>(a) Consist of material prepared in connection with an environmental impact statement (as distinct from material which is not so prepared and which is incorporated by reference (§ 1502.21)).</w:t>
      </w:r>
    </w:p>
    <w:p w:rsidR="000C5334" w:rsidRPr="00B936A6" w:rsidRDefault="000C5334" w:rsidP="000C5334">
      <w:pPr>
        <w:ind w:left="1440"/>
      </w:pPr>
      <w:r w:rsidRPr="00B936A6">
        <w:t xml:space="preserve">(b) Normally consist of material which substantiates any analysis fundamental to the impact statement. </w:t>
      </w:r>
    </w:p>
    <w:p w:rsidR="000C5334" w:rsidRPr="00B936A6" w:rsidRDefault="000C5334" w:rsidP="000C5334">
      <w:pPr>
        <w:ind w:left="1440"/>
      </w:pPr>
      <w:r w:rsidRPr="00B936A6">
        <w:t>(c) Normally be analytic and relevant to the decision to be made.</w:t>
      </w:r>
    </w:p>
    <w:p w:rsidR="000C5334" w:rsidRPr="00B936A6" w:rsidRDefault="000C5334" w:rsidP="000C5334">
      <w:pPr>
        <w:ind w:left="1440"/>
      </w:pPr>
      <w:r w:rsidRPr="00B936A6">
        <w:t>(d) Be circulated with the environmental impact statement or be readily available on request.</w:t>
      </w:r>
    </w:p>
    <w:p w:rsidR="000C5334" w:rsidRPr="00B936A6" w:rsidRDefault="000C5334" w:rsidP="000C5334">
      <w:pPr>
        <w:ind w:left="720"/>
      </w:pPr>
      <w:r w:rsidRPr="00B936A6">
        <w:t>40 C.F.R. § 1502.18. The regulation related to</w:t>
      </w:r>
    </w:p>
    <w:p w:rsidR="000C5334" w:rsidRPr="00B936A6" w:rsidRDefault="000C5334" w:rsidP="000C5334">
      <w:pPr>
        <w:ind w:left="720"/>
      </w:pPr>
      <w:r w:rsidRPr="00B936A6">
        <w:t>incorporation by reference explains:</w:t>
      </w:r>
    </w:p>
    <w:p w:rsidR="000C5334" w:rsidRPr="00B936A6" w:rsidRDefault="000C5334" w:rsidP="000C5334">
      <w:pPr>
        <w:ind w:left="1440"/>
      </w:pPr>
      <w:r w:rsidRPr="00B936A6">
        <w:t xml:space="preserve">... </w:t>
      </w:r>
      <w:r w:rsidRPr="00B936A6">
        <w:rPr>
          <w:i/>
        </w:rPr>
        <w:t>No material may be incorporated by reference unless it is reasonably available for inspection</w:t>
      </w:r>
      <w:r w:rsidRPr="00B936A6">
        <w:t xml:space="preserve"> by potentially interested persons within the time allowed for comment. ...</w:t>
      </w:r>
    </w:p>
    <w:p w:rsidR="000C5334" w:rsidRPr="00B936A6" w:rsidRDefault="000C5334" w:rsidP="000C5334">
      <w:pPr>
        <w:ind w:left="576"/>
      </w:pPr>
      <w:r w:rsidRPr="00B936A6">
        <w:t>40 C.F.R. § 1502.21 (emphasis added).</w:t>
      </w:r>
    </w:p>
    <w:p w:rsidR="000C5334" w:rsidRPr="00B936A6" w:rsidRDefault="000C5334" w:rsidP="000C5334">
      <w:pPr>
        <w:ind w:left="576"/>
      </w:pPr>
      <w:r w:rsidRPr="00B936A6">
        <w:t>Section 1502.21 plainly prohibits an agency from relying on information in the preparation of an EIS while refusing to make that information available to the public.</w:t>
      </w:r>
    </w:p>
    <w:p w:rsidR="000C5334" w:rsidRPr="00B936A6" w:rsidRDefault="000C5334" w:rsidP="000C5334">
      <w:pPr>
        <w:ind w:left="576"/>
      </w:pPr>
      <w:r w:rsidRPr="00B936A6">
        <w:t>...</w:t>
      </w:r>
    </w:p>
    <w:p w:rsidR="000C5334" w:rsidRPr="00B936A6" w:rsidRDefault="000C5334" w:rsidP="000C5334">
      <w:pPr>
        <w:ind w:left="576"/>
      </w:pPr>
      <w:r w:rsidRPr="00B936A6">
        <w:t>An agency may not discharge its obligation to provide the public with analysis of the environmental impacts of a project simply by incorporating documents by reference. Pacific Rivers Council v. U .S. Forest Serv., 689 F.3d 1012, 1031 (9th Cir.2012) ...</w:t>
      </w:r>
    </w:p>
    <w:p w:rsidR="000C5334" w:rsidRPr="00B936A6" w:rsidRDefault="000C5334" w:rsidP="009B4CCC">
      <w:r w:rsidRPr="00B936A6">
        <w:rPr>
          <w:i/>
        </w:rPr>
        <w:t xml:space="preserve">LOWD v </w:t>
      </w:r>
      <w:proofErr w:type="spellStart"/>
      <w:r w:rsidRPr="00B936A6">
        <w:rPr>
          <w:i/>
        </w:rPr>
        <w:t>Connaughton</w:t>
      </w:r>
      <w:proofErr w:type="spellEnd"/>
      <w:r w:rsidRPr="00B936A6">
        <w:t>, (D. Or 2014) 2014 WL 6977611.</w:t>
      </w:r>
    </w:p>
    <w:p w:rsidR="00976C7B" w:rsidRPr="00B936A6" w:rsidRDefault="00976C7B" w:rsidP="009B4CCC"/>
    <w:p w:rsidR="00976C7B" w:rsidRPr="00B936A6" w:rsidRDefault="00976C7B" w:rsidP="00976C7B">
      <w:pPr>
        <w:rPr>
          <w:rFonts w:cs="Times New Roman"/>
          <w:color w:val="000000"/>
          <w:shd w:val="clear" w:color="auto" w:fill="FFFFFF"/>
        </w:rPr>
      </w:pPr>
      <w:r w:rsidRPr="00B936A6">
        <w:rPr>
          <w:rFonts w:cs="Times New Roman"/>
          <w:color w:val="000000"/>
          <w:shd w:val="clear" w:color="auto" w:fill="FFFFFF"/>
        </w:rPr>
        <w:t>“[T]</w:t>
      </w:r>
      <w:proofErr w:type="spellStart"/>
      <w:r w:rsidRPr="00B936A6">
        <w:rPr>
          <w:rFonts w:cs="Times New Roman"/>
          <w:color w:val="000000"/>
          <w:shd w:val="clear" w:color="auto" w:fill="FFFFFF"/>
        </w:rPr>
        <w:t>iering</w:t>
      </w:r>
      <w:proofErr w:type="spellEnd"/>
      <w:r w:rsidRPr="00B936A6">
        <w:rPr>
          <w:rFonts w:cs="Times New Roman"/>
          <w:color w:val="000000"/>
          <w:shd w:val="clear" w:color="auto" w:fill="FFFFFF"/>
        </w:rPr>
        <w:t xml:space="preserve"> to a document [Port Orford Cedar Management Guidelines] that has not itself been subject to NEPA review is not permitted, for it circumvents the purpose of NEPA.” </w:t>
      </w:r>
      <w:r w:rsidRPr="00B936A6">
        <w:rPr>
          <w:rFonts w:cs="Times New Roman"/>
          <w:i/>
          <w:iCs/>
          <w:color w:val="000000"/>
          <w:shd w:val="clear" w:color="auto" w:fill="FFFFFF"/>
        </w:rPr>
        <w:t>Kern v. Bureau of Land Management</w:t>
      </w:r>
      <w:r w:rsidRPr="00B936A6">
        <w:rPr>
          <w:rFonts w:cs="Times New Roman"/>
          <w:color w:val="000000"/>
          <w:shd w:val="clear" w:color="auto" w:fill="FFFFFF"/>
        </w:rPr>
        <w:t>, 284 F.3d 1062 (9th Cir. 2002). </w:t>
      </w:r>
    </w:p>
    <w:p w:rsidR="00E1249F" w:rsidRPr="00B936A6" w:rsidRDefault="00E1249F" w:rsidP="00976C7B">
      <w:pPr>
        <w:rPr>
          <w:rFonts w:cs="Times New Roman"/>
          <w:color w:val="000000"/>
          <w:shd w:val="clear" w:color="auto" w:fill="FFFFFF"/>
        </w:rPr>
      </w:pPr>
    </w:p>
    <w:p w:rsidR="00E1249F" w:rsidRPr="00B936A6" w:rsidRDefault="00E1249F" w:rsidP="00976C7B">
      <w:pPr>
        <w:rPr>
          <w:rFonts w:cs="Times New Roman"/>
          <w:color w:val="000000"/>
          <w:shd w:val="clear" w:color="auto" w:fill="FFFFFF"/>
        </w:rPr>
      </w:pPr>
      <w:r w:rsidRPr="00B936A6">
        <w:rPr>
          <w:rFonts w:cs="Times New Roman"/>
          <w:color w:val="000000"/>
          <w:shd w:val="clear" w:color="auto" w:fill="FFFFFF"/>
        </w:rPr>
        <w:t xml:space="preserve">Forest plan consistency is described in one-word conclusions, with no analysis or rationale provided. This violates NEPA which requires </w:t>
      </w:r>
    </w:p>
    <w:p w:rsidR="00E1249F" w:rsidRPr="00B936A6" w:rsidRDefault="00E1249F" w:rsidP="00976C7B">
      <w:pPr>
        <w:rPr>
          <w:rFonts w:cs="Times New Roman"/>
          <w:color w:val="000000"/>
          <w:shd w:val="clear" w:color="auto" w:fill="FFFFFF"/>
        </w:rPr>
      </w:pPr>
    </w:p>
    <w:p w:rsidR="00E1249F" w:rsidRPr="00B936A6" w:rsidRDefault="00E1249F" w:rsidP="00976C7B">
      <w:r w:rsidRPr="00B936A6">
        <w:rPr>
          <w:noProof/>
          <w:lang w:val="en-US"/>
        </w:rPr>
        <w:lastRenderedPageBreak/>
        <w:drawing>
          <wp:inline distT="0" distB="0" distL="0" distR="0" wp14:anchorId="2C828C10" wp14:editId="1C8F3C96">
            <wp:extent cx="2232986" cy="3436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42437" cy="3451166"/>
                    </a:xfrm>
                    <a:prstGeom prst="rect">
                      <a:avLst/>
                    </a:prstGeom>
                  </pic:spPr>
                </pic:pic>
              </a:graphicData>
            </a:graphic>
          </wp:inline>
        </w:drawing>
      </w:r>
    </w:p>
    <w:p w:rsidR="00E1249F" w:rsidRPr="00B936A6" w:rsidRDefault="00E1249F" w:rsidP="00E1249F">
      <w:r w:rsidRPr="00B936A6">
        <w:t>The Forest Service NEPA Handbook also requires that Decision Notices explain complete[</w:t>
      </w:r>
      <w:proofErr w:type="spellStart"/>
      <w:r w:rsidRPr="00B936A6">
        <w:t>ly</w:t>
      </w:r>
      <w:proofErr w:type="spellEnd"/>
      <w:r w:rsidRPr="00B936A6">
        <w:t>] and comprehensive[</w:t>
      </w:r>
      <w:proofErr w:type="spellStart"/>
      <w:r w:rsidRPr="00B936A6">
        <w:t>ly</w:t>
      </w:r>
      <w:proofErr w:type="spellEnd"/>
      <w:r w:rsidRPr="00B936A6">
        <w:t xml:space="preserve">]” how the NEPA decision complies with applicable legal requirements including the LRMP land allocations and Standards &amp; Guidelines. </w:t>
      </w:r>
    </w:p>
    <w:p w:rsidR="00E1249F" w:rsidRPr="00B936A6" w:rsidRDefault="00E1249F" w:rsidP="00E1249F">
      <w:pPr>
        <w:ind w:left="720"/>
      </w:pPr>
      <w:r w:rsidRPr="00B936A6">
        <w:t xml:space="preserve">FSH 1909.15 Chapter 40, 43.21 - </w:t>
      </w:r>
      <w:r w:rsidRPr="00B936A6">
        <w:rPr>
          <w:b/>
        </w:rPr>
        <w:t>Format and Content</w:t>
      </w:r>
      <w:r w:rsidRPr="00B936A6">
        <w:t xml:space="preserve"> </w:t>
      </w:r>
    </w:p>
    <w:p w:rsidR="00E1249F" w:rsidRPr="00B936A6" w:rsidRDefault="00E1249F" w:rsidP="00E1249F">
      <w:pPr>
        <w:ind w:left="720"/>
      </w:pPr>
      <w:r w:rsidRPr="00B936A6">
        <w:t xml:space="preserve">Decision notices document the conclusions drawn and the decision(s) made based on the analysis in the EA. Decision notices should conform to the following format and content. While sections may be combined or rearranged in the interest of clarity and brevity, the </w:t>
      </w:r>
      <w:r w:rsidRPr="00B936A6">
        <w:rPr>
          <w:u w:val="single"/>
        </w:rPr>
        <w:t>information needs to be complete and comprehensive</w:t>
      </w:r>
      <w:r w:rsidRPr="00B936A6">
        <w:t xml:space="preserve">. </w:t>
      </w:r>
    </w:p>
    <w:p w:rsidR="00E1249F" w:rsidRPr="00B936A6" w:rsidRDefault="00E1249F" w:rsidP="00E1249F">
      <w:pPr>
        <w:ind w:left="720"/>
      </w:pPr>
      <w:r w:rsidRPr="00B936A6">
        <w:t>…</w:t>
      </w:r>
    </w:p>
    <w:p w:rsidR="00E1249F" w:rsidRPr="00B936A6" w:rsidRDefault="00E1249F" w:rsidP="00E1249F">
      <w:pPr>
        <w:ind w:left="720"/>
      </w:pPr>
      <w:r w:rsidRPr="00B936A6">
        <w:t xml:space="preserve">6. Findings required by other laws and regulations. Include any findings required by any other laws which apply to the decision being made. Cite the project record or environmental analysis document that contains the information being used to support the findings. </w:t>
      </w:r>
      <w:r w:rsidRPr="00B936A6">
        <w:rPr>
          <w:u w:val="single"/>
        </w:rPr>
        <w:t>Describe how the decision is consistent with applicable laws and regulations. For example, findings regarding consistency with the forest plan (allocation, and standards and guidelines</w:t>
      </w:r>
      <w:r w:rsidRPr="00B936A6">
        <w:t>), suitability for timber production, and vegetation management criteria required by the National Forest Management Act and 36 CFR part 219. (emphasis added)</w:t>
      </w:r>
    </w:p>
    <w:p w:rsidR="00E1249F" w:rsidRPr="00B936A6" w:rsidRDefault="00E1249F" w:rsidP="00E1249F">
      <w:hyperlink r:id="rId15" w:history="1">
        <w:r w:rsidRPr="00B936A6">
          <w:rPr>
            <w:rStyle w:val="Hyperlink"/>
          </w:rPr>
          <w:t>http://web.archive.org/web/20090118192937/http://www.fs.fed.us/im/directives/fsh/1909.15/1909.15_40.doc</w:t>
        </w:r>
      </w:hyperlink>
    </w:p>
    <w:p w:rsidR="00E1249F" w:rsidRPr="00B936A6" w:rsidRDefault="00E1249F" w:rsidP="00E1249F"/>
    <w:p w:rsidR="00E1249F" w:rsidRPr="00B936A6" w:rsidRDefault="00E1249F" w:rsidP="00E1249F">
      <w:pPr>
        <w:autoSpaceDE w:val="0"/>
        <w:rPr>
          <w:rFonts w:cs="Cambria Math"/>
        </w:rPr>
      </w:pPr>
      <w:r w:rsidRPr="00B936A6">
        <w:t xml:space="preserve">See also, Judge King's October 2003 Decision in </w:t>
      </w:r>
      <w:r w:rsidRPr="00B936A6">
        <w:rPr>
          <w:u w:val="single"/>
        </w:rPr>
        <w:t>ONRC Action v. U.S. Forest Service</w:t>
      </w:r>
      <w:r w:rsidRPr="00B936A6">
        <w:t>, CV. 03-613-KI</w:t>
      </w:r>
      <w:r w:rsidRPr="00B936A6">
        <w:rPr>
          <w:rFonts w:cs="Times New Roman"/>
        </w:rPr>
        <w:t xml:space="preserve"> (“</w:t>
      </w:r>
      <w:r w:rsidRPr="00B936A6">
        <w:rPr>
          <w:rFonts w:cs="Times New Roman"/>
          <w:u w:val="single"/>
        </w:rPr>
        <w:t>The underlying EAs for the timber sales at issue did not properly frame the Forest Service’s survey and manage duties</w:t>
      </w:r>
      <w:r w:rsidRPr="00B936A6">
        <w:rPr>
          <w:rFonts w:cs="Times New Roman"/>
        </w:rPr>
        <w:t xml:space="preserve">, they did not analyze a range of alternatives based upon these duties, they did not evaluate completed surveys, they did not demonstrate that the Forest Service had all of the proper information before it before allowing logging, and they did not provide for public influence over the decisions. For all of these reasons, </w:t>
      </w:r>
      <w:r w:rsidRPr="00B936A6">
        <w:rPr>
          <w:rFonts w:cs="Times New Roman"/>
          <w:u w:val="single"/>
        </w:rPr>
        <w:t xml:space="preserve">the underlying EAs are </w:t>
      </w:r>
      <w:r w:rsidRPr="00B936A6">
        <w:rPr>
          <w:rFonts w:cs="Times New Roman"/>
          <w:u w:val="single"/>
        </w:rPr>
        <w:lastRenderedPageBreak/>
        <w:t>legally deficient</w:t>
      </w:r>
      <w:r w:rsidRPr="00B936A6">
        <w:rPr>
          <w:rFonts w:cs="Times New Roman"/>
        </w:rPr>
        <w:t xml:space="preserve">.” </w:t>
      </w:r>
      <w:r w:rsidRPr="00B936A6">
        <w:rPr>
          <w:rFonts w:cs="Times New Roman"/>
          <w:i/>
        </w:rPr>
        <w:t>Emphasis added.</w:t>
      </w:r>
      <w:r w:rsidRPr="00B936A6">
        <w:rPr>
          <w:rFonts w:cs="Times New Roman"/>
        </w:rPr>
        <w:t xml:space="preserve">) </w:t>
      </w:r>
      <w:hyperlink r:id="rId16" w:history="1">
        <w:r w:rsidRPr="00B936A6">
          <w:rPr>
            <w:rStyle w:val="Hyperlink"/>
          </w:rPr>
          <w:t>http://web.archive.org/web/20041105214752/http://www.onrc.org/press/ONRCv.USFS.pdf</w:t>
        </w:r>
      </w:hyperlink>
      <w:r w:rsidRPr="00B936A6">
        <w:rPr>
          <w:rFonts w:cs="Cambria Math"/>
        </w:rPr>
        <w:t xml:space="preserve"> </w:t>
      </w:r>
    </w:p>
    <w:p w:rsidR="00E1249F" w:rsidRPr="00B936A6" w:rsidRDefault="00E1249F" w:rsidP="00E1249F">
      <w:pPr>
        <w:autoSpaceDE w:val="0"/>
      </w:pPr>
    </w:p>
    <w:p w:rsidR="00E1249F" w:rsidRPr="00B936A6" w:rsidRDefault="00E1249F" w:rsidP="00E1249F">
      <w:r w:rsidRPr="00B936A6">
        <w:t xml:space="preserve">And also Judge Hogan’s ruling in </w:t>
      </w:r>
      <w:r w:rsidRPr="00B936A6">
        <w:rPr>
          <w:u w:val="single"/>
        </w:rPr>
        <w:t xml:space="preserve">Klamath Siskiyou Wildlands Center v. </w:t>
      </w:r>
      <w:proofErr w:type="spellStart"/>
      <w:r w:rsidRPr="00B936A6">
        <w:rPr>
          <w:u w:val="single"/>
        </w:rPr>
        <w:t>Boody</w:t>
      </w:r>
      <w:proofErr w:type="spellEnd"/>
      <w:r w:rsidRPr="00B936A6">
        <w:t xml:space="preserve"> (D. Or. #03-3124-CO. May 18, 2004) where he held “plaintiffs have raised a serious question as to whether BLM violated NEPA in failing to disclose sufficient information in the EA to confirm compliance with … the RMP.” (Order at page 18).</w:t>
      </w:r>
    </w:p>
    <w:p w:rsidR="00254B06" w:rsidRPr="009B4CCC" w:rsidRDefault="00254B06" w:rsidP="009B4CCC">
      <w:pPr>
        <w:pStyle w:val="Heading2"/>
      </w:pPr>
      <w:r w:rsidRPr="009B4CCC">
        <w:t>Weigh trade-offs</w:t>
      </w:r>
    </w:p>
    <w:p w:rsidR="00D91F47" w:rsidRPr="00B936A6" w:rsidRDefault="009B4CCC" w:rsidP="00C13CE6">
      <w:r w:rsidRPr="00B936A6">
        <w:t xml:space="preserve">Our scoping comments </w:t>
      </w:r>
      <w:r w:rsidR="00D91F47" w:rsidRPr="00B936A6">
        <w:t>urged</w:t>
      </w:r>
      <w:r w:rsidRPr="00B936A6">
        <w:t xml:space="preserve"> the Forest Service </w:t>
      </w:r>
      <w:r w:rsidR="00D91F47" w:rsidRPr="00B936A6">
        <w:t xml:space="preserve">to </w:t>
      </w:r>
      <w:r w:rsidRPr="00B936A6">
        <w:t>focus the NEPA analysis on</w:t>
      </w:r>
      <w:r w:rsidR="00D91F47" w:rsidRPr="00B936A6">
        <w:t xml:space="preserve"> trade-offs as required by NEPA</w:t>
      </w:r>
      <w:r w:rsidRPr="00B936A6">
        <w:t>.</w:t>
      </w:r>
      <w:r w:rsidR="00597159" w:rsidRPr="00B936A6">
        <w:t xml:space="preserve"> </w:t>
      </w:r>
      <w:r w:rsidR="00D91F47" w:rsidRPr="00B936A6">
        <w:t>Our scoping comments on this point were detailed and compelling. The FS failed to listen. The EA completely fails to address this fundamental NEPA requirement.</w:t>
      </w:r>
    </w:p>
    <w:p w:rsidR="00D91F47" w:rsidRPr="00B936A6" w:rsidRDefault="00D91F47" w:rsidP="00C13CE6"/>
    <w:p w:rsidR="00663673" w:rsidRPr="00B936A6" w:rsidRDefault="00597159" w:rsidP="00C13CE6">
      <w:r w:rsidRPr="00B936A6">
        <w:t>Major trade-offs include:</w:t>
      </w:r>
    </w:p>
    <w:p w:rsidR="00597159" w:rsidRPr="00B936A6" w:rsidRDefault="00597159" w:rsidP="00597159">
      <w:pPr>
        <w:numPr>
          <w:ilvl w:val="0"/>
          <w:numId w:val="2"/>
        </w:numPr>
      </w:pPr>
      <w:r w:rsidRPr="00B936A6">
        <w:t>The effects of retaining or removing canopy trees on carbon</w:t>
      </w:r>
      <w:r w:rsidR="00D22031" w:rsidRPr="00B936A6">
        <w:t xml:space="preserve"> emissions</w:t>
      </w:r>
      <w:r w:rsidRPr="00B936A6">
        <w:t xml:space="preserve">, </w:t>
      </w:r>
      <w:r w:rsidR="00D22031" w:rsidRPr="00B936A6">
        <w:t xml:space="preserve">fish &amp; </w:t>
      </w:r>
      <w:r w:rsidRPr="00B936A6">
        <w:t xml:space="preserve">wildlife habitat, fire hazard, </w:t>
      </w:r>
      <w:r w:rsidR="00D22031" w:rsidRPr="00B936A6">
        <w:t>watershed functions;</w:t>
      </w:r>
    </w:p>
    <w:p w:rsidR="00D22031" w:rsidRPr="00B936A6" w:rsidRDefault="00D22031" w:rsidP="00597159">
      <w:pPr>
        <w:numPr>
          <w:ilvl w:val="0"/>
          <w:numId w:val="2"/>
        </w:numPr>
      </w:pPr>
      <w:r w:rsidRPr="00B936A6">
        <w:t>The effects of road building on watershed values, carbon, habitat, etc.</w:t>
      </w:r>
    </w:p>
    <w:p w:rsidR="00D22031" w:rsidRPr="00B936A6" w:rsidRDefault="00D22031" w:rsidP="00597159">
      <w:pPr>
        <w:numPr>
          <w:ilvl w:val="0"/>
          <w:numId w:val="2"/>
        </w:numPr>
      </w:pPr>
      <w:r w:rsidRPr="00B936A6">
        <w:t>The effects on logging and road building on forest plan requirements such as managing toward LOS;</w:t>
      </w:r>
    </w:p>
    <w:p w:rsidR="00FB7836" w:rsidRPr="009B4CCC" w:rsidRDefault="00254B06" w:rsidP="009B4CCC">
      <w:pPr>
        <w:pStyle w:val="Heading2"/>
      </w:pPr>
      <w:r w:rsidRPr="009B4CCC">
        <w:t>Fuel treatments have complex effects</w:t>
      </w:r>
      <w:r w:rsidR="00FB7836" w:rsidRPr="009B4CCC">
        <w:t xml:space="preserve"> </w:t>
      </w:r>
    </w:p>
    <w:p w:rsidR="00663673" w:rsidRPr="00B936A6" w:rsidRDefault="009B4CCC" w:rsidP="00FB7836">
      <w:r w:rsidRPr="00B936A6">
        <w:t>Fuel treatments have complex effects that can both increase and decrease fuel and fire hazard. The risk that fuel treatments will make things worse instead of better in</w:t>
      </w:r>
      <w:r w:rsidR="007663D0" w:rsidRPr="00B936A6">
        <w:t xml:space="preserve">creases when fuel reduction involves commercial removal of medium or large trees that provide canopy shade. The EA fails to take a hard look at whether fuel reduction may increase fire hazard by making stands hotter-drier-windier, moving hazardous slash from the canopy to the ground where it is more available for combustion, </w:t>
      </w:r>
      <w:r w:rsidR="00234600" w:rsidRPr="00B936A6">
        <w:t xml:space="preserve">removing large wood that is fire resistant (not hazardous), </w:t>
      </w:r>
      <w:r w:rsidR="007663D0" w:rsidRPr="00B936A6">
        <w:t xml:space="preserve">and stimulates the growth of surface and ladder fuels, and whether commercial logging on balance really increases fire hazard; (“Thinning opens stands to greater solar radiation and wind movement, resulting in warmer temperatures and drier fuels throughout the fire season. [T]his openness can encourage a surface fire to spread, …”) USDA Forest Service; Influence of Forest Structure on Wildfire Behavior and the Severity of Its Effects, November 2003. </w:t>
      </w:r>
      <w:hyperlink r:id="rId17" w:history="1">
        <w:r w:rsidR="007663D0" w:rsidRPr="00B936A6">
          <w:rPr>
            <w:rStyle w:val="Hyperlink"/>
          </w:rPr>
          <w:t>http://www.fs.fed.us/projects/hfi/2003/november/documents/forest-structure-wildfire.pdf</w:t>
        </w:r>
      </w:hyperlink>
      <w:r w:rsidR="007663D0" w:rsidRPr="00B936A6">
        <w:t xml:space="preserve"> ). (“First, larger-diameter woody materials do not pose a significant threat for wildfire ignition or spread. It is largely the finer fuels (a few inches and less in diameter) that carry fire.  More important, large, old trees actually provide protection from fire spread because they are resistant to fire and their shade maintains favorable moisture conditions in the understory fuels.  Too much thinning of the forest canopy can produce more rapid drying of such fuels and, thereby, more frequent and severe wildfire risk.  Furthermore, big, old trees provide critical habitat and maintain key ecosystem functions.”) (</w:t>
      </w:r>
      <w:proofErr w:type="spellStart"/>
      <w:r w:rsidR="007663D0" w:rsidRPr="00B936A6">
        <w:t>pg</w:t>
      </w:r>
      <w:proofErr w:type="spellEnd"/>
      <w:r w:rsidR="007663D0" w:rsidRPr="00B936A6">
        <w:t xml:space="preserve"> 4) Statement of Norman L. Christensen, Jr., Ph.D. Before the Senate Committee on Agriculture, Nutrition and Forestry Regarding H.R. 1904—the Healthy Forests Restoration Act of 2003, 26 June 2003. </w:t>
      </w:r>
      <w:hyperlink r:id="rId18" w:history="1">
        <w:r w:rsidR="007663D0" w:rsidRPr="00B936A6">
          <w:rPr>
            <w:rStyle w:val="Hyperlink"/>
          </w:rPr>
          <w:t>https://wwwpaztcn.wr.usgs.gov/fire/hr_1904_testimony_christensen.pdf</w:t>
        </w:r>
      </w:hyperlink>
      <w:r w:rsidR="00234600" w:rsidRPr="00B936A6">
        <w:t>. The draft EA fails to disclose the adverse trade-offs from removal of commercial sized trees, and the benefits of retaining commercial sized trees.</w:t>
      </w:r>
    </w:p>
    <w:p w:rsidR="00FB7836" w:rsidRPr="009B4CCC" w:rsidRDefault="00FB7836" w:rsidP="009B4CCC">
      <w:pPr>
        <w:pStyle w:val="Heading2"/>
      </w:pPr>
      <w:r w:rsidRPr="009B4CCC">
        <w:t>Alternatives</w:t>
      </w:r>
    </w:p>
    <w:p w:rsidR="00663673" w:rsidRPr="00B936A6" w:rsidRDefault="007663D0" w:rsidP="00C13CE6">
      <w:r w:rsidRPr="00B936A6">
        <w:t xml:space="preserve">The draft EA fails to consider a range of alternatives that highlight the choice among </w:t>
      </w:r>
      <w:r w:rsidR="00234600" w:rsidRPr="00B936A6">
        <w:t>alternatives,</w:t>
      </w:r>
      <w:r w:rsidRPr="00B936A6">
        <w:t xml:space="preserve"> </w:t>
      </w:r>
      <w:r w:rsidR="00234600" w:rsidRPr="00B936A6">
        <w:t xml:space="preserve">each </w:t>
      </w:r>
      <w:r w:rsidRPr="00B936A6">
        <w:t xml:space="preserve">with a different mix of effects. Bother alternatives treat the same acres, with the same </w:t>
      </w:r>
      <w:r w:rsidR="00234600" w:rsidRPr="00B936A6">
        <w:t xml:space="preserve">methods, </w:t>
      </w:r>
      <w:r w:rsidRPr="00B936A6">
        <w:t xml:space="preserve">both </w:t>
      </w:r>
      <w:r w:rsidR="00234600" w:rsidRPr="00B936A6">
        <w:t>alternatives</w:t>
      </w:r>
      <w:r w:rsidRPr="00B936A6">
        <w:t xml:space="preserve"> rely on commercial logging </w:t>
      </w:r>
      <w:r w:rsidR="00234600" w:rsidRPr="00B936A6">
        <w:t>and road building as a dominant tool</w:t>
      </w:r>
      <w:r w:rsidRPr="00B936A6">
        <w:t xml:space="preserve"> </w:t>
      </w:r>
      <w:r w:rsidR="00234600" w:rsidRPr="00B936A6">
        <w:t>to achieve its goals.</w:t>
      </w:r>
    </w:p>
    <w:p w:rsidR="00F9052E" w:rsidRPr="00B936A6" w:rsidRDefault="00F9052E" w:rsidP="00C13CE6"/>
    <w:p w:rsidR="00F9052E" w:rsidRPr="00B936A6" w:rsidRDefault="00F9052E" w:rsidP="00C13CE6">
      <w:r w:rsidRPr="00B936A6">
        <w:t>The range of alternatives in the draft EA is rendered even more incomplete by the recent court decision which invalidated the 2021 Amendment of the Eastside Screens, reinstated the 21-inch rule, and rendered one of the two action alternatives illegal. Now there is only one alternative, plus a no action alternative.</w:t>
      </w:r>
    </w:p>
    <w:p w:rsidR="00D91F47" w:rsidRPr="00B936A6" w:rsidRDefault="00D91F47" w:rsidP="00C13CE6"/>
    <w:p w:rsidR="00D91F47" w:rsidRPr="00B936A6" w:rsidRDefault="00D91F47" w:rsidP="00F9052E">
      <w:r w:rsidRPr="00B936A6">
        <w:t>Alternatives are the heart of the NEPA process. Exploring and comparing alternatives  help shed light on trade-offs and help the agency find ways of har</w:t>
      </w:r>
      <w:r w:rsidR="00F9052E" w:rsidRPr="00B936A6">
        <w:t xml:space="preserve">monizing competing objectives. </w:t>
      </w:r>
    </w:p>
    <w:p w:rsidR="00F9052E" w:rsidRPr="00B936A6" w:rsidRDefault="00F9052E" w:rsidP="00F9052E"/>
    <w:p w:rsidR="00D91F47" w:rsidRPr="00B936A6" w:rsidRDefault="00D91F47" w:rsidP="00D91F47">
      <w:r w:rsidRPr="00B936A6">
        <w:t xml:space="preserve">NEPA mandates that an agency “shall to the fullest extent possible: use the NEPA process to identify and assess the reasonable alternatives to proposed actions that will avoid or minimize adverse effects of these action upon the quality of the human environment.” 40 C.F.R. § 1500.2(e). NEPA also requires the agency to “study, develop, and describe appropriate alternatives to the recommended courses of action in any proposal which involves unresolved conflicts concerning alternative uses of available resources as provided by section 102(2)(E) of the Act [NEPA].”40 C.F.R. § 1501.2 (c). </w:t>
      </w:r>
    </w:p>
    <w:p w:rsidR="00D91F47" w:rsidRPr="00B936A6" w:rsidRDefault="00D91F47" w:rsidP="00D91F47">
      <w:r w:rsidRPr="00B936A6">
        <w:t> </w:t>
      </w:r>
    </w:p>
    <w:p w:rsidR="00D91F47" w:rsidRPr="00B936A6" w:rsidRDefault="00D91F47" w:rsidP="00D91F47">
      <w:r w:rsidRPr="00B936A6">
        <w:t>Environmental analysis documents must “[r]</w:t>
      </w:r>
      <w:proofErr w:type="spellStart"/>
      <w:r w:rsidRPr="00B936A6">
        <w:t>igorously</w:t>
      </w:r>
      <w:proofErr w:type="spellEnd"/>
      <w:r w:rsidRPr="00B936A6">
        <w:t xml:space="preserve"> explore and objectively evaluate all reasonable alternatives” to the project. 40 C.F.R. § 1502.14(a). The Council on Environmental Quality (CEQ), which promulgated the regulations implementing NEPA, characterizes the discussion of alternatives as “the heart of the environmental impact statement.” 40 C.F.R. § 1502.14. A </w:t>
      </w:r>
      <w:proofErr w:type="spellStart"/>
      <w:r w:rsidRPr="00B936A6">
        <w:t>decisionmaker</w:t>
      </w:r>
      <w:proofErr w:type="spellEnd"/>
      <w:r w:rsidRPr="00B936A6">
        <w:t xml:space="preserve"> must explore alternatives in sufficient enough detail to “sharply </w:t>
      </w:r>
      <w:proofErr w:type="spellStart"/>
      <w:r w:rsidRPr="00B936A6">
        <w:t>defin</w:t>
      </w:r>
      <w:proofErr w:type="spellEnd"/>
      <w:r w:rsidRPr="00B936A6">
        <w:t xml:space="preserve">[e] the issues and </w:t>
      </w:r>
      <w:proofErr w:type="spellStart"/>
      <w:r w:rsidRPr="00B936A6">
        <w:t>provid</w:t>
      </w:r>
      <w:proofErr w:type="spellEnd"/>
      <w:r w:rsidRPr="00B936A6">
        <w:t xml:space="preserve">[e] a clear basis for choice among options by the </w:t>
      </w:r>
      <w:proofErr w:type="spellStart"/>
      <w:r w:rsidRPr="00B936A6">
        <w:t>decisionmaker</w:t>
      </w:r>
      <w:proofErr w:type="spellEnd"/>
      <w:r w:rsidRPr="00B936A6">
        <w:t xml:space="preserve"> and the public.” </w:t>
      </w:r>
      <w:r w:rsidRPr="00B936A6">
        <w:rPr>
          <w:i/>
          <w:iCs/>
        </w:rPr>
        <w:t>Id</w:t>
      </w:r>
      <w:r w:rsidRPr="00B936A6">
        <w:t xml:space="preserve">. § 1502.14. All reasonable alternatives must receive a “rigorous exploration and objective evaluation... , particularly those that might enhance environmental quality or avoid some or all of the adverse environmental effects.” </w:t>
      </w:r>
      <w:r w:rsidRPr="00B936A6">
        <w:rPr>
          <w:i/>
          <w:iCs/>
        </w:rPr>
        <w:t>Id</w:t>
      </w:r>
      <w:r w:rsidRPr="00B936A6">
        <w:t xml:space="preserve">. § 1500.8(a)(4). The analysis of the alternatives must be “sufficiently detailed to reveal the agency’s comparative evaluation of the environmental benefits, costs and risks of the proposed action and each reasonable alternative.” </w:t>
      </w:r>
      <w:r w:rsidRPr="00B936A6">
        <w:rPr>
          <w:i/>
          <w:iCs/>
        </w:rPr>
        <w:t>Id</w:t>
      </w:r>
      <w:r w:rsidRPr="00B936A6">
        <w:t>.</w:t>
      </w:r>
    </w:p>
    <w:p w:rsidR="00D91F47" w:rsidRPr="00B936A6" w:rsidRDefault="00D91F47" w:rsidP="00D91F47"/>
    <w:p w:rsidR="00D91F47" w:rsidRPr="00B936A6" w:rsidRDefault="00D91F47" w:rsidP="00D91F47">
      <w:r w:rsidRPr="00B936A6">
        <w:t xml:space="preserve">If the NEPA document considers only a restricted range of alternatives this would violate the very purpose of NEPA’s alternative analysis requirement, which is to foster informed decision-making and full public involvement. 42 U.S.C. §§ 4331, 4332(2)(E); 40 C.F.R. § 1508.9(b). </w:t>
      </w:r>
      <w:r w:rsidRPr="00B936A6">
        <w:rPr>
          <w:i/>
          <w:iCs/>
        </w:rPr>
        <w:t xml:space="preserve">See also Robertson v. </w:t>
      </w:r>
      <w:proofErr w:type="spellStart"/>
      <w:r w:rsidRPr="00B936A6">
        <w:rPr>
          <w:i/>
          <w:iCs/>
        </w:rPr>
        <w:t>Methow</w:t>
      </w:r>
      <w:proofErr w:type="spellEnd"/>
      <w:r w:rsidRPr="00B936A6">
        <w:rPr>
          <w:i/>
          <w:iCs/>
        </w:rPr>
        <w:t xml:space="preserve"> Valley Citizen’s Council</w:t>
      </w:r>
      <w:r w:rsidRPr="00B936A6">
        <w:t xml:space="preserve">, 490 U.S. 332, 349 (1989). The Ninth Circuit stated in </w:t>
      </w:r>
      <w:r w:rsidRPr="00B936A6">
        <w:rPr>
          <w:i/>
          <w:iCs/>
        </w:rPr>
        <w:t>California v. Block</w:t>
      </w:r>
      <w:r w:rsidRPr="00B936A6">
        <w:t xml:space="preserve"> that “[a]s with the standard employed to evaluate the detail that </w:t>
      </w:r>
      <w:r w:rsidRPr="00B936A6">
        <w:lastRenderedPageBreak/>
        <w:t xml:space="preserve">NEPA requires in discussing a decision’s environmental consequences, the touchstone for our inquiry is whether an EIS’s selection and discussion of alternatives fosters informed decision-making and informed public participation.” </w:t>
      </w:r>
      <w:r w:rsidRPr="00B936A6">
        <w:rPr>
          <w:i/>
          <w:iCs/>
        </w:rPr>
        <w:t>California v. Block</w:t>
      </w:r>
      <w:r w:rsidRPr="00B936A6">
        <w:t>, 690 F.2d 753, 767 (9</w:t>
      </w:r>
      <w:r w:rsidRPr="00B936A6">
        <w:rPr>
          <w:vertAlign w:val="superscript"/>
        </w:rPr>
        <w:t>th</w:t>
      </w:r>
      <w:r w:rsidRPr="00B936A6">
        <w:t xml:space="preserve"> Cir. 1982). </w:t>
      </w:r>
    </w:p>
    <w:p w:rsidR="00D91F47" w:rsidRPr="00B936A6" w:rsidRDefault="00D91F47" w:rsidP="00D91F47"/>
    <w:p w:rsidR="00D91F47" w:rsidRPr="00B936A6" w:rsidRDefault="00D91F47" w:rsidP="00D91F47">
      <w:r w:rsidRPr="00B936A6">
        <w:t xml:space="preserve">The purpose of the multiple alternative analysis requirement is to insist that no major federal project be undertaken without intense consideration of other more ecologically sound courses of action, including shelving the entire project, or of accomplishing the same result by entirely different means. </w:t>
      </w:r>
      <w:r w:rsidRPr="00B936A6">
        <w:rPr>
          <w:i/>
          <w:iCs/>
        </w:rPr>
        <w:t>Environmental Defense Fund v. Corps of Engineers</w:t>
      </w:r>
      <w:r w:rsidRPr="00B936A6">
        <w:t>, 492 F.2d 1123, 1135 (5</w:t>
      </w:r>
      <w:r w:rsidRPr="00B936A6">
        <w:rPr>
          <w:vertAlign w:val="superscript"/>
        </w:rPr>
        <w:t>th</w:t>
      </w:r>
      <w:r w:rsidRPr="00B936A6">
        <w:t xml:space="preserve"> Cir. 1974); </w:t>
      </w:r>
      <w:proofErr w:type="spellStart"/>
      <w:r w:rsidRPr="00B936A6">
        <w:rPr>
          <w:i/>
          <w:iCs/>
        </w:rPr>
        <w:t>Methow</w:t>
      </w:r>
      <w:proofErr w:type="spellEnd"/>
      <w:r w:rsidRPr="00B936A6">
        <w:rPr>
          <w:i/>
          <w:iCs/>
        </w:rPr>
        <w:t xml:space="preserve"> Valley Citizens Council v. Regional Forester</w:t>
      </w:r>
      <w:r w:rsidRPr="00B936A6">
        <w:t>, 833 F.2d 810 (9</w:t>
      </w:r>
      <w:r w:rsidRPr="00B936A6">
        <w:rPr>
          <w:vertAlign w:val="superscript"/>
        </w:rPr>
        <w:t>th</w:t>
      </w:r>
      <w:r w:rsidRPr="00B936A6">
        <w:t xml:space="preserve"> Cir. 1987), </w:t>
      </w:r>
      <w:proofErr w:type="spellStart"/>
      <w:r w:rsidRPr="00B936A6">
        <w:rPr>
          <w:i/>
          <w:iCs/>
        </w:rPr>
        <w:t>rev’d</w:t>
      </w:r>
      <w:proofErr w:type="spellEnd"/>
      <w:r w:rsidRPr="00B936A6">
        <w:rPr>
          <w:i/>
          <w:iCs/>
        </w:rPr>
        <w:t xml:space="preserve"> on other grounds</w:t>
      </w:r>
      <w:r w:rsidRPr="00B936A6">
        <w:t xml:space="preserve">, 490 U.S. 332 (1989) (agency must consider alternative sites for a project). The Ninth Circuit has concluded that “the existence of a viable but unexamined alternative renders an environmental impact statement inadequate.” </w:t>
      </w:r>
      <w:r w:rsidRPr="00B936A6">
        <w:rPr>
          <w:i/>
          <w:iCs/>
        </w:rPr>
        <w:t>Alaska Wilderness Recreation &amp; Tourism v. Morrison</w:t>
      </w:r>
      <w:r w:rsidRPr="00B936A6">
        <w:t>, 67 F.3d 723, 729 (9</w:t>
      </w:r>
      <w:r w:rsidRPr="00B936A6">
        <w:rPr>
          <w:vertAlign w:val="superscript"/>
        </w:rPr>
        <w:t>th</w:t>
      </w:r>
      <w:r w:rsidRPr="00B936A6">
        <w:t xml:space="preserve"> Cir.1995). </w:t>
      </w:r>
    </w:p>
    <w:p w:rsidR="00D91F47" w:rsidRPr="00B936A6" w:rsidRDefault="00D91F47" w:rsidP="00C13CE6"/>
    <w:p w:rsidR="00D91F47" w:rsidRPr="00F9052E" w:rsidRDefault="00D91F47" w:rsidP="00F9052E">
      <w:pPr>
        <w:pStyle w:val="Heading2"/>
      </w:pPr>
      <w:bookmarkStart w:id="1" w:name="_Toc160629128"/>
      <w:r w:rsidRPr="00F9052E">
        <w:t>Consider non-commercial alternatives to accomplish real restoration.</w:t>
      </w:r>
      <w:bookmarkEnd w:id="1"/>
    </w:p>
    <w:p w:rsidR="00D91F47" w:rsidRPr="00B936A6" w:rsidRDefault="00D91F47" w:rsidP="00D91F47"/>
    <w:p w:rsidR="00D91F47" w:rsidRPr="00B936A6" w:rsidRDefault="00D91F47" w:rsidP="00D91F47">
      <w:r w:rsidRPr="00B936A6">
        <w:t xml:space="preserve">For too long managers have been choosing restoration priorities based on economic return, rather than ecological need. This leads to problems. Most of the forests that need restoration will not support a viable timber sale. Restoring these places will require investment, not profit taking. </w:t>
      </w:r>
    </w:p>
    <w:p w:rsidR="00D91F47" w:rsidRPr="00B936A6" w:rsidRDefault="00D91F47" w:rsidP="00D91F47"/>
    <w:p w:rsidR="00D91F47" w:rsidRPr="00B936A6" w:rsidRDefault="00D91F47" w:rsidP="00D91F47">
      <w:r w:rsidRPr="00B936A6">
        <w:t xml:space="preserve">The agency should consider a very sobering report from PNW Research showing that commercial logging is not a very good tool for restoration because it will be useful to address only a small fraction of the restoration needs in degraded forests with relatively low productivity like the Blue Mountains. </w:t>
      </w:r>
    </w:p>
    <w:p w:rsidR="00D91F47" w:rsidRDefault="00D91F47" w:rsidP="00D91F47">
      <w:pPr>
        <w:pStyle w:val="NormalWeb"/>
        <w:rPr>
          <w:u w:val="single"/>
        </w:rPr>
      </w:pPr>
      <w:r>
        <w:t xml:space="preserve">This confirms what we have known for years, that past management has taken too many of the big trees and left current managers with limited options. After being clearcut or high-graded in the past, and given the high production costs and low value of small logs, </w:t>
      </w:r>
      <w:r>
        <w:rPr>
          <w:u w:val="single"/>
        </w:rPr>
        <w:t>most dense over-stocked stands will not support a viable timber sale that still sustains the other important values in the forest</w:t>
      </w:r>
      <w:r>
        <w:t>. The report says that retained receipts will help some, but not much. And if the 21" diameter cap in the Eastside Screens were lifted to make 'restoration' more profitable, no one could legitimately call it restoration any more.</w:t>
      </w:r>
    </w:p>
    <w:p w:rsidR="00D91F47" w:rsidRDefault="00D91F47" w:rsidP="00D91F47">
      <w:pPr>
        <w:pStyle w:val="NormalWeb"/>
      </w:pPr>
      <w:r>
        <w:rPr>
          <w:u w:val="single"/>
        </w:rPr>
        <w:t>The bottom line is that real forest restoration will require an investment of resources, not more profit taking.</w:t>
      </w:r>
      <w:r>
        <w:t xml:space="preserve"> Too many people seem to be under the false impression that thinning is a magic bullet that will solve all our problems. </w:t>
      </w:r>
      <w:r w:rsidRPr="00CA12D2">
        <w:t xml:space="preserve">Other forms of restoration such as prescribed fire and non-commercial thinning often make more sense from a variety of perspectives, but funding is a challenge. How will these </w:t>
      </w:r>
      <w:r>
        <w:t xml:space="preserve">higher priority </w:t>
      </w:r>
      <w:r w:rsidRPr="00CA12D2">
        <w:t xml:space="preserve">actions be funded if Congress is under a false impression that </w:t>
      </w:r>
      <w:r>
        <w:t xml:space="preserve">commercial </w:t>
      </w:r>
      <w:r w:rsidRPr="00CA12D2">
        <w:t>thinning is the universal antidote?</w:t>
      </w:r>
    </w:p>
    <w:p w:rsidR="00D91F47" w:rsidRPr="00B936A6" w:rsidRDefault="00D91F47" w:rsidP="00D91F47">
      <w:pPr>
        <w:ind w:right="720"/>
        <w:rPr>
          <w:color w:val="000000"/>
        </w:rPr>
      </w:pPr>
      <w:r w:rsidRPr="00B936A6">
        <w:t xml:space="preserve">The Report to the President that forms the foundation for the National Fire Plan recommends that we “Invest in Projects to Reduce Fire Risk. Addressing the brush, small </w:t>
      </w:r>
      <w:r w:rsidRPr="00B936A6">
        <w:lastRenderedPageBreak/>
        <w:t xml:space="preserve">trees, and downed material that have accumulated in many forests because of past management activities, especially a century of suppressing wildland fires, will require significant investments to treat landscapes through thinning and prescribed fire.” Whitehouse. Managing the Impact of Wildfires on Communities and the Environment. A Report to the President In Response to the Wildfires of 2000. September 8, 2000. </w:t>
      </w:r>
      <w:hyperlink r:id="rId19" w:history="1">
        <w:r w:rsidRPr="00B936A6">
          <w:rPr>
            <w:rStyle w:val="Hyperlink"/>
          </w:rPr>
          <w:t>http://www.forestsandrangelands.gov/resources/reports/documents/2001/8-20-en.pdf</w:t>
        </w:r>
      </w:hyperlink>
      <w:r w:rsidRPr="00B936A6">
        <w:t xml:space="preserve"> The main point here is that the fuels that need to be removed are small fuels, including brush and down wood that will require “investments” as opposed to commercial sized material. Similarly, “Restoration of an old-forest network carries with it long-term management costs with little commodity production.” </w:t>
      </w:r>
      <w:r w:rsidRPr="00B936A6">
        <w:rPr>
          <w:color w:val="000000"/>
        </w:rPr>
        <w:t xml:space="preserve">Everett, R., P. </w:t>
      </w:r>
      <w:proofErr w:type="spellStart"/>
      <w:r w:rsidRPr="00B936A6">
        <w:rPr>
          <w:color w:val="000000"/>
        </w:rPr>
        <w:t>Hessburg</w:t>
      </w:r>
      <w:proofErr w:type="spellEnd"/>
      <w:r w:rsidRPr="00B936A6">
        <w:rPr>
          <w:color w:val="000000"/>
        </w:rPr>
        <w:t xml:space="preserve">, J. </w:t>
      </w:r>
      <w:proofErr w:type="spellStart"/>
      <w:r w:rsidRPr="00B936A6">
        <w:rPr>
          <w:color w:val="000000"/>
        </w:rPr>
        <w:t>Lehmkuhl</w:t>
      </w:r>
      <w:proofErr w:type="spellEnd"/>
      <w:r w:rsidRPr="00B936A6">
        <w:rPr>
          <w:color w:val="000000"/>
        </w:rPr>
        <w:t xml:space="preserve">, M. Jensen, and P. </w:t>
      </w:r>
      <w:proofErr w:type="spellStart"/>
      <w:r w:rsidRPr="00B936A6">
        <w:rPr>
          <w:color w:val="000000"/>
        </w:rPr>
        <w:t>Bourgeron</w:t>
      </w:r>
      <w:proofErr w:type="spellEnd"/>
      <w:r w:rsidRPr="00B936A6">
        <w:rPr>
          <w:color w:val="000000"/>
        </w:rPr>
        <w:t xml:space="preserve">. 1994. </w:t>
      </w:r>
      <w:r w:rsidRPr="00B936A6">
        <w:rPr>
          <w:bCs/>
          <w:color w:val="000000"/>
        </w:rPr>
        <w:t>Old Forests in Dynamic Landscapes: Dry-Site Forests of Eastern Oregon and Washington.</w:t>
      </w:r>
      <w:r w:rsidRPr="00B936A6">
        <w:rPr>
          <w:color w:val="000000"/>
        </w:rPr>
        <w:t xml:space="preserve"> Journal of Forestry 92: 22-25.</w:t>
      </w:r>
    </w:p>
    <w:p w:rsidR="00D91F47" w:rsidRPr="00B936A6" w:rsidRDefault="00D91F47" w:rsidP="00D91F47">
      <w:pPr>
        <w:ind w:right="720"/>
      </w:pPr>
    </w:p>
    <w:p w:rsidR="00D91F47" w:rsidRDefault="00D91F47" w:rsidP="00D91F47">
      <w:pPr>
        <w:pStyle w:val="NormalWeb"/>
      </w:pPr>
      <w:r>
        <w:t xml:space="preserve">The report is </w:t>
      </w:r>
      <w:proofErr w:type="spellStart"/>
      <w:r>
        <w:t>Rainville</w:t>
      </w:r>
      <w:proofErr w:type="spellEnd"/>
      <w:r>
        <w:t xml:space="preserve">, Robert; White, Rachel; Barbour, Jamie, tech. eds. 2008. </w:t>
      </w:r>
      <w:r>
        <w:rPr>
          <w:u w:val="single"/>
        </w:rPr>
        <w:t>Assessment of timber availability from forest restoration within the Blue Mountains of Oregon</w:t>
      </w:r>
      <w:r>
        <w:t xml:space="preserve">. Gen. Tech. Rep. PNW-GTR-752. Portland, OR: U.S. Department of Agriculture, Forest Service, Pacific Northwest Research Station. 65 p. </w:t>
      </w:r>
      <w:hyperlink r:id="rId20" w:anchor="_blank" w:history="1">
        <w:r>
          <w:rPr>
            <w:rStyle w:val="Hyperlink"/>
          </w:rPr>
          <w:t>http://www.fs.fed.us/pnw/pubs/pnw_gtr752.pdf</w:t>
        </w:r>
      </w:hyperlink>
      <w:r>
        <w:t xml:space="preserve"> (From the abstract: “Hoping to boost their economies and also restore these forests, local leaders are interested in the economic value of timber that might be available from thinning treatments on these lands. … [W]e found that on lands where active forestry is allowable, thinning of most densely stocked stands would not be economically viable.”)</w:t>
      </w:r>
    </w:p>
    <w:p w:rsidR="00D91F47" w:rsidRPr="00B936A6" w:rsidRDefault="00D91F47" w:rsidP="00D91F47">
      <w:pPr>
        <w:ind w:left="720"/>
      </w:pPr>
      <w:r w:rsidRPr="00B936A6">
        <w:t>REPORT EXCERPTS:</w:t>
      </w:r>
      <w:r w:rsidRPr="00B936A6">
        <w:br/>
      </w:r>
      <w:r w:rsidRPr="00B936A6">
        <w:br/>
        <w:t xml:space="preserve">In the 46 percent of the three Blue Mountains national forests that is forested, thinning with timber removal is an unlikely treatment method. This does not mean that other vegetative management options (prescribed fire, wildland fire use, or thinning without commercial timber removal) could not be used to reduce fire hazard, but it is doubtful that these areas would produce much commercial timber. </w:t>
      </w:r>
      <w:r w:rsidRPr="00B936A6">
        <w:br/>
        <w:t xml:space="preserve">… </w:t>
      </w:r>
      <w:r w:rsidRPr="00B936A6">
        <w:br/>
        <w:t xml:space="preserve">The distribution of the densely stocked stands within the active forest MAC will present challenges to management. In most cases, stands in need of treatment are widely scattered. A few larger blocks exist, but they are the exception. The fragmented nature of the densely stocked stands will result in increased transportation costs. More roads will be needed to access stands. The volume of harvested material will be transported on more miles of road than if the densely stocked stands were located in blocks. This situation will increase operation costs and prohibit treatment of some stands through traditional federal contracting methods. </w:t>
      </w:r>
      <w:r w:rsidRPr="00B936A6">
        <w:br/>
      </w:r>
      <w:r w:rsidRPr="00B936A6">
        <w:rPr>
          <w:b/>
          <w:bCs/>
        </w:rPr>
        <w:t>…</w:t>
      </w:r>
      <w:r w:rsidRPr="00B936A6">
        <w:t xml:space="preserve"> </w:t>
      </w:r>
      <w:r w:rsidRPr="00B936A6">
        <w:br/>
        <w:t xml:space="preserve">Restricted and lynx MACs account for 1,107,000 acres (20 percent). Although some timber products could result from treatments within these areas, outputs will likely be low and unpredictable because of the controversial nature of timber harvest and thinning treatments within lynx, riparian, and old-growth areas. Faced with limited budgets, national forest managers will likely focus their restoration efforts in less controversial areas. </w:t>
      </w:r>
      <w:r w:rsidRPr="00B936A6">
        <w:br/>
      </w:r>
      <w:r w:rsidRPr="00B936A6">
        <w:lastRenderedPageBreak/>
        <w:t xml:space="preserve">… </w:t>
      </w:r>
      <w:r w:rsidRPr="00B936A6">
        <w:br/>
        <w:t>Over the 14 years prior to this analysis, about 30 percent of the 1.6 million acres of national forest land available for active harvest underwent some sort of timber harvest (</w:t>
      </w:r>
      <w:proofErr w:type="spellStart"/>
      <w:r w:rsidRPr="00B936A6">
        <w:t>Braymen</w:t>
      </w:r>
      <w:proofErr w:type="spellEnd"/>
      <w:r w:rsidRPr="00B936A6">
        <w:t xml:space="preserve"> et al. this volume). … most commercially harvested stands were treated by using seed-tree cuts or clearcuts. </w:t>
      </w:r>
      <w:r w:rsidRPr="00B936A6">
        <w:br/>
        <w:t xml:space="preserve">… </w:t>
      </w:r>
      <w:r w:rsidRPr="00B936A6">
        <w:br/>
        <w:t xml:space="preserve">From 1988 until about 1995, clearcuts, seed-tree harvests, and removal harvests were the most common commercial harvest techniques, generally accounting for over 60 percent of the acreage treated commercially. After 1995, use of these treatments dropped off precipitously. For all years after 1997, they accounted for less than 30 percent of the harvested area— dropping to 10 percent in 2000 and 2001. In contrast, commercial thinning shows almost the opposite pattern: it increased from less than 10 percent of the area treated in 1988 through 1994 to more than 50 percent of the area treated by the end of the </w:t>
      </w:r>
      <w:proofErr w:type="spellStart"/>
      <w:r w:rsidRPr="00B936A6">
        <w:t>preanalysis</w:t>
      </w:r>
      <w:proofErr w:type="spellEnd"/>
      <w:r w:rsidRPr="00B936A6">
        <w:t xml:space="preserve"> period </w:t>
      </w:r>
      <w:r w:rsidRPr="00B936A6">
        <w:br/>
        <w:t xml:space="preserve">… </w:t>
      </w:r>
      <w:r w:rsidRPr="00B936A6">
        <w:br/>
        <w:t>we conclude that regenerating stands located in many of the areas harvested since 1988 have matured into densely stocked</w:t>
      </w:r>
      <w:r w:rsidRPr="00B936A6">
        <w:rPr>
          <w:i/>
          <w:iCs/>
        </w:rPr>
        <w:t xml:space="preserve">1 </w:t>
      </w:r>
      <w:r w:rsidRPr="00B936A6">
        <w:t xml:space="preserve">conditions where thinning treatments will primarily yield small, noncommercial timber. Past experience suggests that funding will be needed to accomplish these treatments. </w:t>
      </w:r>
      <w:r w:rsidRPr="00B936A6">
        <w:br/>
        <w:t xml:space="preserve">… </w:t>
      </w:r>
      <w:r w:rsidRPr="00B936A6">
        <w:br/>
        <w:t xml:space="preserve">The analysis indicated that up to 943,000 acres (58 percent) of national forest lands in the active forestry timber availability category are densely stocked (table 4-4). Simulations showed that thinning would yield less than 400 CF of merchantable timber per acre on nearly half of the acreage (472,000 acres) (fig. 4-2). These low yields would be inadequate to support a commercially viable treatment, </w:t>
      </w:r>
      <w:r w:rsidRPr="00B936A6">
        <w:br/>
        <w:t xml:space="preserve">… </w:t>
      </w:r>
      <w:r w:rsidRPr="00B936A6">
        <w:br/>
        <w:t xml:space="preserve">Simulated thinning of densely stocked stands with potential yields greater than 400 CF per acre generated relatively low volumes per acre. Almost 40 percent of the volume was composed of trees smaller than 10 inches </w:t>
      </w:r>
      <w:proofErr w:type="spellStart"/>
      <w:r w:rsidRPr="00B936A6">
        <w:t>d.b.h</w:t>
      </w:r>
      <w:proofErr w:type="spellEnd"/>
      <w:r w:rsidRPr="00B936A6">
        <w:t xml:space="preserve">., and 67 percent were trees smaller than 13 inches </w:t>
      </w:r>
      <w:proofErr w:type="spellStart"/>
      <w:r w:rsidRPr="00B936A6">
        <w:t>d.b.h</w:t>
      </w:r>
      <w:proofErr w:type="spellEnd"/>
      <w:r w:rsidRPr="00B936A6">
        <w:t xml:space="preserve">. Trees larger than 16 inches </w:t>
      </w:r>
      <w:proofErr w:type="spellStart"/>
      <w:r w:rsidRPr="00B936A6">
        <w:t>d.b.h</w:t>
      </w:r>
      <w:proofErr w:type="spellEnd"/>
      <w:r w:rsidRPr="00B936A6">
        <w:t xml:space="preserve">. accounted for less than 15 percent of the harvest volume. Harvest volumes averaged 3,200 BF per acre …. </w:t>
      </w:r>
      <w:r w:rsidRPr="00B936A6">
        <w:br/>
      </w:r>
      <w:r w:rsidRPr="00B936A6">
        <w:br/>
        <w:t xml:space="preserve">… Commercial thinning would only be possible where the value of the timber harvested exceeds the cost of the harvesting, hauling, road maintenance, and contractual requirements (i.e., a positive net revenue exists). </w:t>
      </w:r>
      <w:r w:rsidRPr="00B936A6">
        <w:rPr>
          <w:b/>
          <w:bCs/>
        </w:rPr>
        <w:t>Because most simulated thinnings harvested low volumes of small trees, commercial removal was possible on only 39,900 (± 4,600) acres, or less than 10 percent of the densely stocked acres (table 4-8).</w:t>
      </w:r>
      <w:r w:rsidRPr="00B936A6">
        <w:t xml:space="preserve"> </w:t>
      </w:r>
      <w:r w:rsidRPr="00B936A6">
        <w:br/>
        <w:t xml:space="preserve">… </w:t>
      </w:r>
      <w:r w:rsidRPr="00B936A6">
        <w:br/>
        <w:t xml:space="preserve">Financial analysis indicated that most densely stocked stands could not be thinned without some investment. Up to $250 per acre would be needed to treat 136,000 acres (fig. 4-5). Another 138,000 acres could be treated for $250 to $500 per acre. </w:t>
      </w:r>
      <w:r w:rsidRPr="00B936A6">
        <w:br/>
        <w:t xml:space="preserve">… </w:t>
      </w:r>
      <w:r w:rsidRPr="00B936A6">
        <w:br/>
        <w:t xml:space="preserve">High operational costs and low market values associated with harvest of such low volumes of small trees would undermine the potential for commercial treatments on </w:t>
      </w:r>
      <w:r w:rsidRPr="00B936A6">
        <w:lastRenderedPageBreak/>
        <w:t xml:space="preserve">most densely stocked acres. The industry that existed in the Blue Mountains prior to the early 1990s was primarily focused on processing mid-sized to large logs (&gt;15 inches in diameter). Use of materials from thinning densely stocked stands will require the development of new markets for a different set of products… </w:t>
      </w:r>
      <w:r w:rsidRPr="00B936A6">
        <w:br/>
        <w:t xml:space="preserve">… </w:t>
      </w:r>
      <w:r w:rsidRPr="00B936A6">
        <w:br/>
        <w:t xml:space="preserve">Changes in market values, industrial demand, availability of subsidies, or agency policies could make thinning commercially viable on many of these densely stocked acres. </w:t>
      </w:r>
      <w:r w:rsidRPr="00B936A6">
        <w:br/>
        <w:t xml:space="preserve">Nevertheless, </w:t>
      </w:r>
      <w:r w:rsidRPr="00B936A6">
        <w:rPr>
          <w:b/>
          <w:bCs/>
        </w:rPr>
        <w:t>even when considered under the most favorable of assumptions, most densely stocked stands would not be treatable without significant investments</w:t>
      </w:r>
      <w:r w:rsidRPr="00B936A6">
        <w:t xml:space="preserve">. </w:t>
      </w:r>
      <w:r w:rsidRPr="00B936A6">
        <w:br/>
        <w:t xml:space="preserve">… </w:t>
      </w:r>
      <w:r w:rsidRPr="00B936A6">
        <w:br/>
        <w:t xml:space="preserve">In thinking about the future of the timber industry in this region, it may be useful to consider whether national forests can make a difference </w:t>
      </w:r>
      <w:r w:rsidRPr="00B936A6">
        <w:br/>
        <w:t xml:space="preserve">… </w:t>
      </w:r>
      <w:r w:rsidRPr="00B936A6">
        <w:br/>
        <w:t xml:space="preserve">The assessment found that an additional 75,000 acres could be thinned, and 225 million board feet (MMBF) of saw logs could be harvested commercially if national forests were able to reinvest receipts from the thinning of stands with positive net revenues to treat those with negative net revenues (table 5-1). </w:t>
      </w:r>
      <w:r w:rsidRPr="00B936A6">
        <w:br/>
        <w:t xml:space="preserve">… </w:t>
      </w:r>
      <w:r w:rsidRPr="00B936A6">
        <w:br/>
        <w:t xml:space="preserve">When the regional forester’s forest plan amendment restriction on harvest of trees larger than 21 inches </w:t>
      </w:r>
      <w:proofErr w:type="spellStart"/>
      <w:r w:rsidRPr="00B936A6">
        <w:t>d.b.h</w:t>
      </w:r>
      <w:proofErr w:type="spellEnd"/>
      <w:r w:rsidRPr="00B936A6">
        <w:t xml:space="preserve">. was removed, the number of densely stocked acres with positive net revenues nearly doubled, increasing from 39,900 to 79,100 acres. </w:t>
      </w:r>
      <w:r w:rsidRPr="00B936A6">
        <w:br/>
      </w:r>
      <w:r w:rsidRPr="00B936A6">
        <w:br/>
        <w:t xml:space="preserve">The saw-log volume with a positive net revenue increased from 167 (±36) MMBF </w:t>
      </w:r>
      <w:r w:rsidRPr="00B936A6">
        <w:br/>
        <w:t xml:space="preserve">to 356 (±57) MMBF (table 5-2). … </w:t>
      </w:r>
      <w:r w:rsidRPr="00B936A6">
        <w:br/>
      </w:r>
      <w:r w:rsidRPr="00B936A6">
        <w:br/>
        <w:t xml:space="preserve">This assessment did not, however, include considering the effects removing those large trees would have on other forest resources, such as snag dependent wildlife. During project planning, habitat needs of animals that use large trees, and public input are considered. Consideration of these factors is likely to substantially reduce the number of acres and volume of large-diameter timber that would actually be harvested if the east-side screens were removed. </w:t>
      </w:r>
      <w:r w:rsidRPr="00B936A6">
        <w:br/>
        <w:t xml:space="preserve">… </w:t>
      </w:r>
      <w:r w:rsidRPr="00B936A6">
        <w:br/>
        <w:t xml:space="preserve">Both the new and proposed policy changes evaluated here enhanced managers’ </w:t>
      </w:r>
      <w:r w:rsidRPr="00B936A6">
        <w:br/>
        <w:t xml:space="preserve">ability to treat densely stocked stands cost-effectively. The modifications improved net economic results sufficiently to permit thinning of many of the 136,000 acres with borderline negative financial returns (chapter 3). Figure 5-1 compares the effectiveness of each policy modification in improving managers’ ability to treat densely stocked stands. </w:t>
      </w:r>
      <w:r w:rsidRPr="00B936A6">
        <w:br/>
      </w:r>
      <w:r w:rsidRPr="00B936A6">
        <w:br/>
        <w:t xml:space="preserve">Of the modifications, reinvestment of receipts yielded the most promising results. Often, negative net revenue stands are located close to positive net revenue treatments. Reinvestment of receipts improves managers’ ability to treat more acres by providing funds needed to treat nearby negative net revenue stands. </w:t>
      </w:r>
      <w:r w:rsidRPr="00B936A6">
        <w:br/>
        <w:t xml:space="preserve">… </w:t>
      </w:r>
      <w:r w:rsidRPr="00B936A6">
        <w:br/>
      </w:r>
      <w:r w:rsidRPr="00B936A6">
        <w:lastRenderedPageBreak/>
        <w:t xml:space="preserve">The report verifies local land managers’ observations that the land base to support timber harvest targets is in reality smaller than anticipated in past planning exercises. Restrictions and best management practices developed since forest plans were approved in the early 1990s have reduced the land base for harvest and mechanical restoration activities. </w:t>
      </w:r>
      <w:r w:rsidRPr="00B936A6">
        <w:br/>
        <w:t xml:space="preserve">… </w:t>
      </w:r>
      <w:r w:rsidRPr="00B936A6">
        <w:br/>
        <w:t>The report’s projections of treatable acres and commercially removable timber volumes are likely high because site-specific needs, such as bald eagle (</w:t>
      </w:r>
      <w:proofErr w:type="spellStart"/>
      <w:r w:rsidRPr="00B936A6">
        <w:rPr>
          <w:i/>
          <w:iCs/>
        </w:rPr>
        <w:t>Haliaeetus</w:t>
      </w:r>
      <w:proofErr w:type="spellEnd"/>
      <w:r w:rsidRPr="00B936A6">
        <w:rPr>
          <w:i/>
          <w:iCs/>
        </w:rPr>
        <w:t xml:space="preserve"> </w:t>
      </w:r>
      <w:proofErr w:type="spellStart"/>
      <w:r w:rsidRPr="00B936A6">
        <w:rPr>
          <w:i/>
          <w:iCs/>
        </w:rPr>
        <w:t>leucocephalus</w:t>
      </w:r>
      <w:proofErr w:type="spellEnd"/>
      <w:r w:rsidRPr="00B936A6">
        <w:rPr>
          <w:i/>
          <w:iCs/>
        </w:rPr>
        <w:t xml:space="preserve"> </w:t>
      </w:r>
      <w:r w:rsidRPr="00B936A6">
        <w:t xml:space="preserve">Linn.) nests, fragile </w:t>
      </w:r>
      <w:proofErr w:type="spellStart"/>
      <w:r w:rsidRPr="00B936A6">
        <w:t>viewsheds</w:t>
      </w:r>
      <w:proofErr w:type="spellEnd"/>
      <w:r w:rsidRPr="00B936A6">
        <w:t xml:space="preserve">, special local places, and snag requirements were not considered. The report, therefore, represents an upper limit for possible timber harvest given current laws, regulations, and prevailing public opinion about how federally administered forests should be managed. </w:t>
      </w:r>
      <w:r w:rsidRPr="00B936A6">
        <w:br/>
        <w:t xml:space="preserve">… </w:t>
      </w:r>
      <w:r w:rsidRPr="00B936A6">
        <w:br/>
        <w:t>The requirement to maintain live trees greater than 21 inches diameter at breast height has a small effect on managers’ ability to treat densely stocked stands. Large trees are generally lacking on the forests, especially in areas where mechanical treatments have been possible. Where large trees are found, they are often needed to meet multiple-use objectives that were not analyzed in the study. Unless there is some compelling ecological reason, their short supply makes it unlikely that managers would add larger trees to the harvest to make thinning operations financially feasible.</w:t>
      </w:r>
      <w:r w:rsidRPr="00B936A6">
        <w:br/>
      </w:r>
      <w:r w:rsidRPr="00B936A6">
        <w:br/>
        <w:t>To implement restoration prescriptions in light of these limitations, managers must be strategic, collaborative, and in tune with changes in policies, technology, and markets.</w:t>
      </w:r>
    </w:p>
    <w:p w:rsidR="00D91F47" w:rsidRPr="00B936A6" w:rsidRDefault="00D91F47" w:rsidP="00D91F47"/>
    <w:p w:rsidR="00D91F47" w:rsidRPr="00B936A6" w:rsidRDefault="00D91F47" w:rsidP="00D91F47">
      <w:r w:rsidRPr="00B936A6">
        <w:t xml:space="preserve">The agency must test the assumption that fire (and insect) risk reduction is compatible with ecological restoration objectives. This test must be spatial, probabilistic, and use reasonable assumptions about weather, fire frequency, fire suppression, and historic conditions in areas with variable-severity fire regimes. Sensitivity analysis should test the robustness of assumptions and conclusions. Example analyses can be found in the literature, e.g. Rutherford V. Platt, Thomas T. Veblen, and Rosemary L. Sherriff. 2006. Are Wildfire Mitigation and Restoration of Historic Forest Structure Compatible? A Spatial Modeling Assessment. Annals of the Association of American Geographers, 96(3), 2006, pp. 455–470. </w:t>
      </w:r>
      <w:hyperlink r:id="rId21" w:history="1">
        <w:r w:rsidRPr="00B936A6">
          <w:rPr>
            <w:rStyle w:val="Hyperlink"/>
          </w:rPr>
          <w:t>http://www.colorado.edu/geography/class_homepages/geog_4430_f10/Platt%20et%20al_Wildfire%20Mitigatnion_AnAAG_2006.PDF</w:t>
        </w:r>
      </w:hyperlink>
      <w:r w:rsidRPr="00B936A6">
        <w:t xml:space="preserve">, </w:t>
      </w:r>
      <w:r w:rsidRPr="00B936A6">
        <w:rPr>
          <w:i/>
        </w:rPr>
        <w:t>and</w:t>
      </w:r>
      <w:r w:rsidRPr="00B936A6">
        <w:t xml:space="preserve"> R. V. Platt, T. T. Veblen, and R. L. Sherriff. 2008. Spatial Model of Forest Management Strategies and Outcomes in the Wildland–Urban Interface Natural Hazards Review, Vol. 9, No. 4, November 1, 2008. DOI:10.1061/(ASCE)1527-6988(2008)9:4(199) </w:t>
      </w:r>
      <w:hyperlink r:id="rId22" w:history="1">
        <w:r w:rsidRPr="00B936A6">
          <w:rPr>
            <w:rStyle w:val="Hyperlink"/>
          </w:rPr>
          <w:t>http://public.gettysburg.edu/~rplatt/Platt%20et%20al._NatHazReview08.pdf</w:t>
        </w:r>
      </w:hyperlink>
      <w:r w:rsidRPr="00B936A6">
        <w:t>.</w:t>
      </w:r>
    </w:p>
    <w:p w:rsidR="00D91F47" w:rsidRDefault="00D91F47" w:rsidP="00D91F47">
      <w:pPr>
        <w:pStyle w:val="BodyTextIndent"/>
      </w:pPr>
      <w:r>
        <w:t xml:space="preserve">“The results point toward several ways to guide current management practices in the study area. First, prioritizing land at the lowest elevations leads to the selection of the most land where both wildfire mitigation and restoration of historical forest conditions are needed. When thinning is restricted to Forest Service land, less land is selected where both goals are needed under all parameter scenarios. This is because Forest Service land tends to be at higher elevations and comprises forest types that are within the HRV. … Prioritizing the stands with the highest canopy cover decreases the percentage of selected </w:t>
      </w:r>
      <w:r>
        <w:lastRenderedPageBreak/>
        <w:t xml:space="preserve">land where both outcomes are needed (Table 4). </w:t>
      </w:r>
      <w:r w:rsidRPr="00136C4D">
        <w:rPr>
          <w:u w:val="single"/>
        </w:rPr>
        <w:t>Many of the stands where restoration of historical forest conditions is needed are open canopy and located on south facing slopes and at lower elevations. In contrast, many closed canopy stands are often located at higher elevations and on north-facing slopes where restoration of historical forest conditions is not needed</w:t>
      </w:r>
      <w:r>
        <w:t>.”</w:t>
      </w:r>
    </w:p>
    <w:p w:rsidR="00D91F47" w:rsidRPr="00B936A6" w:rsidRDefault="00D91F47" w:rsidP="00D91F47"/>
    <w:p w:rsidR="00D91F47" w:rsidRPr="00B936A6" w:rsidRDefault="00D91F47" w:rsidP="00D91F47">
      <w:r w:rsidRPr="00B936A6">
        <w:t xml:space="preserve">"An alternative may not be disregarded merely because it does not offer a complete solution to the problem."  </w:t>
      </w:r>
      <w:r w:rsidRPr="00B936A6">
        <w:rPr>
          <w:i/>
        </w:rPr>
        <w:t xml:space="preserve">Citizens Against Toxic Sprays v. </w:t>
      </w:r>
      <w:proofErr w:type="spellStart"/>
      <w:r w:rsidRPr="00B936A6">
        <w:rPr>
          <w:i/>
        </w:rPr>
        <w:t>Bergland</w:t>
      </w:r>
      <w:proofErr w:type="spellEnd"/>
      <w:r w:rsidRPr="00B936A6">
        <w:t>, 428 F. Supp. 908. 933 (D. Or. 1977).  As one court explained, "[o]</w:t>
      </w:r>
      <w:proofErr w:type="spellStart"/>
      <w:r w:rsidRPr="00B936A6">
        <w:t>bviously</w:t>
      </w:r>
      <w:proofErr w:type="spellEnd"/>
      <w:r w:rsidRPr="00B936A6">
        <w:t xml:space="preserve">, any genuine alternative to a proposed action will not fully accomplish all of the goals of the original proposal. One of the reasons that Congress has required agencies to set out and evaluate alternative actions is to give perspective on the environmental costs, and the social necessity, of going ahead with the original proposal."   </w:t>
      </w:r>
      <w:r w:rsidRPr="00B936A6">
        <w:rPr>
          <w:i/>
        </w:rPr>
        <w:t xml:space="preserve">Town of Matthews v. United States </w:t>
      </w:r>
      <w:proofErr w:type="spellStart"/>
      <w:r w:rsidRPr="00B936A6">
        <w:rPr>
          <w:i/>
        </w:rPr>
        <w:t>Dept</w:t>
      </w:r>
      <w:proofErr w:type="spellEnd"/>
      <w:r w:rsidRPr="00B936A6">
        <w:rPr>
          <w:i/>
        </w:rPr>
        <w:t xml:space="preserve"> of Transp.</w:t>
      </w:r>
      <w:r w:rsidRPr="00B936A6">
        <w:t>, 527 F. Supp. 1055, 1058 (W.D.N.C. 1981).</w:t>
      </w:r>
    </w:p>
    <w:p w:rsidR="00D91F47" w:rsidRPr="00B936A6" w:rsidRDefault="00D91F47" w:rsidP="00C13CE6"/>
    <w:p w:rsidR="00254B06" w:rsidRPr="009B4CCC" w:rsidRDefault="00254B06" w:rsidP="009B4CCC">
      <w:pPr>
        <w:pStyle w:val="Heading2"/>
      </w:pPr>
      <w:r w:rsidRPr="009B4CCC">
        <w:t>Conserve Large Trees and Old Trees</w:t>
      </w:r>
    </w:p>
    <w:p w:rsidR="00920614" w:rsidRPr="00B936A6" w:rsidRDefault="00920614" w:rsidP="00F9052E">
      <w:pPr>
        <w:shd w:val="clear" w:color="auto" w:fill="FFFFFF"/>
        <w:rPr>
          <w:rFonts w:eastAsia="Times New Roman" w:cs="Times New Roman"/>
          <w:color w:val="000000"/>
          <w:spacing w:val="-2"/>
        </w:rPr>
      </w:pPr>
      <w:r w:rsidRPr="00B936A6">
        <w:rPr>
          <w:rFonts w:eastAsia="Times New Roman" w:cs="Times New Roman"/>
          <w:color w:val="000000"/>
          <w:spacing w:val="-2"/>
        </w:rPr>
        <w:t>Large and old trees are rare compared to the historic range of variability and they provide a wide range of ecosystem services related to carbon/climate, fish &amp; wildlife habitat, hydrological function, fire resistance/resilience, recreation and scenic values, etc. The EA needs to explain the value of conserving large and old trees, and the adverse effects of removing large and old trees.</w:t>
      </w:r>
    </w:p>
    <w:p w:rsidR="00864B56" w:rsidRPr="00B936A6" w:rsidRDefault="00864B56" w:rsidP="00F9052E">
      <w:pPr>
        <w:shd w:val="clear" w:color="auto" w:fill="FFFFFF"/>
        <w:rPr>
          <w:rFonts w:eastAsia="Times New Roman" w:cs="Times New Roman"/>
          <w:color w:val="000000"/>
          <w:spacing w:val="-2"/>
        </w:rPr>
      </w:pPr>
    </w:p>
    <w:p w:rsidR="00864B56" w:rsidRPr="00B936A6" w:rsidRDefault="00864B56" w:rsidP="00F9052E">
      <w:pPr>
        <w:shd w:val="clear" w:color="auto" w:fill="FFFFFF"/>
        <w:rPr>
          <w:color w:val="000000"/>
          <w:shd w:val="clear" w:color="auto" w:fill="FFFFFF"/>
        </w:rPr>
      </w:pPr>
      <w:r w:rsidRPr="00B936A6">
        <w:rPr>
          <w:rFonts w:eastAsia="Times New Roman" w:cs="Times New Roman"/>
          <w:color w:val="000000"/>
          <w:spacing w:val="-2"/>
        </w:rPr>
        <w:t>We received an email from the FS suggesting that “</w:t>
      </w:r>
      <w:r w:rsidRPr="00B936A6">
        <w:rPr>
          <w:color w:val="000000"/>
          <w:shd w:val="clear" w:color="auto" w:fill="FFFFFF"/>
        </w:rPr>
        <w:t xml:space="preserve">The only time an early seral, large tree would be removed would be if there was a disease issue (like mistletoe raining down on smaller trees) or we cannot reach our target stocking levels without removing some of those trees.” This raises concerns for us. Large trees with mistletoe are still LOS components that need to be retained, not removed, per the Eastside Screens. And “target stocking levels” to not represent a valid excuse to cut large trees. First, the stocking levels in Powell (1999) are deeply flawed because they based on principles of tree farming, not ecosystem management. Powell’s </w:t>
      </w:r>
      <w:r w:rsidR="000B7E48" w:rsidRPr="00B936A6">
        <w:rPr>
          <w:color w:val="000000"/>
          <w:shd w:val="clear" w:color="auto" w:fill="FFFFFF"/>
        </w:rPr>
        <w:t>t</w:t>
      </w:r>
      <w:r w:rsidRPr="00B936A6">
        <w:rPr>
          <w:color w:val="000000"/>
          <w:shd w:val="clear" w:color="auto" w:fill="FFFFFF"/>
        </w:rPr>
        <w:t>arge</w:t>
      </w:r>
      <w:r w:rsidR="000B7E48" w:rsidRPr="00B936A6">
        <w:rPr>
          <w:color w:val="000000"/>
          <w:shd w:val="clear" w:color="auto" w:fill="FFFFFF"/>
        </w:rPr>
        <w:t>t</w:t>
      </w:r>
      <w:r w:rsidRPr="00B936A6">
        <w:rPr>
          <w:color w:val="000000"/>
          <w:shd w:val="clear" w:color="auto" w:fill="FFFFFF"/>
        </w:rPr>
        <w:t xml:space="preserve">s are based on </w:t>
      </w:r>
      <w:r w:rsidR="000B7E48" w:rsidRPr="00B936A6">
        <w:rPr>
          <w:color w:val="000000"/>
          <w:shd w:val="clear" w:color="auto" w:fill="FFFFFF"/>
        </w:rPr>
        <w:t>a</w:t>
      </w:r>
      <w:r w:rsidRPr="00B936A6">
        <w:rPr>
          <w:color w:val="000000"/>
          <w:shd w:val="clear" w:color="auto" w:fill="FFFFFF"/>
        </w:rPr>
        <w:t>chieving tree vigor, not a</w:t>
      </w:r>
      <w:r w:rsidR="000B7E48" w:rsidRPr="00B936A6">
        <w:rPr>
          <w:color w:val="000000"/>
          <w:shd w:val="clear" w:color="auto" w:fill="FFFFFF"/>
        </w:rPr>
        <w:t>n ecologically</w:t>
      </w:r>
      <w:r w:rsidRPr="00B936A6">
        <w:rPr>
          <w:color w:val="000000"/>
          <w:shd w:val="clear" w:color="auto" w:fill="FFFFFF"/>
        </w:rPr>
        <w:t xml:space="preserve"> healthy stand of LOS which be defi</w:t>
      </w:r>
      <w:r w:rsidR="000B7E48" w:rsidRPr="00B936A6">
        <w:rPr>
          <w:color w:val="000000"/>
          <w:shd w:val="clear" w:color="auto" w:fill="FFFFFF"/>
        </w:rPr>
        <w:t>ni</w:t>
      </w:r>
      <w:r w:rsidRPr="00B936A6">
        <w:rPr>
          <w:color w:val="000000"/>
          <w:shd w:val="clear" w:color="auto" w:fill="FFFFFF"/>
        </w:rPr>
        <w:t xml:space="preserve">tion includes </w:t>
      </w:r>
      <w:r w:rsidR="000B7E48" w:rsidRPr="00B936A6">
        <w:rPr>
          <w:color w:val="000000"/>
          <w:shd w:val="clear" w:color="auto" w:fill="FFFFFF"/>
        </w:rPr>
        <w:t xml:space="preserve">natural mortality processes that produce snags, dead wood on </w:t>
      </w:r>
      <w:proofErr w:type="spellStart"/>
      <w:r w:rsidR="000B7E48" w:rsidRPr="00B936A6">
        <w:rPr>
          <w:color w:val="000000"/>
          <w:shd w:val="clear" w:color="auto" w:fill="FFFFFF"/>
        </w:rPr>
        <w:t>a</w:t>
      </w:r>
      <w:proofErr w:type="spellEnd"/>
      <w:r w:rsidR="000B7E48" w:rsidRPr="00B936A6">
        <w:rPr>
          <w:color w:val="000000"/>
          <w:shd w:val="clear" w:color="auto" w:fill="FFFFFF"/>
        </w:rPr>
        <w:t xml:space="preserve"> ongoing basis. </w:t>
      </w:r>
      <w:r w:rsidRPr="00B936A6">
        <w:rPr>
          <w:color w:val="000000"/>
          <w:shd w:val="clear" w:color="auto" w:fill="FFFFFF"/>
        </w:rPr>
        <w:t xml:space="preserve">Second, </w:t>
      </w:r>
      <w:r w:rsidR="000B7E48" w:rsidRPr="00B936A6">
        <w:rPr>
          <w:color w:val="000000"/>
          <w:shd w:val="clear" w:color="auto" w:fill="FFFFFF"/>
        </w:rPr>
        <w:t>managing the landscape for similar targets is not ecologically sound. P</w:t>
      </w:r>
      <w:r w:rsidRPr="00B936A6">
        <w:rPr>
          <w:color w:val="000000"/>
          <w:shd w:val="clear" w:color="auto" w:fill="FFFFFF"/>
        </w:rPr>
        <w:t xml:space="preserve">atches of dense forest </w:t>
      </w:r>
      <w:r w:rsidR="000B7E48" w:rsidRPr="00B936A6">
        <w:rPr>
          <w:color w:val="000000"/>
          <w:shd w:val="clear" w:color="auto" w:fill="FFFFFF"/>
        </w:rPr>
        <w:t xml:space="preserve">with active mortality processes is </w:t>
      </w:r>
      <w:r w:rsidRPr="00B936A6">
        <w:rPr>
          <w:color w:val="000000"/>
          <w:shd w:val="clear" w:color="auto" w:fill="FFFFFF"/>
        </w:rPr>
        <w:t xml:space="preserve">perfectly natural, and </w:t>
      </w:r>
      <w:r w:rsidR="000B7E48" w:rsidRPr="00B936A6">
        <w:rPr>
          <w:color w:val="000000"/>
          <w:shd w:val="clear" w:color="auto" w:fill="FFFFFF"/>
        </w:rPr>
        <w:t xml:space="preserve">dense patches with abundant large trees </w:t>
      </w:r>
      <w:r w:rsidRPr="00B936A6">
        <w:rPr>
          <w:color w:val="000000"/>
          <w:shd w:val="clear" w:color="auto" w:fill="FFFFFF"/>
        </w:rPr>
        <w:t xml:space="preserve">should be retained as part of the LOS condition. Not every acre needs to hit the target. </w:t>
      </w:r>
    </w:p>
    <w:p w:rsidR="000B7E48" w:rsidRPr="00B936A6" w:rsidRDefault="000B7E48" w:rsidP="00F9052E">
      <w:pPr>
        <w:shd w:val="clear" w:color="auto" w:fill="FFFFFF"/>
        <w:rPr>
          <w:color w:val="000000"/>
          <w:shd w:val="clear" w:color="auto" w:fill="FFFFFF"/>
        </w:rPr>
      </w:pPr>
    </w:p>
    <w:p w:rsidR="000B7E48" w:rsidRPr="00B936A6" w:rsidRDefault="000B7E48" w:rsidP="00F9052E">
      <w:pPr>
        <w:shd w:val="clear" w:color="auto" w:fill="FFFFFF"/>
        <w:rPr>
          <w:color w:val="000000"/>
          <w:shd w:val="clear" w:color="auto" w:fill="FFFFFF"/>
        </w:rPr>
      </w:pPr>
      <w:r w:rsidRPr="00B936A6">
        <w:rPr>
          <w:color w:val="000000"/>
          <w:shd w:val="clear" w:color="auto" w:fill="FFFFFF"/>
        </w:rPr>
        <w:t xml:space="preserve">Removing large grand fir is not warranted, because the Eastside Screens called for retaining large trees regardless of age or species, because when large trees are rare as they are in eastern Oregon, large trees serve many valuable LOS functions regardless of age or species. </w:t>
      </w:r>
      <w:r w:rsidR="00F92F91" w:rsidRPr="00B936A6">
        <w:rPr>
          <w:color w:val="000000"/>
          <w:shd w:val="clear" w:color="auto" w:fill="FFFFFF"/>
        </w:rPr>
        <w:t xml:space="preserve">Portions of the project area are moist mixed conifer where large grand fir trees are expected and desired. </w:t>
      </w:r>
      <w:r w:rsidRPr="00B936A6">
        <w:rPr>
          <w:color w:val="000000"/>
          <w:shd w:val="clear" w:color="auto" w:fill="FFFFFF"/>
        </w:rPr>
        <w:t>Science shows that Grand fir is not</w:t>
      </w:r>
      <w:r w:rsidR="00F92F91" w:rsidRPr="00B936A6">
        <w:rPr>
          <w:color w:val="000000"/>
          <w:shd w:val="clear" w:color="auto" w:fill="FFFFFF"/>
        </w:rPr>
        <w:t xml:space="preserve"> terribly fire prone either, so please don’t rely on that misleading argument.</w:t>
      </w:r>
    </w:p>
    <w:p w:rsidR="00B46FE5" w:rsidRPr="00B936A6" w:rsidRDefault="00B46FE5" w:rsidP="00F9052E">
      <w:pPr>
        <w:shd w:val="clear" w:color="auto" w:fill="FFFFFF"/>
        <w:rPr>
          <w:color w:val="000000"/>
          <w:shd w:val="clear" w:color="auto" w:fill="FFFFFF"/>
        </w:rPr>
      </w:pPr>
    </w:p>
    <w:p w:rsidR="00B46FE5" w:rsidRPr="00B936A6" w:rsidRDefault="00B46FE5" w:rsidP="00F9052E">
      <w:pPr>
        <w:shd w:val="clear" w:color="auto" w:fill="FFFFFF"/>
        <w:rPr>
          <w:color w:val="000000"/>
          <w:shd w:val="clear" w:color="auto" w:fill="FFFFFF"/>
        </w:rPr>
      </w:pPr>
      <w:r w:rsidRPr="00B936A6">
        <w:rPr>
          <w:color w:val="000000"/>
          <w:shd w:val="clear" w:color="auto" w:fill="FFFFFF"/>
        </w:rPr>
        <w:t xml:space="preserve">We are concerned that the FS intends to treat a large fraction of the landscape, which puts workers at risk form danger trees all across the project area, which leads to wide-scale cutting of </w:t>
      </w:r>
      <w:r w:rsidRPr="00B936A6">
        <w:rPr>
          <w:color w:val="000000"/>
          <w:shd w:val="clear" w:color="auto" w:fill="FFFFFF"/>
        </w:rPr>
        <w:lastRenderedPageBreak/>
        <w:t>large danger trees. This adds to the cumulative loss of large tree functions, and is not adequately addressed in the EA.</w:t>
      </w:r>
    </w:p>
    <w:p w:rsidR="00AA6E65" w:rsidRPr="00B936A6" w:rsidRDefault="00AA6E65" w:rsidP="00F9052E">
      <w:pPr>
        <w:shd w:val="clear" w:color="auto" w:fill="FFFFFF"/>
        <w:rPr>
          <w:color w:val="000000"/>
          <w:shd w:val="clear" w:color="auto" w:fill="FFFFFF"/>
        </w:rPr>
      </w:pPr>
    </w:p>
    <w:p w:rsidR="00AA6E65" w:rsidRPr="00B936A6" w:rsidRDefault="00AA6E65" w:rsidP="00AA6E65">
      <w:pPr>
        <w:shd w:val="clear" w:color="auto" w:fill="FFFFFF"/>
      </w:pPr>
      <w:r w:rsidRPr="00B936A6">
        <w:rPr>
          <w:color w:val="000000"/>
          <w:shd w:val="clear" w:color="auto" w:fill="FFFFFF"/>
        </w:rPr>
        <w:t xml:space="preserve">The EA section addressing “Pertinent Executive Orders” appears to exclude consideration of the April 2023 Biden E.O. on conserving mature and old-growth forests in order to conserve carbon and biodiversity. </w:t>
      </w:r>
      <w:r w:rsidRPr="00B936A6">
        <w:t>On April 22, 2022 President Biden issued an executive order declaring a policy to conserve mature and old-growth forests on federal land and to manage forests to retain and enhance carbon storage. The agencies should immediately implement these policies.</w:t>
      </w:r>
    </w:p>
    <w:p w:rsidR="00AA6E65" w:rsidRPr="00B936A6" w:rsidRDefault="00AA6E65" w:rsidP="00AA6E65">
      <w:pPr>
        <w:shd w:val="clear" w:color="auto" w:fill="FFFFFF"/>
        <w:ind w:left="720"/>
      </w:pPr>
      <w:r w:rsidRPr="00B936A6">
        <w:t xml:space="preserve">Sec. 1. Policy. </w:t>
      </w:r>
    </w:p>
    <w:p w:rsidR="00AA6E65" w:rsidRPr="00B936A6" w:rsidRDefault="00AA6E65" w:rsidP="00AA6E65">
      <w:pPr>
        <w:shd w:val="clear" w:color="auto" w:fill="FFFFFF"/>
        <w:ind w:left="720"/>
      </w:pPr>
    </w:p>
    <w:p w:rsidR="00AA6E65" w:rsidRPr="00B936A6" w:rsidRDefault="00AA6E65" w:rsidP="00AA6E65">
      <w:pPr>
        <w:shd w:val="clear" w:color="auto" w:fill="FFFFFF"/>
        <w:ind w:left="720"/>
      </w:pPr>
      <w:r w:rsidRPr="00B936A6">
        <w:t xml:space="preserve">Strengthening America’s forests, which are home to cherished expanses of mature and old-growth forests on Federal lands, is critical to the health, prosperity, and resilience of our communities ….  Forests provide clean air and water, sustain the plant and animal life fundamental to combating the global climate and biodiversity crises, and hold special importance to Tribal Nations. … Conserving old-growth and mature forests on Federal lands …  is critical to protecting these and other ecosystem services provided by those forests. … We can and must take action to conserve, restore, reforest, and manage our magnificent forests  … </w:t>
      </w:r>
      <w:r w:rsidRPr="00B936A6">
        <w:rPr>
          <w:u w:val="single"/>
        </w:rPr>
        <w:t>It is the policy of my Administration, … to … conserve America’s mature and old-growth forests on Federal lands …</w:t>
      </w:r>
    </w:p>
    <w:p w:rsidR="00AA6E65" w:rsidRPr="00B936A6" w:rsidRDefault="00AA6E65" w:rsidP="00AA6E65">
      <w:pPr>
        <w:shd w:val="clear" w:color="auto" w:fill="FFFFFF"/>
        <w:ind w:left="720"/>
      </w:pPr>
      <w:r w:rsidRPr="00B936A6">
        <w:t>…</w:t>
      </w:r>
    </w:p>
    <w:p w:rsidR="00AA6E65" w:rsidRPr="00B936A6" w:rsidRDefault="00AA6E65" w:rsidP="00AA6E65">
      <w:pPr>
        <w:shd w:val="clear" w:color="auto" w:fill="FFFFFF"/>
        <w:ind w:left="720"/>
      </w:pPr>
      <w:r w:rsidRPr="00B936A6">
        <w:t xml:space="preserve">Sec. 2.  Restoring and Conserving the Nation’s Forests, Including Mature and Old-Growth Forests. </w:t>
      </w:r>
    </w:p>
    <w:p w:rsidR="00AA6E65" w:rsidRPr="00B936A6" w:rsidRDefault="00AA6E65" w:rsidP="00AA6E65">
      <w:pPr>
        <w:shd w:val="clear" w:color="auto" w:fill="FFFFFF"/>
        <w:ind w:left="720"/>
        <w:rPr>
          <w:u w:val="single"/>
        </w:rPr>
      </w:pPr>
    </w:p>
    <w:p w:rsidR="00AA6E65" w:rsidRPr="00B936A6" w:rsidRDefault="00AA6E65" w:rsidP="00AA6E65">
      <w:pPr>
        <w:shd w:val="clear" w:color="auto" w:fill="FFFFFF"/>
        <w:ind w:left="720"/>
        <w:rPr>
          <w:u w:val="single"/>
        </w:rPr>
      </w:pPr>
      <w:r w:rsidRPr="00B936A6">
        <w:rPr>
          <w:u w:val="single"/>
        </w:rPr>
        <w:t>My Administration will manage forests on Federal lands, which include many mature and old-growth forests, to promote their continued health and resilience; retain and enhance carbon storage; conserve biodiversity …</w:t>
      </w:r>
    </w:p>
    <w:p w:rsidR="00AA6E65" w:rsidRPr="00B936A6" w:rsidRDefault="00AA6E65" w:rsidP="00AA6E65">
      <w:pPr>
        <w:shd w:val="clear" w:color="auto" w:fill="FFFFFF"/>
      </w:pPr>
    </w:p>
    <w:p w:rsidR="00AA6E65" w:rsidRPr="00B936A6" w:rsidRDefault="00AA6E65" w:rsidP="00AA6E65">
      <w:pPr>
        <w:shd w:val="clear" w:color="auto" w:fill="FFFFFF"/>
        <w:rPr>
          <w:rFonts w:eastAsia="Times New Roman" w:cs="Times New Roman"/>
          <w:color w:val="000000"/>
        </w:rPr>
      </w:pPr>
      <w:r w:rsidRPr="00B936A6">
        <w:t xml:space="preserve">Biden, J. 2022. Executive Order #14072 on Strengthening the Nation’s Forests, Communities, and Local Economies. APRIL 22, 2022. PRESIDENTIAL ACTIONS </w:t>
      </w:r>
      <w:hyperlink r:id="rId23" w:history="1">
        <w:r w:rsidRPr="00B936A6">
          <w:rPr>
            <w:rStyle w:val="Hyperlink"/>
          </w:rPr>
          <w:t>https://www.whitehouse.gov/briefing-room/presidential-actions/2022/04/22/executive-order-on-strengthening-the-nations-forests-communities-and-local-economies/</w:t>
        </w:r>
      </w:hyperlink>
      <w:r w:rsidRPr="00B936A6">
        <w:t xml:space="preserve"> </w:t>
      </w:r>
      <w:r w:rsidRPr="00B936A6">
        <w:rPr>
          <w:rFonts w:eastAsia="Times New Roman" w:cs="Times New Roman"/>
          <w:color w:val="000000"/>
        </w:rPr>
        <w:t xml:space="preserve">(emphasis added). The official policy of the federal government is to conserve mature and old-growth forests on federal land and that policy should be implemented here and now. </w:t>
      </w:r>
    </w:p>
    <w:p w:rsidR="00AA6E65" w:rsidRPr="00B936A6" w:rsidRDefault="00AA6E65" w:rsidP="00F9052E">
      <w:pPr>
        <w:shd w:val="clear" w:color="auto" w:fill="FFFFFF"/>
        <w:rPr>
          <w:rFonts w:eastAsia="Times New Roman" w:cs="Times New Roman"/>
          <w:color w:val="000000"/>
          <w:spacing w:val="-2"/>
        </w:rPr>
      </w:pPr>
    </w:p>
    <w:p w:rsidR="00F9052E" w:rsidRPr="00B936A6" w:rsidRDefault="00F9052E" w:rsidP="00F9052E">
      <w:pPr>
        <w:shd w:val="clear" w:color="auto" w:fill="FFFFFF"/>
        <w:rPr>
          <w:rFonts w:eastAsia="Times New Roman"/>
          <w:color w:val="000000"/>
        </w:rPr>
      </w:pPr>
      <w:r w:rsidRPr="00B936A6">
        <w:rPr>
          <w:rFonts w:eastAsia="Times New Roman" w:cs="Times New Roman"/>
          <w:color w:val="000000"/>
          <w:spacing w:val="-2"/>
        </w:rPr>
        <w:t>Please confirm that this project will not authorize cutting of any trees over 21 inches dbh, consistent with the original 1995 Eastside Screens. </w:t>
      </w:r>
    </w:p>
    <w:p w:rsidR="00F9052E" w:rsidRPr="00B936A6" w:rsidRDefault="00F9052E" w:rsidP="00F9052E">
      <w:pPr>
        <w:shd w:val="clear" w:color="auto" w:fill="FFFFFF"/>
        <w:rPr>
          <w:rFonts w:eastAsia="Times New Roman" w:cs="Times New Roman"/>
          <w:color w:val="000000"/>
          <w:spacing w:val="-2"/>
        </w:rPr>
      </w:pPr>
    </w:p>
    <w:p w:rsidR="00F9052E" w:rsidRPr="00B936A6" w:rsidRDefault="00F9052E" w:rsidP="00F9052E">
      <w:pPr>
        <w:shd w:val="clear" w:color="auto" w:fill="FFFFFF"/>
        <w:rPr>
          <w:rFonts w:eastAsia="Times New Roman" w:cs="Times New Roman"/>
          <w:color w:val="000000"/>
          <w:spacing w:val="-2"/>
        </w:rPr>
      </w:pPr>
      <w:r w:rsidRPr="00B936A6">
        <w:rPr>
          <w:rFonts w:eastAsia="Times New Roman" w:cs="Times New Roman"/>
          <w:color w:val="000000"/>
          <w:spacing w:val="-2"/>
        </w:rPr>
        <w:t xml:space="preserve">As you are aware, on March 29, 2024 Judge Aiken has adopted the findings &amp; recommendations of two federal district court magistrates, and vacated the Forest Service's 2021 Amendment to the Eastside Screens which attempted to eliminate the 21-inch rule. The courts have officially found that the Screens amendment was unlawful under the </w:t>
      </w:r>
      <w:r w:rsidRPr="00B936A6">
        <w:t>National Forest Management Act, the Endangered Species Act, and the National Environmental Policy Act</w:t>
      </w:r>
      <w:r w:rsidRPr="00B936A6">
        <w:rPr>
          <w:rFonts w:eastAsia="Times New Roman" w:cs="Times New Roman"/>
          <w:color w:val="000000"/>
          <w:spacing w:val="-2"/>
        </w:rPr>
        <w:t>. </w:t>
      </w:r>
      <w:r w:rsidRPr="00B936A6">
        <w:rPr>
          <w:rFonts w:eastAsia="Times New Roman" w:cs="Times New Roman"/>
          <w:i/>
          <w:iCs/>
          <w:color w:val="000000"/>
          <w:spacing w:val="-2"/>
        </w:rPr>
        <w:t>See Greater Hells Canyon Council v. Wilkes</w:t>
      </w:r>
      <w:r w:rsidRPr="00B936A6">
        <w:rPr>
          <w:rFonts w:eastAsia="Times New Roman" w:cs="Times New Roman"/>
          <w:color w:val="000000"/>
          <w:spacing w:val="-2"/>
        </w:rPr>
        <w:t xml:space="preserve">, Case No. 2:22-cv-00859-HL, ECF 97. </w:t>
      </w:r>
      <w:r w:rsidRPr="00B936A6">
        <w:t xml:space="preserve">Findings &amp;  Recommendation of Judge Hallman. </w:t>
      </w:r>
      <w:r w:rsidRPr="00B936A6">
        <w:rPr>
          <w:rFonts w:eastAsia="Times New Roman" w:cs="Times New Roman"/>
          <w:color w:val="000000"/>
          <w:spacing w:val="-2"/>
        </w:rPr>
        <w:t xml:space="preserve">(August 31, 2023) </w:t>
      </w:r>
      <w:hyperlink r:id="rId24" w:history="1">
        <w:r w:rsidRPr="00B936A6">
          <w:rPr>
            <w:rStyle w:val="Hyperlink"/>
            <w:rFonts w:cs="Times New Roman"/>
          </w:rPr>
          <w:t>https://pdf.wildearthguardians.org/support_docs/eastside-screens-08-31-2023-decision-97%20F%20and%20R.pdf</w:t>
        </w:r>
      </w:hyperlink>
      <w:r w:rsidRPr="00B936A6">
        <w:rPr>
          <w:rFonts w:eastAsia="Times New Roman" w:cs="Times New Roman"/>
          <w:color w:val="000000"/>
          <w:spacing w:val="-2"/>
        </w:rPr>
        <w:t xml:space="preserve">. </w:t>
      </w:r>
      <w:r w:rsidRPr="00B936A6">
        <w:rPr>
          <w:rFonts w:eastAsia="Times New Roman" w:cs="Times New Roman"/>
          <w:i/>
          <w:color w:val="000000"/>
          <w:spacing w:val="-2"/>
        </w:rPr>
        <w:t>And see</w:t>
      </w:r>
      <w:r w:rsidRPr="00B936A6">
        <w:rPr>
          <w:rFonts w:eastAsia="Times New Roman" w:cs="Times New Roman"/>
          <w:color w:val="000000"/>
          <w:spacing w:val="-2"/>
        </w:rPr>
        <w:t xml:space="preserve">, March 29, 2024 Order of Judge Aiken </w:t>
      </w:r>
      <w:r w:rsidRPr="00B936A6">
        <w:rPr>
          <w:rFonts w:eastAsia="Times New Roman" w:cs="Times New Roman"/>
          <w:color w:val="000000"/>
          <w:spacing w:val="-2"/>
        </w:rPr>
        <w:lastRenderedPageBreak/>
        <w:t xml:space="preserve">adopting those Findings &amp; Recommendations </w:t>
      </w:r>
      <w:hyperlink r:id="rId25" w:history="1">
        <w:r w:rsidRPr="00B936A6">
          <w:rPr>
            <w:rStyle w:val="Hyperlink"/>
            <w:rFonts w:eastAsia="Times New Roman" w:cs="Times New Roman"/>
            <w:spacing w:val="-2"/>
          </w:rPr>
          <w:t>https://oregonwild.org/sites/default/files/pdf-files/104%20Order%20Adopting%20F%20and%20R%20(1).pdf</w:t>
        </w:r>
      </w:hyperlink>
      <w:r w:rsidRPr="00B936A6">
        <w:rPr>
          <w:rFonts w:eastAsia="Times New Roman" w:cs="Times New Roman"/>
          <w:color w:val="000000"/>
          <w:spacing w:val="-2"/>
        </w:rPr>
        <w:t>. Vacatur of the Screens Amendment results in the reinstatement of the 21-inch rule as the controlling Forest Plan standard with which this project must be consistent. 16 U.S.C. § 1604(</w:t>
      </w:r>
      <w:proofErr w:type="spellStart"/>
      <w:r w:rsidRPr="00B936A6">
        <w:rPr>
          <w:rFonts w:eastAsia="Times New Roman" w:cs="Times New Roman"/>
          <w:color w:val="000000"/>
          <w:spacing w:val="-2"/>
        </w:rPr>
        <w:t>i</w:t>
      </w:r>
      <w:proofErr w:type="spellEnd"/>
      <w:r w:rsidRPr="00B936A6">
        <w:rPr>
          <w:rFonts w:eastAsia="Times New Roman" w:cs="Times New Roman"/>
          <w:color w:val="000000"/>
          <w:spacing w:val="-2"/>
        </w:rPr>
        <w:t>). </w:t>
      </w:r>
    </w:p>
    <w:p w:rsidR="00F9052E" w:rsidRPr="00B936A6" w:rsidRDefault="00F9052E" w:rsidP="00F9052E">
      <w:pPr>
        <w:shd w:val="clear" w:color="auto" w:fill="FFFFFF"/>
        <w:rPr>
          <w:rFonts w:eastAsia="Times New Roman" w:cs="Times New Roman"/>
          <w:color w:val="000000"/>
          <w:spacing w:val="-2"/>
        </w:rPr>
      </w:pPr>
    </w:p>
    <w:p w:rsidR="00F9052E" w:rsidRPr="00B936A6" w:rsidRDefault="00F9052E" w:rsidP="00F9052E">
      <w:pPr>
        <w:shd w:val="clear" w:color="auto" w:fill="FFFFFF"/>
        <w:rPr>
          <w:rFonts w:cs="Times New Roman"/>
          <w:color w:val="000000"/>
        </w:rPr>
      </w:pPr>
      <w:r w:rsidRPr="00B936A6">
        <w:rPr>
          <w:rFonts w:eastAsia="Times New Roman" w:cs="Times New Roman"/>
          <w:color w:val="000000"/>
          <w:spacing w:val="-2"/>
        </w:rPr>
        <w:t>We must also remind t</w:t>
      </w:r>
      <w:r w:rsidRPr="00B936A6">
        <w:rPr>
          <w:rFonts w:cs="Times New Roman"/>
          <w:color w:val="000000"/>
        </w:rPr>
        <w:t xml:space="preserve">he Forest Service that the </w:t>
      </w:r>
      <w:r w:rsidRPr="00B936A6">
        <w:rPr>
          <w:rFonts w:cs="Times New Roman"/>
          <w:i/>
          <w:iCs/>
          <w:color w:val="000000"/>
        </w:rPr>
        <w:t xml:space="preserve">Snow Basin </w:t>
      </w:r>
      <w:r w:rsidRPr="00B936A6">
        <w:rPr>
          <w:rFonts w:cs="Times New Roman"/>
          <w:color w:val="000000"/>
        </w:rPr>
        <w:t xml:space="preserve">court decision ruled that the Forest Service could not use a project-specific amendment to address a forest-wide or region-wide problem. </w:t>
      </w:r>
      <w:r w:rsidRPr="00B936A6">
        <w:rPr>
          <w:rFonts w:cs="Times New Roman"/>
          <w:i/>
          <w:iCs/>
          <w:color w:val="000000"/>
        </w:rPr>
        <w:t xml:space="preserve">LOWD v </w:t>
      </w:r>
      <w:proofErr w:type="spellStart"/>
      <w:r w:rsidRPr="00B936A6">
        <w:rPr>
          <w:rFonts w:cs="Times New Roman"/>
          <w:i/>
          <w:iCs/>
          <w:color w:val="000000"/>
        </w:rPr>
        <w:t>Connaughton</w:t>
      </w:r>
      <w:proofErr w:type="spellEnd"/>
      <w:r w:rsidRPr="00B936A6">
        <w:rPr>
          <w:rFonts w:cs="Times New Roman"/>
          <w:color w:val="000000"/>
        </w:rPr>
        <w:t xml:space="preserve">, D.C. No. 3:12-cv-02271- HZ (D. Or. Dec 2014) </w:t>
      </w:r>
      <w:hyperlink r:id="rId26" w:history="1">
        <w:r w:rsidRPr="00B936A6">
          <w:rPr>
            <w:rStyle w:val="Hyperlink"/>
            <w:rFonts w:cs="Times New Roman"/>
          </w:rPr>
          <w:t>https://web.archive.org/web/20221001014147/http://climatecasechart.com/wp-content/uploads/sites/16/case-documents/2014/20141209_docket-312-cv-02271_opinion-and-order.pdf</w:t>
        </w:r>
      </w:hyperlink>
      <w:r w:rsidRPr="00B936A6">
        <w:rPr>
          <w:rFonts w:cs="Times New Roman"/>
          <w:color w:val="000000"/>
        </w:rPr>
        <w:t xml:space="preserve">. (“… [T]he repeated use of site-specific amendments allows the Forest Service to bypass any public consideration of the regional or forest-wide management implications of the amendments, and is inconsistent with NFMA’s requirements for integrated forest plans. … [T]here must be at least some characteristics unique to a site to support a site-specific amendment. …”). </w:t>
      </w:r>
    </w:p>
    <w:p w:rsidR="00920614" w:rsidRPr="00B936A6" w:rsidRDefault="00920614" w:rsidP="00F9052E">
      <w:pPr>
        <w:shd w:val="clear" w:color="auto" w:fill="FFFFFF"/>
        <w:rPr>
          <w:rFonts w:cs="Times New Roman"/>
          <w:color w:val="000000"/>
        </w:rPr>
      </w:pPr>
    </w:p>
    <w:p w:rsidR="00FE0EA4" w:rsidRPr="00B936A6" w:rsidRDefault="00FE0EA4" w:rsidP="00FE0EA4">
      <w:pPr>
        <w:shd w:val="clear" w:color="auto" w:fill="FFFFFF"/>
      </w:pPr>
      <w:r w:rsidRPr="00B936A6">
        <w:t>On April 22, 2022 President Biden issued an executive order declaring a policy to conserve mature and old-growth forests on federal land and to manage forests to retain and enhance carbon storage. The agencies should immediately implement these policies.</w:t>
      </w:r>
    </w:p>
    <w:p w:rsidR="00FE0EA4" w:rsidRPr="00B936A6" w:rsidRDefault="00FE0EA4" w:rsidP="00FE0EA4">
      <w:pPr>
        <w:shd w:val="clear" w:color="auto" w:fill="FFFFFF"/>
        <w:ind w:left="720"/>
      </w:pPr>
      <w:r w:rsidRPr="00B936A6">
        <w:t xml:space="preserve">Sec. 1. Policy. </w:t>
      </w:r>
    </w:p>
    <w:p w:rsidR="00FE0EA4" w:rsidRPr="00B936A6" w:rsidRDefault="00FE0EA4" w:rsidP="00FE0EA4">
      <w:pPr>
        <w:shd w:val="clear" w:color="auto" w:fill="FFFFFF"/>
        <w:ind w:left="720"/>
      </w:pPr>
    </w:p>
    <w:p w:rsidR="00FE0EA4" w:rsidRPr="00B936A6" w:rsidRDefault="00FE0EA4" w:rsidP="00FE0EA4">
      <w:pPr>
        <w:shd w:val="clear" w:color="auto" w:fill="FFFFFF"/>
        <w:ind w:left="720"/>
      </w:pPr>
      <w:r w:rsidRPr="00B936A6">
        <w:t xml:space="preserve">Strengthening America’s forests, which are home to cherished expanses of mature and old-growth forests on Federal lands, is critical to the health, prosperity, and resilience of our communities ….  Forests provide clean air and water, sustain the plant and animal life fundamental to combating the global climate and biodiversity crises, and hold special importance to Tribal Nations. … Conserving old-growth and mature forests on Federal lands …  is critical to protecting these and other ecosystem services provided by those forests. … We can and must take action to conserve, restore, reforest, and manage our magnificent forests  … </w:t>
      </w:r>
      <w:r w:rsidRPr="00B936A6">
        <w:rPr>
          <w:u w:val="single"/>
        </w:rPr>
        <w:t>It is the policy of my Administration, … to … conserve America’s mature and old-growth forests on Federal lands …</w:t>
      </w:r>
    </w:p>
    <w:p w:rsidR="00FE0EA4" w:rsidRPr="00B936A6" w:rsidRDefault="00FE0EA4" w:rsidP="00FE0EA4">
      <w:pPr>
        <w:shd w:val="clear" w:color="auto" w:fill="FFFFFF"/>
        <w:ind w:left="720"/>
      </w:pPr>
      <w:r w:rsidRPr="00B936A6">
        <w:t>…</w:t>
      </w:r>
    </w:p>
    <w:p w:rsidR="00FE0EA4" w:rsidRPr="00B936A6" w:rsidRDefault="00FE0EA4" w:rsidP="00FE0EA4">
      <w:pPr>
        <w:shd w:val="clear" w:color="auto" w:fill="FFFFFF"/>
        <w:ind w:left="720"/>
      </w:pPr>
      <w:r w:rsidRPr="00B936A6">
        <w:t xml:space="preserve">Sec. 2.  Restoring and Conserving the Nation’s Forests, Including Mature and Old-Growth Forests. </w:t>
      </w:r>
    </w:p>
    <w:p w:rsidR="00FE0EA4" w:rsidRPr="00B936A6" w:rsidRDefault="00FE0EA4" w:rsidP="00FE0EA4">
      <w:pPr>
        <w:shd w:val="clear" w:color="auto" w:fill="FFFFFF"/>
        <w:ind w:left="720"/>
        <w:rPr>
          <w:u w:val="single"/>
        </w:rPr>
      </w:pPr>
    </w:p>
    <w:p w:rsidR="00FE0EA4" w:rsidRPr="00B936A6" w:rsidRDefault="00FE0EA4" w:rsidP="00FE0EA4">
      <w:pPr>
        <w:shd w:val="clear" w:color="auto" w:fill="FFFFFF"/>
        <w:ind w:left="720"/>
        <w:rPr>
          <w:u w:val="single"/>
        </w:rPr>
      </w:pPr>
      <w:r w:rsidRPr="00B936A6">
        <w:rPr>
          <w:u w:val="single"/>
        </w:rPr>
        <w:t>My Administration will manage forests on Federal lands, which include many mature and old-growth forests, to promote their continued health and resilience; retain and enhance carbon storage; conserve biodiversity …</w:t>
      </w:r>
    </w:p>
    <w:p w:rsidR="00FE0EA4" w:rsidRPr="00B936A6" w:rsidRDefault="00FE0EA4" w:rsidP="00FE0EA4">
      <w:pPr>
        <w:shd w:val="clear" w:color="auto" w:fill="FFFFFF"/>
      </w:pPr>
    </w:p>
    <w:p w:rsidR="00FE0EA4" w:rsidRPr="00B936A6" w:rsidRDefault="00FE0EA4" w:rsidP="00FE0EA4">
      <w:pPr>
        <w:shd w:val="clear" w:color="auto" w:fill="FFFFFF"/>
        <w:rPr>
          <w:rFonts w:eastAsia="Times New Roman" w:cs="Times New Roman"/>
          <w:color w:val="000000"/>
        </w:rPr>
      </w:pPr>
      <w:r w:rsidRPr="00B936A6">
        <w:t xml:space="preserve">Biden, J. 2022. Executive Order #14072 on Strengthening the Nation’s Forests, Communities, and Local Economies. APRIL 22, 2022. PRESIDENTIAL ACTIONS </w:t>
      </w:r>
      <w:hyperlink r:id="rId27" w:history="1">
        <w:r w:rsidRPr="00B936A6">
          <w:rPr>
            <w:rStyle w:val="Hyperlink"/>
          </w:rPr>
          <w:t>https</w:t>
        </w:r>
        <w:r w:rsidRPr="00B936A6">
          <w:rPr>
            <w:rStyle w:val="Hyperlink"/>
          </w:rPr>
          <w:t>:</w:t>
        </w:r>
        <w:r w:rsidRPr="00B936A6">
          <w:rPr>
            <w:rStyle w:val="Hyperlink"/>
          </w:rPr>
          <w:t>//www.whitehouse.gov/briefing-room/presidential-actions/2022/04/22/executive-order-on-strengthening-the-nations-forests-communities-and-local-economies/</w:t>
        </w:r>
      </w:hyperlink>
      <w:r w:rsidRPr="00B936A6">
        <w:t xml:space="preserve"> </w:t>
      </w:r>
      <w:r w:rsidRPr="00B936A6">
        <w:rPr>
          <w:rFonts w:eastAsia="Times New Roman" w:cs="Times New Roman"/>
          <w:color w:val="000000"/>
        </w:rPr>
        <w:t xml:space="preserve">(emphasis added). The official policy of the federal government is to conserve mature and old-growth forests on federal land and that policy should be implemented here and now. </w:t>
      </w:r>
    </w:p>
    <w:p w:rsidR="00FE0EA4" w:rsidRPr="00B936A6" w:rsidRDefault="00FE0EA4" w:rsidP="00F9052E">
      <w:pPr>
        <w:shd w:val="clear" w:color="auto" w:fill="FFFFFF"/>
        <w:rPr>
          <w:rFonts w:cs="Times New Roman"/>
          <w:color w:val="000000"/>
        </w:rPr>
      </w:pPr>
    </w:p>
    <w:p w:rsidR="00920614" w:rsidRPr="00B936A6" w:rsidRDefault="00920614" w:rsidP="00F9052E">
      <w:pPr>
        <w:shd w:val="clear" w:color="auto" w:fill="FFFFFF"/>
        <w:rPr>
          <w:rFonts w:cs="Times New Roman"/>
          <w:color w:val="000000"/>
        </w:rPr>
      </w:pPr>
      <w:r w:rsidRPr="00B936A6">
        <w:rPr>
          <w:rFonts w:cs="Times New Roman"/>
          <w:color w:val="000000"/>
        </w:rPr>
        <w:lastRenderedPageBreak/>
        <w:t xml:space="preserve">In addition to large trees, the Forest Service should also conserve old trees regardless of size, and must disclose the effects if they refuse to do so. The 2020 Environmental Assessment for the Amendment of the Eastside Screens provided a compelling rationale for conservation of old trees regardless of size.  </w:t>
      </w:r>
    </w:p>
    <w:p w:rsidR="00920614" w:rsidRPr="00B936A6" w:rsidRDefault="00920614" w:rsidP="00F9052E">
      <w:pPr>
        <w:shd w:val="clear" w:color="auto" w:fill="FFFFFF"/>
        <w:rPr>
          <w:rFonts w:cs="Times New Roman"/>
          <w:color w:val="000000"/>
        </w:rPr>
      </w:pPr>
    </w:p>
    <w:p w:rsidR="00920614" w:rsidRDefault="00920614" w:rsidP="00920614">
      <w:pPr>
        <w:pStyle w:val="NormalWeb"/>
        <w:spacing w:before="0" w:after="0"/>
      </w:pPr>
      <w:r>
        <w:t>A recent study supports the retention of slow growing old trees because they are relatively more resilient. The study found that slower-growing older trees tend to channel their energy into structural support and defense compounds to “maximize durability while minimizing … damage</w:t>
      </w:r>
      <w:r w:rsidRPr="003774CE">
        <w:rPr>
          <w:rFonts w:ascii="Times New Roman" w:hAnsi="Times New Roman" w:cs="Times New Roman"/>
        </w:rPr>
        <w:t xml:space="preserve">”. Black, Colbert, &amp; Pederson. 2008. Relationship between radial growth rates and lifespan within North American tree species. </w:t>
      </w:r>
      <w:proofErr w:type="spellStart"/>
      <w:r w:rsidRPr="003774CE">
        <w:rPr>
          <w:rFonts w:ascii="Times New Roman" w:hAnsi="Times New Roman" w:cs="Times New Roman"/>
        </w:rPr>
        <w:t>Ecoscience</w:t>
      </w:r>
      <w:proofErr w:type="spellEnd"/>
      <w:r w:rsidRPr="003774CE">
        <w:rPr>
          <w:rFonts w:ascii="Times New Roman" w:hAnsi="Times New Roman" w:cs="Times New Roman"/>
        </w:rPr>
        <w:t xml:space="preserve"> 15(3), 349-357 (2008). </w:t>
      </w:r>
      <w:hyperlink r:id="rId28" w:history="1">
        <w:r w:rsidRPr="003774CE">
          <w:rPr>
            <w:rStyle w:val="Hyperlink"/>
            <w:rFonts w:ascii="Times New Roman" w:hAnsi="Times New Roman" w:cs="Times New Roman"/>
          </w:rPr>
          <w:t>http://fate.nmfs.noaa.gov/documents/Publications/Black_et_al_2008_Ecoscience.pdf</w:t>
        </w:r>
      </w:hyperlink>
      <w:r w:rsidRPr="003774CE">
        <w:rPr>
          <w:rFonts w:ascii="Times New Roman" w:hAnsi="Times New Roman" w:cs="Times New Roman"/>
        </w:rPr>
        <w:t xml:space="preserve">. Tobias </w:t>
      </w:r>
      <w:proofErr w:type="spellStart"/>
      <w:r w:rsidRPr="003774CE">
        <w:rPr>
          <w:rFonts w:ascii="Times New Roman" w:hAnsi="Times New Roman" w:cs="Times New Roman"/>
        </w:rPr>
        <w:t>Züst</w:t>
      </w:r>
      <w:proofErr w:type="spellEnd"/>
      <w:r w:rsidRPr="003774CE">
        <w:rPr>
          <w:rFonts w:ascii="Times New Roman" w:hAnsi="Times New Roman" w:cs="Times New Roman"/>
        </w:rPr>
        <w:t xml:space="preserve">, </w:t>
      </w:r>
      <w:proofErr w:type="spellStart"/>
      <w:r w:rsidRPr="003774CE">
        <w:rPr>
          <w:rFonts w:ascii="Times New Roman" w:hAnsi="Times New Roman" w:cs="Times New Roman"/>
        </w:rPr>
        <w:t>Bindu</w:t>
      </w:r>
      <w:proofErr w:type="spellEnd"/>
      <w:r w:rsidRPr="003774CE">
        <w:rPr>
          <w:rFonts w:ascii="Times New Roman" w:hAnsi="Times New Roman" w:cs="Times New Roman"/>
        </w:rPr>
        <w:t xml:space="preserve"> Joseph, </w:t>
      </w:r>
      <w:proofErr w:type="spellStart"/>
      <w:r w:rsidRPr="003774CE">
        <w:rPr>
          <w:rFonts w:ascii="Times New Roman" w:hAnsi="Times New Roman" w:cs="Times New Roman"/>
        </w:rPr>
        <w:t>Kentaro</w:t>
      </w:r>
      <w:proofErr w:type="spellEnd"/>
      <w:r w:rsidRPr="003774CE">
        <w:rPr>
          <w:rFonts w:ascii="Times New Roman" w:hAnsi="Times New Roman" w:cs="Times New Roman"/>
        </w:rPr>
        <w:t xml:space="preserve"> K. Shimizu, Daniel J. </w:t>
      </w:r>
      <w:proofErr w:type="spellStart"/>
      <w:r w:rsidRPr="003774CE">
        <w:rPr>
          <w:rFonts w:ascii="Times New Roman" w:hAnsi="Times New Roman" w:cs="Times New Roman"/>
        </w:rPr>
        <w:t>Kliebenstein</w:t>
      </w:r>
      <w:proofErr w:type="spellEnd"/>
      <w:r w:rsidRPr="003774CE">
        <w:rPr>
          <w:rFonts w:ascii="Times New Roman" w:hAnsi="Times New Roman" w:cs="Times New Roman"/>
        </w:rPr>
        <w:t xml:space="preserve"> and Lindsay A. Turnbull, Using knockout mutants to reveal the growth costs of defensive traits, in: Proceedings of the Royal Society B, 2011, Jan. 26, doi:10.1098/rspb.2010.2475. See also, University of Montana. June 18, 2019. Cell structure linked to longevity of slow-growing Ponderosa Pines. </w:t>
      </w:r>
      <w:hyperlink r:id="rId29" w:history="1">
        <w:r w:rsidRPr="003774CE">
          <w:rPr>
            <w:rStyle w:val="Hyperlink"/>
            <w:rFonts w:ascii="Times New Roman" w:hAnsi="Times New Roman" w:cs="Times New Roman"/>
          </w:rPr>
          <w:t>https://www.sciencedaily.com/releases/2019/06/190618174358.htm</w:t>
        </w:r>
      </w:hyperlink>
      <w:r w:rsidRPr="003774CE">
        <w:rPr>
          <w:rFonts w:ascii="Times New Roman" w:hAnsi="Times New Roman" w:cs="Times New Roman"/>
        </w:rPr>
        <w:t xml:space="preserve"> (“Slow-growing ponderosa pines may have a better chance of surviving longer than fast-growing ones, especially as climate change increases the frequency and intensity of drought, according to new research from the University of Montana. ... [A] key difference between fast and slow growers resides in a microscopic valve-like structure between the cells that transport water in the wood, called the pit membrane. The unique shape of this valve in slow-growing trees provides greater safety against drought, but it slows down water transport, limiting growth rate.”) </w:t>
      </w:r>
      <w:r w:rsidRPr="003774CE">
        <w:rPr>
          <w:rFonts w:ascii="Times New Roman" w:hAnsi="Times New Roman" w:cs="Times New Roman"/>
          <w:i/>
        </w:rPr>
        <w:t>citing</w:t>
      </w:r>
      <w:r w:rsidRPr="003774CE">
        <w:rPr>
          <w:rFonts w:ascii="Times New Roman" w:hAnsi="Times New Roman" w:cs="Times New Roman"/>
        </w:rPr>
        <w:t xml:space="preserve"> Beth </w:t>
      </w:r>
      <w:proofErr w:type="spellStart"/>
      <w:r w:rsidRPr="003774CE">
        <w:rPr>
          <w:rFonts w:ascii="Times New Roman" w:hAnsi="Times New Roman" w:cs="Times New Roman"/>
        </w:rPr>
        <w:t>Roskilly</w:t>
      </w:r>
      <w:proofErr w:type="spellEnd"/>
      <w:r w:rsidRPr="003774CE">
        <w:rPr>
          <w:rFonts w:ascii="Times New Roman" w:hAnsi="Times New Roman" w:cs="Times New Roman"/>
        </w:rPr>
        <w:t xml:space="preserve">, Eric Keeling, Sharon Hood, Arnaud </w:t>
      </w:r>
      <w:proofErr w:type="spellStart"/>
      <w:r w:rsidRPr="003774CE">
        <w:rPr>
          <w:rFonts w:ascii="Times New Roman" w:hAnsi="Times New Roman" w:cs="Times New Roman"/>
        </w:rPr>
        <w:t>Giuggiola</w:t>
      </w:r>
      <w:proofErr w:type="spellEnd"/>
      <w:r w:rsidRPr="003774CE">
        <w:rPr>
          <w:rFonts w:ascii="Times New Roman" w:hAnsi="Times New Roman" w:cs="Times New Roman"/>
        </w:rPr>
        <w:t xml:space="preserve">, Anna Sala. Conflicting functional effects of xylem pit structure relate to the growth-longevity trade-off in a conifer species. Proceedings of the National Academy of Sciences, 2019; 201900734 DOI: 10.1073/pnas.1900734116. See also, University of Montana. June 18, 2019. Cell structure linked to longevity of slow-growing Ponderosa Pines. </w:t>
      </w:r>
      <w:hyperlink r:id="rId30" w:history="1">
        <w:r w:rsidRPr="003774CE">
          <w:rPr>
            <w:rStyle w:val="Hyperlink"/>
            <w:rFonts w:ascii="Times New Roman" w:hAnsi="Times New Roman" w:cs="Times New Roman"/>
          </w:rPr>
          <w:t>https://www.sciencedaily.com/releases/2019/06/190618174358.htm</w:t>
        </w:r>
      </w:hyperlink>
      <w:r w:rsidRPr="003774CE">
        <w:rPr>
          <w:rFonts w:ascii="Times New Roman" w:hAnsi="Times New Roman" w:cs="Times New Roman"/>
        </w:rPr>
        <w:t xml:space="preserve"> (“Slow-growing ponderosa pines may have a better chance of surviving longer than fast-growing ones, especially as climate change increases the frequency and intensity of drought, according to new research from the University of Montana. ... [A] key difference between fast and slow growers resides in a microscopic valve-like structure between the cells that transport water in the wood, called the pit membrane. The unique shape of this valve in slow-growing trees provides greater safety against drought, but it slows down water transport, limiting growth rate.”). </w:t>
      </w:r>
      <w:r w:rsidRPr="003774CE">
        <w:rPr>
          <w:rFonts w:ascii="Times New Roman" w:hAnsi="Times New Roman" w:cs="Times New Roman"/>
          <w:i/>
        </w:rPr>
        <w:t>citing</w:t>
      </w:r>
      <w:r w:rsidRPr="003774CE">
        <w:rPr>
          <w:rFonts w:ascii="Times New Roman" w:hAnsi="Times New Roman" w:cs="Times New Roman"/>
        </w:rPr>
        <w:t xml:space="preserve"> Beth </w:t>
      </w:r>
      <w:proofErr w:type="spellStart"/>
      <w:r w:rsidRPr="003774CE">
        <w:rPr>
          <w:rFonts w:ascii="Times New Roman" w:hAnsi="Times New Roman" w:cs="Times New Roman"/>
        </w:rPr>
        <w:t>Roskilly</w:t>
      </w:r>
      <w:proofErr w:type="spellEnd"/>
      <w:r w:rsidRPr="003774CE">
        <w:rPr>
          <w:rFonts w:ascii="Times New Roman" w:hAnsi="Times New Roman" w:cs="Times New Roman"/>
        </w:rPr>
        <w:t xml:space="preserve">, Eric Keeling, Sharon Hood, Arnaud </w:t>
      </w:r>
      <w:proofErr w:type="spellStart"/>
      <w:r w:rsidRPr="003774CE">
        <w:rPr>
          <w:rFonts w:ascii="Times New Roman" w:hAnsi="Times New Roman" w:cs="Times New Roman"/>
        </w:rPr>
        <w:t>Giuggiola</w:t>
      </w:r>
      <w:proofErr w:type="spellEnd"/>
      <w:r w:rsidRPr="003774CE">
        <w:rPr>
          <w:rFonts w:ascii="Times New Roman" w:hAnsi="Times New Roman" w:cs="Times New Roman"/>
        </w:rPr>
        <w:t>, Anna Sala. Conflicting functional effects of xylem pit structure relate to the growth-longevity trade-off in a conifer species. Proceedings of the National Academy of Sciences, 2019; 201900734 DOI: 10.1073/pnas.1900734116.</w:t>
      </w:r>
    </w:p>
    <w:p w:rsidR="00920614" w:rsidRDefault="00920614" w:rsidP="00920614">
      <w:pPr>
        <w:pStyle w:val="NormalWeb"/>
        <w:spacing w:before="0" w:after="0"/>
      </w:pPr>
    </w:p>
    <w:p w:rsidR="00920614" w:rsidRDefault="00920614" w:rsidP="00920614">
      <w:pPr>
        <w:pStyle w:val="CommentText"/>
        <w:tabs>
          <w:tab w:val="left" w:pos="7830"/>
        </w:tabs>
        <w:rPr>
          <w:sz w:val="24"/>
          <w:szCs w:val="24"/>
        </w:rPr>
      </w:pPr>
      <w:r>
        <w:rPr>
          <w:sz w:val="24"/>
          <w:szCs w:val="24"/>
        </w:rPr>
        <w:t>De la Mata et al (2017) studied the variable survival of Ponderosa pine during a mountain pine beetle (MPB) outbreak and found that slow growing trees had an advantage -</w:t>
      </w:r>
    </w:p>
    <w:p w:rsidR="00920614" w:rsidRDefault="00920614" w:rsidP="00920614">
      <w:pPr>
        <w:pStyle w:val="CommentText"/>
        <w:tabs>
          <w:tab w:val="left" w:pos="7830"/>
        </w:tabs>
        <w:ind w:left="720"/>
        <w:rPr>
          <w:rFonts w:ascii="Times New Roman" w:hAnsi="Times New Roman" w:cs="Times New Roman"/>
          <w:sz w:val="24"/>
          <w:szCs w:val="24"/>
        </w:rPr>
      </w:pPr>
      <w:r w:rsidRPr="00AF019B">
        <w:rPr>
          <w:rFonts w:ascii="Times New Roman" w:hAnsi="Times New Roman" w:cs="Times New Roman"/>
          <w:sz w:val="24"/>
          <w:szCs w:val="24"/>
        </w:rPr>
        <w:t xml:space="preserve">Growth rates have fitness consequences and selection is expected (23). Indeed, we found significant genetic responses to selection on growth rates, but importantly, these responses changed in direction and strength over time (Fig. 2A). Fast growth was positively selected before the outbreak, but negatively selected during the outbreak, clearly showing that intense herbivory shifted selection patterns. Fast growth in trees under competitive environments is critical for light acquisition and resource capture, and slow growth is selected against and underrepresented at mature stages (27). Consistently, </w:t>
      </w:r>
      <w:r w:rsidRPr="00AF019B">
        <w:rPr>
          <w:rFonts w:ascii="Times New Roman" w:hAnsi="Times New Roman" w:cs="Times New Roman"/>
          <w:sz w:val="24"/>
          <w:szCs w:val="24"/>
        </w:rPr>
        <w:lastRenderedPageBreak/>
        <w:t>selection for fast growth was strongest during early seedling establishment when density-dependent mortality in trees typically occurs (38) and when the proportion of seeds that attain maturity is usually very small (6). The MPB outbreak, however, caused significant selection differentials in the opposite direction (positive selection for slow-growing phenotypes), which triggered a negative genetic response after the outbreak (Fig. 2A). Our results are consistent with studies showing that fast early growth within tree species correlates with decreased longevity (29) and increased herbivory at maturity (30), and provide strong empirical evidence of the conflicting effects of growth rates on fitness during ontogeny.</w:t>
      </w:r>
    </w:p>
    <w:p w:rsidR="00920614" w:rsidRDefault="00920614" w:rsidP="00920614">
      <w:pPr>
        <w:pStyle w:val="CommentText"/>
        <w:tabs>
          <w:tab w:val="left" w:pos="7830"/>
        </w:tabs>
        <w:ind w:left="720"/>
        <w:rPr>
          <w:rFonts w:ascii="Times New Roman" w:hAnsi="Times New Roman" w:cs="Times New Roman"/>
          <w:sz w:val="24"/>
          <w:szCs w:val="24"/>
        </w:rPr>
      </w:pPr>
      <w:r>
        <w:rPr>
          <w:rFonts w:ascii="Times New Roman" w:hAnsi="Times New Roman" w:cs="Times New Roman"/>
          <w:sz w:val="24"/>
          <w:szCs w:val="24"/>
        </w:rPr>
        <w:t>…</w:t>
      </w:r>
    </w:p>
    <w:p w:rsidR="00920614" w:rsidRPr="00AF019B" w:rsidRDefault="00920614" w:rsidP="00920614">
      <w:pPr>
        <w:pStyle w:val="CommentText"/>
        <w:tabs>
          <w:tab w:val="left" w:pos="7830"/>
        </w:tabs>
        <w:ind w:left="720"/>
        <w:rPr>
          <w:rFonts w:ascii="Times New Roman" w:hAnsi="Times New Roman" w:cs="Times New Roman"/>
          <w:sz w:val="24"/>
          <w:szCs w:val="24"/>
        </w:rPr>
      </w:pPr>
      <w:r w:rsidRPr="00FE18AC">
        <w:rPr>
          <w:rFonts w:ascii="Times New Roman" w:hAnsi="Times New Roman" w:cs="Times New Roman"/>
          <w:sz w:val="24"/>
          <w:szCs w:val="24"/>
        </w:rPr>
        <w:t>Our results also have important management implications.</w:t>
      </w:r>
      <w:r>
        <w:rPr>
          <w:rFonts w:ascii="Times New Roman" w:hAnsi="Times New Roman" w:cs="Times New Roman"/>
          <w:sz w:val="24"/>
          <w:szCs w:val="24"/>
        </w:rPr>
        <w:t xml:space="preserve"> </w:t>
      </w:r>
      <w:r w:rsidRPr="00FE18AC">
        <w:rPr>
          <w:rFonts w:ascii="Times New Roman" w:hAnsi="Times New Roman" w:cs="Times New Roman"/>
          <w:sz w:val="24"/>
          <w:szCs w:val="24"/>
        </w:rPr>
        <w:t>Tree improvement programs supply seed resources for managed</w:t>
      </w:r>
      <w:r>
        <w:rPr>
          <w:rFonts w:ascii="Times New Roman" w:hAnsi="Times New Roman" w:cs="Times New Roman"/>
          <w:sz w:val="24"/>
          <w:szCs w:val="24"/>
        </w:rPr>
        <w:t xml:space="preserve"> </w:t>
      </w:r>
      <w:r w:rsidRPr="00FE18AC">
        <w:rPr>
          <w:rFonts w:ascii="Times New Roman" w:hAnsi="Times New Roman" w:cs="Times New Roman"/>
          <w:sz w:val="24"/>
          <w:szCs w:val="24"/>
        </w:rPr>
        <w:t>tree plantations, and for restoration purposes after natural and</w:t>
      </w:r>
      <w:r>
        <w:rPr>
          <w:rFonts w:ascii="Times New Roman" w:hAnsi="Times New Roman" w:cs="Times New Roman"/>
          <w:sz w:val="24"/>
          <w:szCs w:val="24"/>
        </w:rPr>
        <w:t xml:space="preserve"> </w:t>
      </w:r>
      <w:r w:rsidRPr="00FE18AC">
        <w:rPr>
          <w:rFonts w:ascii="Times New Roman" w:hAnsi="Times New Roman" w:cs="Times New Roman"/>
          <w:sz w:val="24"/>
          <w:szCs w:val="24"/>
        </w:rPr>
        <w:t>human-caused disturbances (e.g.</w:t>
      </w:r>
      <w:r>
        <w:rPr>
          <w:rFonts w:ascii="Times New Roman" w:hAnsi="Times New Roman" w:cs="Times New Roman"/>
          <w:sz w:val="24"/>
          <w:szCs w:val="24"/>
        </w:rPr>
        <w:t>, fire, severe drought, and rec</w:t>
      </w:r>
      <w:r w:rsidRPr="00FE18AC">
        <w:rPr>
          <w:rFonts w:ascii="Times New Roman" w:hAnsi="Times New Roman" w:cs="Times New Roman"/>
          <w:sz w:val="24"/>
          <w:szCs w:val="24"/>
        </w:rPr>
        <w:t>lamation). These programs have</w:t>
      </w:r>
      <w:r>
        <w:rPr>
          <w:rFonts w:ascii="Times New Roman" w:hAnsi="Times New Roman" w:cs="Times New Roman"/>
          <w:sz w:val="24"/>
          <w:szCs w:val="24"/>
        </w:rPr>
        <w:t xml:space="preserve"> traditionally focused on selec</w:t>
      </w:r>
      <w:r w:rsidRPr="00FE18AC">
        <w:rPr>
          <w:rFonts w:ascii="Times New Roman" w:hAnsi="Times New Roman" w:cs="Times New Roman"/>
          <w:sz w:val="24"/>
          <w:szCs w:val="24"/>
        </w:rPr>
        <w:t>tion on growth-related traits (52), although efforts to breed for</w:t>
      </w:r>
      <w:r>
        <w:rPr>
          <w:rFonts w:ascii="Times New Roman" w:hAnsi="Times New Roman" w:cs="Times New Roman"/>
          <w:sz w:val="24"/>
          <w:szCs w:val="24"/>
        </w:rPr>
        <w:t xml:space="preserve"> </w:t>
      </w:r>
      <w:r w:rsidRPr="00FE18AC">
        <w:rPr>
          <w:rFonts w:ascii="Times New Roman" w:hAnsi="Times New Roman" w:cs="Times New Roman"/>
          <w:sz w:val="24"/>
          <w:szCs w:val="24"/>
        </w:rPr>
        <w:t>tree resistance against insects and pathogens are currently in</w:t>
      </w:r>
      <w:r>
        <w:rPr>
          <w:rFonts w:ascii="Times New Roman" w:hAnsi="Times New Roman" w:cs="Times New Roman"/>
          <w:sz w:val="24"/>
          <w:szCs w:val="24"/>
        </w:rPr>
        <w:t xml:space="preserve"> </w:t>
      </w:r>
      <w:r w:rsidRPr="00FE18AC">
        <w:rPr>
          <w:rFonts w:ascii="Times New Roman" w:hAnsi="Times New Roman" w:cs="Times New Roman"/>
          <w:sz w:val="24"/>
          <w:szCs w:val="24"/>
        </w:rPr>
        <w:t>place (53). Our results indicate that the traditional focus on fast-growth by tree breeding programs may reduce survival under</w:t>
      </w:r>
      <w:r>
        <w:rPr>
          <w:rFonts w:ascii="Times New Roman" w:hAnsi="Times New Roman" w:cs="Times New Roman"/>
          <w:sz w:val="24"/>
          <w:szCs w:val="24"/>
        </w:rPr>
        <w:t xml:space="preserve"> </w:t>
      </w:r>
      <w:r w:rsidRPr="00FE18AC">
        <w:rPr>
          <w:rFonts w:ascii="Times New Roman" w:hAnsi="Times New Roman" w:cs="Times New Roman"/>
          <w:sz w:val="24"/>
          <w:szCs w:val="24"/>
        </w:rPr>
        <w:t>intense, unpredictable stress (54).</w:t>
      </w:r>
    </w:p>
    <w:p w:rsidR="00920614" w:rsidRDefault="00920614" w:rsidP="00920614">
      <w:pPr>
        <w:pStyle w:val="NormalWeb"/>
        <w:spacing w:before="0" w:after="0"/>
      </w:pPr>
      <w:r>
        <w:t>Raul de la Mata, Sharon Hood, and Anna Sala</w:t>
      </w:r>
      <w:r w:rsidRPr="00AF019B">
        <w:t xml:space="preserve"> </w:t>
      </w:r>
      <w:r>
        <w:t xml:space="preserve">2017. </w:t>
      </w:r>
      <w:r w:rsidRPr="00AF019B">
        <w:t>Insect outbreak shifts the direction of selection from</w:t>
      </w:r>
      <w:r>
        <w:t xml:space="preserve"> </w:t>
      </w:r>
      <w:r w:rsidRPr="00AF019B">
        <w:t>fast to slow growth rates in the long-lived conifer</w:t>
      </w:r>
      <w:r>
        <w:t xml:space="preserve"> </w:t>
      </w:r>
      <w:r w:rsidRPr="00AF019B">
        <w:t>Pinus ponderosa</w:t>
      </w:r>
      <w:r>
        <w:t xml:space="preserve">. PNAS. </w:t>
      </w:r>
      <w:hyperlink r:id="rId31" w:history="1">
        <w:r w:rsidRPr="00EE0842">
          <w:rPr>
            <w:rStyle w:val="Hyperlink"/>
          </w:rPr>
          <w:t>www.pnas.org/cgi/doi/10.1073/pnas.1700032114</w:t>
        </w:r>
      </w:hyperlink>
      <w:r>
        <w:t>.</w:t>
      </w:r>
    </w:p>
    <w:p w:rsidR="00920614" w:rsidRDefault="00920614" w:rsidP="00920614">
      <w:pPr>
        <w:pStyle w:val="NormalWeb"/>
        <w:spacing w:before="0" w:after="0"/>
      </w:pPr>
    </w:p>
    <w:p w:rsidR="00FE0EA4" w:rsidRPr="00B936A6" w:rsidRDefault="00FE0EA4" w:rsidP="00FE0EA4">
      <w:r w:rsidRPr="00B936A6">
        <w:t xml:space="preserve">Old trees are “life history lottery winners” and exhibit unique characteristics that are lost when old trees are logged. </w:t>
      </w:r>
    </w:p>
    <w:p w:rsidR="00FE0EA4" w:rsidRPr="00B936A6" w:rsidRDefault="00FE0EA4" w:rsidP="00FE0EA4">
      <w:pPr>
        <w:ind w:left="720"/>
      </w:pPr>
    </w:p>
    <w:p w:rsidR="00FE0EA4" w:rsidRPr="00B936A6" w:rsidRDefault="00FE0EA4" w:rsidP="00FE0EA4">
      <w:pPr>
        <w:ind w:left="720"/>
      </w:pPr>
      <w:r w:rsidRPr="00B936A6">
        <w:t xml:space="preserve">Human cultures around the world have revered ancient trees as powerful spiritual beings, connecting Earth and Heaven, as sources of wisdom, fertility, balance and longevity1. These myths and legends are often embodied by a particularly old and venerated individual tree of exceptional presence, distinguishable from the many other large trees in the forest. These ancient trees are seen as belonging to a separate and special class of being that transcends the normal plane of existence, binding the tree to a deep knowledge and awareness of history, change and persistence. With increasing knowledge about the role old trees play in ecosystems, biologists are also beginning to attach special importance to individual ancient trees in populations2,3. </w:t>
      </w:r>
    </w:p>
    <w:p w:rsidR="00FE0EA4" w:rsidRPr="00B936A6" w:rsidRDefault="00FE0EA4" w:rsidP="00FE0EA4">
      <w:pPr>
        <w:ind w:left="720"/>
      </w:pPr>
    </w:p>
    <w:p w:rsidR="00FE0EA4" w:rsidRPr="00B936A6" w:rsidRDefault="00FE0EA4" w:rsidP="00FE0EA4">
      <w:pPr>
        <w:ind w:left="720"/>
      </w:pPr>
      <w:r w:rsidRPr="00B936A6">
        <w:t xml:space="preserve">   The ecological importance of old trees in forested ecosystems has been extensively documented, particularly as small natural features that provide a wide range of services4–6. And yet, our understanding of tree age structure in forested ecosystems remains poor7. Fundamentally, the lifespan of even an average tree greatly exceeds the duration of any current ecological project, so true demographic studies of trees have never been carried out, except on a cross-sectional, not longitudinal, basis. … [W]e highlight several exceptional population-level demographic properties that emerge from these models and discuss their evolutionary implications, particularly given long-term environmental cycles. First, a small proportion of individuals win the life-history ‘lottery’ and obtain exceptional ages, far more than ten times greater than the median age in the population (Fig. 1a). These ancient trees are observed in natural populations and are possible because of the lack of programmed senescence enabled by the woody plant </w:t>
      </w:r>
      <w:r w:rsidRPr="00B936A6">
        <w:lastRenderedPageBreak/>
        <w:t>growth form3 and the low mortality rates observed in many old-growth forests globally13–16. We argue that, despite the rarity of these individuals, they play a significant role maintaining diversity in the population and bridging across unusual and infrequent environmental conditions. Second, a larger proportion of individuals reach significant ages many times greater than the median age. These old individuals contribute substantially to the stabilization of population diversity to intermediate environmental change.</w:t>
      </w:r>
    </w:p>
    <w:p w:rsidR="00FE0EA4" w:rsidRPr="00B936A6" w:rsidRDefault="00FE0EA4" w:rsidP="00FE0EA4">
      <w:pPr>
        <w:ind w:left="720"/>
      </w:pPr>
      <w:r w:rsidRPr="00B936A6">
        <w:t>…</w:t>
      </w:r>
    </w:p>
    <w:p w:rsidR="00FE0EA4" w:rsidRPr="00B936A6" w:rsidRDefault="00FE0EA4" w:rsidP="00FE0EA4">
      <w:pPr>
        <w:ind w:left="720"/>
      </w:pPr>
    </w:p>
    <w:p w:rsidR="00FE0EA4" w:rsidRPr="00B936A6" w:rsidRDefault="00FE0EA4" w:rsidP="00FE0EA4">
      <w:pPr>
        <w:ind w:left="720"/>
      </w:pPr>
      <w:r w:rsidRPr="00B936A6">
        <w:t xml:space="preserve">The ancient trees, particularly the oldest, display the greatest degree of responsiveness to changing model conditions. Some individuals obtain truly astonishing ages in relation to the mean age of the population, which, as noted above, is already substantially greater than the median population age and even the median oldest individual across replicates (Fig. 3; see full range of variation in Supplementary Fig. 3). Even in the smallest populations, individuals achieve ages that are significantly more than the mean maximum age, and the frequency and magnitude of these outliers increase with declining mortality (Fig. 3). Essentially, a life-history ‘lottery winner’ can emerge at any </w:t>
      </w:r>
      <w:proofErr w:type="spellStart"/>
      <w:r w:rsidRPr="00B936A6">
        <w:t>timepoint</w:t>
      </w:r>
      <w:proofErr w:type="spellEnd"/>
      <w:r w:rsidRPr="00B936A6">
        <w:t>. The maximum age obtained by  these lottery winners is substantially greater than even forest climax age, indicating that, even after population age structure has stabilized, the ancient trees continue to become more unusual and idiosyncratic for many more centuries. Unfortunately, the ancient age group that emerges from a stochastic death process, and thus their impact on evolutionary dynamics, can only be found in old-growth forests. Anthropogenic forest conversion resets the clock on this long emergent process.</w:t>
      </w:r>
    </w:p>
    <w:p w:rsidR="00FE0EA4" w:rsidRPr="00B936A6" w:rsidRDefault="00FE0EA4" w:rsidP="00FE0EA4">
      <w:pPr>
        <w:ind w:left="720"/>
      </w:pPr>
      <w:r w:rsidRPr="00B936A6">
        <w:t>…</w:t>
      </w:r>
    </w:p>
    <w:p w:rsidR="00FE0EA4" w:rsidRPr="00B936A6" w:rsidRDefault="00FE0EA4" w:rsidP="00FE0EA4">
      <w:pPr>
        <w:ind w:left="720"/>
      </w:pPr>
    </w:p>
    <w:p w:rsidR="00FE0EA4" w:rsidRPr="00B936A6" w:rsidRDefault="00FE0EA4" w:rsidP="00FE0EA4">
      <w:pPr>
        <w:ind w:left="720"/>
      </w:pPr>
      <w:r w:rsidRPr="00B936A6">
        <w:t>[B]</w:t>
      </w:r>
      <w:proofErr w:type="spellStart"/>
      <w:r w:rsidRPr="00B936A6">
        <w:t>ecause</w:t>
      </w:r>
      <w:proofErr w:type="spellEnd"/>
      <w:r w:rsidRPr="00B936A6">
        <w:t xml:space="preserve"> each ancient tree can differ in age from other ancient trees by decades and even centuries, every individual represents a unique set of environmental conditions that existed when they established.</w:t>
      </w:r>
    </w:p>
    <w:p w:rsidR="00FE0EA4" w:rsidRPr="00B936A6" w:rsidRDefault="00FE0EA4" w:rsidP="00FE0EA4">
      <w:pPr>
        <w:ind w:left="720"/>
      </w:pPr>
    </w:p>
    <w:p w:rsidR="00FE0EA4" w:rsidRPr="00B936A6" w:rsidRDefault="00FE0EA4" w:rsidP="00FE0EA4">
      <w:pPr>
        <w:ind w:left="720"/>
      </w:pPr>
      <w:r w:rsidRPr="00B936A6">
        <w:t xml:space="preserve">   These ancient trees can be a very valuable resource for the population, if temporal scales of environmental variation extend beyond the age of even old trees, thus bridging between extreme and infrequent environmental conditions that the population might not survive without the ancient trees.</w:t>
      </w:r>
    </w:p>
    <w:p w:rsidR="00FE0EA4" w:rsidRPr="00B936A6" w:rsidRDefault="00FE0EA4" w:rsidP="00FE0EA4">
      <w:pPr>
        <w:ind w:left="720"/>
      </w:pPr>
    </w:p>
    <w:p w:rsidR="00FE0EA4" w:rsidRPr="00B936A6" w:rsidRDefault="00FE0EA4" w:rsidP="00FE0EA4">
      <w:pPr>
        <w:ind w:left="720"/>
      </w:pPr>
      <w:r w:rsidRPr="00B936A6">
        <w:t xml:space="preserve">… Given that selective environments change through a complex cyclical process of several underlying patterns, extreme environmental conditions can return over time periods of decades or hundreds of years (Fig. 4a). The greater longevity of ancient trees increasingly bridges the temporal gap between the return of these environmental extremes (Fig. 4b–e). If individuals that establish during those extreme periods are more fit for these conditions, they can produce offspring that are likely to have advantageous alleles that facilitate establishment during those extreme conditions. As fecundity is generally maintained in ancient trees26, their contribution to regeneration during these extreme but rare climatic conditions can be disproportionate. Overall, despite the rarity of the ancient individuals, each ancient individual is connected to a unique historical </w:t>
      </w:r>
      <w:r w:rsidRPr="00B936A6">
        <w:lastRenderedPageBreak/>
        <w:t>circumstance (Fig. 4). They create a rich and deep genetic diversity within the community that can bridge the gaps between rare and extraordinary  environmental conditions. In particular, given predictions of global climate change, the baseline itself of cyclical environmental change is shifting and the amplitude of change is increasing, driving conditions towards more and more extreme values, further accentuating the importance of these ancient reservoirs of valuable adaptive capacity at the outer margins of genetic diversity.</w:t>
      </w:r>
    </w:p>
    <w:p w:rsidR="00FE0EA4" w:rsidRPr="00B936A6" w:rsidRDefault="00FE0EA4" w:rsidP="00FE0EA4">
      <w:pPr>
        <w:ind w:left="720"/>
      </w:pPr>
    </w:p>
    <w:p w:rsidR="00FE0EA4" w:rsidRPr="00B936A6" w:rsidRDefault="00FE0EA4" w:rsidP="00FE0EA4">
      <w:pPr>
        <w:ind w:left="720"/>
      </w:pPr>
      <w:r w:rsidRPr="00B936A6">
        <w:t xml:space="preserve">… Several mechanisms have evolved in individual trees to enable extreme longevity and deal with negative effects of ageing (Fig. 5). In general, they can be grouped into two non-mutually exclusive categories: senescence avoidance and ageing tolerance. … </w:t>
      </w:r>
    </w:p>
    <w:p w:rsidR="00FE0EA4" w:rsidRPr="00B936A6" w:rsidRDefault="00FE0EA4" w:rsidP="00FE0EA4">
      <w:pPr>
        <w:ind w:left="720"/>
      </w:pPr>
    </w:p>
    <w:p w:rsidR="00FE0EA4" w:rsidRPr="00B936A6" w:rsidRDefault="00FE0EA4" w:rsidP="00FE0EA4">
      <w:pPr>
        <w:ind w:left="720"/>
      </w:pPr>
      <w:r w:rsidRPr="00B936A6">
        <w:t xml:space="preserve">   Stress tolerance is indeed a mechanism of ageing tolerance, since it serves to delay death as trees age. In ancient trees, the ability to maintain pluripotent meristems is key for resistance (growth memory), resilience and stability of populations32,33. While shoot apical meristems lead directly to vegetative and reproductive growth, axillary meristems are particularly important for plant branching and regeneration after damage34. Ancient trees possess huge vegetative plasticity, even </w:t>
      </w:r>
      <w:proofErr w:type="spellStart"/>
      <w:r w:rsidRPr="00B936A6">
        <w:t>through</w:t>
      </w:r>
      <w:proofErr w:type="spellEnd"/>
      <w:r w:rsidRPr="00B936A6">
        <w:t xml:space="preserve"> epicormic shoots in consequence of severe disturbances3. … The cambial meristem continually renews the vascular system of the tree, responding to local conditions, both temporally and spatially, essentially creating a record of change and resilience in the tree wood. Meristematic tissues, both pluripotent and constantly renewing themselves, enable the tree to essentially be potentially immortal28, 29.</w:t>
      </w:r>
    </w:p>
    <w:p w:rsidR="00FE0EA4" w:rsidRPr="00B936A6" w:rsidRDefault="00FE0EA4" w:rsidP="00FE0EA4">
      <w:pPr>
        <w:ind w:left="720"/>
      </w:pPr>
    </w:p>
    <w:p w:rsidR="00FE0EA4" w:rsidRPr="00B936A6" w:rsidRDefault="00FE0EA4" w:rsidP="00FE0EA4">
      <w:pPr>
        <w:ind w:left="720"/>
      </w:pPr>
      <w:r w:rsidRPr="00B936A6">
        <w:t>… Estimates that old-growth forest can be achieved in 150 years (ref. 46) neglects the impact of ancient trees. These ancient trees are indicators of the degree of development in old-growth processes47. Old and ancient trees are unique proxies for reconstructing past climate and environment48. Such old trees have survived multiple decadal (Atlantic Multidecadal Oscillation and Pacific Decadal Oscillation generally lasting between 30 and 70 years) and even longer contrasting climatic phases (Medieval Warm Period, Little Ice Age, global warming).</w:t>
      </w:r>
    </w:p>
    <w:p w:rsidR="00FE0EA4" w:rsidRPr="00B936A6" w:rsidRDefault="00FE0EA4" w:rsidP="00FE0EA4">
      <w:pPr>
        <w:ind w:left="720"/>
      </w:pPr>
      <w:r w:rsidRPr="00B936A6">
        <w:t xml:space="preserve">…Finally, ancient trees represent a major reservoir for deep genetic </w:t>
      </w:r>
    </w:p>
    <w:p w:rsidR="00FE0EA4" w:rsidRPr="00B936A6" w:rsidRDefault="00FE0EA4" w:rsidP="00FE0EA4">
      <w:pPr>
        <w:ind w:left="720"/>
      </w:pPr>
    </w:p>
    <w:p w:rsidR="00FE0EA4" w:rsidRPr="00B936A6" w:rsidRDefault="00FE0EA4" w:rsidP="00FE0EA4">
      <w:pPr>
        <w:ind w:left="720"/>
      </w:pPr>
      <w:r w:rsidRPr="00B936A6">
        <w:t>diversity that can bridge long temporal gaps between extreme environmental conditions. While these ancient individuals are rare in the population, their existence can have profound impacts on population evolutionary dynamics, …</w:t>
      </w:r>
    </w:p>
    <w:p w:rsidR="00FE0EA4" w:rsidRPr="00B936A6" w:rsidRDefault="00FE0EA4" w:rsidP="00FE0EA4">
      <w:pPr>
        <w:ind w:left="720"/>
      </w:pPr>
    </w:p>
    <w:p w:rsidR="00FE0EA4" w:rsidRPr="00B936A6" w:rsidRDefault="00FE0EA4" w:rsidP="00FE0EA4">
      <w:pPr>
        <w:ind w:left="720"/>
      </w:pPr>
      <w:r w:rsidRPr="00B936A6">
        <w:t xml:space="preserve">… For all of these reasons, old-growth forests with their unique stock of ancient trees are becoming increasingly important to protect. Losing these trees is like species extinction, in that an irreplaceable genetic resource is being lost. Ecologically, ancient trees are known to be unique biodiversity hubs56 that provide key or unique ecosystem functions unparalleled by managed forests. They contribute disproportionately to the forest rate of carbon sequestration, as this rate continuously increases with tree size57. But these ancient trees, perhaps most critically, are an irreplaceable evolutionary resource for the tree species themselves. The loss of these ancient trees can greatly reduce the </w:t>
      </w:r>
      <w:r w:rsidRPr="00B936A6">
        <w:lastRenderedPageBreak/>
        <w:t>evolutionary potential of the species. Preserving and restoring ancient trees everywhere in the world, from the heart of old-growth forests to tiny fragments in managed forest or along roadsides, is an urgent goal for a sustainable future. We strongly advocate research focused on these ancient trees and their contribution to the future adaptive capacity of our global forests.</w:t>
      </w:r>
    </w:p>
    <w:p w:rsidR="00FE0EA4" w:rsidRPr="00B936A6" w:rsidRDefault="00FE0EA4" w:rsidP="00FE0EA4"/>
    <w:p w:rsidR="00FE0EA4" w:rsidRPr="00B936A6" w:rsidRDefault="00FE0EA4" w:rsidP="00FE0EA4">
      <w:r w:rsidRPr="00B936A6">
        <w:t xml:space="preserve">Charles H. Cannon, </w:t>
      </w:r>
      <w:proofErr w:type="spellStart"/>
      <w:r w:rsidRPr="00B936A6">
        <w:t>Gianluca</w:t>
      </w:r>
      <w:proofErr w:type="spellEnd"/>
      <w:r w:rsidRPr="00B936A6">
        <w:t xml:space="preserve"> </w:t>
      </w:r>
      <w:proofErr w:type="spellStart"/>
      <w:r w:rsidRPr="00B936A6">
        <w:t>Piovesan</w:t>
      </w:r>
      <w:proofErr w:type="spellEnd"/>
      <w:r w:rsidRPr="00B936A6">
        <w:t xml:space="preserve">, and </w:t>
      </w:r>
      <w:proofErr w:type="spellStart"/>
      <w:r w:rsidRPr="00B936A6">
        <w:t>Sergi</w:t>
      </w:r>
      <w:proofErr w:type="spellEnd"/>
      <w:r w:rsidRPr="00B936A6">
        <w:t xml:space="preserve"> </w:t>
      </w:r>
      <w:proofErr w:type="spellStart"/>
      <w:r w:rsidRPr="00B936A6">
        <w:t>Munné</w:t>
      </w:r>
      <w:proofErr w:type="spellEnd"/>
      <w:r w:rsidRPr="00B936A6">
        <w:t xml:space="preserve">-Bosch 2022. Old and ancient trees are life history lottery winners and vital evolutionary resources for long-term adaptive capacity. Nature Plants 8, pages136–145 (2022). </w:t>
      </w:r>
      <w:hyperlink r:id="rId32" w:history="1">
        <w:r w:rsidRPr="00B936A6">
          <w:rPr>
            <w:rStyle w:val="Hyperlink"/>
          </w:rPr>
          <w:t>https://doi.org/10.1038/s41477-021-01088-5</w:t>
        </w:r>
      </w:hyperlink>
      <w:r w:rsidRPr="00B936A6">
        <w:t xml:space="preserve">. </w:t>
      </w:r>
    </w:p>
    <w:p w:rsidR="00FE0EA4" w:rsidRDefault="00FE0EA4" w:rsidP="00920614">
      <w:pPr>
        <w:pStyle w:val="NormalWeb"/>
        <w:spacing w:before="0" w:after="0"/>
      </w:pPr>
    </w:p>
    <w:p w:rsidR="00920614" w:rsidRPr="00B936A6" w:rsidRDefault="00920614" w:rsidP="00920614">
      <w:r w:rsidRPr="00B936A6">
        <w:t>In order to conserve forest values that have been severely degraded over many decades of forest mismanagement on the eastside, the Forest Service must protect all available large AND old trees, especially those that are naturally fire tolerant such as Ponderosa pine, larch, sugar pine, white pine, lodgepole pine, and Douglas fir. Large trees also contribute to the canopy that helps retain moisture and shade and thereby reduces fuel desiccation and fire danger. Large trees also perform hydraulic lift whereby deep roots of large trees bring water up from deep soil horizons and during the night and make it available to plant communities with shallower root systems.</w:t>
      </w:r>
    </w:p>
    <w:p w:rsidR="00920614" w:rsidRPr="00B936A6" w:rsidRDefault="00920614" w:rsidP="00F9052E">
      <w:pPr>
        <w:shd w:val="clear" w:color="auto" w:fill="FFFFFF"/>
        <w:rPr>
          <w:rFonts w:cs="Times New Roman"/>
        </w:rPr>
      </w:pPr>
    </w:p>
    <w:p w:rsidR="00FB7836" w:rsidRPr="009B4CCC" w:rsidRDefault="00254B06" w:rsidP="009B4CCC">
      <w:pPr>
        <w:pStyle w:val="Heading2"/>
      </w:pPr>
      <w:r w:rsidRPr="009B4CCC">
        <w:t>Conserve Roadless</w:t>
      </w:r>
      <w:r w:rsidR="00DC78B2" w:rsidRPr="009B4CCC">
        <w:t xml:space="preserve"> </w:t>
      </w:r>
    </w:p>
    <w:p w:rsidR="003F0778" w:rsidRPr="00B936A6" w:rsidRDefault="003F0778" w:rsidP="00C13CE6">
      <w:r w:rsidRPr="00B936A6">
        <w:t xml:space="preserve">We urge the Forest Service to carefully conserve inventoried roadless and uninventoried unroaded areas &gt;1,000 acres. </w:t>
      </w:r>
    </w:p>
    <w:p w:rsidR="003F0778" w:rsidRPr="00B936A6" w:rsidRDefault="003F0778" w:rsidP="00C13CE6"/>
    <w:p w:rsidR="00254B06" w:rsidRPr="00B936A6" w:rsidRDefault="003F0778" w:rsidP="00C13CE6">
      <w:r w:rsidRPr="00B936A6">
        <w:t xml:space="preserve">We do not object to </w:t>
      </w:r>
      <w:r w:rsidR="00DC78B2" w:rsidRPr="00B936A6">
        <w:t>non-commercial</w:t>
      </w:r>
      <w:r w:rsidRPr="00B936A6">
        <w:t xml:space="preserve"> thinning and prescribed fire </w:t>
      </w:r>
      <w:r w:rsidR="00920FD2" w:rsidRPr="00B936A6">
        <w:t xml:space="preserve">in roadless/unroaded areas </w:t>
      </w:r>
      <w:r w:rsidRPr="00B936A6">
        <w:t>when conducted using hand crews (NOT heavy equipment).</w:t>
      </w:r>
    </w:p>
    <w:p w:rsidR="003F0778" w:rsidRPr="00B936A6" w:rsidRDefault="003F0778" w:rsidP="00C13CE6"/>
    <w:p w:rsidR="003F0778" w:rsidRPr="00B936A6" w:rsidRDefault="003F0778" w:rsidP="00C13CE6"/>
    <w:p w:rsidR="003F0778" w:rsidRPr="00B936A6" w:rsidRDefault="003F0778" w:rsidP="003F0778">
      <w:r w:rsidRPr="00B936A6">
        <w:t>Large intact expanses of unfragmented habitat were once quite common but are now rare. Species evolved in the context of the large habitat patches that result from the natural disturbance regime. As just one important example, big game need large patches of security cover which is best provided by large unroaded areas. New science confirms that roads and logging tend to be contagious on the landscape (managed areas beget more management until little remains unmanaged), so to conserve the habitat values associated with wild places we have to prevent the first intrusions. The purpose and need for this project should include protecting and restoring large unroaded areas consistent with the natural range of variability. This goal is just as important as goals related to tree density or species composition that the agency too often relies on to justify logging and road building.</w:t>
      </w:r>
    </w:p>
    <w:p w:rsidR="00663673" w:rsidRPr="00B936A6" w:rsidRDefault="00663673" w:rsidP="00C13CE6"/>
    <w:p w:rsidR="003F0778" w:rsidRPr="00B936A6" w:rsidRDefault="003F0778" w:rsidP="003F0778">
      <w:r w:rsidRPr="00B936A6">
        <w:rPr>
          <w:rFonts w:cs="Times New Roman"/>
          <w:color w:val="222222"/>
          <w:shd w:val="clear" w:color="auto" w:fill="FFFFFF"/>
        </w:rPr>
        <w:t xml:space="preserve">The agency cannot limit its analysis of roadless areas to inventoried areas &gt;5,000 acres, because smaller roadless areas that were not inventoried are ecologically relevant and potentially significant. </w:t>
      </w:r>
      <w:r w:rsidRPr="00B936A6">
        <w:t xml:space="preserve">The NEPA analysis must reflect the growing scientific evidence (cited below) indicating the significant value of roadless areas smaller than 5,000 acres and larger than 1,000 acres. Recent scientific literature emphasizes the importance of unroaded areas greater than 1,000 acres as strongholds for the production of fish and other aquatic and terrestrial species, as </w:t>
      </w:r>
      <w:r w:rsidRPr="00B936A6">
        <w:lastRenderedPageBreak/>
        <w:t>well as sources of high quality water. Commercial logging and/or road building within large unroaded areas threatens these significant ecological values.</w:t>
      </w:r>
    </w:p>
    <w:p w:rsidR="003F0778" w:rsidRPr="00B936A6" w:rsidRDefault="003F0778" w:rsidP="00C13CE6"/>
    <w:p w:rsidR="00D17CAF" w:rsidRPr="00B936A6" w:rsidRDefault="00D17CAF" w:rsidP="00D17CAF">
      <w:r w:rsidRPr="00B936A6">
        <w:t xml:space="preserve">Large unroaded areas are important simply due to the fact that they better represent the historic condition that species evolved with but they are now rare on the landscape due to human activities that have degraded and fragmented the majority of the landscape. The Northwest Forest Plan LSOG Effectiveness Monitoring Plan says that “perhaps 80 percent or more [of the historic late-successional old-growth forest] would probably have occurred as relatively large (greater than 1,000 acres) areas of connected forest.” Miles </w:t>
      </w:r>
      <w:proofErr w:type="spellStart"/>
      <w:r w:rsidRPr="00B936A6">
        <w:t>Hemstrom</w:t>
      </w:r>
      <w:proofErr w:type="spellEnd"/>
      <w:r w:rsidRPr="00B936A6">
        <w:t xml:space="preserve">, Thomas Spies, Craig Palmer, Ross </w:t>
      </w:r>
      <w:proofErr w:type="spellStart"/>
      <w:r w:rsidRPr="00B936A6">
        <w:t>Kiester</w:t>
      </w:r>
      <w:proofErr w:type="spellEnd"/>
      <w:r w:rsidRPr="00B936A6">
        <w:t xml:space="preserve">, John </w:t>
      </w:r>
      <w:proofErr w:type="spellStart"/>
      <w:r w:rsidRPr="00B936A6">
        <w:t>Teply</w:t>
      </w:r>
      <w:proofErr w:type="spellEnd"/>
      <w:r w:rsidRPr="00B936A6">
        <w:t xml:space="preserve">, Phil McDonald, and Ralph </w:t>
      </w:r>
      <w:proofErr w:type="spellStart"/>
      <w:r w:rsidRPr="00B936A6">
        <w:t>Warbington</w:t>
      </w:r>
      <w:proofErr w:type="spellEnd"/>
      <w:r w:rsidRPr="00B936A6">
        <w:t xml:space="preserve">; Late-Successional and Old-Growth Forest Effectiveness Monitoring Plan for the Northwest Forest Plan, USFS General Technical Report PNW-GTR-438; December 1998; </w:t>
      </w:r>
      <w:hyperlink r:id="rId33" w:history="1">
        <w:r w:rsidRPr="00B936A6">
          <w:rPr>
            <w:rStyle w:val="Hyperlink"/>
          </w:rPr>
          <w:t>http://www.fs.fed.us/pnw/pubs/gtr_438.pdf</w:t>
        </w:r>
      </w:hyperlink>
      <w:r w:rsidRPr="00B936A6">
        <w:t>. Currently, these 1,000 acre and larger patches are rare on the landscape.</w:t>
      </w:r>
    </w:p>
    <w:p w:rsidR="00D17CAF" w:rsidRPr="00B936A6" w:rsidRDefault="00D17CAF" w:rsidP="00D17CAF"/>
    <w:p w:rsidR="00D17CAF" w:rsidRPr="00B936A6" w:rsidRDefault="00D17CAF" w:rsidP="00D17CAF">
      <w:proofErr w:type="spellStart"/>
      <w:r w:rsidRPr="00B936A6">
        <w:t>Boakes</w:t>
      </w:r>
      <w:proofErr w:type="spellEnd"/>
      <w:r w:rsidRPr="00B936A6">
        <w:t xml:space="preserve"> et al (2009) explained why it is important to retain large unroaded areas.</w:t>
      </w:r>
    </w:p>
    <w:p w:rsidR="00D17CAF" w:rsidRPr="00B936A6" w:rsidRDefault="00D17CAF" w:rsidP="00D17CAF">
      <w:pPr>
        <w:autoSpaceDE w:val="0"/>
        <w:ind w:left="720"/>
      </w:pPr>
      <w:r w:rsidRPr="00B936A6">
        <w:rPr>
          <w:b/>
        </w:rPr>
        <w:t>Abstract:</w:t>
      </w:r>
      <w:r w:rsidRPr="00B936A6">
        <w:t xml:space="preserve"> Habitat clearance remains the major cause of biodiversity loss, with consequences for ecosystem services and for people. In response to this, many global conservation schemes direct funds to regions with high rates of recent habitat destruction, though some also </w:t>
      </w:r>
      <w:r w:rsidRPr="00B936A6">
        <w:rPr>
          <w:b/>
          <w:bCs/>
        </w:rPr>
        <w:t>emphasize the conservation of remaining large tracts of intact habitat</w:t>
      </w:r>
      <w:r w:rsidRPr="00B936A6">
        <w:t xml:space="preserve">. If the pattern of </w:t>
      </w:r>
      <w:r w:rsidRPr="00B936A6">
        <w:rPr>
          <w:b/>
          <w:bCs/>
        </w:rPr>
        <w:t>habitat clearance is highly contagious</w:t>
      </w:r>
      <w:r w:rsidRPr="00B936A6">
        <w:t xml:space="preserve">, the latter approach will help </w:t>
      </w:r>
      <w:r w:rsidRPr="00B936A6">
        <w:rPr>
          <w:b/>
          <w:bCs/>
        </w:rPr>
        <w:t xml:space="preserve">prevent destructive processes gaining a foothold </w:t>
      </w:r>
      <w:r w:rsidRPr="00B936A6">
        <w:t xml:space="preserve">in areas of contiguous intact habitat. Here, we test the strength of spatial contagion in the pattern of habitat clearance. Using a global dataset of land-cover change at 50x50 km resolution, we discover that intact habitat areas in grid cells are refractory to clearance only when all neighbouring cells are also intact. The </w:t>
      </w:r>
      <w:r w:rsidRPr="00B936A6">
        <w:rPr>
          <w:b/>
          <w:bCs/>
        </w:rPr>
        <w:t>likelihood of loss increases dramatically as soon as habitat is cleared in just one neighbouring cell</w:t>
      </w:r>
      <w:r w:rsidRPr="00B936A6">
        <w:t xml:space="preserve">, and remains high thereafter. </w:t>
      </w:r>
      <w:r w:rsidRPr="00B936A6">
        <w:rPr>
          <w:b/>
          <w:bCs/>
        </w:rPr>
        <w:t>This effect is consistent for forests and grassland, across biogeographic realms and over centuries, constituting a coherent global pattern</w:t>
      </w:r>
      <w:r w:rsidRPr="00B936A6">
        <w:t xml:space="preserve">. Our results show that landscapes become vulnerable to wholesale clearance as soon as </w:t>
      </w:r>
      <w:r w:rsidRPr="00B936A6">
        <w:rPr>
          <w:b/>
          <w:bCs/>
        </w:rPr>
        <w:t>threatening processes begin to penetrate</w:t>
      </w:r>
      <w:r w:rsidRPr="00B936A6">
        <w:t>, so actions to prevent any incursions into large, intact blocks of natural habitat are key to their long-term persistence.</w:t>
      </w:r>
    </w:p>
    <w:p w:rsidR="00D17CAF" w:rsidRPr="00B936A6" w:rsidRDefault="00D17CAF" w:rsidP="00D17CAF">
      <w:pPr>
        <w:rPr>
          <w:rFonts w:cs="Times New Roman"/>
        </w:rPr>
      </w:pPr>
      <w:r w:rsidRPr="00B936A6">
        <w:t xml:space="preserve">Elizabeth H. </w:t>
      </w:r>
      <w:proofErr w:type="spellStart"/>
      <w:r w:rsidRPr="00B936A6">
        <w:t>Boakes</w:t>
      </w:r>
      <w:proofErr w:type="spellEnd"/>
      <w:r w:rsidRPr="00B936A6">
        <w:t>, Georgina M. Mace, Philip J. K. McGowan and Richard A. Fuller 2009. Extreme contagion in global habitat clearance. Proceedings of the Royal Society B: Biological Sciences. November 25, 2009. doi: 10.1098/rspb.2009.1771</w:t>
      </w:r>
    </w:p>
    <w:p w:rsidR="00D17CAF" w:rsidRPr="00B936A6" w:rsidRDefault="00D17CAF" w:rsidP="00D17CAF">
      <w:pPr>
        <w:rPr>
          <w:rFonts w:cs="Times New Roman"/>
        </w:rPr>
      </w:pPr>
    </w:p>
    <w:p w:rsidR="00D17CAF" w:rsidRPr="00B936A6" w:rsidRDefault="00D17CAF" w:rsidP="00D17CAF">
      <w:pPr>
        <w:rPr>
          <w:rFonts w:cs="Times New Roman"/>
        </w:rPr>
      </w:pPr>
      <w:r w:rsidRPr="00B936A6">
        <w:rPr>
          <w:rFonts w:cs="Times New Roman"/>
        </w:rPr>
        <w:t>World Wildlife Fund and the Conservation Biology Institute summarized the important attributes of small roadless areas (1,000-5,000 acres).</w:t>
      </w:r>
    </w:p>
    <w:p w:rsidR="00D17CAF" w:rsidRPr="00B936A6" w:rsidRDefault="00D17CAF" w:rsidP="00D17CAF">
      <w:pPr>
        <w:ind w:left="720"/>
        <w:rPr>
          <w:rFonts w:cs="Times New Roman"/>
        </w:rPr>
      </w:pPr>
      <w:r w:rsidRPr="00B936A6">
        <w:rPr>
          <w:rFonts w:cs="Times New Roman"/>
        </w:rPr>
        <w:t>Small roadless areas share many of attributes in common with larger ones, including:</w:t>
      </w:r>
    </w:p>
    <w:p w:rsidR="00D17CAF" w:rsidRPr="00B936A6" w:rsidRDefault="00D17CAF" w:rsidP="00D17CAF">
      <w:pPr>
        <w:ind w:left="720"/>
        <w:rPr>
          <w:rFonts w:cs="Times New Roman"/>
        </w:rPr>
      </w:pPr>
      <w:r w:rsidRPr="00B936A6">
        <w:rPr>
          <w:rFonts w:cs="Times New Roman"/>
        </w:rPr>
        <w:t>• Essential habitat for species key to the recovery of forests following disturbance such as herbaceous plants, lichens, and mycorrhizal fungi</w:t>
      </w:r>
    </w:p>
    <w:p w:rsidR="00D17CAF" w:rsidRPr="00B936A6" w:rsidRDefault="00D17CAF" w:rsidP="00D17CAF">
      <w:pPr>
        <w:ind w:left="720"/>
        <w:rPr>
          <w:rFonts w:cs="Times New Roman"/>
        </w:rPr>
      </w:pPr>
      <w:r w:rsidRPr="00B936A6">
        <w:rPr>
          <w:rFonts w:cs="Times New Roman"/>
        </w:rPr>
        <w:t>• Habitat refugia for threatened species and those with restricted distributions (endemics)</w:t>
      </w:r>
    </w:p>
    <w:p w:rsidR="00D17CAF" w:rsidRPr="00B936A6" w:rsidRDefault="00D17CAF" w:rsidP="00D17CAF">
      <w:pPr>
        <w:ind w:left="720"/>
        <w:rPr>
          <w:rFonts w:cs="Times New Roman"/>
        </w:rPr>
      </w:pPr>
      <w:r w:rsidRPr="00B936A6">
        <w:rPr>
          <w:rFonts w:cs="Times New Roman"/>
        </w:rPr>
        <w:t>• Aquatic strongholds for salmonids</w:t>
      </w:r>
    </w:p>
    <w:p w:rsidR="00D17CAF" w:rsidRPr="00B936A6" w:rsidRDefault="00D17CAF" w:rsidP="00D17CAF">
      <w:pPr>
        <w:ind w:left="720"/>
        <w:rPr>
          <w:rFonts w:cs="Times New Roman"/>
        </w:rPr>
      </w:pPr>
      <w:r w:rsidRPr="00B936A6">
        <w:rPr>
          <w:rFonts w:cs="Times New Roman"/>
        </w:rPr>
        <w:lastRenderedPageBreak/>
        <w:t>• Undisturbed habitats for mollusks and amphibians</w:t>
      </w:r>
    </w:p>
    <w:p w:rsidR="00D17CAF" w:rsidRPr="00B936A6" w:rsidRDefault="00D17CAF" w:rsidP="00D17CAF">
      <w:pPr>
        <w:ind w:left="720"/>
        <w:rPr>
          <w:rFonts w:cs="Times New Roman"/>
        </w:rPr>
      </w:pPr>
      <w:r w:rsidRPr="00B936A6">
        <w:rPr>
          <w:rFonts w:cs="Times New Roman"/>
        </w:rPr>
        <w:t>• Remaining pockets of old-growth forests</w:t>
      </w:r>
    </w:p>
    <w:p w:rsidR="00D17CAF" w:rsidRPr="00B936A6" w:rsidRDefault="00D17CAF" w:rsidP="00D17CAF">
      <w:pPr>
        <w:ind w:left="720"/>
        <w:rPr>
          <w:rFonts w:cs="Times New Roman"/>
        </w:rPr>
      </w:pPr>
      <w:r w:rsidRPr="00B936A6">
        <w:rPr>
          <w:rFonts w:cs="Times New Roman"/>
        </w:rPr>
        <w:t>• Overwintering habitat for resident birds and ungulates</w:t>
      </w:r>
    </w:p>
    <w:p w:rsidR="00D17CAF" w:rsidRPr="00B936A6" w:rsidRDefault="00D17CAF" w:rsidP="00D17CAF">
      <w:pPr>
        <w:ind w:left="720"/>
        <w:rPr>
          <w:rFonts w:cs="Times New Roman"/>
        </w:rPr>
      </w:pPr>
      <w:r w:rsidRPr="00B936A6">
        <w:rPr>
          <w:rFonts w:cs="Times New Roman"/>
        </w:rPr>
        <w:t>• Dispersal “stepping stones” for wildlife movement across fragmented landscapes</w:t>
      </w:r>
    </w:p>
    <w:p w:rsidR="00D17CAF" w:rsidRPr="00B936A6" w:rsidRDefault="00D17CAF" w:rsidP="00D17CAF">
      <w:pPr>
        <w:rPr>
          <w:rFonts w:cs="Times New Roman"/>
        </w:rPr>
      </w:pPr>
      <w:proofErr w:type="spellStart"/>
      <w:r w:rsidRPr="00B936A6">
        <w:rPr>
          <w:rFonts w:cs="Times New Roman"/>
        </w:rPr>
        <w:t>DellaSala</w:t>
      </w:r>
      <w:proofErr w:type="spellEnd"/>
      <w:r w:rsidRPr="00B936A6">
        <w:rPr>
          <w:rFonts w:cs="Times New Roman"/>
        </w:rPr>
        <w:t xml:space="preserve">, Dominick and James </w:t>
      </w:r>
      <w:proofErr w:type="spellStart"/>
      <w:r w:rsidRPr="00B936A6">
        <w:rPr>
          <w:rFonts w:cs="Times New Roman"/>
        </w:rPr>
        <w:t>Strittholt</w:t>
      </w:r>
      <w:proofErr w:type="spellEnd"/>
      <w:r w:rsidRPr="00B936A6">
        <w:rPr>
          <w:rFonts w:cs="Times New Roman"/>
        </w:rPr>
        <w:t xml:space="preserve">. 2002. Scientific Basis For Roadless Area Conservation. World Wildlife Fund. Ashland, OR; Conservation Biology Institute. (June 2002 - Updated October 2003) </w:t>
      </w:r>
      <w:hyperlink r:id="rId34" w:history="1">
        <w:r w:rsidRPr="00B936A6">
          <w:rPr>
            <w:rStyle w:val="Hyperlink"/>
            <w:rFonts w:cs="Times New Roman"/>
          </w:rPr>
          <w:t>https://d2k78bk4kdhbpr.cloudfront.net/media/reports/files/Scientific_Basis_For_Roadless_Area_Conservation.pdf</w:t>
        </w:r>
      </w:hyperlink>
      <w:r w:rsidRPr="00B936A6">
        <w:rPr>
          <w:rFonts w:cs="Times New Roman"/>
        </w:rPr>
        <w:t xml:space="preserve">. </w:t>
      </w:r>
    </w:p>
    <w:p w:rsidR="00D17CAF" w:rsidRPr="00B936A6" w:rsidRDefault="00D17CAF" w:rsidP="00D17CAF">
      <w:pPr>
        <w:rPr>
          <w:rFonts w:cs="Times New Roman"/>
        </w:rPr>
      </w:pPr>
    </w:p>
    <w:p w:rsidR="00D17CAF" w:rsidRPr="00B936A6" w:rsidRDefault="00D17CAF" w:rsidP="00D17CAF">
      <w:pPr>
        <w:rPr>
          <w:rFonts w:cs="Times New Roman"/>
        </w:rPr>
      </w:pPr>
      <w:r w:rsidRPr="00B936A6">
        <w:rPr>
          <w:rFonts w:eastAsia="Times New Roman" w:cs="Times New Roman"/>
        </w:rPr>
        <w:t>In a 1997 letter to President Clinton, 136 scientists said:</w:t>
      </w:r>
    </w:p>
    <w:p w:rsidR="00D17CAF" w:rsidRPr="00B936A6" w:rsidRDefault="00D17CAF" w:rsidP="00D17CAF">
      <w:pPr>
        <w:ind w:left="720"/>
        <w:rPr>
          <w:rFonts w:cs="Times New Roman"/>
        </w:rPr>
      </w:pPr>
      <w:r w:rsidRPr="00B936A6">
        <w:rPr>
          <w:rFonts w:eastAsia="Times New Roman" w:cs="Times New Roman"/>
        </w:rPr>
        <w:t>There is a growing consensus among academic and agency scientists that existing roadless areas–irrespective of size–contribute substantially to maintaining biodiversity and ecological integrity on the national forests. The Eastside Forests Scientific Societies Panel, including representatives from the American Fisheries Society, American Ornithologists’ Union, Ecological Society of America, Society for Conservation Biology, and The Wildlife Society, recommended a prohibition on the construction of new roads and logging within existing (1) roadless regions larger than 1,000 acres, and (2) roadless regions smaller than 1,000 acres that are biologically significant…. Other scientists have also recommended protection of all roadless areas greater than 1,000 acres, at least until landscapes degraded by past management have recovered…. As you have acknowledged, a national policy prohibiting road building and other forms of development in roadless areas represents a major step towards balancing sustainable forest management with conserving environmental values on federal lands. In our view, a scientifically based policy for roadless areas on public lands should, at a minimum, protect from development all roadless areas larger than 1,000 acres and those smaller areas that have special ecological significance because of their contributions to regional landscapes.</w:t>
      </w:r>
    </w:p>
    <w:p w:rsidR="00D17CAF" w:rsidRPr="00B936A6" w:rsidRDefault="00D17CAF" w:rsidP="00D17CAF">
      <w:pPr>
        <w:rPr>
          <w:rFonts w:cs="Times New Roman"/>
        </w:rPr>
      </w:pPr>
      <w:r w:rsidRPr="00B936A6">
        <w:rPr>
          <w:rFonts w:eastAsia="Times New Roman" w:cs="Times New Roman"/>
        </w:rPr>
        <w:t>Letter to President Clinton from 136 scientists (Dec. 10, 1997).</w:t>
      </w:r>
    </w:p>
    <w:p w:rsidR="00D17CAF" w:rsidRPr="00B936A6" w:rsidRDefault="00D17CAF" w:rsidP="00D17CAF">
      <w:pPr>
        <w:rPr>
          <w:rFonts w:cs="Times New Roman"/>
        </w:rPr>
      </w:pPr>
      <w:hyperlink r:id="rId35" w:history="1">
        <w:r w:rsidRPr="00B936A6">
          <w:rPr>
            <w:rStyle w:val="Hyperlink"/>
            <w:rFonts w:cs="Times New Roman"/>
          </w:rPr>
          <w:t>https://drive.google.com/file/d/0B4L_-RD-MJwrRzhFcm5QcFR0MHM/view?usp=sharing&amp;resourcekey=0-2-sbGMN3bOUBQGGMDBQM1Q</w:t>
        </w:r>
      </w:hyperlink>
      <w:r w:rsidRPr="00B936A6">
        <w:rPr>
          <w:rFonts w:cs="Times New Roman"/>
        </w:rPr>
        <w:t xml:space="preserve"> </w:t>
      </w:r>
    </w:p>
    <w:p w:rsidR="00D17CAF" w:rsidRPr="00B936A6" w:rsidRDefault="00D17CAF" w:rsidP="00D17CAF">
      <w:pPr>
        <w:rPr>
          <w:rFonts w:cs="Times New Roman"/>
        </w:rPr>
      </w:pPr>
    </w:p>
    <w:p w:rsidR="00D17CAF" w:rsidRPr="00B936A6" w:rsidRDefault="00D17CAF" w:rsidP="00D17CAF">
      <w:pPr>
        <w:rPr>
          <w:rFonts w:eastAsia="Symbol"/>
        </w:rPr>
      </w:pPr>
      <w:r w:rsidRPr="00B936A6">
        <w:rPr>
          <w:rFonts w:eastAsia="Symbol"/>
          <w:color w:val="222222"/>
          <w:shd w:val="clear" w:color="auto" w:fill="FFFFFF"/>
        </w:rPr>
        <w:t>To the list of special values found within unroaded areas must be added carbon storage. European policy leaders consider roadless areas effective for carbon storage and climate mitigation:</w:t>
      </w:r>
    </w:p>
    <w:p w:rsidR="00D17CAF" w:rsidRDefault="00D17CAF" w:rsidP="00D17CAF">
      <w:pPr>
        <w:pStyle w:val="BodyTextIndent"/>
      </w:pPr>
      <w:r>
        <w:rPr>
          <w:rFonts w:eastAsia="Symbol"/>
        </w:rPr>
        <w:t>[T]he European Parliament has agreed to raise the issue of roadbuilding in intact forests at the UN Climate Change Conference to be held next month in Warsaw (Poland); it calls on parties to use the existence of roads in forest areas as an early negative performance indicator of REDD+ projects, and to prioritise the allocation of REDD+ funds towards road free forests.</w:t>
      </w:r>
    </w:p>
    <w:p w:rsidR="00D17CAF" w:rsidRPr="00B936A6" w:rsidRDefault="00D17CAF" w:rsidP="00D17CAF">
      <w:r w:rsidRPr="00B936A6">
        <w:t xml:space="preserve">Oct 24, 2013 Press release: EUROPEAN PARLIAMENT BACKS THE PROTECTION OF ROADFREE AREAS. </w:t>
      </w:r>
      <w:hyperlink r:id="rId36" w:history="1">
        <w:r w:rsidRPr="00B936A6">
          <w:rPr>
            <w:rStyle w:val="Hyperlink"/>
          </w:rPr>
          <w:t>http://kritonarsenis.gr/eng/actions/view/european-parliament-backs-the-protection</w:t>
        </w:r>
      </w:hyperlink>
      <w:r w:rsidRPr="00B936A6">
        <w:t xml:space="preserve">. Federal land managers should recognize the tremendous carbon values in unroaded/unmanaged forests and avoid actions that would threaten these values. See also, William R. </w:t>
      </w:r>
      <w:proofErr w:type="spellStart"/>
      <w:r w:rsidRPr="00B936A6">
        <w:t>Moomaw</w:t>
      </w:r>
      <w:proofErr w:type="spellEnd"/>
      <w:r w:rsidRPr="00B936A6">
        <w:t xml:space="preserve">, Susan A. </w:t>
      </w:r>
      <w:proofErr w:type="spellStart"/>
      <w:r w:rsidRPr="00B936A6">
        <w:t>Masino</w:t>
      </w:r>
      <w:proofErr w:type="spellEnd"/>
      <w:r w:rsidRPr="00B936A6">
        <w:t xml:space="preserve">, and Edward K. Faison. 2019. Intact Forests in the </w:t>
      </w:r>
      <w:r w:rsidRPr="00B936A6">
        <w:lastRenderedPageBreak/>
        <w:t xml:space="preserve">United States: Proforestation Mitigates Climate Change and Serves the Greatest Good Front. For. Glob. Change, 11 June 2019 | </w:t>
      </w:r>
      <w:hyperlink r:id="rId37" w:history="1">
        <w:r w:rsidRPr="00B936A6">
          <w:rPr>
            <w:rStyle w:val="Hyperlink"/>
          </w:rPr>
          <w:t>https://doi.org/10.3389/ffgc.2019.00027</w:t>
        </w:r>
      </w:hyperlink>
      <w:r w:rsidRPr="00B936A6">
        <w:t xml:space="preserve">;  </w:t>
      </w:r>
      <w:hyperlink r:id="rId38" w:history="1">
        <w:r w:rsidRPr="00B936A6">
          <w:rPr>
            <w:rStyle w:val="Hyperlink"/>
          </w:rPr>
          <w:t>https://www.frontiersin.org/articles/10.3389/ffgc.2019.00027/full</w:t>
        </w:r>
      </w:hyperlink>
      <w:r w:rsidRPr="00B936A6">
        <w:t xml:space="preserve">. See also, Kun, Z., </w:t>
      </w:r>
      <w:proofErr w:type="spellStart"/>
      <w:r w:rsidRPr="00B936A6">
        <w:t>DellaSala</w:t>
      </w:r>
      <w:proofErr w:type="spellEnd"/>
      <w:r w:rsidRPr="00B936A6">
        <w:t xml:space="preserve">, D., Keith, H., </w:t>
      </w:r>
      <w:proofErr w:type="spellStart"/>
      <w:r w:rsidRPr="00B936A6">
        <w:t>Kormos</w:t>
      </w:r>
      <w:proofErr w:type="spellEnd"/>
      <w:r w:rsidRPr="00B936A6">
        <w:t xml:space="preserve">, C., Mercer, B., </w:t>
      </w:r>
      <w:proofErr w:type="spellStart"/>
      <w:r w:rsidRPr="00B936A6">
        <w:t>Moomaw</w:t>
      </w:r>
      <w:proofErr w:type="spellEnd"/>
      <w:r w:rsidRPr="00B936A6">
        <w:t xml:space="preserve">, W.R. and </w:t>
      </w:r>
      <w:proofErr w:type="spellStart"/>
      <w:r w:rsidRPr="00B936A6">
        <w:t>Wiezik</w:t>
      </w:r>
      <w:proofErr w:type="spellEnd"/>
      <w:r w:rsidRPr="00B936A6">
        <w:t xml:space="preserve">, M. (2020), </w:t>
      </w:r>
      <w:proofErr w:type="spellStart"/>
      <w:r w:rsidRPr="00B936A6">
        <w:t>Recognising</w:t>
      </w:r>
      <w:proofErr w:type="spellEnd"/>
      <w:r w:rsidRPr="00B936A6">
        <w:t xml:space="preserve"> the importance of unmanaged forests to mitigate climate change. GCB Bioenergy. Accepted Author Manuscript. doi:10.1111/gcbb.12714 </w:t>
      </w:r>
      <w:hyperlink r:id="rId39" w:history="1">
        <w:r w:rsidRPr="00B936A6">
          <w:rPr>
            <w:rStyle w:val="Hyperlink"/>
          </w:rPr>
          <w:t>https://onlinelibrary.wiley.com/doi/pdfdirect/10.1111/gcbb.12714</w:t>
        </w:r>
      </w:hyperlink>
      <w:r w:rsidRPr="00B936A6">
        <w:t>. (“The most effective means for keeping carbon out of the atmosphere to meet climate goals is to protect primary forests (Mackey et al. 2020) and continue growing secondary forests to accumulate additional carbon (proforestation) (</w:t>
      </w:r>
      <w:proofErr w:type="spellStart"/>
      <w:r w:rsidRPr="00B936A6">
        <w:t>Moomaw</w:t>
      </w:r>
      <w:proofErr w:type="spellEnd"/>
      <w:r w:rsidRPr="00B936A6">
        <w:t xml:space="preserve"> et al. 2019) while reducing emissions from all sources including bioenergy. … The importance of primary (unlogged) forests lies in the magnitude and longevity of their carbon stock. In order to reverse the decreasing forest carbon stocks in Europe (EEA, 2019), the largest forest carbon stores must be protected and additional forests must be allowed to continue accumulating carbon (proforestation).”).</w:t>
      </w:r>
    </w:p>
    <w:p w:rsidR="00254B06" w:rsidRPr="009B4CCC" w:rsidRDefault="00254B06" w:rsidP="009B4CCC">
      <w:pPr>
        <w:pStyle w:val="Heading2"/>
      </w:pPr>
      <w:r w:rsidRPr="009B4CCC">
        <w:t>Conserve and Recruit Snags</w:t>
      </w:r>
      <w:r w:rsidR="00666743">
        <w:t xml:space="preserve"> and Dead Wood</w:t>
      </w:r>
    </w:p>
    <w:p w:rsidR="00663673" w:rsidRPr="00B936A6" w:rsidRDefault="00DB7DE4" w:rsidP="00C13CE6">
      <w:r w:rsidRPr="00B936A6">
        <w:t xml:space="preserve">The NEPA analysis needs to recognize that snag habitat is under-represented in the region, and logging will make a bad situation worse by removing trees from the site so they can never serve as snag or dead wood habitat. </w:t>
      </w:r>
    </w:p>
    <w:p w:rsidR="000A68C7" w:rsidRPr="00B936A6" w:rsidRDefault="000A68C7" w:rsidP="00C13CE6"/>
    <w:p w:rsidR="000A68C7" w:rsidRPr="00B936A6" w:rsidRDefault="000A68C7" w:rsidP="00C13CE6">
      <w:r w:rsidRPr="00B936A6">
        <w:t>Our scoping comments provided compelling rationale showing that loss of snag habitat is one of the most significant trade-offs associated with commercial logging, because in a natural forests virtually every trees that grows in the forest dies in the forest and provides a wide variety of functions associated with dead wood. That is the system that all wildlife evolved within. Every tree logged and sent to the mill is a tree that is deprived of its opportunity to serve as dead wood habitat.</w:t>
      </w:r>
    </w:p>
    <w:p w:rsidR="00666743" w:rsidRPr="00B936A6" w:rsidRDefault="00666743" w:rsidP="00C13CE6"/>
    <w:p w:rsidR="00666743" w:rsidRPr="00B936A6" w:rsidRDefault="00666743" w:rsidP="00C13CE6">
      <w:r w:rsidRPr="00B936A6">
        <w:t xml:space="preserve">Dead wood serves important functions in a municipal watershed, such as building healthy soil, capturing/storing/releasing energy, water, and sediment. </w:t>
      </w:r>
      <w:r w:rsidR="002A0871">
        <w:t>Dead wood is also a li</w:t>
      </w:r>
      <w:r w:rsidR="002A0871" w:rsidRPr="002A0871">
        <w:t xml:space="preserve">miting factor for many wildlife species. </w:t>
      </w:r>
      <w:r w:rsidR="002A0871" w:rsidRPr="002A0871">
        <w:rPr>
          <w:color w:val="1B1B1B"/>
          <w:shd w:val="clear" w:color="auto" w:fill="FFFFFF"/>
        </w:rPr>
        <w:t>Thomas, Jack Ward [Technical Editor] 1979. Wildlife Habitats in Managed Forests the Blue Mountains of Oregon and Washington. Agriculture Handbook No. 553. U.S. Department of Agriculture, Forest Service. 512 p.</w:t>
      </w:r>
      <w:r w:rsidR="002A0871" w:rsidRPr="002A0871">
        <w:rPr>
          <w:color w:val="1B1B1B"/>
          <w:shd w:val="clear" w:color="auto" w:fill="FFFFFF"/>
        </w:rPr>
        <w:t xml:space="preserve"> </w:t>
      </w:r>
      <w:hyperlink r:id="rId40" w:history="1">
        <w:r w:rsidR="002A0871" w:rsidRPr="002A0871">
          <w:rPr>
            <w:rStyle w:val="Hyperlink"/>
            <w:shd w:val="clear" w:color="auto" w:fill="FFFFFF"/>
          </w:rPr>
          <w:t>https://www.fs.usda.gov/research/treesearch/6630</w:t>
        </w:r>
      </w:hyperlink>
      <w:r w:rsidR="002A0871" w:rsidRPr="002A0871">
        <w:rPr>
          <w:color w:val="1B1B1B"/>
          <w:shd w:val="clear" w:color="auto" w:fill="FFFFFF"/>
        </w:rPr>
        <w:t>.</w:t>
      </w:r>
      <w:r w:rsidR="002A0871">
        <w:rPr>
          <w:rFonts w:ascii="helvetica neue" w:hAnsi="helvetica neue"/>
          <w:color w:val="1B1B1B"/>
          <w:shd w:val="clear" w:color="auto" w:fill="FFFFFF"/>
        </w:rPr>
        <w:t xml:space="preserve"> </w:t>
      </w:r>
      <w:r w:rsidRPr="00B936A6">
        <w:t xml:space="preserve">The aggressive removal of </w:t>
      </w:r>
      <w:r w:rsidR="002A0871">
        <w:t xml:space="preserve">trees and </w:t>
      </w:r>
      <w:r w:rsidRPr="00B936A6">
        <w:t xml:space="preserve">fuels and the adverse effects on future wood recruitment will compromise watershed functions </w:t>
      </w:r>
      <w:r w:rsidR="002A0871">
        <w:t xml:space="preserve">and wildlife habitat </w:t>
      </w:r>
      <w:r w:rsidRPr="00B936A6">
        <w:t>provided by dead wood in all its forms.</w:t>
      </w:r>
      <w:r w:rsidR="002A0871">
        <w:t xml:space="preserve"> The EA needs to disclose this and consider mitigating alternatives.</w:t>
      </w:r>
    </w:p>
    <w:p w:rsidR="000A68C7" w:rsidRPr="00B936A6" w:rsidRDefault="000A68C7" w:rsidP="00C13CE6"/>
    <w:p w:rsidR="00D444FE" w:rsidRPr="00B936A6" w:rsidRDefault="000A68C7" w:rsidP="00D444FE">
      <w:r w:rsidRPr="00B936A6">
        <w:t xml:space="preserve">One of the most significant trade-offs associated with commercial logging is controlling mortality and removing large numbers of green trees so they can never fulfill their complete life-cycle as snags and dead wood in the forest. </w:t>
      </w:r>
      <w:r w:rsidR="00D444FE" w:rsidRPr="00B936A6">
        <w:t>The EA provides a mere one-sentence analysis of the effects on snag habitat, saying “Over time, new snags would occur throughout the landscape by inter-tree competition, weather, fire, insects and disease.” This completely fails to acknowledge the long-term adverse effects of green-tree logging on snag recruitment.</w:t>
      </w:r>
    </w:p>
    <w:p w:rsidR="00D444FE" w:rsidRPr="00B936A6" w:rsidRDefault="00D444FE" w:rsidP="000A68C7"/>
    <w:p w:rsidR="00984B0A" w:rsidRPr="00B936A6" w:rsidRDefault="00984B0A" w:rsidP="00984B0A">
      <w:r w:rsidRPr="00B936A6">
        <w:lastRenderedPageBreak/>
        <w:t xml:space="preserve">The EA also says “There is an abundance of snags throughout the project area due to recent wildfire.” Which suggests there is nothing to worry about with respect to snag habitat, but that is 180 degrees wrong. </w:t>
      </w:r>
      <w:r w:rsidR="008C4ED9" w:rsidRPr="00B936A6">
        <w:t xml:space="preserve">The wildlife report says that landscape suffers from a deficit of snags. </w:t>
      </w:r>
      <w:r w:rsidRPr="00B936A6">
        <w:t xml:space="preserve">Large-scale stand replacing disturbance creates only a short-term pulse of snags, </w:t>
      </w:r>
      <w:r w:rsidR="008C4ED9" w:rsidRPr="00B936A6">
        <w:t>while resulting</w:t>
      </w:r>
      <w:r w:rsidRPr="00B936A6">
        <w:t xml:space="preserve"> in a long-term shortage of snags after those snags fall, and are not likely replaced until the next stand begins producing large trees, which can take more than 100 years. Logging makes a bad situation worse by removing green trees that could help mitigate the expected shortage of snags caused by fires. The EA failed to take a hard look at natural snag dynamics and the effects of logging.</w:t>
      </w:r>
    </w:p>
    <w:p w:rsidR="00984B0A" w:rsidRPr="00B936A6" w:rsidRDefault="00984B0A" w:rsidP="000A68C7"/>
    <w:p w:rsidR="000A68C7" w:rsidRPr="00D444FE" w:rsidRDefault="00D444FE" w:rsidP="00D444FE">
      <w:pPr>
        <w:pStyle w:val="ListParagraph"/>
        <w:suppressAutoHyphens w:val="0"/>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 xml:space="preserve">The 2021 Screens Amendment adopted a new and untested </w:t>
      </w:r>
      <w:r w:rsidRPr="00D444FE">
        <w:rPr>
          <w:rFonts w:ascii="Times New Roman" w:hAnsi="Times New Roman" w:cs="Times New Roman"/>
          <w:i/>
          <w:sz w:val="24"/>
          <w:szCs w:val="24"/>
        </w:rPr>
        <w:t>standardless</w:t>
      </w:r>
      <w:r>
        <w:rPr>
          <w:rFonts w:ascii="Times New Roman" w:hAnsi="Times New Roman" w:cs="Times New Roman"/>
          <w:sz w:val="24"/>
          <w:szCs w:val="24"/>
        </w:rPr>
        <w:t xml:space="preserve"> approach to managing snags and green replacement trees, calling for the provision of </w:t>
      </w:r>
      <w:r w:rsidRPr="00933F87">
        <w:rPr>
          <w:rFonts w:ascii="Times New Roman" w:hAnsi="Times New Roman" w:cs="Times New Roman"/>
          <w:i/>
          <w:sz w:val="24"/>
          <w:szCs w:val="24"/>
        </w:rPr>
        <w:t>some</w:t>
      </w:r>
      <w:r>
        <w:rPr>
          <w:rFonts w:ascii="Times New Roman" w:hAnsi="Times New Roman" w:cs="Times New Roman"/>
          <w:sz w:val="24"/>
          <w:szCs w:val="24"/>
        </w:rPr>
        <w:t xml:space="preserve"> snags and green trees to meet the needs of </w:t>
      </w:r>
      <w:r w:rsidRPr="00933F87">
        <w:rPr>
          <w:rFonts w:ascii="Times New Roman" w:hAnsi="Times New Roman" w:cs="Times New Roman"/>
          <w:i/>
          <w:sz w:val="24"/>
          <w:szCs w:val="24"/>
        </w:rPr>
        <w:t>some</w:t>
      </w:r>
      <w:r>
        <w:rPr>
          <w:rFonts w:ascii="Times New Roman" w:hAnsi="Times New Roman" w:cs="Times New Roman"/>
          <w:sz w:val="24"/>
          <w:szCs w:val="24"/>
        </w:rPr>
        <w:t xml:space="preserve"> species, but without any assurances that logging will maintain population viability for the species which are most sensitive to the absence of abundant snags. The EA failed to explain how they applied the new standard.</w:t>
      </w:r>
    </w:p>
    <w:p w:rsidR="00D444FE" w:rsidRPr="00B936A6" w:rsidRDefault="00D444FE"/>
    <w:p w:rsidR="000A68C7" w:rsidRPr="00B936A6" w:rsidRDefault="000A68C7" w:rsidP="000A68C7">
      <w:r w:rsidRPr="00B936A6">
        <w:t xml:space="preserve">Current forest plan standards are outdated. See Rose, C.L., </w:t>
      </w:r>
      <w:proofErr w:type="spellStart"/>
      <w:r w:rsidRPr="00B936A6">
        <w:t>Marcot</w:t>
      </w:r>
      <w:proofErr w:type="spellEnd"/>
      <w:r w:rsidRPr="00B936A6">
        <w:t xml:space="preserve">, B.G., </w:t>
      </w:r>
      <w:proofErr w:type="spellStart"/>
      <w:r w:rsidRPr="00B936A6">
        <w:t>Mellen</w:t>
      </w:r>
      <w:proofErr w:type="spellEnd"/>
      <w:r w:rsidRPr="00B936A6">
        <w:t xml:space="preserve">, T.K., </w:t>
      </w:r>
      <w:proofErr w:type="spellStart"/>
      <w:r w:rsidRPr="00B936A6">
        <w:t>Ohmann</w:t>
      </w:r>
      <w:proofErr w:type="spellEnd"/>
      <w:r w:rsidRPr="00B936A6">
        <w:t xml:space="preserve">, J.L., Waddell, K.L., </w:t>
      </w:r>
      <w:proofErr w:type="spellStart"/>
      <w:r w:rsidRPr="00B936A6">
        <w:t>Lindely</w:t>
      </w:r>
      <w:proofErr w:type="spellEnd"/>
      <w:r w:rsidRPr="00B936A6">
        <w:t xml:space="preserve">, D.L., and B. </w:t>
      </w:r>
      <w:proofErr w:type="spellStart"/>
      <w:r w:rsidRPr="00B936A6">
        <w:t>Schrieber</w:t>
      </w:r>
      <w:proofErr w:type="spellEnd"/>
      <w:r w:rsidRPr="00B936A6">
        <w:t xml:space="preserve">. 2001. Decaying Wood in Pacific Northwest Forests: Concepts and Tools for Habitat Management, Chapter 24 in Wildlife-Habitat Relationships in Oregon and Washington (Johnson, D. H. and T. A. O’Neil. OSU Press. 2001) </w:t>
      </w:r>
      <w:hyperlink r:id="rId41" w:history="1">
        <w:r w:rsidRPr="00B936A6">
          <w:rPr>
            <w:rStyle w:val="Hyperlink"/>
          </w:rPr>
          <w:t>http://web.archive.org/web/20060708035905/http://www.nwhi.org/inc/data/GISdata/docs/chapter24.pdf</w:t>
        </w:r>
      </w:hyperlink>
      <w:r w:rsidRPr="00B936A6">
        <w:t>. Significant new information indicates that more wildlife need more snags for a more diverse array of life functions. The 2021 Trump Screens Amendment adopted a standardless approach to managing snags and green replacement trees, calling for the provision of some snags and green trees to meet the needs of some species, but without any assurances that logging will maintain population viability for the species which are most sensitive to the absence of abundant snags.</w:t>
      </w:r>
    </w:p>
    <w:p w:rsidR="000A68C7" w:rsidRPr="00B936A6" w:rsidRDefault="000A68C7" w:rsidP="000A68C7"/>
    <w:p w:rsidR="000A68C7" w:rsidRPr="00B936A6" w:rsidRDefault="000A68C7" w:rsidP="000A68C7">
      <w:r w:rsidRPr="00B936A6">
        <w:t xml:space="preserve">There is evidence that retaining more than the minimum number of snags has significant benefits for cavity dependent species. Comparing two sites in Northern California, Blacks Mountain Experimental Forest (BMEF) with little past logging and lots of snags, and </w:t>
      </w:r>
      <w:proofErr w:type="spellStart"/>
      <w:r w:rsidRPr="00B936A6">
        <w:t>Goosenest</w:t>
      </w:r>
      <w:proofErr w:type="spellEnd"/>
      <w:r w:rsidRPr="00B936A6">
        <w:t xml:space="preserve"> Adaptive Management Area (GAMA) with lots of logging and fewer snags, the author’s found “… three times as many snags (6.38/acre vs. 2.04/acre, respectively) … The use of snags by cavity-nesting bird species was dramatically different between the sites. Thirty-one cavity-nesting pairs from 10 species were detected at BMEF, while only one pair each of two species were detected at GAMA</w:t>
      </w:r>
      <w:r w:rsidRPr="00B936A6">
        <w:rPr>
          <w:i/>
          <w:iCs/>
        </w:rPr>
        <w:t>….</w:t>
      </w:r>
      <w:r w:rsidRPr="00B936A6">
        <w:t xml:space="preserve"> This </w:t>
      </w:r>
      <w:proofErr w:type="spellStart"/>
      <w:r w:rsidRPr="00B936A6">
        <w:t>fifteenfold</w:t>
      </w:r>
      <w:proofErr w:type="spellEnd"/>
      <w:r w:rsidRPr="00B936A6">
        <w:t xml:space="preserve"> difference is much greater than any measure of snags or cavities reported. …”</w:t>
      </w:r>
    </w:p>
    <w:p w:rsidR="000A68C7" w:rsidRPr="00B936A6" w:rsidRDefault="000A68C7" w:rsidP="000A68C7">
      <w:pPr>
        <w:ind w:left="720"/>
      </w:pPr>
      <w:r w:rsidRPr="00B936A6">
        <w:t>We feel that forest managers may well be asking a misleading question. “Snags per acre” requirements implicitly assume an equilibrium condition and reflect only one ecological requirement for a given cavity-nesting species. … [C]</w:t>
      </w:r>
      <w:proofErr w:type="spellStart"/>
      <w:r w:rsidRPr="00B936A6">
        <w:t>onsideration</w:t>
      </w:r>
      <w:proofErr w:type="spellEnd"/>
      <w:r w:rsidRPr="00B936A6">
        <w:t xml:space="preserve"> of foraging habitat and other ecological requirements must be part of the “snags per acre” management considerations. This is an important, but somewhat daunting proposition, as potential cavity-nesting species are diverse, and each species likely has very different foraging ecologies, as well as other differences in habitat requirements. … [C]</w:t>
      </w:r>
      <w:proofErr w:type="spellStart"/>
      <w:r w:rsidRPr="00B936A6">
        <w:t>avity</w:t>
      </w:r>
      <w:proofErr w:type="spellEnd"/>
      <w:r w:rsidRPr="00B936A6">
        <w:t xml:space="preserve"> nesters at BMEF used larger snags on average … [T]he loss of large trees due to logging in eastside </w:t>
      </w:r>
      <w:r w:rsidRPr="00B936A6">
        <w:lastRenderedPageBreak/>
        <w:t>pine and other forests, over the past century has major implications for cavity-nesting birds. … [F]</w:t>
      </w:r>
      <w:proofErr w:type="spellStart"/>
      <w:r w:rsidRPr="00B936A6">
        <w:t>orest</w:t>
      </w:r>
      <w:proofErr w:type="spellEnd"/>
      <w:r w:rsidRPr="00B936A6">
        <w:t xml:space="preserve"> managers must have a sense of snag recruitment in relationship to snag fall, and the patterns and processes that underlie them, when addressing wildlife needs. … We view the understanding of these complexities to be of primary importance in forest management for wildlife.</w:t>
      </w:r>
    </w:p>
    <w:p w:rsidR="000A68C7" w:rsidRPr="00B936A6" w:rsidRDefault="000A68C7" w:rsidP="000A68C7">
      <w:r w:rsidRPr="00B936A6">
        <w:t xml:space="preserve">Steve Zack, T. Luke George, and William F. </w:t>
      </w:r>
      <w:proofErr w:type="spellStart"/>
      <w:r w:rsidRPr="00B936A6">
        <w:t>Laudenslayer</w:t>
      </w:r>
      <w:proofErr w:type="spellEnd"/>
      <w:r w:rsidRPr="00B936A6">
        <w:t xml:space="preserve">, Jr. 2002. Are There Snags in the System? Comparing Cavity Use among Nesting Birds in “Snag-rich” and “Snag-poor” Eastside Pine Forests. USDA Forest Service Gen. Tech. Rep. PSW-GTR-181. </w:t>
      </w:r>
      <w:hyperlink r:id="rId42" w:history="1">
        <w:r w:rsidRPr="00B936A6">
          <w:rPr>
            <w:rStyle w:val="Hyperlink"/>
          </w:rPr>
          <w:t>http://www.fs.fed.us/psw/publications/documents/gtr-181/017_Zack.pdf</w:t>
        </w:r>
      </w:hyperlink>
      <w:r w:rsidRPr="00B936A6">
        <w:t>.</w:t>
      </w:r>
    </w:p>
    <w:p w:rsidR="000A68C7" w:rsidRPr="00B936A6" w:rsidRDefault="000A68C7" w:rsidP="00C13CE6"/>
    <w:p w:rsidR="00BE31E9" w:rsidRPr="00B936A6" w:rsidRDefault="00BE31E9" w:rsidP="00BE31E9">
      <w:r w:rsidRPr="00B936A6">
        <w:t>Another important ecological function provided by mortality is that it promotes evolutionary adaptation which is critical right now in the face of climate change.</w:t>
      </w:r>
    </w:p>
    <w:p w:rsidR="00BE31E9" w:rsidRDefault="00BE31E9" w:rsidP="00BE31E9">
      <w:pPr>
        <w:pStyle w:val="BodyTextIndent"/>
      </w:pPr>
      <w:r>
        <w:t>[R]</w:t>
      </w:r>
      <w:proofErr w:type="spellStart"/>
      <w:r>
        <w:t>esearchers</w:t>
      </w:r>
      <w:proofErr w:type="spellEnd"/>
      <w:r>
        <w:t xml:space="preserve"> were surprised to find that the mortality of established trees considerably promotes the adaptation of forests to the changing environment. … Evolution is promoted by the mortality of established trees. The researchers assumed that demographic characteristics of the trees would have a notable impact on their adaptability. Tree species differ for example so that birch matures at a considerably younger age than pine, and birch seeds spread more effectively than pine seeds. However, the results showed that these differences had only minor impacts. Instead, the mortality of established trees played a large role in the evolutionary adaptation. </w:t>
      </w:r>
    </w:p>
    <w:p w:rsidR="00BE31E9" w:rsidRDefault="00BE31E9" w:rsidP="00BE31E9">
      <w:pPr>
        <w:pStyle w:val="BodyTextIndent"/>
        <w:ind w:left="0"/>
      </w:pPr>
      <w:r>
        <w:t xml:space="preserve">Northern forests do not benefit from lengthening growing season. UNIVERSITY OF HELSINKI. PUBLIC RELEASE: 12-JAN-2010. </w:t>
      </w:r>
      <w:hyperlink r:id="rId43" w:history="1">
        <w:r>
          <w:rPr>
            <w:rStyle w:val="Hyperlink"/>
          </w:rPr>
          <w:t>http://www.eurekalert.org/pub_releases/2010-01/uoh-nfd011210.php</w:t>
        </w:r>
      </w:hyperlink>
      <w:r>
        <w:t>. Importantly, for natural selection to occur, mortality must be caused by natural events like drought, insects, and fire, rather than through human choices about which trees will live and which will die.</w:t>
      </w:r>
    </w:p>
    <w:p w:rsidR="00FB7836" w:rsidRPr="009B4CCC" w:rsidRDefault="00254B06" w:rsidP="009B4CCC">
      <w:pPr>
        <w:pStyle w:val="Heading2"/>
      </w:pPr>
      <w:r w:rsidRPr="009B4CCC">
        <w:t>Conserve RHCA</w:t>
      </w:r>
      <w:r w:rsidR="00DC78B2" w:rsidRPr="009B4CCC">
        <w:t xml:space="preserve"> </w:t>
      </w:r>
    </w:p>
    <w:p w:rsidR="00DB7DE4" w:rsidRPr="00B936A6" w:rsidRDefault="00DB7DE4" w:rsidP="00C13CE6">
      <w:r w:rsidRPr="00B936A6">
        <w:t xml:space="preserve">Commercial logging in RHCAs will reduce recruitment of dead wood which is a valuable and </w:t>
      </w:r>
      <w:r w:rsidR="00653AF2" w:rsidRPr="00B936A6">
        <w:t xml:space="preserve">regionally </w:t>
      </w:r>
      <w:r w:rsidRPr="00B936A6">
        <w:t xml:space="preserve">under-represented </w:t>
      </w:r>
      <w:r w:rsidR="00653AF2" w:rsidRPr="00B936A6">
        <w:t xml:space="preserve">feature of riparian forests. When commercial sized wood is removed from RHCAs, the site is deprived of the many biophysical functions of functional wood. </w:t>
      </w:r>
    </w:p>
    <w:p w:rsidR="00653AF2" w:rsidRPr="00B936A6" w:rsidRDefault="00653AF2" w:rsidP="00C13CE6"/>
    <w:p w:rsidR="00254B06" w:rsidRPr="00B936A6" w:rsidRDefault="00DB7DE4" w:rsidP="00C13CE6">
      <w:r w:rsidRPr="00B936A6">
        <w:t xml:space="preserve">Some of the proposed prescriptions, including the </w:t>
      </w:r>
      <w:r w:rsidR="00DC78B2" w:rsidRPr="00B936A6">
        <w:t xml:space="preserve">early seral enhancement and openings </w:t>
      </w:r>
      <w:r w:rsidRPr="00B936A6">
        <w:t xml:space="preserve">in Riparian Habitat Conservation Areas (RHCAs) </w:t>
      </w:r>
      <w:r w:rsidR="00DC78B2" w:rsidRPr="00B936A6">
        <w:t>will violate Eastside Screens mandate to manage for LOS, and INFISH mandate to manage for</w:t>
      </w:r>
      <w:r w:rsidRPr="00B936A6">
        <w:t xml:space="preserve"> riparian management objectives.</w:t>
      </w:r>
    </w:p>
    <w:p w:rsidR="00383F29" w:rsidRPr="00B936A6" w:rsidRDefault="00383F29" w:rsidP="00C13CE6"/>
    <w:p w:rsidR="00383F29" w:rsidRPr="00B936A6" w:rsidRDefault="00383F29" w:rsidP="00AA6E65">
      <w:r w:rsidRPr="00B936A6">
        <w:t xml:space="preserve">The EA says there would be negative effects on redband trout habitat, which </w:t>
      </w:r>
      <w:r w:rsidR="00AA6E65" w:rsidRPr="00B936A6">
        <w:t xml:space="preserve">seems to contradict the EA statement that “All domestic watersheds will be managed to maintain or improve water quality” and </w:t>
      </w:r>
      <w:r w:rsidRPr="00B936A6">
        <w:t xml:space="preserve">raises the concern that there may be </w:t>
      </w:r>
      <w:r w:rsidR="00AA6E65" w:rsidRPr="00B936A6">
        <w:t xml:space="preserve">undisclosed </w:t>
      </w:r>
      <w:r w:rsidRPr="00B936A6">
        <w:t xml:space="preserve">adverse effects on drinking watershed values. </w:t>
      </w:r>
      <w:r w:rsidR="00AA6E65" w:rsidRPr="00B936A6">
        <w:t xml:space="preserve">How are beneficial treatments in the drinking watershed distinguished from the treatments adversely affecting redband trout? </w:t>
      </w:r>
      <w:r w:rsidRPr="00B936A6">
        <w:t>The EA fails to consider alternatives that minimize, mitigate, and avoid those impacts, such as by avoiding road construction, protecting steep slopes and RHCAs from commercial logging, retaining more basal area, etc.</w:t>
      </w:r>
    </w:p>
    <w:p w:rsidR="008C1FA3" w:rsidRPr="00B936A6" w:rsidRDefault="008C1FA3" w:rsidP="00C13CE6"/>
    <w:p w:rsidR="008C1FA3" w:rsidRPr="00B936A6" w:rsidRDefault="008C1FA3" w:rsidP="00C13CE6">
      <w:r w:rsidRPr="00B936A6">
        <w:lastRenderedPageBreak/>
        <w:t xml:space="preserve">Marble and Little Marble Creeks contain many sensitive plant species and functional habitats. If any treatments occur in these areas, trained botanists must be responsible for identifying sensitive plants and protecting them. This responsibility must not be in the hands of silviculturists, fuels managers, project managers, or </w:t>
      </w:r>
      <w:r w:rsidR="006324BB" w:rsidRPr="00B936A6">
        <w:t>contractors who are not trained in botany</w:t>
      </w:r>
      <w:r w:rsidRPr="00B936A6">
        <w:t>.</w:t>
      </w:r>
    </w:p>
    <w:p w:rsidR="00653AF2" w:rsidRPr="00B936A6" w:rsidRDefault="00653AF2" w:rsidP="00C13CE6"/>
    <w:p w:rsidR="00653AF2" w:rsidRPr="00B936A6" w:rsidRDefault="00653AF2" w:rsidP="00653AF2">
      <w:r w:rsidRPr="00B936A6">
        <w:rPr>
          <w:rFonts w:eastAsia="Calibri"/>
          <w:iCs/>
        </w:rPr>
        <w:t xml:space="preserve">NEPA requires consideration of trade-offs. </w:t>
      </w:r>
      <w:r w:rsidRPr="00B936A6">
        <w:rPr>
          <w:rFonts w:eastAsia="Calibri"/>
          <w:i/>
          <w:iCs/>
        </w:rPr>
        <w:t>California v. Block</w:t>
      </w:r>
      <w:r w:rsidRPr="00B936A6">
        <w:rPr>
          <w:rFonts w:eastAsia="Calibri"/>
        </w:rPr>
        <w:t>, 690 F.2d 753, 771 (9th Cir. 1982) (NEPA was designed to “ensure that an agency is cognizant of all the environmental trade-offs that are</w:t>
      </w:r>
      <w:r w:rsidRPr="00B936A6">
        <w:rPr>
          <w:i/>
          <w:iCs/>
        </w:rPr>
        <w:t xml:space="preserve"> </w:t>
      </w:r>
      <w:r w:rsidRPr="00B936A6">
        <w:rPr>
          <w:rFonts w:eastAsia="Calibri"/>
        </w:rPr>
        <w:t xml:space="preserve">implicit in a decision”). </w:t>
      </w:r>
      <w:r w:rsidRPr="00B936A6">
        <w:t>Stan Gregory notes the following trade-offs associated with logging riparian reserves to enhance early seral vegetation:</w:t>
      </w:r>
    </w:p>
    <w:p w:rsidR="00653AF2" w:rsidRPr="00B936A6" w:rsidRDefault="00653AF2" w:rsidP="00653AF2">
      <w:pPr>
        <w:ind w:left="720"/>
        <w:rPr>
          <w:rFonts w:cs="Times New Roman"/>
        </w:rPr>
      </w:pPr>
      <w:r w:rsidRPr="00B936A6">
        <w:rPr>
          <w:noProof/>
          <w:lang w:val="en-US"/>
        </w:rPr>
        <w:drawing>
          <wp:inline distT="0" distB="0" distL="0" distR="0">
            <wp:extent cx="4366260" cy="28270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66260" cy="2827020"/>
                    </a:xfrm>
                    <a:prstGeom prst="rect">
                      <a:avLst/>
                    </a:prstGeom>
                    <a:noFill/>
                    <a:ln>
                      <a:noFill/>
                    </a:ln>
                  </pic:spPr>
                </pic:pic>
              </a:graphicData>
            </a:graphic>
          </wp:inline>
        </w:drawing>
      </w:r>
    </w:p>
    <w:p w:rsidR="00653AF2" w:rsidRPr="00B936A6" w:rsidRDefault="00653AF2" w:rsidP="00653AF2">
      <w:pPr>
        <w:rPr>
          <w:rFonts w:cs="Times New Roman"/>
        </w:rPr>
      </w:pPr>
    </w:p>
    <w:p w:rsidR="00653AF2" w:rsidRPr="00B936A6" w:rsidRDefault="00653AF2" w:rsidP="00653AF2">
      <w:pPr>
        <w:rPr>
          <w:rFonts w:cs="Times New Roman"/>
        </w:rPr>
      </w:pPr>
      <w:r w:rsidRPr="00B936A6">
        <w:rPr>
          <w:rFonts w:cs="Times New Roman"/>
        </w:rPr>
        <w:t xml:space="preserve">Gregory, Stan 2010. What About Riparian Systems: Who Benefits From an Early Seral Forest Condition. Workshop - Early Seral Forest - We know we need it -- How do we get it? Presentation sponsored by the Central Cascades Adaptive Management Partnership and NW Oregon Ecology Group </w:t>
      </w:r>
      <w:hyperlink r:id="rId45" w:history="1">
        <w:r w:rsidRPr="00B936A6">
          <w:rPr>
            <w:rStyle w:val="Hyperlink"/>
            <w:rFonts w:cs="Times New Roman"/>
          </w:rPr>
          <w:t>http://ecoshare.info/2010/07/06/what-about-riparian-systems-who-benefits-from-an-early-seral-forest-condition-gregory/</w:t>
        </w:r>
      </w:hyperlink>
      <w:r w:rsidRPr="00B936A6">
        <w:rPr>
          <w:rFonts w:cs="Times New Roman"/>
        </w:rPr>
        <w:t xml:space="preserve"> </w:t>
      </w:r>
    </w:p>
    <w:p w:rsidR="00653AF2" w:rsidRPr="00B936A6" w:rsidRDefault="00653AF2" w:rsidP="00C13CE6"/>
    <w:p w:rsidR="00653AF2" w:rsidRPr="00B936A6" w:rsidRDefault="00653AF2" w:rsidP="00653AF2">
      <w:r w:rsidRPr="00B936A6">
        <w:t xml:space="preserve">Dead wood is important to meeting many aquatic and terrestrial wildlife habitat values. Dead wood is also important for ecological services such as the capture, storage and release of water, sediment, and nutrients including, carbon. Most riparian reserves are short of dead wood due to past and ongoing logging, roads, fire suppression, etc. Natural processes of stand growth and mortality will correct this shortage, whereas logging will capture and export mortality and reduce and delay recruitment of wood to both streams and uplands within riparian reserves. This is not a minor short-term effect, but rather a significant long-term effect. Such effects are inconsistent with the Aquatic Conservation Strategy which prohibits logging in riparian reserves unless it is needed to meet objectives, and requires that management actions “maintain” and "not retard" ACS objectives, including dead wood. Any proposal to log riparian reserves must address these factors, develop clear goals, provide clear linkages between proposed actions and desired outcomes. Any alleged benefits of logging must be weighed against likely adverse effects on dead wood recruitment. </w:t>
      </w:r>
    </w:p>
    <w:p w:rsidR="00653AF2" w:rsidRPr="00B936A6" w:rsidRDefault="00653AF2" w:rsidP="00C13CE6"/>
    <w:p w:rsidR="00653AF2" w:rsidRPr="00B936A6" w:rsidRDefault="00653AF2" w:rsidP="00653AF2">
      <w:r w:rsidRPr="00B936A6">
        <w:t>The effects of logging on dead wood are significant and long term, adversely affecting a core function of the reserves, while the purported benefits to vegetation diversity are minor and transitory, and affect secondary purposes of the reserves.</w:t>
      </w:r>
    </w:p>
    <w:p w:rsidR="00653AF2" w:rsidRPr="00B936A6" w:rsidRDefault="00653AF2" w:rsidP="00653AF2"/>
    <w:p w:rsidR="00653AF2" w:rsidRPr="00B936A6" w:rsidRDefault="00653AF2" w:rsidP="00653AF2">
      <w:pPr>
        <w:ind w:left="720"/>
        <w:rPr>
          <w:b/>
        </w:rPr>
      </w:pPr>
      <w:r w:rsidRPr="00B936A6">
        <w:rPr>
          <w:b/>
        </w:rPr>
        <w:t>Large Wood</w:t>
      </w:r>
    </w:p>
    <w:p w:rsidR="00653AF2" w:rsidRPr="00B936A6" w:rsidRDefault="00653AF2" w:rsidP="00653AF2">
      <w:pPr>
        <w:ind w:left="720"/>
      </w:pPr>
      <w:r w:rsidRPr="00B936A6">
        <w:t xml:space="preserve">Large quantities of downed trees are a functionally important component of many streams (Swanson et al. 1976; </w:t>
      </w:r>
      <w:proofErr w:type="spellStart"/>
      <w:r w:rsidRPr="00B936A6">
        <w:t>Sedell</w:t>
      </w:r>
      <w:proofErr w:type="spellEnd"/>
      <w:r w:rsidRPr="00B936A6">
        <w:t xml:space="preserve"> and </w:t>
      </w:r>
      <w:proofErr w:type="spellStart"/>
      <w:r w:rsidRPr="00B936A6">
        <w:t>Luchessa</w:t>
      </w:r>
      <w:proofErr w:type="spellEnd"/>
      <w:r w:rsidRPr="00B936A6">
        <w:t xml:space="preserve">, 1982; </w:t>
      </w:r>
      <w:proofErr w:type="spellStart"/>
      <w:r w:rsidRPr="00B936A6">
        <w:t>Sedell</w:t>
      </w:r>
      <w:proofErr w:type="spellEnd"/>
      <w:r w:rsidRPr="00B936A6">
        <w:t xml:space="preserve"> and </w:t>
      </w:r>
      <w:proofErr w:type="spellStart"/>
      <w:r w:rsidRPr="00B936A6">
        <w:t>Froggat</w:t>
      </w:r>
      <w:proofErr w:type="spellEnd"/>
      <w:r w:rsidRPr="00B936A6">
        <w:t xml:space="preserve">, 1984; Harmon et al. 1986; </w:t>
      </w:r>
      <w:proofErr w:type="spellStart"/>
      <w:r w:rsidRPr="00B936A6">
        <w:t>Bisson</w:t>
      </w:r>
      <w:proofErr w:type="spellEnd"/>
      <w:r w:rsidRPr="00B936A6">
        <w:t xml:space="preserve"> et al. 1987; Maser et al. 1988; </w:t>
      </w:r>
      <w:proofErr w:type="spellStart"/>
      <w:r w:rsidRPr="00B936A6">
        <w:t>Naiman</w:t>
      </w:r>
      <w:proofErr w:type="spellEnd"/>
      <w:r w:rsidRPr="00B936A6">
        <w:t xml:space="preserve"> et al. 1992). Large woody debris influences channel morphology by affecting longitudinal profile, pool formation, channel pattern and position, and channel geometry (</w:t>
      </w:r>
      <w:proofErr w:type="spellStart"/>
      <w:r w:rsidRPr="00B936A6">
        <w:t>Bisson</w:t>
      </w:r>
      <w:proofErr w:type="spellEnd"/>
      <w:r w:rsidRPr="00B936A6">
        <w:t xml:space="preserve"> et al. 1987). Downstream transport rates of sediment and organic matter are controlled in part by storage of this material behind large wood (</w:t>
      </w:r>
      <w:proofErr w:type="spellStart"/>
      <w:r w:rsidRPr="00B936A6">
        <w:t>Betscha</w:t>
      </w:r>
      <w:proofErr w:type="spellEnd"/>
      <w:r w:rsidRPr="00B936A6">
        <w:t xml:space="preserve"> 1979). Large wood affects the formation and distribution of habitat units, provides cover and complexity, and acts as a substrate for biological activity (Swanson et al. 1982; </w:t>
      </w:r>
      <w:proofErr w:type="spellStart"/>
      <w:r w:rsidRPr="00B936A6">
        <w:t>Bisson</w:t>
      </w:r>
      <w:proofErr w:type="spellEnd"/>
      <w:r w:rsidRPr="00B936A6">
        <w:t xml:space="preserve"> et al. 1987). Wood enters streams inhabited by fish either directly from the adjacent riparian zone from tributaries that may not be inhabited by fish, or hillslopes (</w:t>
      </w:r>
      <w:proofErr w:type="spellStart"/>
      <w:r w:rsidRPr="00B936A6">
        <w:t>Naiman</w:t>
      </w:r>
      <w:proofErr w:type="spellEnd"/>
      <w:r w:rsidRPr="00B936A6">
        <w:t xml:space="preserve"> et al. 1992). </w:t>
      </w:r>
    </w:p>
    <w:p w:rsidR="00653AF2" w:rsidRPr="00B936A6" w:rsidRDefault="00653AF2" w:rsidP="00653AF2">
      <w:pPr>
        <w:ind w:left="720"/>
      </w:pPr>
      <w:r w:rsidRPr="00B936A6">
        <w:t>Large wood in streams has been reduced due to a variety of past and present timber harvesting practices and associated activities. Many riparian management areas on federal lands are inadequate as long term sources of wood.</w:t>
      </w:r>
    </w:p>
    <w:p w:rsidR="00653AF2" w:rsidRPr="00B936A6" w:rsidRDefault="00653AF2" w:rsidP="00653AF2">
      <w:pPr>
        <w:ind w:left="720"/>
      </w:pPr>
      <w:r w:rsidRPr="00B936A6">
        <w:t>…</w:t>
      </w:r>
    </w:p>
    <w:p w:rsidR="00653AF2" w:rsidRPr="00B936A6" w:rsidRDefault="00653AF2" w:rsidP="00653AF2">
      <w:pPr>
        <w:ind w:left="720"/>
        <w:rPr>
          <w:b/>
        </w:rPr>
      </w:pPr>
      <w:r w:rsidRPr="00B936A6">
        <w:rPr>
          <w:b/>
        </w:rPr>
        <w:t>Riparian Ecosystem Components</w:t>
      </w:r>
    </w:p>
    <w:p w:rsidR="00653AF2" w:rsidRPr="00B936A6" w:rsidRDefault="00653AF2" w:rsidP="00653AF2">
      <w:pPr>
        <w:ind w:left="720"/>
      </w:pPr>
      <w:r w:rsidRPr="00B936A6">
        <w:t>…</w:t>
      </w:r>
    </w:p>
    <w:p w:rsidR="00653AF2" w:rsidRPr="00B936A6" w:rsidRDefault="00653AF2" w:rsidP="00653AF2">
      <w:pPr>
        <w:ind w:left="720"/>
      </w:pPr>
      <w:r w:rsidRPr="00B936A6">
        <w:t>Riparian vegetation regulates the exchange of nutrients and material from upland forests to streams (Swanson et al. 1982; Gregory et al. 1991). Fully functional riparian ecosystems have a suite of characteristics which are summarized below. Large conifers or a mixture of large conifers and hardwoods are found in riparian zones along all streams in the watershed, including those not inhabited by fish (</w:t>
      </w:r>
      <w:proofErr w:type="spellStart"/>
      <w:r w:rsidRPr="00B936A6">
        <w:t>Naiman</w:t>
      </w:r>
      <w:proofErr w:type="spellEnd"/>
      <w:r w:rsidRPr="00B936A6">
        <w:t xml:space="preserve"> et al. 1992). Riparian zone-stream interactions are a major determinant of large woody debris loading (House and </w:t>
      </w:r>
      <w:proofErr w:type="spellStart"/>
      <w:r w:rsidRPr="00B936A6">
        <w:t>Boehne</w:t>
      </w:r>
      <w:proofErr w:type="spellEnd"/>
      <w:r w:rsidRPr="00B936A6">
        <w:t xml:space="preserve"> 1987; </w:t>
      </w:r>
      <w:proofErr w:type="spellStart"/>
      <w:r w:rsidRPr="00B936A6">
        <w:t>Bisson</w:t>
      </w:r>
      <w:proofErr w:type="spellEnd"/>
      <w:r w:rsidRPr="00B936A6">
        <w:t xml:space="preserve"> et al. 1987; Sullivan et al. 1987). Stream temperatures and light levels that influence ecological processes are moderated by riparian vegetation (Agee 1988; Gregory et al. 1991). Streambanks are vegetated with shrubs and other low-growing woody vegetation. Root systems in streambanks of the active channel stabilize banks, allow development and maintenance of undercut banks, and protect banks during large storm flows (</w:t>
      </w:r>
      <w:proofErr w:type="spellStart"/>
      <w:r w:rsidRPr="00B936A6">
        <w:t>Sedell</w:t>
      </w:r>
      <w:proofErr w:type="spellEnd"/>
      <w:r w:rsidRPr="00B936A6">
        <w:t xml:space="preserve"> and </w:t>
      </w:r>
      <w:proofErr w:type="spellStart"/>
      <w:r w:rsidRPr="00B936A6">
        <w:t>Beschta</w:t>
      </w:r>
      <w:proofErr w:type="spellEnd"/>
      <w:r w:rsidRPr="00B936A6">
        <w:t xml:space="preserve"> 1991). Riparian vegetation contributes leaves, twigs, and other forms of fine litter that are an important component of the aquatic ecosystem food base (</w:t>
      </w:r>
      <w:proofErr w:type="spellStart"/>
      <w:r w:rsidRPr="00B936A6">
        <w:t>Vannote</w:t>
      </w:r>
      <w:proofErr w:type="spellEnd"/>
      <w:r w:rsidRPr="00B936A6">
        <w:t xml:space="preserve"> et al. 1980).</w:t>
      </w:r>
    </w:p>
    <w:p w:rsidR="00653AF2" w:rsidRPr="00B936A6" w:rsidRDefault="00653AF2" w:rsidP="00653AF2">
      <w:r w:rsidRPr="00B936A6">
        <w:t xml:space="preserve">1993 FEMAT Report, pp V-13, V-25. </w:t>
      </w:r>
    </w:p>
    <w:p w:rsidR="00653AF2" w:rsidRPr="00B936A6" w:rsidRDefault="00653AF2" w:rsidP="00C13CE6"/>
    <w:p w:rsidR="00653AF2" w:rsidRDefault="00653AF2" w:rsidP="00653AF2">
      <w:pPr>
        <w:pStyle w:val="BodyTextIndent"/>
      </w:pPr>
      <w:r>
        <w:t xml:space="preserve">The presence of LWM within a stream channel is critical to maintaining the integrity of the system, in fact, there cannot be an overabundance of LWM. … Riparian Reserves provide important wildlife habitat, which justifies the heavy loading of LWM in the creeks and the floodplains. … In the Riparian Reserves … it is desirable to maintain healthy forest stands over the long-term while maintaining high snag densities and green tree replacements. … It is recognized that Riparian Reserves constitute an area where </w:t>
      </w:r>
      <w:r>
        <w:lastRenderedPageBreak/>
        <w:t>higher risks are taken (including reduced fire suppression efforts) in order to allow natural processes to occur and continue without human intervention.</w:t>
      </w:r>
    </w:p>
    <w:p w:rsidR="00653AF2" w:rsidRPr="00B936A6" w:rsidRDefault="00653AF2" w:rsidP="00653AF2">
      <w:r w:rsidRPr="00B936A6">
        <w:t>Deschutes NF 1999. Crescent-Odell Watershed Analysis, pages 164-165.</w:t>
      </w:r>
    </w:p>
    <w:p w:rsidR="00653AF2" w:rsidRPr="00B936A6" w:rsidRDefault="00653AF2" w:rsidP="00653AF2"/>
    <w:p w:rsidR="00653AF2" w:rsidRPr="00B936A6" w:rsidRDefault="00653AF2" w:rsidP="00653AF2">
      <w:pPr>
        <w:ind w:left="720"/>
      </w:pPr>
      <w:r w:rsidRPr="00B936A6">
        <w:t xml:space="preserve">   In an undisturbed forest ecosystem, wood is naturally “recruited” to streams in various ways. Riparian trees growing along the channel fall into the channel when they are undercut by the stream, toppled by beavers, burned by fire or blown down during storms. Upslope trees can be transported into the channel by events such as avalanches or landslides . Flooding can wash trees into the channel and during </w:t>
      </w:r>
      <w:proofErr w:type="spellStart"/>
      <w:r w:rsidRPr="00B936A6">
        <w:t>highwater</w:t>
      </w:r>
      <w:proofErr w:type="spellEnd"/>
      <w:r w:rsidRPr="00B936A6">
        <w:t xml:space="preserve"> they may be pushed downstream.</w:t>
      </w:r>
    </w:p>
    <w:p w:rsidR="00653AF2" w:rsidRPr="00B936A6" w:rsidRDefault="00653AF2" w:rsidP="00653AF2">
      <w:pPr>
        <w:ind w:left="720"/>
      </w:pPr>
      <w:r w:rsidRPr="00B936A6">
        <w:t xml:space="preserve">   In-stream woody debris has been drastically reduced in some streams by historical forest management practices. Logging near rivers and streams limited the number of trees that could fall into streams. Road building that channeled streams through culverts prevented downstream wood recruitment. “Stream cleaning” was sometimes conducted to remove fallen trees from streams, for beautification, to prevent damage to infrastructure downstream, or in a misguided attempt to assist fish migration.</w:t>
      </w:r>
    </w:p>
    <w:p w:rsidR="00653AF2" w:rsidRPr="00B936A6" w:rsidRDefault="00653AF2" w:rsidP="00653AF2">
      <w:pPr>
        <w:ind w:left="720"/>
      </w:pPr>
      <w:r w:rsidRPr="00B936A6">
        <w:t xml:space="preserve">   Scientists have now come to understand that in-stream LWM [large woody material] is ecologically important for a number of reasons:</w:t>
      </w:r>
    </w:p>
    <w:p w:rsidR="00653AF2" w:rsidRPr="00B936A6" w:rsidRDefault="00653AF2" w:rsidP="00653AF2">
      <w:pPr>
        <w:numPr>
          <w:ilvl w:val="0"/>
          <w:numId w:val="3"/>
        </w:numPr>
        <w:suppressAutoHyphens/>
        <w:spacing w:line="240" w:lineRule="auto"/>
      </w:pPr>
      <w:r w:rsidRPr="00B936A6">
        <w:t>LWM can help spawning gravels accumulate , by stopping the gravel from moving downstream;</w:t>
      </w:r>
    </w:p>
    <w:p w:rsidR="00653AF2" w:rsidRPr="00B936A6" w:rsidRDefault="00653AF2" w:rsidP="00653AF2">
      <w:pPr>
        <w:numPr>
          <w:ilvl w:val="0"/>
          <w:numId w:val="3"/>
        </w:numPr>
        <w:suppressAutoHyphens/>
        <w:spacing w:line="240" w:lineRule="auto"/>
      </w:pPr>
      <w:r w:rsidRPr="00B936A6">
        <w:t>Pools can form behind LWM, which provide important juvenile rearing habitat, as well as habitat for all fish during periods of low-flows;</w:t>
      </w:r>
    </w:p>
    <w:p w:rsidR="00653AF2" w:rsidRPr="00B936A6" w:rsidRDefault="00653AF2" w:rsidP="00653AF2">
      <w:pPr>
        <w:numPr>
          <w:ilvl w:val="0"/>
          <w:numId w:val="3"/>
        </w:numPr>
        <w:suppressAutoHyphens/>
        <w:spacing w:line="240" w:lineRule="auto"/>
      </w:pPr>
      <w:r w:rsidRPr="00B936A6">
        <w:t>LWM can help slow stream speed , which helps adult fish as they move upstream and shelters rearing juveniles from using too much energy fighting currents;</w:t>
      </w:r>
    </w:p>
    <w:p w:rsidR="00653AF2" w:rsidRPr="00B936A6" w:rsidRDefault="00653AF2" w:rsidP="00653AF2">
      <w:pPr>
        <w:numPr>
          <w:ilvl w:val="0"/>
          <w:numId w:val="3"/>
        </w:numPr>
        <w:suppressAutoHyphens/>
        <w:spacing w:line="240" w:lineRule="auto"/>
      </w:pPr>
      <w:r w:rsidRPr="00B936A6">
        <w:t>LWM provide shade , offering pockets of cooler water, and can help to lower the temperature of an entire stream;</w:t>
      </w:r>
    </w:p>
    <w:p w:rsidR="00653AF2" w:rsidRPr="00B936A6" w:rsidRDefault="00653AF2" w:rsidP="00653AF2">
      <w:pPr>
        <w:numPr>
          <w:ilvl w:val="0"/>
          <w:numId w:val="3"/>
        </w:numPr>
        <w:suppressAutoHyphens/>
        <w:spacing w:line="240" w:lineRule="auto"/>
      </w:pPr>
      <w:r w:rsidRPr="00B936A6">
        <w:t>LWM provides fish with refuge from predators ;</w:t>
      </w:r>
    </w:p>
    <w:p w:rsidR="00653AF2" w:rsidRPr="00B936A6" w:rsidRDefault="00653AF2" w:rsidP="00653AF2">
      <w:pPr>
        <w:numPr>
          <w:ilvl w:val="0"/>
          <w:numId w:val="3"/>
        </w:numPr>
        <w:suppressAutoHyphens/>
        <w:spacing w:line="240" w:lineRule="auto"/>
      </w:pPr>
      <w:r w:rsidRPr="00B936A6">
        <w:t>LWM can help to stabilize banks, prevent erosion and decrease sediment movement that can harm downstream fish habitat;</w:t>
      </w:r>
    </w:p>
    <w:p w:rsidR="00653AF2" w:rsidRPr="00B936A6" w:rsidRDefault="00653AF2" w:rsidP="00653AF2">
      <w:pPr>
        <w:numPr>
          <w:ilvl w:val="0"/>
          <w:numId w:val="3"/>
        </w:numPr>
        <w:suppressAutoHyphens/>
        <w:spacing w:line="240" w:lineRule="auto"/>
      </w:pPr>
      <w:r w:rsidRPr="00B936A6">
        <w:t>LWM is important to the aquatic food chain, because it traps organic matter and provides habitat for insects and invertebrates, which are both food for fish.</w:t>
      </w:r>
    </w:p>
    <w:p w:rsidR="00653AF2" w:rsidRPr="00B936A6" w:rsidRDefault="00653AF2" w:rsidP="00653AF2">
      <w:pPr>
        <w:ind w:left="720"/>
      </w:pPr>
      <w:r w:rsidRPr="00B936A6">
        <w:t xml:space="preserve">   All of these elements add “complexity” to a stream. When it comes to fish habitat, complexity is a good thing. And one of the best ways to make a stream complex is to simply add wood.</w:t>
      </w:r>
    </w:p>
    <w:p w:rsidR="00653AF2" w:rsidRPr="00B936A6" w:rsidRDefault="00653AF2" w:rsidP="00653AF2">
      <w:r w:rsidRPr="00B936A6">
        <w:t xml:space="preserve">Hannah </w:t>
      </w:r>
      <w:proofErr w:type="spellStart"/>
      <w:r w:rsidRPr="00B936A6">
        <w:t>Ettema</w:t>
      </w:r>
      <w:proofErr w:type="spellEnd"/>
      <w:r w:rsidRPr="00B936A6">
        <w:t xml:space="preserve"> 2014. Seven Reasons Why Fish Need Wood. </w:t>
      </w:r>
      <w:hyperlink r:id="rId46" w:history="1">
        <w:r w:rsidRPr="00B936A6">
          <w:rPr>
            <w:rStyle w:val="Hyperlink"/>
          </w:rPr>
          <w:t>https://www.nationalforests.org/blog/seven-reasons-why-fish-need-wood</w:t>
        </w:r>
      </w:hyperlink>
      <w:r w:rsidRPr="00B936A6">
        <w:t xml:space="preserve"> </w:t>
      </w:r>
    </w:p>
    <w:p w:rsidR="00653AF2" w:rsidRPr="00B936A6" w:rsidRDefault="00653AF2" w:rsidP="00653AF2"/>
    <w:p w:rsidR="00653AF2" w:rsidRPr="00B936A6" w:rsidRDefault="00653AF2" w:rsidP="00653AF2">
      <w:r w:rsidRPr="00B936A6">
        <w:t xml:space="preserve">Abundant dead wood is not just important for fish and other aquatic species, but we are learning that it is also useful for a wide variety of terrestrial wildlife. OSU researchers say </w:t>
      </w:r>
    </w:p>
    <w:p w:rsidR="00653AF2" w:rsidRPr="0054788A" w:rsidRDefault="00653AF2" w:rsidP="00653AF2">
      <w:pPr>
        <w:pStyle w:val="NormalWeb"/>
        <w:spacing w:before="0" w:after="225"/>
        <w:ind w:left="720"/>
        <w:textAlignment w:val="baseline"/>
        <w:rPr>
          <w:rFonts w:ascii="Times New Roman" w:hAnsi="Times New Roman" w:cs="Times New Roman"/>
          <w:color w:val="000000"/>
        </w:rPr>
      </w:pPr>
      <w:r>
        <w:rPr>
          <w:rFonts w:ascii="Times New Roman" w:hAnsi="Times New Roman" w:cs="Times New Roman"/>
          <w:color w:val="000000"/>
        </w:rPr>
        <w:t xml:space="preserve">… </w:t>
      </w:r>
      <w:r w:rsidRPr="0054788A">
        <w:rPr>
          <w:rFonts w:ascii="Times New Roman" w:hAnsi="Times New Roman" w:cs="Times New Roman"/>
          <w:color w:val="000000"/>
        </w:rPr>
        <w:t>little is known about how large wood in streams impacts birds and land-based animals.</w:t>
      </w:r>
    </w:p>
    <w:p w:rsidR="00653AF2" w:rsidRDefault="00653AF2" w:rsidP="00653AF2">
      <w:pPr>
        <w:pStyle w:val="NormalWeb"/>
        <w:spacing w:before="0" w:after="0"/>
        <w:ind w:left="720"/>
        <w:textAlignment w:val="baseline"/>
        <w:rPr>
          <w:rFonts w:ascii="Times New Roman" w:hAnsi="Times New Roman" w:cs="Times New Roman"/>
          <w:color w:val="000000"/>
        </w:rPr>
      </w:pPr>
      <w:r w:rsidRPr="0054788A">
        <w:rPr>
          <w:rFonts w:ascii="Times New Roman" w:hAnsi="Times New Roman" w:cs="Times New Roman"/>
          <w:color w:val="000000"/>
        </w:rPr>
        <w:t xml:space="preserve">Oregon State University scientists </w:t>
      </w:r>
      <w:proofErr w:type="spellStart"/>
      <w:r w:rsidRPr="0054788A">
        <w:rPr>
          <w:rFonts w:ascii="Times New Roman" w:hAnsi="Times New Roman" w:cs="Times New Roman"/>
          <w:color w:val="000000"/>
        </w:rPr>
        <w:t>Ezmie</w:t>
      </w:r>
      <w:proofErr w:type="spellEnd"/>
      <w:r w:rsidRPr="0054788A">
        <w:rPr>
          <w:rFonts w:ascii="Times New Roman" w:hAnsi="Times New Roman" w:cs="Times New Roman"/>
          <w:color w:val="000000"/>
        </w:rPr>
        <w:t xml:space="preserve"> </w:t>
      </w:r>
      <w:proofErr w:type="spellStart"/>
      <w:r w:rsidRPr="0054788A">
        <w:rPr>
          <w:rFonts w:ascii="Times New Roman" w:hAnsi="Times New Roman" w:cs="Times New Roman"/>
          <w:color w:val="000000"/>
        </w:rPr>
        <w:t>Trevarrow</w:t>
      </w:r>
      <w:proofErr w:type="spellEnd"/>
      <w:r w:rsidRPr="0054788A">
        <w:rPr>
          <w:rFonts w:ascii="Times New Roman" w:hAnsi="Times New Roman" w:cs="Times New Roman"/>
          <w:color w:val="000000"/>
        </w:rPr>
        <w:t xml:space="preserve"> and </w:t>
      </w:r>
      <w:hyperlink r:id="rId47" w:tgtFrame="_blank" w:history="1">
        <w:r w:rsidRPr="0054788A">
          <w:rPr>
            <w:rStyle w:val="Hyperlink"/>
            <w:rFonts w:ascii="Times New Roman" w:hAnsi="Times New Roman" w:cs="Times New Roman"/>
            <w:color w:val="4A90E2"/>
            <w:bdr w:val="none" w:sz="0" w:space="0" w:color="auto" w:frame="1"/>
          </w:rPr>
          <w:t xml:space="preserve">Ivan </w:t>
        </w:r>
        <w:proofErr w:type="spellStart"/>
        <w:r w:rsidRPr="0054788A">
          <w:rPr>
            <w:rStyle w:val="Hyperlink"/>
            <w:rFonts w:ascii="Times New Roman" w:hAnsi="Times New Roman" w:cs="Times New Roman"/>
            <w:color w:val="4A90E2"/>
            <w:bdr w:val="none" w:sz="0" w:space="0" w:color="auto" w:frame="1"/>
          </w:rPr>
          <w:t>Arismendi</w:t>
        </w:r>
        <w:proofErr w:type="spellEnd"/>
      </w:hyperlink>
      <w:r w:rsidRPr="0054788A">
        <w:rPr>
          <w:rFonts w:ascii="Times New Roman" w:hAnsi="Times New Roman" w:cs="Times New Roman"/>
          <w:color w:val="000000"/>
        </w:rPr>
        <w:t> are beginning to change that with a </w:t>
      </w:r>
      <w:hyperlink r:id="rId48" w:tgtFrame="_blank" w:history="1">
        <w:r w:rsidRPr="0054788A">
          <w:rPr>
            <w:rStyle w:val="Hyperlink"/>
            <w:rFonts w:ascii="Times New Roman" w:hAnsi="Times New Roman" w:cs="Times New Roman"/>
            <w:color w:val="4A90E2"/>
            <w:bdr w:val="none" w:sz="0" w:space="0" w:color="auto" w:frame="1"/>
          </w:rPr>
          <w:t>just-published paper</w:t>
        </w:r>
      </w:hyperlink>
      <w:r w:rsidRPr="0054788A">
        <w:rPr>
          <w:rFonts w:ascii="Times New Roman" w:hAnsi="Times New Roman" w:cs="Times New Roman"/>
          <w:color w:val="000000"/>
        </w:rPr>
        <w:t> in Biodiversity and Conservation that outlines what they observed from one year of footage from motion-triggered video cameras they set up near multiple large log jams in a creek just west of Corvallis.</w:t>
      </w:r>
    </w:p>
    <w:p w:rsidR="00653AF2" w:rsidRPr="0054788A" w:rsidRDefault="00653AF2" w:rsidP="00653AF2">
      <w:pPr>
        <w:pStyle w:val="NormalWeb"/>
        <w:spacing w:before="0" w:after="0"/>
        <w:ind w:left="720"/>
        <w:textAlignment w:val="baseline"/>
        <w:rPr>
          <w:rFonts w:ascii="Times New Roman" w:hAnsi="Times New Roman" w:cs="Times New Roman"/>
          <w:color w:val="000000"/>
        </w:rPr>
      </w:pPr>
    </w:p>
    <w:p w:rsidR="00653AF2" w:rsidRPr="0054788A" w:rsidRDefault="00653AF2" w:rsidP="00653AF2">
      <w:pPr>
        <w:pStyle w:val="NormalWeb"/>
        <w:spacing w:before="0" w:after="225"/>
        <w:ind w:left="720"/>
        <w:textAlignment w:val="baseline"/>
        <w:rPr>
          <w:rFonts w:ascii="Times New Roman" w:hAnsi="Times New Roman" w:cs="Times New Roman"/>
          <w:color w:val="000000"/>
        </w:rPr>
      </w:pPr>
      <w:r w:rsidRPr="0054788A">
        <w:rPr>
          <w:rFonts w:ascii="Times New Roman" w:hAnsi="Times New Roman" w:cs="Times New Roman"/>
          <w:color w:val="000000"/>
        </w:rPr>
        <w:lastRenderedPageBreak/>
        <w:t xml:space="preserve">“This study reveals a hidden role of large wood in streams,” said </w:t>
      </w:r>
      <w:proofErr w:type="spellStart"/>
      <w:r w:rsidRPr="0054788A">
        <w:rPr>
          <w:rFonts w:ascii="Times New Roman" w:hAnsi="Times New Roman" w:cs="Times New Roman"/>
          <w:color w:val="000000"/>
        </w:rPr>
        <w:t>Trevarrow</w:t>
      </w:r>
      <w:proofErr w:type="spellEnd"/>
      <w:r w:rsidRPr="0054788A">
        <w:rPr>
          <w:rFonts w:ascii="Times New Roman" w:hAnsi="Times New Roman" w:cs="Times New Roman"/>
          <w:color w:val="000000"/>
        </w:rPr>
        <w:t>, who conducted the research as an undergraduate in the Honors College at Oregon State and is now a research associate at the University of Georgia. “The findings are valuable for land managers because they demonstrate additional value of restoration projects that involve wood placement into streams.”</w:t>
      </w:r>
    </w:p>
    <w:p w:rsidR="00653AF2" w:rsidRPr="0054788A" w:rsidRDefault="00653AF2" w:rsidP="00653AF2">
      <w:pPr>
        <w:pStyle w:val="NormalWeb"/>
        <w:spacing w:before="0" w:after="225"/>
        <w:ind w:left="720"/>
        <w:textAlignment w:val="baseline"/>
        <w:rPr>
          <w:rFonts w:ascii="Times New Roman" w:hAnsi="Times New Roman" w:cs="Times New Roman"/>
          <w:color w:val="000000"/>
        </w:rPr>
      </w:pPr>
      <w:r w:rsidRPr="0054788A">
        <w:rPr>
          <w:rFonts w:ascii="Times New Roman" w:hAnsi="Times New Roman" w:cs="Times New Roman"/>
          <w:color w:val="000000"/>
        </w:rPr>
        <w:t xml:space="preserve">In the paper, </w:t>
      </w:r>
      <w:proofErr w:type="spellStart"/>
      <w:r w:rsidRPr="0054788A">
        <w:rPr>
          <w:rFonts w:ascii="Times New Roman" w:hAnsi="Times New Roman" w:cs="Times New Roman"/>
          <w:color w:val="000000"/>
        </w:rPr>
        <w:t>Trevarrow</w:t>
      </w:r>
      <w:proofErr w:type="spellEnd"/>
      <w:r w:rsidRPr="0054788A">
        <w:rPr>
          <w:rFonts w:ascii="Times New Roman" w:hAnsi="Times New Roman" w:cs="Times New Roman"/>
          <w:color w:val="000000"/>
        </w:rPr>
        <w:t xml:space="preserve"> and </w:t>
      </w:r>
      <w:proofErr w:type="spellStart"/>
      <w:r w:rsidRPr="0054788A">
        <w:rPr>
          <w:rFonts w:ascii="Times New Roman" w:hAnsi="Times New Roman" w:cs="Times New Roman"/>
          <w:color w:val="000000"/>
        </w:rPr>
        <w:t>Arismendi</w:t>
      </w:r>
      <w:proofErr w:type="spellEnd"/>
      <w:r w:rsidRPr="0054788A">
        <w:rPr>
          <w:rFonts w:ascii="Times New Roman" w:hAnsi="Times New Roman" w:cs="Times New Roman"/>
          <w:color w:val="000000"/>
        </w:rPr>
        <w:t xml:space="preserve"> focused their attention on what species they saw, the most common observed activities and the seasonality of the detections. Among their findings:</w:t>
      </w:r>
    </w:p>
    <w:p w:rsidR="00653AF2" w:rsidRPr="00B936A6" w:rsidRDefault="00653AF2" w:rsidP="00653AF2">
      <w:pPr>
        <w:numPr>
          <w:ilvl w:val="0"/>
          <w:numId w:val="4"/>
        </w:numPr>
        <w:tabs>
          <w:tab w:val="clear" w:pos="720"/>
          <w:tab w:val="num" w:pos="1440"/>
        </w:tabs>
        <w:spacing w:after="75" w:line="240" w:lineRule="auto"/>
        <w:ind w:left="1245"/>
        <w:textAlignment w:val="baseline"/>
        <w:rPr>
          <w:rFonts w:cs="Times New Roman"/>
          <w:color w:val="000000"/>
        </w:rPr>
      </w:pPr>
      <w:r w:rsidRPr="00B936A6">
        <w:rPr>
          <w:rFonts w:cs="Times New Roman"/>
          <w:color w:val="000000"/>
        </w:rPr>
        <w:t>Forty species were observed during the study period. The most common species included mule deer, raccoon belted kingfisher, Townsend’s chipmunk, deer mouse western grey squirrel, Virginia opossum and American robin.</w:t>
      </w:r>
    </w:p>
    <w:p w:rsidR="00653AF2" w:rsidRPr="00B936A6" w:rsidRDefault="00653AF2" w:rsidP="00653AF2">
      <w:pPr>
        <w:numPr>
          <w:ilvl w:val="0"/>
          <w:numId w:val="4"/>
        </w:numPr>
        <w:spacing w:after="75" w:line="240" w:lineRule="auto"/>
        <w:ind w:left="1245"/>
        <w:textAlignment w:val="baseline"/>
        <w:rPr>
          <w:rFonts w:cs="Times New Roman"/>
          <w:color w:val="000000"/>
        </w:rPr>
      </w:pPr>
      <w:r w:rsidRPr="00B936A6">
        <w:rPr>
          <w:rFonts w:cs="Times New Roman"/>
          <w:color w:val="000000"/>
        </w:rPr>
        <w:t xml:space="preserve">The most common animal activities around the log jams included movement (68%), rest (18%), and food handling/eating (9%), suggesting that large wood in streams acts as lateral corridors, or highways as </w:t>
      </w:r>
      <w:proofErr w:type="spellStart"/>
      <w:r w:rsidRPr="00B936A6">
        <w:rPr>
          <w:rFonts w:cs="Times New Roman"/>
          <w:color w:val="000000"/>
        </w:rPr>
        <w:t>Trevarrow</w:t>
      </w:r>
      <w:proofErr w:type="spellEnd"/>
      <w:r w:rsidRPr="00B936A6">
        <w:rPr>
          <w:rFonts w:cs="Times New Roman"/>
          <w:color w:val="000000"/>
        </w:rPr>
        <w:t xml:space="preserve"> put it, connecting land habitats year-round for wildlife.</w:t>
      </w:r>
    </w:p>
    <w:p w:rsidR="00653AF2" w:rsidRPr="00B936A6" w:rsidRDefault="00653AF2" w:rsidP="00653AF2">
      <w:pPr>
        <w:numPr>
          <w:ilvl w:val="0"/>
          <w:numId w:val="4"/>
        </w:numPr>
        <w:spacing w:after="75" w:line="240" w:lineRule="auto"/>
        <w:ind w:left="1245"/>
        <w:textAlignment w:val="baseline"/>
        <w:rPr>
          <w:rFonts w:cs="Times New Roman"/>
          <w:color w:val="000000"/>
        </w:rPr>
      </w:pPr>
      <w:r w:rsidRPr="00B936A6">
        <w:rPr>
          <w:rFonts w:cs="Times New Roman"/>
          <w:color w:val="000000"/>
        </w:rPr>
        <w:t>A strong seasonality in detections and species richness with the highest values occurring in summer and spring, and the lowest values in winter. For example, the most species were seen in summer (27), followed by spring (23), fall (22) and winter (16).</w:t>
      </w:r>
    </w:p>
    <w:p w:rsidR="00653AF2" w:rsidRPr="00B936A6" w:rsidRDefault="00653AF2" w:rsidP="00653AF2">
      <w:pPr>
        <w:ind w:left="720"/>
      </w:pPr>
      <w:r w:rsidRPr="00B936A6">
        <w:t>…</w:t>
      </w:r>
    </w:p>
    <w:p w:rsidR="00653AF2" w:rsidRPr="00B936A6" w:rsidRDefault="00653AF2" w:rsidP="00653AF2">
      <w:pPr>
        <w:spacing w:after="225"/>
        <w:ind w:left="720"/>
        <w:textAlignment w:val="baseline"/>
        <w:rPr>
          <w:rFonts w:eastAsia="Times New Roman" w:cs="Times New Roman"/>
          <w:color w:val="000000"/>
        </w:rPr>
      </w:pPr>
      <w:r w:rsidRPr="00B936A6">
        <w:rPr>
          <w:rFonts w:eastAsia="Times New Roman" w:cs="Times New Roman"/>
          <w:color w:val="000000"/>
        </w:rPr>
        <w:t>While the benefits of large wood in streams for fish, particularly salmon, have been well studied, few studies have focused on the impact on land-based animals, the Oregon State researchers said.</w:t>
      </w:r>
    </w:p>
    <w:p w:rsidR="00653AF2" w:rsidRPr="00B936A6" w:rsidRDefault="00653AF2" w:rsidP="00653AF2">
      <w:pPr>
        <w:ind w:left="720"/>
        <w:textAlignment w:val="baseline"/>
        <w:rPr>
          <w:rFonts w:eastAsia="Times New Roman" w:cs="Times New Roman"/>
          <w:color w:val="000000"/>
        </w:rPr>
      </w:pPr>
      <w:r w:rsidRPr="00B936A6">
        <w:rPr>
          <w:rFonts w:eastAsia="Times New Roman" w:cs="Times New Roman"/>
          <w:color w:val="000000"/>
        </w:rPr>
        <w:t>For their study, they set up 13 cameras between June 2020 and June 2021 along Rock Creek, about 15 miles west of Corvallis. They collected 1,921 videos containing at least one animal detection, …</w:t>
      </w:r>
    </w:p>
    <w:p w:rsidR="00653AF2" w:rsidRPr="00B936A6" w:rsidRDefault="00653AF2" w:rsidP="00653AF2">
      <w:r w:rsidRPr="00B936A6">
        <w:t xml:space="preserve">KTVZ News 6-21-2022. OSU research looks at importance of large wood in streams for land-based animals. </w:t>
      </w:r>
      <w:hyperlink r:id="rId49" w:history="1">
        <w:r w:rsidRPr="00B936A6">
          <w:rPr>
            <w:rStyle w:val="Hyperlink"/>
          </w:rPr>
          <w:t>https://ktvz.com/news/environment/2022/06/21/osu-research-looks-at-importance-of-large-wood-in-streams-for-land-based-animals/</w:t>
        </w:r>
      </w:hyperlink>
      <w:r w:rsidRPr="00B936A6">
        <w:t xml:space="preserve"> </w:t>
      </w:r>
      <w:r w:rsidRPr="00B936A6">
        <w:rPr>
          <w:i/>
        </w:rPr>
        <w:t>citing</w:t>
      </w:r>
      <w:r w:rsidRPr="00B936A6">
        <w:t xml:space="preserve"> </w:t>
      </w:r>
      <w:proofErr w:type="spellStart"/>
      <w:r w:rsidRPr="00B936A6">
        <w:t>Trevarrow</w:t>
      </w:r>
      <w:proofErr w:type="spellEnd"/>
      <w:r w:rsidRPr="00B936A6">
        <w:t xml:space="preserve">, E., </w:t>
      </w:r>
      <w:proofErr w:type="spellStart"/>
      <w:r w:rsidRPr="00B936A6">
        <w:t>Arismendi</w:t>
      </w:r>
      <w:proofErr w:type="spellEnd"/>
      <w:r w:rsidRPr="00B936A6">
        <w:t xml:space="preserve">, I. The role of large wood in streams as ecological corridors for wildlife biodiversity. </w:t>
      </w:r>
      <w:proofErr w:type="spellStart"/>
      <w:r w:rsidRPr="00B936A6">
        <w:t>Biodivers</w:t>
      </w:r>
      <w:proofErr w:type="spellEnd"/>
      <w:r w:rsidRPr="00B936A6">
        <w:t xml:space="preserve"> </w:t>
      </w:r>
      <w:proofErr w:type="spellStart"/>
      <w:r w:rsidRPr="00B936A6">
        <w:t>Conserv</w:t>
      </w:r>
      <w:proofErr w:type="spellEnd"/>
      <w:r w:rsidRPr="00B936A6">
        <w:t xml:space="preserve"> (2022). </w:t>
      </w:r>
      <w:hyperlink r:id="rId50" w:history="1">
        <w:r w:rsidRPr="00B936A6">
          <w:rPr>
            <w:rStyle w:val="Hyperlink"/>
          </w:rPr>
          <w:t>https://doi.org/10.1007/s10531-022-02437-2</w:t>
        </w:r>
      </w:hyperlink>
      <w:r w:rsidRPr="00B936A6">
        <w:t xml:space="preserve"> </w:t>
      </w:r>
      <w:hyperlink r:id="rId51" w:history="1">
        <w:r w:rsidRPr="00B936A6">
          <w:rPr>
            <w:rStyle w:val="Hyperlink"/>
          </w:rPr>
          <w:t>https://link.springer.com/article/10.1007/s10531-022-02437-2</w:t>
        </w:r>
      </w:hyperlink>
      <w:r w:rsidRPr="00B936A6">
        <w:t xml:space="preserve">. </w:t>
      </w:r>
    </w:p>
    <w:p w:rsidR="00653AF2" w:rsidRPr="00B936A6" w:rsidRDefault="00653AF2" w:rsidP="00653AF2"/>
    <w:p w:rsidR="00653AF2" w:rsidRPr="00B936A6" w:rsidRDefault="00653AF2" w:rsidP="00653AF2">
      <w:r w:rsidRPr="00B936A6">
        <w:t xml:space="preserve">The agency </w:t>
      </w:r>
      <w:r w:rsidRPr="00B936A6">
        <w:rPr>
          <w:rFonts w:cs="Times New Roman"/>
          <w:color w:val="222222"/>
          <w:shd w:val="clear" w:color="auto" w:fill="FFFFFF"/>
        </w:rPr>
        <w:t xml:space="preserve">should not manage for </w:t>
      </w:r>
      <w:r w:rsidRPr="00B936A6">
        <w:rPr>
          <w:rFonts w:cs="Times New Roman"/>
          <w:i/>
          <w:color w:val="222222"/>
          <w:shd w:val="clear" w:color="auto" w:fill="FFFFFF"/>
        </w:rPr>
        <w:t>minimum</w:t>
      </w:r>
      <w:r w:rsidRPr="00B936A6">
        <w:rPr>
          <w:rFonts w:cs="Times New Roman"/>
          <w:color w:val="222222"/>
          <w:shd w:val="clear" w:color="auto" w:fill="FFFFFF"/>
        </w:rPr>
        <w:t xml:space="preserve"> levels of dead wood because </w:t>
      </w:r>
      <w:r w:rsidRPr="00B936A6">
        <w:rPr>
          <w:rFonts w:cs="Times New Roman"/>
          <w:i/>
          <w:color w:val="222222"/>
          <w:shd w:val="clear" w:color="auto" w:fill="FFFFFF"/>
        </w:rPr>
        <w:t>optimal</w:t>
      </w:r>
      <w:r w:rsidRPr="00B936A6">
        <w:rPr>
          <w:rFonts w:cs="Times New Roman"/>
          <w:color w:val="222222"/>
          <w:shd w:val="clear" w:color="auto" w:fill="FFFFFF"/>
        </w:rPr>
        <w:t xml:space="preserve"> levels of dead wood are much higher than minimums. In fact, there may not be any maximum.</w:t>
      </w:r>
      <w:r w:rsidRPr="00B936A6">
        <w:rPr>
          <w:rFonts w:cs="Times New Roman"/>
        </w:rPr>
        <w:t xml:space="preserve"> </w:t>
      </w:r>
      <w:r w:rsidRPr="00B936A6">
        <w:t xml:space="preserve">“The presence of LWM within a stream channel is critical to maintaining integrity of the system, in fact, there cannot be an overabundance of LWM.” Deschutes NF, 1997. Big Marsh Watershed Analysis. The Regional Ecosystem office recommends managing dead wood in young stands within reserves to attain </w:t>
      </w:r>
      <w:r w:rsidRPr="00B936A6">
        <w:rPr>
          <w:i/>
        </w:rPr>
        <w:t>biologically optimal</w:t>
      </w:r>
      <w:r w:rsidRPr="00B936A6">
        <w:t xml:space="preserve"> levels, not just </w:t>
      </w:r>
      <w:r w:rsidRPr="00B936A6">
        <w:rPr>
          <w:i/>
        </w:rPr>
        <w:t>average</w:t>
      </w:r>
      <w:r w:rsidRPr="00B936A6">
        <w:t xml:space="preserve"> or </w:t>
      </w:r>
      <w:r w:rsidRPr="00B936A6">
        <w:rPr>
          <w:i/>
        </w:rPr>
        <w:t>reference</w:t>
      </w:r>
      <w:r w:rsidRPr="00B936A6">
        <w:t xml:space="preserve"> levels. REO said “CWD objectives should be based on research that shows optimum levels of habitat for late-successional forest-related species, and not be based simply on measurements within natural stands.” REO 7-9-1996 Criteria to Exempt Specific Silvicultural Activities in Late-Successional Reserves, </w:t>
      </w:r>
      <w:hyperlink r:id="rId52" w:history="1">
        <w:r w:rsidRPr="00B936A6">
          <w:rPr>
            <w:rStyle w:val="Hyperlink"/>
          </w:rPr>
          <w:t>http://www.reo.gov/library/policy/REO-694_comm_thin_criteria.doc</w:t>
        </w:r>
      </w:hyperlink>
      <w:r w:rsidRPr="00B936A6">
        <w:t>.</w:t>
      </w:r>
    </w:p>
    <w:p w:rsidR="00254B06" w:rsidRPr="009B4CCC" w:rsidRDefault="00254B06" w:rsidP="009B4CCC">
      <w:pPr>
        <w:pStyle w:val="Heading2"/>
      </w:pPr>
      <w:r w:rsidRPr="009B4CCC">
        <w:lastRenderedPageBreak/>
        <w:t>Carbon and Climate</w:t>
      </w:r>
    </w:p>
    <w:p w:rsidR="00597159" w:rsidRPr="00B936A6" w:rsidRDefault="00597159" w:rsidP="00597159">
      <w:r w:rsidRPr="00B936A6">
        <w:t xml:space="preserve">Our scoping comments </w:t>
      </w:r>
      <w:r w:rsidR="00E84EEE" w:rsidRPr="00B936A6">
        <w:t xml:space="preserve">offered compelling rationale for </w:t>
      </w:r>
      <w:r w:rsidRPr="00B936A6">
        <w:t>the FS to consider carbon storage as part of the purpose and need which is imminently appropriate considering the global climate crisis that we are living in, and the fact that the choices whether to log these forests will determine whether more carbon is sequestered on these sites, or whether carbon is put on an accelerated path from the forest to the atmosphere.</w:t>
      </w:r>
      <w:r w:rsidR="00E84EEE" w:rsidRPr="00B936A6">
        <w:t xml:space="preserve"> </w:t>
      </w:r>
    </w:p>
    <w:p w:rsidR="00E84EEE" w:rsidRPr="00B936A6" w:rsidRDefault="00E84EEE" w:rsidP="00597159"/>
    <w:p w:rsidR="00E84EEE" w:rsidRPr="00B936A6" w:rsidRDefault="00E84EEE" w:rsidP="00597159">
      <w:r w:rsidRPr="00B936A6">
        <w:t xml:space="preserve">Our scoping comments also urged the FS to </w:t>
      </w:r>
      <w:r w:rsidR="00D43E7D" w:rsidRPr="00B936A6">
        <w:t xml:space="preserve">analyze and </w:t>
      </w:r>
      <w:r w:rsidRPr="00B936A6">
        <w:t>harmonize the potential trade-offs be</w:t>
      </w:r>
      <w:r w:rsidR="00D43E7D" w:rsidRPr="00B936A6">
        <w:t>tween thinning forests to enhance climate change adaptation, and the greenhouse gas emissions caused by logging that will exacerbate climate change. The draft EA does not do this. The EA’s carbon analysis is only 2 paragraph and it says that the analysis is backed by the Silviculture resource specialist report in the project record, but that report is not posted on the project website.</w:t>
      </w:r>
    </w:p>
    <w:p w:rsidR="00597159" w:rsidRPr="00B936A6" w:rsidRDefault="00597159" w:rsidP="00597159"/>
    <w:p w:rsidR="00597159" w:rsidRPr="00B936A6" w:rsidRDefault="00597159" w:rsidP="00597159">
      <w:r w:rsidRPr="00B936A6">
        <w:t xml:space="preserve">The agency should follow the latest (2023) CEQ guidance for analysis of global climate change in federal NEPA analyses, including quantification of GHG emissions, quantification of the social cost of GHG emissions, disclosure whether the project makes progress toward or away from climate goals, comparison of effects with-and-without the project, and development of alternatives that avoid, minimize, and mitigate effects of emissions. </w:t>
      </w:r>
    </w:p>
    <w:p w:rsidR="00597159" w:rsidRPr="00B936A6" w:rsidRDefault="00597159" w:rsidP="00597159">
      <w:pPr>
        <w:ind w:left="720"/>
      </w:pPr>
    </w:p>
    <w:p w:rsidR="00597159" w:rsidRPr="00B936A6" w:rsidRDefault="00597159" w:rsidP="00597159">
      <w:pPr>
        <w:ind w:left="720"/>
        <w:rPr>
          <w:b/>
        </w:rPr>
      </w:pPr>
      <w:r w:rsidRPr="00B936A6">
        <w:rPr>
          <w:b/>
        </w:rPr>
        <w:t>Quantifying, Disclosing, and Contextualizing Climate Impacts, and</w:t>
      </w:r>
    </w:p>
    <w:p w:rsidR="00597159" w:rsidRPr="00B936A6" w:rsidRDefault="00597159" w:rsidP="00597159">
      <w:pPr>
        <w:ind w:left="720"/>
        <w:rPr>
          <w:b/>
        </w:rPr>
      </w:pPr>
      <w:r w:rsidRPr="00B936A6">
        <w:rPr>
          <w:b/>
        </w:rPr>
        <w:t>Addressing the Potential Climate Change Effects of Proposed Federal</w:t>
      </w:r>
    </w:p>
    <w:p w:rsidR="00597159" w:rsidRPr="00B936A6" w:rsidRDefault="00597159" w:rsidP="00597159">
      <w:pPr>
        <w:ind w:left="720"/>
        <w:rPr>
          <w:b/>
        </w:rPr>
      </w:pPr>
      <w:r w:rsidRPr="00B936A6">
        <w:rPr>
          <w:b/>
        </w:rPr>
        <w:t>Actions</w:t>
      </w:r>
    </w:p>
    <w:p w:rsidR="00597159" w:rsidRPr="00B936A6" w:rsidRDefault="00597159" w:rsidP="00597159">
      <w:pPr>
        <w:ind w:left="720"/>
      </w:pPr>
      <w:r w:rsidRPr="00B936A6">
        <w:t>Consistent with section 102(2)(C) of NEPA, Federal agencies must disclose and consider the reasonably foreseeable effects of their proposed actions including the extent to which a proposed action and its reasonable alternatives (including the no action alternative) would result in reasonably foreseeable GHG emissions that contribute to climate change. Federal agencies also should consider the ways in which a changing climate may impact the proposed action and its reasonable alternatives, and change the action’s environmental effects over the lifetime of those effects.</w:t>
      </w:r>
      <w:r w:rsidRPr="00B936A6">
        <w:cr/>
        <w:t>…</w:t>
      </w:r>
    </w:p>
    <w:p w:rsidR="00597159" w:rsidRPr="00B936A6" w:rsidRDefault="00597159" w:rsidP="00597159">
      <w:pPr>
        <w:ind w:left="720"/>
      </w:pPr>
      <w:r w:rsidRPr="00B936A6">
        <w:t>Some resource management activities, such as a prescribed burn or certain non-commercial thinning of forests or grasslands conducted to reduce wildfire risk or insect infestations, might result in short-term GHG emissions or loss of stored carbon but greater long-term ecosystem health, including an overall net increase in carbon sequestration and storage. However, other types of land-use changes, such as permanent deforestation, can adversely alter ecosystem long-term carbon dynamics, resulting in net emissions. Agencies can use relevant tools to analyze the anticipated long-term GHG emissions implications from proposed ecosystem restoration actions.</w:t>
      </w:r>
      <w:r w:rsidRPr="00B936A6">
        <w:cr/>
      </w:r>
    </w:p>
    <w:p w:rsidR="00597159" w:rsidRPr="00B936A6" w:rsidRDefault="00597159" w:rsidP="00597159">
      <w:pPr>
        <w:ind w:left="720"/>
      </w:pPr>
      <w:r w:rsidRPr="00B936A6">
        <w:t xml:space="preserve">This guidance is intended to assist agencies in disclosing and considering the effects of GHG emissions and climate change. This guidance does not establish any particular quantity of GHG emissions as “significantly” affecting the quality of the human environment. However, quantifying a proposed action’s reasonably foreseeable GHG </w:t>
      </w:r>
      <w:r w:rsidRPr="00B936A6">
        <w:lastRenderedPageBreak/>
        <w:t>emissions whenever possible, and placing those emissions in appropriate context are important components of analyzing a proposed action’s reasonably foreseeable climate change effects.</w:t>
      </w:r>
    </w:p>
    <w:p w:rsidR="00597159" w:rsidRPr="00B936A6" w:rsidRDefault="00597159" w:rsidP="00597159">
      <w:pPr>
        <w:ind w:left="720"/>
      </w:pPr>
      <w:r w:rsidRPr="00B936A6">
        <w:t>This section of the guidance identifies and explains the following steps agencies should take when analyzing a proposed action’s climate change effects under NEPA:</w:t>
      </w:r>
    </w:p>
    <w:p w:rsidR="00597159" w:rsidRPr="00B936A6" w:rsidRDefault="00597159" w:rsidP="00597159">
      <w:pPr>
        <w:ind w:left="720"/>
      </w:pPr>
      <w:r w:rsidRPr="00B936A6">
        <w:t>1) Quantify the reasonably foreseeable GHG emissions (including direct and indirect emissions) of a proposed action, the no action alternative, and any reasonable alternatives as discussed in Section IV(A) below.</w:t>
      </w:r>
    </w:p>
    <w:p w:rsidR="00597159" w:rsidRPr="00B936A6" w:rsidRDefault="00597159" w:rsidP="00597159">
      <w:pPr>
        <w:ind w:left="720"/>
      </w:pPr>
      <w:r w:rsidRPr="00B936A6">
        <w:t>2) Disclose and provide context for the GHG emissions and climate impacts associated with a proposed action and alternatives, including by, as relevant, monetizing climate damages using estimates of the SC-GHG, placing emissions in the context of relevant climate action goals and commitments, and providing common equivalents, as described below in Section IV(B).</w:t>
      </w:r>
    </w:p>
    <w:p w:rsidR="00597159" w:rsidRPr="00B936A6" w:rsidRDefault="00597159" w:rsidP="00597159">
      <w:pPr>
        <w:ind w:left="720"/>
      </w:pPr>
      <w:r w:rsidRPr="00B936A6">
        <w:t>3) Analyze reasonable alternatives, including those that would reduce GHG emissions relative to baseline conditions, and identify available mitigation measures to avoid, minimize, or compensate for climate effects.</w:t>
      </w:r>
    </w:p>
    <w:p w:rsidR="00597159" w:rsidRPr="00B936A6" w:rsidRDefault="00597159" w:rsidP="00597159">
      <w:pPr>
        <w:ind w:left="720"/>
      </w:pPr>
      <w:r w:rsidRPr="00B936A6">
        <w:t>…</w:t>
      </w:r>
    </w:p>
    <w:p w:rsidR="00597159" w:rsidRPr="00B936A6" w:rsidRDefault="00597159" w:rsidP="00597159">
      <w:pPr>
        <w:ind w:left="720"/>
      </w:pPr>
      <w:r w:rsidRPr="00B936A6">
        <w:t>NEPA requires more than a statement that emissions from a proposed Federal action or  its alternatives represent only a small fraction of global or domestic emissions. Such a statement merely notes the nature of the climate change challenge, and is not a useful basis for deciding whether or to what extent to consider climate change effects under NEPA. Moreover, such comparisons and fractions also are not an appropriate method for characterizing the extent of a proposed action’s and its alternatives’ contributions to climate change because this approach does not reveal anything beyond the nature of the climate change challenge itself—the fact that diverse individual sources of emissions each make a relatively small addition to global atmospheric GHG concentrations that collectively have a large effect.</w:t>
      </w:r>
    </w:p>
    <w:p w:rsidR="00597159" w:rsidRPr="00B936A6" w:rsidRDefault="00597159" w:rsidP="00597159">
      <w:pPr>
        <w:ind w:left="720"/>
      </w:pPr>
      <w:r w:rsidRPr="00B936A6">
        <w:t>Therefore, when considering GHG emissions and their significance, agencies should use appropriate tools and methodologies to quantify GHG emissions, compare GHG emission quantities across alternative scenarios (including the no action alternative), and place emissions in relevant context, including how they relate to climate action commitments and goals. This approach allows an agency to present the environmental and public health effects of a proposed action in clear terms and with sufficient information to make a reasoned choice between no action and other alternatives and appropriate mitigation measures. This approach will also ensure the professional and scientific integrity of the NEPA review.48</w:t>
      </w:r>
    </w:p>
    <w:p w:rsidR="00597159" w:rsidRPr="00B936A6" w:rsidRDefault="00597159" w:rsidP="00597159">
      <w:pPr>
        <w:ind w:left="720"/>
      </w:pPr>
      <w:r w:rsidRPr="00B936A6">
        <w:t>As part of the NEPA documents they prepare, agencies should quantify the reasonably foreseeable gross GHG emissions increases and gross GHG emission reductions49 for the proposed action, no action alternative, and any reasonable alternatives over their projected lifetime, using reasonably available information and data.50</w:t>
      </w:r>
    </w:p>
    <w:p w:rsidR="00597159" w:rsidRPr="00B936A6" w:rsidRDefault="00597159" w:rsidP="00597159">
      <w:pPr>
        <w:ind w:left="720"/>
      </w:pPr>
      <w:r w:rsidRPr="00B936A6">
        <w:t>…</w:t>
      </w:r>
    </w:p>
    <w:p w:rsidR="00597159" w:rsidRPr="00B936A6" w:rsidRDefault="00597159" w:rsidP="00597159">
      <w:pPr>
        <w:ind w:left="720"/>
      </w:pPr>
      <w:r w:rsidRPr="00B936A6">
        <w:t>Quantification and assessment tools are widely available and are already in broad use in the Federal Government and private sector, by state and local governments, and globally. CEQ maintains a GHG Accounting Tools website listing many such tools.56 …</w:t>
      </w:r>
    </w:p>
    <w:p w:rsidR="00597159" w:rsidRPr="00B936A6" w:rsidRDefault="00597159" w:rsidP="00597159">
      <w:pPr>
        <w:ind w:left="720"/>
      </w:pPr>
      <w:r w:rsidRPr="00B936A6">
        <w:t>…</w:t>
      </w:r>
    </w:p>
    <w:p w:rsidR="00597159" w:rsidRPr="00B936A6" w:rsidRDefault="00597159" w:rsidP="00597159">
      <w:pPr>
        <w:ind w:left="720"/>
      </w:pPr>
      <w:r w:rsidRPr="00B936A6">
        <w:lastRenderedPageBreak/>
        <w:t>[A]</w:t>
      </w:r>
      <w:proofErr w:type="spellStart"/>
      <w:r w:rsidRPr="00B936A6">
        <w:t>gencies</w:t>
      </w:r>
      <w:proofErr w:type="spellEnd"/>
      <w:r w:rsidRPr="00B936A6">
        <w:t xml:space="preserve"> should use the following best practices, as relevant: (1) In most circumstances, once agencies have quantified GHG emissions, they should apply the best available estimates of the SC-GHG [Social Cost of Greenhouse Gases] 61 to the incremental metric tons of each individual type of GHG emissions62 expected from a proposed action and its alternatives. 63 SC-GHG estimates allow monetization (presented in U.S. dollars) of the climate change effects from the marginal or incremental emission of GHG emissions, …</w:t>
      </w:r>
    </w:p>
    <w:p w:rsidR="00597159" w:rsidRPr="00B936A6" w:rsidRDefault="00597159" w:rsidP="00597159">
      <w:pPr>
        <w:ind w:left="720"/>
      </w:pPr>
      <w:r w:rsidRPr="00B936A6">
        <w:t>…</w:t>
      </w:r>
    </w:p>
    <w:p w:rsidR="00597159" w:rsidRPr="00B936A6" w:rsidRDefault="00597159" w:rsidP="00597159">
      <w:pPr>
        <w:ind w:left="720"/>
      </w:pPr>
      <w:r w:rsidRPr="00B936A6">
        <w:t>SC-GHG estimates can help describe the net social costs of increasing GHG emissions as well as the net social benefits of reducing such emissions. Given NEPA’s mandates to consider worldwide and long-range environmental problems,68 it is most appropriate for agencies to focus on SCGHG estimates that capture global climate damages and, consistent with the best available science, reflect a timespan covering the vast majority of effects and discount future effects at rates that consider future generations. It is often also worth affirming that SC-GHG estimates, including those available at the publication of this guidance, may be conservative underestimates because various damage categories (like ocean acidification) are not currently included.</w:t>
      </w:r>
    </w:p>
    <w:p w:rsidR="00597159" w:rsidRPr="00B936A6" w:rsidRDefault="00597159" w:rsidP="00597159">
      <w:pPr>
        <w:ind w:left="720"/>
      </w:pPr>
      <w:r w:rsidRPr="00B936A6">
        <w:t>… [A]</w:t>
      </w:r>
      <w:proofErr w:type="spellStart"/>
      <w:r w:rsidRPr="00B936A6">
        <w:t>gencies</w:t>
      </w:r>
      <w:proofErr w:type="spellEnd"/>
      <w:r w:rsidRPr="00B936A6">
        <w:t xml:space="preserve"> should explain how the proposed action and alternatives would help meet or detract from achieving relevant climate action goals and commitments, including Federal goals, international agreements, state or regional goals, Tribal goals, agency-specific goals, or others as appropriate.69 However, as explained above, NEPA requires more than a statement that emissions from a proposed Federal action or its alternatives represent only a small fraction of global or domestic emissions.</w:t>
      </w:r>
    </w:p>
    <w:p w:rsidR="00597159" w:rsidRPr="00B936A6" w:rsidRDefault="00597159" w:rsidP="00597159">
      <w:pPr>
        <w:ind w:left="720"/>
      </w:pPr>
      <w:r w:rsidRPr="00B936A6">
        <w:t>…</w:t>
      </w:r>
    </w:p>
    <w:p w:rsidR="00597159" w:rsidRPr="00B936A6" w:rsidRDefault="00597159" w:rsidP="00597159">
      <w:pPr>
        <w:ind w:left="720"/>
        <w:rPr>
          <w:b/>
        </w:rPr>
      </w:pPr>
      <w:r w:rsidRPr="00B936A6">
        <w:rPr>
          <w:b/>
        </w:rPr>
        <w:t xml:space="preserve">Reasonable Alternatives </w:t>
      </w:r>
    </w:p>
    <w:p w:rsidR="00597159" w:rsidRPr="00B936A6" w:rsidRDefault="00597159" w:rsidP="00597159">
      <w:pPr>
        <w:ind w:left="720"/>
      </w:pPr>
      <w:r w:rsidRPr="00B936A6">
        <w:t xml:space="preserve">Considering reasonable alternatives, including alternatives that avoid or mitigate GHG emissions, is fundamental to the NEPA process and accords with Sections 102(2)(C) and 102(2)(E) of NEPA, which independently require the consideration of alternatives in environmental documents.74 NEPA calls upon agencies to use the NEPA process to identify and assess the reasonable alternatives to proposed actions that will avoid or minimize adverse effects on the human environment.75 </w:t>
      </w:r>
    </w:p>
    <w:p w:rsidR="00597159" w:rsidRPr="00B936A6" w:rsidRDefault="00597159" w:rsidP="00597159">
      <w:pPr>
        <w:ind w:left="720"/>
      </w:pPr>
      <w:r w:rsidRPr="00B936A6">
        <w:t xml:space="preserve">Consideration of alternatives provides an agency decision maker the information needed to examine other possible approaches to a particular proposed action (including the no action alternative) that could alter environmental effects or the balance of factors considered in making the decision. Agencies make better informed decisions by comparing relevant GHG emissions, GHG emission reductions, and carbon sequestration potential across reasonable alternatives, assessing trade-offs with other environmental values, and evaluating the risks from or resilience to climate change inherent in a proposed action and its design. </w:t>
      </w:r>
    </w:p>
    <w:p w:rsidR="00597159" w:rsidRPr="00B936A6" w:rsidRDefault="00597159" w:rsidP="00597159">
      <w:pPr>
        <w:ind w:left="720"/>
      </w:pPr>
      <w:r w:rsidRPr="00B936A6">
        <w:t>Agencies must consider a range of reasonable alternatives, as well as reasonable mitigation measures if not already included in the proposed action or alternatives, consistent with the level of NEPA review (e.g., EA or EIS) and the purpose and need for the proposed action.76</w:t>
      </w:r>
    </w:p>
    <w:p w:rsidR="00597159" w:rsidRPr="00B936A6" w:rsidRDefault="00597159" w:rsidP="00597159">
      <w:pPr>
        <w:ind w:left="720"/>
      </w:pPr>
      <w:r w:rsidRPr="00B936A6">
        <w:t>…</w:t>
      </w:r>
    </w:p>
    <w:p w:rsidR="00597159" w:rsidRPr="00B936A6" w:rsidRDefault="00597159" w:rsidP="00597159">
      <w:pPr>
        <w:ind w:left="720"/>
      </w:pPr>
      <w:r w:rsidRPr="00B936A6">
        <w:rPr>
          <w:b/>
        </w:rPr>
        <w:t>Mitigation</w:t>
      </w:r>
      <w:r w:rsidRPr="00B936A6">
        <w:t xml:space="preserve"> </w:t>
      </w:r>
    </w:p>
    <w:p w:rsidR="00597159" w:rsidRPr="00B936A6" w:rsidRDefault="00597159" w:rsidP="00597159">
      <w:pPr>
        <w:ind w:left="720"/>
      </w:pPr>
      <w:r w:rsidRPr="00B936A6">
        <w:lastRenderedPageBreak/>
        <w:t>Identifying and analyzing potential mitigation measures is an important component of the NEPA process.105 Evaluating potential mitigation measures generally involves first determining whether impacts from a proposed action or alternatives can be avoided, then considering whether adverse impacts can be minimized, then, when impacts are unavoidable, rectifying them and, if appropriate, requiring compensation for residual impacts.106 Mitigation plays a particularly important role in how agencies should assess the potential climate change effects of proposed actions and reasonable alternatives. Agencies should consider mitigation measures that will avoid or reduce GHG emissions. Given the urgency of the climate crisis, CEQ encourages agencies to mitigate GHG emissions to the greatest extent possible.</w:t>
      </w:r>
    </w:p>
    <w:p w:rsidR="00597159" w:rsidRPr="00B936A6" w:rsidRDefault="00597159" w:rsidP="00597159">
      <w:pPr>
        <w:ind w:left="720"/>
      </w:pPr>
      <w:r w:rsidRPr="00B936A6">
        <w:t>…</w:t>
      </w:r>
    </w:p>
    <w:p w:rsidR="00597159" w:rsidRPr="00B936A6" w:rsidRDefault="00597159" w:rsidP="00597159">
      <w:pPr>
        <w:ind w:left="720"/>
        <w:rPr>
          <w:b/>
        </w:rPr>
      </w:pPr>
      <w:r w:rsidRPr="00B936A6">
        <w:rPr>
          <w:b/>
        </w:rPr>
        <w:t>Special Considerations for Biological GHG Sources and Sinks</w:t>
      </w:r>
    </w:p>
    <w:p w:rsidR="00597159" w:rsidRPr="00B936A6" w:rsidRDefault="00597159" w:rsidP="00597159">
      <w:pPr>
        <w:ind w:left="720"/>
      </w:pPr>
      <w:r w:rsidRPr="00B936A6">
        <w:t>…</w:t>
      </w:r>
    </w:p>
    <w:p w:rsidR="00597159" w:rsidRPr="00B936A6" w:rsidRDefault="00597159" w:rsidP="00597159">
      <w:pPr>
        <w:ind w:left="720"/>
      </w:pPr>
      <w:r w:rsidRPr="00B936A6">
        <w:t>In NEPA reviews, for actions involving potential changes to biological GHG sources and sinks, agencies should include a comparison of net GHG emissions and carbon stock117 changes that are anticipated to occur, with and without implementation of the proposed action and reasonable alternatives. The analysis should consider the estimated GHG emissions (from biogenic and fossil-fuel sources), carbon sequestration potential, and the net change in relevant carbon stocks in light of the proposed actions and timeframes under consideration, and explain the basis for the analysis.</w:t>
      </w:r>
    </w:p>
    <w:p w:rsidR="00597159" w:rsidRPr="00B936A6" w:rsidRDefault="00597159" w:rsidP="00597159">
      <w:pPr>
        <w:ind w:left="720"/>
      </w:pPr>
      <w:r w:rsidRPr="00B936A6">
        <w:t>Some actions that involve ecosystem restoration118 can generate short-term biogenic emissions while resulting in overall long-term net reductions of atmospheric GHG concentrations through increases in carbon stocks or reduced risks of future emissions. One example is certain vegetation management practices that affect the risk of wildfire, insect and disease outbreak, or other disturbance. Some resource management activities, such as a prescribed burn or certain non-commercial thinning of forests or grasslands conducted to reduce wildfire risk or insect infestations, might result in short-term GHG emissions or loss of stored carbon but greater long-term ecosystem health, including an overall net increase in carbon sequestration and storage. However, other types of land-use changes, such as permanent deforestation, can adversely alter ecosystem long-term carbon dynamics, resulting in net emissions. Agencies can use relevant tools to analyze the anticipated long-term GHG emissions implications from proposed ecosystem restoration actions.</w:t>
      </w:r>
    </w:p>
    <w:p w:rsidR="00597159" w:rsidRPr="00B936A6" w:rsidRDefault="00597159" w:rsidP="00597159">
      <w:pPr>
        <w:ind w:left="720"/>
      </w:pPr>
      <w:r w:rsidRPr="00B936A6">
        <w:t xml:space="preserve">Federal land and resource management agencies should consider developing and maintaining agency-specific principles and guidance for considering biological carbon in management and planning decisions. </w:t>
      </w:r>
      <w:proofErr w:type="spellStart"/>
      <w:r w:rsidRPr="00B936A6">
        <w:t>fn</w:t>
      </w:r>
      <w:proofErr w:type="spellEnd"/>
      <w:r w:rsidRPr="00B936A6">
        <w:t>/119. Such guidance can help address the importance of considering biogenic carbon fluxes and storage within the context of other management objectives and ecosystem service goals, …</w:t>
      </w:r>
    </w:p>
    <w:p w:rsidR="00597159" w:rsidRPr="00B936A6" w:rsidRDefault="00597159" w:rsidP="00597159">
      <w:r w:rsidRPr="00B936A6">
        <w:t xml:space="preserve">Council on Environmental Quality 2023. National Environmental Policy Act Guidance on Consideration of Greenhouse Gas Emissions and Climate Change </w:t>
      </w:r>
      <w:hyperlink r:id="rId53" w:history="1">
        <w:r w:rsidRPr="00B936A6">
          <w:rPr>
            <w:rStyle w:val="Hyperlink"/>
          </w:rPr>
          <w:t>https://www.federalregister.gov/documents/2023/01/09/2023-00158/national-environmental-policy-act-guidance-on-consideration-of-greenhouse-gas-emissions-and-climate</w:t>
        </w:r>
      </w:hyperlink>
      <w:r w:rsidRPr="00B936A6">
        <w:t xml:space="preserve">. </w:t>
      </w:r>
      <w:proofErr w:type="spellStart"/>
      <w:r w:rsidRPr="00B936A6">
        <w:t>fn</w:t>
      </w:r>
      <w:proofErr w:type="spellEnd"/>
      <w:r w:rsidRPr="00B936A6">
        <w:t xml:space="preserve">/119: See, e.g., USDA Forest Service, Considering Forest and Grassland Carbon in Land Management (2017), </w:t>
      </w:r>
      <w:hyperlink r:id="rId54" w:history="1">
        <w:r w:rsidRPr="00B936A6">
          <w:rPr>
            <w:rStyle w:val="Hyperlink"/>
          </w:rPr>
          <w:t>https://www.fs.usda.gov/research/treesearch/54316</w:t>
        </w:r>
      </w:hyperlink>
      <w:r w:rsidRPr="00B936A6">
        <w:t xml:space="preserve">... (aka, </w:t>
      </w:r>
      <w:proofErr w:type="spellStart"/>
      <w:r w:rsidRPr="00B936A6">
        <w:t>Janowiak</w:t>
      </w:r>
      <w:proofErr w:type="spellEnd"/>
      <w:r w:rsidRPr="00B936A6">
        <w:t xml:space="preserve">, et al 2017. Considering Forest and Grassland Carbon in Land Management. Gen. </w:t>
      </w:r>
      <w:r w:rsidRPr="00B936A6">
        <w:lastRenderedPageBreak/>
        <w:t xml:space="preserve">Tech. Rep. WO-95. Washington, D.C.: United States Department of Agriculture, Forest Service. 68 p. </w:t>
      </w:r>
      <w:hyperlink r:id="rId55" w:history="1">
        <w:r w:rsidRPr="00B936A6">
          <w:rPr>
            <w:rStyle w:val="Hyperlink"/>
          </w:rPr>
          <w:t>https://www.fs.usda.gov/research/publications/gtr/gtr_wo95.pdf</w:t>
        </w:r>
      </w:hyperlink>
      <w:r w:rsidRPr="00B936A6">
        <w:t xml:space="preserve">.) </w:t>
      </w:r>
    </w:p>
    <w:p w:rsidR="00597159" w:rsidRPr="00B936A6" w:rsidRDefault="00597159" w:rsidP="00597159"/>
    <w:p w:rsidR="00597159" w:rsidRPr="00B936A6" w:rsidRDefault="00597159" w:rsidP="00597159">
      <w:r w:rsidRPr="00B936A6">
        <w:t>The Jan. 9, 2023 Federal Register notice says “This interim guidance is effective immediately. … This interim</w:t>
      </w:r>
      <w:r w:rsidRPr="00B936A6">
        <w:rPr>
          <w:rFonts w:ascii="Times New Roman" w:hAnsi="Times New Roman" w:cs="Times New Roman"/>
        </w:rPr>
        <w:t> </w:t>
      </w:r>
      <w:r w:rsidRPr="00B936A6">
        <w:t xml:space="preserve">[15] GHG guidance, effective upon publication, builds upon and updates CEQ's </w:t>
      </w:r>
      <w:hyperlink r:id="rId56" w:history="1">
        <w:r w:rsidRPr="00B936A6">
          <w:rPr>
            <w:rStyle w:val="Hyperlink"/>
          </w:rPr>
          <w:t>2016 Final Guidance</w:t>
        </w:r>
      </w:hyperlink>
      <w:r w:rsidRPr="00B936A6">
        <w:t xml:space="preserve"> for Federal Departments and Agencies on Consideration of Greenhouse Gas Emissions and the Effects of Climate Change in National Environmental Policy Act Reviews … This guidance applies longstanding NEPA principles to the analysis of climate change effects, which are a well-recognized category of effects on the human environment requiring consideration under NEPA … Agencies should use this guidance to inform the NEPA review for all new proposed actions. Agencies should exercise judgment when considering whether to apply this guidance to the extent practicable to an on-going NEPA process …” </w:t>
      </w:r>
      <w:hyperlink r:id="rId57" w:history="1">
        <w:r w:rsidRPr="00B936A6">
          <w:rPr>
            <w:rStyle w:val="Hyperlink"/>
          </w:rPr>
          <w:t>https://www.federalregister.gov/documents/2023/01/09/2023-00158/national-environmental-policy-act-guidance-on-consideration-of-greenhouse-gas-emissions-and-climate</w:t>
        </w:r>
      </w:hyperlink>
      <w:r w:rsidRPr="00B936A6">
        <w:t xml:space="preserve">. </w:t>
      </w:r>
    </w:p>
    <w:p w:rsidR="00A878E2" w:rsidRPr="00B936A6" w:rsidRDefault="00A878E2" w:rsidP="00597159"/>
    <w:p w:rsidR="00B936A6" w:rsidRPr="00B936A6" w:rsidRDefault="00B936A6" w:rsidP="00B936A6">
      <w:r w:rsidRPr="00B936A6">
        <w:t>As explained below, the Forest Service’s standardized NEPA language handed down from the regional office regarding carbon and climate change fails to take a hard look that NEPA requires. The analysis makes several highly misleading statements about managing forests for carbon storage, climate resilience, and the effects on climate change. The analysis inappropriately mischaracterizes the role of individual logging projects in the cumulative problem of global GHG emissions. The analysis misstates the effects of logging related carbon emissions that are not related to “deforestation.” The analysis grossly misstates the climate effects of logging intended to reduce disturbance. The analysis misleadingly implies that logging benefits the climate by increasing forest productivity.</w:t>
      </w:r>
    </w:p>
    <w:p w:rsidR="00B936A6" w:rsidRPr="00B936A6" w:rsidRDefault="00B936A6" w:rsidP="00B936A6">
      <w:pPr>
        <w:rPr>
          <w:rFonts w:cs="Times New Roman"/>
        </w:rPr>
      </w:pPr>
    </w:p>
    <w:p w:rsidR="00B936A6" w:rsidRPr="00B936A6" w:rsidRDefault="00B936A6" w:rsidP="00B936A6">
      <w:pPr>
        <w:rPr>
          <w:rFonts w:cs="Times New Roman"/>
        </w:rPr>
      </w:pPr>
      <w:r w:rsidRPr="00B936A6">
        <w:rPr>
          <w:rFonts w:cs="Times New Roman"/>
        </w:rPr>
        <w:t xml:space="preserve">The NEPA analysis should consider the adverse climate consequences of GHG emissions caused directly and indirectly by logging. </w:t>
      </w:r>
      <w:r w:rsidRPr="00B936A6">
        <w:t>The NEPA analysis should estimate the quantity of GHG emitted by logging and associated activities throughout the wood products supply chain, and describe the contribution of this project to cumulative impacts of excess GHG in the atmosphere. The NEPA analysis should use a proxy such as the social cost of carbon dioxide emissions to describe effects.</w:t>
      </w:r>
    </w:p>
    <w:p w:rsidR="00B936A6" w:rsidRPr="00B936A6" w:rsidRDefault="00B936A6" w:rsidP="00B936A6">
      <w:pPr>
        <w:rPr>
          <w:rFonts w:cs="Times New Roman"/>
        </w:rPr>
      </w:pPr>
    </w:p>
    <w:p w:rsidR="00B936A6" w:rsidRPr="00B936A6" w:rsidRDefault="00B936A6" w:rsidP="00B936A6">
      <w:pPr>
        <w:rPr>
          <w:rFonts w:cs="Times New Roman"/>
        </w:rPr>
      </w:pPr>
      <w:r w:rsidRPr="00B936A6">
        <w:rPr>
          <w:rFonts w:cs="Times New Roman"/>
        </w:rPr>
        <w:t>The Forest Service should not rely on the boilerplate NEPA language from the regional office which is flawed in many ways. Instead the Forest Service:</w:t>
      </w:r>
    </w:p>
    <w:p w:rsidR="00B936A6" w:rsidRPr="00BE282B" w:rsidRDefault="00B936A6" w:rsidP="00B936A6">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Must r</w:t>
      </w:r>
      <w:r w:rsidRPr="00BE282B">
        <w:rPr>
          <w:rFonts w:ascii="Times New Roman" w:hAnsi="Times New Roman" w:cs="Times New Roman"/>
          <w:sz w:val="24"/>
          <w:szCs w:val="24"/>
        </w:rPr>
        <w:t xml:space="preserve">ecognize the cumulative nature of the GHG emissions and climate problems. It does not matter that this project is small in the global scheme because all emissions matter when the causation </w:t>
      </w:r>
      <w:r>
        <w:rPr>
          <w:rFonts w:ascii="Times New Roman" w:hAnsi="Times New Roman" w:cs="Times New Roman"/>
          <w:sz w:val="24"/>
          <w:szCs w:val="24"/>
        </w:rPr>
        <w:t xml:space="preserve">(and effects) of climate change are </w:t>
      </w:r>
      <w:r w:rsidRPr="00BE282B">
        <w:rPr>
          <w:rFonts w:ascii="Times New Roman" w:hAnsi="Times New Roman" w:cs="Times New Roman"/>
          <w:sz w:val="24"/>
          <w:szCs w:val="24"/>
        </w:rPr>
        <w:t>global and cumulative;</w:t>
      </w:r>
    </w:p>
    <w:p w:rsidR="00B936A6" w:rsidRPr="00BE282B" w:rsidRDefault="00B936A6" w:rsidP="00B936A6">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that this project is harmless because it’s not causing deforestation. This is immaterial. All GHG emissions, regardless of the source or how it is labelled, are part of the problem and cause the same climate impacts.</w:t>
      </w:r>
    </w:p>
    <w:p w:rsidR="00B936A6" w:rsidRPr="00BE282B" w:rsidRDefault="00B936A6" w:rsidP="00B936A6">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lastRenderedPageBreak/>
        <w:t xml:space="preserve">Cannot credibly assert </w:t>
      </w:r>
      <w:r w:rsidRPr="00BE282B">
        <w:rPr>
          <w:rFonts w:ascii="Times New Roman" w:hAnsi="Times New Roman" w:cs="Times New Roman"/>
          <w:sz w:val="24"/>
          <w:szCs w:val="24"/>
        </w:rPr>
        <w:t xml:space="preserve">that </w:t>
      </w:r>
      <w:r>
        <w:rPr>
          <w:rFonts w:ascii="Times New Roman" w:hAnsi="Times New Roman" w:cs="Times New Roman"/>
          <w:sz w:val="24"/>
          <w:szCs w:val="24"/>
        </w:rPr>
        <w:t>t</w:t>
      </w:r>
      <w:r w:rsidRPr="00BE282B">
        <w:rPr>
          <w:rFonts w:ascii="Times New Roman" w:hAnsi="Times New Roman" w:cs="Times New Roman"/>
          <w:sz w:val="24"/>
          <w:szCs w:val="24"/>
        </w:rPr>
        <w:t xml:space="preserve">hinning for forest health </w:t>
      </w:r>
      <w:r>
        <w:rPr>
          <w:rFonts w:ascii="Times New Roman" w:hAnsi="Times New Roman" w:cs="Times New Roman"/>
          <w:sz w:val="24"/>
          <w:szCs w:val="24"/>
        </w:rPr>
        <w:t xml:space="preserve">justifies or mitigates </w:t>
      </w:r>
      <w:r w:rsidRPr="00BE282B">
        <w:rPr>
          <w:rFonts w:ascii="Times New Roman" w:hAnsi="Times New Roman" w:cs="Times New Roman"/>
          <w:sz w:val="24"/>
          <w:szCs w:val="24"/>
        </w:rPr>
        <w:t xml:space="preserve">emissions </w:t>
      </w:r>
      <w:r>
        <w:rPr>
          <w:rFonts w:ascii="Times New Roman" w:hAnsi="Times New Roman" w:cs="Times New Roman"/>
          <w:sz w:val="24"/>
          <w:szCs w:val="24"/>
        </w:rPr>
        <w:t>from logging</w:t>
      </w:r>
      <w:r w:rsidRPr="00BE282B">
        <w:rPr>
          <w:rFonts w:ascii="Times New Roman" w:hAnsi="Times New Roman" w:cs="Times New Roman"/>
          <w:sz w:val="24"/>
          <w:szCs w:val="24"/>
        </w:rPr>
        <w:t>. Logging does not increase the capacity for growing trees. To the contrary, logging harms soil and reduces site productivity.</w:t>
      </w:r>
      <w:r>
        <w:rPr>
          <w:rFonts w:ascii="Times New Roman" w:hAnsi="Times New Roman" w:cs="Times New Roman"/>
          <w:sz w:val="24"/>
          <w:szCs w:val="24"/>
        </w:rPr>
        <w:t xml:space="preserve"> </w:t>
      </w:r>
      <w:r w:rsidRPr="007A2793">
        <w:rPr>
          <w:rFonts w:ascii="Times New Roman" w:hAnsi="Times New Roman" w:cs="Times New Roman"/>
          <w:sz w:val="24"/>
          <w:szCs w:val="24"/>
        </w:rPr>
        <w:t xml:space="preserve">Storing carbon in wood products is not preferable to storing carbon in forests. </w:t>
      </w:r>
      <w:r>
        <w:rPr>
          <w:rFonts w:ascii="Times New Roman" w:hAnsi="Times New Roman" w:cs="Times New Roman"/>
          <w:sz w:val="24"/>
          <w:szCs w:val="24"/>
        </w:rPr>
        <w:t xml:space="preserve">Evidence shows that forests are a more secure way of storing carbon. </w:t>
      </w:r>
      <w:r w:rsidRPr="007A2793">
        <w:rPr>
          <w:rFonts w:ascii="Times New Roman" w:hAnsi="Times New Roman" w:cs="Times New Roman"/>
          <w:sz w:val="24"/>
          <w:szCs w:val="24"/>
        </w:rPr>
        <w:t>If this forest is not logged, or if more green tree are retained</w:t>
      </w:r>
      <w:r>
        <w:rPr>
          <w:rFonts w:ascii="Times New Roman" w:hAnsi="Times New Roman" w:cs="Times New Roman"/>
          <w:sz w:val="24"/>
          <w:szCs w:val="24"/>
        </w:rPr>
        <w:t xml:space="preserve"> </w:t>
      </w:r>
      <w:r w:rsidRPr="007A2793">
        <w:rPr>
          <w:rFonts w:ascii="Times New Roman" w:hAnsi="Times New Roman" w:cs="Times New Roman"/>
          <w:i/>
          <w:sz w:val="24"/>
          <w:szCs w:val="24"/>
        </w:rPr>
        <w:t>in situ</w:t>
      </w:r>
      <w:r w:rsidRPr="007A2793">
        <w:rPr>
          <w:rFonts w:ascii="Times New Roman" w:hAnsi="Times New Roman" w:cs="Times New Roman"/>
          <w:sz w:val="24"/>
          <w:szCs w:val="24"/>
        </w:rPr>
        <w:t xml:space="preserve">, </w:t>
      </w:r>
      <w:r w:rsidRPr="00633482">
        <w:rPr>
          <w:rFonts w:ascii="Times New Roman" w:hAnsi="Times New Roman" w:cs="Times New Roman"/>
          <w:sz w:val="24"/>
          <w:szCs w:val="24"/>
        </w:rPr>
        <w:t xml:space="preserve">the </w:t>
      </w:r>
      <w:r>
        <w:rPr>
          <w:rFonts w:ascii="Times New Roman" w:hAnsi="Times New Roman" w:cs="Times New Roman"/>
          <w:sz w:val="24"/>
          <w:szCs w:val="24"/>
        </w:rPr>
        <w:t xml:space="preserve">agency </w:t>
      </w:r>
      <w:r w:rsidRPr="00633482">
        <w:rPr>
          <w:rFonts w:ascii="Times New Roman" w:hAnsi="Times New Roman" w:cs="Times New Roman"/>
          <w:sz w:val="24"/>
          <w:szCs w:val="24"/>
        </w:rPr>
        <w:t>cannot conclude that natural mortality will be</w:t>
      </w:r>
      <w:r>
        <w:rPr>
          <w:rFonts w:ascii="Times New Roman" w:hAnsi="Times New Roman" w:cs="Times New Roman"/>
          <w:sz w:val="24"/>
          <w:szCs w:val="24"/>
        </w:rPr>
        <w:t xml:space="preserve"> greater than logging mortality. In fact, it i</w:t>
      </w:r>
      <w:r w:rsidRPr="007A2793">
        <w:rPr>
          <w:rFonts w:ascii="Times New Roman" w:hAnsi="Times New Roman" w:cs="Times New Roman"/>
          <w:sz w:val="24"/>
          <w:szCs w:val="24"/>
        </w:rPr>
        <w:t>s quite easy to predict that logging causes significantly more mortality than natural processes.</w:t>
      </w:r>
    </w:p>
    <w:p w:rsidR="00B936A6" w:rsidRPr="00BE282B" w:rsidRDefault="00B936A6" w:rsidP="00B936A6">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Must </w:t>
      </w:r>
      <w:r w:rsidRPr="00BE282B">
        <w:rPr>
          <w:rFonts w:ascii="Times New Roman" w:hAnsi="Times New Roman" w:cs="Times New Roman"/>
          <w:sz w:val="24"/>
          <w:szCs w:val="24"/>
        </w:rPr>
        <w:t xml:space="preserve">not compare carbon </w:t>
      </w:r>
      <w:r w:rsidRPr="00BE282B">
        <w:rPr>
          <w:rFonts w:ascii="Times New Roman" w:hAnsi="Times New Roman" w:cs="Times New Roman"/>
          <w:i/>
          <w:sz w:val="24"/>
          <w:szCs w:val="24"/>
        </w:rPr>
        <w:t>before and after</w:t>
      </w:r>
      <w:r w:rsidRPr="00BE282B">
        <w:rPr>
          <w:rFonts w:ascii="Times New Roman" w:hAnsi="Times New Roman" w:cs="Times New Roman"/>
          <w:sz w:val="24"/>
          <w:szCs w:val="24"/>
        </w:rPr>
        <w:t xml:space="preserve"> logging. That is an improper framework for NEPA analysis. The proper NEPA framework is to compare the effects of </w:t>
      </w:r>
      <w:r>
        <w:rPr>
          <w:rFonts w:ascii="Times New Roman" w:hAnsi="Times New Roman" w:cs="Times New Roman"/>
          <w:sz w:val="24"/>
          <w:szCs w:val="24"/>
        </w:rPr>
        <w:t xml:space="preserve">different </w:t>
      </w:r>
      <w:r w:rsidRPr="00BE282B">
        <w:rPr>
          <w:rFonts w:ascii="Times New Roman" w:hAnsi="Times New Roman" w:cs="Times New Roman"/>
          <w:sz w:val="24"/>
          <w:szCs w:val="24"/>
        </w:rPr>
        <w:t xml:space="preserve">alternatives </w:t>
      </w:r>
      <w:r>
        <w:rPr>
          <w:rFonts w:ascii="Times New Roman" w:hAnsi="Times New Roman" w:cs="Times New Roman"/>
          <w:sz w:val="24"/>
          <w:szCs w:val="24"/>
        </w:rPr>
        <w:t>(</w:t>
      </w:r>
      <w:r w:rsidRPr="00BE282B">
        <w:rPr>
          <w:rFonts w:ascii="Times New Roman" w:hAnsi="Times New Roman" w:cs="Times New Roman"/>
          <w:sz w:val="24"/>
          <w:szCs w:val="24"/>
        </w:rPr>
        <w:t>over time</w:t>
      </w:r>
      <w:r>
        <w:rPr>
          <w:rFonts w:ascii="Times New Roman" w:hAnsi="Times New Roman" w:cs="Times New Roman"/>
          <w:sz w:val="24"/>
          <w:szCs w:val="24"/>
        </w:rPr>
        <w:t>)</w:t>
      </w:r>
      <w:r w:rsidRPr="00BE282B">
        <w:rPr>
          <w:rFonts w:ascii="Times New Roman" w:hAnsi="Times New Roman" w:cs="Times New Roman"/>
          <w:sz w:val="24"/>
          <w:szCs w:val="24"/>
        </w:rPr>
        <w:t xml:space="preserve">, so </w:t>
      </w:r>
      <w:r>
        <w:rPr>
          <w:rFonts w:ascii="Times New Roman" w:hAnsi="Times New Roman" w:cs="Times New Roman"/>
          <w:sz w:val="24"/>
          <w:szCs w:val="24"/>
        </w:rPr>
        <w:t xml:space="preserve">the agency must </w:t>
      </w:r>
      <w:r w:rsidRPr="00BE282B">
        <w:rPr>
          <w:rFonts w:ascii="Times New Roman" w:hAnsi="Times New Roman" w:cs="Times New Roman"/>
          <w:sz w:val="24"/>
          <w:szCs w:val="24"/>
        </w:rPr>
        <w:t xml:space="preserve">describe the carbon emissions and carbon storage in the forest over time </w:t>
      </w:r>
      <w:r w:rsidRPr="00BE282B">
        <w:rPr>
          <w:rFonts w:ascii="Times New Roman" w:hAnsi="Times New Roman" w:cs="Times New Roman"/>
          <w:i/>
          <w:sz w:val="24"/>
          <w:szCs w:val="24"/>
        </w:rPr>
        <w:t xml:space="preserve">with </w:t>
      </w:r>
      <w:r w:rsidRPr="00F842FB">
        <w:rPr>
          <w:rFonts w:ascii="Times New Roman" w:hAnsi="Times New Roman" w:cs="Times New Roman"/>
          <w:sz w:val="24"/>
          <w:szCs w:val="24"/>
        </w:rPr>
        <w:t>logging and</w:t>
      </w:r>
      <w:r w:rsidRPr="00BE282B">
        <w:rPr>
          <w:rFonts w:ascii="Times New Roman" w:hAnsi="Times New Roman" w:cs="Times New Roman"/>
          <w:i/>
          <w:sz w:val="24"/>
          <w:szCs w:val="24"/>
        </w:rPr>
        <w:t xml:space="preserve"> without</w:t>
      </w:r>
      <w:r w:rsidRPr="00BE282B">
        <w:rPr>
          <w:rFonts w:ascii="Times New Roman" w:hAnsi="Times New Roman" w:cs="Times New Roman"/>
          <w:sz w:val="24"/>
          <w:szCs w:val="24"/>
        </w:rPr>
        <w:t xml:space="preserve"> logging. </w:t>
      </w:r>
    </w:p>
    <w:p w:rsidR="00B936A6" w:rsidRPr="00BE282B" w:rsidRDefault="00B936A6" w:rsidP="00B936A6">
      <w:pPr>
        <w:pStyle w:val="ListParagraph"/>
        <w:numPr>
          <w:ilvl w:val="0"/>
          <w:numId w:val="10"/>
        </w:numPr>
        <w:rPr>
          <w:rFonts w:ascii="Times New Roman" w:hAnsi="Times New Roman" w:cs="Times New Roman"/>
          <w:sz w:val="24"/>
          <w:szCs w:val="24"/>
        </w:rPr>
      </w:pPr>
      <w:r w:rsidRPr="00BE282B">
        <w:rPr>
          <w:rFonts w:ascii="Times New Roman" w:hAnsi="Times New Roman" w:cs="Times New Roman"/>
          <w:sz w:val="24"/>
          <w:szCs w:val="24"/>
        </w:rPr>
        <w:t xml:space="preserve">Logging to reduce fire effects does not result in </w:t>
      </w:r>
      <w:r>
        <w:rPr>
          <w:rFonts w:ascii="Times New Roman" w:hAnsi="Times New Roman" w:cs="Times New Roman"/>
          <w:sz w:val="24"/>
          <w:szCs w:val="24"/>
        </w:rPr>
        <w:t xml:space="preserve">a </w:t>
      </w:r>
      <w:r w:rsidRPr="00BE282B">
        <w:rPr>
          <w:rFonts w:ascii="Times New Roman" w:hAnsi="Times New Roman" w:cs="Times New Roman"/>
          <w:sz w:val="24"/>
          <w:szCs w:val="24"/>
        </w:rPr>
        <w:t xml:space="preserve">net increase in forest carbon storage. The agency cannot predict the location, timing, or severity of future wildfires, so most fuel treatments will cause carbon emissions without any offsetting benefits from modified fire behavior. Studies clearly show that the total carbon emissions from logging (plus unavoidable wildfire) are greater than carbon emissions from </w:t>
      </w:r>
      <w:r>
        <w:rPr>
          <w:rFonts w:ascii="Times New Roman" w:hAnsi="Times New Roman" w:cs="Times New Roman"/>
          <w:sz w:val="24"/>
          <w:szCs w:val="24"/>
        </w:rPr>
        <w:t>wild</w:t>
      </w:r>
      <w:r w:rsidRPr="00BE282B">
        <w:rPr>
          <w:rFonts w:ascii="Times New Roman" w:hAnsi="Times New Roman" w:cs="Times New Roman"/>
          <w:sz w:val="24"/>
          <w:szCs w:val="24"/>
        </w:rPr>
        <w:t>fire alone.</w:t>
      </w:r>
    </w:p>
    <w:p w:rsidR="00B936A6" w:rsidRPr="00BE282B" w:rsidRDefault="00B936A6" w:rsidP="00B936A6">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 xml:space="preserve">that </w:t>
      </w:r>
      <w:r>
        <w:rPr>
          <w:rFonts w:ascii="Times New Roman" w:hAnsi="Times New Roman" w:cs="Times New Roman"/>
          <w:sz w:val="24"/>
          <w:szCs w:val="24"/>
        </w:rPr>
        <w:t>c</w:t>
      </w:r>
      <w:r w:rsidRPr="00BE282B">
        <w:rPr>
          <w:rFonts w:ascii="Times New Roman" w:hAnsi="Times New Roman" w:cs="Times New Roman"/>
          <w:sz w:val="24"/>
          <w:szCs w:val="24"/>
        </w:rPr>
        <w:t xml:space="preserve">arbon storage in wood products is a useful climate strategy. Logging kills trees, stops photosynthesis, and initiates decay and combustion, with the end result being a significant transfer of carbon from the forest to the atmosphere. In stark contrast, an unlogged forest continues to grow and transfer more carbon from the atmosphere to the forest. Carbon emissions caused by logging far exceed the small fraction of carbon transferred to wood products. Carbon accounting methods that attempt to account for </w:t>
      </w:r>
      <w:r w:rsidRPr="00BE282B">
        <w:rPr>
          <w:rFonts w:ascii="Times New Roman" w:hAnsi="Times New Roman" w:cs="Times New Roman"/>
          <w:i/>
          <w:sz w:val="24"/>
          <w:szCs w:val="24"/>
        </w:rPr>
        <w:t>substitution</w:t>
      </w:r>
      <w:r w:rsidRPr="00BE282B">
        <w:rPr>
          <w:rFonts w:ascii="Times New Roman" w:hAnsi="Times New Roman" w:cs="Times New Roman"/>
          <w:sz w:val="24"/>
          <w:szCs w:val="24"/>
        </w:rPr>
        <w:t xml:space="preserve"> of wood for other high-carbon building materials are fraught with uncertainty and too often represent maximum potential substitution effects rather than lower realistic estimates.</w:t>
      </w:r>
    </w:p>
    <w:p w:rsidR="00B936A6" w:rsidRPr="00B936A6" w:rsidRDefault="00B936A6" w:rsidP="00B936A6">
      <w:pPr>
        <w:rPr>
          <w:bCs/>
        </w:rPr>
      </w:pPr>
      <w:r w:rsidRPr="00B936A6">
        <w:rPr>
          <w:bCs/>
        </w:rPr>
        <w:t xml:space="preserve">The FS </w:t>
      </w:r>
      <w:hyperlink r:id="rId58" w:history="1">
        <w:r w:rsidRPr="00B936A6">
          <w:rPr>
            <w:rStyle w:val="Hyperlink"/>
            <w:bCs/>
          </w:rPr>
          <w:t>website</w:t>
        </w:r>
      </w:hyperlink>
      <w:r w:rsidRPr="00B936A6">
        <w:rPr>
          <w:bCs/>
        </w:rPr>
        <w:t xml:space="preserve"> links to a 2009 </w:t>
      </w:r>
      <w:hyperlink r:id="rId59" w:history="1">
        <w:r w:rsidRPr="00B936A6">
          <w:rPr>
            <w:rStyle w:val="Hyperlink"/>
            <w:bCs/>
          </w:rPr>
          <w:t>document</w:t>
        </w:r>
      </w:hyperlink>
      <w:r w:rsidRPr="00B936A6">
        <w:rPr>
          <w:bCs/>
        </w:rPr>
        <w:t xml:space="preserve"> explaining how to incorporate “Climate Change Considerations in Project Level NEPA Analysis.” Since then the agency has regressed to a misleading and incomplete non-quantitative analysis of how carbon emissions from logging contribute to global climate change. The FS should now be following the latest 2023 CEQ guidance on fulfilling NEPA requirements for projects that affect the carbon cycle and emit GHG.</w:t>
      </w:r>
    </w:p>
    <w:p w:rsidR="00D141FF" w:rsidRDefault="00B2465B" w:rsidP="009B4CCC">
      <w:pPr>
        <w:pStyle w:val="Heading2"/>
      </w:pPr>
      <w:r>
        <w:t xml:space="preserve">Wildlife Habitat </w:t>
      </w:r>
      <w:r w:rsidR="00D141FF">
        <w:t>Connectivity</w:t>
      </w:r>
    </w:p>
    <w:p w:rsidR="00DA3BBD" w:rsidRPr="00B936A6" w:rsidRDefault="00DA3BBD" w:rsidP="00D141FF">
      <w:r w:rsidRPr="00B936A6">
        <w:t xml:space="preserve">The EA fails to identify any “no treatment” retention areas where connectivity will be provided. </w:t>
      </w:r>
      <w:r w:rsidR="0077722C" w:rsidRPr="00B936A6">
        <w:t>Connectivity areas should retain high canopy cover and dead wood.</w:t>
      </w:r>
    </w:p>
    <w:p w:rsidR="00DA3BBD" w:rsidRPr="00B936A6" w:rsidRDefault="00DA3BBD" w:rsidP="00D141FF"/>
    <w:p w:rsidR="00DA3BBD" w:rsidRPr="00B936A6" w:rsidRDefault="00DA3BBD" w:rsidP="00DA3BBD">
      <w:r w:rsidRPr="00B936A6">
        <w:lastRenderedPageBreak/>
        <w:t>Moriarty (2016), for instance, found that fuel reduction simplified forest structure and had an adverse effect on martens’ ability to move across the landscape.</w:t>
      </w:r>
    </w:p>
    <w:p w:rsidR="00DA3BBD" w:rsidRPr="00B936A6" w:rsidRDefault="00DA3BBD" w:rsidP="00DA3BBD">
      <w:pPr>
        <w:ind w:left="720"/>
      </w:pPr>
      <w:r w:rsidRPr="00B936A6">
        <w:t>[M]</w:t>
      </w:r>
      <w:proofErr w:type="spellStart"/>
      <w:r w:rsidRPr="00B936A6">
        <w:t>artens</w:t>
      </w:r>
      <w:proofErr w:type="spellEnd"/>
      <w:r w:rsidRPr="00B936A6">
        <w:t xml:space="preserve"> avoided stands with simplified structure, and the altered patterns of movement we observed in those stands suggested that such treatments may negatively affect the ability of martens to forage without increased risk of predation. Fuel treatments that simplify stand structure negatively affected marten movements and habitat connectivity. Given these risks, and because treating fuels is less justified in high elevation forests, the risks can be minimized by applying treatments below the elevations where martens typically occur.</w:t>
      </w:r>
    </w:p>
    <w:p w:rsidR="00DA3BBD" w:rsidRPr="00B936A6" w:rsidRDefault="00DA3BBD" w:rsidP="00DA3BBD">
      <w:r w:rsidRPr="00B936A6">
        <w:t xml:space="preserve">Moriarty, K. M., Epps, C. W. and Zielinski, W. J. (2016), Forest thinning changes movement patterns and habitat use by Pacific marten. The Journal of Wildlife Management. doi: 10.1002/jwmg.1060. </w:t>
      </w:r>
      <w:hyperlink r:id="rId60" w:history="1">
        <w:r w:rsidRPr="00B936A6">
          <w:rPr>
            <w:rStyle w:val="Hyperlink"/>
          </w:rPr>
          <w:t>http://onlinelibrary.wiley.com/doi/10.1002/jwmg.1060/abstract</w:t>
        </w:r>
      </w:hyperlink>
      <w:r w:rsidRPr="00B936A6">
        <w:t xml:space="preserve">  And see, Katie M. Moriarty 2014. Ph.D. Dissertation. Habitat Use and Movement Behavior of Pacific Marten (</w:t>
      </w:r>
      <w:proofErr w:type="spellStart"/>
      <w:r w:rsidRPr="00B936A6">
        <w:t>Martes</w:t>
      </w:r>
      <w:proofErr w:type="spellEnd"/>
      <w:r w:rsidRPr="00B936A6">
        <w:t xml:space="preserve"> </w:t>
      </w:r>
      <w:proofErr w:type="spellStart"/>
      <w:r w:rsidRPr="00B936A6">
        <w:t>caurina</w:t>
      </w:r>
      <w:proofErr w:type="spellEnd"/>
      <w:r w:rsidRPr="00B936A6">
        <w:t xml:space="preserve">) in Response to Forest Management Practices in Lassen National Forest, California. November 21, 2014. </w:t>
      </w:r>
      <w:hyperlink r:id="rId61" w:history="1">
        <w:r w:rsidRPr="00B936A6">
          <w:rPr>
            <w:rStyle w:val="Hyperlink"/>
          </w:rPr>
          <w:t>https://ir.library.oregonstate.edu/xmlui/bitstream/handle/1957/54574/141203_Moriarty_OSU_Dissertation_FINAL.pdf</w:t>
        </w:r>
      </w:hyperlink>
      <w:r w:rsidR="00B2465B" w:rsidRPr="00B936A6">
        <w:t>.</w:t>
      </w:r>
    </w:p>
    <w:p w:rsidR="00B2465B" w:rsidRPr="00B936A6" w:rsidRDefault="00B2465B" w:rsidP="00DA3BBD"/>
    <w:p w:rsidR="00B2465B" w:rsidRPr="00B936A6" w:rsidRDefault="00B2465B" w:rsidP="00DA3BBD">
      <w:r w:rsidRPr="00B936A6">
        <w:t>Another wildlife connectivity concern involves wolverine. The EA offers an empty analysis/conclusion that wolverine are not present and therefore “no effect,” but this project area is near occupied wolverine habitat and may be important for connectivity and range expansion. Proposed logging and other proposed activities could preclude future occupancy and significantly impede recovery of the species across the region by creating a roadblock to habitat elsewhere in the Blues or Cascades.</w:t>
      </w:r>
    </w:p>
    <w:p w:rsidR="00DA3BBD" w:rsidRPr="00B936A6" w:rsidRDefault="00DA3BBD" w:rsidP="00D141FF"/>
    <w:p w:rsidR="00D141FF" w:rsidRPr="00B936A6" w:rsidRDefault="00D141FF" w:rsidP="00D141FF">
      <w:r w:rsidRPr="00B936A6">
        <w:t xml:space="preserve">The Eastside Screens require the Forest Service to maintain a network of relatively dense forests for purposes of connectivity. The draft EA claims thy did this but there is no showing in the EA that they did. One of the requirements of NEPA is to show compliance with substantive requirements. NEPA requires disclosure of information necessary to determine compliance with legal requirements such as the Endangered Species Act, Clean Water Act, National Forest Management Act, and applicable Forest Plan Standards &amp; Guidelines. See 40 CFR 15087.27(b)(10) and </w:t>
      </w:r>
      <w:r w:rsidRPr="00B936A6">
        <w:rPr>
          <w:u w:val="single"/>
        </w:rPr>
        <w:t>NW Indian Cemetery Protective Association v. Peterson,</w:t>
      </w:r>
      <w:r w:rsidRPr="00B936A6">
        <w:t xml:space="preserve"> 795 F2d 688 (9</w:t>
      </w:r>
      <w:r w:rsidRPr="00B936A6">
        <w:rPr>
          <w:vertAlign w:val="superscript"/>
        </w:rPr>
        <w:t>th</w:t>
      </w:r>
      <w:r w:rsidRPr="00B936A6">
        <w:t xml:space="preserve"> Circ. 1986). In this G-O Road case, the NEPA document described water quality changes resulting from a road project in terms of 7-day average changes, whereas the applicable WQ standard was defined by daily peak changes. The court found this to be a NEPA violation. </w:t>
      </w:r>
    </w:p>
    <w:p w:rsidR="00D141FF" w:rsidRPr="00B936A6" w:rsidRDefault="00D141FF" w:rsidP="00D141FF"/>
    <w:p w:rsidR="00920FD2" w:rsidRPr="00B936A6" w:rsidRDefault="00D141FF" w:rsidP="00D141FF">
      <w:r w:rsidRPr="00B936A6">
        <w:t xml:space="preserve">The explicit intent of the Screens which is “to insure that blocks of habitat maintain a </w:t>
      </w:r>
      <w:r w:rsidRPr="00B936A6">
        <w:rPr>
          <w:u w:val="single"/>
        </w:rPr>
        <w:t>high degree</w:t>
      </w:r>
      <w:r w:rsidRPr="00B936A6">
        <w:t xml:space="preserve"> of connectivity between them,...” 1995 Eastside Screens, Scenario A, INTENT STATEMENT for connectivity (emphasis added).</w:t>
      </w:r>
      <w:r w:rsidR="00920FD2" w:rsidRPr="00B936A6">
        <w:t xml:space="preserve"> Specified connectivity corridor widths in the Eastside Screens are not goals. They are </w:t>
      </w:r>
      <w:r w:rsidR="00920FD2" w:rsidRPr="00B936A6">
        <w:rPr>
          <w:i/>
        </w:rPr>
        <w:t>minimums</w:t>
      </w:r>
      <w:r w:rsidR="00920FD2" w:rsidRPr="00B936A6">
        <w:t xml:space="preserve"> and should nearly always be significantly larger.</w:t>
      </w:r>
    </w:p>
    <w:p w:rsidR="00D141FF" w:rsidRPr="00B936A6" w:rsidRDefault="00D141FF" w:rsidP="00D141FF"/>
    <w:p w:rsidR="00D141FF" w:rsidRPr="00B936A6" w:rsidRDefault="00D141FF" w:rsidP="00D141FF">
      <w:r w:rsidRPr="00B936A6">
        <w:t xml:space="preserve">The connectivity requirements of the screens are detailed and mandatory. Connectivity corridors: </w:t>
      </w:r>
    </w:p>
    <w:p w:rsidR="00D141FF" w:rsidRDefault="00D141FF" w:rsidP="00D141FF">
      <w:pPr>
        <w:pStyle w:val="ListParagraph"/>
        <w:numPr>
          <w:ilvl w:val="0"/>
          <w:numId w:val="6"/>
        </w:numPr>
        <w:suppressAutoHyphens w:val="0"/>
        <w:spacing w:after="0" w:line="240" w:lineRule="auto"/>
        <w:contextualSpacing/>
      </w:pPr>
      <w:r>
        <w:t xml:space="preserve">Must link all late old structure stands in at least 2 directions; </w:t>
      </w:r>
    </w:p>
    <w:p w:rsidR="00D141FF" w:rsidRDefault="00D141FF" w:rsidP="00D141FF">
      <w:pPr>
        <w:pStyle w:val="ListParagraph"/>
        <w:numPr>
          <w:ilvl w:val="0"/>
          <w:numId w:val="6"/>
        </w:numPr>
        <w:suppressAutoHyphens w:val="0"/>
        <w:spacing w:after="0" w:line="240" w:lineRule="auto"/>
        <w:contextualSpacing/>
      </w:pPr>
      <w:r>
        <w:lastRenderedPageBreak/>
        <w:t>Must be at least 400 feet wide at their narrowest spot;</w:t>
      </w:r>
    </w:p>
    <w:p w:rsidR="00D141FF" w:rsidRDefault="00D141FF" w:rsidP="00D141FF">
      <w:pPr>
        <w:pStyle w:val="ListParagraph"/>
        <w:numPr>
          <w:ilvl w:val="0"/>
          <w:numId w:val="6"/>
        </w:numPr>
        <w:suppressAutoHyphens w:val="0"/>
        <w:spacing w:after="0" w:line="240" w:lineRule="auto"/>
        <w:contextualSpacing/>
      </w:pPr>
      <w:r>
        <w:t>Must be maintained as dense as possible with medium and large trees, or in the top third of site-potential and at least 50% canopy cover;</w:t>
      </w:r>
    </w:p>
    <w:p w:rsidR="00D141FF" w:rsidRPr="00B936A6" w:rsidRDefault="00D141FF" w:rsidP="00D141FF"/>
    <w:p w:rsidR="00D141FF" w:rsidRPr="00B936A6" w:rsidRDefault="00D141FF" w:rsidP="00D141FF">
      <w:r w:rsidRPr="00B936A6">
        <w:t>The 1995 EA for the Eastside Screens identifies the following process for analyzing connectivity:</w:t>
      </w:r>
    </w:p>
    <w:p w:rsidR="00D141FF" w:rsidRPr="00B936A6" w:rsidRDefault="00D141FF" w:rsidP="00D141FF">
      <w:pPr>
        <w:autoSpaceDE w:val="0"/>
        <w:autoSpaceDN w:val="0"/>
        <w:adjustRightInd w:val="0"/>
        <w:ind w:left="720"/>
      </w:pPr>
      <w:r w:rsidRPr="00B936A6">
        <w:t>c) To insure connectivity as described above is maintained, use the following process:</w:t>
      </w:r>
    </w:p>
    <w:p w:rsidR="00D141FF" w:rsidRPr="00B936A6" w:rsidRDefault="00D141FF" w:rsidP="00D141FF">
      <w:pPr>
        <w:autoSpaceDE w:val="0"/>
        <w:autoSpaceDN w:val="0"/>
        <w:adjustRightInd w:val="0"/>
        <w:ind w:left="720"/>
      </w:pPr>
      <w:r w:rsidRPr="00B936A6">
        <w:t>(l) Do suitable network linkages between old and late structural stands and MR-designated habitats occur, according to the previous description? If so, will the proposed project isolate any area or group of areas by reducing any one of the parameters below acceptable levels? If not, the project can continue. If so, the project must be deferred or re-designed to meet connectivity parameters described above.</w:t>
      </w:r>
    </w:p>
    <w:p w:rsidR="00D141FF" w:rsidRPr="00B936A6" w:rsidRDefault="00D141FF" w:rsidP="00D141FF">
      <w:pPr>
        <w:autoSpaceDE w:val="0"/>
        <w:autoSpaceDN w:val="0"/>
        <w:adjustRightInd w:val="0"/>
        <w:ind w:left="720"/>
      </w:pPr>
      <w:r w:rsidRPr="00B936A6">
        <w:t>(2) Do suitable network linkages between old and late structural stands and MR-designated habitats NOT OCCUR under current conditions, as described above? If areas are already isolated, or partially isolated by not meeting the connectivity description above, will the proposed prescription promote linkage sooner than if left alone? If so, the project should continue. If the project is designed in a manner that would further increase isolation, the project must be deferred or re-designed to enhance connectivity parameters.</w:t>
      </w:r>
    </w:p>
    <w:p w:rsidR="00D141FF" w:rsidRPr="00B936A6" w:rsidRDefault="00D141FF" w:rsidP="00D141FF"/>
    <w:p w:rsidR="00D141FF" w:rsidRPr="00B936A6" w:rsidRDefault="00D141FF" w:rsidP="00D141FF">
      <w:r w:rsidRPr="00B936A6">
        <w:t>The NEPA analysis must disclose how much of the project area will maintain &gt;50% canopy closure (or in the top third of site potential) after this project is implemented. The 1995 EA supporting the Eastside Screens says “The intent is to maintain canopy closure as dense as possible.” The Response to Comment asks “where the &gt;50% canopy closure number came from.” The &gt;50% canopy closure number comes from the 1995 EA for the Eastside Screens which included some clarifying text about connectivity on page 17 of Appendix C. Violation of the Eastside Screens, is a violation of NFMA which requires compliance with the LRMP as amended by the Screens.</w:t>
      </w:r>
    </w:p>
    <w:p w:rsidR="00D141FF" w:rsidRPr="00B936A6" w:rsidRDefault="00D141FF" w:rsidP="00D141FF"/>
    <w:p w:rsidR="00F36C92" w:rsidRPr="00B936A6" w:rsidRDefault="00D141FF" w:rsidP="00D141FF">
      <w:pPr>
        <w:rPr>
          <w:rFonts w:cs="Times New Roman"/>
          <w:color w:val="222222"/>
        </w:rPr>
      </w:pPr>
      <w:r w:rsidRPr="00B936A6">
        <w:rPr>
          <w:rFonts w:cs="Times New Roman"/>
          <w:color w:val="222222"/>
        </w:rPr>
        <w:t xml:space="preserve">Agencies have a duty to consider connectivity in their NEPA analyses. In 2023 CEQ issued guidance saying “… </w:t>
      </w:r>
      <w:r w:rsidRPr="00B936A6">
        <w:rPr>
          <w:rFonts w:cs="Times New Roman"/>
          <w:color w:val="000000"/>
          <w:shd w:val="clear" w:color="auto" w:fill="FFFFFF"/>
        </w:rPr>
        <w:t xml:space="preserve">agencies should consider and be transparent about the positive or negative impacts of proposed actions and alternatives on connectivity and corridors. Through the NEPA review process, Federal agencies can consider measures to advance corridors and connectivity as components of proposed actions, alternatives to proposed actions, or mitigation for proposed actions’ effects.” </w:t>
      </w:r>
      <w:r w:rsidRPr="00B936A6">
        <w:rPr>
          <w:rFonts w:cs="Times New Roman"/>
          <w:color w:val="222222"/>
        </w:rPr>
        <w:t xml:space="preserve">Mallory, B. 2023. </w:t>
      </w:r>
    </w:p>
    <w:p w:rsidR="00D141FF" w:rsidRPr="00B936A6" w:rsidRDefault="00D141FF" w:rsidP="00D141FF">
      <w:r w:rsidRPr="00B936A6">
        <w:rPr>
          <w:rFonts w:cs="Times New Roman"/>
          <w:color w:val="222222"/>
        </w:rPr>
        <w:t xml:space="preserve">CEQ </w:t>
      </w:r>
      <w:r w:rsidRPr="00B936A6">
        <w:t xml:space="preserve">Guidance for Federal Departments and Agencies on Ecological Connectivity and Wildlife Corridors. </w:t>
      </w:r>
      <w:hyperlink r:id="rId62" w:history="1">
        <w:r w:rsidRPr="00B936A6">
          <w:rPr>
            <w:rStyle w:val="Hyperlink"/>
          </w:rPr>
          <w:t>https://www.whitehouse.gov/wp-content/uploads/2023/03/230318-Corridors-connectivity-guidance-memo-final-draft-formatted.pdf</w:t>
        </w:r>
      </w:hyperlink>
      <w:r w:rsidR="00383F29" w:rsidRPr="00B936A6">
        <w:t>.</w:t>
      </w:r>
    </w:p>
    <w:p w:rsidR="00DA3BBD" w:rsidRPr="00B936A6" w:rsidRDefault="00DA3BBD" w:rsidP="00D141FF"/>
    <w:p w:rsidR="00F36C92" w:rsidRPr="00B936A6" w:rsidRDefault="00F36C92" w:rsidP="00F36C92">
      <w:r w:rsidRPr="00B936A6">
        <w:t xml:space="preserve">The CEQ connectivity policy talks about “movement of species between </w:t>
      </w:r>
      <w:r w:rsidRPr="00B936A6">
        <w:rPr>
          <w:i/>
        </w:rPr>
        <w:t>blocks of intact habitat</w:t>
      </w:r>
      <w:r w:rsidRPr="00B936A6">
        <w:t>.” This is crucial. Connectivity requires not only connections but also high quality habitat source habitats. The NEPA analysis should address how the proposed project affects both the connective functions and the integrity of blocks of intact habitat that are being connected.</w:t>
      </w:r>
    </w:p>
    <w:p w:rsidR="00F36C92" w:rsidRPr="00B936A6" w:rsidRDefault="00F36C92" w:rsidP="00F36C92"/>
    <w:p w:rsidR="00F36C92" w:rsidRPr="00B936A6" w:rsidRDefault="00F36C92" w:rsidP="00F36C92">
      <w:r w:rsidRPr="00B936A6">
        <w:t xml:space="preserve">The CEQ connectivity policy mentions free movement of wildlife, as well as “unimpeded … ecological processes.” This is important. For instance, fuel breaks should be designed to </w:t>
      </w:r>
      <w:r w:rsidRPr="00B936A6">
        <w:lastRenderedPageBreak/>
        <w:t>facilitate fire as a natural process, not to stop fire and exacerbate the serious problems of fuel building, and disrupted of natural fire regimes. Roads also disrupt connectivity, not only making it harder for wildlife to cross, roads, but also natural hillslope processes such as the natural movement of water, wood, and substrate downslope and downstream. This is especially true where roads cross streams or roads located in floodplains or midslope where lots of dynamics happens.</w:t>
      </w:r>
    </w:p>
    <w:p w:rsidR="00F36C92" w:rsidRPr="00B936A6" w:rsidRDefault="00F36C92" w:rsidP="00F36C92">
      <w:pPr>
        <w:widowControl w:val="0"/>
        <w:autoSpaceDE w:val="0"/>
        <w:autoSpaceDN w:val="0"/>
        <w:adjustRightInd w:val="0"/>
      </w:pPr>
    </w:p>
    <w:p w:rsidR="00F36C92" w:rsidRPr="00B936A6" w:rsidRDefault="00F36C92" w:rsidP="00F36C92">
      <w:pPr>
        <w:widowControl w:val="0"/>
        <w:autoSpaceDE w:val="0"/>
        <w:autoSpaceDN w:val="0"/>
        <w:adjustRightInd w:val="0"/>
        <w:rPr>
          <w:rFonts w:cs="Times New Roman"/>
          <w:color w:val="000000"/>
          <w:shd w:val="clear" w:color="auto" w:fill="FFFFFF"/>
        </w:rPr>
      </w:pPr>
      <w:r w:rsidRPr="00B936A6">
        <w:rPr>
          <w:rFonts w:cs="Times New Roman"/>
          <w:color w:val="222222"/>
        </w:rPr>
        <w:t xml:space="preserve">Agencies have a duty to consider connectivity in their NEPA analyses. In 2023 CEQ issued guidance saying “… </w:t>
      </w:r>
      <w:r w:rsidRPr="00B936A6">
        <w:rPr>
          <w:rFonts w:cs="Times New Roman"/>
          <w:color w:val="000000"/>
          <w:shd w:val="clear" w:color="auto" w:fill="FFFFFF"/>
        </w:rPr>
        <w:t>agencies should consider and be transparent about the positive or negative impacts of proposed actions and alternatives on connectivity and corridors. Through the NEPA review process, Federal agencies can consider measures to advance corridors and connectivity as components of proposed actions, alternatives to proposed actions, or mitigation for proposed actions’ effects.”</w:t>
      </w:r>
    </w:p>
    <w:p w:rsidR="00F36C92" w:rsidRPr="00B936A6" w:rsidRDefault="00F36C92" w:rsidP="00F36C92">
      <w:pPr>
        <w:widowControl w:val="0"/>
        <w:autoSpaceDE w:val="0"/>
        <w:autoSpaceDN w:val="0"/>
        <w:adjustRightInd w:val="0"/>
      </w:pPr>
    </w:p>
    <w:p w:rsidR="00F36C92" w:rsidRPr="00B936A6" w:rsidRDefault="00F36C92" w:rsidP="00F36C92">
      <w:pPr>
        <w:widowControl w:val="0"/>
        <w:autoSpaceDE w:val="0"/>
        <w:autoSpaceDN w:val="0"/>
        <w:adjustRightInd w:val="0"/>
        <w:ind w:left="720"/>
      </w:pPr>
      <w:r w:rsidRPr="00B936A6">
        <w:t>“Connectivity is the degree to which landscapes, waterscapes, and seascapes allow species to move freely and ecological processes to function unimpeded. Corridors are distinct components of a landscape, waterscape, or seascape that provide connectivity. Corridors have policy relevance because they facilitate movement of species between blocks of intact habitat, notably during seasonal migrations or in response to changing conditions… Increasing connectivity is one of the most frequently recommended climate adaptation strategies for biodiversity management.”</w:t>
      </w:r>
    </w:p>
    <w:p w:rsidR="00F36C92" w:rsidRPr="00B936A6" w:rsidRDefault="00F36C92" w:rsidP="00F36C92">
      <w:pPr>
        <w:widowControl w:val="0"/>
        <w:autoSpaceDE w:val="0"/>
        <w:autoSpaceDN w:val="0"/>
        <w:adjustRightInd w:val="0"/>
        <w:ind w:left="720"/>
      </w:pPr>
    </w:p>
    <w:p w:rsidR="00F36C92" w:rsidRPr="00B936A6" w:rsidRDefault="00F36C92" w:rsidP="00F36C92">
      <w:pPr>
        <w:widowControl w:val="0"/>
        <w:autoSpaceDE w:val="0"/>
        <w:autoSpaceDN w:val="0"/>
        <w:adjustRightInd w:val="0"/>
        <w:ind w:left="720"/>
      </w:pPr>
      <w:r w:rsidRPr="00B936A6">
        <w:t>“To the maximum extent practicable, Federal agencies are expected to advance the objectives of this guidance by developing policies, through regulations, guidance, or other means, to consider how to conserve, enhance, protect, and restore corridors and connectivity during planning and decision-making, and to encourage collaborative processes across management and ownership boundaries. Any existing corridor and connectivity policies or related policies should be updated as needed to align with the objectives in this guidance. Federal agencies should have new or updated policies ready to implement by the first quarter of 2024 and make their policies publicly available. Federal agencies should also actively identify and prioritize actions that advance the objectives set forth in this guidance.”</w:t>
      </w:r>
    </w:p>
    <w:p w:rsidR="00F36C92" w:rsidRPr="00B936A6" w:rsidRDefault="00F36C92" w:rsidP="00F36C92">
      <w:pPr>
        <w:widowControl w:val="0"/>
        <w:autoSpaceDE w:val="0"/>
        <w:autoSpaceDN w:val="0"/>
        <w:adjustRightInd w:val="0"/>
        <w:ind w:left="720"/>
      </w:pPr>
    </w:p>
    <w:p w:rsidR="00F36C92" w:rsidRPr="00B936A6" w:rsidRDefault="00F36C92" w:rsidP="00F36C92">
      <w:pPr>
        <w:widowControl w:val="0"/>
        <w:autoSpaceDE w:val="0"/>
        <w:autoSpaceDN w:val="0"/>
        <w:adjustRightInd w:val="0"/>
        <w:ind w:left="720"/>
      </w:pPr>
      <w:r w:rsidRPr="00B936A6">
        <w:t>“Federal agencies should not limit engagement in restoration activities only to circumstances when restoration serves as a mitigation strategy to compensate for adverse impacts from projects or actions. Instead, Federal agencies should consider where there are opportunities in their programs and policies to carry out restoration with the objective of promoting greater connectivity.”</w:t>
      </w:r>
    </w:p>
    <w:p w:rsidR="00F36C92" w:rsidRPr="00B936A6" w:rsidRDefault="00F36C92" w:rsidP="00F36C92">
      <w:r w:rsidRPr="00B936A6">
        <w:rPr>
          <w:rFonts w:cs="Times New Roman"/>
          <w:color w:val="222222"/>
        </w:rPr>
        <w:t xml:space="preserve">Mallory, B. 2023. CEQ </w:t>
      </w:r>
      <w:r w:rsidRPr="00B936A6">
        <w:t xml:space="preserve">Guidance for Federal Departments and Agencies on Ecological Connectivity and Wildlife Corridors. </w:t>
      </w:r>
      <w:hyperlink r:id="rId63" w:history="1">
        <w:r w:rsidRPr="00B936A6">
          <w:rPr>
            <w:rStyle w:val="Hyperlink"/>
          </w:rPr>
          <w:t>https://www.whitehouse.gov/wp-content/uploads/2023/03/230318-Corridors-connectivity-guidance-memo-final-draft-formatted.pdf</w:t>
        </w:r>
      </w:hyperlink>
      <w:r w:rsidRPr="00B936A6">
        <w:t>.</w:t>
      </w:r>
    </w:p>
    <w:p w:rsidR="00F36C92" w:rsidRPr="00B936A6" w:rsidRDefault="00F36C92" w:rsidP="00F36C92"/>
    <w:p w:rsidR="00F36C92" w:rsidRPr="00B936A6" w:rsidRDefault="00F36C92" w:rsidP="00F36C92">
      <w:r w:rsidRPr="00B936A6">
        <w:t xml:space="preserve">The agency’s analysis of connectivity should consider the State of Oregon’s Priority Wildlife Connectivity Areas (PWCAs) developed by ODFW’s </w:t>
      </w:r>
      <w:hyperlink r:id="rId64" w:tgtFrame="_blank" w:history="1">
        <w:r w:rsidRPr="00B936A6">
          <w:t xml:space="preserve"> Oregon Connectivity Assessment and </w:t>
        </w:r>
        <w:r w:rsidRPr="00B936A6">
          <w:lastRenderedPageBreak/>
          <w:t>Mapping Project (OCAMP)</w:t>
        </w:r>
      </w:hyperlink>
      <w:r w:rsidRPr="00B936A6">
        <w:t xml:space="preserve">  described here: </w:t>
      </w:r>
      <w:hyperlink r:id="rId65" w:history="1">
        <w:r w:rsidRPr="00B936A6">
          <w:rPr>
            <w:rStyle w:val="Hyperlink"/>
          </w:rPr>
          <w:t>https://oregonconservationstrategy.org/success-story/priority-wildlife-connectivity-areas-pwcas/</w:t>
        </w:r>
      </w:hyperlink>
      <w:r w:rsidRPr="00B936A6">
        <w:t xml:space="preserve">; </w:t>
      </w:r>
      <w:r w:rsidRPr="00B936A6">
        <w:rPr>
          <w:noProof/>
        </w:rPr>
        <w:t xml:space="preserve">and displayed here: </w:t>
      </w:r>
      <w:hyperlink r:id="rId66" w:history="1">
        <w:r w:rsidRPr="00B936A6">
          <w:rPr>
            <w:rStyle w:val="Hyperlink"/>
          </w:rPr>
          <w:t>https://experience.arcgis.com/experience/6979b6598f904951bd0af1821e1595f1/</w:t>
        </w:r>
      </w:hyperlink>
      <w:r w:rsidRPr="00B936A6">
        <w:t xml:space="preserve">  </w:t>
      </w:r>
    </w:p>
    <w:p w:rsidR="00F36C92" w:rsidRPr="00B936A6" w:rsidRDefault="00F36C92" w:rsidP="00D141FF">
      <w:pPr>
        <w:rPr>
          <w:noProof/>
        </w:rPr>
      </w:pPr>
      <w:r w:rsidRPr="00B936A6">
        <w:rPr>
          <w:noProof/>
          <w:lang w:val="en-US"/>
        </w:rPr>
        <w:drawing>
          <wp:inline distT="0" distB="0" distL="0" distR="0">
            <wp:extent cx="4572000" cy="3276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572000" cy="3276600"/>
                    </a:xfrm>
                    <a:prstGeom prst="rect">
                      <a:avLst/>
                    </a:prstGeom>
                    <a:noFill/>
                    <a:ln>
                      <a:noFill/>
                    </a:ln>
                  </pic:spPr>
                </pic:pic>
              </a:graphicData>
            </a:graphic>
          </wp:inline>
        </w:drawing>
      </w:r>
    </w:p>
    <w:p w:rsidR="00254B06" w:rsidRPr="009B4CCC" w:rsidRDefault="00254B06" w:rsidP="009B4CCC">
      <w:pPr>
        <w:pStyle w:val="Heading2"/>
      </w:pPr>
      <w:r w:rsidRPr="009B4CCC">
        <w:t>Basal Area Retention</w:t>
      </w:r>
    </w:p>
    <w:p w:rsidR="00663673" w:rsidRPr="00B936A6" w:rsidRDefault="00383F29" w:rsidP="00C13CE6">
      <w:r w:rsidRPr="00B936A6">
        <w:t xml:space="preserve">Our scoping comments </w:t>
      </w:r>
      <w:r w:rsidR="00294EB7" w:rsidRPr="00B936A6">
        <w:t xml:space="preserve">pointed out the ecologically outdated basal area targets suggested by Powell (1999) that focus on tree vigor instead of stand health </w:t>
      </w:r>
      <w:r w:rsidR="009263D9" w:rsidRPr="00B936A6">
        <w:t xml:space="preserve">(from an ecological perspective with beneficial mortality process present) </w:t>
      </w:r>
      <w:r w:rsidR="00294EB7" w:rsidRPr="00B936A6">
        <w:t xml:space="preserve">and we </w:t>
      </w:r>
      <w:r w:rsidRPr="00B936A6">
        <w:t xml:space="preserve">urged retention of more trees to mitigate the </w:t>
      </w:r>
      <w:r w:rsidR="009263D9" w:rsidRPr="00B936A6">
        <w:t xml:space="preserve">adverse </w:t>
      </w:r>
      <w:r w:rsidRPr="00B936A6">
        <w:t xml:space="preserve">effects of logging. The EA failed to consider this reasonable alternative, which would meet the purpose and need AND mitigate adverse trade-offs, representing a better overall mix of project benefits and effects. The </w:t>
      </w:r>
      <w:r w:rsidR="005E7F68" w:rsidRPr="00B936A6">
        <w:t xml:space="preserve">EA fails to fulfill a key purpose of NEPA which is to inform </w:t>
      </w:r>
      <w:r w:rsidRPr="00B936A6">
        <w:t xml:space="preserve">the public and the decision-maker </w:t>
      </w:r>
      <w:r w:rsidR="005E7F68" w:rsidRPr="00B936A6">
        <w:t>about potentially environmentally beneficial alternatives.</w:t>
      </w:r>
    </w:p>
    <w:p w:rsidR="00383F29" w:rsidRPr="00B936A6" w:rsidRDefault="00383F29" w:rsidP="00C13CE6"/>
    <w:p w:rsidR="00383F29" w:rsidRPr="00B936A6" w:rsidRDefault="00383F29" w:rsidP="005E7F68">
      <w:pPr>
        <w:ind w:left="720"/>
        <w:rPr>
          <w:b/>
        </w:rPr>
      </w:pPr>
      <w:r w:rsidRPr="00B936A6">
        <w:rPr>
          <w:b/>
        </w:rPr>
        <w:t>Retain Basal Area to Mitigate Effects of Commercial Logging</w:t>
      </w:r>
    </w:p>
    <w:p w:rsidR="00383F29" w:rsidRPr="00B936A6" w:rsidRDefault="00383F29" w:rsidP="00383F29">
      <w:pPr>
        <w:ind w:left="720"/>
      </w:pPr>
      <w:r w:rsidRPr="00B936A6">
        <w:t>We urge the agency to retain greater basal area. This will help mitigate several adverse trade-offs caused by commercial logging, including greenhouse gas emissions, wildlife cover and connectivity, long-term snag recruitment, and slash production and disposal.</w:t>
      </w:r>
    </w:p>
    <w:p w:rsidR="00383F29" w:rsidRPr="00B936A6" w:rsidRDefault="00383F29" w:rsidP="00383F29">
      <w:pPr>
        <w:ind w:left="720"/>
      </w:pPr>
    </w:p>
    <w:p w:rsidR="00383F29" w:rsidRPr="00B936A6" w:rsidRDefault="00383F29" w:rsidP="00383F29">
      <w:pPr>
        <w:ind w:left="720"/>
      </w:pPr>
      <w:r w:rsidRPr="00B936A6">
        <w:t xml:space="preserve">Basal Area retention is an important ecological consideration that must be disclosed </w:t>
      </w:r>
      <w:r w:rsidRPr="00B936A6">
        <w:rPr>
          <w:i/>
        </w:rPr>
        <w:t>quantitatively</w:t>
      </w:r>
      <w:r w:rsidRPr="00B936A6">
        <w:t xml:space="preserve"> in the NEPA analysis. The NEPA analysis should consider alternative levels of basal area retention that resolve trade-offs in different ways. The NEPA document should disclose how recommended basal area retention levels will provide assurance that enough trees are being retained to meet ecological needs for live and dead trees now and in the future.</w:t>
      </w:r>
    </w:p>
    <w:p w:rsidR="00383F29" w:rsidRPr="00B936A6" w:rsidRDefault="00383F29" w:rsidP="00383F29">
      <w:pPr>
        <w:ind w:left="720"/>
      </w:pPr>
    </w:p>
    <w:p w:rsidR="00383F29" w:rsidRPr="00B936A6" w:rsidRDefault="00383F29" w:rsidP="00383F29">
      <w:pPr>
        <w:ind w:left="720"/>
      </w:pPr>
      <w:r w:rsidRPr="00B936A6">
        <w:rPr>
          <w:color w:val="222222"/>
          <w:shd w:val="clear" w:color="auto" w:fill="FFFFFF"/>
        </w:rPr>
        <w:lastRenderedPageBreak/>
        <w:t xml:space="preserve">Where there are lots of small trees we recommend variable density thinning to 60-80 </w:t>
      </w:r>
      <w:proofErr w:type="spellStart"/>
      <w:r w:rsidRPr="00B936A6">
        <w:rPr>
          <w:color w:val="222222"/>
          <w:shd w:val="clear" w:color="auto" w:fill="FFFFFF"/>
        </w:rPr>
        <w:t>sq</w:t>
      </w:r>
      <w:proofErr w:type="spellEnd"/>
      <w:r w:rsidRPr="00B936A6">
        <w:rPr>
          <w:color w:val="222222"/>
          <w:shd w:val="clear" w:color="auto" w:fill="FFFFFF"/>
        </w:rPr>
        <w:t xml:space="preserve"> </w:t>
      </w:r>
      <w:proofErr w:type="spellStart"/>
      <w:r w:rsidRPr="00B936A6">
        <w:rPr>
          <w:color w:val="222222"/>
          <w:shd w:val="clear" w:color="auto" w:fill="FFFFFF"/>
        </w:rPr>
        <w:t>ft</w:t>
      </w:r>
      <w:proofErr w:type="spellEnd"/>
      <w:r w:rsidRPr="00B936A6">
        <w:rPr>
          <w:color w:val="222222"/>
          <w:shd w:val="clear" w:color="auto" w:fill="FFFFFF"/>
        </w:rPr>
        <w:t xml:space="preserve">/acre basal area, retaining the largest trees that will become the next generation of old growth. Since larger trees have a higher ratio of basal area to leaf area, sites with abundant large trees can sustain higher basal areas, and we recommend retaining 100-140+ </w:t>
      </w:r>
      <w:proofErr w:type="spellStart"/>
      <w:r w:rsidRPr="00B936A6">
        <w:rPr>
          <w:color w:val="222222"/>
          <w:shd w:val="clear" w:color="auto" w:fill="FFFFFF"/>
        </w:rPr>
        <w:t>sq</w:t>
      </w:r>
      <w:proofErr w:type="spellEnd"/>
      <w:r w:rsidRPr="00B936A6">
        <w:rPr>
          <w:color w:val="222222"/>
          <w:shd w:val="clear" w:color="auto" w:fill="FFFFFF"/>
        </w:rPr>
        <w:t xml:space="preserve"> </w:t>
      </w:r>
      <w:proofErr w:type="spellStart"/>
      <w:r w:rsidRPr="00B936A6">
        <w:rPr>
          <w:color w:val="222222"/>
          <w:shd w:val="clear" w:color="auto" w:fill="FFFFFF"/>
        </w:rPr>
        <w:t>ft</w:t>
      </w:r>
      <w:proofErr w:type="spellEnd"/>
      <w:r w:rsidRPr="00B936A6">
        <w:rPr>
          <w:color w:val="222222"/>
          <w:shd w:val="clear" w:color="auto" w:fill="FFFFFF"/>
        </w:rPr>
        <w:t>/acre.</w:t>
      </w:r>
    </w:p>
    <w:p w:rsidR="00383F29" w:rsidRPr="00B936A6" w:rsidRDefault="00383F29" w:rsidP="00383F29">
      <w:pPr>
        <w:ind w:left="720"/>
      </w:pPr>
    </w:p>
    <w:p w:rsidR="00383F29" w:rsidRPr="00B936A6" w:rsidRDefault="00383F29" w:rsidP="00383F29">
      <w:pPr>
        <w:ind w:left="720"/>
      </w:pPr>
      <w:r w:rsidRPr="00B936A6">
        <w:t>Basal area retention should be variable but not be too low in any one unit. Enough trees need to be retained to retain and recruit large and old trees and snags now and in the future. Basal area targets should be adjusted higher to account for the following actors:</w:t>
      </w:r>
    </w:p>
    <w:p w:rsidR="00383F29" w:rsidRPr="00B936A6" w:rsidRDefault="00383F29" w:rsidP="00383F29">
      <w:pPr>
        <w:numPr>
          <w:ilvl w:val="0"/>
          <w:numId w:val="9"/>
        </w:numPr>
        <w:spacing w:line="240" w:lineRule="auto"/>
        <w:ind w:left="1440"/>
      </w:pPr>
      <w:r w:rsidRPr="00B936A6">
        <w:t>Prescribed basal area retention should be weighted to accommodate relatively greater retention in stands with large trees and desirable clumps of trees that contribute to LOS structural conditions.</w:t>
      </w:r>
    </w:p>
    <w:p w:rsidR="00383F29" w:rsidRPr="00B936A6" w:rsidRDefault="00383F29" w:rsidP="00383F29">
      <w:pPr>
        <w:numPr>
          <w:ilvl w:val="0"/>
          <w:numId w:val="9"/>
        </w:numPr>
        <w:spacing w:line="240" w:lineRule="auto"/>
        <w:ind w:left="1440"/>
      </w:pPr>
      <w:r w:rsidRPr="00B936A6">
        <w:t>All things being equal, large and old trees are more sustainable and resilient than small trees, so where large and old trees are abundant, the site can sustain higher basal area and the mature and old trees do not need to be thinned.</w:t>
      </w:r>
    </w:p>
    <w:p w:rsidR="00383F29" w:rsidRPr="00B936A6" w:rsidRDefault="00383F29" w:rsidP="00383F29">
      <w:pPr>
        <w:numPr>
          <w:ilvl w:val="0"/>
          <w:numId w:val="9"/>
        </w:numPr>
        <w:spacing w:line="240" w:lineRule="auto"/>
        <w:ind w:left="1440"/>
      </w:pPr>
      <w:r w:rsidRPr="00B936A6">
        <w:t>Retention patches should be excluded from the basal area calculation. Basal area should not be averaged across the stand, but rather across the treated portion of the stand. We recommended 3-4 clumps per acre of 2-10 individual trees as well as the skips to emulate natural historic stand structures.</w:t>
      </w:r>
    </w:p>
    <w:p w:rsidR="00383F29" w:rsidRPr="00B936A6" w:rsidRDefault="00383F29" w:rsidP="00383F29">
      <w:pPr>
        <w:numPr>
          <w:ilvl w:val="0"/>
          <w:numId w:val="9"/>
        </w:numPr>
        <w:spacing w:line="240" w:lineRule="auto"/>
        <w:ind w:left="1440"/>
      </w:pPr>
      <w:r w:rsidRPr="00B936A6">
        <w:t>Basal area can be higher in riparian areas, area with higher water table, north slopes, etc...</w:t>
      </w:r>
    </w:p>
    <w:p w:rsidR="00383F29" w:rsidRPr="00B936A6" w:rsidRDefault="00383F29" w:rsidP="00383F29">
      <w:pPr>
        <w:ind w:left="720"/>
      </w:pPr>
    </w:p>
    <w:p w:rsidR="00383F29" w:rsidRPr="00B936A6" w:rsidRDefault="00383F29" w:rsidP="00383F29">
      <w:pPr>
        <w:ind w:left="720"/>
      </w:pPr>
      <w:r w:rsidRPr="00B936A6">
        <w:t xml:space="preserve">The agency should avoid reducing stand density lower than is appropriate to meet the full suite of ecological objectives, including wildlife cover, perpetuating mortality processes that create and sustain valuable habitat features, etc. </w:t>
      </w:r>
    </w:p>
    <w:p w:rsidR="00383F29" w:rsidRPr="00B936A6" w:rsidRDefault="00383F29" w:rsidP="00383F29">
      <w:pPr>
        <w:ind w:left="720"/>
      </w:pPr>
    </w:p>
    <w:p w:rsidR="00383F29" w:rsidRPr="00B936A6" w:rsidRDefault="00383F29" w:rsidP="00383F29">
      <w:pPr>
        <w:ind w:left="720"/>
      </w:pPr>
      <w:r w:rsidRPr="00B936A6">
        <w:t xml:space="preserve">We are concerned that the agencies’ stocking guides were created and intended to be used as a tool to </w:t>
      </w:r>
      <w:r w:rsidRPr="00B936A6">
        <w:rPr>
          <w:u w:val="single"/>
        </w:rPr>
        <w:t>avoid mortality</w:t>
      </w:r>
      <w:r w:rsidRPr="00B936A6">
        <w:t xml:space="preserve"> which is clearly inconsistent with ecosystem management. (“To preclude serious tree mortality from mountain pine beetle, western dwarf mistletoe and perhaps western pine beetle, stand densities should be maintained below the upper limit of the management zone” Powell 1999, </w:t>
      </w:r>
      <w:hyperlink r:id="rId68" w:history="1">
        <w:r w:rsidRPr="00B936A6">
          <w:rPr>
            <w:rStyle w:val="Hyperlink"/>
          </w:rPr>
          <w:t>https://fs.usda.gov/Internet/FSE_DOCUMENTS/fsbdev7_016034.pdf</w:t>
        </w:r>
      </w:hyperlink>
      <w:r w:rsidRPr="00B936A6">
        <w:t xml:space="preserve">) Healthy forests </w:t>
      </w:r>
      <w:r w:rsidRPr="00B936A6">
        <w:rPr>
          <w:u w:val="single"/>
        </w:rPr>
        <w:t>require</w:t>
      </w:r>
      <w:r w:rsidRPr="00B936A6">
        <w:t xml:space="preserve"> dead trees, sometimes in abundance, in order to meet the needs of diverse wildlife and provide full suite of ecosystem functions. Rose, C.L., </w:t>
      </w:r>
      <w:proofErr w:type="spellStart"/>
      <w:r w:rsidRPr="00B936A6">
        <w:t>Marcot</w:t>
      </w:r>
      <w:proofErr w:type="spellEnd"/>
      <w:r w:rsidRPr="00B936A6">
        <w:t xml:space="preserve">, B.G., </w:t>
      </w:r>
      <w:proofErr w:type="spellStart"/>
      <w:r w:rsidRPr="00B936A6">
        <w:t>Mellen</w:t>
      </w:r>
      <w:proofErr w:type="spellEnd"/>
      <w:r w:rsidRPr="00B936A6">
        <w:t xml:space="preserve">, T.K., </w:t>
      </w:r>
      <w:proofErr w:type="spellStart"/>
      <w:r w:rsidRPr="00B936A6">
        <w:t>Ohmann</w:t>
      </w:r>
      <w:proofErr w:type="spellEnd"/>
      <w:r w:rsidRPr="00B936A6">
        <w:t xml:space="preserve">, J.L., Waddell, K.L., </w:t>
      </w:r>
      <w:proofErr w:type="spellStart"/>
      <w:r w:rsidRPr="00B936A6">
        <w:t>Lindely</w:t>
      </w:r>
      <w:proofErr w:type="spellEnd"/>
      <w:r w:rsidRPr="00B936A6">
        <w:t xml:space="preserve">, D.L., and B. </w:t>
      </w:r>
      <w:proofErr w:type="spellStart"/>
      <w:r w:rsidRPr="00B936A6">
        <w:t>Schrieber</w:t>
      </w:r>
      <w:proofErr w:type="spellEnd"/>
      <w:r w:rsidRPr="00B936A6">
        <w:t xml:space="preserve">. 2001. Decaying Wood in Pacific Northwest Forests: Concepts and Tools for Habitat Management, Chapter 24 in Wildlife-Habitat Relationships in Oregon and Washington (Johnson, D. H. and T. A. O’Neil. OSU Press. 2001) </w:t>
      </w:r>
      <w:hyperlink r:id="rId69" w:history="1">
        <w:r w:rsidRPr="00B936A6">
          <w:rPr>
            <w:rStyle w:val="Hyperlink"/>
          </w:rPr>
          <w:t>http://web.archive.org/web/20060708035905/http://www.nwhi.org/inc/data/GISdata/docs/chapter24.pdf</w:t>
        </w:r>
      </w:hyperlink>
      <w:r w:rsidRPr="00B936A6">
        <w:t xml:space="preserve"> </w:t>
      </w:r>
    </w:p>
    <w:p w:rsidR="00383F29" w:rsidRPr="00B936A6" w:rsidRDefault="00383F29" w:rsidP="00383F29">
      <w:pPr>
        <w:ind w:left="720"/>
      </w:pPr>
    </w:p>
    <w:p w:rsidR="00383F29" w:rsidRPr="00B936A6" w:rsidRDefault="00383F29" w:rsidP="00383F29">
      <w:pPr>
        <w:ind w:left="720"/>
      </w:pPr>
      <w:r w:rsidRPr="00B936A6">
        <w:t xml:space="preserve">A comprehensive restoration approach requires focusing not just on live trees, but also on the full suite of ecological processes including density dependent mortality processes that create and recruit snags and dead trees as a valuable feature of eastside forests.  We urge the agency not to manage for tree vigor and minimum stocking levels because it will not provide enough green trees for recruitment of snags through time. This is a critical </w:t>
      </w:r>
      <w:r w:rsidRPr="00B936A6">
        <w:lastRenderedPageBreak/>
        <w:t>issue given that the current standards for snag habitat are outdated and fail to provide adequate levels of snags and dead wood, and adequate levels of green trees needed to recruit those snags through time.</w:t>
      </w:r>
    </w:p>
    <w:p w:rsidR="00383F29" w:rsidRPr="00B936A6" w:rsidRDefault="00383F29" w:rsidP="00383F29">
      <w:pPr>
        <w:ind w:left="720"/>
      </w:pPr>
    </w:p>
    <w:p w:rsidR="00383F29" w:rsidRPr="00B936A6" w:rsidRDefault="00383F29" w:rsidP="00383F29">
      <w:pPr>
        <w:ind w:left="720"/>
      </w:pPr>
      <w:r w:rsidRPr="00B936A6">
        <w:t>Cutting basal area down to 30-40 ft</w:t>
      </w:r>
      <w:r w:rsidRPr="00B936A6">
        <w:rPr>
          <w:vertAlign w:val="superscript"/>
        </w:rPr>
        <w:t>2</w:t>
      </w:r>
      <w:r w:rsidRPr="00B936A6">
        <w:t>/acre is too low. We urge the agency to retain at least 60-120 ft</w:t>
      </w:r>
      <w:r w:rsidRPr="00B936A6">
        <w:rPr>
          <w:vertAlign w:val="superscript"/>
        </w:rPr>
        <w:t>2</w:t>
      </w:r>
      <w:r w:rsidRPr="00B936A6">
        <w:t>/acre of basal area. 30-40 ft2/acre might be OK in small patches within units as part of a variable prescription, but the average over a unit must be much higher than that in order to ensure adequate cover for wildlife, and adequate dead wood recruitment through time.</w:t>
      </w:r>
    </w:p>
    <w:p w:rsidR="00254B06" w:rsidRPr="009B4CCC" w:rsidRDefault="00752A5D" w:rsidP="009B4CCC">
      <w:pPr>
        <w:pStyle w:val="Heading2"/>
      </w:pPr>
      <w:r w:rsidRPr="009B4CCC">
        <w:t xml:space="preserve">Retain </w:t>
      </w:r>
      <w:r w:rsidR="00254B06" w:rsidRPr="009B4CCC">
        <w:t xml:space="preserve">Mistletoe </w:t>
      </w:r>
      <w:r w:rsidRPr="009B4CCC">
        <w:t>as LOS Component</w:t>
      </w:r>
    </w:p>
    <w:p w:rsidR="00F376E5" w:rsidRPr="00B936A6" w:rsidRDefault="00803A29" w:rsidP="00C13CE6">
      <w:r w:rsidRPr="00B936A6">
        <w:t>Mistletoe</w:t>
      </w:r>
      <w:r w:rsidR="00F376E5" w:rsidRPr="00B936A6">
        <w:t xml:space="preserve"> infected trees (of all sizes, but especially those over 20” dbh) </w:t>
      </w:r>
      <w:r w:rsidRPr="00B936A6">
        <w:t>are a co</w:t>
      </w:r>
      <w:r w:rsidR="00F376E5" w:rsidRPr="00B936A6">
        <w:t>m</w:t>
      </w:r>
      <w:r w:rsidRPr="00B936A6">
        <w:t xml:space="preserve">ponent of LOS habitat and </w:t>
      </w:r>
      <w:r w:rsidR="00F376E5" w:rsidRPr="00B936A6">
        <w:t>should be conserved as required by the Eastside Screens, not removed. Mistletoe provides a variety of habitat values, including wildlife food and cover. Mistletoe also alters the structure of the stand, with suppressed conifers forming a complex mid-story that serves as valuable habitat.</w:t>
      </w:r>
    </w:p>
    <w:p w:rsidR="00FB7836" w:rsidRPr="009B4CCC" w:rsidRDefault="00DC78B2" w:rsidP="009B4CCC">
      <w:pPr>
        <w:pStyle w:val="Heading2"/>
      </w:pPr>
      <w:r w:rsidRPr="009B4CCC">
        <w:t xml:space="preserve">DFPZ </w:t>
      </w:r>
    </w:p>
    <w:p w:rsidR="00DC78B2" w:rsidRPr="00B936A6" w:rsidRDefault="00F376E5" w:rsidP="00C13CE6">
      <w:r w:rsidRPr="00B936A6">
        <w:t xml:space="preserve">DFPZs </w:t>
      </w:r>
      <w:r w:rsidR="00DC78B2" w:rsidRPr="00B936A6">
        <w:t xml:space="preserve">should be shaded fuel breaks created with non-commercial thinning. </w:t>
      </w:r>
      <w:r w:rsidRPr="00B936A6">
        <w:t>DFPZs should m</w:t>
      </w:r>
      <w:r w:rsidR="00DC78B2" w:rsidRPr="00B936A6">
        <w:t xml:space="preserve">aintain canopy trees. </w:t>
      </w:r>
      <w:r w:rsidRPr="00B936A6">
        <w:t xml:space="preserve">The proposed </w:t>
      </w:r>
      <w:r w:rsidR="00DC78B2" w:rsidRPr="00B936A6">
        <w:t xml:space="preserve">25 foot crown spacing will create </w:t>
      </w:r>
      <w:r w:rsidRPr="00B936A6">
        <w:t xml:space="preserve">a </w:t>
      </w:r>
      <w:r w:rsidR="00DC78B2" w:rsidRPr="00B936A6">
        <w:t>microclimate</w:t>
      </w:r>
      <w:r w:rsidRPr="00B936A6">
        <w:t xml:space="preserve"> more favorable for severe fire</w:t>
      </w:r>
      <w:r w:rsidR="00DC78B2" w:rsidRPr="00B936A6">
        <w:t xml:space="preserve">, </w:t>
      </w:r>
      <w:r w:rsidRPr="00B936A6">
        <w:t xml:space="preserve">will make light and moisture available to </w:t>
      </w:r>
      <w:r w:rsidR="00DC78B2" w:rsidRPr="00B936A6">
        <w:t xml:space="preserve">stimulate </w:t>
      </w:r>
      <w:r w:rsidRPr="00B936A6">
        <w:t xml:space="preserve">the </w:t>
      </w:r>
      <w:r w:rsidR="00DC78B2" w:rsidRPr="00B936A6">
        <w:t xml:space="preserve">growth of surface and ladder fuels, and increase </w:t>
      </w:r>
      <w:r w:rsidRPr="00B936A6">
        <w:t xml:space="preserve">future maintenance costs. The EA needs to </w:t>
      </w:r>
      <w:r w:rsidR="0077722C" w:rsidRPr="00B936A6">
        <w:t>consider</w:t>
      </w:r>
      <w:r w:rsidRPr="00B936A6">
        <w:t xml:space="preserve"> alternatives that focus on surface and ladder fuels, not canopy spacing.</w:t>
      </w:r>
      <w:r w:rsidR="0077722C" w:rsidRPr="00B936A6">
        <w:t xml:space="preserve"> Even if the FS thinks that crown spacing is needed, it is not necessary to separate each tree</w:t>
      </w:r>
      <w:r w:rsidR="002A6855" w:rsidRPr="00B936A6">
        <w:t>. The prescription could create spacing around groups of 10-100 trees to interrupt the spread of (speculative) crown fire.</w:t>
      </w:r>
    </w:p>
    <w:p w:rsidR="00F376E5" w:rsidRPr="00B936A6" w:rsidRDefault="00F376E5" w:rsidP="00C13CE6"/>
    <w:p w:rsidR="004F0905" w:rsidRPr="00B936A6" w:rsidRDefault="004F0905" w:rsidP="004F0905">
      <w:r w:rsidRPr="00B936A6">
        <w:t>Shaded fuel breaks implemented non-commercially with significant canopy retention may be an effective fuel treatment, IF they are maintained over time. Fuel breaks also have significant trade-offs that need to be avoided, minimized, and mitigated, including spreading weeds, habitat fragmentation, exacerbating barriers to wildlife, impaired wildlife connectivity, loss of wildlife cover, loss of snag habitat, facilitating unauthorized OHVs, carbon emissions, etc.</w:t>
      </w:r>
    </w:p>
    <w:p w:rsidR="004F0905" w:rsidRPr="00B936A6" w:rsidRDefault="004F0905" w:rsidP="004F0905"/>
    <w:p w:rsidR="004F0905" w:rsidRPr="00B936A6" w:rsidRDefault="004F0905" w:rsidP="004F0905">
      <w:r w:rsidRPr="00B936A6">
        <w:t xml:space="preserve">Fuel breaks are a largely untested with potentially uncertain ecological effects. </w:t>
      </w:r>
    </w:p>
    <w:p w:rsidR="004F0905" w:rsidRPr="00B936A6" w:rsidRDefault="004F0905" w:rsidP="004F0905">
      <w:pPr>
        <w:ind w:left="720"/>
      </w:pPr>
      <w:proofErr w:type="spellStart"/>
      <w:r w:rsidRPr="00B936A6">
        <w:t>Shinneman</w:t>
      </w:r>
      <w:proofErr w:type="spellEnd"/>
      <w:r w:rsidRPr="00B936A6">
        <w:t> </w:t>
      </w:r>
      <w:r w:rsidRPr="00B936A6">
        <w:rPr>
          <w:i/>
          <w:iCs/>
        </w:rPr>
        <w:t>et al</w:t>
      </w:r>
      <w:r w:rsidRPr="00B936A6">
        <w:t xml:space="preserve">. (2019) reported that there is little scientific information available regarding their [fuel breaks] ecological effects. They report that fuel breaks can: (1) directly alter ecosystems; (2) create edges and edge effects; (3) serve as vectors for wildlife movement and plant invasions; and (4) preemptively fragment otherwise contiguous sagebrush landscapes.  </w:t>
      </w:r>
    </w:p>
    <w:p w:rsidR="004F0905" w:rsidRPr="00B936A6" w:rsidRDefault="004F0905" w:rsidP="004F0905">
      <w:r w:rsidRPr="00B936A6">
        <w:t xml:space="preserve">Kauffman, </w:t>
      </w:r>
      <w:proofErr w:type="spellStart"/>
      <w:r w:rsidRPr="00B936A6">
        <w:t>Beschta</w:t>
      </w:r>
      <w:proofErr w:type="spellEnd"/>
      <w:r w:rsidRPr="00B936A6">
        <w:t xml:space="preserve"> et al 2020. Comments on Boise BLM’s Tri-State Fuel Break Project. 22 Dec 2020. </w:t>
      </w:r>
      <w:hyperlink r:id="rId70" w:history="1">
        <w:r w:rsidRPr="00B936A6">
          <w:rPr>
            <w:rStyle w:val="Hyperlink"/>
          </w:rPr>
          <w:t>https://drive.google.com/open?id=1AEA3PTs31Sv_-RZZnMsduhHCb1hniZ_e</w:t>
        </w:r>
      </w:hyperlink>
      <w:r w:rsidRPr="00B936A6">
        <w:t xml:space="preserve"> </w:t>
      </w:r>
      <w:r w:rsidRPr="00B936A6">
        <w:rPr>
          <w:i/>
        </w:rPr>
        <w:t>citing</w:t>
      </w:r>
      <w:r w:rsidRPr="00B936A6">
        <w:t xml:space="preserve"> </w:t>
      </w:r>
      <w:proofErr w:type="spellStart"/>
      <w:r w:rsidRPr="00B936A6">
        <w:t>Shinneman</w:t>
      </w:r>
      <w:proofErr w:type="spellEnd"/>
      <w:r w:rsidRPr="00B936A6">
        <w:t xml:space="preserve">, Douglas J.; </w:t>
      </w:r>
      <w:proofErr w:type="spellStart"/>
      <w:r w:rsidRPr="00B936A6">
        <w:t>Germino</w:t>
      </w:r>
      <w:proofErr w:type="spellEnd"/>
      <w:r w:rsidRPr="00B936A6">
        <w:t xml:space="preserve">, Matthew J.; </w:t>
      </w:r>
      <w:proofErr w:type="spellStart"/>
      <w:r w:rsidRPr="00B936A6">
        <w:t>Pilliod</w:t>
      </w:r>
      <w:proofErr w:type="spellEnd"/>
      <w:r w:rsidRPr="00B936A6">
        <w:t xml:space="preserve">, David S.; Aldridge, Cameron L.; </w:t>
      </w:r>
      <w:proofErr w:type="spellStart"/>
      <w:r w:rsidRPr="00B936A6">
        <w:t>Vaillant</w:t>
      </w:r>
      <w:proofErr w:type="spellEnd"/>
      <w:r w:rsidRPr="00B936A6">
        <w:t xml:space="preserve">, Nicole M.; Coates, Peter S. 2019. The ecological uncertainty of wildfire fuel breaks: examples </w:t>
      </w:r>
      <w:r w:rsidRPr="00B936A6">
        <w:lastRenderedPageBreak/>
        <w:t xml:space="preserve">from the sagebrush steppe. Frontiers in Ecology and the Environment 17(5):279-288. </w:t>
      </w:r>
      <w:hyperlink r:id="rId71" w:history="1">
        <w:r w:rsidRPr="00B936A6">
          <w:rPr>
            <w:rStyle w:val="Hyperlink"/>
          </w:rPr>
          <w:t>https://doi.org/10.1002/fee.2045</w:t>
        </w:r>
      </w:hyperlink>
      <w:r w:rsidRPr="00B936A6">
        <w:t>. (“Fuel breaks are increasingly being implemented at broad scales (100s to 10,000s of square kilometers) in fire</w:t>
      </w:r>
      <w:r w:rsidRPr="00B936A6">
        <w:rPr>
          <w:rFonts w:ascii="Times New Roman" w:hAnsi="Times New Roman" w:cs="Times New Roman"/>
        </w:rPr>
        <w:t>‐</w:t>
      </w:r>
      <w:r w:rsidRPr="00B936A6">
        <w:t xml:space="preserve">prone landscapes globally, yet there is little scientific information available regarding their ecological effects (e.g. habitat fragmentation). … Given uncertain outcomes, we examine how implementation of fuel breaks might (1) directly alter ecosystems, (2) create edges and edge effects, (3) serve as vectors for wildlife movement and plant invasions, (4) fragment otherwise contiguous sagebrush landscapes, and (5) benefit from scientific investigation intended to disentangle their ecological costs and benefits.”). See also </w:t>
      </w:r>
      <w:proofErr w:type="spellStart"/>
      <w:r w:rsidRPr="00B936A6">
        <w:t>Shinneman</w:t>
      </w:r>
      <w:proofErr w:type="spellEnd"/>
      <w:r w:rsidRPr="00B936A6">
        <w:t xml:space="preserve">, D.J., Aldridge, C.L., Coates, P.S., </w:t>
      </w:r>
      <w:proofErr w:type="spellStart"/>
      <w:r w:rsidRPr="00B936A6">
        <w:t>Germino</w:t>
      </w:r>
      <w:proofErr w:type="spellEnd"/>
      <w:r w:rsidRPr="00B936A6">
        <w:t xml:space="preserve">, M.J., </w:t>
      </w:r>
      <w:proofErr w:type="spellStart"/>
      <w:r w:rsidRPr="00B936A6">
        <w:t>Pilliod</w:t>
      </w:r>
      <w:proofErr w:type="spellEnd"/>
      <w:r w:rsidRPr="00B936A6">
        <w:t xml:space="preserve">, D.S., and </w:t>
      </w:r>
      <w:proofErr w:type="spellStart"/>
      <w:r w:rsidRPr="00B936A6">
        <w:t>Vaillant</w:t>
      </w:r>
      <w:proofErr w:type="spellEnd"/>
      <w:r w:rsidRPr="00B936A6">
        <w:t xml:space="preserve">, N.M., 2018, A conservation paradox in the Great Basin—Altering sagebrush landscapes with fuel breaks to reduce habitat loss from wildfire: U.S. Geological Survey Open-File Report 2018–1034, 70 p., </w:t>
      </w:r>
      <w:hyperlink r:id="rId72" w:history="1">
        <w:r w:rsidRPr="00B936A6">
          <w:rPr>
            <w:rStyle w:val="Hyperlink"/>
          </w:rPr>
          <w:t>https://doi.org/10.3133/ofr20181034</w:t>
        </w:r>
      </w:hyperlink>
      <w:r w:rsidRPr="00B936A6">
        <w:t xml:space="preserve">. </w:t>
      </w:r>
    </w:p>
    <w:p w:rsidR="004F0905" w:rsidRPr="00B936A6" w:rsidRDefault="004F0905" w:rsidP="004F0905"/>
    <w:p w:rsidR="004F0905" w:rsidRPr="00071FF4" w:rsidRDefault="004F0905" w:rsidP="004F0905">
      <w:pPr>
        <w:pStyle w:val="ListParagraph"/>
        <w:suppressAutoHyphens w:val="0"/>
        <w:spacing w:after="0" w:line="240" w:lineRule="auto"/>
        <w:ind w:left="0"/>
        <w:contextualSpacing/>
        <w:rPr>
          <w:rFonts w:ascii="Times New Roman" w:hAnsi="Times New Roman" w:cs="Times New Roman"/>
          <w:sz w:val="24"/>
          <w:szCs w:val="24"/>
        </w:rPr>
      </w:pPr>
      <w:r w:rsidRPr="001A7A55">
        <w:rPr>
          <w:rFonts w:ascii="Times New Roman" w:eastAsia="Times New Roman" w:hAnsi="Times New Roman" w:cs="Times New Roman"/>
          <w:color w:val="000000"/>
          <w:sz w:val="24"/>
          <w:szCs w:val="24"/>
        </w:rPr>
        <w:t xml:space="preserve">PODs </w:t>
      </w:r>
      <w:r>
        <w:rPr>
          <w:rFonts w:ascii="Times New Roman" w:eastAsia="Times New Roman" w:hAnsi="Times New Roman" w:cs="Times New Roman"/>
          <w:color w:val="000000"/>
          <w:sz w:val="24"/>
          <w:szCs w:val="24"/>
        </w:rPr>
        <w:t xml:space="preserve">and fuel breaks </w:t>
      </w:r>
      <w:r w:rsidRPr="001A7A55">
        <w:rPr>
          <w:rFonts w:ascii="Times New Roman" w:eastAsia="Times New Roman" w:hAnsi="Times New Roman" w:cs="Times New Roman"/>
          <w:color w:val="000000"/>
          <w:sz w:val="24"/>
          <w:szCs w:val="24"/>
        </w:rPr>
        <w:t xml:space="preserve">should be explicitly planned and designed to facilitate the return of fire to the landscape, not </w:t>
      </w:r>
      <w:r>
        <w:rPr>
          <w:rFonts w:ascii="Times New Roman" w:eastAsia="Times New Roman" w:hAnsi="Times New Roman" w:cs="Times New Roman"/>
          <w:color w:val="000000"/>
          <w:sz w:val="24"/>
          <w:szCs w:val="24"/>
        </w:rPr>
        <w:t xml:space="preserve">to perpetuate </w:t>
      </w:r>
      <w:r w:rsidRPr="001A7A55">
        <w:rPr>
          <w:rFonts w:ascii="Times New Roman" w:eastAsia="Times New Roman" w:hAnsi="Times New Roman" w:cs="Times New Roman"/>
          <w:color w:val="000000"/>
          <w:sz w:val="24"/>
          <w:szCs w:val="24"/>
        </w:rPr>
        <w:t xml:space="preserve">the failed policy of continued suppression of wildfire. </w:t>
      </w:r>
      <w:r>
        <w:rPr>
          <w:rFonts w:ascii="Times New Roman" w:eastAsia="Times New Roman" w:hAnsi="Times New Roman" w:cs="Times New Roman"/>
          <w:color w:val="000000"/>
          <w:sz w:val="24"/>
          <w:szCs w:val="24"/>
        </w:rPr>
        <w:t xml:space="preserve">If the fuels breaks are intended for continued fire suppression, then the NEPA analysis should disclose the adverse environmental effects of that outdated policy. </w:t>
      </w:r>
      <w:r w:rsidRPr="001A7A55">
        <w:rPr>
          <w:rFonts w:ascii="Times New Roman" w:hAnsi="Times New Roman" w:cs="Times New Roman"/>
          <w:sz w:val="24"/>
          <w:szCs w:val="24"/>
        </w:rPr>
        <w:t xml:space="preserve">Timothy </w:t>
      </w:r>
      <w:proofErr w:type="spellStart"/>
      <w:r w:rsidRPr="001A7A55">
        <w:rPr>
          <w:rFonts w:ascii="Times New Roman" w:hAnsi="Times New Roman" w:cs="Times New Roman"/>
          <w:sz w:val="24"/>
          <w:szCs w:val="24"/>
        </w:rPr>
        <w:t>Ingalsbee</w:t>
      </w:r>
      <w:proofErr w:type="spellEnd"/>
      <w:r w:rsidRPr="001A7A55">
        <w:rPr>
          <w:rFonts w:ascii="Times New Roman" w:hAnsi="Times New Roman" w:cs="Times New Roman"/>
          <w:sz w:val="24"/>
          <w:szCs w:val="24"/>
        </w:rPr>
        <w:t xml:space="preserve"> 2005. Fuelbreaks for Wildland Fire Management: A Moat or a Drawbridge for Ecosystem Fire Restoration? Journal of Fire Ecology, Pages: 85-99. DOI:10.4996/fireecology.0101085.</w:t>
      </w:r>
      <w:r w:rsidRPr="00FD5FB3">
        <w:t xml:space="preserve"> </w:t>
      </w:r>
      <w:hyperlink r:id="rId73" w:history="1">
        <w:r w:rsidRPr="001A621D">
          <w:rPr>
            <w:rStyle w:val="Hyperlink"/>
            <w:rFonts w:ascii="Times New Roman" w:hAnsi="Times New Roman" w:cs="Times New Roman"/>
            <w:sz w:val="24"/>
            <w:szCs w:val="24"/>
          </w:rPr>
          <w:t>https://web.archive.org/web/20070818123112/http://www.fireecology.net/pdfs/7_ingalsbee.pdf</w:t>
        </w:r>
      </w:hyperlink>
      <w:r w:rsidRPr="001A7A55">
        <w:rPr>
          <w:rFonts w:ascii="Times New Roman" w:hAnsi="Times New Roman" w:cs="Times New Roman"/>
          <w:sz w:val="24"/>
          <w:szCs w:val="24"/>
        </w:rPr>
        <w:t>.</w:t>
      </w:r>
    </w:p>
    <w:p w:rsidR="004F0905" w:rsidRPr="00B936A6" w:rsidRDefault="004F0905" w:rsidP="004F0905">
      <w:pPr>
        <w:rPr>
          <w:rFonts w:cs="Times New Roman"/>
        </w:rPr>
      </w:pPr>
    </w:p>
    <w:p w:rsidR="004F0905" w:rsidRPr="00B936A6" w:rsidRDefault="004F0905" w:rsidP="004F0905">
      <w:pPr>
        <w:rPr>
          <w:rFonts w:cs="Times New Roman"/>
        </w:rPr>
      </w:pPr>
      <w:r w:rsidRPr="00B936A6">
        <w:rPr>
          <w:rFonts w:cs="Times New Roman"/>
        </w:rPr>
        <w:t>We think some of the trade-offs of shaded fuel breaks and PODs can be minimized by following guidelines, such as:</w:t>
      </w:r>
    </w:p>
    <w:p w:rsidR="004F0905" w:rsidRPr="001A7A55" w:rsidRDefault="004F0905" w:rsidP="004F0905">
      <w:pPr>
        <w:pStyle w:val="ListParagraph"/>
        <w:numPr>
          <w:ilvl w:val="0"/>
          <w:numId w:val="6"/>
        </w:numPr>
        <w:suppressAutoHyphens w:val="0"/>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Well-s</w:t>
      </w:r>
      <w:r w:rsidRPr="001A7A55">
        <w:rPr>
          <w:rFonts w:ascii="Times New Roman" w:hAnsi="Times New Roman" w:cs="Times New Roman"/>
          <w:sz w:val="24"/>
          <w:szCs w:val="24"/>
        </w:rPr>
        <w:t>haded fuel breaks</w:t>
      </w:r>
      <w:r>
        <w:rPr>
          <w:rFonts w:ascii="Times New Roman" w:hAnsi="Times New Roman" w:cs="Times New Roman"/>
          <w:sz w:val="24"/>
          <w:szCs w:val="24"/>
        </w:rPr>
        <w:t xml:space="preserve"> will be much more effective than</w:t>
      </w:r>
      <w:r w:rsidRPr="001A7A55">
        <w:rPr>
          <w:rFonts w:ascii="Times New Roman" w:hAnsi="Times New Roman" w:cs="Times New Roman"/>
          <w:sz w:val="24"/>
          <w:szCs w:val="24"/>
        </w:rPr>
        <w:t xml:space="preserve"> </w:t>
      </w:r>
      <w:r>
        <w:rPr>
          <w:rFonts w:ascii="Times New Roman" w:hAnsi="Times New Roman" w:cs="Times New Roman"/>
          <w:sz w:val="24"/>
          <w:szCs w:val="24"/>
        </w:rPr>
        <w:t xml:space="preserve">linear </w:t>
      </w:r>
      <w:r w:rsidRPr="001A7A55">
        <w:rPr>
          <w:rFonts w:ascii="Times New Roman" w:hAnsi="Times New Roman" w:cs="Times New Roman"/>
          <w:sz w:val="24"/>
          <w:szCs w:val="24"/>
        </w:rPr>
        <w:t>clearings. Maintaining a reasona</w:t>
      </w:r>
      <w:r>
        <w:rPr>
          <w:rFonts w:ascii="Times New Roman" w:hAnsi="Times New Roman" w:cs="Times New Roman"/>
          <w:sz w:val="24"/>
          <w:szCs w:val="24"/>
        </w:rPr>
        <w:t>bly dense canopy will mitigate</w:t>
      </w:r>
      <w:r w:rsidRPr="001A7A55">
        <w:rPr>
          <w:rFonts w:ascii="Times New Roman" w:hAnsi="Times New Roman" w:cs="Times New Roman"/>
          <w:sz w:val="24"/>
          <w:szCs w:val="24"/>
        </w:rPr>
        <w:t xml:space="preserve"> habitat fragmentation effects, as well as lower maintenance costs by suppressing growth of surface and ladder fuels. Focus on small (&lt;9” dbh) surface and ladder fuels within 150 feet of roads;</w:t>
      </w:r>
    </w:p>
    <w:p w:rsidR="004F0905" w:rsidRPr="00C10072" w:rsidRDefault="004F0905" w:rsidP="004F0905">
      <w:pPr>
        <w:pStyle w:val="ListParagraph"/>
        <w:numPr>
          <w:ilvl w:val="0"/>
          <w:numId w:val="6"/>
        </w:numPr>
        <w:suppressAutoHyphens w:val="0"/>
        <w:spacing w:after="0" w:line="240" w:lineRule="auto"/>
        <w:contextualSpacing/>
        <w:rPr>
          <w:rFonts w:ascii="Times New Roman" w:hAnsi="Times New Roman" w:cs="Times New Roman"/>
          <w:sz w:val="24"/>
          <w:szCs w:val="24"/>
        </w:rPr>
      </w:pPr>
      <w:r w:rsidRPr="00C10072">
        <w:rPr>
          <w:rFonts w:ascii="Times New Roman" w:hAnsi="Times New Roman" w:cs="Times New Roman"/>
          <w:sz w:val="24"/>
          <w:szCs w:val="24"/>
        </w:rPr>
        <w:t xml:space="preserve">Focus fuel break treatments near roads. </w:t>
      </w:r>
      <w:r>
        <w:rPr>
          <w:rFonts w:ascii="Times New Roman" w:hAnsi="Times New Roman" w:cs="Times New Roman"/>
          <w:sz w:val="24"/>
          <w:szCs w:val="24"/>
        </w:rPr>
        <w:t xml:space="preserve">Fire management goals can typically be met by focusing on small fuels within 150 feet from roads. </w:t>
      </w:r>
      <w:r w:rsidRPr="00C10072">
        <w:rPr>
          <w:rFonts w:ascii="Times New Roman" w:hAnsi="Times New Roman" w:cs="Times New Roman"/>
          <w:sz w:val="24"/>
          <w:szCs w:val="24"/>
        </w:rPr>
        <w:t>In a survey of fuel breaks in California “average width of fuel breaks in this sample was 116.9 meters” which is less than 200 feet from roads. Stephens</w:t>
      </w:r>
      <w:r>
        <w:rPr>
          <w:rFonts w:ascii="Times New Roman" w:hAnsi="Times New Roman" w:cs="Times New Roman"/>
          <w:sz w:val="24"/>
          <w:szCs w:val="24"/>
        </w:rPr>
        <w:t xml:space="preserve">, Collin, Omi, Johnson </w:t>
      </w:r>
      <w:r w:rsidRPr="00C10072">
        <w:rPr>
          <w:rFonts w:ascii="Times New Roman" w:hAnsi="Times New Roman" w:cs="Times New Roman"/>
          <w:sz w:val="24"/>
          <w:szCs w:val="24"/>
        </w:rPr>
        <w:t xml:space="preserve">2023. FINAL REPORT: Manager Perspectives on Fuel Break Effectiveness and Configurations.   JFSP PROJECT ID: 19-2-01, </w:t>
      </w:r>
      <w:r>
        <w:rPr>
          <w:rFonts w:ascii="Times New Roman" w:hAnsi="Times New Roman" w:cs="Times New Roman"/>
          <w:sz w:val="24"/>
          <w:szCs w:val="24"/>
        </w:rPr>
        <w:t xml:space="preserve"> </w:t>
      </w:r>
      <w:r w:rsidRPr="00C10072">
        <w:rPr>
          <w:rFonts w:ascii="Times New Roman" w:hAnsi="Times New Roman" w:cs="Times New Roman"/>
          <w:sz w:val="24"/>
          <w:szCs w:val="24"/>
        </w:rPr>
        <w:t>March 2023</w:t>
      </w:r>
      <w:r>
        <w:rPr>
          <w:rFonts w:ascii="Times New Roman" w:hAnsi="Times New Roman" w:cs="Times New Roman"/>
          <w:sz w:val="24"/>
          <w:szCs w:val="24"/>
        </w:rPr>
        <w:t>.</w:t>
      </w:r>
      <w:r w:rsidRPr="00C10072">
        <w:t xml:space="preserve"> </w:t>
      </w:r>
      <w:hyperlink r:id="rId74" w:history="1">
        <w:r w:rsidRPr="00211D75">
          <w:rPr>
            <w:rStyle w:val="Hyperlink"/>
            <w:rFonts w:ascii="Times New Roman" w:hAnsi="Times New Roman" w:cs="Times New Roman"/>
            <w:sz w:val="24"/>
            <w:szCs w:val="24"/>
          </w:rPr>
          <w:t>https://mcusercontent.com/5f6de7b069a57255f980944b4/files/68ab7c9b-a224-e68b-a3fa-97077e22b662/19_2_01_1.pdf</w:t>
        </w:r>
      </w:hyperlink>
      <w:r>
        <w:rPr>
          <w:rFonts w:ascii="Times New Roman" w:hAnsi="Times New Roman" w:cs="Times New Roman"/>
          <w:sz w:val="24"/>
          <w:szCs w:val="24"/>
        </w:rPr>
        <w:t xml:space="preserve">. </w:t>
      </w:r>
    </w:p>
    <w:p w:rsidR="004F0905" w:rsidRPr="001A7A55" w:rsidRDefault="004F0905" w:rsidP="004F0905">
      <w:pPr>
        <w:pStyle w:val="ListParagraph"/>
        <w:numPr>
          <w:ilvl w:val="0"/>
          <w:numId w:val="6"/>
        </w:numPr>
        <w:suppressAutoHyphens w:val="0"/>
        <w:spacing w:after="0" w:line="240" w:lineRule="auto"/>
        <w:contextualSpacing/>
        <w:rPr>
          <w:rFonts w:ascii="Times New Roman" w:hAnsi="Times New Roman" w:cs="Times New Roman"/>
          <w:sz w:val="24"/>
          <w:szCs w:val="24"/>
        </w:rPr>
      </w:pPr>
      <w:r w:rsidRPr="001A7A55">
        <w:rPr>
          <w:rFonts w:ascii="Times New Roman" w:hAnsi="Times New Roman" w:cs="Times New Roman"/>
          <w:sz w:val="24"/>
          <w:szCs w:val="24"/>
        </w:rPr>
        <w:t>Focus on treating plantations and previously logged stands. Avoid/minimize treating mature &amp; old-growth, riparian areas, and roadless/unroaded areas.</w:t>
      </w:r>
    </w:p>
    <w:p w:rsidR="004F0905" w:rsidRPr="001A7A55" w:rsidRDefault="004F0905" w:rsidP="004F0905">
      <w:pPr>
        <w:pStyle w:val="ListParagraph"/>
        <w:numPr>
          <w:ilvl w:val="0"/>
          <w:numId w:val="6"/>
        </w:numPr>
        <w:suppressAutoHyphens w:val="0"/>
        <w:spacing w:after="0" w:line="240" w:lineRule="auto"/>
        <w:contextualSpacing/>
        <w:rPr>
          <w:rFonts w:ascii="Times New Roman" w:hAnsi="Times New Roman" w:cs="Times New Roman"/>
          <w:sz w:val="24"/>
          <w:szCs w:val="24"/>
        </w:rPr>
      </w:pPr>
      <w:r w:rsidRPr="001A7A55">
        <w:rPr>
          <w:rFonts w:ascii="Times New Roman" w:hAnsi="Times New Roman" w:cs="Times New Roman"/>
          <w:sz w:val="24"/>
          <w:szCs w:val="24"/>
        </w:rPr>
        <w:t xml:space="preserve">Treatments in reserves </w:t>
      </w:r>
      <w:r>
        <w:rPr>
          <w:rFonts w:ascii="Times New Roman" w:hAnsi="Times New Roman" w:cs="Times New Roman"/>
          <w:sz w:val="24"/>
          <w:szCs w:val="24"/>
        </w:rPr>
        <w:t xml:space="preserve">and land allocations with an ecological mandate should be avoided where possible, and </w:t>
      </w:r>
      <w:r w:rsidRPr="001A7A55">
        <w:rPr>
          <w:rFonts w:ascii="Times New Roman" w:hAnsi="Times New Roman" w:cs="Times New Roman"/>
          <w:sz w:val="24"/>
          <w:szCs w:val="24"/>
        </w:rPr>
        <w:t>minimized</w:t>
      </w:r>
      <w:r>
        <w:rPr>
          <w:rFonts w:ascii="Times New Roman" w:hAnsi="Times New Roman" w:cs="Times New Roman"/>
          <w:sz w:val="24"/>
          <w:szCs w:val="24"/>
        </w:rPr>
        <w:t>/</w:t>
      </w:r>
      <w:r w:rsidRPr="001A7A55">
        <w:rPr>
          <w:rFonts w:ascii="Times New Roman" w:hAnsi="Times New Roman" w:cs="Times New Roman"/>
          <w:sz w:val="24"/>
          <w:szCs w:val="24"/>
        </w:rPr>
        <w:t xml:space="preserve">modified to retain more large wood and diverse vegetation to meet objectives for the </w:t>
      </w:r>
      <w:r>
        <w:rPr>
          <w:rFonts w:ascii="Times New Roman" w:hAnsi="Times New Roman" w:cs="Times New Roman"/>
          <w:sz w:val="24"/>
          <w:szCs w:val="24"/>
        </w:rPr>
        <w:t>RMP</w:t>
      </w:r>
      <w:r w:rsidRPr="001A7A55">
        <w:rPr>
          <w:rFonts w:ascii="Times New Roman" w:hAnsi="Times New Roman" w:cs="Times New Roman"/>
          <w:sz w:val="24"/>
          <w:szCs w:val="24"/>
        </w:rPr>
        <w:t>.</w:t>
      </w:r>
    </w:p>
    <w:p w:rsidR="004F0905" w:rsidRPr="001A7A55" w:rsidRDefault="004F0905" w:rsidP="004F0905">
      <w:pPr>
        <w:pStyle w:val="ListParagraph"/>
        <w:numPr>
          <w:ilvl w:val="0"/>
          <w:numId w:val="6"/>
        </w:numPr>
        <w:suppressAutoHyphens w:val="0"/>
        <w:spacing w:after="0" w:line="240" w:lineRule="auto"/>
        <w:contextualSpacing/>
        <w:rPr>
          <w:rFonts w:ascii="Times New Roman" w:hAnsi="Times New Roman" w:cs="Times New Roman"/>
          <w:sz w:val="24"/>
          <w:szCs w:val="24"/>
        </w:rPr>
      </w:pPr>
      <w:r w:rsidRPr="001A7A55">
        <w:rPr>
          <w:rFonts w:ascii="Times New Roman" w:hAnsi="Times New Roman" w:cs="Times New Roman"/>
          <w:sz w:val="24"/>
          <w:szCs w:val="24"/>
        </w:rPr>
        <w:t>Use manual treatments (hand felling, lop-and-scatter, burning small piles) instead of heavy equipment</w:t>
      </w:r>
      <w:r>
        <w:rPr>
          <w:rFonts w:ascii="Times New Roman" w:hAnsi="Times New Roman" w:cs="Times New Roman"/>
          <w:sz w:val="24"/>
          <w:szCs w:val="24"/>
        </w:rPr>
        <w:t>. This will protect soil, water quality, and fire resilient native plants</w:t>
      </w:r>
      <w:r w:rsidRPr="001A7A55">
        <w:rPr>
          <w:rFonts w:ascii="Times New Roman" w:hAnsi="Times New Roman" w:cs="Times New Roman"/>
          <w:sz w:val="24"/>
          <w:szCs w:val="24"/>
        </w:rPr>
        <w:t>;</w:t>
      </w:r>
    </w:p>
    <w:p w:rsidR="004F0905" w:rsidRPr="001A7A55" w:rsidRDefault="004F0905" w:rsidP="004F0905">
      <w:pPr>
        <w:pStyle w:val="ListParagraph"/>
        <w:numPr>
          <w:ilvl w:val="0"/>
          <w:numId w:val="6"/>
        </w:numPr>
        <w:suppressAutoHyphens w:val="0"/>
        <w:spacing w:after="0" w:line="240" w:lineRule="auto"/>
        <w:contextualSpacing/>
        <w:rPr>
          <w:rFonts w:ascii="Times New Roman" w:hAnsi="Times New Roman" w:cs="Times New Roman"/>
          <w:sz w:val="24"/>
          <w:szCs w:val="24"/>
        </w:rPr>
      </w:pPr>
      <w:r w:rsidRPr="001A7A55">
        <w:rPr>
          <w:rFonts w:ascii="Times New Roman" w:hAnsi="Times New Roman" w:cs="Times New Roman"/>
          <w:sz w:val="24"/>
          <w:szCs w:val="24"/>
        </w:rPr>
        <w:t>Retain dense, mid-to-high canopy to help maintain a cool, moist microclimate, retain fuel moisture, and help suppress the growth of surface and ladder fuels (which also minimizes maintenance costs);</w:t>
      </w:r>
    </w:p>
    <w:p w:rsidR="004F0905" w:rsidRPr="001A7A55" w:rsidRDefault="004F0905" w:rsidP="004F0905">
      <w:pPr>
        <w:pStyle w:val="ListParagraph"/>
        <w:numPr>
          <w:ilvl w:val="0"/>
          <w:numId w:val="6"/>
        </w:numPr>
        <w:suppressAutoHyphens w:val="0"/>
        <w:spacing w:after="0" w:line="240" w:lineRule="auto"/>
        <w:contextualSpacing/>
        <w:rPr>
          <w:rFonts w:ascii="Times New Roman" w:hAnsi="Times New Roman" w:cs="Times New Roman"/>
          <w:sz w:val="24"/>
          <w:szCs w:val="24"/>
        </w:rPr>
      </w:pPr>
      <w:r w:rsidRPr="001A7A55">
        <w:rPr>
          <w:rFonts w:ascii="Times New Roman" w:hAnsi="Times New Roman" w:cs="Times New Roman"/>
          <w:sz w:val="24"/>
          <w:szCs w:val="24"/>
        </w:rPr>
        <w:lastRenderedPageBreak/>
        <w:t>Retain deciduous hardwoods which can serve as heat sinks during fires;</w:t>
      </w:r>
    </w:p>
    <w:p w:rsidR="004F0905" w:rsidRPr="001A7A55" w:rsidRDefault="004F0905" w:rsidP="004F0905">
      <w:pPr>
        <w:pStyle w:val="ListParagraph"/>
        <w:numPr>
          <w:ilvl w:val="0"/>
          <w:numId w:val="6"/>
        </w:numPr>
        <w:suppressAutoHyphens w:val="0"/>
        <w:spacing w:after="0" w:line="240" w:lineRule="auto"/>
        <w:contextualSpacing/>
        <w:rPr>
          <w:rFonts w:ascii="Times New Roman" w:hAnsi="Times New Roman" w:cs="Times New Roman"/>
          <w:sz w:val="24"/>
          <w:szCs w:val="24"/>
        </w:rPr>
      </w:pPr>
      <w:r w:rsidRPr="001A7A55">
        <w:rPr>
          <w:rFonts w:ascii="Times New Roman" w:hAnsi="Times New Roman" w:cs="Times New Roman"/>
          <w:sz w:val="24"/>
          <w:szCs w:val="24"/>
        </w:rPr>
        <w:t>Retain important elements of diversity</w:t>
      </w:r>
      <w:r>
        <w:rPr>
          <w:rFonts w:ascii="Times New Roman" w:hAnsi="Times New Roman" w:cs="Times New Roman"/>
          <w:sz w:val="24"/>
          <w:szCs w:val="24"/>
        </w:rPr>
        <w:t xml:space="preserve"> where possible</w:t>
      </w:r>
      <w:r w:rsidRPr="001A7A55">
        <w:rPr>
          <w:rFonts w:ascii="Times New Roman" w:hAnsi="Times New Roman" w:cs="Times New Roman"/>
          <w:sz w:val="24"/>
          <w:szCs w:val="24"/>
        </w:rPr>
        <w:t>, such as Pacific yew, and some patches of shrubs that produce berries, nuts, nectar, etc. (food for wildlife)</w:t>
      </w:r>
      <w:r>
        <w:rPr>
          <w:rFonts w:ascii="Times New Roman" w:hAnsi="Times New Roman" w:cs="Times New Roman"/>
          <w:sz w:val="24"/>
          <w:szCs w:val="24"/>
        </w:rPr>
        <w:t>, and to provide intermittent opportunities for wildlife crossing the road</w:t>
      </w:r>
      <w:r w:rsidRPr="001A7A55">
        <w:rPr>
          <w:rFonts w:ascii="Times New Roman" w:hAnsi="Times New Roman" w:cs="Times New Roman"/>
          <w:sz w:val="24"/>
          <w:szCs w:val="24"/>
        </w:rPr>
        <w:t>;</w:t>
      </w:r>
    </w:p>
    <w:p w:rsidR="004F0905" w:rsidRPr="001A7A55" w:rsidRDefault="004F0905" w:rsidP="004F0905">
      <w:pPr>
        <w:pStyle w:val="ListParagraph"/>
        <w:numPr>
          <w:ilvl w:val="0"/>
          <w:numId w:val="6"/>
        </w:numPr>
        <w:suppressAutoHyphens w:val="0"/>
        <w:spacing w:after="0" w:line="240" w:lineRule="auto"/>
        <w:contextualSpacing/>
        <w:rPr>
          <w:rFonts w:ascii="Times New Roman" w:hAnsi="Times New Roman" w:cs="Times New Roman"/>
          <w:sz w:val="24"/>
          <w:szCs w:val="24"/>
        </w:rPr>
      </w:pPr>
      <w:r w:rsidRPr="001A7A55">
        <w:rPr>
          <w:rFonts w:ascii="Times New Roman" w:hAnsi="Times New Roman" w:cs="Times New Roman"/>
          <w:sz w:val="24"/>
          <w:szCs w:val="24"/>
        </w:rPr>
        <w:t>Consider and minimize the effects on large and small wildlife that need to cross roads. Opening the forest reduces cover and increases barriers to safe movement of wildlife;</w:t>
      </w:r>
    </w:p>
    <w:p w:rsidR="004F0905" w:rsidRPr="00E30461" w:rsidRDefault="004F0905" w:rsidP="004F0905">
      <w:pPr>
        <w:pStyle w:val="ListParagraph"/>
        <w:numPr>
          <w:ilvl w:val="0"/>
          <w:numId w:val="6"/>
        </w:numPr>
        <w:suppressAutoHyphens w:val="0"/>
        <w:spacing w:after="0" w:line="240" w:lineRule="auto"/>
        <w:contextualSpacing/>
        <w:rPr>
          <w:rFonts w:ascii="Times New Roman" w:eastAsia="Times New Roman" w:hAnsi="Times New Roman" w:cs="Times New Roman"/>
          <w:color w:val="000000"/>
          <w:sz w:val="24"/>
          <w:szCs w:val="24"/>
        </w:rPr>
      </w:pPr>
      <w:r w:rsidRPr="00E30461">
        <w:rPr>
          <w:rFonts w:ascii="Times New Roman" w:hAnsi="Times New Roman" w:cs="Times New Roman"/>
          <w:sz w:val="24"/>
          <w:szCs w:val="24"/>
        </w:rPr>
        <w:t xml:space="preserve">Treat a well-planned network of roads that ideally create polygons with a high ration of area/perimeter. Too much redundancy will create cumulative impacts. </w:t>
      </w:r>
      <w:r w:rsidRPr="00E30461">
        <w:rPr>
          <w:rFonts w:ascii="Times New Roman" w:eastAsia="Times New Roman" w:hAnsi="Times New Roman" w:cs="Times New Roman"/>
          <w:color w:val="000000"/>
          <w:sz w:val="24"/>
          <w:szCs w:val="24"/>
        </w:rPr>
        <w:t xml:space="preserve">Larger PODs have a more favorable ratio of area/perimeter, which reduces cumulative effects. Possibly consider smaller PODs within the WUI, and larger PODs further out. Reduce cumulative effects by avoiding redundant fuel breaks, e.g. </w:t>
      </w:r>
      <w:r>
        <w:rPr>
          <w:rFonts w:ascii="Times New Roman" w:eastAsia="Times New Roman" w:hAnsi="Times New Roman" w:cs="Times New Roman"/>
          <w:color w:val="000000"/>
          <w:sz w:val="24"/>
          <w:szCs w:val="24"/>
        </w:rPr>
        <w:t xml:space="preserve">avoid treating </w:t>
      </w:r>
      <w:r w:rsidRPr="00E30461">
        <w:rPr>
          <w:rFonts w:ascii="Times New Roman" w:eastAsia="Times New Roman" w:hAnsi="Times New Roman" w:cs="Times New Roman"/>
          <w:color w:val="000000"/>
          <w:sz w:val="24"/>
          <w:szCs w:val="24"/>
        </w:rPr>
        <w:t>nearby parallel roads.</w:t>
      </w:r>
    </w:p>
    <w:p w:rsidR="004F0905" w:rsidRPr="001A7A55" w:rsidRDefault="004F0905" w:rsidP="004F0905">
      <w:pPr>
        <w:pStyle w:val="ListParagraph"/>
        <w:numPr>
          <w:ilvl w:val="0"/>
          <w:numId w:val="6"/>
        </w:numPr>
        <w:suppressAutoHyphens w:val="0"/>
        <w:spacing w:after="0" w:line="240" w:lineRule="auto"/>
        <w:contextualSpacing/>
        <w:rPr>
          <w:rFonts w:ascii="Times New Roman" w:eastAsia="Times New Roman" w:hAnsi="Times New Roman" w:cs="Times New Roman"/>
          <w:color w:val="000000"/>
          <w:sz w:val="24"/>
          <w:szCs w:val="24"/>
        </w:rPr>
      </w:pPr>
      <w:r w:rsidRPr="001A7A55">
        <w:rPr>
          <w:rFonts w:ascii="Times New Roman" w:eastAsia="Times New Roman" w:hAnsi="Times New Roman" w:cs="Times New Roman"/>
          <w:color w:val="000000"/>
          <w:sz w:val="24"/>
          <w:szCs w:val="24"/>
        </w:rPr>
        <w:t xml:space="preserve">Plan and account for recurring maintenance costs, e.g., manual thinning, prescribed fire, weed control, etc. Avoid commercial logging in the first instance because log values will not be a recurring feature </w:t>
      </w:r>
      <w:r>
        <w:rPr>
          <w:rFonts w:ascii="Times New Roman" w:eastAsia="Times New Roman" w:hAnsi="Times New Roman" w:cs="Times New Roman"/>
          <w:color w:val="000000"/>
          <w:sz w:val="24"/>
          <w:szCs w:val="24"/>
        </w:rPr>
        <w:t>of</w:t>
      </w:r>
      <w:r w:rsidRPr="001A7A55">
        <w:rPr>
          <w:rFonts w:ascii="Times New Roman" w:eastAsia="Times New Roman" w:hAnsi="Times New Roman" w:cs="Times New Roman"/>
          <w:color w:val="000000"/>
          <w:sz w:val="24"/>
          <w:szCs w:val="24"/>
        </w:rPr>
        <w:t xml:space="preserve"> POD maintenance. The fuels removed should be smaller over time, not larger.</w:t>
      </w:r>
    </w:p>
    <w:p w:rsidR="004F0905" w:rsidRPr="001A7A55" w:rsidRDefault="004F0905" w:rsidP="004F0905">
      <w:pPr>
        <w:pStyle w:val="ListParagraph"/>
        <w:numPr>
          <w:ilvl w:val="0"/>
          <w:numId w:val="6"/>
        </w:numPr>
        <w:suppressAutoHyphens w:val="0"/>
        <w:spacing w:after="0" w:line="240" w:lineRule="auto"/>
        <w:contextualSpacing/>
        <w:rPr>
          <w:rFonts w:ascii="Times New Roman" w:eastAsia="Times New Roman" w:hAnsi="Times New Roman" w:cs="Times New Roman"/>
          <w:color w:val="000000"/>
          <w:sz w:val="24"/>
          <w:szCs w:val="24"/>
        </w:rPr>
      </w:pPr>
      <w:r w:rsidRPr="001A7A55">
        <w:rPr>
          <w:rFonts w:ascii="Times New Roman" w:eastAsia="Times New Roman" w:hAnsi="Times New Roman" w:cs="Times New Roman"/>
          <w:color w:val="000000"/>
          <w:sz w:val="24"/>
          <w:szCs w:val="24"/>
        </w:rPr>
        <w:t>PODs planning must be truly interdisciplinary, not just in name only.</w:t>
      </w:r>
    </w:p>
    <w:p w:rsidR="004F0905" w:rsidRPr="001A7A55" w:rsidRDefault="004F0905" w:rsidP="004F0905">
      <w:pPr>
        <w:pStyle w:val="ListParagraph"/>
        <w:numPr>
          <w:ilvl w:val="0"/>
          <w:numId w:val="6"/>
        </w:numPr>
        <w:suppressAutoHyphens w:val="0"/>
        <w:spacing w:after="0" w:line="240" w:lineRule="auto"/>
        <w:contextualSpacing/>
        <w:rPr>
          <w:rFonts w:ascii="Times New Roman" w:eastAsia="Times New Roman" w:hAnsi="Times New Roman" w:cs="Times New Roman"/>
          <w:color w:val="000000"/>
          <w:sz w:val="24"/>
          <w:szCs w:val="24"/>
        </w:rPr>
      </w:pPr>
      <w:r w:rsidRPr="001A7A55">
        <w:rPr>
          <w:rFonts w:ascii="Times New Roman" w:eastAsia="Times New Roman" w:hAnsi="Times New Roman" w:cs="Times New Roman"/>
          <w:color w:val="000000"/>
          <w:sz w:val="24"/>
          <w:szCs w:val="24"/>
        </w:rPr>
        <w:t>NEPA analysis of PODs should be both programmatic and site-specific.</w:t>
      </w:r>
    </w:p>
    <w:p w:rsidR="004F0905" w:rsidRPr="00B936A6" w:rsidRDefault="004F0905" w:rsidP="004F0905">
      <w:pPr>
        <w:rPr>
          <w:rFonts w:cs="Times New Roman"/>
        </w:rPr>
      </w:pPr>
      <w:r w:rsidRPr="00B936A6">
        <w:rPr>
          <w:rFonts w:cs="Times New Roman"/>
        </w:rPr>
        <w:t>Please develop a NEPA alternative that follows these guidelines.</w:t>
      </w:r>
    </w:p>
    <w:p w:rsidR="004F0905" w:rsidRPr="00B936A6" w:rsidRDefault="004F0905" w:rsidP="004F0905"/>
    <w:p w:rsidR="004F0905" w:rsidRPr="00B936A6" w:rsidRDefault="004F0905" w:rsidP="004F0905">
      <w:pPr>
        <w:rPr>
          <w:rFonts w:cs="Times New Roman"/>
        </w:rPr>
      </w:pPr>
      <w:r w:rsidRPr="00B936A6">
        <w:rPr>
          <w:rFonts w:cs="Times New Roman"/>
        </w:rPr>
        <w:t xml:space="preserve">The NEPA analysis should consider the environmental effects of connected actions, including recurring </w:t>
      </w:r>
      <w:r w:rsidRPr="00B936A6">
        <w:t>maintenance</w:t>
      </w:r>
      <w:r w:rsidRPr="00B936A6">
        <w:rPr>
          <w:rFonts w:cs="Times New Roman"/>
        </w:rPr>
        <w:t xml:space="preserve"> and fire suppression activities. The NEPA analysis should disclose the essential connection between fuelbreaks and fire suppression, and disclose what kinds of potential suppression activities, such as fireline construction with hand crews or bulldozers, fire retardant chemical dumping, backfire and burnout operations, hazard tree felling could occur within the fuelbreaks, and disclose the general effects on soils, watersheds, and species of interest</w:t>
      </w:r>
    </w:p>
    <w:p w:rsidR="004F0905" w:rsidRPr="00B936A6" w:rsidRDefault="004F0905" w:rsidP="004F0905"/>
    <w:p w:rsidR="004F0905" w:rsidRPr="00B936A6" w:rsidRDefault="004F0905" w:rsidP="004F0905">
      <w:r w:rsidRPr="00B936A6">
        <w:t>Weeds are definitely a potential big problem with fuel breaks, especially the combination of frequent disturbance caused by recurring maintenance, and road use as a vector for weeds.</w:t>
      </w:r>
    </w:p>
    <w:p w:rsidR="004F0905" w:rsidRPr="00B936A6" w:rsidRDefault="004F0905" w:rsidP="004F0905">
      <w:pPr>
        <w:ind w:left="720"/>
      </w:pPr>
      <w:r w:rsidRPr="00B936A6">
        <w:t>"[W]e found that 19 of the 24 fuel breaks had significantly higher relative nonnative cover than the adjacent wildland areas.... Time since construction was strongly associated with nonnative abundance when we evaluated all of the fuel breaks together.... A number of different species assumed dominance... suggesting that many nonnative species may be well adapted to take advantage of the conditions provided by fuel treatments.... [F]</w:t>
      </w:r>
      <w:proofErr w:type="spellStart"/>
      <w:r w:rsidRPr="00B936A6">
        <w:t>uel</w:t>
      </w:r>
      <w:proofErr w:type="spellEnd"/>
      <w:r w:rsidRPr="00B936A6">
        <w:t xml:space="preserve"> breaks with more canopy and ground cover may be less likely to be invaded.... We found that nonnative cover decreased with distance from the fuel break, suggesting that fuel breaks act as sources of nonnative plant seeds during the invasion of adjacent areas." </w:t>
      </w:r>
    </w:p>
    <w:p w:rsidR="00F376E5" w:rsidRPr="00B936A6" w:rsidRDefault="004F0905" w:rsidP="00C13CE6">
      <w:r w:rsidRPr="00B936A6">
        <w:t xml:space="preserve">Merriam, K.E., Keeley, J.E., and </w:t>
      </w:r>
      <w:proofErr w:type="spellStart"/>
      <w:r w:rsidRPr="00B936A6">
        <w:t>Beyers</w:t>
      </w:r>
      <w:proofErr w:type="spellEnd"/>
      <w:r w:rsidRPr="00B936A6">
        <w:t xml:space="preserve">, J.L., 2007, The role of fuel breaks in the invasion of nonnative plants: U.S. Geological Survey Scientific Investigations Report 2006-5185, 69 p. </w:t>
      </w:r>
      <w:hyperlink r:id="rId75" w:anchor="_blank" w:history="1">
        <w:r w:rsidRPr="00B936A6">
          <w:rPr>
            <w:rStyle w:val="Hyperlink"/>
          </w:rPr>
          <w:t>http://pubs.usgs.gov/sir/2006/5185/pdf/sir_2006-5185.pdf</w:t>
        </w:r>
      </w:hyperlink>
      <w:r w:rsidR="00505B5B" w:rsidRPr="00B936A6">
        <w:t>.</w:t>
      </w:r>
    </w:p>
    <w:p w:rsidR="00505B5B" w:rsidRDefault="00505B5B" w:rsidP="00505B5B">
      <w:pPr>
        <w:pStyle w:val="Heading2"/>
      </w:pPr>
      <w:r>
        <w:lastRenderedPageBreak/>
        <w:t>Don’t’ Focus on Treating Canopy Fuels</w:t>
      </w:r>
    </w:p>
    <w:p w:rsidR="00505B5B" w:rsidRPr="00B936A6" w:rsidRDefault="00505B5B" w:rsidP="00505B5B">
      <w:r w:rsidRPr="00B936A6">
        <w:t xml:space="preserve">Before embarking on an aggressive strategy of crown fuel reduction, the agency must address the responsible opposing viewpoints regarding the manifold values of retaining more canopy to retain cooler temperatures and moisture. Responsible opposing experts say that reducing ground fuels and ladder fuels should be the first priority and reducing canopy fuels a lesser priority. </w:t>
      </w:r>
    </w:p>
    <w:p w:rsidR="00505B5B" w:rsidRPr="00B936A6" w:rsidRDefault="00505B5B" w:rsidP="00505B5B"/>
    <w:p w:rsidR="00505B5B" w:rsidRPr="00B936A6" w:rsidRDefault="00505B5B" w:rsidP="00505B5B">
      <w:r w:rsidRPr="00B936A6">
        <w:t>The NEPA analysis needs to account for the fact that canopy fire risk is greatly reduced by treating surface and ladder fuels because of the increased spatial gap in the vertical continuity of fuels as well as the reduced preheating of canopy fuels by burning fuels below the canopy.</w:t>
      </w:r>
    </w:p>
    <w:p w:rsidR="00505B5B" w:rsidRPr="00B936A6" w:rsidRDefault="00505B5B" w:rsidP="00505B5B"/>
    <w:p w:rsidR="00505B5B" w:rsidRPr="00B936A6" w:rsidRDefault="00505B5B" w:rsidP="00505B5B">
      <w:r w:rsidRPr="00B936A6">
        <w:t>An implicit assumption of many logging proponents is that less fuels means less fire. This is not supported by the evidence. Less fuel does NOT mean less fire. Some fuel can actually help reduce fire, such as deciduous hardwoods that act as heat sinks (under some conditions), and dense canopy fuels that keep the forest cool and moist and help suppress the growth of surface and ladder fuels, and those canopy fuels are connected to large tree boles with thick bark that do not readily burn.</w:t>
      </w:r>
    </w:p>
    <w:p w:rsidR="00505B5B" w:rsidRPr="00B936A6" w:rsidRDefault="00505B5B" w:rsidP="00505B5B"/>
    <w:p w:rsidR="00505B5B" w:rsidRPr="00B936A6" w:rsidRDefault="00505B5B" w:rsidP="00505B5B">
      <w:r w:rsidRPr="00B936A6">
        <w:t>Omi and Martinson (2012) prepared a review of the literature for managers and concluded —</w:t>
      </w:r>
    </w:p>
    <w:p w:rsidR="00505B5B" w:rsidRDefault="00505B5B" w:rsidP="00505B5B">
      <w:pPr>
        <w:pStyle w:val="BodyTextIndent"/>
      </w:pPr>
      <w:r>
        <w:t>That no relationship (r</w:t>
      </w:r>
      <w:r>
        <w:rPr>
          <w:szCs w:val="24"/>
          <w:vertAlign w:val="superscript"/>
        </w:rPr>
        <w:t>2</w:t>
      </w:r>
      <w:r>
        <w:t xml:space="preserve">&lt;0.06) was found between canopy fuel variables and the effectiveness of either surface reduction treatments without thinning or thinning treatments without subsequent slash treatment supports the assertion that surface fuel reduction is of primary importance in influencing treatment effectiveness. </w:t>
      </w:r>
    </w:p>
    <w:p w:rsidR="00505B5B" w:rsidRPr="00B936A6" w:rsidRDefault="00505B5B" w:rsidP="00505B5B">
      <w:r w:rsidRPr="00B936A6">
        <w:t xml:space="preserve">Omi &amp; Martinson 2012. Effectiveness of Fuel Treatments for Mitigating Wildfire Severity: A Manager-Focused Review and Synthesis. Joint Fire Science Program. Final Report. JFSP Project Number 08-2-1-09 </w:t>
      </w:r>
      <w:hyperlink r:id="rId76" w:history="1">
        <w:r w:rsidRPr="00B936A6">
          <w:rPr>
            <w:rStyle w:val="Hyperlink"/>
          </w:rPr>
          <w:t>http://www.firescience.gov/projects/08-2-1-09/project/08-2-1-09_finalreport08-2-1-09.pdf</w:t>
        </w:r>
      </w:hyperlink>
    </w:p>
    <w:p w:rsidR="00505B5B" w:rsidRPr="00B936A6" w:rsidRDefault="00505B5B" w:rsidP="00505B5B">
      <w:pPr>
        <w:ind w:left="720"/>
      </w:pPr>
    </w:p>
    <w:p w:rsidR="00505B5B" w:rsidRPr="00B936A6" w:rsidRDefault="00505B5B" w:rsidP="00505B5B">
      <w:pPr>
        <w:ind w:left="720"/>
      </w:pPr>
      <w:r w:rsidRPr="00B936A6">
        <w:t>Opening up the stand significantly will dry surface fuels due to increased light levels, surface winds and temperatures. This may increase surface fire intensity and rate of spread unless total surface fuel loading is reduced. In addition, thinning that allows significant light to reach the forest floor may result in the regrowth of small trees and shrubs, which over time become new ladder fuels.</w:t>
      </w:r>
    </w:p>
    <w:p w:rsidR="00505B5B" w:rsidRPr="00B936A6" w:rsidRDefault="00505B5B" w:rsidP="00505B5B">
      <w:r w:rsidRPr="00B936A6">
        <w:t xml:space="preserve">Stephen Fitzgerald and Max Bennett. 2013. A Land Manager’s Guide for Creating Fire-Resistant Forests. EM 9087. OSU Extension. </w:t>
      </w:r>
      <w:hyperlink r:id="rId77" w:history="1">
        <w:r w:rsidRPr="00B936A6">
          <w:rPr>
            <w:rStyle w:val="Hyperlink"/>
          </w:rPr>
          <w:t>http://www.nwfirescience.org/sites/default/files/publications/A%20Land%20Managers%20Guide%20for%20Creating%20Fire-resistant%20Forests%20.pdf</w:t>
        </w:r>
      </w:hyperlink>
      <w:r w:rsidRPr="00B936A6">
        <w:t xml:space="preserve"> </w:t>
      </w:r>
    </w:p>
    <w:p w:rsidR="00505B5B" w:rsidRPr="00B936A6" w:rsidRDefault="00505B5B" w:rsidP="00505B5B"/>
    <w:p w:rsidR="00505B5B" w:rsidRPr="00B936A6" w:rsidRDefault="00505B5B" w:rsidP="00505B5B"/>
    <w:p w:rsidR="00505B5B" w:rsidRPr="00B936A6" w:rsidRDefault="00505B5B" w:rsidP="00505B5B">
      <w:r w:rsidRPr="00B936A6">
        <w:t xml:space="preserve">“Defoliation of upper canopies will likely increase </w:t>
      </w:r>
      <w:proofErr w:type="spellStart"/>
      <w:r w:rsidRPr="00B936A6">
        <w:t>understorey</w:t>
      </w:r>
      <w:proofErr w:type="spellEnd"/>
      <w:r w:rsidRPr="00B936A6">
        <w:t xml:space="preserve"> light availability on the forest floor, and subsequently promote the rapid growth of subcanopy species.” Choi, D. H., </w:t>
      </w:r>
      <w:proofErr w:type="spellStart"/>
      <w:r w:rsidRPr="00B936A6">
        <w:t>LaRue</w:t>
      </w:r>
      <w:proofErr w:type="spellEnd"/>
      <w:r w:rsidRPr="00B936A6">
        <w:t xml:space="preserve">, E. A., Atkins, J. W., Foster, J. R., </w:t>
      </w:r>
      <w:proofErr w:type="spellStart"/>
      <w:r w:rsidRPr="00B936A6">
        <w:t>Matthes</w:t>
      </w:r>
      <w:proofErr w:type="spellEnd"/>
      <w:r w:rsidRPr="00B936A6">
        <w:t xml:space="preserve">, J. H., Fahey, R. T., </w:t>
      </w:r>
      <w:proofErr w:type="spellStart"/>
      <w:r w:rsidRPr="00B936A6">
        <w:t>Thapa</w:t>
      </w:r>
      <w:proofErr w:type="spellEnd"/>
      <w:r w:rsidRPr="00B936A6">
        <w:t xml:space="preserve">, B., </w:t>
      </w:r>
      <w:proofErr w:type="spellStart"/>
      <w:r w:rsidRPr="00B936A6">
        <w:t>Fei</w:t>
      </w:r>
      <w:proofErr w:type="spellEnd"/>
      <w:r w:rsidRPr="00B936A6">
        <w:t xml:space="preserve">, S., &amp; </w:t>
      </w:r>
      <w:proofErr w:type="spellStart"/>
      <w:r w:rsidRPr="00B936A6">
        <w:t>Hardiman</w:t>
      </w:r>
      <w:proofErr w:type="spellEnd"/>
      <w:r w:rsidRPr="00B936A6">
        <w:t xml:space="preserve">, B. S. (2023). Short-term effects of moderate severity disturbances on forest canopy structure. </w:t>
      </w:r>
      <w:r w:rsidRPr="00B936A6">
        <w:rPr>
          <w:i/>
          <w:iCs/>
        </w:rPr>
        <w:t>Journal of Ecology</w:t>
      </w:r>
      <w:r w:rsidRPr="00B936A6">
        <w:t xml:space="preserve">, </w:t>
      </w:r>
      <w:r w:rsidRPr="00B936A6">
        <w:rPr>
          <w:i/>
          <w:iCs/>
        </w:rPr>
        <w:t>111</w:t>
      </w:r>
      <w:r w:rsidRPr="00B936A6">
        <w:t xml:space="preserve">(9), 1866-1881. </w:t>
      </w:r>
      <w:hyperlink r:id="rId78" w:history="1">
        <w:r w:rsidRPr="00B936A6">
          <w:rPr>
            <w:rStyle w:val="Hyperlink"/>
          </w:rPr>
          <w:t>https://doi.org/10.1111/1365-2745.14145</w:t>
        </w:r>
      </w:hyperlink>
      <w:r w:rsidRPr="00B936A6">
        <w:t xml:space="preserve">. The </w:t>
      </w:r>
      <w:r w:rsidRPr="00B936A6">
        <w:lastRenderedPageBreak/>
        <w:t>proliferation of understories after logging has significant implications for fuel hazard and fire control.</w:t>
      </w:r>
    </w:p>
    <w:p w:rsidR="00505B5B" w:rsidRPr="00B936A6" w:rsidRDefault="00505B5B" w:rsidP="00505B5B"/>
    <w:p w:rsidR="00505B5B" w:rsidRPr="00B936A6" w:rsidRDefault="00505B5B" w:rsidP="00505B5B">
      <w:r w:rsidRPr="00B936A6">
        <w:t xml:space="preserve">Crown fire is usually a </w:t>
      </w:r>
      <w:r w:rsidRPr="00B936A6">
        <w:rPr>
          <w:i/>
        </w:rPr>
        <w:t>passive</w:t>
      </w:r>
      <w:r w:rsidRPr="00B936A6">
        <w:t xml:space="preserve"> crown fire which relies on the preheating of canopy fuels by burning from below. When surface and ladder fuels are adequately treated </w:t>
      </w:r>
      <w:r w:rsidRPr="00B936A6">
        <w:rPr>
          <w:i/>
        </w:rPr>
        <w:t xml:space="preserve">active </w:t>
      </w:r>
      <w:r w:rsidRPr="00B936A6">
        <w:t>crown fire becomes an unlikely outcome except on very steep slopes where preheating is driven by the other crowns burning below. Active crown fire is such a rare event that it should not drive forest management objectives, and the agencies should instead focus on reducing surface and ladder fuels and retaining canopy to help create a cool moist microclimate and to help suppress the growth of surface and ladder fuels.</w:t>
      </w:r>
    </w:p>
    <w:p w:rsidR="00505B5B" w:rsidRPr="00B936A6" w:rsidRDefault="00505B5B" w:rsidP="00505B5B"/>
    <w:p w:rsidR="00505B5B" w:rsidRPr="00B936A6" w:rsidRDefault="00505B5B" w:rsidP="00505B5B">
      <w:r w:rsidRPr="00B936A6">
        <w:t xml:space="preserve">Removing canopy fuels creates canopy gaps and thus “radiation reaching the forest floor and air movement beneath the residual live tree canopy are increased, and both contribute to fuel drying. More open canopies also contribute to greater understory vegetation growth. The consequences of these changes on fire behavior are not fully understood, but such conditions may favor ignition and spread of fire more readily than in forests having few canopy gaps …” Kaufmann M.R., G.H. </w:t>
      </w:r>
      <w:proofErr w:type="spellStart"/>
      <w:r w:rsidRPr="00B936A6">
        <w:t>Aplet</w:t>
      </w:r>
      <w:proofErr w:type="spellEnd"/>
      <w:r w:rsidRPr="00B936A6">
        <w:t xml:space="preserve">, M. </w:t>
      </w:r>
      <w:proofErr w:type="spellStart"/>
      <w:r w:rsidRPr="00B936A6">
        <w:t>Babler</w:t>
      </w:r>
      <w:proofErr w:type="spellEnd"/>
      <w:r w:rsidRPr="00B936A6">
        <w:t xml:space="preserve">, W.L. Baker, B. </w:t>
      </w:r>
      <w:proofErr w:type="spellStart"/>
      <w:r w:rsidRPr="00B936A6">
        <w:t>Bentz</w:t>
      </w:r>
      <w:proofErr w:type="spellEnd"/>
      <w:r w:rsidRPr="00B936A6">
        <w:t xml:space="preserve">, M. Harrington, B.C. Hawkes, L. Stroh </w:t>
      </w:r>
      <w:proofErr w:type="spellStart"/>
      <w:r w:rsidRPr="00B936A6">
        <w:t>Huckaby</w:t>
      </w:r>
      <w:proofErr w:type="spellEnd"/>
      <w:r w:rsidRPr="00B936A6">
        <w:t xml:space="preserve">, M.J. Jenkins, D.M. </w:t>
      </w:r>
      <w:proofErr w:type="spellStart"/>
      <w:r w:rsidRPr="00B936A6">
        <w:t>Kashian</w:t>
      </w:r>
      <w:proofErr w:type="spellEnd"/>
      <w:r w:rsidRPr="00B936A6">
        <w:t xml:space="preserve">, R.E. Keane, D. </w:t>
      </w:r>
      <w:proofErr w:type="spellStart"/>
      <w:r w:rsidRPr="00B936A6">
        <w:t>Kulakowski</w:t>
      </w:r>
      <w:proofErr w:type="spellEnd"/>
      <w:r w:rsidRPr="00B936A6">
        <w:t xml:space="preserve">, C. McHugh, J. Negron, J. Popp, W.H. </w:t>
      </w:r>
      <w:proofErr w:type="spellStart"/>
      <w:r w:rsidRPr="00B936A6">
        <w:t>Romme</w:t>
      </w:r>
      <w:proofErr w:type="spellEnd"/>
      <w:r w:rsidRPr="00B936A6">
        <w:t xml:space="preserve">, T. </w:t>
      </w:r>
      <w:proofErr w:type="spellStart"/>
      <w:r w:rsidRPr="00B936A6">
        <w:t>Schoennagel</w:t>
      </w:r>
      <w:proofErr w:type="spellEnd"/>
      <w:r w:rsidRPr="00B936A6">
        <w:t xml:space="preserve">, W. </w:t>
      </w:r>
      <w:proofErr w:type="spellStart"/>
      <w:r w:rsidRPr="00B936A6">
        <w:t>Shepperd</w:t>
      </w:r>
      <w:proofErr w:type="spellEnd"/>
      <w:r w:rsidRPr="00B936A6">
        <w:t xml:space="preserve">, F.W. Smith, E. Kennedy Sutherland, D. Tinker, and T.T. Veblen. 2008. The status of our scientific understanding of lodgepole pine and mountain pine beetles – a focus on forest ecology and fire behavior. The Nature Conservancy, Arlington, VA. GFI technical report 2008-2. </w:t>
      </w:r>
      <w:hyperlink r:id="rId79" w:history="1">
        <w:r w:rsidRPr="00B936A6">
          <w:rPr>
            <w:rStyle w:val="Hyperlink"/>
          </w:rPr>
          <w:t>http://csfs.colostate.edu/pdfs/LPP_scientific-LS-www.pdf</w:t>
        </w:r>
      </w:hyperlink>
      <w:r w:rsidRPr="00B936A6">
        <w:t>.</w:t>
      </w:r>
    </w:p>
    <w:p w:rsidR="00505B5B" w:rsidRPr="00B936A6" w:rsidRDefault="00505B5B" w:rsidP="00505B5B">
      <w:pPr>
        <w:autoSpaceDE w:val="0"/>
      </w:pPr>
    </w:p>
    <w:p w:rsidR="00505B5B" w:rsidRPr="00B936A6" w:rsidRDefault="00505B5B" w:rsidP="00505B5B">
      <w:pPr>
        <w:autoSpaceDE w:val="0"/>
      </w:pPr>
      <w:r w:rsidRPr="00B936A6">
        <w:t xml:space="preserve">“Thinning is most effective when it removes understory trees, because larger overstory trees are more resistant to heat injury (Agee and Skinner 2005). In addition, shade and competition from larger trees slows the recruitment of younger trees in the understory.” Keeley, J.E.; </w:t>
      </w:r>
      <w:proofErr w:type="spellStart"/>
      <w:r w:rsidRPr="00B936A6">
        <w:t>Aplet</w:t>
      </w:r>
      <w:proofErr w:type="spellEnd"/>
      <w:r w:rsidRPr="00B936A6">
        <w:t xml:space="preserve">, G.H.; Christensen, N.L.; </w:t>
      </w:r>
      <w:proofErr w:type="spellStart"/>
      <w:r w:rsidRPr="00B936A6">
        <w:t>Conard</w:t>
      </w:r>
      <w:proofErr w:type="spellEnd"/>
      <w:r w:rsidRPr="00B936A6">
        <w:t xml:space="preserve">, S.C.; Johnson, E.A.; Omi, P.N.; Peterson, D.L.; </w:t>
      </w:r>
      <w:proofErr w:type="spellStart"/>
      <w:r w:rsidRPr="00B936A6">
        <w:t>Swetnam</w:t>
      </w:r>
      <w:proofErr w:type="spellEnd"/>
      <w:r w:rsidRPr="00B936A6">
        <w:t xml:space="preserve">, T.W. 2009. Ecological foundations for fire management in North American forest and shrubland ecosystems. Gen. Tech. Rep. PNW-GTR-779. Portland, OR: U.S. Department of Agriculture, Forest Service, Pacific Northwest Research Station. 92 p. </w:t>
      </w:r>
      <w:hyperlink r:id="rId80" w:history="1">
        <w:r w:rsidRPr="00B936A6">
          <w:rPr>
            <w:rStyle w:val="Hyperlink"/>
          </w:rPr>
          <w:t>http://www.fs.fed.us/pnw/pubs/pnw_gtr779.pdf</w:t>
        </w:r>
      </w:hyperlink>
      <w:r w:rsidRPr="00B936A6">
        <w:t>.</w:t>
      </w:r>
    </w:p>
    <w:p w:rsidR="00663673" w:rsidRPr="00B936A6" w:rsidRDefault="00663673" w:rsidP="00C13CE6"/>
    <w:p w:rsidR="00FB7836" w:rsidRPr="009B4CCC" w:rsidRDefault="00786628" w:rsidP="009B4CCC">
      <w:pPr>
        <w:pStyle w:val="Heading2"/>
      </w:pPr>
      <w:r w:rsidRPr="009B4CCC">
        <w:t xml:space="preserve">Roads </w:t>
      </w:r>
      <w:r w:rsidR="00834407" w:rsidRPr="009B4CCC">
        <w:t xml:space="preserve">and Steep Slope Logging </w:t>
      </w:r>
    </w:p>
    <w:p w:rsidR="00786628" w:rsidRPr="00B936A6" w:rsidRDefault="00E84EEE" w:rsidP="00C13CE6">
      <w:r w:rsidRPr="00B936A6">
        <w:t>Both road construction and logging on steep slopes will have adverse watershed effects, which raises the potential for significant effects, especially given that this project is in a municipal watershed. Oregon Wild scoping comments urged the FS to take a hard look at the increased impacts of tethered logging compared to skyline logging. The EA should also compare the effects commercial logging on steep slopes versus the less severe effects of non-commercial thinning and prescribed fire. The draft EA failed to do that.</w:t>
      </w:r>
    </w:p>
    <w:p w:rsidR="00E84EEE" w:rsidRPr="00B936A6" w:rsidRDefault="00E84EEE" w:rsidP="00C13CE6"/>
    <w:p w:rsidR="00563687" w:rsidRPr="00B936A6" w:rsidRDefault="00563687" w:rsidP="00C13CE6">
      <w:r w:rsidRPr="00B936A6">
        <w:t xml:space="preserve">The FS needs to consider an alternative that minimizes and mitigates trade-offs associated with road construction, by focusing treatments on areas accessible from existing roads, and avoiding </w:t>
      </w:r>
      <w:r w:rsidRPr="00B936A6">
        <w:lastRenderedPageBreak/>
        <w:t>road construction. The FS cannot say this does not meet the purpose and need, because the purpose and need does not require treating every acre.</w:t>
      </w:r>
    </w:p>
    <w:p w:rsidR="007D3E77" w:rsidRPr="00B936A6" w:rsidRDefault="007D3E77" w:rsidP="00C13CE6"/>
    <w:p w:rsidR="007D3E77" w:rsidRPr="00B936A6" w:rsidRDefault="007D3E77" w:rsidP="007D3E77">
      <w:r w:rsidRPr="00B936A6">
        <w:t>Temporary roads still cause serious adverse impacts to soil, water and wildlife, and spread weeds. Decommissioning such roads is not entirely successful and the soil compaction effects can last for decades. The agency should consider avoiding building spurs by treating some areas non-commercially (e.g. thin lightly, create lots of snags, and leave the material on site).</w:t>
      </w:r>
    </w:p>
    <w:p w:rsidR="0077722C" w:rsidRPr="00B936A6" w:rsidRDefault="0077722C" w:rsidP="0077722C"/>
    <w:p w:rsidR="0077722C" w:rsidRPr="00B936A6" w:rsidRDefault="0077722C" w:rsidP="0077722C">
      <w:r w:rsidRPr="00B936A6">
        <w:t>Skyline units and other steep slopes logging should be dropped, especially in RHCAs where sedimentation risk is highest and poses a direct risk to fish, macroinvertebrates, and amphibians.</w:t>
      </w:r>
    </w:p>
    <w:p w:rsidR="0077722C" w:rsidRPr="00B936A6" w:rsidRDefault="0077722C" w:rsidP="0077722C"/>
    <w:p w:rsidR="0077722C" w:rsidRPr="00B936A6" w:rsidRDefault="0077722C" w:rsidP="0077722C">
      <w:r w:rsidRPr="00B936A6">
        <w:t>If tethered logging is to be used, it must be analyzed and recognized as experimental with many unknown impacts, as well as controversial,</w:t>
      </w:r>
    </w:p>
    <w:p w:rsidR="007D3E77" w:rsidRPr="00B936A6" w:rsidRDefault="007D3E77" w:rsidP="007D3E77"/>
    <w:p w:rsidR="007D3E77" w:rsidRPr="00B936A6" w:rsidRDefault="007D3E77" w:rsidP="007D3E77">
      <w:r w:rsidRPr="00B936A6">
        <w:t>We urge the agency to avoid road construction, including temporary road construction. The ecological costs of road construction almost always outweigh any benefits of the associated commercial logging activity. Since an optimal landscape restoration plan includes a mix of treated and untreated areas, the agency can easily avoid road construction by co-locating untreated areas and inaccessible areas.</w:t>
      </w:r>
    </w:p>
    <w:p w:rsidR="007D3E77" w:rsidRPr="00B936A6" w:rsidRDefault="007D3E77" w:rsidP="007D3E77"/>
    <w:p w:rsidR="007D3E77" w:rsidRPr="00B936A6" w:rsidRDefault="007D3E77" w:rsidP="007D3E77">
      <w:r w:rsidRPr="00B936A6">
        <w:t>Temporary roads have many of the same impacts as permanent roads, including complete vegetation removal, severe soil disturbance and compaction, severe modification of the flow of water and air through the soil, impairment of soil biological activity, wildlife habitat fragmentation (especially for microfauna), and wildlife cover loss. In spite of the fact that some roads may only be used by heavy equipment on a temporary basis, the biophysical effects of temporary roads can be long-lasting. The FS may even come back and use these temporary roads for future vegetation management or fire management. The temporal effects of temp roads can also be extended by legal or illegal use by off highway vehicles, woodcutters, hunters, mushroom collectors, etc.</w:t>
      </w:r>
    </w:p>
    <w:p w:rsidR="007D3E77" w:rsidRPr="00B936A6" w:rsidRDefault="007D3E77" w:rsidP="007D3E77"/>
    <w:p w:rsidR="007D3E77" w:rsidRPr="00B936A6" w:rsidRDefault="007D3E77" w:rsidP="007D3E77">
      <w:r w:rsidRPr="00B936A6">
        <w:t>The November 2000 National Forest Roadless Area Conservation FEIS p 3-30 says that temporary roads are not designed and constructed to the same standard as classified roads and therefore result in a “higher risk of environmental impacts.” The NEPA analysis must account for this increased risk of temporary roads compared to permanent roads.</w:t>
      </w:r>
    </w:p>
    <w:p w:rsidR="007D3E77" w:rsidRPr="00B936A6" w:rsidRDefault="007D3E77" w:rsidP="007D3E77"/>
    <w:p w:rsidR="007D3E77" w:rsidRPr="00B936A6" w:rsidRDefault="007D3E77" w:rsidP="007D3E77">
      <w:r w:rsidRPr="00B936A6">
        <w:t>The Roadless FEIS also says:</w:t>
      </w:r>
    </w:p>
    <w:p w:rsidR="007D3E77" w:rsidRPr="00B936A6" w:rsidRDefault="007D3E77" w:rsidP="007D3E77">
      <w:pPr>
        <w:ind w:left="720"/>
      </w:pPr>
      <w:r w:rsidRPr="00B936A6">
        <w:t xml:space="preserve">Temporary roads present most of the same risks posed by permanent roads, although some may be of shorter duration. Many of these roads are designed to lower standards than permanent roads, are typically not maintained to the same standards, and are associated with additional ground disturbance during their removal. Also, use of temporary roads in a watershed to support timber harvest or other activities often involves construction of multiple roads over time, providing a more continuous disturbance to the watershed than a single, well-designed, maintained, and use-regulated road. While temporary roads may be used temporarily, for periods ranging up </w:t>
      </w:r>
      <w:r w:rsidRPr="00B936A6">
        <w:lastRenderedPageBreak/>
        <w:t>to 10 years before decommissioning, their short- and long-term effects on aquatic species and habitats can be extensive. [The FEIS has similar disclosures citing extensive impacts to terrestrial species and habitats, and rare plant populations.]</w:t>
      </w:r>
    </w:p>
    <w:p w:rsidR="007D3E77" w:rsidRPr="00B936A6" w:rsidRDefault="007D3E77" w:rsidP="007D3E77">
      <w:r w:rsidRPr="00B936A6">
        <w:t xml:space="preserve">Roadless Area Conservation FEIS — Specialist Report for Terrestrial and Aquatic Habitats and Species prepared by </w:t>
      </w:r>
      <w:proofErr w:type="spellStart"/>
      <w:r w:rsidRPr="00B936A6">
        <w:t>Seona</w:t>
      </w:r>
      <w:proofErr w:type="spellEnd"/>
      <w:r w:rsidRPr="00B936A6">
        <w:t xml:space="preserve"> Brown and Ron Archuleta, EIS Team Biologists </w:t>
      </w:r>
      <w:hyperlink r:id="rId81" w:history="1">
        <w:r w:rsidRPr="00B936A6">
          <w:rPr>
            <w:rStyle w:val="Hyperlink"/>
          </w:rPr>
          <w:t>http://web.archive.org/web/20040515020554/http://roadless.fs.fed.us/documents/feis/specrep/xbio_spec_rpt.pdf</w:t>
        </w:r>
      </w:hyperlink>
      <w:r w:rsidRPr="00B936A6">
        <w:t>.</w:t>
      </w:r>
    </w:p>
    <w:p w:rsidR="007D3E77" w:rsidRPr="00B936A6" w:rsidRDefault="007D3E77" w:rsidP="007D3E77">
      <w:pPr>
        <w:ind w:left="720"/>
      </w:pPr>
    </w:p>
    <w:p w:rsidR="007D3E77" w:rsidRPr="00B936A6" w:rsidRDefault="007D3E77" w:rsidP="007D3E77">
      <w:pPr>
        <w:ind w:left="720"/>
      </w:pPr>
      <w:r w:rsidRPr="00B936A6">
        <w:t>"Temporary roads are constructed with no engineering specifications since they are targeted to be used for a short time (ideally a single season), and then obliterated. This lack of construction design makes it particularly important to follow Project Design Criteria for avoiding potentially unstable slopes, even with potentially short time frame of use. That is because even temporary roads which are constructed with road cuts in steep, unstable terrain can trigger debris avalanches and slope failures by removing downslope support and interfering with surface and subsurface water flows that can weaken slopes."</w:t>
      </w:r>
    </w:p>
    <w:p w:rsidR="007D3E77" w:rsidRPr="00B936A6" w:rsidRDefault="007D3E77" w:rsidP="007D3E77">
      <w:r w:rsidRPr="00B936A6">
        <w:t xml:space="preserve">USDA 2020. Stella Landscape Restoration Project Draft Environmental Impact Statement. Page III-30. Rogue River Siskiyou National Forest. </w:t>
      </w:r>
      <w:hyperlink r:id="rId82" w:history="1">
        <w:r w:rsidRPr="00B936A6">
          <w:rPr>
            <w:rStyle w:val="Hyperlink"/>
          </w:rPr>
          <w:t>https://www.fs.usda.gov/project/?project=53241</w:t>
        </w:r>
      </w:hyperlink>
      <w:r w:rsidRPr="00B936A6">
        <w:t xml:space="preserve">. </w:t>
      </w:r>
    </w:p>
    <w:p w:rsidR="00663673" w:rsidRPr="00B936A6" w:rsidRDefault="00663673" w:rsidP="00C13CE6"/>
    <w:p w:rsidR="007D3E77" w:rsidRPr="00B936A6" w:rsidRDefault="007D3E77" w:rsidP="007D3E77">
      <w:r w:rsidRPr="00B936A6">
        <w:t>The agency should focus on treating areas that are accessible from existing roads, in order to avoid all the many adverse effects of roads. As part of this project, the agency should also close roads (especially those with the greatest adverse impacts on watershed conditions and habitat quality) to bring the project area into compliance with plan standards for road density.</w:t>
      </w:r>
    </w:p>
    <w:p w:rsidR="007D3E77" w:rsidRPr="00B936A6" w:rsidRDefault="007D3E77" w:rsidP="007D3E77"/>
    <w:p w:rsidR="007D3E77" w:rsidRPr="00B936A6" w:rsidRDefault="007D3E77" w:rsidP="007D3E77">
      <w:r w:rsidRPr="00B936A6">
        <w:t>Problems with roads/culverts include:</w:t>
      </w:r>
    </w:p>
    <w:p w:rsidR="007D3E77" w:rsidRPr="00B936A6" w:rsidRDefault="007D3E77" w:rsidP="007D3E77">
      <w:pPr>
        <w:numPr>
          <w:ilvl w:val="0"/>
          <w:numId w:val="8"/>
        </w:numPr>
        <w:suppressAutoHyphens/>
        <w:spacing w:line="240" w:lineRule="auto"/>
      </w:pPr>
      <w:r w:rsidRPr="00B936A6">
        <w:t>Soil disturbance, erosion, compaction, loss of forest productivity</w:t>
      </w:r>
    </w:p>
    <w:p w:rsidR="007D3E77" w:rsidRPr="00B936A6" w:rsidRDefault="007D3E77" w:rsidP="007D3E77">
      <w:pPr>
        <w:numPr>
          <w:ilvl w:val="0"/>
          <w:numId w:val="8"/>
        </w:numPr>
        <w:suppressAutoHyphens/>
        <w:spacing w:line="240" w:lineRule="auto"/>
      </w:pPr>
      <w:r w:rsidRPr="00B936A6">
        <w:t>Pollution: sedimentation, thermal loading</w:t>
      </w:r>
    </w:p>
    <w:p w:rsidR="007D3E77" w:rsidRPr="00B936A6" w:rsidRDefault="007D3E77" w:rsidP="007D3E77">
      <w:pPr>
        <w:numPr>
          <w:ilvl w:val="0"/>
          <w:numId w:val="8"/>
        </w:numPr>
        <w:suppressAutoHyphens/>
        <w:spacing w:line="240" w:lineRule="auto"/>
      </w:pPr>
      <w:r w:rsidRPr="00B936A6">
        <w:t>Hydrologic modification: flow interception, accelerated run-off, peak flows</w:t>
      </w:r>
    </w:p>
    <w:p w:rsidR="007D3E77" w:rsidRPr="00B936A6" w:rsidRDefault="007D3E77" w:rsidP="007D3E77">
      <w:pPr>
        <w:numPr>
          <w:ilvl w:val="0"/>
          <w:numId w:val="8"/>
        </w:numPr>
        <w:suppressAutoHyphens/>
        <w:spacing w:line="240" w:lineRule="auto"/>
      </w:pPr>
      <w:r w:rsidRPr="00B936A6">
        <w:t>Impaired floodplain function</w:t>
      </w:r>
    </w:p>
    <w:p w:rsidR="007D3E77" w:rsidRPr="00B936A6" w:rsidRDefault="007D3E77" w:rsidP="007D3E77">
      <w:pPr>
        <w:numPr>
          <w:ilvl w:val="0"/>
          <w:numId w:val="8"/>
        </w:numPr>
        <w:suppressAutoHyphens/>
        <w:spacing w:line="240" w:lineRule="auto"/>
      </w:pPr>
      <w:r w:rsidRPr="00B936A6">
        <w:t>Barrier to movement of wood and spawning gravel</w:t>
      </w:r>
    </w:p>
    <w:p w:rsidR="007D3E77" w:rsidRPr="00B936A6" w:rsidRDefault="007D3E77" w:rsidP="007D3E77">
      <w:pPr>
        <w:numPr>
          <w:ilvl w:val="0"/>
          <w:numId w:val="8"/>
        </w:numPr>
        <w:suppressAutoHyphens/>
        <w:spacing w:line="240" w:lineRule="auto"/>
      </w:pPr>
      <w:r w:rsidRPr="00B936A6">
        <w:t>Habitat removal</w:t>
      </w:r>
    </w:p>
    <w:p w:rsidR="007D3E77" w:rsidRPr="00B936A6" w:rsidRDefault="007D3E77" w:rsidP="007D3E77">
      <w:pPr>
        <w:numPr>
          <w:ilvl w:val="0"/>
          <w:numId w:val="8"/>
        </w:numPr>
        <w:suppressAutoHyphens/>
        <w:spacing w:line="240" w:lineRule="auto"/>
      </w:pPr>
      <w:r w:rsidRPr="00B936A6">
        <w:t>Reduced recruitment of snags and down wood habitat</w:t>
      </w:r>
    </w:p>
    <w:p w:rsidR="007D3E77" w:rsidRPr="00B936A6" w:rsidRDefault="007D3E77" w:rsidP="007D3E77">
      <w:pPr>
        <w:numPr>
          <w:ilvl w:val="0"/>
          <w:numId w:val="8"/>
        </w:numPr>
        <w:suppressAutoHyphens/>
        <w:spacing w:line="240" w:lineRule="auto"/>
      </w:pPr>
      <w:r w:rsidRPr="00B936A6">
        <w:t>Fragmentation: wildlife dispersal barrier</w:t>
      </w:r>
    </w:p>
    <w:p w:rsidR="007D3E77" w:rsidRPr="00B936A6" w:rsidRDefault="007D3E77" w:rsidP="007D3E77">
      <w:pPr>
        <w:numPr>
          <w:ilvl w:val="0"/>
          <w:numId w:val="8"/>
        </w:numPr>
        <w:suppressAutoHyphens/>
        <w:spacing w:line="240" w:lineRule="auto"/>
      </w:pPr>
      <w:r w:rsidRPr="00B936A6">
        <w:t>Human disturbance, weed vector, hunting pressure, loss of snags, litter, marbled murrelet nest predation, human fire ignition, etc.</w:t>
      </w:r>
    </w:p>
    <w:p w:rsidR="007D3E77" w:rsidRPr="00B936A6" w:rsidRDefault="007D3E77" w:rsidP="007D3E77">
      <w:pPr>
        <w:numPr>
          <w:ilvl w:val="0"/>
          <w:numId w:val="8"/>
        </w:numPr>
        <w:suppressAutoHyphens/>
        <w:spacing w:line="240" w:lineRule="auto"/>
      </w:pPr>
      <w:r w:rsidRPr="00B936A6">
        <w:t>Reduced carbon storage in adjacent and nearby forests</w:t>
      </w:r>
    </w:p>
    <w:p w:rsidR="007D3E77" w:rsidRPr="00B936A6" w:rsidRDefault="007D3E77" w:rsidP="007D3E77">
      <w:pPr>
        <w:ind w:left="720"/>
      </w:pPr>
    </w:p>
    <w:p w:rsidR="007D3E77" w:rsidRPr="00B936A6" w:rsidRDefault="007D3E77" w:rsidP="007D3E77">
      <w:r w:rsidRPr="00B936A6">
        <w:t>Road building, often associated with logging, always has unavoidable adverse impacts on soil, water, weeds, and wildlife, and carbon stores. In order to support the assertion that logging is really restoration and not just timber production under a new name, these adverse impacts must be mitigated with clear conservation benefits. Road building has many adverse and long-lasting impacts on soil, water, weeds, wildlife and carbon. When roads building is a part of a restoration logging project, it becomes much more difficult for the benefits to clearly off-set the additional adverse impacts.</w:t>
      </w:r>
    </w:p>
    <w:p w:rsidR="007D3E77" w:rsidRPr="00B936A6" w:rsidRDefault="007D3E77" w:rsidP="007D3E77"/>
    <w:p w:rsidR="007D3E77" w:rsidRPr="00B936A6" w:rsidRDefault="007D3E77" w:rsidP="007D3E77">
      <w:r w:rsidRPr="00B936A6">
        <w:t>Science tells us that</w:t>
      </w:r>
    </w:p>
    <w:p w:rsidR="007D3E77" w:rsidRPr="00B936A6" w:rsidRDefault="007D3E77" w:rsidP="007D3E77">
      <w:pPr>
        <w:ind w:left="720"/>
      </w:pPr>
      <w:r w:rsidRPr="00B936A6">
        <w:lastRenderedPageBreak/>
        <w:t xml:space="preserve">… no truly “safe” threshold road density exists, but rather negative impacts begin to accrue and be expressed with incursion of the very first road segment; and 2) highly significant impacts (e.g., threat of extirpation of sensitive species) are already apparent at road densities on the order of 0.6 km/km2 (1.0 mi/mi²) or less.  </w:t>
      </w:r>
    </w:p>
    <w:p w:rsidR="007D3E77" w:rsidRPr="00B936A6" w:rsidRDefault="007D3E77" w:rsidP="007D3E77">
      <w:proofErr w:type="spellStart"/>
      <w:r w:rsidRPr="00B936A6">
        <w:t>Carnefix</w:t>
      </w:r>
      <w:proofErr w:type="spellEnd"/>
      <w:r w:rsidRPr="00B936A6">
        <w:t xml:space="preserve">, G. and C.A. </w:t>
      </w:r>
      <w:proofErr w:type="spellStart"/>
      <w:r w:rsidRPr="00B936A6">
        <w:t>Frissell</w:t>
      </w:r>
      <w:proofErr w:type="spellEnd"/>
      <w:r w:rsidRPr="00B936A6">
        <w:t xml:space="preserve">. “Aquatic and Other Environmental Impacts of Roads: The Case for Road Density as Indicator of Human Disturbance and Road-Density Reduction as Restoration Target; A Concise Review.” Pacific Rivers Council Science Publication (2009) 09-001. Pacific Rivers Council, Portland, OR and Polson, MT. </w:t>
      </w:r>
      <w:hyperlink r:id="rId83" w:history="1">
        <w:r w:rsidRPr="00B936A6">
          <w:rPr>
            <w:rStyle w:val="Hyperlink"/>
          </w:rPr>
          <w:t>http://pacificrivers.org/science-research/resources-publications/road-density-as-indicator</w:t>
        </w:r>
      </w:hyperlink>
      <w:r w:rsidRPr="00B936A6">
        <w:t xml:space="preserve"> </w:t>
      </w:r>
    </w:p>
    <w:p w:rsidR="007D3E77" w:rsidRPr="00B936A6" w:rsidRDefault="007D3E77" w:rsidP="007D3E77"/>
    <w:p w:rsidR="007D3E77" w:rsidRPr="00B936A6" w:rsidRDefault="007D3E77" w:rsidP="007D3E77">
      <w:pPr>
        <w:ind w:left="720"/>
      </w:pPr>
      <w:r w:rsidRPr="00B936A6">
        <w:t>Nothing is worse for sensitive wildlife than a road. Over the last few decades, studies in a variety of terrestrial and aquatic ecosystems have demonstrated that many of the most pervasive threats to biological diversity - habitat destruction and fragmentation, edge effects, exotic species invasions, pollution, and overhunting - are aggravated by roads. Roads have been implicated as mortality sinks for animals ranging from snakes to wolves; as displacement factors affecting animal distribution and movement patterns; as population fragmenting factors; as sources of sediments that clog streams and destroy fisheries; as sources of deleterious edge effects; and as access corridors that encourage development, logging and poaching of rare plants and animals. Road-building in National Forests and other public lands threatens the existence of de facto wilderness and the species that depend on wilderness.</w:t>
      </w:r>
    </w:p>
    <w:p w:rsidR="007D3E77" w:rsidRPr="00B936A6" w:rsidRDefault="007D3E77" w:rsidP="007D3E77">
      <w:proofErr w:type="spellStart"/>
      <w:r w:rsidRPr="00B936A6">
        <w:t>Noss</w:t>
      </w:r>
      <w:proofErr w:type="spellEnd"/>
      <w:r w:rsidRPr="00B936A6">
        <w:t xml:space="preserve">, Reed; The Ecological Effects of Roads; </w:t>
      </w:r>
    </w:p>
    <w:p w:rsidR="007D3E77" w:rsidRPr="00B936A6" w:rsidRDefault="007D3E77" w:rsidP="007D3E77">
      <w:hyperlink r:id="rId84" w:history="1">
        <w:r w:rsidRPr="00B936A6">
          <w:rPr>
            <w:rStyle w:val="Hyperlink"/>
          </w:rPr>
          <w:t>http://www.wildlandscpr.org/ecological-effects-roads</w:t>
        </w:r>
      </w:hyperlink>
      <w:r w:rsidRPr="00B936A6">
        <w:t xml:space="preserve">; </w:t>
      </w:r>
      <w:hyperlink r:id="rId85" w:history="1">
        <w:r w:rsidRPr="00B936A6">
          <w:rPr>
            <w:rStyle w:val="Hyperlink"/>
          </w:rPr>
          <w:t>http://www.eco-action.org/dt/roads.html</w:t>
        </w:r>
      </w:hyperlink>
      <w:r w:rsidRPr="00B936A6">
        <w:t>.</w:t>
      </w:r>
    </w:p>
    <w:p w:rsidR="007D3E77" w:rsidRPr="00B936A6" w:rsidRDefault="007D3E77" w:rsidP="007D3E77"/>
    <w:p w:rsidR="007D3E77" w:rsidRPr="00B936A6" w:rsidRDefault="007D3E77" w:rsidP="007D3E77">
      <w:r w:rsidRPr="00B936A6">
        <w:t>Especially in light of climate change and its interactions with the transportation system, the NEPA analysis should review and consider the information and recommendations made in the scientific literature.</w:t>
      </w:r>
    </w:p>
    <w:p w:rsidR="007D3E77" w:rsidRPr="00B936A6" w:rsidRDefault="007D3E77" w:rsidP="007D3E77">
      <w:pPr>
        <w:ind w:left="720"/>
      </w:pPr>
      <w:r w:rsidRPr="00B936A6">
        <w:t>The following literature review summarizes the most recent thinking related to the</w:t>
      </w:r>
    </w:p>
    <w:p w:rsidR="007D3E77" w:rsidRPr="00B936A6" w:rsidRDefault="007D3E77" w:rsidP="007D3E77">
      <w:pPr>
        <w:ind w:left="720"/>
      </w:pPr>
      <w:r w:rsidRPr="00B936A6">
        <w:t>environmental impacts of forest roads and motorized routes and ways to address them. The literature review is divided into three sections that address the environmental effects of transportation infrastructure on forests, climate change and infrastructure, and creating sustainable forest transportation systems.</w:t>
      </w:r>
    </w:p>
    <w:p w:rsidR="007D3E77" w:rsidRPr="00B936A6" w:rsidRDefault="007D3E77" w:rsidP="007D3E77">
      <w:pPr>
        <w:ind w:left="1440"/>
      </w:pPr>
      <w:r w:rsidRPr="00B936A6">
        <w:t>I. Impacts of Transportation Infrastructure and Access to the Ecological Integrity of Terrestrial and Aquatic Ecosystems and Watersheds</w:t>
      </w:r>
    </w:p>
    <w:p w:rsidR="007D3E77" w:rsidRPr="00B936A6" w:rsidRDefault="007D3E77" w:rsidP="007D3E77">
      <w:pPr>
        <w:ind w:left="1440"/>
      </w:pPr>
      <w:r w:rsidRPr="00B936A6">
        <w:t>II. Climate Change and Transportation Infrastructure Including the Value of Roadless Areas for Climate Change Adaptation</w:t>
      </w:r>
    </w:p>
    <w:p w:rsidR="007D3E77" w:rsidRPr="00B936A6" w:rsidRDefault="007D3E77" w:rsidP="007D3E77">
      <w:pPr>
        <w:ind w:left="1440"/>
      </w:pPr>
      <w:r w:rsidRPr="00B936A6">
        <w:t>III. Sustainable Transportation Management in National Forests as Part of Ecological Restoration</w:t>
      </w:r>
    </w:p>
    <w:p w:rsidR="007D3E77" w:rsidRPr="00B936A6" w:rsidRDefault="007D3E77" w:rsidP="007D3E77">
      <w:pPr>
        <w:ind w:left="720"/>
      </w:pPr>
      <w:r w:rsidRPr="00B936A6">
        <w:t>...</w:t>
      </w:r>
    </w:p>
    <w:p w:rsidR="007D3E77" w:rsidRPr="00B936A6" w:rsidRDefault="007D3E77" w:rsidP="007D3E77">
      <w:pPr>
        <w:ind w:left="720"/>
      </w:pPr>
      <w:r w:rsidRPr="00B936A6">
        <w:t xml:space="preserve">As climate change impacts grow more profound, forest managers must consider the impacts on the transportation system as well as from the transportation system. In terms of the former, changes in precipitation and hydrologic patterns will strain infrastructure at times to the breaking point resulting in damage to streams, fish habitat, and water quality as well as threats to public safety. In terms of the latter, the fragmenting effect of </w:t>
      </w:r>
      <w:r w:rsidRPr="00B936A6">
        <w:lastRenderedPageBreak/>
        <w:t xml:space="preserve">roads on habitat will impede the movement of species which is a fundamental element of adaptation. </w:t>
      </w:r>
    </w:p>
    <w:p w:rsidR="007D3E77" w:rsidRPr="00B936A6" w:rsidRDefault="007D3E77" w:rsidP="007D3E77">
      <w:pPr>
        <w:ind w:left="720"/>
      </w:pPr>
      <w:r w:rsidRPr="00B936A6">
        <w:t>...</w:t>
      </w:r>
    </w:p>
    <w:p w:rsidR="007D3E77" w:rsidRPr="00B936A6" w:rsidRDefault="007D3E77" w:rsidP="007D3E77">
      <w:pPr>
        <w:ind w:left="720"/>
        <w:rPr>
          <w:b/>
        </w:rPr>
      </w:pPr>
      <w:r w:rsidRPr="00B936A6">
        <w:rPr>
          <w:b/>
        </w:rPr>
        <w:t>Transportation infrastructure and carbon sequestration</w:t>
      </w:r>
    </w:p>
    <w:p w:rsidR="007D3E77" w:rsidRPr="00B936A6" w:rsidRDefault="007D3E77" w:rsidP="007D3E77">
      <w:pPr>
        <w:ind w:left="720"/>
      </w:pPr>
      <w:r w:rsidRPr="00B936A6">
        <w:t>The topic of the relationship of road restoration and carbon has only recently been explored. There is the potential for large amounts of carbon (C) to be sequestered by reclaiming roads. When roads are decompacted during reclamation, vegetation and soils can develop more rapidly and sequester large amounts of carbon. A recent study estimated total soil C storage increased 6 fold to 6.5 x 107g C/km (to 25 cm depth) in the northwestern US compared to untreated abandoned roads (Lloyd et al. 2013). Another recent study concluded that reclaiming 425 km of logging roads over the last 30 years in Redwood National Park in Northern California resulted in net carbon savings of 49,000 Mg carbon to date (</w:t>
      </w:r>
      <w:proofErr w:type="spellStart"/>
      <w:r w:rsidRPr="00B936A6">
        <w:t>Madej</w:t>
      </w:r>
      <w:proofErr w:type="spellEnd"/>
      <w:r w:rsidRPr="00B936A6">
        <w:t xml:space="preserve"> et al. 2013, Table 5).</w:t>
      </w:r>
    </w:p>
    <w:p w:rsidR="007D3E77" w:rsidRPr="00B936A6" w:rsidRDefault="007D3E77" w:rsidP="007D3E77">
      <w:r w:rsidRPr="00B936A6">
        <w:t xml:space="preserve">The Wilderness Society. 2014. Transportation Infrastructure and Access on National Forests and Grasslands - A Literature Review. May 2014. </w:t>
      </w:r>
      <w:hyperlink r:id="rId86" w:history="1">
        <w:r w:rsidRPr="00B936A6">
          <w:rPr>
            <w:rStyle w:val="Hyperlink"/>
          </w:rPr>
          <w:t>https://www.fs.usda.gov/nfs/11558/www/nepa/96158_FSPLT3_3989888.pdf</w:t>
        </w:r>
      </w:hyperlink>
      <w:r w:rsidRPr="00B936A6">
        <w:t xml:space="preserve">, </w:t>
      </w:r>
      <w:hyperlink r:id="rId87" w:history="1">
        <w:r w:rsidRPr="00B936A6">
          <w:rPr>
            <w:rStyle w:val="Hyperlink"/>
          </w:rPr>
          <w:t>https://www.sierraforestlegacy.org/Resources/Conservation/ProjectsPlans/ForestPlanRevisions/SFL%20et%20al.%20FPR%20comments%20part%205%20of%205.pdf</w:t>
        </w:r>
      </w:hyperlink>
      <w:r w:rsidRPr="00B936A6">
        <w:t xml:space="preserve">. Road networks are also associated with reduced carbon storage in adjacent and nearby forests. Hu, X., Zhang, L., Ye, L., Lin, Y. &amp; </w:t>
      </w:r>
      <w:proofErr w:type="spellStart"/>
      <w:r w:rsidRPr="00B936A6">
        <w:t>Qiu</w:t>
      </w:r>
      <w:proofErr w:type="spellEnd"/>
      <w:r w:rsidRPr="00B936A6">
        <w:t xml:space="preserve">, R. Locating spatial variation in the association between road network and forest biomass carbon accumulation. Ecol. Indic. 73, 214–223 (2017). </w:t>
      </w:r>
      <w:hyperlink r:id="rId88" w:history="1">
        <w:r w:rsidRPr="00B936A6">
          <w:rPr>
            <w:rStyle w:val="Hyperlink"/>
          </w:rPr>
          <w:t>https://www.sciencedirect.com/science/article/abs/pii/S1470160X16305738</w:t>
        </w:r>
      </w:hyperlink>
      <w:r w:rsidRPr="00B936A6">
        <w:t xml:space="preserve">. </w:t>
      </w:r>
    </w:p>
    <w:p w:rsidR="007D3E77" w:rsidRPr="00B936A6" w:rsidRDefault="007D3E77" w:rsidP="007D3E77"/>
    <w:p w:rsidR="007D3E77" w:rsidRPr="00B936A6" w:rsidRDefault="007D3E77" w:rsidP="007D3E77">
      <w:r w:rsidRPr="00B936A6">
        <w:t xml:space="preserve">Science indicates that the erosion from roads is far worse than that from severe fire. </w:t>
      </w:r>
      <w:bookmarkStart w:id="2" w:name="map1"/>
      <w:proofErr w:type="spellStart"/>
      <w:r w:rsidRPr="00B936A6">
        <w:t>Colombaroli</w:t>
      </w:r>
      <w:proofErr w:type="spellEnd"/>
      <w:r w:rsidRPr="00B936A6">
        <w:t>, D. and D.G. Gavin. 2010. Highly episodic fire and erosion regime over the past 2000 years in the Siskiyou Mountains, Oregon. Proceedings of the National Academy of Sciences of the United States of America 107: 18909-18914.</w:t>
      </w:r>
      <w:bookmarkEnd w:id="2"/>
      <w:r w:rsidRPr="00B936A6">
        <w:t xml:space="preserve"> </w:t>
      </w:r>
      <w:hyperlink r:id="rId89" w:history="1">
        <w:r w:rsidRPr="00B936A6">
          <w:rPr>
            <w:rStyle w:val="Hyperlink"/>
          </w:rPr>
          <w:t>http://www.pnas.org/content/early/2010/10/13/1007692107.full.pdf</w:t>
        </w:r>
      </w:hyperlink>
      <w:r w:rsidRPr="00B936A6">
        <w:t>. This should be part of the NEPA analysis weighing the relative risks from fire versus the effects of logging and roads.</w:t>
      </w:r>
    </w:p>
    <w:p w:rsidR="007D3E77" w:rsidRPr="00B936A6" w:rsidRDefault="007D3E77" w:rsidP="007D3E77"/>
    <w:p w:rsidR="007D3E77" w:rsidRPr="00B936A6" w:rsidRDefault="007D3E77" w:rsidP="007D3E77">
      <w:r w:rsidRPr="00B936A6">
        <w:t xml:space="preserve">The ICBEMP analysis found that roads have a disproportionate impacts on aquatic and terrestrial systems. </w:t>
      </w:r>
    </w:p>
    <w:p w:rsidR="007D3E77" w:rsidRPr="00B936A6" w:rsidRDefault="007D3E77" w:rsidP="007D3E77">
      <w:pPr>
        <w:ind w:left="720"/>
      </w:pPr>
      <w:r w:rsidRPr="00B936A6">
        <w:t xml:space="preserve">A good example of combined departures [from historic range of variability] is roads on BLM- and FS-administered lands. Road surface area in itself only accounts for 2 percent of the BLM- and FS-administered lands. However, because of the linear pattern across the contour and connected effects on aquatic and terrestrial systems the affected area is approximately 65 percent. … Road density was found to be indirectly correlated with: (1) the distribution and spread of exotic plants, (2) many forest composition and structural changes, (3) efficacy of fire suppression activities, and (4) the probability of fire occurrence due to human caused ignitions. In forest systems, roads were associated with timber-management practices and thus correlated with the transition of shade-intolerant to shade-tolerant species, the loss of late-seral structures, reduced densities of large trees and snags, and increased fuel loadings. In rangeland systems, roads appear to function as vectors for dispersing exotic species. Regardless of the biophysical setting, roads appear to increase the efficacy of fire-suppression activities. … Subbasins having the </w:t>
      </w:r>
      <w:r w:rsidRPr="00B936A6">
        <w:lastRenderedPageBreak/>
        <w:t xml:space="preserve">highest forest integrity values were largely unroaded … Conversely, subbasins … that had been intensively roaded, typically had the lowest forest integrity … </w:t>
      </w:r>
    </w:p>
    <w:p w:rsidR="007D3E77" w:rsidRPr="00B936A6" w:rsidRDefault="007D3E77" w:rsidP="007D3E77">
      <w:pPr>
        <w:ind w:left="720"/>
      </w:pPr>
      <w:r w:rsidRPr="00B936A6">
        <w:t>…</w:t>
      </w:r>
    </w:p>
    <w:p w:rsidR="007D3E77" w:rsidRPr="00B936A6" w:rsidRDefault="007D3E77" w:rsidP="007D3E77">
      <w:pPr>
        <w:ind w:left="720"/>
      </w:pPr>
      <w:r w:rsidRPr="00B936A6">
        <w:t>Major decreases in pool habitat have been caused by two factors: the loss of riparian vegetation, and road and highway construction accompanying human</w:t>
      </w:r>
    </w:p>
    <w:p w:rsidR="007D3E77" w:rsidRPr="00B936A6" w:rsidRDefault="007D3E77" w:rsidP="007D3E77">
      <w:pPr>
        <w:ind w:left="720"/>
      </w:pPr>
      <w:r w:rsidRPr="00B936A6">
        <w:t>activities (such as timber harvest, grazing, and farming). Most notably, pool frequency (large pools and all pools) is inversely correlated with road density and management intensity. … The amount of fine sediment (sediment less than</w:t>
      </w:r>
    </w:p>
    <w:p w:rsidR="007D3E77" w:rsidRPr="00B936A6" w:rsidRDefault="007D3E77" w:rsidP="007D3E77">
      <w:pPr>
        <w:ind w:left="720"/>
      </w:pPr>
      <w:r w:rsidRPr="00B936A6">
        <w:t>6 mm) on channel beds is another important aspect of habitat quality that apparently is influenced by management. The results of our analysis indicate</w:t>
      </w:r>
    </w:p>
    <w:p w:rsidR="007D3E77" w:rsidRPr="00B936A6" w:rsidRDefault="007D3E77" w:rsidP="007D3E77">
      <w:pPr>
        <w:ind w:left="720"/>
        <w:rPr>
          <w:b/>
          <w:bCs/>
        </w:rPr>
      </w:pPr>
      <w:r w:rsidRPr="00B936A6">
        <w:t xml:space="preserve">road density significantly affects surface fines and corroborates the link between forest management practices and channel sediment characteristics. … [T]he proportion [of strong salmonid populations] declines with road density. … </w:t>
      </w:r>
    </w:p>
    <w:p w:rsidR="007D3E77" w:rsidRPr="00B936A6" w:rsidRDefault="007D3E77" w:rsidP="007D3E77">
      <w:pPr>
        <w:ind w:left="720"/>
        <w:rPr>
          <w:b/>
          <w:bCs/>
        </w:rPr>
      </w:pPr>
    </w:p>
    <w:p w:rsidR="007D3E77" w:rsidRPr="00B936A6" w:rsidRDefault="007D3E77" w:rsidP="007D3E77">
      <w:pPr>
        <w:ind w:left="720"/>
      </w:pPr>
      <w:r w:rsidRPr="00B936A6">
        <w:rPr>
          <w:b/>
          <w:bCs/>
        </w:rPr>
        <w:t>Roads and Associated Activity</w:t>
      </w:r>
    </w:p>
    <w:p w:rsidR="007D3E77" w:rsidRPr="00B936A6" w:rsidRDefault="007D3E77" w:rsidP="007D3E77">
      <w:pPr>
        <w:ind w:left="720"/>
      </w:pPr>
      <w:r w:rsidRPr="00B936A6">
        <w:t xml:space="preserve"> Roads contribute to the disruption of hydrologic function and increase sediment delivery to streams. Roads also provide access, and the activities that accompany access magnify their negative effects on aquatic habitats. Activities associated with roads include fishing, recreation, timber harvest, livestock grazing, and agriculture. Roads also provide avenues for stocking non-native fishes. Unfortunately, we do not have adequate broad-scale information on many of these attendant effects to accurately identify their component contributions. Thus we are forced to use roads as a catch-all indicator of human disturbance.</w:t>
      </w:r>
    </w:p>
    <w:p w:rsidR="007D3E77" w:rsidRPr="00B936A6" w:rsidRDefault="007D3E77" w:rsidP="007D3E77">
      <w:pPr>
        <w:ind w:left="720"/>
      </w:pPr>
      <w:r w:rsidRPr="00B936A6">
        <w:t xml:space="preserve"> The discussion of the relationship of roads to fishes often centers around three themes: 1) the belief that road-building practices have improved enough in the last decade that we should not worry about their effects on aquatic systems; 2) the legacy of past road building is so vast and road maintenance budgets so low that the problems will be with us for a long time; and 3) the belief that there is not a strong correlation between road density and fish habitat and population.</w:t>
      </w:r>
    </w:p>
    <w:p w:rsidR="007D3E77" w:rsidRDefault="007D3E77" w:rsidP="007D3E77">
      <w:pPr>
        <w:pStyle w:val="BodyTextIndent"/>
      </w:pPr>
      <w:r>
        <w:t xml:space="preserve"> From an intensive review of the literature, we conclude that increases in sedimentation are unavoidable even using the most cautious reading methods. Roads combined with wildfires accentuate the risk from sedimentation. The amount of sediment or hydrologic alteration from roads that streams can tolerate before there is a negative response is not well known. It is not fully known which causes greater risk to aquatic systems: building roads to reduce fire risk or realizing the potential risk of fire. More research is needed in this area.</w:t>
      </w:r>
    </w:p>
    <w:p w:rsidR="007D3E77" w:rsidRPr="00B936A6" w:rsidRDefault="007D3E77" w:rsidP="007D3E77">
      <w:pPr>
        <w:ind w:left="720"/>
      </w:pPr>
      <w:r w:rsidRPr="00B936A6">
        <w:t xml:space="preserve"> The ability of the Forest Service and Bureau of Land Management to conduct road maintenance has been sharply reduced because of declining budgets. This is resulting in progressive degradation of road drainage structures and a potential increase in erosion. Most problems are with older roads that are located in sensitive terrain and roads that have been essentially abandoned, but are not adequately configured for long-term drainage. Given the magnitude of the area of federal forests with moderate to high road densities, the job of road maintenance will be expensive. Most road networks have not been inventoried to determine influence on riparian or aquatic resource goals and objectives.</w:t>
      </w:r>
    </w:p>
    <w:p w:rsidR="007D3E77" w:rsidRPr="00B936A6" w:rsidRDefault="007D3E77" w:rsidP="007D3E77">
      <w:pPr>
        <w:ind w:left="720"/>
      </w:pPr>
      <w:r w:rsidRPr="00B936A6">
        <w:lastRenderedPageBreak/>
        <w:t xml:space="preserve"> We conducted two analyses examining the correlation of roads to habitat and fish population status. Each of these </w:t>
      </w:r>
      <w:r w:rsidRPr="00B936A6">
        <w:rPr>
          <w:b/>
        </w:rPr>
        <w:t>analyses support the general conclusion that increasing road density correlates with declining aquatic habitat conditions and aquatic integrity</w:t>
      </w:r>
      <w:r w:rsidRPr="00B936A6">
        <w:t>. Our results clearly show that increasing road densities (combined with the activities associated with roads) and their attendant effects are associated with declines in the status of four nonanadromous salmonid species. Those species are less likely to use moderate to highly roaded areas for spawning and rearing, and if found are less likely to be at strong population levels. There is a consistent and unmistakable pattern based on empirical analysis of thousands of combinations of known species status and subwatershed conditions. The analysis is limited primarily to forested lands managed by the Forest Service and Bureau of Land Management.</w:t>
      </w:r>
    </w:p>
    <w:p w:rsidR="007D3E77" w:rsidRPr="00B936A6" w:rsidRDefault="007D3E77" w:rsidP="007D3E77">
      <w:pPr>
        <w:ind w:left="720"/>
      </w:pPr>
      <w:r w:rsidRPr="00B936A6">
        <w:t>…</w:t>
      </w:r>
    </w:p>
    <w:p w:rsidR="007D3E77" w:rsidRPr="00B936A6" w:rsidRDefault="007D3E77" w:rsidP="007D3E77">
      <w:pPr>
        <w:ind w:left="720"/>
      </w:pPr>
      <w:r w:rsidRPr="00B936A6">
        <w:t>Designated wilderness and potentially unroaded areas are important anchors for [salmonid] strongholds throughout the Basin. More than 8 million hectares (27%) of Forest Service and BLM lands in the Basin contain strongholds (40% of Forest Service and 4% of BLM). These stronghold subwatersheds contain large areas of unroaded land (about 4.7 million hectares), averaging 58 percent of the area of an individual subwatershed.</w:t>
      </w:r>
    </w:p>
    <w:p w:rsidR="007D3E77" w:rsidRPr="00B936A6" w:rsidRDefault="007D3E77" w:rsidP="007D3E77">
      <w:r w:rsidRPr="00B936A6">
        <w:t xml:space="preserve">Quigley, Thomas M.; </w:t>
      </w:r>
      <w:proofErr w:type="spellStart"/>
      <w:r w:rsidRPr="00B936A6">
        <w:t>Arbelbide</w:t>
      </w:r>
      <w:proofErr w:type="spellEnd"/>
      <w:r w:rsidRPr="00B936A6">
        <w:t xml:space="preserve">, Sylvia J., tech. eds. 1997. An assessment of ecosystem components in the interior Columbia basin and portions of the Klamath and Great Basins: volume 1. Gen. Tech. Rep. PNW-GTR-405. Portland, OR. </w:t>
      </w:r>
      <w:hyperlink r:id="rId90" w:history="1">
        <w:r w:rsidRPr="00B936A6">
          <w:rPr>
            <w:rStyle w:val="Hyperlink"/>
          </w:rPr>
          <w:t>http://www.fs.fed.us/pnw/publications/pnw_gtr405/pnw_gtr405_06.pdf</w:t>
        </w:r>
      </w:hyperlink>
      <w:r w:rsidRPr="00B936A6">
        <w:t xml:space="preserve"> </w:t>
      </w:r>
      <w:hyperlink r:id="rId91" w:history="1">
        <w:r w:rsidRPr="00B936A6">
          <w:rPr>
            <w:rStyle w:val="Hyperlink"/>
          </w:rPr>
          <w:t>http://www.fs.fed.us/pnw/publications/pnw_gtr405/pnw_gtr405_07.pdf</w:t>
        </w:r>
      </w:hyperlink>
      <w:r w:rsidRPr="00B936A6">
        <w:t>. We would be kidding ourselves to think that “modern road practices” avoid these problems, because the described effects seem to be mostly inherent and unavoidable outcomes of roads.</w:t>
      </w:r>
    </w:p>
    <w:p w:rsidR="007D3E77" w:rsidRPr="00B936A6" w:rsidRDefault="007D3E77" w:rsidP="007D3E77"/>
    <w:p w:rsidR="007D3E77" w:rsidRPr="00B936A6" w:rsidRDefault="007D3E77" w:rsidP="007D3E77">
      <w:r w:rsidRPr="00B936A6">
        <w:t>EPA describes the impacts of roads as follows:</w:t>
      </w:r>
    </w:p>
    <w:p w:rsidR="007D3E77" w:rsidRDefault="007D3E77" w:rsidP="007D3E77">
      <w:pPr>
        <w:pStyle w:val="BodyTextIndent"/>
      </w:pPr>
      <w:r>
        <w:t xml:space="preserve"> Stormwater discharges from logging roads, especially improperly constructed or maintained roads, may introduce significant amounts of sediment and other pollutants into surface waters and, consequently, cause a variety of water quality impacts. … [S]</w:t>
      </w:r>
      <w:proofErr w:type="spellStart"/>
      <w:r>
        <w:t>ilviculture</w:t>
      </w:r>
      <w:proofErr w:type="spellEnd"/>
      <w:r>
        <w:t xml:space="preserve"> sources contributed to impairment of 19,444 miles of rivers and streams [nationwide]. … forest roads can degrade aquatic ecosystems by increasing levels of fine sediment input to streams and by altering natural streamflow patterns. Forest road runoff from improperly designed or maintained forest roads can detrimentally affect stream health and aquatic habitat by increasing sediment delivery and stream turbidity. This can adversely affect the survival of dozens of sensitive aquatic biota (salmon, trout, </w:t>
      </w:r>
      <w:r>
        <w:rPr>
          <w:szCs w:val="24"/>
        </w:rPr>
        <w:t xml:space="preserve">other native fishes, amphibians and macroinvertebrates) where these species are located. Increased fine sediment deposition in streams and altered streamflows and channel morphology can result in increased adult and juvenile salmonid mortality where present (e.g., in the Northwest and parts of the East), a decrease in aquatic amphibian and invertebrate abundance or diversity, and decreased habitat complexity. </w:t>
      </w:r>
    </w:p>
    <w:p w:rsidR="007D3E77" w:rsidRDefault="007D3E77" w:rsidP="007D3E77">
      <w:pPr>
        <w:pStyle w:val="TOC4"/>
      </w:pPr>
      <w:r>
        <w:t xml:space="preserve"> The physical impacts of forest roads on streams, rivers, downstream water bodies and watershed integrity have been well documented but vary depending on site-specific factors. Improperly designed or maintained forest roads can affect watershed integrity </w:t>
      </w:r>
      <w:r>
        <w:lastRenderedPageBreak/>
        <w:t>through three primary mechanisms: they can intercept, concentrate, and divert water (Williams, 1999).</w:t>
      </w:r>
    </w:p>
    <w:p w:rsidR="007D3E77" w:rsidRPr="00B936A6" w:rsidRDefault="007D3E77" w:rsidP="007D3E77">
      <w:r w:rsidRPr="00B936A6">
        <w:t xml:space="preserve">EPA 2012. Notice of Intent To Revise Stormwater Regulations … Federal Register. May 23, 2012. </w:t>
      </w:r>
      <w:hyperlink r:id="rId92" w:history="1">
        <w:r w:rsidRPr="00B936A6">
          <w:rPr>
            <w:rStyle w:val="Hyperlink"/>
          </w:rPr>
          <w:t>http://www.gpo.gov/fdsys/pkg/FR-2012-05-23/pdf/2012-12524.pdf</w:t>
        </w:r>
      </w:hyperlink>
      <w:r w:rsidRPr="00B936A6">
        <w:t>.</w:t>
      </w:r>
    </w:p>
    <w:p w:rsidR="007D3E77" w:rsidRPr="00B936A6" w:rsidRDefault="007D3E77"/>
    <w:p w:rsidR="0064784B" w:rsidRPr="00B936A6" w:rsidRDefault="0064784B" w:rsidP="00C13CE6">
      <w:r w:rsidRPr="00B936A6">
        <w:t>Since this project is located in a drinking watershed, the Forest Service should consider these approaches to minimize and mitigate sediment production.</w:t>
      </w:r>
    </w:p>
    <w:p w:rsidR="0064784B" w:rsidRPr="00B936A6" w:rsidRDefault="0064784B" w:rsidP="0064784B">
      <w:pPr>
        <w:shd w:val="clear" w:color="auto" w:fill="FFFFFF"/>
        <w:ind w:left="576"/>
        <w:rPr>
          <w:rFonts w:cs="Times New Roman"/>
          <w:color w:val="000000"/>
        </w:rPr>
      </w:pPr>
      <w:r w:rsidRPr="00B936A6">
        <w:rPr>
          <w:rFonts w:cs="Times New Roman"/>
          <w:color w:val="000000"/>
        </w:rPr>
        <w:t>TREATMENT STRATAGIES FOR ROAD SURFACE RELATED EROSION AND SEDIMENT DELIVERY</w:t>
      </w:r>
    </w:p>
    <w:p w:rsidR="0064784B" w:rsidRPr="00B936A6" w:rsidRDefault="0064784B" w:rsidP="0064784B">
      <w:pPr>
        <w:shd w:val="clear" w:color="auto" w:fill="FFFFFF"/>
        <w:ind w:left="576"/>
        <w:rPr>
          <w:rFonts w:cs="Times New Roman"/>
          <w:color w:val="000000"/>
        </w:rPr>
      </w:pPr>
      <w:r w:rsidRPr="00B936A6">
        <w:rPr>
          <w:rFonts w:cs="Times New Roman"/>
          <w:color w:val="000000"/>
        </w:rPr>
        <w:t>Questions you should be asking yourself as you evaluate your road upgrade and maintenance plans</w:t>
      </w:r>
    </w:p>
    <w:p w:rsidR="0064784B" w:rsidRPr="00B936A6" w:rsidRDefault="0064784B" w:rsidP="0064784B">
      <w:pPr>
        <w:shd w:val="clear" w:color="auto" w:fill="FFFFFF"/>
        <w:ind w:left="576"/>
        <w:rPr>
          <w:rFonts w:cs="Times New Roman"/>
          <w:color w:val="000000"/>
        </w:rPr>
      </w:pPr>
      <w:r w:rsidRPr="00B936A6">
        <w:rPr>
          <w:rFonts w:cs="Times New Roman"/>
          <w:color w:val="000000"/>
        </w:rPr>
        <w:t>(1) Have you identified all of the locations where the road surface is hydrologically connected to the stream system?</w:t>
      </w:r>
    </w:p>
    <w:p w:rsidR="0064784B" w:rsidRPr="00B936A6" w:rsidRDefault="0064784B" w:rsidP="0064784B">
      <w:pPr>
        <w:shd w:val="clear" w:color="auto" w:fill="FFFFFF"/>
        <w:ind w:left="576"/>
        <w:rPr>
          <w:rFonts w:cs="Times New Roman"/>
          <w:color w:val="000000"/>
        </w:rPr>
      </w:pPr>
      <w:r w:rsidRPr="00B936A6">
        <w:rPr>
          <w:rFonts w:cs="Times New Roman"/>
          <w:color w:val="000000"/>
        </w:rPr>
        <w:t>(2) Are the initial treatment prescriptions based on site specific conditions and are they appropriate to minimize, to the extent possible, hydrologic connectivity and sediment delivery? Think performance based not prescriptive based</w:t>
      </w:r>
    </w:p>
    <w:p w:rsidR="0064784B" w:rsidRPr="00B936A6" w:rsidRDefault="0064784B" w:rsidP="0064784B">
      <w:pPr>
        <w:shd w:val="clear" w:color="auto" w:fill="FFFFFF"/>
        <w:ind w:left="576"/>
        <w:rPr>
          <w:rFonts w:cs="Times New Roman"/>
          <w:color w:val="000000"/>
        </w:rPr>
      </w:pPr>
      <w:r w:rsidRPr="00B936A6">
        <w:rPr>
          <w:rFonts w:cs="Times New Roman"/>
          <w:color w:val="000000"/>
        </w:rPr>
        <w:t>(3) In locations where hydrologic connectivity is unavoidable (such as the final approach to a stream crossing), have you prescribed road surfacing material (such as road rock) to minimize sediment production from the road surface?</w:t>
      </w:r>
    </w:p>
    <w:p w:rsidR="0064784B" w:rsidRPr="00B936A6" w:rsidRDefault="0064784B" w:rsidP="0064784B">
      <w:pPr>
        <w:shd w:val="clear" w:color="auto" w:fill="FFFFFF"/>
        <w:ind w:left="576"/>
        <w:rPr>
          <w:rFonts w:cs="Times New Roman"/>
          <w:color w:val="000000"/>
        </w:rPr>
      </w:pPr>
      <w:r w:rsidRPr="00B936A6">
        <w:rPr>
          <w:rFonts w:cs="Times New Roman"/>
          <w:color w:val="000000"/>
        </w:rPr>
        <w:t>(4) Have you developed a science based, property wide, prioritized action plan to address hydrologic connectivity between the road and the stream network?</w:t>
      </w:r>
    </w:p>
    <w:p w:rsidR="0064784B" w:rsidRPr="00B936A6" w:rsidRDefault="0064784B" w:rsidP="0064784B">
      <w:pPr>
        <w:shd w:val="clear" w:color="auto" w:fill="FFFFFF"/>
        <w:ind w:left="576"/>
        <w:rPr>
          <w:rFonts w:cs="Times New Roman"/>
          <w:color w:val="000000"/>
        </w:rPr>
      </w:pPr>
      <w:r w:rsidRPr="00B936A6">
        <w:rPr>
          <w:rFonts w:cs="Times New Roman"/>
          <w:color w:val="000000"/>
        </w:rPr>
        <w:t>(5) Do you have a thorough monitoring and adaptive management plan and is it being implemented?</w:t>
      </w:r>
    </w:p>
    <w:p w:rsidR="0064784B" w:rsidRPr="00B936A6" w:rsidRDefault="0064784B" w:rsidP="0064784B">
      <w:pPr>
        <w:shd w:val="clear" w:color="auto" w:fill="FFFFFF"/>
        <w:ind w:left="576"/>
        <w:rPr>
          <w:rFonts w:cs="Times New Roman"/>
          <w:color w:val="000000"/>
        </w:rPr>
      </w:pPr>
      <w:r w:rsidRPr="00B936A6">
        <w:rPr>
          <w:rFonts w:cs="Times New Roman"/>
          <w:color w:val="000000"/>
        </w:rPr>
        <w:t>(6) Does your road management plan include designating which roads are seasonal and which are for year round use?</w:t>
      </w:r>
    </w:p>
    <w:p w:rsidR="0064784B" w:rsidRPr="00B936A6" w:rsidRDefault="0064784B" w:rsidP="0064784B">
      <w:pPr>
        <w:shd w:val="clear" w:color="auto" w:fill="FFFFFF"/>
        <w:ind w:left="576"/>
        <w:rPr>
          <w:rFonts w:cs="Times New Roman"/>
          <w:color w:val="000000"/>
        </w:rPr>
      </w:pPr>
      <w:r w:rsidRPr="00B936A6">
        <w:rPr>
          <w:rFonts w:cs="Times New Roman"/>
          <w:color w:val="000000"/>
        </w:rPr>
        <w:t>(7) Do you or your consultant appear to have the mental and financial capacity to actively manage your road systems?</w:t>
      </w:r>
    </w:p>
    <w:p w:rsidR="0064784B" w:rsidRPr="00B936A6" w:rsidRDefault="0064784B" w:rsidP="0064784B">
      <w:r w:rsidRPr="00B936A6">
        <w:t xml:space="preserve">THOMAS H. LEROY 2023. MANAGING ROAD SYSTEMS FOR ENVIRONMENTAL PROTECTION AND LONG-TERM DURABILITY. PACIFIC WATERSHED ASSOCIATES. OCCFC Roads Panel Presentation, Oct 2023. </w:t>
      </w:r>
      <w:hyperlink r:id="rId93" w:history="1">
        <w:r w:rsidRPr="00B936A6">
          <w:rPr>
            <w:rStyle w:val="Hyperlink"/>
          </w:rPr>
          <w:t>https://www.calsalmon.org/sites/default/files/1_Managing_road_systems_for_environmental_protection_and_long_term_durability.pdf</w:t>
        </w:r>
      </w:hyperlink>
      <w:r w:rsidRPr="00B936A6">
        <w:t xml:space="preserve">; </w:t>
      </w:r>
      <w:hyperlink r:id="rId94" w:history="1">
        <w:r w:rsidRPr="00B936A6">
          <w:rPr>
            <w:rStyle w:val="Hyperlink"/>
          </w:rPr>
          <w:t>https://vimeo.com/showcase/9708837</w:t>
        </w:r>
      </w:hyperlink>
      <w:r w:rsidRPr="00B936A6">
        <w:t xml:space="preserve"> </w:t>
      </w:r>
    </w:p>
    <w:p w:rsidR="00C13CE6" w:rsidRPr="00B936A6" w:rsidRDefault="00C13CE6" w:rsidP="00C13CE6"/>
    <w:p w:rsidR="00790455" w:rsidRPr="00B936A6" w:rsidRDefault="00790455" w:rsidP="00C13CE6"/>
    <w:p w:rsidR="00790455" w:rsidRDefault="00790455" w:rsidP="00790455">
      <w:pPr>
        <w:pStyle w:val="Heading2"/>
      </w:pPr>
      <w:r>
        <w:t>Roads and Fire</w:t>
      </w:r>
    </w:p>
    <w:p w:rsidR="00790455" w:rsidRDefault="00790455" w:rsidP="00790455">
      <w:pPr>
        <w:pStyle w:val="NormalWeb"/>
        <w:shd w:val="clear" w:color="auto" w:fill="FFFFFF"/>
        <w:spacing w:before="0" w:after="0"/>
        <w:rPr>
          <w:rFonts w:ascii="Times" w:hAnsi="Times" w:cs="Times"/>
          <w:color w:val="000000"/>
        </w:rPr>
      </w:pPr>
      <w:r>
        <w:rPr>
          <w:rFonts w:ascii="Times" w:hAnsi="Times" w:cs="Times"/>
          <w:color w:val="000000"/>
        </w:rPr>
        <w:t>The EA needs to consider the trade-offs from roads including increased fire ignition risk, and increased fire/fuel hazard. The EA needs to consider an alternative that minimizes this risk by not building roads. The fact that roads are called temporary does not eliminate these effects. Forest Service road closures are often ignored by some members of the public, and the microclimate and edge effects caused by temporary roads do not go away when roads are closed.</w:t>
      </w:r>
    </w:p>
    <w:p w:rsidR="00790455" w:rsidRDefault="00790455" w:rsidP="00790455">
      <w:pPr>
        <w:pStyle w:val="NormalWeb"/>
        <w:shd w:val="clear" w:color="auto" w:fill="FFFFFF"/>
        <w:spacing w:before="0" w:after="0"/>
        <w:rPr>
          <w:rFonts w:ascii="Times" w:hAnsi="Times" w:cs="Times"/>
          <w:color w:val="000000"/>
        </w:rPr>
      </w:pPr>
    </w:p>
    <w:p w:rsidR="00790455" w:rsidRDefault="00790455" w:rsidP="00790455">
      <w:pPr>
        <w:pStyle w:val="NormalWeb"/>
        <w:shd w:val="clear" w:color="auto" w:fill="FFFFFF"/>
        <w:spacing w:before="0" w:after="0"/>
        <w:rPr>
          <w:rStyle w:val="apple-converted-space"/>
          <w:rFonts w:ascii="Times" w:hAnsi="Times" w:cs="Times"/>
          <w:color w:val="000000"/>
        </w:rPr>
      </w:pPr>
      <w:r>
        <w:rPr>
          <w:rFonts w:ascii="Times" w:hAnsi="Times" w:cs="Times"/>
          <w:color w:val="000000"/>
        </w:rPr>
        <w:t>The science is very clear, fire danger is higher in areas with existing roads and it increases dramatically with construction of new roads.</w:t>
      </w:r>
      <w:r>
        <w:rPr>
          <w:rStyle w:val="apple-converted-space"/>
          <w:rFonts w:ascii="Times" w:hAnsi="Times" w:cs="Times"/>
          <w:color w:val="000000"/>
        </w:rPr>
        <w:t> </w:t>
      </w:r>
      <w:r w:rsidRPr="000E790C">
        <w:t xml:space="preserve">Downing, W.M., Dunn, C.J., Thompson, M.P. et al. </w:t>
      </w:r>
      <w:r w:rsidRPr="000E790C">
        <w:lastRenderedPageBreak/>
        <w:t xml:space="preserve">Human ignitions on private lands drive USFS cross-boundary wildfire transmission and community impacts in the western US. </w:t>
      </w:r>
      <w:proofErr w:type="spellStart"/>
      <w:r w:rsidRPr="000E790C">
        <w:t>Sci</w:t>
      </w:r>
      <w:proofErr w:type="spellEnd"/>
      <w:r w:rsidRPr="000E790C">
        <w:t xml:space="preserve"> Rep 12, 2624 (2022). </w:t>
      </w:r>
      <w:hyperlink r:id="rId95" w:history="1">
        <w:r w:rsidRPr="00625A8D">
          <w:rPr>
            <w:rStyle w:val="Hyperlink"/>
          </w:rPr>
          <w:t>https://doi.org/10.1038/s41598-022-06002-3</w:t>
        </w:r>
      </w:hyperlink>
      <w:r>
        <w:t xml:space="preserve">, </w:t>
      </w:r>
      <w:hyperlink r:id="rId96" w:history="1">
        <w:r w:rsidRPr="00625A8D">
          <w:rPr>
            <w:rStyle w:val="Hyperlink"/>
          </w:rPr>
          <w:t>https://www.nature.com/articles/s41598-022-06002-3.pdf</w:t>
        </w:r>
      </w:hyperlink>
      <w:r>
        <w:t>. (“</w:t>
      </w:r>
      <w:r w:rsidRPr="000E790C">
        <w:t>We observed a strong positive association between private ignitions and road density, and a weak positive association with average temperature. For the USFS ignitions model, road density was the most important variable and demonstrated a strong positive association with ignitions.</w:t>
      </w:r>
      <w:r>
        <w:t xml:space="preserve">”)  </w:t>
      </w:r>
    </w:p>
    <w:p w:rsidR="00790455" w:rsidRDefault="00790455" w:rsidP="00790455">
      <w:pPr>
        <w:pStyle w:val="NormalWeb"/>
        <w:shd w:val="clear" w:color="auto" w:fill="FFFFFF"/>
        <w:spacing w:before="0" w:after="0"/>
        <w:rPr>
          <w:rStyle w:val="apple-converted-space"/>
          <w:rFonts w:ascii="Times" w:hAnsi="Times" w:cs="Times"/>
          <w:color w:val="000000"/>
        </w:rPr>
      </w:pPr>
    </w:p>
    <w:p w:rsidR="00790455" w:rsidRDefault="00790455" w:rsidP="00790455">
      <w:pPr>
        <w:pStyle w:val="NormalWeb"/>
        <w:shd w:val="clear" w:color="auto" w:fill="FFFFFF"/>
        <w:spacing w:before="0" w:after="0"/>
        <w:rPr>
          <w:rStyle w:val="apple-converted-space"/>
          <w:rFonts w:ascii="Times" w:hAnsi="Times" w:cs="Times"/>
          <w:color w:val="000000"/>
        </w:rPr>
      </w:pPr>
      <w:r>
        <w:rPr>
          <w:rStyle w:val="apple-converted-space"/>
          <w:rFonts w:ascii="Times" w:hAnsi="Times" w:cs="Times"/>
          <w:color w:val="000000"/>
        </w:rPr>
        <w:t>WildEarth Guardians created a fact sheet summarizing the influence of roads on fire hazard.</w:t>
      </w:r>
    </w:p>
    <w:p w:rsidR="00790455" w:rsidRPr="00FD0D13" w:rsidRDefault="00790455" w:rsidP="00790455">
      <w:pPr>
        <w:pStyle w:val="NormalWeb"/>
        <w:shd w:val="clear" w:color="auto" w:fill="FFFFFF"/>
        <w:spacing w:before="0" w:after="0"/>
        <w:ind w:left="360"/>
        <w:rPr>
          <w:rStyle w:val="apple-converted-space"/>
          <w:rFonts w:ascii="Times" w:hAnsi="Times" w:cs="Times"/>
          <w:b/>
          <w:color w:val="000000"/>
        </w:rPr>
      </w:pPr>
      <w:r w:rsidRPr="00FD0D13">
        <w:rPr>
          <w:b/>
        </w:rPr>
        <w:t>Forest Roads Increase Wildfires</w:t>
      </w:r>
    </w:p>
    <w:p w:rsidR="00790455" w:rsidRPr="00FD0D13" w:rsidRDefault="00790455" w:rsidP="00790455">
      <w:pPr>
        <w:pStyle w:val="NormalWeb"/>
        <w:numPr>
          <w:ilvl w:val="0"/>
          <w:numId w:val="7"/>
        </w:numPr>
        <w:shd w:val="clear" w:color="auto" w:fill="FFFFFF"/>
        <w:rPr>
          <w:rStyle w:val="apple-converted-space"/>
          <w:rFonts w:ascii="Times" w:hAnsi="Times" w:cs="Times"/>
          <w:color w:val="000000"/>
        </w:rPr>
      </w:pPr>
      <w:r w:rsidRPr="00FD0D13">
        <w:rPr>
          <w:rStyle w:val="apple-converted-space"/>
          <w:rFonts w:ascii="Times" w:hAnsi="Times" w:cs="Times"/>
          <w:color w:val="000000"/>
        </w:rPr>
        <w:t>A review of 1.5 million fire records over 20 years</w:t>
      </w:r>
      <w:r>
        <w:rPr>
          <w:rStyle w:val="apple-converted-space"/>
          <w:rFonts w:ascii="Times" w:hAnsi="Times" w:cs="Times"/>
          <w:color w:val="000000"/>
        </w:rPr>
        <w:t xml:space="preserve"> </w:t>
      </w:r>
      <w:r w:rsidRPr="00FD0D13">
        <w:rPr>
          <w:rStyle w:val="apple-converted-space"/>
          <w:rFonts w:ascii="Times" w:hAnsi="Times" w:cs="Times"/>
          <w:color w:val="000000"/>
        </w:rPr>
        <w:t>found human-caused fires were responsible for 84% of</w:t>
      </w:r>
      <w:r>
        <w:rPr>
          <w:rStyle w:val="apple-converted-space"/>
          <w:rFonts w:ascii="Times" w:hAnsi="Times" w:cs="Times"/>
          <w:color w:val="000000"/>
        </w:rPr>
        <w:t xml:space="preserve"> </w:t>
      </w:r>
      <w:r w:rsidRPr="00FD0D13">
        <w:rPr>
          <w:rStyle w:val="apple-converted-space"/>
          <w:rFonts w:ascii="Times" w:hAnsi="Times" w:cs="Times"/>
          <w:color w:val="000000"/>
        </w:rPr>
        <w:t>wildfires and 44% of the total area burned.</w:t>
      </w:r>
    </w:p>
    <w:p w:rsidR="00790455" w:rsidRPr="00FD0D13" w:rsidRDefault="00790455" w:rsidP="00790455">
      <w:pPr>
        <w:pStyle w:val="NormalWeb"/>
        <w:numPr>
          <w:ilvl w:val="0"/>
          <w:numId w:val="7"/>
        </w:numPr>
        <w:shd w:val="clear" w:color="auto" w:fill="FFFFFF"/>
        <w:rPr>
          <w:rStyle w:val="apple-converted-space"/>
          <w:rFonts w:ascii="Times" w:hAnsi="Times" w:cs="Times"/>
          <w:color w:val="000000"/>
        </w:rPr>
      </w:pPr>
      <w:r w:rsidRPr="00FD0D13">
        <w:rPr>
          <w:rStyle w:val="apple-converted-space"/>
          <w:rFonts w:ascii="Times" w:hAnsi="Times" w:cs="Times"/>
          <w:color w:val="000000"/>
        </w:rPr>
        <w:t>Road density has been linked with increases in</w:t>
      </w:r>
      <w:r>
        <w:rPr>
          <w:rStyle w:val="apple-converted-space"/>
          <w:rFonts w:ascii="Times" w:hAnsi="Times" w:cs="Times"/>
          <w:color w:val="000000"/>
        </w:rPr>
        <w:t xml:space="preserve"> </w:t>
      </w:r>
      <w:r w:rsidRPr="00FD0D13">
        <w:rPr>
          <w:rStyle w:val="apple-converted-space"/>
          <w:rFonts w:ascii="Times" w:hAnsi="Times" w:cs="Times"/>
          <w:color w:val="000000"/>
        </w:rPr>
        <w:t>human-caused wildfires, as the density of roads</w:t>
      </w:r>
      <w:r>
        <w:rPr>
          <w:rStyle w:val="apple-converted-space"/>
          <w:rFonts w:ascii="Times" w:hAnsi="Times" w:cs="Times"/>
          <w:color w:val="000000"/>
        </w:rPr>
        <w:t xml:space="preserve"> </w:t>
      </w:r>
      <w:r w:rsidRPr="00FD0D13">
        <w:rPr>
          <w:rStyle w:val="apple-converted-space"/>
          <w:rFonts w:ascii="Times" w:hAnsi="Times" w:cs="Times"/>
          <w:color w:val="000000"/>
        </w:rPr>
        <w:t>increases so does the number of fire ignitions.</w:t>
      </w:r>
    </w:p>
    <w:p w:rsidR="00790455" w:rsidRPr="00FD0D13" w:rsidRDefault="00790455" w:rsidP="00790455">
      <w:pPr>
        <w:pStyle w:val="NormalWeb"/>
        <w:numPr>
          <w:ilvl w:val="0"/>
          <w:numId w:val="7"/>
        </w:numPr>
        <w:shd w:val="clear" w:color="auto" w:fill="FFFFFF"/>
        <w:rPr>
          <w:rStyle w:val="apple-converted-space"/>
          <w:rFonts w:ascii="Times" w:hAnsi="Times" w:cs="Times"/>
          <w:color w:val="000000"/>
        </w:rPr>
      </w:pPr>
      <w:r w:rsidRPr="00FD0D13">
        <w:rPr>
          <w:rStyle w:val="apple-converted-space"/>
          <w:rFonts w:ascii="Times" w:hAnsi="Times" w:cs="Times"/>
          <w:color w:val="000000"/>
        </w:rPr>
        <w:t>Roads change microclimates far into the forest which</w:t>
      </w:r>
      <w:r>
        <w:rPr>
          <w:rStyle w:val="apple-converted-space"/>
          <w:rFonts w:ascii="Times" w:hAnsi="Times" w:cs="Times"/>
          <w:color w:val="000000"/>
        </w:rPr>
        <w:t xml:space="preserve"> </w:t>
      </w:r>
      <w:r w:rsidRPr="00FD0D13">
        <w:rPr>
          <w:rStyle w:val="apple-converted-space"/>
          <w:rFonts w:ascii="Times" w:hAnsi="Times" w:cs="Times"/>
          <w:color w:val="000000"/>
        </w:rPr>
        <w:t>increases wildfire risks by making areas dryer, hotter</w:t>
      </w:r>
      <w:r>
        <w:rPr>
          <w:rStyle w:val="apple-converted-space"/>
          <w:rFonts w:ascii="Times" w:hAnsi="Times" w:cs="Times"/>
          <w:color w:val="000000"/>
        </w:rPr>
        <w:t xml:space="preserve"> </w:t>
      </w:r>
      <w:r w:rsidRPr="00FD0D13">
        <w:rPr>
          <w:rStyle w:val="apple-converted-space"/>
          <w:rFonts w:ascii="Times" w:hAnsi="Times" w:cs="Times"/>
          <w:color w:val="000000"/>
        </w:rPr>
        <w:t>and windier.</w:t>
      </w:r>
    </w:p>
    <w:p w:rsidR="00790455" w:rsidRPr="00FD0D13" w:rsidRDefault="00790455" w:rsidP="00790455">
      <w:pPr>
        <w:pStyle w:val="NormalWeb"/>
        <w:numPr>
          <w:ilvl w:val="0"/>
          <w:numId w:val="7"/>
        </w:numPr>
        <w:shd w:val="clear" w:color="auto" w:fill="FFFFFF"/>
        <w:rPr>
          <w:rStyle w:val="apple-converted-space"/>
          <w:rFonts w:ascii="Times" w:hAnsi="Times" w:cs="Times"/>
          <w:color w:val="000000"/>
        </w:rPr>
      </w:pPr>
      <w:r w:rsidRPr="00FD0D13">
        <w:rPr>
          <w:rStyle w:val="apple-converted-space"/>
          <w:rFonts w:ascii="Times" w:hAnsi="Times" w:cs="Times"/>
          <w:color w:val="000000"/>
        </w:rPr>
        <w:t>An increase in lightning-caused fires in roaded areas</w:t>
      </w:r>
      <w:r>
        <w:rPr>
          <w:rStyle w:val="apple-converted-space"/>
          <w:rFonts w:ascii="Times" w:hAnsi="Times" w:cs="Times"/>
          <w:color w:val="000000"/>
        </w:rPr>
        <w:t xml:space="preserve"> </w:t>
      </w:r>
      <w:r w:rsidRPr="00FD0D13">
        <w:rPr>
          <w:rStyle w:val="apple-converted-space"/>
          <w:rFonts w:ascii="Times" w:hAnsi="Times" w:cs="Times"/>
          <w:color w:val="000000"/>
        </w:rPr>
        <w:t>may be due to roadside edge effects.</w:t>
      </w:r>
    </w:p>
    <w:p w:rsidR="00790455" w:rsidRDefault="00790455" w:rsidP="00790455">
      <w:pPr>
        <w:pStyle w:val="NormalWeb"/>
        <w:numPr>
          <w:ilvl w:val="0"/>
          <w:numId w:val="7"/>
        </w:numPr>
        <w:shd w:val="clear" w:color="auto" w:fill="FFFFFF"/>
        <w:rPr>
          <w:rStyle w:val="apple-converted-space"/>
          <w:rFonts w:ascii="Times" w:hAnsi="Times" w:cs="Times"/>
          <w:color w:val="000000"/>
        </w:rPr>
      </w:pPr>
      <w:r w:rsidRPr="00FD0D13">
        <w:rPr>
          <w:rStyle w:val="apple-converted-space"/>
          <w:rFonts w:ascii="Times" w:hAnsi="Times" w:cs="Times"/>
          <w:color w:val="000000"/>
        </w:rPr>
        <w:t>Roaded areas create a distinct fire fuels profile which</w:t>
      </w:r>
      <w:r>
        <w:rPr>
          <w:rStyle w:val="apple-converted-space"/>
          <w:rFonts w:ascii="Times" w:hAnsi="Times" w:cs="Times"/>
          <w:color w:val="000000"/>
        </w:rPr>
        <w:t xml:space="preserve"> </w:t>
      </w:r>
      <w:r w:rsidRPr="00FD0D13">
        <w:rPr>
          <w:rStyle w:val="apple-converted-space"/>
          <w:rFonts w:ascii="Times" w:hAnsi="Times" w:cs="Times"/>
          <w:color w:val="000000"/>
        </w:rPr>
        <w:t>may influence ignition risk and burn severity</w:t>
      </w:r>
    </w:p>
    <w:p w:rsidR="00790455" w:rsidRPr="00FD0D13" w:rsidRDefault="00790455" w:rsidP="00790455">
      <w:pPr>
        <w:pStyle w:val="NormalWeb"/>
        <w:shd w:val="clear" w:color="auto" w:fill="FFFFFF"/>
        <w:ind w:left="360"/>
        <w:rPr>
          <w:rStyle w:val="apple-converted-space"/>
          <w:rFonts w:ascii="Times" w:hAnsi="Times" w:cs="Times"/>
          <w:b/>
          <w:color w:val="000000"/>
        </w:rPr>
      </w:pPr>
      <w:r w:rsidRPr="00FD0D13">
        <w:rPr>
          <w:rStyle w:val="apple-converted-space"/>
          <w:rFonts w:ascii="Times" w:hAnsi="Times" w:cs="Times"/>
          <w:b/>
          <w:color w:val="000000"/>
        </w:rPr>
        <w:t>Ecological Impacts</w:t>
      </w:r>
    </w:p>
    <w:p w:rsidR="00790455" w:rsidRPr="00FD0D13" w:rsidRDefault="00790455" w:rsidP="00790455">
      <w:pPr>
        <w:pStyle w:val="NormalWeb"/>
        <w:numPr>
          <w:ilvl w:val="0"/>
          <w:numId w:val="7"/>
        </w:numPr>
        <w:shd w:val="clear" w:color="auto" w:fill="FFFFFF"/>
        <w:rPr>
          <w:rFonts w:ascii="Times" w:hAnsi="Times" w:cs="Times"/>
          <w:color w:val="000000"/>
        </w:rPr>
      </w:pPr>
      <w:r>
        <w:t xml:space="preserve">Forest roads can change where and when fires burn, which harms ecological communities. </w:t>
      </w:r>
    </w:p>
    <w:p w:rsidR="00790455" w:rsidRPr="00FD0D13" w:rsidRDefault="00790455" w:rsidP="00790455">
      <w:pPr>
        <w:pStyle w:val="NormalWeb"/>
        <w:numPr>
          <w:ilvl w:val="0"/>
          <w:numId w:val="7"/>
        </w:numPr>
        <w:shd w:val="clear" w:color="auto" w:fill="FFFFFF"/>
        <w:rPr>
          <w:rFonts w:ascii="Times" w:hAnsi="Times" w:cs="Times"/>
          <w:color w:val="000000"/>
        </w:rPr>
      </w:pPr>
      <w:r>
        <w:t xml:space="preserve">After a wildfire, roads are susceptible to erosion and catastrophic culvert failures, which delivers sediment to streams and reduces the quality of aquatic habitat. </w:t>
      </w:r>
    </w:p>
    <w:p w:rsidR="00790455" w:rsidRPr="00FD0D13" w:rsidRDefault="00790455" w:rsidP="00790455">
      <w:pPr>
        <w:pStyle w:val="NormalWeb"/>
        <w:numPr>
          <w:ilvl w:val="0"/>
          <w:numId w:val="7"/>
        </w:numPr>
        <w:shd w:val="clear" w:color="auto" w:fill="FFFFFF"/>
        <w:rPr>
          <w:rFonts w:ascii="Times" w:hAnsi="Times" w:cs="Times"/>
          <w:color w:val="000000"/>
        </w:rPr>
      </w:pPr>
      <w:r>
        <w:t xml:space="preserve">Post-burn roads are prone to noxious weed invasions. </w:t>
      </w:r>
    </w:p>
    <w:p w:rsidR="00790455" w:rsidRPr="00FD0D13" w:rsidRDefault="00790455" w:rsidP="00790455">
      <w:pPr>
        <w:pStyle w:val="NormalWeb"/>
        <w:numPr>
          <w:ilvl w:val="0"/>
          <w:numId w:val="7"/>
        </w:numPr>
        <w:shd w:val="clear" w:color="auto" w:fill="FFFFFF"/>
        <w:rPr>
          <w:rFonts w:ascii="Times" w:hAnsi="Times" w:cs="Times"/>
          <w:color w:val="000000"/>
        </w:rPr>
      </w:pPr>
      <w:r>
        <w:t xml:space="preserve">After a wildfire, roads that were previously well vegetated often burn or are bladed for fire suppression access or firebreaks, which reduces wildlife habitat security for at-risk and big game species. </w:t>
      </w:r>
    </w:p>
    <w:p w:rsidR="00790455" w:rsidRDefault="00790455" w:rsidP="00790455">
      <w:pPr>
        <w:pStyle w:val="NormalWeb"/>
        <w:numPr>
          <w:ilvl w:val="0"/>
          <w:numId w:val="7"/>
        </w:numPr>
        <w:shd w:val="clear" w:color="auto" w:fill="FFFFFF"/>
        <w:rPr>
          <w:rStyle w:val="apple-converted-space"/>
          <w:rFonts w:ascii="Times" w:hAnsi="Times" w:cs="Times"/>
          <w:color w:val="000000"/>
        </w:rPr>
      </w:pPr>
      <w:r>
        <w:t>Heavily roaded watersheds typically have received intensive management in the past leaving forests in a condition of high fire vulnerability</w:t>
      </w:r>
    </w:p>
    <w:p w:rsidR="00790455" w:rsidRDefault="00790455" w:rsidP="00790455">
      <w:pPr>
        <w:pStyle w:val="NormalWeb"/>
        <w:shd w:val="clear" w:color="auto" w:fill="FFFFFF"/>
        <w:spacing w:before="0" w:after="0"/>
        <w:rPr>
          <w:rStyle w:val="apple-converted-space"/>
          <w:rFonts w:ascii="Times" w:hAnsi="Times" w:cs="Times"/>
          <w:color w:val="000000"/>
        </w:rPr>
      </w:pPr>
      <w:r>
        <w:rPr>
          <w:rStyle w:val="apple-converted-space"/>
          <w:rFonts w:ascii="Times" w:hAnsi="Times" w:cs="Times"/>
          <w:color w:val="000000"/>
        </w:rPr>
        <w:t xml:space="preserve">WEG 2020. Factsheet: </w:t>
      </w:r>
      <w:r>
        <w:t xml:space="preserve">Wildfire and Forest Roads. </w:t>
      </w:r>
      <w:hyperlink r:id="rId97" w:history="1">
        <w:r w:rsidRPr="00B34C3A">
          <w:rPr>
            <w:rStyle w:val="Hyperlink"/>
            <w:rFonts w:ascii="Times" w:hAnsi="Times" w:cs="Times"/>
          </w:rPr>
          <w:t>http://pdf.wildearthguardians.org/site/DocServer/Roads-and-Wildfire-Fact-Sheet-Sept-2020.pdf</w:t>
        </w:r>
      </w:hyperlink>
      <w:r>
        <w:rPr>
          <w:rStyle w:val="apple-converted-space"/>
          <w:rFonts w:ascii="Times" w:hAnsi="Times" w:cs="Times"/>
          <w:color w:val="000000"/>
        </w:rPr>
        <w:t xml:space="preserve"> </w:t>
      </w:r>
      <w:r w:rsidRPr="00FD0D13">
        <w:rPr>
          <w:rStyle w:val="apple-converted-space"/>
          <w:rFonts w:ascii="Times" w:hAnsi="Times" w:cs="Times"/>
          <w:i/>
          <w:color w:val="000000"/>
        </w:rPr>
        <w:t>citing</w:t>
      </w:r>
      <w:r>
        <w:rPr>
          <w:rStyle w:val="apple-converted-space"/>
          <w:rFonts w:ascii="Times" w:hAnsi="Times" w:cs="Times"/>
          <w:color w:val="000000"/>
        </w:rPr>
        <w:t xml:space="preserve"> </w:t>
      </w:r>
      <w:hyperlink r:id="rId98" w:history="1">
        <w:r w:rsidRPr="00B34C3A">
          <w:rPr>
            <w:rStyle w:val="Hyperlink"/>
          </w:rPr>
          <w:t>https://guardiansaction.org/roads-lit-review</w:t>
        </w:r>
      </w:hyperlink>
      <w:r>
        <w:t xml:space="preserve"> </w:t>
      </w:r>
      <w:r>
        <w:rPr>
          <w:rStyle w:val="apple-converted-space"/>
          <w:rFonts w:ascii="Times" w:hAnsi="Times" w:cs="Times"/>
          <w:color w:val="000000"/>
        </w:rPr>
        <w:t xml:space="preserve">. </w:t>
      </w:r>
    </w:p>
    <w:p w:rsidR="00790455" w:rsidRDefault="00790455">
      <w:pPr>
        <w:pStyle w:val="NormalWeb"/>
        <w:shd w:val="clear" w:color="auto" w:fill="FFFFFF"/>
        <w:spacing w:before="0" w:after="0"/>
        <w:rPr>
          <w:rFonts w:ascii="Times" w:hAnsi="Times" w:cs="Times"/>
          <w:color w:val="000000"/>
        </w:rPr>
      </w:pPr>
    </w:p>
    <w:p w:rsidR="00790455" w:rsidRDefault="00790455" w:rsidP="00790455">
      <w:pPr>
        <w:pStyle w:val="NormalWeb"/>
        <w:shd w:val="clear" w:color="auto" w:fill="FFFFFF"/>
        <w:spacing w:before="0" w:after="0"/>
        <w:rPr>
          <w:rFonts w:ascii="Times" w:hAnsi="Times" w:cs="Times"/>
          <w:color w:val="000000"/>
        </w:rPr>
      </w:pPr>
      <w:r>
        <w:rPr>
          <w:rFonts w:ascii="Times" w:hAnsi="Times" w:cs="Times"/>
          <w:color w:val="000000"/>
        </w:rPr>
        <w:t>The fact that roads increase fire hazard goes back a long time. A 50 year old publication of the USDA says:</w:t>
      </w:r>
    </w:p>
    <w:p w:rsidR="00790455" w:rsidRPr="00716C6B" w:rsidRDefault="00790455" w:rsidP="00790455">
      <w:pPr>
        <w:pStyle w:val="NormalWeb"/>
        <w:shd w:val="clear" w:color="auto" w:fill="FFFFFF"/>
        <w:spacing w:before="0" w:after="0"/>
        <w:ind w:left="720"/>
        <w:rPr>
          <w:rFonts w:ascii="Times New Roman" w:hAnsi="Times New Roman" w:cs="Times New Roman"/>
          <w:color w:val="000000"/>
          <w:sz w:val="21"/>
          <w:szCs w:val="21"/>
        </w:rPr>
      </w:pPr>
      <w:r w:rsidRPr="00716C6B">
        <w:rPr>
          <w:rFonts w:ascii="Times New Roman" w:hAnsi="Times New Roman" w:cs="Times New Roman"/>
          <w:color w:val="000000"/>
          <w:shd w:val="clear" w:color="auto" w:fill="FFFFFF"/>
        </w:rPr>
        <w:t>"</w:t>
      </w:r>
      <w:r w:rsidRPr="00716C6B">
        <w:rPr>
          <w:rFonts w:ascii="Times New Roman" w:hAnsi="Times New Roman" w:cs="Times New Roman"/>
          <w:b/>
          <w:bCs/>
          <w:color w:val="000000"/>
          <w:shd w:val="clear" w:color="auto" w:fill="FFFFFF"/>
        </w:rPr>
        <w:t>Logging and logging roads</w:t>
      </w:r>
      <w:r w:rsidRPr="00716C6B">
        <w:rPr>
          <w:rFonts w:ascii="Times New Roman" w:hAnsi="Times New Roman" w:cs="Times New Roman"/>
          <w:color w:val="000000"/>
          <w:shd w:val="clear" w:color="auto" w:fill="FFFFFF"/>
        </w:rPr>
        <w:t> open the forest canopy and </w:t>
      </w:r>
      <w:r w:rsidRPr="00716C6B">
        <w:rPr>
          <w:rFonts w:ascii="Times New Roman" w:hAnsi="Times New Roman" w:cs="Times New Roman"/>
          <w:b/>
          <w:bCs/>
          <w:color w:val="000000"/>
          <w:shd w:val="clear" w:color="auto" w:fill="FFFFFF"/>
        </w:rPr>
        <w:t>increase the temperature</w:t>
      </w:r>
      <w:r w:rsidRPr="00716C6B">
        <w:rPr>
          <w:rFonts w:ascii="Times New Roman" w:hAnsi="Times New Roman" w:cs="Times New Roman"/>
          <w:color w:val="000000"/>
          <w:shd w:val="clear" w:color="auto" w:fill="FFFFFF"/>
        </w:rPr>
        <w:t> of the air, the ground and the forest fuels, which accelerate the rate of burning of surface fires. </w:t>
      </w:r>
      <w:r w:rsidRPr="00716C6B">
        <w:rPr>
          <w:rFonts w:ascii="Times New Roman" w:hAnsi="Times New Roman" w:cs="Times New Roman"/>
          <w:b/>
          <w:bCs/>
          <w:color w:val="000000"/>
          <w:shd w:val="clear" w:color="auto" w:fill="FFFFFF"/>
        </w:rPr>
        <w:t>Logging and logging roads</w:t>
      </w:r>
      <w:r w:rsidRPr="00716C6B">
        <w:rPr>
          <w:rFonts w:ascii="Times New Roman" w:hAnsi="Times New Roman" w:cs="Times New Roman"/>
          <w:color w:val="000000"/>
          <w:shd w:val="clear" w:color="auto" w:fill="FFFFFF"/>
        </w:rPr>
        <w:t> open the forest canopy and </w:t>
      </w:r>
      <w:r w:rsidRPr="00716C6B">
        <w:rPr>
          <w:rFonts w:ascii="Times New Roman" w:hAnsi="Times New Roman" w:cs="Times New Roman"/>
          <w:b/>
          <w:bCs/>
          <w:color w:val="000000"/>
          <w:shd w:val="clear" w:color="auto" w:fill="FFFFFF"/>
        </w:rPr>
        <w:t>lower humidity</w:t>
      </w:r>
      <w:r w:rsidRPr="00716C6B">
        <w:rPr>
          <w:rFonts w:ascii="Times New Roman" w:hAnsi="Times New Roman" w:cs="Times New Roman"/>
          <w:color w:val="000000"/>
          <w:shd w:val="clear" w:color="auto" w:fill="FFFFFF"/>
        </w:rPr>
        <w:t> of forest fuels, which </w:t>
      </w:r>
      <w:r w:rsidRPr="00716C6B">
        <w:rPr>
          <w:rFonts w:ascii="Times New Roman" w:hAnsi="Times New Roman" w:cs="Times New Roman"/>
          <w:b/>
          <w:bCs/>
          <w:color w:val="000000"/>
          <w:shd w:val="clear" w:color="auto" w:fill="FFFFFF"/>
        </w:rPr>
        <w:t>increases the flammability of forest fuels</w:t>
      </w:r>
      <w:r w:rsidRPr="00716C6B">
        <w:rPr>
          <w:rFonts w:ascii="Times New Roman" w:hAnsi="Times New Roman" w:cs="Times New Roman"/>
          <w:color w:val="000000"/>
          <w:shd w:val="clear" w:color="auto" w:fill="FFFFFF"/>
        </w:rPr>
        <w:t> and critically influences the behavior of wildland fires. </w:t>
      </w:r>
      <w:r w:rsidRPr="00716C6B">
        <w:rPr>
          <w:rFonts w:ascii="Times New Roman" w:hAnsi="Times New Roman" w:cs="Times New Roman"/>
          <w:b/>
          <w:bCs/>
          <w:color w:val="000000"/>
          <w:shd w:val="clear" w:color="auto" w:fill="FFFFFF"/>
        </w:rPr>
        <w:t>Logging and logging roads open the forest canopy and may cause rapid and intense fire spread."</w:t>
      </w:r>
      <w:r w:rsidRPr="00716C6B">
        <w:rPr>
          <w:rFonts w:ascii="Times New Roman" w:hAnsi="Times New Roman" w:cs="Times New Roman"/>
          <w:color w:val="000000"/>
          <w:sz w:val="20"/>
          <w:szCs w:val="20"/>
          <w:shd w:val="clear" w:color="auto" w:fill="FFFFFF"/>
        </w:rPr>
        <w:t> </w:t>
      </w:r>
    </w:p>
    <w:p w:rsidR="0064784B" w:rsidRPr="00B936A6" w:rsidRDefault="00790455" w:rsidP="00790455">
      <w:r w:rsidRPr="00B936A6">
        <w:rPr>
          <w:rFonts w:cs="Times"/>
          <w:color w:val="000000"/>
        </w:rPr>
        <w:lastRenderedPageBreak/>
        <w:t xml:space="preserve">Mark J. Schroeder &amp; Charles C. Buck. 1977. FIRE WEATHER... A Guide For Application Of Meteorological Information To Forest Fire Control Operations. U.S. Government Printing Office: 0-244 :923, first printed in May 1970. AGRICULTURE HANDBOOK 360. Reviewed and approved for reprinting August 1977. Stock No. 001-000-0193-0 / Catalog No. A 1.76:360. </w:t>
      </w:r>
      <w:hyperlink r:id="rId99" w:history="1">
        <w:r w:rsidRPr="00B936A6">
          <w:rPr>
            <w:rStyle w:val="Hyperlink"/>
            <w:rFonts w:cs="Times"/>
          </w:rPr>
          <w:t>https://www.frames.gov/documents/behaveplus/publications/Schroeder_and_Buck_1970_PMS-425-1_NFES-1174_Fire_Wx_all.pdf</w:t>
        </w:r>
      </w:hyperlink>
    </w:p>
    <w:p w:rsidR="00C13CE6" w:rsidRPr="00B936A6" w:rsidRDefault="00C13CE6" w:rsidP="00C13CE6">
      <w:r w:rsidRPr="00B936A6">
        <w:t>Each substantive issue discussed in these comments should be (</w:t>
      </w:r>
      <w:proofErr w:type="spellStart"/>
      <w:r w:rsidRPr="00B936A6">
        <w:t>i</w:t>
      </w:r>
      <w:proofErr w:type="spellEnd"/>
      <w:r w:rsidRPr="00B936A6">
        <w:t>) incorporated into the purpose and need for the project, (ii) used to develop NEPA alternatives that balance tradeoffs in different ways, (iii) carefully analyzed and documented as part of the effects analysis, and (iv) considered for mitigation.</w:t>
      </w:r>
    </w:p>
    <w:p w:rsidR="00C13CE6" w:rsidRPr="00B936A6" w:rsidRDefault="00C13CE6" w:rsidP="00C13CE6"/>
    <w:p w:rsidR="00790455" w:rsidRPr="00B936A6" w:rsidRDefault="00790455" w:rsidP="00790455">
      <w:pPr>
        <w:shd w:val="clear" w:color="auto" w:fill="FFFFFF"/>
        <w:rPr>
          <w:rFonts w:cs="Times New Roman"/>
          <w:color w:val="333333"/>
          <w:shd w:val="clear" w:color="auto" w:fill="FFFFFF"/>
        </w:rPr>
      </w:pPr>
      <w:r w:rsidRPr="00B936A6">
        <w:rPr>
          <w:rFonts w:cs="Times New Roman"/>
          <w:color w:val="000000"/>
        </w:rPr>
        <w:t xml:space="preserve">A large percentage of wildfires are human caused and roads are closely associated with increased fire hazard. The agency should reduce fire hazard by avoiding road construction and reducing road density. Jennifer K. Balch, Bethany A. Bradley, John T. </w:t>
      </w:r>
      <w:proofErr w:type="spellStart"/>
      <w:r w:rsidRPr="00B936A6">
        <w:rPr>
          <w:rFonts w:cs="Times New Roman"/>
          <w:color w:val="000000"/>
        </w:rPr>
        <w:t>Abatzoglou</w:t>
      </w:r>
      <w:proofErr w:type="spellEnd"/>
      <w:r w:rsidRPr="00B936A6">
        <w:rPr>
          <w:rFonts w:cs="Times New Roman"/>
          <w:color w:val="000000"/>
        </w:rPr>
        <w:t xml:space="preserve">, R. Chelsea Nagy, Emily J. Fusco, and Adam L. </w:t>
      </w:r>
      <w:proofErr w:type="spellStart"/>
      <w:r w:rsidRPr="00B936A6">
        <w:rPr>
          <w:rFonts w:cs="Times New Roman"/>
          <w:color w:val="000000"/>
        </w:rPr>
        <w:t>Mahood</w:t>
      </w:r>
      <w:proofErr w:type="spellEnd"/>
      <w:r w:rsidRPr="00B936A6">
        <w:rPr>
          <w:rFonts w:cs="Times New Roman"/>
          <w:color w:val="000000"/>
        </w:rPr>
        <w:t xml:space="preserve">  2017.  Human-started wildfires expand the fire niche across the United States. PNAS 2017. </w:t>
      </w:r>
      <w:hyperlink r:id="rId100" w:history="1">
        <w:r w:rsidRPr="00B936A6">
          <w:rPr>
            <w:rStyle w:val="Hyperlink"/>
            <w:rFonts w:cs="Times New Roman"/>
          </w:rPr>
          <w:t>http://www.pnas.org/content/early/2017/02/21/1617394114.full.pdf</w:t>
        </w:r>
      </w:hyperlink>
      <w:r w:rsidRPr="00B936A6">
        <w:rPr>
          <w:rFonts w:cs="Times New Roman"/>
          <w:color w:val="000000"/>
        </w:rPr>
        <w:t xml:space="preserve"> (“</w:t>
      </w:r>
      <w:r w:rsidRPr="00B936A6">
        <w:rPr>
          <w:rFonts w:cs="Times New Roman"/>
          <w:color w:val="333333"/>
          <w:shd w:val="clear" w:color="auto" w:fill="FFFFFF"/>
        </w:rPr>
        <w:t>Public dialog and ongoing research have focused on increasing wildfire risk because of climate warming, overlooking the direct role that people play in igniting wildfires and increasing fire activity. Our analysis of two decades of government agency wildfire records highlights the fundamental role of human ignitions. Human-started wildfires accounted for 84% of all wildfires, tripled the length of the fire season, dominated an area seven times greater than that affected by lightning fires, and were responsible for nearly half of all area burned. National and regional policy efforts to mitigate wildfire-related hazards would benefit from focusing on reducing the human expansion of the fire niche.”)</w:t>
      </w:r>
    </w:p>
    <w:p w:rsidR="00790455" w:rsidRDefault="002A6855" w:rsidP="002A6855">
      <w:pPr>
        <w:pStyle w:val="Heading2"/>
      </w:pPr>
      <w:r>
        <w:t>White Bark Pine</w:t>
      </w:r>
    </w:p>
    <w:p w:rsidR="00790455" w:rsidRPr="00B936A6" w:rsidRDefault="002A6855" w:rsidP="00C13CE6">
      <w:r w:rsidRPr="00B936A6">
        <w:t xml:space="preserve">White bark pine </w:t>
      </w:r>
      <w:r w:rsidR="00472DFE" w:rsidRPr="00B936A6">
        <w:t xml:space="preserve">(WBP) </w:t>
      </w:r>
      <w:r w:rsidRPr="00B936A6">
        <w:t xml:space="preserve">seeds are spread by birds </w:t>
      </w:r>
      <w:r w:rsidR="00472DFE" w:rsidRPr="00B936A6">
        <w:t xml:space="preserve">and </w:t>
      </w:r>
      <w:r w:rsidRPr="00B936A6">
        <w:t>they may be present in a greater portion of the landscape than assumed</w:t>
      </w:r>
      <w:r w:rsidR="001B40FF" w:rsidRPr="00B936A6">
        <w:t xml:space="preserve"> (87 acres)</w:t>
      </w:r>
      <w:r w:rsidRPr="00B936A6">
        <w:t xml:space="preserve">. </w:t>
      </w:r>
      <w:r w:rsidR="00472DFE" w:rsidRPr="00B936A6">
        <w:t>Forest Service staff, let alone forestry workers, are not trained to identify and avoid killing WBP during a</w:t>
      </w:r>
      <w:r w:rsidRPr="00B936A6">
        <w:t xml:space="preserve">ctivities such as thinning, mastication, burning, roads, landings, </w:t>
      </w:r>
      <w:r w:rsidR="00472DFE" w:rsidRPr="00B936A6">
        <w:t>especially when the FS is obsessed with “efficiency.” The EA needs to address the risks to WBP and consider alternatives to minimize those effects.</w:t>
      </w:r>
    </w:p>
    <w:p w:rsidR="001B40FF" w:rsidRPr="00B936A6" w:rsidRDefault="001B40FF" w:rsidP="00C13CE6"/>
    <w:p w:rsidR="001B40FF" w:rsidRPr="00B936A6" w:rsidRDefault="001B40FF" w:rsidP="00C13CE6">
      <w:r w:rsidRPr="00B936A6">
        <w:t>Why treat WBP smaller than 3” dbh differently. Why can’t the FS try to protect more of them?</w:t>
      </w:r>
    </w:p>
    <w:p w:rsidR="00790455" w:rsidRPr="00B936A6" w:rsidRDefault="00790455" w:rsidP="00C13CE6"/>
    <w:p w:rsidR="00790455" w:rsidRPr="00B936A6" w:rsidRDefault="00472DFE" w:rsidP="00C13CE6">
      <w:r w:rsidRPr="00B936A6">
        <w:t>==</w:t>
      </w:r>
    </w:p>
    <w:p w:rsidR="00790455" w:rsidRPr="00B936A6" w:rsidRDefault="00790455" w:rsidP="00C13CE6"/>
    <w:p w:rsidR="00C13CE6" w:rsidRPr="00B936A6" w:rsidRDefault="00C13CE6" w:rsidP="00C13CE6">
      <w:r w:rsidRPr="00B936A6">
        <w:t>Please post to the project website, links to all relevant ESA and EFH consultation documents, RMPs, watershed analyses, and other supporting documents relied on in the NEPA analysis.</w:t>
      </w:r>
    </w:p>
    <w:p w:rsidR="00C13CE6" w:rsidRPr="00B936A6" w:rsidRDefault="00C13CE6" w:rsidP="00C13CE6"/>
    <w:p w:rsidR="00C13CE6" w:rsidRPr="00B936A6" w:rsidRDefault="00C13CE6" w:rsidP="00C13CE6">
      <w:r w:rsidRPr="00B936A6">
        <w:t xml:space="preserve">Please post to the project website before the public comment period, georeferenced maps of the proposed activity units that can be used to navigate in the field using apps such as </w:t>
      </w:r>
      <w:proofErr w:type="spellStart"/>
      <w:r w:rsidRPr="00B936A6">
        <w:t>Avenza</w:t>
      </w:r>
      <w:proofErr w:type="spellEnd"/>
      <w:r w:rsidRPr="00B936A6">
        <w:t xml:space="preserve">. </w:t>
      </w:r>
    </w:p>
    <w:p w:rsidR="00C13CE6" w:rsidRPr="00B936A6" w:rsidRDefault="00C13CE6" w:rsidP="00C13CE6"/>
    <w:p w:rsidR="00C13CE6" w:rsidRPr="00B936A6" w:rsidRDefault="00C13CE6" w:rsidP="00C13CE6">
      <w:r w:rsidRPr="00B936A6">
        <w:lastRenderedPageBreak/>
        <w:t xml:space="preserve">Note: If any of these web links in this document are dead, they may be resurrected using the </w:t>
      </w:r>
      <w:proofErr w:type="spellStart"/>
      <w:r w:rsidRPr="00B936A6">
        <w:t>Wayback</w:t>
      </w:r>
      <w:proofErr w:type="spellEnd"/>
      <w:r w:rsidRPr="00B936A6">
        <w:t xml:space="preserve"> Machine at Archive.org. </w:t>
      </w:r>
      <w:hyperlink r:id="rId101" w:history="1">
        <w:r w:rsidRPr="00B936A6">
          <w:rPr>
            <w:color w:val="0000FF"/>
            <w:u w:val="single"/>
          </w:rPr>
          <w:t>http://wayback.archive.org/web/</w:t>
        </w:r>
      </w:hyperlink>
    </w:p>
    <w:p w:rsidR="00C13CE6" w:rsidRPr="00B936A6" w:rsidRDefault="00C13CE6" w:rsidP="00C13CE6"/>
    <w:p w:rsidR="00C13CE6" w:rsidRPr="00B936A6" w:rsidRDefault="00C13CE6" w:rsidP="00C13CE6"/>
    <w:p w:rsidR="00C13CE6" w:rsidRPr="00B936A6" w:rsidRDefault="00C13CE6" w:rsidP="00C13CE6">
      <w:r w:rsidRPr="00B936A6">
        <w:t>Sincerely,</w:t>
      </w:r>
    </w:p>
    <w:p w:rsidR="00C13CE6" w:rsidRPr="00B936A6" w:rsidRDefault="00C13CE6" w:rsidP="00C13CE6">
      <w:r w:rsidRPr="00B936A6">
        <w:rPr>
          <w:noProof/>
          <w:lang w:val="en-US"/>
        </w:rPr>
        <w:drawing>
          <wp:inline distT="0" distB="0" distL="0" distR="0" wp14:anchorId="31B2C7D4" wp14:editId="32A8E2BD">
            <wp:extent cx="1546860" cy="502920"/>
            <wp:effectExtent l="0" t="0" r="0" b="0"/>
            <wp:docPr id="4" name="Picture 4"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6A6A" w:rsidRPr="00B936A6" w:rsidRDefault="00C13CE6" w:rsidP="00C13CE6">
      <w:r w:rsidRPr="00B936A6">
        <w:t>Doug Heiken</w:t>
      </w:r>
      <w:r w:rsidR="00496A6A" w:rsidRPr="00B936A6">
        <w:t xml:space="preserve"> (he/him)</w:t>
      </w:r>
    </w:p>
    <w:p w:rsidR="00C13CE6" w:rsidRPr="00B936A6" w:rsidRDefault="007663D0" w:rsidP="00C13CE6">
      <w:hyperlink r:id="rId103" w:history="1">
        <w:r w:rsidR="00C13CE6" w:rsidRPr="00B936A6">
          <w:rPr>
            <w:rStyle w:val="Hyperlink"/>
          </w:rPr>
          <w:t>dh@oregonwild.org</w:t>
        </w:r>
      </w:hyperlink>
      <w:r w:rsidR="00C13CE6" w:rsidRPr="00B936A6">
        <w:t xml:space="preserve"> </w:t>
      </w:r>
    </w:p>
    <w:p w:rsidR="00CE0F66" w:rsidRPr="00B936A6" w:rsidRDefault="00CE0F66">
      <w:pPr>
        <w:rPr>
          <w:rFonts w:eastAsia="Georgia" w:cs="Georgia"/>
        </w:rPr>
      </w:pPr>
    </w:p>
    <w:p w:rsidR="00CE0F66" w:rsidRPr="00B936A6" w:rsidRDefault="00CE0F66">
      <w:pPr>
        <w:rPr>
          <w:rFonts w:eastAsia="Georgia" w:cs="Georgia"/>
        </w:rPr>
      </w:pPr>
    </w:p>
    <w:sectPr w:rsidR="00CE0F66" w:rsidRPr="00B936A6">
      <w:headerReference w:type="default" r:id="rId104"/>
      <w:footerReference w:type="default" r:id="rId105"/>
      <w:headerReference w:type="first" r:id="rId106"/>
      <w:footerReference w:type="first" r:id="rId10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A92" w:rsidRDefault="00F60A92">
      <w:pPr>
        <w:spacing w:line="240" w:lineRule="auto"/>
      </w:pPr>
      <w:r>
        <w:separator/>
      </w:r>
    </w:p>
  </w:endnote>
  <w:endnote w:type="continuationSeparator" w:id="0">
    <w:p w:rsidR="00F60A92" w:rsidRDefault="00F60A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z-fixed">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Proxima Nova Rg">
    <w:panose1 w:val="02000506030000020004"/>
    <w:charset w:val="00"/>
    <w:family w:val="auto"/>
    <w:pitch w:val="variable"/>
    <w:sig w:usb0="A00002EF" w:usb1="5000E0FB" w:usb2="00000000" w:usb3="00000000" w:csb0="0000019F" w:csb1="00000000"/>
  </w:font>
  <w:font w:name="Proxima Nova Semibold">
    <w:altName w:val="Times New Roman"/>
    <w:panose1 w:val="02000506030000020004"/>
    <w:charset w:val="00"/>
    <w:family w:val="auto"/>
    <w:pitch w:val="default"/>
  </w:font>
  <w:font w:name="Proxima Nova Extrabold">
    <w:altName w:val="Times New Roman"/>
    <w:panose1 w:val="020005060300000200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5865226"/>
      <w:docPartObj>
        <w:docPartGallery w:val="Page Numbers (Bottom of Page)"/>
        <w:docPartUnique/>
      </w:docPartObj>
    </w:sdtPr>
    <w:sdtEndPr>
      <w:rPr>
        <w:noProof/>
      </w:rPr>
    </w:sdtEndPr>
    <w:sdtContent>
      <w:p w:rsidR="00B936A6" w:rsidRPr="00BE0D21" w:rsidRDefault="00B936A6">
        <w:pPr>
          <w:pStyle w:val="Footer"/>
          <w:jc w:val="right"/>
        </w:pPr>
        <w:r w:rsidRPr="00BE0D21">
          <w:fldChar w:fldCharType="begin"/>
        </w:r>
        <w:r w:rsidRPr="00BE0D21">
          <w:instrText xml:space="preserve"> PAGE   \* MERGEFORMAT </w:instrText>
        </w:r>
        <w:r w:rsidRPr="00BE0D21">
          <w:fldChar w:fldCharType="separate"/>
        </w:r>
        <w:r w:rsidR="00BA2A4A">
          <w:rPr>
            <w:noProof/>
          </w:rPr>
          <w:t>5</w:t>
        </w:r>
        <w:r w:rsidRPr="00BE0D21">
          <w:rPr>
            <w:noProof/>
          </w:rPr>
          <w:fldChar w:fldCharType="end"/>
        </w:r>
      </w:p>
    </w:sdtContent>
  </w:sdt>
  <w:p w:rsidR="00B936A6" w:rsidRDefault="00B936A6" w:rsidP="00BE0D2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6A6" w:rsidRDefault="00B936A6" w:rsidP="00BE0D21">
    <w:pPr>
      <w:tabs>
        <w:tab w:val="center" w:pos="4680"/>
      </w:tabs>
    </w:pPr>
    <w:r>
      <w:rPr>
        <w:noProof/>
        <w:lang w:val="en-US"/>
      </w:rPr>
      <mc:AlternateContent>
        <mc:Choice Requires="wps">
          <w:drawing>
            <wp:anchor distT="114300" distB="114300" distL="114300" distR="114300" simplePos="0" relativeHeight="251660288" behindDoc="0" locked="0" layoutInCell="1" hidden="0" allowOverlap="1">
              <wp:simplePos x="0" y="0"/>
              <wp:positionH relativeFrom="column">
                <wp:posOffset>-914399</wp:posOffset>
              </wp:positionH>
              <wp:positionV relativeFrom="paragraph">
                <wp:posOffset>390525</wp:posOffset>
              </wp:positionV>
              <wp:extent cx="7772400" cy="258175"/>
              <wp:effectExtent l="0" t="0" r="0" b="0"/>
              <wp:wrapNone/>
              <wp:docPr id="1" name="Rectangle 1"/>
              <wp:cNvGraphicFramePr/>
              <a:graphic xmlns:a="http://schemas.openxmlformats.org/drawingml/2006/main">
                <a:graphicData uri="http://schemas.microsoft.com/office/word/2010/wordprocessingShape">
                  <wps:wsp>
                    <wps:cNvSpPr/>
                    <wps:spPr>
                      <a:xfrm>
                        <a:off x="1224000" y="825950"/>
                        <a:ext cx="8955900" cy="298500"/>
                      </a:xfrm>
                      <a:prstGeom prst="rect">
                        <a:avLst/>
                      </a:prstGeom>
                      <a:solidFill>
                        <a:srgbClr val="067886"/>
                      </a:solidFill>
                      <a:ln>
                        <a:noFill/>
                      </a:ln>
                    </wps:spPr>
                    <wps:txbx>
                      <w:txbxContent>
                        <w:p w:rsidR="00B936A6" w:rsidRDefault="00B936A6">
                          <w:pPr>
                            <w:spacing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rect id="Rectangle 1" o:spid="_x0000_s1026" style="position:absolute;margin-left:-1in;margin-top:30.75pt;width:612pt;height:20.35pt;z-index:251660288;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" fillcolor="#067886" stroked="f">
              <v:textbox inset="2.53958mm,2.53958mm,2.53958mm,2.53958mm">
                <w:txbxContent>
                  <w:p w:rsidR="00B936A6" w:rsidRDefault="00B936A6">
                    <w:pPr>
                      <w:spacing w:line="240" w:lineRule="auto"/>
                      <w:jc w:val="center"/>
                      <w:textDirection w:val="btLr"/>
                    </w:pPr>
                  </w:p>
                </w:txbxContent>
              </v:textbox>
            </v:rect>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A92" w:rsidRDefault="00F60A92">
      <w:pPr>
        <w:spacing w:line="240" w:lineRule="auto"/>
      </w:pPr>
      <w:r>
        <w:separator/>
      </w:r>
    </w:p>
  </w:footnote>
  <w:footnote w:type="continuationSeparator" w:id="0">
    <w:p w:rsidR="00F60A92" w:rsidRDefault="00F60A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6A6" w:rsidRDefault="00B936A6">
    <w:pPr>
      <w:ind w:right="-63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6A6" w:rsidRPr="00D44BA7" w:rsidRDefault="00B936A6">
    <w:pPr>
      <w:ind w:right="-630"/>
      <w:jc w:val="right"/>
      <w:rPr>
        <w:rFonts w:ascii="Proxima Nova Rg" w:eastAsia="Proxima Nova Semibold" w:hAnsi="Proxima Nova Rg"/>
        <w:color w:val="231F20"/>
      </w:rPr>
    </w:pPr>
    <w:r w:rsidRPr="00D44BA7">
      <w:rPr>
        <w:rFonts w:ascii="Proxima Nova Rg" w:hAnsi="Proxima Nova Rg"/>
        <w:noProof/>
        <w:lang w:val="en-US"/>
      </w:rPr>
      <w:drawing>
        <wp:anchor distT="114300" distB="114300" distL="114300" distR="114300" simplePos="0" relativeHeight="251658240" behindDoc="0" locked="0" layoutInCell="1" hidden="0" allowOverlap="1">
          <wp:simplePos x="0" y="0"/>
          <wp:positionH relativeFrom="column">
            <wp:posOffset>-504824</wp:posOffset>
          </wp:positionH>
          <wp:positionV relativeFrom="paragraph">
            <wp:posOffset>-200024</wp:posOffset>
          </wp:positionV>
          <wp:extent cx="1031624" cy="1357313"/>
          <wp:effectExtent l="0" t="0" r="0" b="0"/>
          <wp:wrapSquare wrapText="bothSides" distT="114300" distB="11430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31624" cy="1357313"/>
                  </a:xfrm>
                  <a:prstGeom prst="rect">
                    <a:avLst/>
                  </a:prstGeom>
                  <a:ln/>
                </pic:spPr>
              </pic:pic>
            </a:graphicData>
          </a:graphic>
        </wp:anchor>
      </w:drawing>
    </w:r>
    <w:r w:rsidRPr="00D44BA7">
      <w:rPr>
        <w:rFonts w:ascii="Proxima Nova Rg" w:eastAsia="Proxima Nova Semibold" w:hAnsi="Proxima Nova Rg"/>
        <w:color w:val="231F20"/>
      </w:rPr>
      <w:t>PO Box 11648</w:t>
    </w:r>
  </w:p>
  <w:p w:rsidR="00B936A6" w:rsidRPr="00D44BA7" w:rsidRDefault="00B936A6">
    <w:pPr>
      <w:ind w:right="-630"/>
      <w:jc w:val="right"/>
      <w:rPr>
        <w:rFonts w:ascii="Proxima Nova Rg" w:eastAsia="Proxima Nova Semibold" w:hAnsi="Proxima Nova Rg"/>
        <w:color w:val="231F20"/>
      </w:rPr>
    </w:pPr>
    <w:r w:rsidRPr="00D44BA7">
      <w:rPr>
        <w:rFonts w:ascii="Proxima Nova Rg" w:eastAsia="Proxima Nova Semibold" w:hAnsi="Proxima Nova Rg"/>
        <w:color w:val="231F20"/>
      </w:rPr>
      <w:t>Eugene, OR 97440</w:t>
    </w:r>
  </w:p>
  <w:p w:rsidR="00B936A6" w:rsidRPr="00D44BA7" w:rsidRDefault="00B936A6">
    <w:pPr>
      <w:ind w:right="-630"/>
      <w:jc w:val="right"/>
      <w:rPr>
        <w:rFonts w:ascii="Proxima Nova Rg" w:eastAsia="Proxima Nova Semibold" w:hAnsi="Proxima Nova Rg"/>
        <w:color w:val="231F20"/>
      </w:rPr>
    </w:pPr>
    <w:r w:rsidRPr="00D44BA7">
      <w:rPr>
        <w:rFonts w:ascii="Proxima Nova Rg" w:eastAsia="Proxima Nova Semibold" w:hAnsi="Proxima Nova Rg"/>
        <w:color w:val="231F20"/>
      </w:rPr>
      <w:t>(541) 344-0675</w:t>
    </w:r>
  </w:p>
  <w:p w:rsidR="00B936A6" w:rsidRPr="00D44BA7" w:rsidRDefault="00B936A6">
    <w:pPr>
      <w:ind w:right="-630"/>
      <w:jc w:val="right"/>
      <w:rPr>
        <w:rFonts w:ascii="Proxima Nova Rg" w:eastAsia="Proxima Nova Extrabold" w:hAnsi="Proxima Nova Rg"/>
        <w:color w:val="067886"/>
      </w:rPr>
    </w:pPr>
    <w:r w:rsidRPr="00D44BA7">
      <w:rPr>
        <w:rFonts w:ascii="Proxima Nova Rg" w:eastAsia="Proxima Nova Extrabold" w:hAnsi="Proxima Nova Rg"/>
        <w:color w:val="067886"/>
      </w:rPr>
      <w:t>WWW.OREGONWILD.ORG</w:t>
    </w:r>
  </w:p>
  <w:p w:rsidR="00B936A6" w:rsidRPr="006C59F8" w:rsidRDefault="00B936A6">
    <w:pPr>
      <w:ind w:right="-630"/>
      <w:jc w:val="right"/>
      <w:rPr>
        <w:rFonts w:eastAsia="Proxima Nova Semibold"/>
        <w:color w:val="141413"/>
      </w:rPr>
    </w:pPr>
    <w:r w:rsidRPr="00D44BA7">
      <w:rPr>
        <w:rFonts w:ascii="Proxima Nova Rg" w:eastAsia="Proxima Nova Semibold" w:hAnsi="Proxima Nova Rg"/>
        <w:color w:val="E47325"/>
      </w:rPr>
      <w:t>Portland     Eugene     Bend     Enterprise</w:t>
    </w:r>
  </w:p>
  <w:p w:rsidR="00B936A6" w:rsidRDefault="00B936A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62"/>
    <w:multiLevelType w:val="singleLevel"/>
    <w:tmpl w:val="04090001"/>
    <w:name w:val="WW8Num98"/>
    <w:lvl w:ilvl="0">
      <w:start w:val="1"/>
      <w:numFmt w:val="bullet"/>
      <w:lvlText w:val=""/>
      <w:lvlJc w:val="left"/>
      <w:pPr>
        <w:ind w:left="720" w:hanging="360"/>
      </w:pPr>
      <w:rPr>
        <w:rFonts w:ascii="Symbol" w:hAnsi="Symbol" w:hint="default"/>
        <w:sz w:val="20"/>
      </w:rPr>
    </w:lvl>
  </w:abstractNum>
  <w:abstractNum w:abstractNumId="1" w15:restartNumberingAfterBreak="0">
    <w:nsid w:val="076728CC"/>
    <w:multiLevelType w:val="hybridMultilevel"/>
    <w:tmpl w:val="CAC6B0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E3383F"/>
    <w:multiLevelType w:val="hybridMultilevel"/>
    <w:tmpl w:val="ED764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EE2BBE"/>
    <w:multiLevelType w:val="multilevel"/>
    <w:tmpl w:val="AA06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1A2738"/>
    <w:multiLevelType w:val="hybridMultilevel"/>
    <w:tmpl w:val="A9F0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624294"/>
    <w:multiLevelType w:val="hybridMultilevel"/>
    <w:tmpl w:val="F7B2FEC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43F25B5D"/>
    <w:multiLevelType w:val="hybridMultilevel"/>
    <w:tmpl w:val="9E5A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0703D3"/>
    <w:multiLevelType w:val="hybridMultilevel"/>
    <w:tmpl w:val="E48A4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94135A"/>
    <w:multiLevelType w:val="hybridMultilevel"/>
    <w:tmpl w:val="3C8AD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4D0F2A"/>
    <w:multiLevelType w:val="hybridMultilevel"/>
    <w:tmpl w:val="D5769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
  </w:num>
  <w:num w:numId="4">
    <w:abstractNumId w:val="3"/>
  </w:num>
  <w:num w:numId="5">
    <w:abstractNumId w:val="5"/>
  </w:num>
  <w:num w:numId="6">
    <w:abstractNumId w:val="6"/>
  </w:num>
  <w:num w:numId="7">
    <w:abstractNumId w:val="2"/>
  </w:num>
  <w:num w:numId="8">
    <w:abstractNumId w:val="0"/>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9F8"/>
    <w:rsid w:val="000A68C7"/>
    <w:rsid w:val="000B7E48"/>
    <w:rsid w:val="000C5334"/>
    <w:rsid w:val="001B40FF"/>
    <w:rsid w:val="001F7D2F"/>
    <w:rsid w:val="00234600"/>
    <w:rsid w:val="00254B06"/>
    <w:rsid w:val="00294EB7"/>
    <w:rsid w:val="002A0871"/>
    <w:rsid w:val="002A6855"/>
    <w:rsid w:val="00383F29"/>
    <w:rsid w:val="003F0778"/>
    <w:rsid w:val="00472DFE"/>
    <w:rsid w:val="00496A6A"/>
    <w:rsid w:val="004F0905"/>
    <w:rsid w:val="00505B5B"/>
    <w:rsid w:val="00563687"/>
    <w:rsid w:val="00597159"/>
    <w:rsid w:val="005E7F68"/>
    <w:rsid w:val="006324BB"/>
    <w:rsid w:val="0064784B"/>
    <w:rsid w:val="00653AF2"/>
    <w:rsid w:val="00663673"/>
    <w:rsid w:val="00666743"/>
    <w:rsid w:val="006741A8"/>
    <w:rsid w:val="00675D38"/>
    <w:rsid w:val="006C59F8"/>
    <w:rsid w:val="00752A5D"/>
    <w:rsid w:val="007663D0"/>
    <w:rsid w:val="0077722C"/>
    <w:rsid w:val="00786628"/>
    <w:rsid w:val="00790455"/>
    <w:rsid w:val="0079107B"/>
    <w:rsid w:val="007D3E77"/>
    <w:rsid w:val="00803A29"/>
    <w:rsid w:val="00834407"/>
    <w:rsid w:val="00863DCD"/>
    <w:rsid w:val="00864B56"/>
    <w:rsid w:val="008C1FA3"/>
    <w:rsid w:val="008C4ED9"/>
    <w:rsid w:val="00920614"/>
    <w:rsid w:val="00920FD2"/>
    <w:rsid w:val="009263D9"/>
    <w:rsid w:val="00971FBE"/>
    <w:rsid w:val="00976C7B"/>
    <w:rsid w:val="00984B0A"/>
    <w:rsid w:val="009B4CCC"/>
    <w:rsid w:val="00A878E2"/>
    <w:rsid w:val="00AA6E65"/>
    <w:rsid w:val="00B152BE"/>
    <w:rsid w:val="00B2465B"/>
    <w:rsid w:val="00B46FE5"/>
    <w:rsid w:val="00B936A6"/>
    <w:rsid w:val="00BA0A26"/>
    <w:rsid w:val="00BA2A4A"/>
    <w:rsid w:val="00BB3481"/>
    <w:rsid w:val="00BC6260"/>
    <w:rsid w:val="00BE0853"/>
    <w:rsid w:val="00BE0D21"/>
    <w:rsid w:val="00BE31E9"/>
    <w:rsid w:val="00C13CE6"/>
    <w:rsid w:val="00CE0F66"/>
    <w:rsid w:val="00D141FF"/>
    <w:rsid w:val="00D17CAF"/>
    <w:rsid w:val="00D22031"/>
    <w:rsid w:val="00D43E7D"/>
    <w:rsid w:val="00D444FE"/>
    <w:rsid w:val="00D44BA7"/>
    <w:rsid w:val="00D91F47"/>
    <w:rsid w:val="00DA3BBD"/>
    <w:rsid w:val="00DB7DE4"/>
    <w:rsid w:val="00DC78B2"/>
    <w:rsid w:val="00E1249F"/>
    <w:rsid w:val="00E84EEE"/>
    <w:rsid w:val="00EE687D"/>
    <w:rsid w:val="00F36C92"/>
    <w:rsid w:val="00F376E5"/>
    <w:rsid w:val="00F60A92"/>
    <w:rsid w:val="00F61E13"/>
    <w:rsid w:val="00F9052E"/>
    <w:rsid w:val="00F92F91"/>
    <w:rsid w:val="00FB7836"/>
    <w:rsid w:val="00FE0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BC05E"/>
  <w15:docId w15:val="{9839FA8D-543F-4B7F-9C4B-94D665EC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34600"/>
    <w:rPr>
      <w:rFonts w:ascii="Georgia" w:hAnsi="Georgia"/>
    </w:rPr>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link w:val="Heading2Char"/>
    <w:rsid w:val="00F9052E"/>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CE0F66"/>
    <w:pPr>
      <w:tabs>
        <w:tab w:val="center" w:pos="4680"/>
        <w:tab w:val="right" w:pos="9360"/>
      </w:tabs>
      <w:spacing w:line="240" w:lineRule="auto"/>
    </w:pPr>
  </w:style>
  <w:style w:type="character" w:customStyle="1" w:styleId="HeaderChar">
    <w:name w:val="Header Char"/>
    <w:basedOn w:val="DefaultParagraphFont"/>
    <w:link w:val="Header"/>
    <w:uiPriority w:val="99"/>
    <w:rsid w:val="00CE0F66"/>
  </w:style>
  <w:style w:type="paragraph" w:styleId="Footer">
    <w:name w:val="footer"/>
    <w:basedOn w:val="Normal"/>
    <w:link w:val="FooterChar"/>
    <w:uiPriority w:val="99"/>
    <w:unhideWhenUsed/>
    <w:rsid w:val="00CE0F66"/>
    <w:pPr>
      <w:tabs>
        <w:tab w:val="center" w:pos="4680"/>
        <w:tab w:val="right" w:pos="9360"/>
      </w:tabs>
      <w:spacing w:line="240" w:lineRule="auto"/>
    </w:pPr>
  </w:style>
  <w:style w:type="character" w:customStyle="1" w:styleId="FooterChar">
    <w:name w:val="Footer Char"/>
    <w:basedOn w:val="DefaultParagraphFont"/>
    <w:link w:val="Footer"/>
    <w:uiPriority w:val="99"/>
    <w:rsid w:val="00CE0F66"/>
  </w:style>
  <w:style w:type="character" w:styleId="Hyperlink">
    <w:name w:val="Hyperlink"/>
    <w:basedOn w:val="DefaultParagraphFont"/>
    <w:uiPriority w:val="99"/>
    <w:unhideWhenUsed/>
    <w:rsid w:val="00C13CE6"/>
    <w:rPr>
      <w:color w:val="0000FF" w:themeColor="hyperlink"/>
      <w:u w:val="single"/>
    </w:rPr>
  </w:style>
  <w:style w:type="character" w:customStyle="1" w:styleId="Heading2Char">
    <w:name w:val="Heading 2 Char"/>
    <w:basedOn w:val="DefaultParagraphFont"/>
    <w:link w:val="Heading2"/>
    <w:rsid w:val="00F9052E"/>
    <w:rPr>
      <w:rFonts w:ascii="Georgia" w:hAnsi="Georgia"/>
      <w:sz w:val="32"/>
      <w:szCs w:val="32"/>
    </w:rPr>
  </w:style>
  <w:style w:type="paragraph" w:styleId="BodyTextIndent">
    <w:name w:val="Body Text Indent"/>
    <w:basedOn w:val="Normal"/>
    <w:link w:val="BodyTextIndentChar"/>
    <w:rsid w:val="00D91F47"/>
    <w:pPr>
      <w:suppressAutoHyphens/>
      <w:spacing w:line="240" w:lineRule="auto"/>
      <w:ind w:left="720"/>
    </w:pPr>
    <w:rPr>
      <w:rFonts w:ascii="-moz-fixed" w:eastAsia="-moz-fixed" w:hAnsi="-moz-fixed" w:cs="-moz-fixed"/>
      <w:sz w:val="24"/>
      <w:szCs w:val="20"/>
      <w:lang w:val="en-US" w:eastAsia="ar-SA"/>
    </w:rPr>
  </w:style>
  <w:style w:type="character" w:customStyle="1" w:styleId="BodyTextIndentChar">
    <w:name w:val="Body Text Indent Char"/>
    <w:basedOn w:val="DefaultParagraphFont"/>
    <w:link w:val="BodyTextIndent"/>
    <w:rsid w:val="00D91F47"/>
    <w:rPr>
      <w:rFonts w:ascii="-moz-fixed" w:eastAsia="-moz-fixed" w:hAnsi="-moz-fixed" w:cs="-moz-fixed"/>
      <w:sz w:val="24"/>
      <w:szCs w:val="20"/>
      <w:lang w:val="en-US" w:eastAsia="ar-SA"/>
    </w:rPr>
  </w:style>
  <w:style w:type="paragraph" w:styleId="NormalWeb">
    <w:name w:val="Normal (Web)"/>
    <w:basedOn w:val="Normal"/>
    <w:uiPriority w:val="99"/>
    <w:rsid w:val="00D91F47"/>
    <w:pPr>
      <w:suppressAutoHyphens/>
      <w:spacing w:before="100" w:after="100" w:line="240" w:lineRule="auto"/>
    </w:pPr>
    <w:rPr>
      <w:rFonts w:ascii="-moz-fixed" w:eastAsia="-moz-fixed" w:hAnsi="-moz-fixed" w:cs="-moz-fixed"/>
      <w:sz w:val="24"/>
      <w:szCs w:val="24"/>
      <w:lang w:val="en-US" w:eastAsia="ar-SA"/>
    </w:rPr>
  </w:style>
  <w:style w:type="paragraph" w:styleId="BodyTextIndent2">
    <w:name w:val="Body Text Indent 2"/>
    <w:basedOn w:val="Normal"/>
    <w:link w:val="BodyTextIndent2Char"/>
    <w:uiPriority w:val="99"/>
    <w:semiHidden/>
    <w:unhideWhenUsed/>
    <w:rsid w:val="00D91F47"/>
    <w:pPr>
      <w:spacing w:after="120" w:line="480" w:lineRule="auto"/>
      <w:ind w:left="360"/>
    </w:pPr>
  </w:style>
  <w:style w:type="character" w:customStyle="1" w:styleId="BodyTextIndent2Char">
    <w:name w:val="Body Text Indent 2 Char"/>
    <w:basedOn w:val="DefaultParagraphFont"/>
    <w:link w:val="BodyTextIndent2"/>
    <w:uiPriority w:val="99"/>
    <w:semiHidden/>
    <w:rsid w:val="00D91F47"/>
    <w:rPr>
      <w:rFonts w:ascii="Georgia" w:hAnsi="Georgia"/>
    </w:rPr>
  </w:style>
  <w:style w:type="paragraph" w:styleId="CommentText">
    <w:name w:val="annotation text"/>
    <w:basedOn w:val="Normal"/>
    <w:link w:val="CommentTextChar"/>
    <w:rsid w:val="00920614"/>
    <w:pPr>
      <w:suppressAutoHyphens/>
      <w:spacing w:line="240" w:lineRule="auto"/>
    </w:pPr>
    <w:rPr>
      <w:rFonts w:ascii="-moz-fixed" w:eastAsia="-moz-fixed" w:hAnsi="-moz-fixed" w:cs="-moz-fixed"/>
      <w:sz w:val="20"/>
      <w:szCs w:val="20"/>
      <w:lang w:val="en-US" w:eastAsia="ar-SA"/>
    </w:rPr>
  </w:style>
  <w:style w:type="character" w:customStyle="1" w:styleId="CommentTextChar">
    <w:name w:val="Comment Text Char"/>
    <w:basedOn w:val="DefaultParagraphFont"/>
    <w:link w:val="CommentText"/>
    <w:rsid w:val="00920614"/>
    <w:rPr>
      <w:rFonts w:ascii="-moz-fixed" w:eastAsia="-moz-fixed" w:hAnsi="-moz-fixed" w:cs="-moz-fixed"/>
      <w:sz w:val="20"/>
      <w:szCs w:val="20"/>
      <w:lang w:val="en-US" w:eastAsia="ar-SA"/>
    </w:rPr>
  </w:style>
  <w:style w:type="paragraph" w:styleId="ListParagraph">
    <w:name w:val="List Paragraph"/>
    <w:basedOn w:val="Normal"/>
    <w:uiPriority w:val="34"/>
    <w:qFormat/>
    <w:rsid w:val="00D444FE"/>
    <w:pPr>
      <w:suppressAutoHyphens/>
      <w:spacing w:after="200"/>
      <w:ind w:left="720"/>
    </w:pPr>
    <w:rPr>
      <w:rFonts w:ascii="Cambria Math" w:eastAsia="Cambria Math" w:hAnsi="Cambria Math" w:cs="Cambria Math"/>
      <w:lang w:val="en-US" w:eastAsia="ar-SA"/>
    </w:rPr>
  </w:style>
  <w:style w:type="character" w:customStyle="1" w:styleId="apple-converted-space">
    <w:name w:val="apple-converted-space"/>
    <w:basedOn w:val="DefaultParagraphFont"/>
    <w:rsid w:val="00790455"/>
  </w:style>
  <w:style w:type="paragraph" w:styleId="TOC4">
    <w:name w:val="toc 4"/>
    <w:basedOn w:val="Normal"/>
    <w:next w:val="Normal"/>
    <w:uiPriority w:val="39"/>
    <w:rsid w:val="007D3E77"/>
    <w:pPr>
      <w:suppressAutoHyphens/>
      <w:spacing w:before="100" w:after="100" w:line="240" w:lineRule="auto"/>
      <w:ind w:left="720"/>
    </w:pPr>
    <w:rPr>
      <w:rFonts w:ascii="-moz-fixed" w:eastAsia="-moz-fixed" w:hAnsi="-moz-fixed" w:cs="-moz-fixed"/>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web.archive.org/web/20221001014147/http://climatecasechart.com/wp-content/uploads/sites/16/case-documents/2014/20141209_docket-312-cv-02271_opinion-and-order.pdf" TargetMode="External"/><Relationship Id="rId21" Type="http://schemas.openxmlformats.org/officeDocument/2006/relationships/hyperlink" Target="http://www.colorado.edu/geography/class_homepages/geog_4430_f10/Platt%20et%20al_Wildfire%20Mitigatnion_AnAAG_2006.PDF" TargetMode="External"/><Relationship Id="rId42" Type="http://schemas.openxmlformats.org/officeDocument/2006/relationships/hyperlink" Target="http://www.fs.fed.us/psw/publications/documents/gtr-181/017_Zack.pdf" TargetMode="External"/><Relationship Id="rId47" Type="http://schemas.openxmlformats.org/officeDocument/2006/relationships/hyperlink" Target="https://fwcs.oregonstate.edu/users/ivan-arismendi" TargetMode="External"/><Relationship Id="rId63" Type="http://schemas.openxmlformats.org/officeDocument/2006/relationships/hyperlink" Target="https://www.whitehouse.gov/wp-content/uploads/2023/03/230318-Corridors-connectivity-guidance-memo-final-draft-formatted.pdf" TargetMode="External"/><Relationship Id="rId68" Type="http://schemas.openxmlformats.org/officeDocument/2006/relationships/hyperlink" Target="https://fs.usda.gov/Internet/FSE_DOCUMENTS/fsbdev7_016034.pdf" TargetMode="External"/><Relationship Id="rId84" Type="http://schemas.openxmlformats.org/officeDocument/2006/relationships/hyperlink" Target="http://www.wildlandscpr.org/ecological-effects-roads" TargetMode="External"/><Relationship Id="rId89" Type="http://schemas.openxmlformats.org/officeDocument/2006/relationships/hyperlink" Target="http://www.pnas.org/content/early/2010/10/13/1007692107.full.pdf" TargetMode="External"/><Relationship Id="rId2" Type="http://schemas.openxmlformats.org/officeDocument/2006/relationships/styles" Target="styles.xml"/><Relationship Id="rId16" Type="http://schemas.openxmlformats.org/officeDocument/2006/relationships/hyperlink" Target="http://web.archive.org/web/20041105214752/http://www.onrc.org/press/ONRCv.USFS.pdf" TargetMode="External"/><Relationship Id="rId29" Type="http://schemas.openxmlformats.org/officeDocument/2006/relationships/hyperlink" Target="https://www.sciencedaily.com/releases/2019/06/190618174358.htm" TargetMode="External"/><Relationship Id="rId107" Type="http://schemas.openxmlformats.org/officeDocument/2006/relationships/footer" Target="footer2.xml"/><Relationship Id="rId11" Type="http://schemas.openxmlformats.org/officeDocument/2006/relationships/image" Target="media/image3.png"/><Relationship Id="rId24" Type="http://schemas.openxmlformats.org/officeDocument/2006/relationships/hyperlink" Target="https://pdf.wildearthguardians.org/support_docs/eastside-screens-08-31-2023-decision-97%20F%20and%20R.pdf" TargetMode="External"/><Relationship Id="rId32" Type="http://schemas.openxmlformats.org/officeDocument/2006/relationships/hyperlink" Target="https://doi.org/10.1038/s41477-021-01088-5" TargetMode="External"/><Relationship Id="rId37" Type="http://schemas.openxmlformats.org/officeDocument/2006/relationships/hyperlink" Target="https://doi.org/10.3389/ffgc.2019.00027" TargetMode="External"/><Relationship Id="rId40" Type="http://schemas.openxmlformats.org/officeDocument/2006/relationships/hyperlink" Target="https://www.fs.usda.gov/research/treesearch/6630" TargetMode="External"/><Relationship Id="rId45" Type="http://schemas.openxmlformats.org/officeDocument/2006/relationships/hyperlink" Target="http://ecoshare.info/2010/07/06/what-about-riparian-systems-who-benefits-from-an-early-seral-forest-condition-gregory/" TargetMode="External"/><Relationship Id="rId53" Type="http://schemas.openxmlformats.org/officeDocument/2006/relationships/hyperlink" Target="https://www.federalregister.gov/documents/2023/01/09/2023-00158/national-environmental-policy-act-guidance-on-consideration-of-greenhouse-gas-emissions-and-climate" TargetMode="External"/><Relationship Id="rId58" Type="http://schemas.openxmlformats.org/officeDocument/2006/relationships/hyperlink" Target="https://www.fs.usda.gov/emc/nepa/climate_change/index.shtml" TargetMode="External"/><Relationship Id="rId66" Type="http://schemas.openxmlformats.org/officeDocument/2006/relationships/hyperlink" Target="https://experience.arcgis.com/experience/6979b6598f904951bd0af1821e1595f1/" TargetMode="External"/><Relationship Id="rId74" Type="http://schemas.openxmlformats.org/officeDocument/2006/relationships/hyperlink" Target="https://mcusercontent.com/5f6de7b069a57255f980944b4/files/68ab7c9b-a224-e68b-a3fa-97077e22b662/19_2_01_1.pdf" TargetMode="External"/><Relationship Id="rId79" Type="http://schemas.openxmlformats.org/officeDocument/2006/relationships/hyperlink" Target="http://csfs.colostate.edu/pdfs/LPP_scientific-LS-www.pdf" TargetMode="External"/><Relationship Id="rId87" Type="http://schemas.openxmlformats.org/officeDocument/2006/relationships/hyperlink" Target="https://www.sierraforestlegacy.org/Resources/Conservation/ProjectsPlans/ForestPlanRevisions/SFL%20et%20al.%20FPR%20comments%20part%205%20of%205.pdf" TargetMode="External"/><Relationship Id="rId102" Type="http://schemas.openxmlformats.org/officeDocument/2006/relationships/image" Target="media/image7.jpeg"/><Relationship Id="rId5" Type="http://schemas.openxmlformats.org/officeDocument/2006/relationships/footnotes" Target="footnotes.xml"/><Relationship Id="rId61" Type="http://schemas.openxmlformats.org/officeDocument/2006/relationships/hyperlink" Target="https://ir.library.oregonstate.edu/xmlui/bitstream/handle/1957/54574/141203_Moriarty_OSU_Dissertation_FINAL.pdf" TargetMode="External"/><Relationship Id="rId82" Type="http://schemas.openxmlformats.org/officeDocument/2006/relationships/hyperlink" Target="https://www.fs.usda.gov/project/?project=53241" TargetMode="External"/><Relationship Id="rId90" Type="http://schemas.openxmlformats.org/officeDocument/2006/relationships/hyperlink" Target="http://www.fs.fed.us/pnw/publications/pnw_gtr405/pnw_gtr405_06.pdf" TargetMode="External"/><Relationship Id="rId95" Type="http://schemas.openxmlformats.org/officeDocument/2006/relationships/hyperlink" Target="https://doi.org/10.1038/s41598-022-06002-3" TargetMode="External"/><Relationship Id="rId19" Type="http://schemas.openxmlformats.org/officeDocument/2006/relationships/hyperlink" Target="http://www.forestsandrangelands.gov/resources/reports/documents/2001/8-20-en.pdf" TargetMode="External"/><Relationship Id="rId14" Type="http://schemas.openxmlformats.org/officeDocument/2006/relationships/image" Target="media/image4.png"/><Relationship Id="rId22" Type="http://schemas.openxmlformats.org/officeDocument/2006/relationships/hyperlink" Target="http://public.gettysburg.edu/~rplatt/Platt%20et%20al._NatHazReview08.pdf" TargetMode="External"/><Relationship Id="rId27" Type="http://schemas.openxmlformats.org/officeDocument/2006/relationships/hyperlink" Target="https://www.whitehouse.gov/briefing-room/presidential-actions/2022/04/22/executive-order-on-strengthening-the-nations-forests-communities-and-local-economies/" TargetMode="External"/><Relationship Id="rId30" Type="http://schemas.openxmlformats.org/officeDocument/2006/relationships/hyperlink" Target="https://www.sciencedaily.com/releases/2019/06/190618174358.htm" TargetMode="External"/><Relationship Id="rId35" Type="http://schemas.openxmlformats.org/officeDocument/2006/relationships/hyperlink" Target="https://drive.google.com/file/d/0B4L_-RD-MJwrRzhFcm5QcFR0MHM/view?usp=sharing&amp;resourcekey=0-2-sbGMN3bOUBQGGMDBQM1Q" TargetMode="External"/><Relationship Id="rId43" Type="http://schemas.openxmlformats.org/officeDocument/2006/relationships/hyperlink" Target="http://www.eurekalert.org/pub_releases/2010-01/uoh-nfd011210.php" TargetMode="External"/><Relationship Id="rId48" Type="http://schemas.openxmlformats.org/officeDocument/2006/relationships/hyperlink" Target="https://www.springer.com/journal/10531?gclid=Cj0KCQjwhqaVBhCxARIsAHK1tiNwpoLOgeGKULrNVOsA_KsgM340-jigtBuy21lXvzN94Exosq40JCoaAjbfEALw_wcB" TargetMode="External"/><Relationship Id="rId56" Type="http://schemas.openxmlformats.org/officeDocument/2006/relationships/hyperlink" Target="https://obamawhitehouse.archives.gov/sites/whitehouse.gov/files/documents/nepa_final_ghg_guidance.pdf" TargetMode="External"/><Relationship Id="rId64" Type="http://schemas.openxmlformats.org/officeDocument/2006/relationships/hyperlink" Target="https://oregonconservationstrategy.org/success-story/the-oregon-connectivity-assessment-and-mapping-project-ocamp/" TargetMode="External"/><Relationship Id="rId69" Type="http://schemas.openxmlformats.org/officeDocument/2006/relationships/hyperlink" Target="http://web.archive.org/web/20060708035905/http://www.nwhi.org/inc/data/GISdata/docs/chapter24.pdf" TargetMode="External"/><Relationship Id="rId77" Type="http://schemas.openxmlformats.org/officeDocument/2006/relationships/hyperlink" Target="http://www.nwfirescience.org/sites/default/files/publications/A%20Land%20Managers%20Guide%20for%20Creating%20Fire-resistant%20Forests%20.pdf" TargetMode="External"/><Relationship Id="rId100" Type="http://schemas.openxmlformats.org/officeDocument/2006/relationships/hyperlink" Target="http://www.pnas.org/content/early/2017/02/21/1617394114.full.pdf" TargetMode="External"/><Relationship Id="rId105" Type="http://schemas.openxmlformats.org/officeDocument/2006/relationships/footer" Target="footer1.xml"/><Relationship Id="rId8" Type="http://schemas.openxmlformats.org/officeDocument/2006/relationships/hyperlink" Target="https://www.fs.usda.gov/project/wallowa-whitman/?project=58480" TargetMode="External"/><Relationship Id="rId51" Type="http://schemas.openxmlformats.org/officeDocument/2006/relationships/hyperlink" Target="https://link.springer.com/article/10.1007/s10531-022-02437-2" TargetMode="External"/><Relationship Id="rId72" Type="http://schemas.openxmlformats.org/officeDocument/2006/relationships/hyperlink" Target="https://doi.org/10.3133/ofr20181034" TargetMode="External"/><Relationship Id="rId80" Type="http://schemas.openxmlformats.org/officeDocument/2006/relationships/hyperlink" Target="http://www.fs.fed.us/pnw/pubs/pnw_gtr779.pdf" TargetMode="External"/><Relationship Id="rId85" Type="http://schemas.openxmlformats.org/officeDocument/2006/relationships/hyperlink" Target="http://www.eco-action.org/dt/roads.html" TargetMode="External"/><Relationship Id="rId93" Type="http://schemas.openxmlformats.org/officeDocument/2006/relationships/hyperlink" Target="https://www.calsalmon.org/sites/default/files/1_Managing_road_systems_for_environmental_protection_and_long_term_durability.pdf" TargetMode="External"/><Relationship Id="rId98" Type="http://schemas.openxmlformats.org/officeDocument/2006/relationships/hyperlink" Target="https://guardiansaction.org/roads-lit-review" TargetMode="External"/><Relationship Id="rId3" Type="http://schemas.openxmlformats.org/officeDocument/2006/relationships/settings" Target="settings.xml"/><Relationship Id="rId12" Type="http://schemas.openxmlformats.org/officeDocument/2006/relationships/hyperlink" Target="https://casetext.com/regulation/code-of-federal-regulations/title-40-protection-of-environment/chapter-v-council-on-environmental-quality/part-1508-terminology-and-index/15089-environmental-assessment" TargetMode="External"/><Relationship Id="rId17" Type="http://schemas.openxmlformats.org/officeDocument/2006/relationships/hyperlink" Target="http://www.fs.fed.us/projects/hfi/2003/november/documents/forest-structure-wildfire.pdf" TargetMode="External"/><Relationship Id="rId25" Type="http://schemas.openxmlformats.org/officeDocument/2006/relationships/hyperlink" Target="https://oregonwild.org/sites/default/files/pdf-files/104%20Order%20Adopting%20F%20and%20R%20(1).pdf" TargetMode="External"/><Relationship Id="rId33" Type="http://schemas.openxmlformats.org/officeDocument/2006/relationships/hyperlink" Target="http://www.fs.fed.us/pnw/pubs/gtr_438.pdf" TargetMode="External"/><Relationship Id="rId38" Type="http://schemas.openxmlformats.org/officeDocument/2006/relationships/hyperlink" Target="https://www.frontiersin.org/articles/10.3389/ffgc.2019.00027/full" TargetMode="External"/><Relationship Id="rId46" Type="http://schemas.openxmlformats.org/officeDocument/2006/relationships/hyperlink" Target="https://www.nationalforests.org/blog/seven-reasons-why-fish-need-wood" TargetMode="External"/><Relationship Id="rId59" Type="http://schemas.openxmlformats.org/officeDocument/2006/relationships/hyperlink" Target="https://www.fs.usda.gov/emc/nepa/climate_change/includes/cc_nepa_guidance.pdf" TargetMode="External"/><Relationship Id="rId67" Type="http://schemas.openxmlformats.org/officeDocument/2006/relationships/image" Target="media/image6.png"/><Relationship Id="rId103" Type="http://schemas.openxmlformats.org/officeDocument/2006/relationships/hyperlink" Target="mailto:dh@oregonwild.org" TargetMode="External"/><Relationship Id="rId108" Type="http://schemas.openxmlformats.org/officeDocument/2006/relationships/fontTable" Target="fontTable.xml"/><Relationship Id="rId20" Type="http://schemas.openxmlformats.org/officeDocument/2006/relationships/hyperlink" Target="http://www.fs.fed.us/pnw/pubs/pnw_gtr752.pdf" TargetMode="External"/><Relationship Id="rId41" Type="http://schemas.openxmlformats.org/officeDocument/2006/relationships/hyperlink" Target="http://web.archive.org/web/20060708035905/http://www.nwhi.org/inc/data/GISdata/docs/chapter24.pdf" TargetMode="External"/><Relationship Id="rId54" Type="http://schemas.openxmlformats.org/officeDocument/2006/relationships/hyperlink" Target="https://www.fs.usda.gov/research/treesearch/54316" TargetMode="External"/><Relationship Id="rId62" Type="http://schemas.openxmlformats.org/officeDocument/2006/relationships/hyperlink" Target="https://www.whitehouse.gov/wp-content/uploads/2023/03/230318-Corridors-connectivity-guidance-memo-final-draft-formatted.pdf" TargetMode="External"/><Relationship Id="rId70" Type="http://schemas.openxmlformats.org/officeDocument/2006/relationships/hyperlink" Target="https://drive.google.com/open?id=1AEA3PTs31Sv_-RZZnMsduhHCb1hniZ_e" TargetMode="External"/><Relationship Id="rId75" Type="http://schemas.openxmlformats.org/officeDocument/2006/relationships/hyperlink" Target="http://pubs.usgs.gov/sir/2006/5185/pdf/sir_2006-5185.pdf" TargetMode="External"/><Relationship Id="rId83" Type="http://schemas.openxmlformats.org/officeDocument/2006/relationships/hyperlink" Target="http://pacificrivers.org/science-research/resources-publications/road-density-as-indicator" TargetMode="External"/><Relationship Id="rId88" Type="http://schemas.openxmlformats.org/officeDocument/2006/relationships/hyperlink" Target="https://www.sciencedirect.com/science/article/abs/pii/S1470160X16305738" TargetMode="External"/><Relationship Id="rId91" Type="http://schemas.openxmlformats.org/officeDocument/2006/relationships/hyperlink" Target="http://www.fs.fed.us/pnw/publications/pnw_gtr405/pnw_gtr405_07.pdf" TargetMode="External"/><Relationship Id="rId96" Type="http://schemas.openxmlformats.org/officeDocument/2006/relationships/hyperlink" Target="https://www.nature.com/articles/s41598-022-06002-3.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eb.archive.org/web/20090118192937/http://www.fs.fed.us/im/directives/fsh/1909.15/1909.15_40.doc" TargetMode="External"/><Relationship Id="rId23" Type="http://schemas.openxmlformats.org/officeDocument/2006/relationships/hyperlink" Target="https://www.whitehouse.gov/briefing-room/presidential-actions/2022/04/22/executive-order-on-strengthening-the-nations-forests-communities-and-local-economies/" TargetMode="External"/><Relationship Id="rId28" Type="http://schemas.openxmlformats.org/officeDocument/2006/relationships/hyperlink" Target="http://fate.nmfs.noaa.gov/documents/Publications/Black_et_al_2008_Ecoscience.pdf" TargetMode="External"/><Relationship Id="rId36" Type="http://schemas.openxmlformats.org/officeDocument/2006/relationships/hyperlink" Target="http://kritonarsenis.gr/eng/actions/view/european-parliament-backs-the-protection" TargetMode="External"/><Relationship Id="rId49" Type="http://schemas.openxmlformats.org/officeDocument/2006/relationships/hyperlink" Target="https://ktvz.com/news/environment/2022/06/21/osu-research-looks-at-importance-of-large-wood-in-streams-for-land-based-animals/" TargetMode="External"/><Relationship Id="rId57" Type="http://schemas.openxmlformats.org/officeDocument/2006/relationships/hyperlink" Target="https://www.federalregister.gov/documents/2023/01/09/2023-00158/national-environmental-policy-act-guidance-on-consideration-of-greenhouse-gas-emissions-and-climate" TargetMode="External"/><Relationship Id="rId106" Type="http://schemas.openxmlformats.org/officeDocument/2006/relationships/header" Target="header2.xml"/><Relationship Id="rId10" Type="http://schemas.openxmlformats.org/officeDocument/2006/relationships/image" Target="media/image2.png"/><Relationship Id="rId31" Type="http://schemas.openxmlformats.org/officeDocument/2006/relationships/hyperlink" Target="http://www.pnas.org/cgi/doi/10.1073/pnas.1700032114" TargetMode="External"/><Relationship Id="rId44" Type="http://schemas.openxmlformats.org/officeDocument/2006/relationships/image" Target="media/image5.png"/><Relationship Id="rId52" Type="http://schemas.openxmlformats.org/officeDocument/2006/relationships/hyperlink" Target="http://www.reo.gov/library/policy/REO-694_comm_thin_criteria.doc" TargetMode="External"/><Relationship Id="rId60" Type="http://schemas.openxmlformats.org/officeDocument/2006/relationships/hyperlink" Target="http://onlinelibrary.wiley.com/doi/10.1002/jwmg.1060/abstract" TargetMode="External"/><Relationship Id="rId65" Type="http://schemas.openxmlformats.org/officeDocument/2006/relationships/hyperlink" Target="https://oregonconservationstrategy.org/success-story/priority-wildlife-connectivity-areas-pwcas/" TargetMode="External"/><Relationship Id="rId73" Type="http://schemas.openxmlformats.org/officeDocument/2006/relationships/hyperlink" Target="https://web.archive.org/web/20070818123112/http://www.fireecology.net/pdfs/7_ingalsbee.pdf" TargetMode="External"/><Relationship Id="rId78" Type="http://schemas.openxmlformats.org/officeDocument/2006/relationships/hyperlink" Target="https://doi.org/10.1111/1365-2745.14145" TargetMode="External"/><Relationship Id="rId81" Type="http://schemas.openxmlformats.org/officeDocument/2006/relationships/hyperlink" Target="http://web.archive.org/web/20040515020554/http://roadless.fs.fed.us/documents/feis/specrep/xbio_spec_rpt.pdf" TargetMode="External"/><Relationship Id="rId86" Type="http://schemas.openxmlformats.org/officeDocument/2006/relationships/hyperlink" Target="https://www.fs.usda.gov/nfs/11558/www/nepa/96158_FSPLT3_3989888.pdf" TargetMode="External"/><Relationship Id="rId94" Type="http://schemas.openxmlformats.org/officeDocument/2006/relationships/hyperlink" Target="https://vimeo.com/showcase/9708837" TargetMode="External"/><Relationship Id="rId99" Type="http://schemas.openxmlformats.org/officeDocument/2006/relationships/hyperlink" Target="https://www.frames.gov/documents/behaveplus/publications/Schroeder_and_Buck_1970_PMS-425-1_NFES-1174_Fire_Wx_all.pdf" TargetMode="External"/><Relationship Id="rId101" Type="http://schemas.openxmlformats.org/officeDocument/2006/relationships/hyperlink" Target="http://wayback.archive.org/web/" TargetMode="Externa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hyperlink" Target="https://caselaw.findlaw.com/us-9th-circuit/1180061.html" TargetMode="External"/><Relationship Id="rId18" Type="http://schemas.openxmlformats.org/officeDocument/2006/relationships/hyperlink" Target="https://wwwpaztcn.wr.usgs.gov/fire/hr_1904_testimony_christensen.pdf" TargetMode="External"/><Relationship Id="rId39" Type="http://schemas.openxmlformats.org/officeDocument/2006/relationships/hyperlink" Target="https://onlinelibrary.wiley.com/doi/pdfdirect/10.1111/gcbb.12714" TargetMode="External"/><Relationship Id="rId109" Type="http://schemas.openxmlformats.org/officeDocument/2006/relationships/theme" Target="theme/theme1.xml"/><Relationship Id="rId34" Type="http://schemas.openxmlformats.org/officeDocument/2006/relationships/hyperlink" Target="https://d2k78bk4kdhbpr.cloudfront.net/media/reports/files/Scientific_Basis_For_Roadless_Area_Conservation.pdf" TargetMode="External"/><Relationship Id="rId50" Type="http://schemas.openxmlformats.org/officeDocument/2006/relationships/hyperlink" Target="https://doi.org/10.1007/s10531-022-02437-2" TargetMode="External"/><Relationship Id="rId55" Type="http://schemas.openxmlformats.org/officeDocument/2006/relationships/hyperlink" Target="https://www.fs.usda.gov/research/publications/gtr/gtr_wo95.pdf" TargetMode="External"/><Relationship Id="rId76" Type="http://schemas.openxmlformats.org/officeDocument/2006/relationships/hyperlink" Target="http://www.firescience.gov/projects/08-2-1-09/project/08-2-1-09_finalreport08-2-1-09.pdf" TargetMode="External"/><Relationship Id="rId97" Type="http://schemas.openxmlformats.org/officeDocument/2006/relationships/hyperlink" Target="http://pdf.wildearthguardians.org/site/DocServer/Roads-and-Wildfire-Fact-Sheet-Sept-2020.pdf" TargetMode="External"/><Relationship Id="rId104" Type="http://schemas.openxmlformats.org/officeDocument/2006/relationships/header" Target="header1.xml"/><Relationship Id="rId7" Type="http://schemas.openxmlformats.org/officeDocument/2006/relationships/hyperlink" Target="https://cara.fs2c.usda.gov/Public//CommentInput?Project=58480" TargetMode="External"/><Relationship Id="rId71" Type="http://schemas.openxmlformats.org/officeDocument/2006/relationships/hyperlink" Target="https://doi.org/10.1002/fee.2045" TargetMode="External"/><Relationship Id="rId92" Type="http://schemas.openxmlformats.org/officeDocument/2006/relationships/hyperlink" Target="http://www.gpo.gov/fdsys/pkg/FR-2012-05-23/pdf/2012-12524.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ug\Dropbox\Forms\Comment%20Template%20(2024%20new%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Comment Template (2024 new logo).dotx</Template>
  <TotalTime>505</TotalTime>
  <Pages>56</Pages>
  <Words>25115</Words>
  <Characters>143162</Characters>
  <Application>Microsoft Office Word</Application>
  <DocSecurity>0</DocSecurity>
  <Lines>1193</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Doug</dc:creator>
  <cp:lastModifiedBy>Doug</cp:lastModifiedBy>
  <cp:revision>30</cp:revision>
  <dcterms:created xsi:type="dcterms:W3CDTF">2024-04-05T17:50:00Z</dcterms:created>
  <dcterms:modified xsi:type="dcterms:W3CDTF">2024-04-08T22:46:00Z</dcterms:modified>
</cp:coreProperties>
</file>