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A81F" w14:textId="5086B8C5" w:rsidR="00570C19" w:rsidRPr="00E12587" w:rsidRDefault="002C73B2" w:rsidP="00570C1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COMMENTS </w:t>
      </w:r>
      <w:r w:rsidR="00570C19" w:rsidRPr="00E1258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TO THE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LOLO NATONAL FOREST (LNF) LAND MANAGEMENT REVISION</w:t>
      </w:r>
      <w:r w:rsidR="005828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# 62960</w:t>
      </w:r>
      <w:r w:rsidR="00584E9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PURSUANT TO THE </w:t>
      </w:r>
      <w:r w:rsidRPr="002C73B2">
        <w:rPr>
          <w:rFonts w:ascii="Arial" w:hAnsi="Arial" w:cs="Arial"/>
          <w:b/>
          <w:bCs/>
          <w:caps/>
          <w:color w:val="000000"/>
          <w:sz w:val="24"/>
          <w:szCs w:val="24"/>
          <w:shd w:val="clear" w:color="auto" w:fill="FFFFFF"/>
        </w:rPr>
        <w:t>National Forest Management Act of 1976</w:t>
      </w:r>
    </w:p>
    <w:p w14:paraId="3E3152F5" w14:textId="77777777" w:rsidR="00970D84" w:rsidRPr="007A07F9" w:rsidRDefault="00970D84" w:rsidP="00570C19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7579879F" w14:textId="3E0B44FA" w:rsidR="00570C19" w:rsidRPr="007A07F9" w:rsidRDefault="00970D84" w:rsidP="00570C1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7A07F9">
        <w:rPr>
          <w:rFonts w:ascii="Arial" w:hAnsi="Arial" w:cs="Arial"/>
          <w:b/>
          <w:bCs/>
          <w:sz w:val="28"/>
          <w:szCs w:val="28"/>
          <w:shd w:val="clear" w:color="auto" w:fill="FFFFFF"/>
        </w:rPr>
        <w:t>DATE</w:t>
      </w:r>
      <w:r w:rsidR="00570C19" w:rsidRPr="007A07F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570C19" w:rsidRPr="007A07F9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570C19" w:rsidRPr="007A07F9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70C19" w:rsidRPr="007A07F9">
        <w:rPr>
          <w:rFonts w:ascii="Arial" w:hAnsi="Arial" w:cs="Arial"/>
          <w:sz w:val="28"/>
          <w:szCs w:val="28"/>
          <w:shd w:val="clear" w:color="auto" w:fill="FFFFFF"/>
        </w:rPr>
        <w:tab/>
      </w:r>
      <w:r w:rsidR="006930D5">
        <w:rPr>
          <w:rFonts w:ascii="Arial" w:hAnsi="Arial" w:cs="Arial"/>
          <w:sz w:val="28"/>
          <w:szCs w:val="28"/>
          <w:shd w:val="clear" w:color="auto" w:fill="FFFFFF"/>
        </w:rPr>
        <w:t xml:space="preserve">April 1, </w:t>
      </w:r>
      <w:r w:rsidR="00003262" w:rsidRPr="007A07F9">
        <w:rPr>
          <w:rFonts w:ascii="Arial" w:hAnsi="Arial" w:cs="Arial"/>
          <w:sz w:val="28"/>
          <w:szCs w:val="28"/>
          <w:shd w:val="clear" w:color="auto" w:fill="FFFFFF"/>
        </w:rPr>
        <w:t>2024</w:t>
      </w:r>
    </w:p>
    <w:p w14:paraId="03AD1B81" w14:textId="74F6ED94" w:rsidR="00970D84" w:rsidRPr="007A07F9" w:rsidRDefault="00970D84" w:rsidP="00970D8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7A07F9">
        <w:rPr>
          <w:rFonts w:ascii="Arial" w:hAnsi="Arial" w:cs="Arial"/>
          <w:b/>
          <w:bCs/>
          <w:sz w:val="28"/>
          <w:szCs w:val="28"/>
          <w:shd w:val="clear" w:color="auto" w:fill="FFFFFF"/>
        </w:rPr>
        <w:t>TO:</w:t>
      </w:r>
      <w:r w:rsidRPr="007A07F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A07F9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A07F9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A07F9">
        <w:rPr>
          <w:rFonts w:ascii="Arial" w:hAnsi="Arial" w:cs="Arial"/>
          <w:sz w:val="28"/>
          <w:szCs w:val="28"/>
          <w:shd w:val="clear" w:color="auto" w:fill="FFFFFF"/>
        </w:rPr>
        <w:tab/>
        <w:t xml:space="preserve">Forest Supervisor for the </w:t>
      </w:r>
      <w:r w:rsidR="005828FD" w:rsidRPr="007A07F9">
        <w:rPr>
          <w:rFonts w:ascii="Arial" w:hAnsi="Arial" w:cs="Arial"/>
          <w:sz w:val="28"/>
          <w:szCs w:val="28"/>
          <w:shd w:val="clear" w:color="auto" w:fill="FFFFFF"/>
        </w:rPr>
        <w:t xml:space="preserve">Lolo National Forest </w:t>
      </w:r>
      <w:r w:rsidRPr="007A07F9">
        <w:rPr>
          <w:rFonts w:ascii="Arial" w:hAnsi="Arial" w:cs="Arial"/>
          <w:sz w:val="28"/>
          <w:szCs w:val="28"/>
          <w:shd w:val="clear" w:color="auto" w:fill="FFFFFF"/>
        </w:rPr>
        <w:t xml:space="preserve">-  </w:t>
      </w:r>
      <w:r w:rsidR="005725A1" w:rsidRPr="007A07F9">
        <w:rPr>
          <w:rFonts w:ascii="Arial" w:hAnsi="Arial" w:cs="Arial"/>
          <w:sz w:val="28"/>
          <w:szCs w:val="28"/>
          <w:shd w:val="clear" w:color="auto" w:fill="FFFFFF"/>
        </w:rPr>
        <w:t>Carolyn Ypton</w:t>
      </w:r>
      <w:r w:rsidRPr="007A07F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5C0DCF7A" w14:textId="6C138528" w:rsidR="00970D84" w:rsidRPr="007A07F9" w:rsidRDefault="00347416" w:rsidP="00D43E1C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7A07F9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A07F9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A07F9">
        <w:rPr>
          <w:rFonts w:ascii="Arial" w:hAnsi="Arial" w:cs="Arial"/>
          <w:sz w:val="28"/>
          <w:szCs w:val="28"/>
          <w:shd w:val="clear" w:color="auto" w:fill="FFFFFF"/>
        </w:rPr>
        <w:tab/>
        <w:t xml:space="preserve">US Department of Agriculture’s  Forest Service – Randy Moore </w:t>
      </w:r>
      <w:r w:rsidR="00970D84" w:rsidRPr="007A07F9">
        <w:rPr>
          <w:rFonts w:ascii="Helvetica" w:eastAsia="Times New Roman" w:hAnsi="Helvetica" w:cs="Times New Roman"/>
          <w:kern w:val="0"/>
          <w:sz w:val="28"/>
          <w:szCs w:val="28"/>
          <w14:ligatures w14:val="none"/>
        </w:rPr>
        <w:t>.</w:t>
      </w:r>
      <w:r w:rsidR="00570C19" w:rsidRPr="007A07F9">
        <w:rPr>
          <w:rFonts w:ascii="Helvetica" w:eastAsia="Times New Roman" w:hAnsi="Helvetica" w:cs="Times New Roman"/>
          <w:i/>
          <w:iCs/>
          <w:kern w:val="0"/>
          <w:sz w:val="28"/>
          <w:szCs w:val="28"/>
          <w14:ligatures w14:val="none"/>
        </w:rPr>
        <w:t xml:space="preserve"> </w:t>
      </w:r>
    </w:p>
    <w:p w14:paraId="3C29464B" w14:textId="77777777" w:rsidR="007E730E" w:rsidRPr="006930D5" w:rsidRDefault="00970D84" w:rsidP="005C15D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T</w:t>
      </w:r>
      <w:r w:rsidR="00570C19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he </w:t>
      </w:r>
      <w:r w:rsidR="00D34823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“</w:t>
      </w:r>
      <w:r w:rsidR="00570C19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plan</w:t>
      </w:r>
      <w:r w:rsidR="00D34823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”</w:t>
      </w:r>
      <w:r w:rsidR="00570C19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needs to </w:t>
      </w:r>
      <w:r w:rsidR="00003262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ensure continuity</w:t>
      </w:r>
      <w:r w:rsidR="00D34823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and conformity </w:t>
      </w:r>
      <w:r w:rsidR="00003262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570C19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with the  W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ilderness</w:t>
      </w:r>
      <w:r w:rsidR="007E730E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Act of </w:t>
      </w:r>
      <w:r w:rsidR="00570C19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1964:  Section 2; Policy; Definition of Wilderness’ and Use</w:t>
      </w:r>
      <w:r w:rsidR="009248B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. </w:t>
      </w:r>
      <w:r w:rsidR="00426716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The </w:t>
      </w:r>
      <w:r w:rsidR="009248B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“</w:t>
      </w:r>
      <w:r w:rsidR="00D34823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Plan</w:t>
      </w:r>
      <w:r w:rsidR="009248B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” and A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ct</w:t>
      </w:r>
      <w:r w:rsidR="009248B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should have the same purpose </w:t>
      </w:r>
      <w:r w:rsidR="00572AA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without</w:t>
      </w:r>
      <w:r w:rsidR="009248B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having a</w:t>
      </w:r>
      <w:r w:rsidR="00426716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n innate </w:t>
      </w:r>
      <w:r w:rsidR="009248B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bias towards </w:t>
      </w:r>
      <w:r w:rsidR="00003262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wildlife</w:t>
      </w:r>
      <w:r w:rsidR="009248B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in favor of </w:t>
      </w:r>
      <w:r w:rsidR="00572AA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“</w:t>
      </w:r>
      <w:r w:rsidR="009248B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special interest groups</w:t>
      </w:r>
      <w:r w:rsidR="00572AA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”</w:t>
      </w:r>
      <w:r w:rsidR="00003262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as does the adjacent tentative plan for the Nez Pierce Clearwater Plan</w:t>
      </w:r>
      <w:r w:rsidR="00D34823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#44089</w:t>
      </w:r>
      <w:r w:rsidR="005C15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</w:t>
      </w:r>
    </w:p>
    <w:p w14:paraId="49BE83EA" w14:textId="70D1D019" w:rsidR="007E730E" w:rsidRPr="006930D5" w:rsidRDefault="005C15D5" w:rsidP="007E730E">
      <w:pPr>
        <w:pStyle w:val="ListParagraph"/>
        <w:shd w:val="clear" w:color="auto" w:fill="FFFFFF"/>
        <w:spacing w:before="100" w:beforeAutospacing="1" w:after="60" w:line="240" w:lineRule="auto"/>
        <w:ind w:left="1080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</w:p>
    <w:p w14:paraId="1FC17A9D" w14:textId="256A7270" w:rsidR="005C15D5" w:rsidRPr="006930D5" w:rsidRDefault="004C12B7" w:rsidP="007E730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7D1E6D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>Mechaniz</w:t>
      </w:r>
      <w:r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>ed Vehicles</w:t>
      </w:r>
      <w:r w:rsidR="00584E91" w:rsidRPr="007D1E6D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cannot be </w:t>
      </w:r>
      <w:r w:rsidR="007D1E6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permitted </w:t>
      </w:r>
      <w:r w:rsidR="00003262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in land designed for </w:t>
      </w:r>
      <w:r w:rsidR="007D1E6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W</w:t>
      </w:r>
      <w:r w:rsidR="00003262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ilderness</w:t>
      </w:r>
      <w:r w:rsidR="007D1E6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, Wilderness Study 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Areas,</w:t>
      </w:r>
      <w:r w:rsidR="007D1E6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or other sensitive areas</w:t>
      </w:r>
      <w:r w:rsidR="00003262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in </w:t>
      </w:r>
      <w:r w:rsidR="005C15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the L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olo</w:t>
      </w:r>
      <w:r w:rsidR="007E730E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5C15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NF. Do not reduce the Great Burn Wilderness recommendation by “40,000 acres” as the Nez Pierce Clearwater NF did  and allow motorized use for it will  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most certainly promote and </w:t>
      </w:r>
      <w:r w:rsidR="005C15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encourage motorized "trespass " into the remaining area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s</w:t>
      </w:r>
      <w:r w:rsidR="005C15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. Which enforcement heretofore has been 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“</w:t>
      </w:r>
      <w:r w:rsidR="005C15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lifeless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.”</w:t>
      </w:r>
      <w:r w:rsidR="005C15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</w:p>
    <w:p w14:paraId="487C7D8B" w14:textId="77777777" w:rsidR="007A07F9" w:rsidRPr="006930D5" w:rsidRDefault="007A07F9" w:rsidP="007A07F9">
      <w:pPr>
        <w:pStyle w:val="ListParagraph"/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</w:p>
    <w:p w14:paraId="384D59F4" w14:textId="20D93DA0" w:rsidR="00347416" w:rsidRPr="006930D5" w:rsidRDefault="007D1E6D" w:rsidP="007A07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7D1E6D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>Wilderness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, </w:t>
      </w:r>
      <w:r w:rsidR="005C15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The entire area currently recommended for wilderness in the 1987 forest plan (especially the Great Burn area) </w:t>
      </w:r>
      <w:r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continues</w:t>
      </w:r>
      <w:r w:rsidR="005C15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to be recommended for wilderness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designation </w:t>
      </w:r>
      <w:r w:rsidR="005C15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</w:t>
      </w:r>
      <w:r w:rsidR="0099786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The </w:t>
      </w:r>
      <w:r w:rsidR="00D34823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“</w:t>
      </w:r>
      <w:r w:rsidR="0099786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sound</w:t>
      </w:r>
      <w:r w:rsidR="00D34823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s”</w:t>
      </w:r>
      <w:r w:rsidR="0099786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of mechanization and trampled earth “will” compromise the Lynx, Fisher, Wolverine</w:t>
      </w:r>
      <w:r w:rsidR="007A07F9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 Wolf</w:t>
      </w:r>
      <w:r w:rsidR="0099786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and Mountain Goat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’</w:t>
      </w:r>
      <w:r w:rsidR="0099786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s suitable habitat</w:t>
      </w:r>
      <w:r w:rsidR="00584E9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s</w:t>
      </w:r>
      <w:r w:rsidR="0099786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 Selway-Bitterroot Ecosystem Grizzly Bear recovery zone is compromised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, ongoing, </w:t>
      </w:r>
      <w:r w:rsidR="0099786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as well by mechanization and altered </w:t>
      </w:r>
      <w:r w:rsidR="007A07F9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earth.</w:t>
      </w:r>
      <w:r w:rsidR="006930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DD169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Include </w:t>
      </w:r>
      <w:r w:rsidR="006930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more areas to the Wilderness systems</w:t>
      </w:r>
      <w:r w:rsidR="00AD3813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to include the Hoodoo Pass ,</w:t>
      </w:r>
      <w:r w:rsidR="00AD3813" w:rsidRPr="00DD169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Heart &amp; Pearl Lake </w:t>
      </w:r>
      <w:r w:rsidR="00DD169D" w:rsidRPr="00DD169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areas, </w:t>
      </w:r>
      <w:r w:rsidR="00DD169D" w:rsidRPr="00DD169D">
        <w:rPr>
          <w:rFonts w:ascii="Arial" w:hAnsi="Arial" w:cs="Arial"/>
        </w:rPr>
        <w:t>Reservation Divide IRA should be reconsidered for recommended wilderness</w:t>
      </w:r>
      <w:r w:rsidR="00DD169D" w:rsidRPr="00DD169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DD169D" w:rsidRPr="00DD169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and other areas worthy of inclusion.</w:t>
      </w:r>
      <w:r w:rsidR="006930D5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</w:p>
    <w:p w14:paraId="28C83B41" w14:textId="77777777" w:rsidR="00C61677" w:rsidRPr="006930D5" w:rsidRDefault="00C61677" w:rsidP="00C61677">
      <w:pPr>
        <w:pStyle w:val="ListParagrap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</w:p>
    <w:p w14:paraId="44BD0127" w14:textId="5DB6B44D" w:rsidR="006930D5" w:rsidRPr="006930D5" w:rsidRDefault="00DD169D" w:rsidP="007A07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7D1E6D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>Connectivity.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C6167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Provide </w:t>
      </w:r>
      <w:r w:rsidR="00AD3813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habitat </w:t>
      </w:r>
      <w:r w:rsidR="00C6167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connectivity</w:t>
      </w:r>
      <w:r w:rsidR="00AD3813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for Grizzly Bears, Wolverines, 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l</w:t>
      </w:r>
      <w:r w:rsidR="00AD3813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arge 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u</w:t>
      </w:r>
      <w:r w:rsidR="00AD3813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ngulates</w:t>
      </w:r>
      <w:r w:rsidR="00C6167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and endangered species </w:t>
      </w:r>
      <w:r w:rsidR="00C6167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between </w:t>
      </w:r>
      <w:r w:rsidR="00C6167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Greater Yellowstone and Northern Continental Divide Ecosystems</w:t>
      </w:r>
      <w:r w:rsidR="00C6167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 Recommend two</w:t>
      </w:r>
      <w:r w:rsidR="0082443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C6167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(2)</w:t>
      </w:r>
      <w:r w:rsidR="00C11C00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Wildlife Corridor tunnels Crossings </w:t>
      </w:r>
      <w:r w:rsidR="00C6167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 under I-90 at the Nine Mile Six Mile alternatives.</w:t>
      </w:r>
      <w:r w:rsidR="00C11C00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This location is </w:t>
      </w:r>
      <w:r w:rsidR="004C12B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an exceedingly high</w:t>
      </w:r>
      <w:r w:rsidR="00C11C00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animal vehicle impact zone. If not the highest between Missoula and Cyr. The neck point of the natural Wildlife corridor between the two Ecosystems. </w:t>
      </w:r>
    </w:p>
    <w:p w14:paraId="21E201BF" w14:textId="77777777" w:rsidR="006930D5" w:rsidRPr="006930D5" w:rsidRDefault="006930D5" w:rsidP="006930D5">
      <w:pPr>
        <w:pStyle w:val="ListParagrap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</w:p>
    <w:p w14:paraId="3C53560F" w14:textId="2783076D" w:rsidR="006930D5" w:rsidRPr="006930D5" w:rsidRDefault="006930D5" w:rsidP="006930D5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>Colorado passed </w:t>
      </w:r>
      <w:hyperlink r:id="rId7" w:tgtFrame="_blank" w:history="1">
        <w:r w:rsidRPr="006930D5">
          <w:rPr>
            <w:rFonts w:ascii="Open Sans" w:hAnsi="Open Sans" w:cs="Open Sans"/>
            <w:color w:val="1A71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SB 151</w:t>
        </w:r>
      </w:hyperlink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> this year allocating $5 million for wildlife crossings and creating dedicated funding for these structures within the transportation department. The state also unanimously passed a joint resolution in 2021 (</w:t>
      </w:r>
      <w:hyperlink r:id="rId8" w:tgtFrame="_blank" w:history="1">
        <w:r w:rsidRPr="006930D5">
          <w:rPr>
            <w:rFonts w:ascii="Open Sans" w:hAnsi="Open Sans" w:cs="Open Sans"/>
            <w:color w:val="1A71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SJR 21</w:t>
        </w:r>
      </w:hyperlink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 xml:space="preserve">) calling for greater collection of wildlife movement data, a plan for improving habitat connectivity for native </w:t>
      </w:r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lastRenderedPageBreak/>
        <w:t>species, a report identifying benefits of corridors, and establishment of a working group to develop state policies</w:t>
      </w:r>
    </w:p>
    <w:p w14:paraId="1BDAC612" w14:textId="5EDF9806" w:rsidR="006930D5" w:rsidRPr="006930D5" w:rsidRDefault="006930D5" w:rsidP="006930D5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>Florida lawmakers unanimously passed a wildlife corridor law in 2021 (</w:t>
      </w:r>
      <w:hyperlink r:id="rId9" w:tgtFrame="_blank" w:history="1">
        <w:r w:rsidRPr="006930D5">
          <w:rPr>
            <w:rFonts w:ascii="Open Sans" w:hAnsi="Open Sans" w:cs="Open Sans"/>
            <w:color w:val="1A71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SB 976</w:t>
        </w:r>
      </w:hyperlink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>), allocating $400 million to protect almost 18 million acres of interconnected natural areas key to the survival of multiple species, including the endangered Florida panther.</w:t>
      </w:r>
    </w:p>
    <w:p w14:paraId="38B3BF50" w14:textId="449EDC4E" w:rsidR="006930D5" w:rsidRPr="006930D5" w:rsidRDefault="006930D5" w:rsidP="006930D5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>New Mexico finalized its </w:t>
      </w:r>
      <w:hyperlink r:id="rId10" w:tgtFrame="_blank" w:history="1">
        <w:r w:rsidRPr="006930D5">
          <w:rPr>
            <w:rFonts w:ascii="Open Sans" w:hAnsi="Open Sans" w:cs="Open Sans"/>
            <w:color w:val="1A71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wildlife corridors action plan</w:t>
        </w:r>
      </w:hyperlink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> while also dedicating $2 million to crossings in the 2022 legislative session. Stemming from legislation enacted in 2019 (</w:t>
      </w:r>
      <w:hyperlink r:id="rId11" w:tgtFrame="_blank" w:history="1">
        <w:r w:rsidRPr="006930D5">
          <w:rPr>
            <w:rFonts w:ascii="Open Sans" w:hAnsi="Open Sans" w:cs="Open Sans"/>
            <w:color w:val="1A71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SB 228</w:t>
        </w:r>
      </w:hyperlink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>), the plan uses ecological data and modeling to identify wildlife-vehicle collision hot spots and critical wildlife corridors for the purposes of improving driver safety and maintaining habitat connectivity for six species of large mammals.</w:t>
      </w:r>
    </w:p>
    <w:p w14:paraId="6898818B" w14:textId="37CA5F65" w:rsidR="006930D5" w:rsidRPr="006930D5" w:rsidRDefault="006930D5" w:rsidP="006930D5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>Wyoming's legislature dedicated more than $10 million for wildlife crossings this year. In 2020, the governor issued an </w:t>
      </w:r>
      <w:hyperlink r:id="rId12" w:tgtFrame="_blank" w:history="1">
        <w:r w:rsidRPr="006930D5">
          <w:rPr>
            <w:rFonts w:ascii="Open Sans" w:hAnsi="Open Sans" w:cs="Open Sans"/>
            <w:color w:val="1A71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executive order</w:t>
        </w:r>
      </w:hyperlink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> establishing a process for wildlife corridors to be designated, beginning with mule deer and pronghorn antelope routes. </w:t>
      </w:r>
    </w:p>
    <w:p w14:paraId="1E638382" w14:textId="592203D8" w:rsidR="006930D5" w:rsidRPr="006930D5" w:rsidRDefault="006930D5" w:rsidP="006930D5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6930D5">
        <w:rPr>
          <w:rStyle w:val="Strong"/>
          <w:rFonts w:ascii="Open Sans" w:hAnsi="Open Sans" w:cs="Open Sans"/>
          <w:b w:val="0"/>
          <w:bCs w:val="0"/>
          <w:color w:val="262222"/>
          <w:sz w:val="24"/>
          <w:szCs w:val="24"/>
          <w:bdr w:val="none" w:sz="0" w:space="0" w:color="auto" w:frame="1"/>
          <w:shd w:val="clear" w:color="auto" w:fill="FFFFFF"/>
        </w:rPr>
        <w:t>Infrastructure</w:t>
      </w:r>
      <w:r w:rsidRPr="006930D5">
        <w:rPr>
          <w:rStyle w:val="Strong"/>
          <w:rFonts w:ascii="Open Sans" w:hAnsi="Open Sans" w:cs="Open Sans"/>
          <w:b w:val="0"/>
          <w:bCs w:val="0"/>
          <w:color w:val="26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930D5">
        <w:rPr>
          <w:rStyle w:val="Strong"/>
          <w:rFonts w:ascii="Open Sans" w:hAnsi="Open Sans" w:cs="Open Sans"/>
          <w:b w:val="0"/>
          <w:bCs w:val="0"/>
          <w:color w:val="262222"/>
          <w:sz w:val="24"/>
          <w:szCs w:val="24"/>
          <w:bdr w:val="none" w:sz="0" w:space="0" w:color="auto" w:frame="1"/>
          <w:shd w:val="clear" w:color="auto" w:fill="FFFFFF"/>
        </w:rPr>
        <w:t>Investment and Jobs Act (IIJA).</w:t>
      </w:r>
      <w:r w:rsidRPr="006930D5">
        <w:rPr>
          <w:rFonts w:ascii="Open Sans" w:hAnsi="Open Sans" w:cs="Open Sans"/>
          <w:color w:val="262222"/>
          <w:sz w:val="24"/>
          <w:szCs w:val="24"/>
        </w:rPr>
        <w:br/>
      </w:r>
      <w:r w:rsidRPr="006930D5">
        <w:rPr>
          <w:rFonts w:ascii="Open Sans" w:hAnsi="Open Sans" w:cs="Open Sans"/>
          <w:color w:val="262222"/>
          <w:sz w:val="24"/>
          <w:szCs w:val="24"/>
          <w:shd w:val="clear" w:color="auto" w:fill="FFFFFF"/>
        </w:rPr>
        <w:t>The IIJA directs the U.S. Department of Transportation and the Federal Highway Administration to distribute $350 million in grants over five years to states, municipalities and tribes for projects that reduce the number of wildlife-vehicle collisions and improve habitat connectivity.</w:t>
      </w:r>
    </w:p>
    <w:p w14:paraId="410EDC83" w14:textId="77777777" w:rsidR="00C61677" w:rsidRPr="006930D5" w:rsidRDefault="00C61677" w:rsidP="00C61677">
      <w:pPr>
        <w:pStyle w:val="ListParagrap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</w:p>
    <w:p w14:paraId="0861BE25" w14:textId="6EC3538E" w:rsidR="00C61677" w:rsidRPr="006930D5" w:rsidRDefault="00C61677" w:rsidP="007A07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Minimize </w:t>
      </w:r>
      <w:r w:rsidR="007D1E6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planned </w:t>
      </w:r>
      <w:r w:rsidR="0082443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human activity in Connectivity points  where Grizzly Bears and </w:t>
      </w:r>
      <w:r w:rsidR="00AD3813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endangered</w:t>
      </w:r>
      <w:r w:rsidR="0082443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species </w:t>
      </w:r>
      <w:r w:rsidR="00C622F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have </w:t>
      </w:r>
      <w:r w:rsidR="0082443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passage so that they are met with wildlife deconflicting measures not mechanized vehicles and recreational </w:t>
      </w:r>
      <w:r w:rsidR="00C622F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opportunities</w:t>
      </w:r>
      <w:r w:rsidR="004C12B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. </w:t>
      </w:r>
    </w:p>
    <w:p w14:paraId="099F2DC9" w14:textId="77777777" w:rsidR="00D43E1C" w:rsidRPr="006930D5" w:rsidRDefault="00D43E1C" w:rsidP="00D43E1C">
      <w:pPr>
        <w:pStyle w:val="ListParagraph"/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</w:p>
    <w:p w14:paraId="73B02814" w14:textId="1986CA1B" w:rsidR="007A07F9" w:rsidRPr="006930D5" w:rsidRDefault="007D1E6D" w:rsidP="007A07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7D1E6D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>FS Regional Planning between Regions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. </w:t>
      </w:r>
      <w:r w:rsidR="00347416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All </w:t>
      </w:r>
      <w:r w:rsidR="0082443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Wilderness </w:t>
      </w:r>
      <w:r w:rsidR="00347416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planning </w:t>
      </w:r>
      <w:r w:rsidR="0082443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within </w:t>
      </w:r>
      <w:r w:rsidR="00294BB6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contiguous</w:t>
      </w:r>
      <w:r w:rsidR="00347416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FS Regions should be </w:t>
      </w:r>
      <w:r w:rsidR="00294BB6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congruous</w:t>
      </w:r>
      <w:r w:rsid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. Specifically, </w:t>
      </w:r>
      <w:r w:rsidR="00C622F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between the Nez Perce-Clearwater NF &amp; the LoLo NF </w:t>
      </w:r>
      <w:r w:rsidR="00C622F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C622F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for the </w:t>
      </w:r>
      <w:r w:rsidR="00824431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benefit of </w:t>
      </w:r>
      <w:r w:rsidR="00294BB6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wildlife</w:t>
      </w:r>
      <w:r w:rsidR="007A07F9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</w:t>
      </w:r>
      <w:r w:rsidR="0099786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7A07F9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(</w:t>
      </w:r>
      <w:r w:rsidR="0099786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Endangered Species Act)</w:t>
      </w:r>
      <w:r w:rsidR="00294BB6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</w:t>
      </w:r>
      <w:r w:rsid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The Nez Perce -Clear water Plan should be tabled until the</w:t>
      </w:r>
      <w:r w:rsidR="00ED3E93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re</w:t>
      </w:r>
      <w:r w:rsid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is conformity between designated adjacent and connect</w:t>
      </w:r>
      <w:r w:rsidR="00ED3E93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ing</w:t>
      </w:r>
      <w:r w:rsid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uses. </w:t>
      </w:r>
    </w:p>
    <w:p w14:paraId="7098A195" w14:textId="77777777" w:rsidR="007E730E" w:rsidRPr="006930D5" w:rsidRDefault="007E730E" w:rsidP="007E730E">
      <w:pPr>
        <w:pStyle w:val="ListParagrap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</w:p>
    <w:p w14:paraId="7544EF2E" w14:textId="292AF0C1" w:rsidR="007E730E" w:rsidRPr="006930D5" w:rsidRDefault="00AD3813" w:rsidP="007A07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7D1E6D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>Monitoring</w:t>
      </w:r>
      <w:r w:rsidR="007D1E6D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>/Enforcement</w:t>
      </w:r>
      <w:r w:rsidRPr="007D1E6D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>.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7E730E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Increase </w:t>
      </w:r>
      <w:r w:rsidR="007D1E6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implementation of means and methods to </w:t>
      </w:r>
      <w:proofErr w:type="spellStart"/>
      <w:r w:rsidR="00ED3E93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en</w:t>
      </w:r>
      <w:proofErr w:type="spellEnd"/>
      <w:r w:rsidR="007D1E6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7D1E6D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action</w:t>
      </w:r>
      <w:r w:rsidR="007D1E6D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for human violations </w:t>
      </w:r>
      <w:r w:rsidR="007E730E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in Wilderness and Wilderness Study area to ensure that the </w:t>
      </w:r>
      <w:r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m</w:t>
      </w:r>
      <w:r w:rsidR="007E730E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echanized vehicles and recreational limits are adhered to. Engage the use of Unmanned Aircraft Systems (UAS) to </w:t>
      </w:r>
      <w:r w:rsidR="000008C8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assist</w:t>
      </w:r>
      <w:r w:rsidR="007E730E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the </w:t>
      </w:r>
      <w:r w:rsidR="000008C8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human</w:t>
      </w:r>
      <w:r w:rsidR="007E730E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0008C8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on the ground enforcement of the recreational limits</w:t>
      </w:r>
      <w:r w:rsid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</w:t>
      </w:r>
      <w:r w:rsidR="000008C8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Offer elements of the DOD to field train their Group</w:t>
      </w:r>
      <w:r w:rsidR="003E773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1, lowest tier group,</w:t>
      </w:r>
      <w:r w:rsidR="000008C8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of  unmanned aircraft systems on mechanized interlopers  in the winter and summer in the contest</w:t>
      </w:r>
      <w:r w:rsid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ed</w:t>
      </w:r>
      <w:r w:rsidR="000008C8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sensitive areas. The </w:t>
      </w:r>
      <w:r w:rsidR="003E773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US Military’s </w:t>
      </w:r>
      <w:r w:rsidR="000008C8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Special Operations Units </w:t>
      </w:r>
      <w:r w:rsidR="003E773C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operate in the FS in Montana for training on an ongoing and sustained basis</w:t>
      </w:r>
      <w:r w:rsidR="004C12B7" w:rsidRPr="006930D5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. </w:t>
      </w:r>
    </w:p>
    <w:p w14:paraId="56848700" w14:textId="77777777" w:rsidR="007A07F9" w:rsidRPr="006930D5" w:rsidRDefault="007A07F9" w:rsidP="007A07F9">
      <w:pPr>
        <w:pStyle w:val="ListParagraph"/>
        <w:shd w:val="clear" w:color="auto" w:fill="FFFFFF"/>
        <w:spacing w:before="100" w:beforeAutospacing="1" w:after="6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</w:p>
    <w:p w14:paraId="27473BD3" w14:textId="77777777" w:rsidR="00AD3813" w:rsidRDefault="00AD3813" w:rsidP="00AD3813">
      <w:pPr>
        <w:pStyle w:val="ListParagraph"/>
        <w:shd w:val="clear" w:color="auto" w:fill="FFFFFF"/>
        <w:spacing w:before="100" w:beforeAutospacing="1" w:after="60" w:line="240" w:lineRule="auto"/>
        <w:ind w:left="1080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</w:p>
    <w:p w14:paraId="72CED608" w14:textId="77777777" w:rsidR="00AD3813" w:rsidRPr="00AD3813" w:rsidRDefault="00AD3813" w:rsidP="00AD3813">
      <w:pPr>
        <w:pStyle w:val="ListParagrap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</w:p>
    <w:p w14:paraId="6DC2FA80" w14:textId="12AA1E21" w:rsidR="004C12B7" w:rsidRDefault="007D1E6D" w:rsidP="00970D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" w:line="240" w:lineRule="auto"/>
        <w:ind w:left="720" w:firstLine="720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4C12B7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 xml:space="preserve">Land, People and Machines </w:t>
      </w:r>
      <w:r w:rsidRPr="004C12B7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>A</w:t>
      </w:r>
      <w:r w:rsidRPr="004C12B7">
        <w:rPr>
          <w:rFonts w:ascii="Helvetica" w:eastAsia="Times New Roman" w:hAnsi="Helvetica" w:cs="Times New Roman"/>
          <w:b/>
          <w:bCs/>
          <w:kern w:val="0"/>
          <w:sz w:val="24"/>
          <w:szCs w:val="24"/>
          <w14:ligatures w14:val="none"/>
        </w:rPr>
        <w:t>nalysis</w:t>
      </w:r>
      <w:r w:rsidR="004C12B7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</w:t>
      </w:r>
      <w:r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570C19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Quantitative </w:t>
      </w:r>
      <w:r w:rsidR="00970D84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Comparative </w:t>
      </w:r>
      <w:r w:rsidR="00570C19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data </w:t>
      </w:r>
      <w:r w:rsidR="0061007E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should </w:t>
      </w:r>
      <w:r w:rsidR="0099786C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be provided to </w:t>
      </w:r>
      <w:r w:rsidR="00570C19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illustrate</w:t>
      </w:r>
      <w:r w:rsidR="0099786C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the wants </w:t>
      </w:r>
      <w:r w:rsidR="00D43E1C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of minority interest of mechanized users visa </w:t>
      </w:r>
      <w:r w:rsidR="003E773C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via</w:t>
      </w:r>
      <w:r w:rsidR="00D43E1C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the </w:t>
      </w:r>
      <w:r w:rsidR="002156C0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number</w:t>
      </w:r>
      <w:r w:rsidR="00D43E1C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of the </w:t>
      </w:r>
      <w:r w:rsidR="003E773C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People who participate in the</w:t>
      </w:r>
      <w:r w:rsidR="002156C0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, non-mechanized access to the </w:t>
      </w:r>
      <w:r w:rsidR="003E773C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D43E1C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Flora and Fauna</w:t>
      </w:r>
      <w:r w:rsidR="00AD3813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 </w:t>
      </w:r>
      <w:r w:rsidR="004C12B7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 xml:space="preserve">by </w:t>
      </w:r>
      <w:r w:rsidR="00AD3813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both active and passive means</w:t>
      </w:r>
      <w:r w:rsidR="004C12B7" w:rsidRPr="004C12B7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.</w:t>
      </w:r>
    </w:p>
    <w:p w14:paraId="6C2F6614" w14:textId="6C10E414" w:rsidR="00570C19" w:rsidRPr="004C12B7" w:rsidRDefault="00B34060" w:rsidP="004C12B7">
      <w:pPr>
        <w:pStyle w:val="ListParagraph"/>
        <w:shd w:val="clear" w:color="auto" w:fill="FFFFFF"/>
        <w:spacing w:before="100" w:beforeAutospacing="1" w:after="60" w:line="240" w:lineRule="auto"/>
        <w:ind w:left="1440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4C12B7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a.</w:t>
      </w:r>
      <w:r w:rsidR="00970D84" w:rsidRPr="004C12B7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70C19" w:rsidRPr="004C12B7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Total land USFS designation; Federal &amp; Regional FS 1 &amp; 4  and by states</w:t>
      </w:r>
      <w:r w:rsidR="00D82044" w:rsidRPr="004C12B7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70C19" w:rsidRPr="004C12B7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(MT, ID).</w:t>
      </w:r>
    </w:p>
    <w:p w14:paraId="716BF3B1" w14:textId="4E15328B" w:rsidR="00570C19" w:rsidRPr="00D82044" w:rsidRDefault="00B34060" w:rsidP="00970D84">
      <w:pPr>
        <w:shd w:val="clear" w:color="auto" w:fill="FFFFFF"/>
        <w:spacing w:before="100" w:beforeAutospacing="1" w:after="60" w:line="240" w:lineRule="auto"/>
        <w:ind w:left="1440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b.</w:t>
      </w:r>
      <w:r w:rsidR="00970D84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Total</w:t>
      </w:r>
      <w:r w:rsidR="00572AAC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land area of Wilderness and proposed Wilderness in FS Region 1 &amp;4 and by state (MT &amp; ID)  </w:t>
      </w:r>
    </w:p>
    <w:p w14:paraId="5570B2D4" w14:textId="5DA1CBAF" w:rsidR="00570C19" w:rsidRPr="00D82044" w:rsidRDefault="00D43E1C" w:rsidP="00970D84">
      <w:pPr>
        <w:shd w:val="clear" w:color="auto" w:fill="FFFFFF"/>
        <w:spacing w:before="100" w:beforeAutospacing="1" w:after="60" w:line="240" w:lineRule="auto"/>
        <w:ind w:left="720" w:firstLine="720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c</w:t>
      </w:r>
      <w:r w:rsidR="00970D84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. </w:t>
      </w:r>
      <w:r w:rsidR="00572AAC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FS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Land area </w:t>
      </w:r>
      <w:bookmarkStart w:id="0" w:name="_Hlk162346047"/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proposed for Mechanization</w:t>
      </w:r>
      <w:r w:rsidR="002156C0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access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in the </w:t>
      </w:r>
      <w:r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Lolo NF &amp;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Nez Pierce Clearwater </w:t>
      </w:r>
      <w:r w:rsidR="00B34060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NF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bookmarkEnd w:id="0"/>
    </w:p>
    <w:p w14:paraId="5F894DA6" w14:textId="4010341A" w:rsidR="00570C19" w:rsidRPr="00D82044" w:rsidRDefault="00B34060" w:rsidP="00970D84">
      <w:pPr>
        <w:shd w:val="clear" w:color="auto" w:fill="FFFFFF"/>
        <w:spacing w:before="100" w:beforeAutospacing="1" w:after="60" w:line="240" w:lineRule="auto"/>
        <w:ind w:left="1440"/>
        <w:jc w:val="both"/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</w:pPr>
      <w:r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d.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Number of Recreational visits</w:t>
      </w:r>
      <w:r w:rsidR="002156C0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by category: (pedestrian, </w:t>
      </w:r>
      <w:r w:rsidR="007931E3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livestock</w:t>
      </w:r>
      <w:r w:rsidR="002156C0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and mechanized users)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to FS land overall, Region 1&amp; 4 (MT,ID)  and same for the Plan area. </w:t>
      </w:r>
    </w:p>
    <w:p w14:paraId="3174C2F4" w14:textId="1CE13F3F" w:rsidR="00570C19" w:rsidRPr="00D82044" w:rsidRDefault="00D43E1C" w:rsidP="00970D84">
      <w:pPr>
        <w:shd w:val="clear" w:color="auto" w:fill="FFFFFF"/>
        <w:spacing w:before="100" w:beforeAutospacing="1" w:after="60" w:line="240" w:lineRule="auto"/>
        <w:ind w:left="720" w:firstLine="720"/>
        <w:jc w:val="both"/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</w:pPr>
      <w:r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e.</w:t>
      </w:r>
      <w:r w:rsidR="00970D84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Demographics</w:t>
      </w:r>
      <w:r w:rsidR="006A1720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( Humans)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the FS region 1 &amp; 4 and  By states.(MT,ID)</w:t>
      </w:r>
    </w:p>
    <w:p w14:paraId="6767E8D3" w14:textId="0B070358" w:rsidR="00570C19" w:rsidRPr="00D82044" w:rsidRDefault="00B34060" w:rsidP="00970D84">
      <w:pPr>
        <w:shd w:val="clear" w:color="auto" w:fill="FFFFFF"/>
        <w:spacing w:before="100" w:beforeAutospacing="1" w:after="60" w:line="240" w:lineRule="auto"/>
        <w:ind w:left="1260" w:firstLine="180"/>
        <w:jc w:val="both"/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</w:pPr>
      <w:r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f.</w:t>
      </w:r>
      <w:r w:rsidR="00970D84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License</w:t>
      </w:r>
      <w:r w:rsidR="00D43E1C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s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D34823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#</w:t>
      </w:r>
      <w:r w:rsidR="00D43E1C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’s: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of </w:t>
      </w:r>
      <w:r w:rsidR="00D34823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applicable</w:t>
      </w:r>
      <w:r w:rsidR="003E773C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number of 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snow machines</w:t>
      </w:r>
      <w:r w:rsidR="003E773C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D43E1C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&amp; dirt bikes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in the FS Region1 &amp; 4</w:t>
      </w:r>
      <w:r w:rsidR="002156C0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immediate areas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E347C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compared to the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states</w:t>
      </w:r>
      <w:r w:rsidR="00E347C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as a whole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.( MT,ID,) </w:t>
      </w:r>
    </w:p>
    <w:p w14:paraId="185BCCDB" w14:textId="4DACE660" w:rsidR="00570C19" w:rsidRPr="00D82044" w:rsidRDefault="00970D84" w:rsidP="00970D84">
      <w:pPr>
        <w:shd w:val="clear" w:color="auto" w:fill="FFFFFF"/>
        <w:spacing w:before="100" w:beforeAutospacing="1" w:after="60" w:line="240" w:lineRule="auto"/>
        <w:ind w:left="1080"/>
        <w:jc w:val="both"/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</w:pPr>
      <w:r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. </w:t>
      </w:r>
      <w:r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ab/>
      </w:r>
      <w:r w:rsidR="00D43E1C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>g</w:t>
      </w:r>
      <w:r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:u w:val="single"/>
          <w14:ligatures w14:val="none"/>
        </w:rPr>
        <w:t>“the greatest good for the greatest number</w:t>
      </w:r>
      <w:r w:rsidR="00D43E1C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:u w:val="single"/>
          <w14:ligatures w14:val="none"/>
        </w:rPr>
        <w:t xml:space="preserve">( </w:t>
      </w:r>
      <w:r w:rsidR="00D34823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:u w:val="single"/>
          <w14:ligatures w14:val="none"/>
        </w:rPr>
        <w:t xml:space="preserve">which </w:t>
      </w:r>
      <w:r w:rsidR="00B34060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:u w:val="single"/>
          <w14:ligatures w14:val="none"/>
        </w:rPr>
        <w:t>includes</w:t>
      </w:r>
      <w:r w:rsidR="00D43E1C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:u w:val="single"/>
          <w14:ligatures w14:val="none"/>
        </w:rPr>
        <w:t xml:space="preserve"> the silent  majority)</w:t>
      </w:r>
      <w:r w:rsidR="00570C19" w:rsidRPr="00D82044">
        <w:rPr>
          <w:rFonts w:ascii="Helvetica" w:eastAsia="Times New Roman" w:hAnsi="Helvetica" w:cs="Times New Roman"/>
          <w:i/>
          <w:iCs/>
          <w:kern w:val="0"/>
          <w:sz w:val="24"/>
          <w:szCs w:val="24"/>
          <w:u w:val="single"/>
          <w14:ligatures w14:val="none"/>
        </w:rPr>
        <w:t>”</w:t>
      </w:r>
    </w:p>
    <w:p w14:paraId="69C84758" w14:textId="77777777" w:rsidR="00D43E1C" w:rsidRPr="007A07F9" w:rsidRDefault="00D43E1C" w:rsidP="002C73B2">
      <w:pPr>
        <w:rPr>
          <w:sz w:val="28"/>
          <w:szCs w:val="28"/>
        </w:rPr>
      </w:pPr>
    </w:p>
    <w:p w14:paraId="54F61456" w14:textId="77777777" w:rsidR="00D43E1C" w:rsidRPr="007A07F9" w:rsidRDefault="00D43E1C" w:rsidP="002C73B2">
      <w:pPr>
        <w:rPr>
          <w:rFonts w:ascii="Helvetica" w:hAnsi="Helvetica"/>
          <w:sz w:val="28"/>
          <w:szCs w:val="28"/>
          <w:shd w:val="clear" w:color="auto" w:fill="FFFFFF"/>
        </w:rPr>
      </w:pPr>
    </w:p>
    <w:p w14:paraId="4BB2E193" w14:textId="6722F7AD" w:rsidR="00D43E1C" w:rsidRPr="00D82044" w:rsidRDefault="00D43E1C" w:rsidP="00D3482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2044"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  <w:t>Submitted by :</w:t>
      </w:r>
      <w:r w:rsidRPr="00D820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34823" w:rsidRPr="00D8204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82044">
        <w:rPr>
          <w:rFonts w:ascii="Arial" w:hAnsi="Arial" w:cs="Arial"/>
          <w:sz w:val="24"/>
          <w:szCs w:val="24"/>
          <w:shd w:val="clear" w:color="auto" w:fill="FFFFFF"/>
        </w:rPr>
        <w:t xml:space="preserve">Bob Brugh, 25685 Nine Mile Road, Huson, Mt 59846 </w:t>
      </w:r>
    </w:p>
    <w:p w14:paraId="3CA9584C" w14:textId="40DDBAB8" w:rsidR="00D43E1C" w:rsidRPr="00D82044" w:rsidRDefault="00D43E1C" w:rsidP="00D34823">
      <w:pPr>
        <w:shd w:val="clear" w:color="auto" w:fill="FFFFFF"/>
        <w:spacing w:before="100" w:beforeAutospacing="1" w:after="60" w:line="240" w:lineRule="auto"/>
        <w:ind w:left="2160" w:firstLine="720"/>
        <w:jc w:val="both"/>
        <w:rPr>
          <w:rFonts w:ascii="Helvetica" w:eastAsia="Times New Roman" w:hAnsi="Helvetica" w:cs="Times New Roman"/>
          <w:kern w:val="0"/>
          <w:sz w:val="24"/>
          <w:szCs w:val="24"/>
          <w14:ligatures w14:val="none"/>
        </w:rPr>
      </w:pPr>
      <w:r w:rsidRPr="00D82044">
        <w:rPr>
          <w:rFonts w:ascii="Arial" w:hAnsi="Arial" w:cs="Arial"/>
          <w:sz w:val="24"/>
          <w:szCs w:val="24"/>
          <w:shd w:val="clear" w:color="auto" w:fill="FFFFFF"/>
        </w:rPr>
        <w:t xml:space="preserve">Cell # (406) 240-7368  Email </w:t>
      </w:r>
      <w:hyperlink r:id="rId13" w:history="1">
        <w:r w:rsidRPr="00D82044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rgb@montana.com</w:t>
        </w:r>
      </w:hyperlink>
    </w:p>
    <w:p w14:paraId="13F86E3A" w14:textId="77777777" w:rsidR="00D43E1C" w:rsidRDefault="00D43E1C" w:rsidP="002C73B2"/>
    <w:p w14:paraId="78E2D386" w14:textId="77777777" w:rsidR="00003262" w:rsidRDefault="00003262" w:rsidP="002C73B2"/>
    <w:sectPr w:rsidR="00003262" w:rsidSect="001A61C7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073F" w14:textId="77777777" w:rsidR="001A61C7" w:rsidRDefault="001A61C7" w:rsidP="006930D5">
      <w:pPr>
        <w:spacing w:after="0" w:line="240" w:lineRule="auto"/>
      </w:pPr>
      <w:r>
        <w:separator/>
      </w:r>
    </w:p>
  </w:endnote>
  <w:endnote w:type="continuationSeparator" w:id="0">
    <w:p w14:paraId="46987CFA" w14:textId="77777777" w:rsidR="001A61C7" w:rsidRDefault="001A61C7" w:rsidP="0069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3017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A355B0" w14:textId="0B8A0020" w:rsidR="004C12B7" w:rsidRDefault="004C12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760EA" w14:textId="77777777" w:rsidR="006930D5" w:rsidRDefault="00693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47F8" w14:textId="77777777" w:rsidR="001A61C7" w:rsidRDefault="001A61C7" w:rsidP="006930D5">
      <w:pPr>
        <w:spacing w:after="0" w:line="240" w:lineRule="auto"/>
      </w:pPr>
      <w:r>
        <w:separator/>
      </w:r>
    </w:p>
  </w:footnote>
  <w:footnote w:type="continuationSeparator" w:id="0">
    <w:p w14:paraId="5BCB3427" w14:textId="77777777" w:rsidR="001A61C7" w:rsidRDefault="001A61C7" w:rsidP="0069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2662"/>
    <w:multiLevelType w:val="multilevel"/>
    <w:tmpl w:val="2CB0D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  <w:i/>
        <w:color w:val="0070C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1797E92"/>
    <w:multiLevelType w:val="multilevel"/>
    <w:tmpl w:val="2CB0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/>
        <w:color w:val="0070C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C555C"/>
    <w:multiLevelType w:val="multilevel"/>
    <w:tmpl w:val="2CB0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/>
        <w:color w:val="0070C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42804"/>
    <w:multiLevelType w:val="hybridMultilevel"/>
    <w:tmpl w:val="93C43F02"/>
    <w:lvl w:ilvl="0" w:tplc="575E41E6">
      <w:start w:val="3"/>
      <w:numFmt w:val="decimal"/>
      <w:lvlText w:val="%1"/>
      <w:lvlJc w:val="left"/>
      <w:pPr>
        <w:ind w:left="2250" w:hanging="360"/>
      </w:pPr>
      <w:rPr>
        <w:rFonts w:hint="default"/>
        <w:i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1015037851">
    <w:abstractNumId w:val="2"/>
  </w:num>
  <w:num w:numId="2" w16cid:durableId="1241061191">
    <w:abstractNumId w:val="3"/>
  </w:num>
  <w:num w:numId="3" w16cid:durableId="1876112035">
    <w:abstractNumId w:val="1"/>
  </w:num>
  <w:num w:numId="4" w16cid:durableId="68101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9"/>
    <w:rsid w:val="000008C8"/>
    <w:rsid w:val="00003262"/>
    <w:rsid w:val="001A61C7"/>
    <w:rsid w:val="002156C0"/>
    <w:rsid w:val="00294BB6"/>
    <w:rsid w:val="002C73B2"/>
    <w:rsid w:val="00347416"/>
    <w:rsid w:val="003477D4"/>
    <w:rsid w:val="003E773C"/>
    <w:rsid w:val="003F4057"/>
    <w:rsid w:val="00426716"/>
    <w:rsid w:val="004747E3"/>
    <w:rsid w:val="004C12B7"/>
    <w:rsid w:val="00570C19"/>
    <w:rsid w:val="005725A1"/>
    <w:rsid w:val="00572AAC"/>
    <w:rsid w:val="005828FD"/>
    <w:rsid w:val="00584E91"/>
    <w:rsid w:val="005C15D5"/>
    <w:rsid w:val="0061007E"/>
    <w:rsid w:val="006930D5"/>
    <w:rsid w:val="006A1720"/>
    <w:rsid w:val="007931E3"/>
    <w:rsid w:val="007A07F9"/>
    <w:rsid w:val="007D1E6D"/>
    <w:rsid w:val="007E730E"/>
    <w:rsid w:val="00824431"/>
    <w:rsid w:val="008E52E0"/>
    <w:rsid w:val="008E532A"/>
    <w:rsid w:val="009248B5"/>
    <w:rsid w:val="00970D84"/>
    <w:rsid w:val="0099786C"/>
    <w:rsid w:val="00AD3813"/>
    <w:rsid w:val="00B34060"/>
    <w:rsid w:val="00C11C00"/>
    <w:rsid w:val="00C61677"/>
    <w:rsid w:val="00C622F7"/>
    <w:rsid w:val="00D34823"/>
    <w:rsid w:val="00D43E1C"/>
    <w:rsid w:val="00D82044"/>
    <w:rsid w:val="00DD169D"/>
    <w:rsid w:val="00E347C9"/>
    <w:rsid w:val="00ED3E93"/>
    <w:rsid w:val="00F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368D"/>
  <w15:chartTrackingRefBased/>
  <w15:docId w15:val="{53B27C6E-D46B-4B6A-8AF0-AC5224D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C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3E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30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D5"/>
  </w:style>
  <w:style w:type="paragraph" w:styleId="Footer">
    <w:name w:val="footer"/>
    <w:basedOn w:val="Normal"/>
    <w:link w:val="FooterChar"/>
    <w:uiPriority w:val="99"/>
    <w:unhideWhenUsed/>
    <w:rsid w:val="0069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.colorado.gov/sites/depolicies.les/documents/2021A/bills/2021a_sjr021_01.pdf" TargetMode="External"/><Relationship Id="rId13" Type="http://schemas.openxmlformats.org/officeDocument/2006/relationships/hyperlink" Target="mailto:rgb@montana.com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.colorado.gov/bills/sb22-151" TargetMode="External"/><Relationship Id="rId12" Type="http://schemas.openxmlformats.org/officeDocument/2006/relationships/hyperlink" Target="https://wgfd.wyo.gov/getattachment/Habitat/Habitat-Protection-Program/Resources-for-Development-Planning/Migration-Corridor-Executive-Order-2020-01.pdf?lang=en-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mlegis.gov/Legislation/Legislation?Chamber=S&amp;LegType=B&amp;LegNo=228&amp;year=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ildlifeactionplan.nmdotprojec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senate.gov/Session/Bill/2021/97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Brugh</dc:creator>
  <cp:keywords/>
  <dc:description/>
  <cp:lastModifiedBy>Bob Brugh</cp:lastModifiedBy>
  <cp:revision>2</cp:revision>
  <cp:lastPrinted>2024-04-01T20:18:00Z</cp:lastPrinted>
  <dcterms:created xsi:type="dcterms:W3CDTF">2024-04-01T21:46:00Z</dcterms:created>
  <dcterms:modified xsi:type="dcterms:W3CDTF">2024-04-01T21:46:00Z</dcterms:modified>
</cp:coreProperties>
</file>