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EBD2" w14:textId="33ADADBF" w:rsidR="0058349C" w:rsidRDefault="002B0745">
      <w:r w:rsidRPr="002B0745">
        <w:t>Restricting the establishment of new routes to "existing climbing opportunities" on non-Wilderness lands is unenforceable and will create confusion amongst land managers and climbers. Non-Wilderness climbing management policy should maintain opportunities for new anchors unless and until analyses determine climbing should be restricted to protect cultural and natural resources.</w:t>
      </w:r>
    </w:p>
    <w:sectPr w:rsidR="00583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45"/>
    <w:rsid w:val="002B0745"/>
    <w:rsid w:val="004D24FA"/>
    <w:rsid w:val="0058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0A8DC"/>
  <w15:chartTrackingRefBased/>
  <w15:docId w15:val="{7741FCAE-EE17-405E-BAE8-A407B2CC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323</Characters>
  <Application>Microsoft Office Word</Application>
  <DocSecurity>0</DocSecurity>
  <Lines>80</Lines>
  <Paragraphs>25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Palko, Kelli M</dc:creator>
  <cp:keywords/>
  <dc:description/>
  <cp:lastModifiedBy>Palko, Kelli M</cp:lastModifiedBy>
  <cp:revision>1</cp:revision>
  <dcterms:created xsi:type="dcterms:W3CDTF">2024-01-29T19:46:00Z</dcterms:created>
  <dcterms:modified xsi:type="dcterms:W3CDTF">2024-01-29T19:47:00Z</dcterms:modified>
</cp:coreProperties>
</file>