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November 3, 2023</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Salmon-Cobalt Ranger District</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311 McPherson St</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Salmon, ID 83467</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 Lone Pine Exploration 3</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Dear Salmon-Cobalt District Ranger,</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are pleased for the opportunity to comment on the proposed Lone Pine III Exploration Drilling project on the Salmon-Challis National Forest. While we understand there are limitations to federal actions with the constraints of the Mining Law of 1872, comments representing the concerns of citizens are valuable and important. Public comment periods are an integral part of public lands management, and providing comments is a high priority of our organization. </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Idaho Rivers United (IRU) is an environmental advocacy organization that is dedicated to</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protecting Idaho rivers and restoring our native fish populations. Since our inception in 1990,</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IRU has been working to defend Wild and Scenic rivers, advocate for endangered and threatened aquatic species, reform hydropower policy, and promote enhanced water quality in all of Idaho’s rivers. IRU represents over 5,000 members throughout Idaho and beyond. Our members and supporters expect the protection of rivers for their ecological, scenic, and recreational values; accordingly, our mission is to protect and restore the rivers and fisheries of Idaho. We have successfully advocated for and defended Wild and Scenic designations and protections in the Owyhee Canyonlands and the Lochsa-Clearwater River corridor, among many others, and helped protect numerous rivers and watersheds throughout the regions from harmful mining and extraction impacts. </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IRU closely monitors any action or activity that may jeopardize water quality, fish habitat, river-based recreation, or riverside recreation in Idaho. Water quality can be compromised through a variety of means during mining operations. Therefore, we expect the Forest Service to monitor and manage any and all actions that would put surface and groundwater water quality at risk.</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Based on careful analysis of the scoping documents, IRU strongly recommends changes to the Plan of Operations before any exploration can commence. </w:t>
      </w:r>
      <w:r w:rsidDel="00000000" w:rsidR="00000000" w:rsidRPr="00000000">
        <w:rPr>
          <w:rFonts w:ascii="Times New Roman" w:cs="Times New Roman" w:eastAsia="Times New Roman" w:hAnsi="Times New Roman"/>
          <w:rtl w:val="0"/>
        </w:rPr>
        <w:t xml:space="preserve">Most concerning are threats to water quality, the lack of developed baseline conditions, the cumulative impacts on the area, and potential impacts on the Salmon River, especially the designated Wild and Scenic sections.</w:t>
      </w: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Again, thank you for the opportunity to submit scoping comments on this project, and ask that you please keep us informed of any future developments regarding this proposal and consider including IRU in any future project discussions</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Sincerely, </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812473" cy="7620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812473" cy="7620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Sydney Anderson</w:t>
      </w:r>
    </w:p>
    <w:p w:rsidR="00000000" w:rsidDel="00000000" w:rsidP="00000000" w:rsidRDefault="00000000" w:rsidRPr="00000000" w14:paraId="0000001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Conservation Associate</w:t>
      </w:r>
    </w:p>
    <w:p w:rsidR="00000000" w:rsidDel="00000000" w:rsidP="00000000" w:rsidRDefault="00000000" w:rsidRPr="00000000" w14:paraId="0000001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Idaho Rivers United </w:t>
      </w:r>
    </w:p>
    <w:p w:rsidR="00000000" w:rsidDel="00000000" w:rsidP="00000000" w:rsidRDefault="00000000" w:rsidRPr="00000000" w14:paraId="0000001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503-309-3630 (c) </w:t>
      </w:r>
    </w:p>
    <w:p w:rsidR="00000000" w:rsidDel="00000000" w:rsidP="00000000" w:rsidRDefault="00000000" w:rsidRPr="00000000" w14:paraId="0000001F">
      <w:pPr>
        <w:spacing w:line="240" w:lineRule="auto"/>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sydney@idahorivers.org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b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General Comments</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Water Quality</w:t>
      </w: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are concerned about the potential for any drilling-affected water to run off the site directly</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into the adjacent creeks, which feed the Salmon River, in moderate to high precipitation events. </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Plan of Operation should ensure that all water will be carefully managed. Spill clean up materials, firefighting gear, and a spill response plan need to be kept in all vehicles. In addition, an oil-absorbent boom should be available on site.</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the Forest Service receives a notice of intent to mine, reclamation and bonding may be</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necessary to mitigate for, or reclaim, the habitat loss of native fish. Standard MM-1 states:</w:t>
      </w:r>
    </w:p>
    <w:p w:rsidR="00000000" w:rsidDel="00000000" w:rsidP="00000000" w:rsidRDefault="00000000" w:rsidRPr="00000000" w14:paraId="0000002D">
      <w:pPr>
        <w:ind w:left="720" w:righ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ind w:left="720" w:righ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MM-1.</w:t>
      </w:r>
      <w:r w:rsidDel="00000000" w:rsidR="00000000" w:rsidRPr="00000000">
        <w:rPr>
          <w:rFonts w:ascii="Times New Roman" w:cs="Times New Roman" w:eastAsia="Times New Roman" w:hAnsi="Times New Roman"/>
          <w:rtl w:val="0"/>
        </w:rPr>
        <w:t xml:space="preserve"> Minimize adverse effects to inland native fish species from mineral operations. If the Notice of Intent indicates a mineral operation would be located in a RHCA, consider the effects of the activity on inland native fish in the determination of significant surface disturbance pursuant to 36 CFR 228.4. For operations in a RHCA ensure operators take all practicable measures to maintain, protect, and rehabilitate fish and wildlife habitat which may be affected by the operations. When bonding is required, consider (in the estimation of bond amount) the cost of stabilizing, rehabilitating, and reclaiming the area of operation.</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Forest Service must ensure that the operator has obtained a sufficient bond to cover all</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reclamation costs associated with this project.</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INFISH also contains important standards and guidelines aimed at reducing the effects to water quality and fish habitat associated with roads. With regard to mining operations (including roads), Standard MM-2 requires: </w:t>
      </w:r>
    </w:p>
    <w:p w:rsidR="00000000" w:rsidDel="00000000" w:rsidP="00000000" w:rsidRDefault="00000000" w:rsidRPr="00000000" w14:paraId="00000034">
      <w:pPr>
        <w:ind w:left="720" w:firstLine="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5">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MM-2.</w:t>
      </w:r>
      <w:r w:rsidDel="00000000" w:rsidR="00000000" w:rsidRPr="00000000">
        <w:rPr>
          <w:rFonts w:ascii="Times New Roman" w:cs="Times New Roman" w:eastAsia="Times New Roman" w:hAnsi="Times New Roman"/>
          <w:rtl w:val="0"/>
        </w:rPr>
        <w:t xml:space="preserve"> Locate structures, support facilities, and roads outside RHCAs. Where no alternative to siting facilities in RHCAs exists, locate and construct the facilities in ways that avoid impacts to RHCAs and streams adverse effects on listed anadromous fish and inland native fish. Where no alternative to road construction exists, keep roads to the minimum necessary for the approved mineral activity. Close, obliterate and revegetate roads no longer required for mineral or land management activities </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The agency must comply with all INFISH and PACFISH standards and requirements. Federal courts have previously invalidated Forest Service approvals on numerous mining operations based on violations of INFISH standards and road density standards contained in forest plans. The Forest Service should consider the road density in the area and determine whether the existing access road needs to be partially or fully decommissioned and revegetated following exploration. No violation of road standards or road density standards can occur. </w:t>
      </w:r>
      <w:r w:rsidDel="00000000" w:rsidR="00000000" w:rsidRPr="00000000">
        <w:rPr>
          <w:rtl w:val="0"/>
        </w:rPr>
      </w:r>
    </w:p>
    <w:p w:rsidR="00000000" w:rsidDel="00000000" w:rsidP="00000000" w:rsidRDefault="00000000" w:rsidRPr="00000000" w14:paraId="00000038">
      <w:pPr>
        <w:widowControl w:val="0"/>
        <w:spacing w:before="330.294189453125"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Water Quality and Quantity Studies </w:t>
      </w:r>
    </w:p>
    <w:p w:rsidR="00000000" w:rsidDel="00000000" w:rsidP="00000000" w:rsidRDefault="00000000" w:rsidRPr="00000000" w14:paraId="00000039">
      <w:pPr>
        <w:widowControl w:val="0"/>
        <w:spacing w:before="37.29248046875" w:line="264.3717384338379" w:lineRule="auto"/>
        <w:ind w:right="24.8303222656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PoO does not indicate any plans of monitoring surface water quality in nearby streams or U P lake. With Bob Moore Creek and U P lake being down slope of the project area, the Forest Service needs to require surface water quality monitoring for these water bodies. Any pollutants that contaminate these waters need to be reported immediately to the Forest Service and sufficient clean-up procedures need to be in place in the event of a leak or spill. </w:t>
      </w:r>
    </w:p>
    <w:p w:rsidR="00000000" w:rsidDel="00000000" w:rsidP="00000000" w:rsidRDefault="00000000" w:rsidRPr="00000000" w14:paraId="0000003A">
      <w:pPr>
        <w:widowControl w:val="0"/>
        <w:spacing w:before="37.29248046875" w:line="264.3717384338379" w:lineRule="auto"/>
        <w:ind w:right="24.830322265625"/>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widowControl w:val="0"/>
        <w:spacing w:before="37.29248046875" w:line="264.3717384338379" w:lineRule="auto"/>
        <w:ind w:right="24.8303222656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Mineralized areas often contain naturally occurring contaminants of concern such as arsenic. These contaminants may be securely bound within the surrounding rock matrix or may be leaching into groundwater. In previous mineral exploration projects, the Forest Service acknowledged that exploration drilling can affect groundwater resources. Aquifers can be vulnerable to degradation during and following exploration drilling in the following ways: </w:t>
      </w:r>
    </w:p>
    <w:p w:rsidR="00000000" w:rsidDel="00000000" w:rsidP="00000000" w:rsidRDefault="00000000" w:rsidRPr="00000000" w14:paraId="0000003C">
      <w:pPr>
        <w:widowControl w:val="0"/>
        <w:spacing w:before="225.5572509765625" w:line="265.3890895843506" w:lineRule="auto"/>
        <w:ind w:left="720" w:right="1643.424072265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Contamination through open boreholes by run-off water from the surface</w:t>
        <w:br w:type="textWrapping"/>
        <w:t xml:space="preserve">● Separate aquifers could become interconnected through drill holes </w:t>
      </w:r>
    </w:p>
    <w:p w:rsidR="00000000" w:rsidDel="00000000" w:rsidP="00000000" w:rsidRDefault="00000000" w:rsidRPr="00000000" w14:paraId="0000003D">
      <w:pPr>
        <w:widowControl w:val="0"/>
        <w:spacing w:before="13.104248046875" w:line="264.51104164123535" w:lineRule="auto"/>
        <w:ind w:left="720" w:right="25.3491210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Cross-flow between aquifers may be induced by natural pressure differences or pressure differentials induced by pumping </w:t>
      </w:r>
    </w:p>
    <w:p w:rsidR="00000000" w:rsidDel="00000000" w:rsidP="00000000" w:rsidRDefault="00000000" w:rsidRPr="00000000" w14:paraId="0000003E">
      <w:pPr>
        <w:widowControl w:val="0"/>
        <w:spacing w:before="13.836669921875"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Contamination by certain types of drilling fluids (Golden Meadows EA at 3-31) </w:t>
      </w:r>
    </w:p>
    <w:p w:rsidR="00000000" w:rsidDel="00000000" w:rsidP="00000000" w:rsidRDefault="00000000" w:rsidRPr="00000000" w14:paraId="0000003F">
      <w:pPr>
        <w:widowControl w:val="0"/>
        <w:spacing w:before="249.0313720703125" w:line="264.3716812133789" w:lineRule="auto"/>
        <w:ind w:right="11.31713867187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pressure from a water column in deep drill holes may be sufficient pressure to cause hydraulic fracturing, especially with fractures already present in the rock. If water loss occurs in the lower part of the hole, it is unclear which aquifers it contaminates. </w:t>
      </w:r>
    </w:p>
    <w:p w:rsidR="00000000" w:rsidDel="00000000" w:rsidP="00000000" w:rsidRDefault="00000000" w:rsidRPr="00000000" w14:paraId="00000040">
      <w:pPr>
        <w:widowControl w:val="0"/>
        <w:spacing w:before="249.0313720703125" w:line="264.3716812133789" w:lineRule="auto"/>
        <w:ind w:right="11.31713867187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Forest Service needs to assure that there will be no changes or impacts to groundwater as a result of drilling operations and, as a result, that there is a need for a groundwater baseline study. The Forest Service should require basic design features such as drill logs tracking the depth to bedrock, the water table, and any losses in drilling fluid from bedrock fractures because of the assumption that proper well closing would eliminate contamination issues. The Forest Service also needs to address the contamination that could occur during drilling operations and before the drill holes are sealed.</w:t>
      </w:r>
    </w:p>
    <w:p w:rsidR="00000000" w:rsidDel="00000000" w:rsidP="00000000" w:rsidRDefault="00000000" w:rsidRPr="00000000" w14:paraId="00000041">
      <w:pPr>
        <w:widowControl w:val="0"/>
        <w:spacing w:line="264.3717384338379" w:lineRule="auto"/>
        <w:ind w:right="25.653076171875"/>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widowControl w:val="0"/>
        <w:spacing w:line="264.3717384338379" w:lineRule="auto"/>
        <w:ind w:right="25.65307617187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Forest Service is required to “describe the environment of the areas to be affected or created by the alternatives under consideration.” 40 C.F.R. § 1502.15. The establishment of the baseline conditions of the affected environment is a fundamental requirement of the NEPA process: </w:t>
      </w:r>
    </w:p>
    <w:p w:rsidR="00000000" w:rsidDel="00000000" w:rsidP="00000000" w:rsidRDefault="00000000" w:rsidRPr="00000000" w14:paraId="00000043">
      <w:pPr>
        <w:widowControl w:val="0"/>
        <w:spacing w:before="330.294189453125" w:line="264.3717384338379" w:lineRule="auto"/>
        <w:ind w:left="720" w:right="11.39404296875"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NEPA clearly requires that consideration of environmental impacts of proposed projects take place before [a final decision] is made.” </w:t>
      </w:r>
      <w:r w:rsidDel="00000000" w:rsidR="00000000" w:rsidRPr="00000000">
        <w:rPr>
          <w:rFonts w:ascii="Times New Roman" w:cs="Times New Roman" w:eastAsia="Times New Roman" w:hAnsi="Times New Roman"/>
          <w:color w:val="1155cc"/>
          <w:u w:val="single"/>
          <w:rtl w:val="0"/>
        </w:rPr>
        <w:t xml:space="preserve">LaFlamme v. FERC, 842 F.2d 1063, 1071</w:t>
      </w:r>
      <w:r w:rsidDel="00000000" w:rsidR="00000000" w:rsidRPr="00000000">
        <w:rPr>
          <w:rFonts w:ascii="Times New Roman" w:cs="Times New Roman" w:eastAsia="Times New Roman" w:hAnsi="Times New Roman"/>
          <w:color w:val="1155cc"/>
          <w:rtl w:val="0"/>
        </w:rPr>
        <w:t xml:space="preserve"> </w:t>
      </w:r>
      <w:r w:rsidDel="00000000" w:rsidR="00000000" w:rsidRPr="00000000">
        <w:rPr>
          <w:rFonts w:ascii="Times New Roman" w:cs="Times New Roman" w:eastAsia="Times New Roman" w:hAnsi="Times New Roman"/>
          <w:color w:val="1155cc"/>
          <w:u w:val="single"/>
          <w:rtl w:val="0"/>
        </w:rPr>
        <w:t xml:space="preserve">(9th Cir.1988)</w:t>
      </w:r>
      <w:r w:rsidDel="00000000" w:rsidR="00000000" w:rsidRPr="00000000">
        <w:rPr>
          <w:rFonts w:ascii="Times New Roman" w:cs="Times New Roman" w:eastAsia="Times New Roman" w:hAnsi="Times New Roman"/>
          <w:color w:val="1155cc"/>
          <w:rtl w:val="0"/>
        </w:rPr>
        <w:t xml:space="preserve"> </w:t>
      </w:r>
      <w:r w:rsidDel="00000000" w:rsidR="00000000" w:rsidRPr="00000000">
        <w:rPr>
          <w:rFonts w:ascii="Times New Roman" w:cs="Times New Roman" w:eastAsia="Times New Roman" w:hAnsi="Times New Roman"/>
          <w:rtl w:val="0"/>
        </w:rPr>
        <w:t xml:space="preserve">(emphasis in original). </w:t>
      </w:r>
      <w:r w:rsidDel="00000000" w:rsidR="00000000" w:rsidRPr="00000000">
        <w:rPr>
          <w:rFonts w:ascii="Times New Roman" w:cs="Times New Roman" w:eastAsia="Times New Roman" w:hAnsi="Times New Roman"/>
          <w:b w:val="1"/>
          <w:rtl w:val="0"/>
        </w:rPr>
        <w:t xml:space="preserve">Once a project begins, the “pre-project environment” becomes a thing of the past, thereby making evaluation of the project's effect on pre-project resources impossible. Id. Without establishing the baseline conditions which exist in the vicinity … before [the project] begins, there is simply no way to determine what effect the proposed [project] will have on the environment and, consequently, no way to comply with NEPA. </w:t>
      </w:r>
    </w:p>
    <w:p w:rsidR="00000000" w:rsidDel="00000000" w:rsidP="00000000" w:rsidRDefault="00000000" w:rsidRPr="00000000" w14:paraId="00000044">
      <w:pPr>
        <w:widowControl w:val="0"/>
        <w:spacing w:before="330.294189453125" w:line="264.3717384338379" w:lineRule="auto"/>
        <w:ind w:right="16.1694335937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Half Moon Bay Fisherman’s Mark’t Ass’n v. Carlucci, 857 F.2d 505, 510 (9</w:t>
      </w:r>
      <w:r w:rsidDel="00000000" w:rsidR="00000000" w:rsidRPr="00000000">
        <w:rPr>
          <w:rFonts w:ascii="Times New Roman" w:cs="Times New Roman" w:eastAsia="Times New Roman" w:hAnsi="Times New Roman"/>
          <w:vertAlign w:val="superscript"/>
          <w:rtl w:val="0"/>
        </w:rPr>
        <w:t xml:space="preserve">th </w:t>
      </w:r>
      <w:r w:rsidDel="00000000" w:rsidR="00000000" w:rsidRPr="00000000">
        <w:rPr>
          <w:rFonts w:ascii="Times New Roman" w:cs="Times New Roman" w:eastAsia="Times New Roman" w:hAnsi="Times New Roman"/>
          <w:rtl w:val="0"/>
        </w:rPr>
        <w:t xml:space="preserve">Cir. 1988) “In analyzing the affected environment, NEPA requires the agency to set forth the baseline conditions.” Western Watersheds Project v. BLM, 552 F.Supp.2d 1113, 1126 (D. Nev. 2008). “The concept of a baseline against which to compare predictions of the effects of the proposed action and reasonable alternatives is critical to the NEPA process.” Council of Environmental Quality, Considering Cumulative Effects under the National Environmental Policy Act (May 11, 1999). </w:t>
      </w:r>
    </w:p>
    <w:p w:rsidR="00000000" w:rsidDel="00000000" w:rsidP="00000000" w:rsidRDefault="00000000" w:rsidRPr="00000000" w14:paraId="00000045">
      <w:pPr>
        <w:widowControl w:val="0"/>
        <w:spacing w:before="330.29296875" w:line="264.37191009521484" w:lineRule="auto"/>
        <w:ind w:right="21.0461425781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note that the Forest Service and Otis Gold were able to comply with these standards in the original Kilgore North Project. In that, Otis Gold agreed to create an annual report that includes an analysis of the surface water and groundwater quality data noting any changes to water chemistry. The parameters would remain the same as baseline monitoring. The yearly report was going to be provided to the Forest minerals administrative staff administering the Plan of Operation. The results from these studies were to be included in the environmental analysis for this project. </w:t>
      </w:r>
    </w:p>
    <w:p w:rsidR="00000000" w:rsidDel="00000000" w:rsidP="00000000" w:rsidRDefault="00000000" w:rsidRPr="00000000" w14:paraId="00000046">
      <w:pPr>
        <w:widowControl w:val="0"/>
        <w:spacing w:before="330.29296875" w:line="264.37376976013184" w:lineRule="auto"/>
        <w:ind w:right="16.400146484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addition, if water quality data indicates an increased concentration of hazardous substances in the sample analysis over 3 consecutive months, the Forest will require the operator to investigate possible causes for the negative change in water quality, provide the forest a written report, and recommend mitigation if water quality contaminant increases are directly the result of exploration operations. </w:t>
      </w:r>
    </w:p>
    <w:p w:rsidR="00000000" w:rsidDel="00000000" w:rsidP="00000000" w:rsidRDefault="00000000" w:rsidRPr="00000000" w14:paraId="00000047">
      <w:pPr>
        <w:rPr>
          <w:rFonts w:ascii="Times New Roman" w:cs="Times New Roman" w:eastAsia="Times New Roman" w:hAnsi="Times New Roman"/>
          <w:b w:val="1"/>
          <w:highlight w:val="white"/>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Salmon River</w:t>
      </w:r>
    </w:p>
    <w:p w:rsidR="00000000" w:rsidDel="00000000" w:rsidP="00000000" w:rsidRDefault="00000000" w:rsidRPr="00000000" w14:paraId="00000049">
      <w:pPr>
        <w:widowControl w:val="0"/>
        <w:spacing w:before="37.29248046875" w:line="264.3717384338379" w:lineRule="auto"/>
        <w:ind w:right="24.8303222656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Bob Moore Creek running through the town of Salmon, Idaho and flowing into the Salmon River, it is critical that water quality is not compromised. Downstream from Salmon, Idaho, the Salmon River has 46 miles designated as recreational and 79 miles designated as wild under the Wild and Scenic Rivers Act.</w:t>
      </w:r>
      <w:r w:rsidDel="00000000" w:rsidR="00000000" w:rsidRPr="00000000">
        <w:rPr>
          <w:rFonts w:ascii="Times New Roman" w:cs="Times New Roman" w:eastAsia="Times New Roman" w:hAnsi="Times New Roman"/>
          <w:vertAlign w:val="superscript"/>
        </w:rPr>
        <w:footnoteReference w:customMarkFollows="0" w:id="0"/>
      </w:r>
      <w:r w:rsidDel="00000000" w:rsidR="00000000" w:rsidRPr="00000000">
        <w:rPr>
          <w:rFonts w:ascii="Times New Roman" w:cs="Times New Roman" w:eastAsia="Times New Roman" w:hAnsi="Times New Roman"/>
          <w:rtl w:val="0"/>
        </w:rPr>
        <w:t xml:space="preserve"> The Salmon River is a well-deserving designated river with the numerous outstanding and remarkable values (ORVs) it possess: fish, ecology, geology, history, prehistory, Native American traditional use, recreation, scenery, wildlife, and water quality. </w:t>
      </w:r>
    </w:p>
    <w:p w:rsidR="00000000" w:rsidDel="00000000" w:rsidP="00000000" w:rsidRDefault="00000000" w:rsidRPr="00000000" w14:paraId="0000004A">
      <w:pPr>
        <w:widowControl w:val="0"/>
        <w:spacing w:before="37.29248046875" w:line="264.3717384338379" w:lineRule="auto"/>
        <w:ind w:right="24.830322265625"/>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widowControl w:val="0"/>
        <w:spacing w:before="37.29248046875" w:line="264.3717384338379" w:lineRule="auto"/>
        <w:ind w:left="720" w:right="24.830322265625" w:firstLine="0"/>
        <w:jc w:val="both"/>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“The Salmon River from the North Fork to Long Tom Bar hosts four federally listed fish species and provides designated critical habitat for Snake River sockeye and Snake River spring/summer chinook. It is a key area for the survival and recovery of federally listed salmon, steelhead, and bull trout. In terms of habitat, this reach is an important migratory route for salmon, as well </w:t>
      </w:r>
      <w:r w:rsidDel="00000000" w:rsidR="00000000" w:rsidRPr="00000000">
        <w:rPr>
          <w:rFonts w:ascii="Times New Roman" w:cs="Times New Roman" w:eastAsia="Times New Roman" w:hAnsi="Times New Roman"/>
          <w:rtl w:val="0"/>
        </w:rPr>
        <w:t xml:space="preserve">as important</w:t>
      </w:r>
      <w:r w:rsidDel="00000000" w:rsidR="00000000" w:rsidRPr="00000000">
        <w:rPr>
          <w:rFonts w:ascii="Times New Roman" w:cs="Times New Roman" w:eastAsia="Times New Roman" w:hAnsi="Times New Roman"/>
          <w:rtl w:val="0"/>
        </w:rPr>
        <w:t xml:space="preserve"> rearing habitat for many species.” (</w:t>
      </w:r>
      <w:r w:rsidDel="00000000" w:rsidR="00000000" w:rsidRPr="00000000">
        <w:rPr>
          <w:rFonts w:ascii="Times New Roman" w:cs="Times New Roman" w:eastAsia="Times New Roman" w:hAnsi="Times New Roman"/>
          <w:i w:val="1"/>
          <w:sz w:val="20"/>
          <w:szCs w:val="20"/>
          <w:rtl w:val="0"/>
        </w:rPr>
        <w:t xml:space="preserve">National Wild and Scenic River System- See footnote 1</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tl w:val="0"/>
        </w:rPr>
      </w:r>
    </w:p>
    <w:p w:rsidR="00000000" w:rsidDel="00000000" w:rsidP="00000000" w:rsidRDefault="00000000" w:rsidRPr="00000000" w14:paraId="0000004C">
      <w:pPr>
        <w:widowControl w:val="0"/>
        <w:spacing w:before="37.29248046875" w:line="264.3717384338379" w:lineRule="auto"/>
        <w:ind w:right="24.830322265625"/>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widowControl w:val="0"/>
        <w:spacing w:before="37.29248046875" w:line="264.3717384338379" w:lineRule="auto"/>
        <w:ind w:right="24.83032226562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Salmon River is highly used for fishing and boating throughout the year. Each year, an average of 7,000 people go down this stretch to experience the whitewater.</w:t>
      </w:r>
      <w:r w:rsidDel="00000000" w:rsidR="00000000" w:rsidRPr="00000000">
        <w:rPr>
          <w:rFonts w:ascii="Times New Roman" w:cs="Times New Roman" w:eastAsia="Times New Roman" w:hAnsi="Times New Roman"/>
          <w:vertAlign w:val="superscript"/>
        </w:rPr>
        <w:footnoteReference w:customMarkFollows="0" w:id="1"/>
      </w:r>
      <w:r w:rsidDel="00000000" w:rsidR="00000000" w:rsidRPr="00000000">
        <w:rPr>
          <w:rFonts w:ascii="Times New Roman" w:cs="Times New Roman" w:eastAsia="Times New Roman" w:hAnsi="Times New Roman"/>
          <w:rtl w:val="0"/>
        </w:rPr>
        <w:t xml:space="preserve"> With regards to water quality, the river is exceptional compared to most of the river systems in the U.S. and supports a variety of beneficial uses.</w:t>
      </w:r>
      <w:r w:rsidDel="00000000" w:rsidR="00000000" w:rsidRPr="00000000">
        <w:rPr>
          <w:rFonts w:ascii="Times New Roman" w:cs="Times New Roman" w:eastAsia="Times New Roman" w:hAnsi="Times New Roman"/>
          <w:vertAlign w:val="superscript"/>
        </w:rPr>
        <w:footnoteReference w:customMarkFollows="0" w:id="2"/>
      </w:r>
      <w:r w:rsidDel="00000000" w:rsidR="00000000" w:rsidRPr="00000000">
        <w:rPr>
          <w:rFonts w:ascii="Times New Roman" w:cs="Times New Roman" w:eastAsia="Times New Roman" w:hAnsi="Times New Roman"/>
          <w:rtl w:val="0"/>
        </w:rPr>
        <w:t xml:space="preserve"> We are concerned about the proposed project being within close proximity to the Salmon River making it critical that mitigation measures are in place to protect and maintain the river’s ORVs. The scoping report does not outline in detail the risks that an exploration project could pose to the Salmon River. We recommend that the Forest Service analyze the potential impacts to the Salmon River before any exploration plans are approved. </w:t>
      </w:r>
    </w:p>
    <w:p w:rsidR="00000000" w:rsidDel="00000000" w:rsidP="00000000" w:rsidRDefault="00000000" w:rsidRPr="00000000" w14:paraId="0000004E">
      <w:pPr>
        <w:widowControl w:val="0"/>
        <w:spacing w:before="37.29248046875" w:line="264.3717384338379" w:lineRule="auto"/>
        <w:ind w:right="24.830322265625"/>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Drilling technique and site selection</w:t>
      </w: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scoping document outlines a total of 29 drilling sites with up to five drill holes per site, many within very close proximity to one another. </w:t>
      </w:r>
      <w:r w:rsidDel="00000000" w:rsidR="00000000" w:rsidRPr="00000000">
        <w:rPr>
          <w:rFonts w:ascii="Times New Roman" w:cs="Times New Roman" w:eastAsia="Times New Roman" w:hAnsi="Times New Roman"/>
          <w:highlight w:val="white"/>
          <w:rtl w:val="0"/>
        </w:rPr>
        <w:t xml:space="preserve">We strongly encourage the Forest Service to explore potential alternatives that can reduce the total number of drill sites required while still allowing the proponent to assess mineral reserves accurately. </w:t>
      </w:r>
    </w:p>
    <w:p w:rsidR="00000000" w:rsidDel="00000000" w:rsidP="00000000" w:rsidRDefault="00000000" w:rsidRPr="00000000" w14:paraId="00000051">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While not discussed within the provided scoping document, the Forest Service must ensure that any drill sites do not fall within Riparian Conservation Areas (RCA). As the Forest Service evaluates the current PoO, we emphasize the need to pay close attention to any activities that may cause an increase in erosion or sediment delivery to streams and RCAs within the project area and along proposed transport and haul routes. </w:t>
      </w:r>
    </w:p>
    <w:p w:rsidR="00000000" w:rsidDel="00000000" w:rsidP="00000000" w:rsidRDefault="00000000" w:rsidRPr="00000000" w14:paraId="00000053">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Forest Service must work with the proponent to provide a detailed list of approved drilling polymers and additives that may be used during the drilling process. Simply stating that a “nontoxic” polymer will be used is vague and does not allow the public reasonable insight into drilling activities. Additionally, more information must be provided that outlines plans in the event of loss of circulation while drilling. </w:t>
      </w:r>
    </w:p>
    <w:p w:rsidR="00000000" w:rsidDel="00000000" w:rsidP="00000000" w:rsidRDefault="00000000" w:rsidRPr="00000000" w14:paraId="00000055">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Sumps constructed at drill sites should be placed outside of RCAs and constructed in a manner to collect funnel contact water away from any aquatic resources. Sumps must be designed to accommodate the potential addition of groundwater if artesian conditions are discovered during the drilling process. This is especially important when the scoping document states that up to five holes may utilize one common sump. Sumps should be lined with a geosynthetic membrane and allowed to fully dry prior to reclamation.</w:t>
      </w:r>
    </w:p>
    <w:p w:rsidR="00000000" w:rsidDel="00000000" w:rsidP="00000000" w:rsidRDefault="00000000" w:rsidRPr="00000000" w14:paraId="00000057">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Hazardous materials</w:t>
      </w: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Diesel fuel is stated to be transported daily to the project site, however, the scoping document does not disclose the number of trips project vehicles will take daily. The Forest Service must manage potential environmental contamination from the transportation of hazardous materials. To adequately assess the impacts of increasing traffic on the access roads, the estimated number of trips up to the site need to be disclosed. </w:t>
      </w:r>
    </w:p>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scoping document says that approximately 100 gallons of diesel fuel and gasoline, and 50 pounds of lubricating grease, will be stored in fuel delivery systems on the drill rig and support vehicles. A hazardous material plan needs to be in place in the event of a fuel or solvent leak on the way to the drilling site, and while on site. The Forest Service should require the use of a double liner underneath all pumps that are near surface water sources. A vetted and monitored containment system should be designed to protect soil from the full volume of diesel fuel or oil as well as high rainfall events in case there is a leak.</w:t>
      </w:r>
    </w:p>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Hazardous wastes, including grease, lubricants, oil, and fuels, must be disposed of off-site in an environmentally appropriate manner, as often as needed—fuel containment equipment, including chemical absorbers and booms to intercept stream transport need to be on site. Regularly inspected fire extinguishers need to be placed in all vehicles. </w:t>
      </w:r>
    </w:p>
    <w:p w:rsidR="00000000" w:rsidDel="00000000" w:rsidP="00000000" w:rsidRDefault="00000000" w:rsidRPr="00000000" w14:paraId="0000005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rtl w:val="0"/>
        </w:rPr>
        <w:t xml:space="preserve">Any disturbed soil and waste rock piles need to be reseeded with native plants and weeded to prevent the proliferation of noxious weeds. Any waste material not re-injected in the drill holes should be characterized for contaminants and stabilized and reseeded if appropriate.</w:t>
      </w:r>
      <w:r w:rsidDel="00000000" w:rsidR="00000000" w:rsidRPr="00000000">
        <w:rPr>
          <w:rtl w:val="0"/>
        </w:rPr>
      </w:r>
    </w:p>
    <w:p w:rsidR="00000000" w:rsidDel="00000000" w:rsidP="00000000" w:rsidRDefault="00000000" w:rsidRPr="00000000" w14:paraId="00000060">
      <w:pPr>
        <w:rPr>
          <w:rFonts w:ascii="Times New Roman" w:cs="Times New Roman" w:eastAsia="Times New Roman" w:hAnsi="Times New Roman"/>
          <w:b w:val="1"/>
          <w:highlight w:val="white"/>
        </w:rPr>
      </w:pPr>
      <w:r w:rsidDel="00000000" w:rsidR="00000000" w:rsidRPr="00000000">
        <w:rPr>
          <w:rtl w:val="0"/>
        </w:rPr>
      </w:r>
    </w:p>
    <w:p w:rsidR="00000000" w:rsidDel="00000000" w:rsidP="00000000" w:rsidRDefault="00000000" w:rsidRPr="00000000" w14:paraId="00000061">
      <w:pPr>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Road construction</w:t>
      </w:r>
    </w:p>
    <w:p w:rsidR="00000000" w:rsidDel="00000000" w:rsidP="00000000" w:rsidRDefault="00000000" w:rsidRPr="00000000" w14:paraId="00000062">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Any new road construction to access the site, whether temporary or permanent, must be weighed with consideration for negative impacts to surface water. Road construction can be detrimental to riparian areas, as well as create excessive sediment, which in turn will load into rivers and streams. Sediment loading seriously affects fish life cycles by disturbing or destroying eggs, and killing macroinvertebrates, a necessary food source. With Bob Moore Creek running downslope of the project, impacts to the creek from road construction and increased levels of traffic need to be evaluated. Any road construction needs to include plans to avoid sediments contaminating the stream, especially during high-precipitation events. </w:t>
      </w:r>
    </w:p>
    <w:p w:rsidR="00000000" w:rsidDel="00000000" w:rsidP="00000000" w:rsidRDefault="00000000" w:rsidRPr="00000000" w14:paraId="00000063">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Fish</w:t>
      </w:r>
    </w:p>
    <w:p w:rsidR="00000000" w:rsidDel="00000000" w:rsidP="00000000" w:rsidRDefault="00000000" w:rsidRPr="00000000" w14:paraId="000000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proposed project interacts with U P Lake, which is known to be stocked with westslope cutthroat trout. This species of cutthroat trout is considered to be a sensitive species by the U.S. Forest Service (USFS) and Bureau of Land Management (BLM).</w:t>
      </w:r>
      <w:r w:rsidDel="00000000" w:rsidR="00000000" w:rsidRPr="00000000">
        <w:rPr>
          <w:rFonts w:ascii="Times New Roman" w:cs="Times New Roman" w:eastAsia="Times New Roman" w:hAnsi="Times New Roman"/>
          <w:vertAlign w:val="superscript"/>
        </w:rPr>
        <w:footnoteReference w:customMarkFollows="0" w:id="3"/>
      </w:r>
      <w:r w:rsidDel="00000000" w:rsidR="00000000" w:rsidRPr="00000000">
        <w:rPr>
          <w:rFonts w:ascii="Times New Roman" w:cs="Times New Roman" w:eastAsia="Times New Roman" w:hAnsi="Times New Roman"/>
          <w:rtl w:val="0"/>
        </w:rPr>
        <w:t xml:space="preserve"> Exploration activities must mitigate any degradation to local fish habitat. </w:t>
      </w:r>
      <w:r w:rsidDel="00000000" w:rsidR="00000000" w:rsidRPr="00000000">
        <w:rPr>
          <w:rtl w:val="0"/>
        </w:rPr>
      </w:r>
    </w:p>
    <w:p w:rsidR="00000000" w:rsidDel="00000000" w:rsidP="00000000" w:rsidRDefault="00000000" w:rsidRPr="00000000" w14:paraId="0000006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Westslope cutthroat trout are highly sensitive to sedimentation. Runoff from the exploration site and access roads can impair the nearby lake and streams. Increasing the traffic on these roads needs to be analyzed in how it will impact local fish populations.With the lake being habitat to a sensitive fish population, it is crucial that the water quality is not compromised. </w:t>
      </w:r>
    </w:p>
    <w:p w:rsidR="00000000" w:rsidDel="00000000" w:rsidP="00000000" w:rsidRDefault="00000000" w:rsidRPr="00000000" w14:paraId="0000006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Westslope cutthroat trout are a cold-water species, they are sensitive to changes in their environment. Their water quality habitat requirements must remain intact so that they may thrive. With climate change, warming water temperatures are rising, which makes it even more critical that we keep lakes and streams as viable habitat for native fish populations. </w:t>
      </w:r>
    </w:p>
    <w:p w:rsidR="00000000" w:rsidDel="00000000" w:rsidP="00000000" w:rsidRDefault="00000000" w:rsidRPr="00000000" w14:paraId="0000006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Reclamation</w:t>
      </w:r>
    </w:p>
    <w:p w:rsidR="00000000" w:rsidDel="00000000" w:rsidP="00000000" w:rsidRDefault="00000000" w:rsidRPr="00000000" w14:paraId="000000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appreciate that the scoping document calls for concurrent reclamation to occur when appropriate to minimize the amount of reclamation that would have to be performed at the end of operations. We recommend that previous drill holes be filled and the area reclaimed as operations proceed to the next drill site. This will minimize total surface disturbance at one time within the project area. </w:t>
      </w: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Cumulative Impacts</w:t>
      </w:r>
      <w:r w:rsidDel="00000000" w:rsidR="00000000" w:rsidRPr="00000000">
        <w:rPr>
          <w:rtl w:val="0"/>
        </w:rPr>
      </w:r>
    </w:p>
    <w:p w:rsidR="00000000" w:rsidDel="00000000" w:rsidP="00000000" w:rsidRDefault="00000000" w:rsidRPr="00000000" w14:paraId="000000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area of the Salmon-Challis National Forest has seen significant mining and the cumulative impacts of this industry must be addressed in forthcoming NEPA documents. "Cumulative impact" is defined in CEQ's NEPA regulations as the "impact on the environment that results from the incremental impact of the action when added to other past, present, and reasonably foreseeable future actions .. ." 40 CFR 1508.7. </w:t>
      </w:r>
    </w:p>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Subsequent environmental analysis for this project should take a hard look at the cumulative impacts of the significant amount of exploration drilling and road construction in the area. The Forest Service must analyze and disclose the direct and indirect cumulative effects of this project in conjunction with all past, present and reasonably foreseeable future actions. This analysis should encompass other mineral exploration projects in the area, reclamation and restoration requirements, noxious weed management, travel management, and wildlife and fisheries protections.</w:t>
      </w:r>
    </w:p>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sectPr>
      <w:headerReference r:id="rId9" w:type="default"/>
      <w:headerReference r:id="rId10" w:type="first"/>
      <w:footerReference r:id="rId11"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A">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74">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National Wild and Scenic River System-Salmon River </w:t>
      </w:r>
      <w:hyperlink r:id="rId1">
        <w:r w:rsidDel="00000000" w:rsidR="00000000" w:rsidRPr="00000000">
          <w:rPr>
            <w:rFonts w:ascii="Times New Roman" w:cs="Times New Roman" w:eastAsia="Times New Roman" w:hAnsi="Times New Roman"/>
            <w:color w:val="1155cc"/>
            <w:sz w:val="20"/>
            <w:szCs w:val="20"/>
            <w:u w:val="single"/>
            <w:rtl w:val="0"/>
          </w:rPr>
          <w:t xml:space="preserve">https://www.rivers.gov/rivers/river/salmon-idaho</w:t>
        </w:r>
      </w:hyperlink>
      <w:r w:rsidDel="00000000" w:rsidR="00000000" w:rsidRPr="00000000">
        <w:rPr>
          <w:rFonts w:ascii="Times New Roman" w:cs="Times New Roman" w:eastAsia="Times New Roman" w:hAnsi="Times New Roman"/>
          <w:sz w:val="20"/>
          <w:szCs w:val="20"/>
          <w:rtl w:val="0"/>
        </w:rPr>
        <w:t xml:space="preserve"> </w:t>
      </w:r>
    </w:p>
  </w:footnote>
  <w:footnote w:id="2">
    <w:p w:rsidR="00000000" w:rsidDel="00000000" w:rsidP="00000000" w:rsidRDefault="00000000" w:rsidRPr="00000000" w14:paraId="00000075">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Ibid</w:t>
      </w:r>
    </w:p>
  </w:footnote>
  <w:footnote w:id="1">
    <w:p w:rsidR="00000000" w:rsidDel="00000000" w:rsidP="00000000" w:rsidRDefault="00000000" w:rsidRPr="00000000" w14:paraId="00000076">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Ibid</w:t>
      </w:r>
    </w:p>
  </w:footnote>
  <w:footnote w:id="3">
    <w:p w:rsidR="00000000" w:rsidDel="00000000" w:rsidP="00000000" w:rsidRDefault="00000000" w:rsidRPr="00000000" w14:paraId="00000077">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Watershed: Native Aquatic Species </w:t>
      </w:r>
      <w:hyperlink r:id="rId2">
        <w:r w:rsidDel="00000000" w:rsidR="00000000" w:rsidRPr="00000000">
          <w:rPr>
            <w:rFonts w:ascii="Times New Roman" w:cs="Times New Roman" w:eastAsia="Times New Roman" w:hAnsi="Times New Roman"/>
            <w:color w:val="1155cc"/>
            <w:sz w:val="20"/>
            <w:szCs w:val="20"/>
            <w:u w:val="single"/>
            <w:rtl w:val="0"/>
          </w:rPr>
          <w:t xml:space="preserve">https://www.fs.usda.gov/detailfull/custergallatin/landmanagement/?cid=fseprd887611&amp;width=full</w:t>
        </w:r>
      </w:hyperlink>
      <w:r w:rsidDel="00000000" w:rsidR="00000000" w:rsidRPr="00000000">
        <w:rPr>
          <w:rFonts w:ascii="Times New Roman" w:cs="Times New Roman" w:eastAsia="Times New Roman" w:hAnsi="Times New Roman"/>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8">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9">
    <w:pPr>
      <w:rPr/>
    </w:pPr>
    <w:r w:rsidDel="00000000" w:rsidR="00000000" w:rsidRPr="00000000">
      <w:rPr/>
      <w:drawing>
        <wp:inline distB="114300" distT="114300" distL="114300" distR="114300">
          <wp:extent cx="5943600" cy="12573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943600" cy="1257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1.xml"/><Relationship Id="rId10" Type="http://schemas.openxmlformats.org/officeDocument/2006/relationships/header" Target="header2.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mailto:sydney@idahorivers.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rivers.gov/rivers/river/salmon-idaho" TargetMode="External"/><Relationship Id="rId2" Type="http://schemas.openxmlformats.org/officeDocument/2006/relationships/hyperlink" Target="https://www.fs.usda.gov/detailfull/custergallatin/landmanagement/?cid=fseprd887611&amp;width=ful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