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A2A743" w14:textId="5BF7A4D5" w:rsidR="005E42CA" w:rsidRDefault="005E42CA" w:rsidP="005E42CA">
      <w:pPr>
        <w:spacing w:before="0"/>
        <w:jc w:val="center"/>
        <w:rPr>
          <w:b/>
          <w:sz w:val="24"/>
        </w:rPr>
      </w:pPr>
      <w:r>
        <w:rPr>
          <w:b/>
          <w:sz w:val="24"/>
        </w:rPr>
        <w:t>JOINT COMMENTS</w:t>
      </w:r>
    </w:p>
    <w:p w14:paraId="4DF683E1" w14:textId="4ABD7065" w:rsidR="00C76C06" w:rsidRDefault="005E42CA" w:rsidP="005E42CA">
      <w:pPr>
        <w:spacing w:before="240"/>
        <w:jc w:val="center"/>
        <w:rPr>
          <w:b/>
          <w:sz w:val="24"/>
        </w:rPr>
      </w:pPr>
      <w:r>
        <w:rPr>
          <w:b/>
          <w:sz w:val="24"/>
        </w:rPr>
        <w:t>Alaska Rainforest Defenders  and  Center for Biological Diversity</w:t>
      </w:r>
    </w:p>
    <w:p w14:paraId="57DBABB2" w14:textId="4DAB8B53" w:rsidR="00C76C06" w:rsidRPr="00C76C06" w:rsidRDefault="00C76C06" w:rsidP="005E42CA">
      <w:pPr>
        <w:spacing w:before="0"/>
        <w:ind w:firstLine="0"/>
        <w:rPr>
          <w:sz w:val="24"/>
        </w:rPr>
      </w:pPr>
    </w:p>
    <w:p w14:paraId="2156AC40" w14:textId="2E10E02E" w:rsidR="00C76C06" w:rsidRPr="0031213F" w:rsidRDefault="00137306" w:rsidP="005E42CA">
      <w:pPr>
        <w:spacing w:before="0"/>
        <w:ind w:left="5220" w:firstLine="0"/>
        <w:rPr>
          <w:sz w:val="24"/>
        </w:rPr>
      </w:pPr>
      <w:r>
        <w:rPr>
          <w:sz w:val="24"/>
        </w:rPr>
        <w:t>Larry Edwards</w:t>
      </w:r>
      <w:r w:rsidR="00C76C06" w:rsidRPr="0031213F">
        <w:rPr>
          <w:sz w:val="24"/>
        </w:rPr>
        <w:t>, President</w:t>
      </w:r>
      <w:r w:rsidR="00160DD2">
        <w:rPr>
          <w:sz w:val="24"/>
        </w:rPr>
        <w:tab/>
      </w:r>
      <w:r w:rsidR="00160DD2">
        <w:rPr>
          <w:sz w:val="24"/>
        </w:rPr>
        <w:tab/>
      </w:r>
      <w:r w:rsidR="00160DD2">
        <w:rPr>
          <w:sz w:val="24"/>
        </w:rPr>
        <w:tab/>
      </w:r>
    </w:p>
    <w:p w14:paraId="151ACBE6" w14:textId="77777777" w:rsidR="00C76C06" w:rsidRPr="0031213F" w:rsidRDefault="00C76C06" w:rsidP="005E42CA">
      <w:pPr>
        <w:spacing w:before="0"/>
        <w:ind w:left="5220" w:firstLine="0"/>
        <w:rPr>
          <w:sz w:val="24"/>
        </w:rPr>
      </w:pPr>
      <w:r w:rsidRPr="0031213F">
        <w:rPr>
          <w:sz w:val="24"/>
        </w:rPr>
        <w:t>Alaska Rainforest Defenders</w:t>
      </w:r>
    </w:p>
    <w:p w14:paraId="400CF652" w14:textId="77777777" w:rsidR="00C76C06" w:rsidRPr="0031213F" w:rsidRDefault="00C76C06" w:rsidP="005E42CA">
      <w:pPr>
        <w:spacing w:before="0"/>
        <w:ind w:left="5220" w:firstLine="0"/>
        <w:rPr>
          <w:sz w:val="24"/>
        </w:rPr>
      </w:pPr>
      <w:r w:rsidRPr="0031213F">
        <w:rPr>
          <w:sz w:val="24"/>
        </w:rPr>
        <w:t>P.O. Box 6064</w:t>
      </w:r>
    </w:p>
    <w:p w14:paraId="11D40B3A" w14:textId="3FE756E8" w:rsidR="00C76C06" w:rsidRDefault="00C76C06" w:rsidP="005E42CA">
      <w:pPr>
        <w:spacing w:before="0"/>
        <w:ind w:left="5220" w:firstLine="0"/>
        <w:rPr>
          <w:sz w:val="24"/>
        </w:rPr>
      </w:pPr>
      <w:r w:rsidRPr="0031213F">
        <w:rPr>
          <w:sz w:val="24"/>
        </w:rPr>
        <w:t>Sitka, AK 99835</w:t>
      </w:r>
    </w:p>
    <w:p w14:paraId="546B5574" w14:textId="1666DF43" w:rsidR="005E42CA" w:rsidRDefault="005E42CA" w:rsidP="005E42CA">
      <w:pPr>
        <w:spacing w:before="0"/>
        <w:ind w:left="5220" w:firstLine="0"/>
        <w:rPr>
          <w:sz w:val="24"/>
        </w:rPr>
      </w:pPr>
      <w:hyperlink r:id="rId9" w:history="1">
        <w:r w:rsidRPr="000A5F9E">
          <w:rPr>
            <w:rStyle w:val="Hyperlink"/>
            <w:rFonts w:ascii="Bookman Old Style" w:hAnsi="Bookman Old Style"/>
            <w:sz w:val="24"/>
          </w:rPr>
          <w:t>defenders@akrainforest.ogr</w:t>
        </w:r>
      </w:hyperlink>
      <w:r>
        <w:rPr>
          <w:sz w:val="24"/>
        </w:rPr>
        <w:t xml:space="preserve"> </w:t>
      </w:r>
    </w:p>
    <w:p w14:paraId="0A14B6B4" w14:textId="77777777" w:rsidR="005E42CA" w:rsidRDefault="005E42CA" w:rsidP="005E42CA">
      <w:pPr>
        <w:spacing w:before="0"/>
        <w:ind w:left="5220" w:firstLine="0"/>
        <w:rPr>
          <w:sz w:val="24"/>
        </w:rPr>
      </w:pPr>
    </w:p>
    <w:p w14:paraId="1F39B061" w14:textId="77777777" w:rsidR="005E42CA" w:rsidRPr="005E42CA" w:rsidRDefault="005E42CA" w:rsidP="005E42CA">
      <w:pPr>
        <w:spacing w:before="0"/>
        <w:ind w:left="5220" w:firstLine="0"/>
        <w:rPr>
          <w:sz w:val="24"/>
        </w:rPr>
      </w:pPr>
      <w:r w:rsidRPr="005E42CA">
        <w:rPr>
          <w:sz w:val="24"/>
        </w:rPr>
        <w:t>Cooper Freeman</w:t>
      </w:r>
    </w:p>
    <w:p w14:paraId="03304465" w14:textId="7DA495B9" w:rsidR="005E42CA" w:rsidRPr="005E42CA" w:rsidRDefault="005E42CA" w:rsidP="005E42CA">
      <w:pPr>
        <w:spacing w:before="0"/>
        <w:ind w:left="5220" w:firstLine="0"/>
        <w:rPr>
          <w:sz w:val="24"/>
        </w:rPr>
      </w:pPr>
      <w:r w:rsidRPr="005E42CA">
        <w:rPr>
          <w:sz w:val="24"/>
        </w:rPr>
        <w:t>Senior Advocate</w:t>
      </w:r>
      <w:r>
        <w:rPr>
          <w:sz w:val="24"/>
        </w:rPr>
        <w:t xml:space="preserve"> &amp; </w:t>
      </w:r>
      <w:r w:rsidRPr="005E42CA">
        <w:rPr>
          <w:sz w:val="24"/>
        </w:rPr>
        <w:t>Alaska Representative</w:t>
      </w:r>
    </w:p>
    <w:p w14:paraId="6DBC9148" w14:textId="77777777" w:rsidR="005E42CA" w:rsidRPr="005E42CA" w:rsidRDefault="005E42CA" w:rsidP="005E42CA">
      <w:pPr>
        <w:spacing w:before="0"/>
        <w:ind w:left="5220" w:firstLine="0"/>
        <w:rPr>
          <w:sz w:val="24"/>
        </w:rPr>
      </w:pPr>
      <w:r w:rsidRPr="005E42CA">
        <w:rPr>
          <w:sz w:val="24"/>
        </w:rPr>
        <w:t>Center for Biological Diversity</w:t>
      </w:r>
    </w:p>
    <w:p w14:paraId="57B1DD39" w14:textId="0C1D81A8" w:rsidR="005E42CA" w:rsidRPr="0031213F" w:rsidRDefault="005E42CA" w:rsidP="005E42CA">
      <w:pPr>
        <w:spacing w:before="0"/>
        <w:ind w:left="5220" w:firstLine="0"/>
        <w:rPr>
          <w:sz w:val="24"/>
        </w:rPr>
      </w:pPr>
      <w:hyperlink r:id="rId10" w:history="1">
        <w:r w:rsidRPr="000A5F9E">
          <w:rPr>
            <w:rStyle w:val="Hyperlink"/>
            <w:rFonts w:ascii="Bookman Old Style" w:hAnsi="Bookman Old Style"/>
            <w:sz w:val="24"/>
          </w:rPr>
          <w:t>cfreeman@biologicaldiversity.org</w:t>
        </w:r>
      </w:hyperlink>
      <w:r>
        <w:rPr>
          <w:sz w:val="24"/>
        </w:rPr>
        <w:t xml:space="preserve"> </w:t>
      </w:r>
    </w:p>
    <w:p w14:paraId="587515DB" w14:textId="77777777" w:rsidR="005E42CA" w:rsidRDefault="005E42CA" w:rsidP="005E42CA">
      <w:pPr>
        <w:spacing w:before="0"/>
        <w:ind w:left="5220" w:firstLine="0"/>
        <w:rPr>
          <w:sz w:val="24"/>
        </w:rPr>
      </w:pPr>
    </w:p>
    <w:p w14:paraId="07BB55F5" w14:textId="1D8B7503" w:rsidR="005E42CA" w:rsidRDefault="005E42CA" w:rsidP="005E42CA">
      <w:pPr>
        <w:spacing w:before="0"/>
        <w:ind w:left="5220" w:firstLine="0"/>
        <w:rPr>
          <w:sz w:val="24"/>
        </w:rPr>
      </w:pPr>
      <w:r>
        <w:rPr>
          <w:sz w:val="24"/>
        </w:rPr>
        <w:t>October 17, 2023</w:t>
      </w:r>
    </w:p>
    <w:p w14:paraId="1ED467E6" w14:textId="77777777" w:rsidR="005E42CA" w:rsidRDefault="005E42CA" w:rsidP="006C5D82">
      <w:pPr>
        <w:ind w:firstLine="0"/>
        <w:rPr>
          <w:sz w:val="24"/>
        </w:rPr>
      </w:pPr>
    </w:p>
    <w:p w14:paraId="2CA20493" w14:textId="76F98464" w:rsidR="00932452" w:rsidRDefault="00137306" w:rsidP="006C5D82">
      <w:pPr>
        <w:ind w:firstLine="0"/>
        <w:rPr>
          <w:sz w:val="24"/>
        </w:rPr>
      </w:pPr>
      <w:r>
        <w:rPr>
          <w:sz w:val="24"/>
        </w:rPr>
        <w:t>Quentin Hall, Project Lead</w:t>
      </w:r>
    </w:p>
    <w:p w14:paraId="28B0BDD2" w14:textId="6E3351E5" w:rsidR="00DB639E" w:rsidRPr="0031213F" w:rsidRDefault="00DB639E" w:rsidP="006C5D82">
      <w:pPr>
        <w:spacing w:before="0"/>
        <w:ind w:firstLine="0"/>
        <w:rPr>
          <w:sz w:val="24"/>
        </w:rPr>
      </w:pPr>
      <w:r>
        <w:rPr>
          <w:sz w:val="24"/>
        </w:rPr>
        <w:t xml:space="preserve">Attn:  </w:t>
      </w:r>
      <w:r w:rsidR="00137306" w:rsidRPr="00137306">
        <w:rPr>
          <w:sz w:val="24"/>
        </w:rPr>
        <w:t>Thorne Bay Basin Integrated Resource Management Project</w:t>
      </w:r>
    </w:p>
    <w:p w14:paraId="0BEBEA4E" w14:textId="06359D76" w:rsidR="0031213F" w:rsidRPr="0031213F" w:rsidRDefault="00137306" w:rsidP="006C5D82">
      <w:pPr>
        <w:spacing w:before="0"/>
        <w:ind w:firstLine="0"/>
        <w:rPr>
          <w:sz w:val="24"/>
        </w:rPr>
      </w:pPr>
      <w:r w:rsidRPr="00137306">
        <w:rPr>
          <w:sz w:val="24"/>
        </w:rPr>
        <w:t>Thorne Bay Ranger District</w:t>
      </w:r>
    </w:p>
    <w:p w14:paraId="7488589F" w14:textId="02805A8D" w:rsidR="0031213F" w:rsidRPr="0031213F" w:rsidRDefault="0031213F" w:rsidP="006C5D82">
      <w:pPr>
        <w:spacing w:before="0"/>
        <w:ind w:firstLine="0"/>
        <w:rPr>
          <w:sz w:val="24"/>
        </w:rPr>
      </w:pPr>
      <w:r w:rsidRPr="0031213F">
        <w:rPr>
          <w:sz w:val="24"/>
        </w:rPr>
        <w:t xml:space="preserve">P.O. Box </w:t>
      </w:r>
      <w:r w:rsidR="00221CF3">
        <w:rPr>
          <w:sz w:val="24"/>
        </w:rPr>
        <w:t>19001</w:t>
      </w:r>
    </w:p>
    <w:p w14:paraId="2DBCC4FF" w14:textId="0202B94E" w:rsidR="0031213F" w:rsidRPr="0031213F" w:rsidRDefault="00221CF3" w:rsidP="006C5D82">
      <w:pPr>
        <w:spacing w:before="0"/>
        <w:ind w:firstLine="0"/>
        <w:rPr>
          <w:sz w:val="24"/>
        </w:rPr>
      </w:pPr>
      <w:r>
        <w:rPr>
          <w:sz w:val="24"/>
        </w:rPr>
        <w:t>Thorne Bay</w:t>
      </w:r>
      <w:r w:rsidR="0031213F" w:rsidRPr="0031213F">
        <w:rPr>
          <w:sz w:val="24"/>
        </w:rPr>
        <w:t>, Alaska 99</w:t>
      </w:r>
      <w:r>
        <w:rPr>
          <w:sz w:val="24"/>
        </w:rPr>
        <w:t>919</w:t>
      </w:r>
    </w:p>
    <w:p w14:paraId="61241062" w14:textId="10900649" w:rsidR="00407FE4" w:rsidRDefault="00932452" w:rsidP="0054470C">
      <w:pPr>
        <w:spacing w:before="0"/>
        <w:ind w:firstLine="0"/>
        <w:rPr>
          <w:sz w:val="24"/>
        </w:rPr>
      </w:pPr>
      <w:r>
        <w:rPr>
          <w:noProof/>
          <w:sz w:val="24"/>
        </w:rPr>
        <w:t xml:space="preserve">Submitted </w:t>
      </w:r>
      <w:r w:rsidR="00221CF3">
        <w:rPr>
          <w:noProof/>
          <w:sz w:val="24"/>
        </w:rPr>
        <w:t>via project webpage</w:t>
      </w:r>
      <w:r>
        <w:rPr>
          <w:noProof/>
          <w:sz w:val="24"/>
        </w:rPr>
        <w:t>:</w:t>
      </w:r>
      <w:r w:rsidR="00407FE4">
        <w:rPr>
          <w:sz w:val="23"/>
          <w:szCs w:val="23"/>
        </w:rPr>
        <w:t xml:space="preserve"> </w:t>
      </w:r>
      <w:hyperlink r:id="rId11" w:history="1">
        <w:r w:rsidR="00221CF3" w:rsidRPr="00221CF3">
          <w:rPr>
            <w:rStyle w:val="Hyperlink"/>
            <w:rFonts w:ascii="Bookman Old Style" w:hAnsi="Bookman Old Style"/>
            <w:sz w:val="24"/>
          </w:rPr>
          <w:t>https://www.fs.usda.gov/project/?project=62854</w:t>
        </w:r>
      </w:hyperlink>
      <w:r w:rsidR="00221CF3" w:rsidRPr="00221CF3">
        <w:rPr>
          <w:sz w:val="24"/>
        </w:rPr>
        <w:t xml:space="preserve"> </w:t>
      </w:r>
    </w:p>
    <w:p w14:paraId="3E5F3322" w14:textId="77777777" w:rsidR="0054470C" w:rsidRDefault="0054470C" w:rsidP="0054470C">
      <w:pPr>
        <w:spacing w:before="0"/>
        <w:ind w:firstLine="0"/>
        <w:rPr>
          <w:sz w:val="24"/>
        </w:rPr>
      </w:pPr>
    </w:p>
    <w:p w14:paraId="653972F8" w14:textId="7F12E4A9" w:rsidR="0054470C" w:rsidRPr="00221CF3" w:rsidRDefault="0054470C" w:rsidP="0054470C">
      <w:pPr>
        <w:spacing w:before="0"/>
        <w:ind w:firstLine="0"/>
        <w:rPr>
          <w:noProof/>
          <w:sz w:val="24"/>
        </w:rPr>
      </w:pPr>
      <w:r>
        <w:rPr>
          <w:sz w:val="24"/>
        </w:rPr>
        <w:t xml:space="preserve">Subj:  </w:t>
      </w:r>
      <w:r w:rsidRPr="0054470C">
        <w:rPr>
          <w:sz w:val="24"/>
          <w:u w:val="single"/>
        </w:rPr>
        <w:t>Comments for the current scoping period for the “TBB IRMP</w:t>
      </w:r>
      <w:r>
        <w:rPr>
          <w:sz w:val="24"/>
        </w:rPr>
        <w:t>”</w:t>
      </w:r>
    </w:p>
    <w:p w14:paraId="61C8B945" w14:textId="551BF574" w:rsidR="0042042F" w:rsidRPr="00085B8D" w:rsidRDefault="0042042F" w:rsidP="006C5D82">
      <w:pPr>
        <w:pStyle w:val="Default"/>
        <w:spacing w:before="120"/>
        <w:rPr>
          <w:rFonts w:ascii="Bookman Old Style" w:hAnsi="Bookman Old Style"/>
          <w:sz w:val="20"/>
          <w:szCs w:val="20"/>
        </w:rPr>
      </w:pPr>
    </w:p>
    <w:p w14:paraId="149EE05A" w14:textId="718C7FDD" w:rsidR="00C821F1" w:rsidRDefault="00932452" w:rsidP="006C5D82">
      <w:pPr>
        <w:ind w:firstLine="0"/>
        <w:rPr>
          <w:sz w:val="24"/>
        </w:rPr>
      </w:pPr>
      <w:r>
        <w:rPr>
          <w:sz w:val="24"/>
        </w:rPr>
        <w:t>M</w:t>
      </w:r>
      <w:r w:rsidR="00352F11">
        <w:rPr>
          <w:sz w:val="24"/>
        </w:rPr>
        <w:t>r. Hall</w:t>
      </w:r>
      <w:r w:rsidR="00C821F1">
        <w:rPr>
          <w:sz w:val="24"/>
        </w:rPr>
        <w:t>:</w:t>
      </w:r>
    </w:p>
    <w:p w14:paraId="14210CF2" w14:textId="35B1A76D" w:rsidR="006C5D82" w:rsidRDefault="0054470C" w:rsidP="006C5D82">
      <w:pPr>
        <w:ind w:firstLine="720"/>
        <w:rPr>
          <w:sz w:val="24"/>
        </w:rPr>
      </w:pPr>
      <w:r>
        <w:rPr>
          <w:sz w:val="24"/>
        </w:rPr>
        <w:t>We</w:t>
      </w:r>
      <w:r w:rsidR="0031213F" w:rsidRPr="00B152EC">
        <w:rPr>
          <w:sz w:val="24"/>
        </w:rPr>
        <w:t xml:space="preserve"> submit these comments</w:t>
      </w:r>
      <w:r w:rsidR="0031213F" w:rsidRPr="00B152EC">
        <w:rPr>
          <w:sz w:val="24"/>
          <w:lang w:bidi="en-US"/>
        </w:rPr>
        <w:t xml:space="preserve"> on behalf of Alaska Rainforest Defenders </w:t>
      </w:r>
      <w:r>
        <w:rPr>
          <w:sz w:val="24"/>
          <w:lang w:bidi="en-US"/>
        </w:rPr>
        <w:t>and Center for Biological Diversity (collectively “Respondents”)</w:t>
      </w:r>
      <w:r w:rsidR="00357132" w:rsidRPr="00B152EC">
        <w:rPr>
          <w:sz w:val="24"/>
          <w:lang w:bidi="en-US"/>
        </w:rPr>
        <w:t xml:space="preserve"> regarding the </w:t>
      </w:r>
      <w:r w:rsidR="002B1849" w:rsidRPr="00B152EC">
        <w:rPr>
          <w:sz w:val="24"/>
        </w:rPr>
        <w:t>Thorne Bay Basin Integrated Resource Management Project</w:t>
      </w:r>
      <w:r w:rsidR="00160DD2" w:rsidRPr="00B152EC">
        <w:rPr>
          <w:sz w:val="24"/>
          <w:lang w:bidi="en-US"/>
        </w:rPr>
        <w:t xml:space="preserve">.  </w:t>
      </w:r>
      <w:r w:rsidR="002B1849" w:rsidRPr="00B152EC">
        <w:rPr>
          <w:sz w:val="24"/>
        </w:rPr>
        <w:t xml:space="preserve">The proposed action </w:t>
      </w:r>
      <w:r w:rsidR="00B152EC">
        <w:rPr>
          <w:sz w:val="24"/>
        </w:rPr>
        <w:t>bundl</w:t>
      </w:r>
      <w:r w:rsidR="002B1849" w:rsidRPr="00B152EC">
        <w:rPr>
          <w:sz w:val="24"/>
        </w:rPr>
        <w:t>e</w:t>
      </w:r>
      <w:r w:rsidR="00B152EC">
        <w:rPr>
          <w:sz w:val="24"/>
        </w:rPr>
        <w:t>s</w:t>
      </w:r>
      <w:r w:rsidR="002B1849" w:rsidRPr="00B152EC">
        <w:rPr>
          <w:sz w:val="24"/>
        </w:rPr>
        <w:t xml:space="preserve"> three distinct projects in one NEPA analysis:  (1) efforts to mitigate the effects of past clearcutting through treatments in some previously clearcut area</w:t>
      </w:r>
      <w:r w:rsidR="00B152EC">
        <w:rPr>
          <w:sz w:val="24"/>
        </w:rPr>
        <w:t>s</w:t>
      </w:r>
      <w:r w:rsidR="002B1849" w:rsidRPr="00B152EC">
        <w:rPr>
          <w:sz w:val="24"/>
        </w:rPr>
        <w:t xml:space="preserve"> described as “habitat emphasis units;” (2) clearcutting second-growth forests in “timber emphasis units” and (3) road-related activities.</w:t>
      </w:r>
      <w:r w:rsidR="002B1849" w:rsidRPr="00B152EC">
        <w:rPr>
          <w:rStyle w:val="FootnoteReference"/>
          <w:sz w:val="24"/>
        </w:rPr>
        <w:footnoteReference w:id="1"/>
      </w:r>
      <w:r w:rsidR="008C4A4E" w:rsidRPr="00B152EC">
        <w:rPr>
          <w:sz w:val="24"/>
        </w:rPr>
        <w:t xml:space="preserve"> </w:t>
      </w:r>
    </w:p>
    <w:p w14:paraId="585CAFD2" w14:textId="77777777" w:rsidR="00942792" w:rsidRDefault="00160DD2" w:rsidP="006C5D82">
      <w:pPr>
        <w:ind w:firstLine="720"/>
        <w:rPr>
          <w:sz w:val="24"/>
          <w:lang w:bidi="en-US"/>
        </w:rPr>
      </w:pPr>
      <w:r w:rsidRPr="00DA744B">
        <w:rPr>
          <w:sz w:val="24"/>
          <w:lang w:bidi="en-US"/>
        </w:rPr>
        <w:t>We request that you cease planning on this large timber project or at a</w:t>
      </w:r>
      <w:r>
        <w:rPr>
          <w:sz w:val="24"/>
          <w:lang w:bidi="en-US"/>
        </w:rPr>
        <w:t xml:space="preserve"> minimum develop several downscaled alternatives with substantially reduced timber volumes.  </w:t>
      </w:r>
    </w:p>
    <w:p w14:paraId="0AEE8AC4" w14:textId="76D1F2D6" w:rsidR="00870C3E" w:rsidRDefault="00BD5E7A" w:rsidP="006C5D82">
      <w:pPr>
        <w:ind w:firstLine="720"/>
        <w:rPr>
          <w:sz w:val="24"/>
        </w:rPr>
      </w:pPr>
      <w:r>
        <w:rPr>
          <w:sz w:val="24"/>
        </w:rPr>
        <w:t>If you continue planning the proposed action which includes over 2,200 acres of clearcuts, it will be necessary to</w:t>
      </w:r>
      <w:r w:rsidRPr="00946B65">
        <w:rPr>
          <w:sz w:val="24"/>
        </w:rPr>
        <w:t xml:space="preserve"> restart the scoping process and publish a Notice of Intent to prepare a full EIS prior to any further planning on the project.</w:t>
      </w:r>
      <w:r w:rsidRPr="00946B65">
        <w:rPr>
          <w:sz w:val="24"/>
          <w:lang w:bidi="en-US"/>
        </w:rPr>
        <w:t xml:space="preserve"> </w:t>
      </w:r>
      <w:r w:rsidRPr="00946B65">
        <w:rPr>
          <w:rStyle w:val="FootnoteReference"/>
          <w:sz w:val="24"/>
          <w:lang w:bidi="en-US"/>
        </w:rPr>
        <w:t xml:space="preserve"> </w:t>
      </w:r>
      <w:r w:rsidRPr="00DA744B">
        <w:rPr>
          <w:sz w:val="24"/>
        </w:rPr>
        <w:t>This project will be</w:t>
      </w:r>
      <w:r>
        <w:rPr>
          <w:sz w:val="24"/>
        </w:rPr>
        <w:t>, by far,</w:t>
      </w:r>
      <w:r w:rsidRPr="00DA744B">
        <w:rPr>
          <w:sz w:val="24"/>
        </w:rPr>
        <w:t xml:space="preserve"> the Tongass National Forest’s largest second-growth timber sale. </w:t>
      </w:r>
    </w:p>
    <w:p w14:paraId="608DB392" w14:textId="77777777" w:rsidR="005E42CA" w:rsidRDefault="005E42CA" w:rsidP="006C5D82">
      <w:pPr>
        <w:ind w:firstLine="720"/>
        <w:rPr>
          <w:sz w:val="24"/>
        </w:rPr>
      </w:pPr>
    </w:p>
    <w:sdt>
      <w:sdtPr>
        <w:rPr>
          <w:rFonts w:ascii="Bookman Old Style" w:eastAsia="Times New Roman" w:hAnsi="Bookman Old Style" w:cs="Times New Roman"/>
          <w:color w:val="auto"/>
          <w:sz w:val="22"/>
          <w:szCs w:val="24"/>
        </w:rPr>
        <w:id w:val="169618747"/>
        <w:docPartObj>
          <w:docPartGallery w:val="Table of Contents"/>
          <w:docPartUnique/>
        </w:docPartObj>
      </w:sdtPr>
      <w:sdtEndPr>
        <w:rPr>
          <w:b/>
          <w:bCs/>
          <w:noProof/>
        </w:rPr>
      </w:sdtEndPr>
      <w:sdtContent>
        <w:p w14:paraId="7F414B21" w14:textId="216399C2" w:rsidR="0033255A" w:rsidRPr="006C5D82" w:rsidRDefault="0033255A" w:rsidP="006C5D82">
          <w:pPr>
            <w:pStyle w:val="TOCHeading"/>
            <w:spacing w:before="120"/>
            <w:rPr>
              <w:color w:val="auto"/>
            </w:rPr>
          </w:pPr>
          <w:r w:rsidRPr="006C5D82">
            <w:rPr>
              <w:color w:val="auto"/>
            </w:rPr>
            <w:t>Contents</w:t>
          </w:r>
        </w:p>
        <w:p w14:paraId="4160C3D8" w14:textId="7876E25F" w:rsidR="0033255A" w:rsidRDefault="0033255A" w:rsidP="006C5D82">
          <w:pPr>
            <w:pStyle w:val="TOC1"/>
            <w:tabs>
              <w:tab w:val="right" w:leader="dot" w:pos="10070"/>
            </w:tabs>
            <w:rPr>
              <w:rFonts w:asciiTheme="minorHAnsi" w:eastAsiaTheme="minorEastAsia" w:hAnsiTheme="minorHAnsi" w:cstheme="minorBidi"/>
              <w:noProof/>
              <w:kern w:val="2"/>
              <w:szCs w:val="22"/>
              <w14:ligatures w14:val="standardContextual"/>
            </w:rPr>
          </w:pPr>
          <w:r>
            <w:fldChar w:fldCharType="begin"/>
          </w:r>
          <w:r>
            <w:instrText xml:space="preserve"> TOC \o "1-3" \h \z \u </w:instrText>
          </w:r>
          <w:r>
            <w:fldChar w:fldCharType="separate"/>
          </w:r>
          <w:hyperlink w:anchor="_Toc148104501" w:history="1">
            <w:r w:rsidRPr="00D022AA">
              <w:rPr>
                <w:rStyle w:val="Hyperlink"/>
                <w:noProof/>
              </w:rPr>
              <w:t>I.   Introduction</w:t>
            </w:r>
            <w:r>
              <w:rPr>
                <w:noProof/>
                <w:webHidden/>
              </w:rPr>
              <w:tab/>
            </w:r>
            <w:r>
              <w:rPr>
                <w:noProof/>
                <w:webHidden/>
              </w:rPr>
              <w:fldChar w:fldCharType="begin"/>
            </w:r>
            <w:r>
              <w:rPr>
                <w:noProof/>
                <w:webHidden/>
              </w:rPr>
              <w:instrText xml:space="preserve"> PAGEREF _Toc148104501 \h </w:instrText>
            </w:r>
            <w:r>
              <w:rPr>
                <w:noProof/>
                <w:webHidden/>
              </w:rPr>
            </w:r>
            <w:r>
              <w:rPr>
                <w:noProof/>
                <w:webHidden/>
              </w:rPr>
              <w:fldChar w:fldCharType="separate"/>
            </w:r>
            <w:r w:rsidR="00445B1F">
              <w:rPr>
                <w:noProof/>
                <w:webHidden/>
              </w:rPr>
              <w:t>2</w:t>
            </w:r>
            <w:r>
              <w:rPr>
                <w:noProof/>
                <w:webHidden/>
              </w:rPr>
              <w:fldChar w:fldCharType="end"/>
            </w:r>
          </w:hyperlink>
        </w:p>
        <w:p w14:paraId="3846098B" w14:textId="63841424" w:rsidR="0033255A" w:rsidRDefault="009359C2" w:rsidP="006C5D82">
          <w:pPr>
            <w:pStyle w:val="TOC1"/>
            <w:tabs>
              <w:tab w:val="right" w:leader="dot" w:pos="10070"/>
            </w:tabs>
            <w:rPr>
              <w:rFonts w:asciiTheme="minorHAnsi" w:eastAsiaTheme="minorEastAsia" w:hAnsiTheme="minorHAnsi" w:cstheme="minorBidi"/>
              <w:noProof/>
              <w:kern w:val="2"/>
              <w:szCs w:val="22"/>
              <w14:ligatures w14:val="standardContextual"/>
            </w:rPr>
          </w:pPr>
          <w:hyperlink w:anchor="_Toc148104502" w:history="1">
            <w:r w:rsidR="0033255A" w:rsidRPr="00D022AA">
              <w:rPr>
                <w:rStyle w:val="Hyperlink"/>
                <w:noProof/>
              </w:rPr>
              <w:t>II.  The Forest Service should re-scope this project and prepare an EIS</w:t>
            </w:r>
            <w:r w:rsidR="0033255A">
              <w:rPr>
                <w:noProof/>
                <w:webHidden/>
              </w:rPr>
              <w:tab/>
            </w:r>
            <w:r w:rsidR="0033255A">
              <w:rPr>
                <w:noProof/>
                <w:webHidden/>
              </w:rPr>
              <w:fldChar w:fldCharType="begin"/>
            </w:r>
            <w:r w:rsidR="0033255A">
              <w:rPr>
                <w:noProof/>
                <w:webHidden/>
              </w:rPr>
              <w:instrText xml:space="preserve"> PAGEREF _Toc148104502 \h </w:instrText>
            </w:r>
            <w:r w:rsidR="0033255A">
              <w:rPr>
                <w:noProof/>
                <w:webHidden/>
              </w:rPr>
            </w:r>
            <w:r w:rsidR="0033255A">
              <w:rPr>
                <w:noProof/>
                <w:webHidden/>
              </w:rPr>
              <w:fldChar w:fldCharType="separate"/>
            </w:r>
            <w:r w:rsidR="00445B1F">
              <w:rPr>
                <w:noProof/>
                <w:webHidden/>
              </w:rPr>
              <w:t>3</w:t>
            </w:r>
            <w:r w:rsidR="0033255A">
              <w:rPr>
                <w:noProof/>
                <w:webHidden/>
              </w:rPr>
              <w:fldChar w:fldCharType="end"/>
            </w:r>
          </w:hyperlink>
        </w:p>
        <w:p w14:paraId="71E8DC54" w14:textId="4642DAF6" w:rsidR="0033255A" w:rsidRDefault="009359C2" w:rsidP="006C5D82">
          <w:pPr>
            <w:pStyle w:val="TOC1"/>
            <w:tabs>
              <w:tab w:val="right" w:leader="dot" w:pos="10070"/>
            </w:tabs>
            <w:rPr>
              <w:rFonts w:asciiTheme="minorHAnsi" w:eastAsiaTheme="minorEastAsia" w:hAnsiTheme="minorHAnsi" w:cstheme="minorBidi"/>
              <w:noProof/>
              <w:kern w:val="2"/>
              <w:szCs w:val="22"/>
              <w14:ligatures w14:val="standardContextual"/>
            </w:rPr>
          </w:pPr>
          <w:hyperlink w:anchor="_Toc148104503" w:history="1">
            <w:r w:rsidR="0033255A" w:rsidRPr="00D022AA">
              <w:rPr>
                <w:rStyle w:val="Hyperlink"/>
                <w:noProof/>
              </w:rPr>
              <w:t>III.  NEPA’s intensity factors require an EIS</w:t>
            </w:r>
            <w:r w:rsidR="0033255A">
              <w:rPr>
                <w:noProof/>
                <w:webHidden/>
              </w:rPr>
              <w:tab/>
            </w:r>
            <w:r w:rsidR="0033255A">
              <w:rPr>
                <w:noProof/>
                <w:webHidden/>
              </w:rPr>
              <w:fldChar w:fldCharType="begin"/>
            </w:r>
            <w:r w:rsidR="0033255A">
              <w:rPr>
                <w:noProof/>
                <w:webHidden/>
              </w:rPr>
              <w:instrText xml:space="preserve"> PAGEREF _Toc148104503 \h </w:instrText>
            </w:r>
            <w:r w:rsidR="0033255A">
              <w:rPr>
                <w:noProof/>
                <w:webHidden/>
              </w:rPr>
            </w:r>
            <w:r w:rsidR="0033255A">
              <w:rPr>
                <w:noProof/>
                <w:webHidden/>
              </w:rPr>
              <w:fldChar w:fldCharType="separate"/>
            </w:r>
            <w:r w:rsidR="00445B1F">
              <w:rPr>
                <w:noProof/>
                <w:webHidden/>
              </w:rPr>
              <w:t>5</w:t>
            </w:r>
            <w:r w:rsidR="0033255A">
              <w:rPr>
                <w:noProof/>
                <w:webHidden/>
              </w:rPr>
              <w:fldChar w:fldCharType="end"/>
            </w:r>
          </w:hyperlink>
        </w:p>
        <w:p w14:paraId="0D59839F" w14:textId="4FC16A40" w:rsidR="0033255A" w:rsidRDefault="009359C2" w:rsidP="006C5D82">
          <w:pPr>
            <w:pStyle w:val="TOC2"/>
            <w:tabs>
              <w:tab w:val="right" w:leader="dot" w:pos="10070"/>
            </w:tabs>
            <w:rPr>
              <w:rFonts w:asciiTheme="minorHAnsi" w:eastAsiaTheme="minorEastAsia" w:hAnsiTheme="minorHAnsi" w:cstheme="minorBidi"/>
              <w:noProof/>
              <w:kern w:val="2"/>
              <w:szCs w:val="22"/>
              <w14:ligatures w14:val="standardContextual"/>
            </w:rPr>
          </w:pPr>
          <w:hyperlink w:anchor="_Toc148104504" w:history="1">
            <w:r w:rsidR="0033255A" w:rsidRPr="00D022AA">
              <w:rPr>
                <w:rStyle w:val="Hyperlink"/>
                <w:noProof/>
              </w:rPr>
              <w:t>A. The project entails unique or unknown risks to wildlife</w:t>
            </w:r>
            <w:r w:rsidR="0033255A">
              <w:rPr>
                <w:noProof/>
                <w:webHidden/>
              </w:rPr>
              <w:tab/>
            </w:r>
            <w:r w:rsidR="0033255A">
              <w:rPr>
                <w:noProof/>
                <w:webHidden/>
              </w:rPr>
              <w:fldChar w:fldCharType="begin"/>
            </w:r>
            <w:r w:rsidR="0033255A">
              <w:rPr>
                <w:noProof/>
                <w:webHidden/>
              </w:rPr>
              <w:instrText xml:space="preserve"> PAGEREF _Toc148104504 \h </w:instrText>
            </w:r>
            <w:r w:rsidR="0033255A">
              <w:rPr>
                <w:noProof/>
                <w:webHidden/>
              </w:rPr>
            </w:r>
            <w:r w:rsidR="0033255A">
              <w:rPr>
                <w:noProof/>
                <w:webHidden/>
              </w:rPr>
              <w:fldChar w:fldCharType="separate"/>
            </w:r>
            <w:r w:rsidR="00445B1F">
              <w:rPr>
                <w:noProof/>
                <w:webHidden/>
              </w:rPr>
              <w:t>6</w:t>
            </w:r>
            <w:r w:rsidR="0033255A">
              <w:rPr>
                <w:noProof/>
                <w:webHidden/>
              </w:rPr>
              <w:fldChar w:fldCharType="end"/>
            </w:r>
          </w:hyperlink>
        </w:p>
        <w:p w14:paraId="3E1B1D0A" w14:textId="633E38B6" w:rsidR="0033255A" w:rsidRDefault="009359C2" w:rsidP="006C5D82">
          <w:pPr>
            <w:pStyle w:val="TOC3"/>
            <w:tabs>
              <w:tab w:val="left" w:pos="1320"/>
              <w:tab w:val="right" w:leader="dot" w:pos="10070"/>
            </w:tabs>
            <w:rPr>
              <w:rFonts w:asciiTheme="minorHAnsi" w:eastAsiaTheme="minorEastAsia" w:hAnsiTheme="minorHAnsi" w:cstheme="minorBidi"/>
              <w:noProof/>
              <w:kern w:val="2"/>
              <w:szCs w:val="22"/>
              <w14:ligatures w14:val="standardContextual"/>
            </w:rPr>
          </w:pPr>
          <w:hyperlink w:anchor="_Toc148104505" w:history="1">
            <w:r w:rsidR="0033255A" w:rsidRPr="00D022AA">
              <w:rPr>
                <w:rStyle w:val="Hyperlink"/>
                <w:noProof/>
              </w:rPr>
              <w:t>1.</w:t>
            </w:r>
            <w:r w:rsidR="0033255A">
              <w:rPr>
                <w:rFonts w:asciiTheme="minorHAnsi" w:eastAsiaTheme="minorEastAsia" w:hAnsiTheme="minorHAnsi" w:cstheme="minorBidi"/>
                <w:noProof/>
                <w:kern w:val="2"/>
                <w:szCs w:val="22"/>
                <w14:ligatures w14:val="standardContextual"/>
              </w:rPr>
              <w:tab/>
            </w:r>
            <w:r w:rsidR="0033255A" w:rsidRPr="00D022AA">
              <w:rPr>
                <w:rStyle w:val="Hyperlink"/>
                <w:noProof/>
              </w:rPr>
              <w:t>Clearcutting is controversial and entails unknown long-term risks</w:t>
            </w:r>
            <w:r w:rsidR="0033255A">
              <w:rPr>
                <w:noProof/>
                <w:webHidden/>
              </w:rPr>
              <w:tab/>
            </w:r>
            <w:r w:rsidR="0033255A">
              <w:rPr>
                <w:noProof/>
                <w:webHidden/>
              </w:rPr>
              <w:fldChar w:fldCharType="begin"/>
            </w:r>
            <w:r w:rsidR="0033255A">
              <w:rPr>
                <w:noProof/>
                <w:webHidden/>
              </w:rPr>
              <w:instrText xml:space="preserve"> PAGEREF _Toc148104505 \h </w:instrText>
            </w:r>
            <w:r w:rsidR="0033255A">
              <w:rPr>
                <w:noProof/>
                <w:webHidden/>
              </w:rPr>
            </w:r>
            <w:r w:rsidR="0033255A">
              <w:rPr>
                <w:noProof/>
                <w:webHidden/>
              </w:rPr>
              <w:fldChar w:fldCharType="separate"/>
            </w:r>
            <w:r w:rsidR="00445B1F">
              <w:rPr>
                <w:noProof/>
                <w:webHidden/>
              </w:rPr>
              <w:t>6</w:t>
            </w:r>
            <w:r w:rsidR="0033255A">
              <w:rPr>
                <w:noProof/>
                <w:webHidden/>
              </w:rPr>
              <w:fldChar w:fldCharType="end"/>
            </w:r>
          </w:hyperlink>
        </w:p>
        <w:p w14:paraId="3135DDE7" w14:textId="33A16B1D" w:rsidR="0033255A" w:rsidRDefault="009359C2" w:rsidP="006C5D82">
          <w:pPr>
            <w:pStyle w:val="TOC3"/>
            <w:tabs>
              <w:tab w:val="left" w:pos="1320"/>
              <w:tab w:val="right" w:leader="dot" w:pos="10070"/>
            </w:tabs>
            <w:rPr>
              <w:rFonts w:asciiTheme="minorHAnsi" w:eastAsiaTheme="minorEastAsia" w:hAnsiTheme="minorHAnsi" w:cstheme="minorBidi"/>
              <w:noProof/>
              <w:kern w:val="2"/>
              <w:szCs w:val="22"/>
              <w14:ligatures w14:val="standardContextual"/>
            </w:rPr>
          </w:pPr>
          <w:hyperlink w:anchor="_Toc148104506" w:history="1">
            <w:r w:rsidR="0033255A" w:rsidRPr="00D022AA">
              <w:rPr>
                <w:rStyle w:val="Hyperlink"/>
                <w:noProof/>
              </w:rPr>
              <w:t>2.</w:t>
            </w:r>
            <w:r w:rsidR="0033255A">
              <w:rPr>
                <w:rFonts w:asciiTheme="minorHAnsi" w:eastAsiaTheme="minorEastAsia" w:hAnsiTheme="minorHAnsi" w:cstheme="minorBidi"/>
                <w:noProof/>
                <w:kern w:val="2"/>
                <w:szCs w:val="22"/>
                <w14:ligatures w14:val="standardContextual"/>
              </w:rPr>
              <w:tab/>
            </w:r>
            <w:r w:rsidR="0033255A" w:rsidRPr="00D022AA">
              <w:rPr>
                <w:rStyle w:val="Hyperlink"/>
                <w:noProof/>
              </w:rPr>
              <w:t>Setting back succession poses adverse long-term impacts to deer</w:t>
            </w:r>
            <w:r w:rsidR="0033255A">
              <w:rPr>
                <w:noProof/>
                <w:webHidden/>
              </w:rPr>
              <w:tab/>
            </w:r>
            <w:r w:rsidR="0033255A">
              <w:rPr>
                <w:noProof/>
                <w:webHidden/>
              </w:rPr>
              <w:fldChar w:fldCharType="begin"/>
            </w:r>
            <w:r w:rsidR="0033255A">
              <w:rPr>
                <w:noProof/>
                <w:webHidden/>
              </w:rPr>
              <w:instrText xml:space="preserve"> PAGEREF _Toc148104506 \h </w:instrText>
            </w:r>
            <w:r w:rsidR="0033255A">
              <w:rPr>
                <w:noProof/>
                <w:webHidden/>
              </w:rPr>
            </w:r>
            <w:r w:rsidR="0033255A">
              <w:rPr>
                <w:noProof/>
                <w:webHidden/>
              </w:rPr>
              <w:fldChar w:fldCharType="separate"/>
            </w:r>
            <w:r w:rsidR="00445B1F">
              <w:rPr>
                <w:noProof/>
                <w:webHidden/>
              </w:rPr>
              <w:t>8</w:t>
            </w:r>
            <w:r w:rsidR="0033255A">
              <w:rPr>
                <w:noProof/>
                <w:webHidden/>
              </w:rPr>
              <w:fldChar w:fldCharType="end"/>
            </w:r>
          </w:hyperlink>
        </w:p>
        <w:p w14:paraId="7A8EB584" w14:textId="07ACD97D" w:rsidR="0033255A" w:rsidRDefault="009359C2" w:rsidP="006C5D82">
          <w:pPr>
            <w:pStyle w:val="TOC3"/>
            <w:tabs>
              <w:tab w:val="right" w:leader="dot" w:pos="10070"/>
            </w:tabs>
            <w:rPr>
              <w:rFonts w:asciiTheme="minorHAnsi" w:eastAsiaTheme="minorEastAsia" w:hAnsiTheme="minorHAnsi" w:cstheme="minorBidi"/>
              <w:noProof/>
              <w:kern w:val="2"/>
              <w:szCs w:val="22"/>
              <w14:ligatures w14:val="standardContextual"/>
            </w:rPr>
          </w:pPr>
          <w:hyperlink w:anchor="_Toc148104507" w:history="1">
            <w:r w:rsidR="0033255A" w:rsidRPr="00D022AA">
              <w:rPr>
                <w:rStyle w:val="Hyperlink"/>
                <w:noProof/>
              </w:rPr>
              <w:t>3. Succession debt also poses risks to apex predators</w:t>
            </w:r>
            <w:r w:rsidR="0033255A">
              <w:rPr>
                <w:noProof/>
                <w:webHidden/>
              </w:rPr>
              <w:tab/>
            </w:r>
            <w:r w:rsidR="0033255A">
              <w:rPr>
                <w:noProof/>
                <w:webHidden/>
              </w:rPr>
              <w:fldChar w:fldCharType="begin"/>
            </w:r>
            <w:r w:rsidR="0033255A">
              <w:rPr>
                <w:noProof/>
                <w:webHidden/>
              </w:rPr>
              <w:instrText xml:space="preserve"> PAGEREF _Toc148104507 \h </w:instrText>
            </w:r>
            <w:r w:rsidR="0033255A">
              <w:rPr>
                <w:noProof/>
                <w:webHidden/>
              </w:rPr>
            </w:r>
            <w:r w:rsidR="0033255A">
              <w:rPr>
                <w:noProof/>
                <w:webHidden/>
              </w:rPr>
              <w:fldChar w:fldCharType="separate"/>
            </w:r>
            <w:r w:rsidR="00445B1F">
              <w:rPr>
                <w:noProof/>
                <w:webHidden/>
              </w:rPr>
              <w:t>10</w:t>
            </w:r>
            <w:r w:rsidR="0033255A">
              <w:rPr>
                <w:noProof/>
                <w:webHidden/>
              </w:rPr>
              <w:fldChar w:fldCharType="end"/>
            </w:r>
          </w:hyperlink>
        </w:p>
        <w:p w14:paraId="4FD6778C" w14:textId="60395D4F" w:rsidR="0033255A" w:rsidRDefault="009359C2" w:rsidP="006C5D82">
          <w:pPr>
            <w:pStyle w:val="TOC3"/>
            <w:tabs>
              <w:tab w:val="right" w:leader="dot" w:pos="10070"/>
            </w:tabs>
            <w:rPr>
              <w:rFonts w:asciiTheme="minorHAnsi" w:eastAsiaTheme="minorEastAsia" w:hAnsiTheme="minorHAnsi" w:cstheme="minorBidi"/>
              <w:noProof/>
              <w:kern w:val="2"/>
              <w:szCs w:val="22"/>
              <w14:ligatures w14:val="standardContextual"/>
            </w:rPr>
          </w:pPr>
          <w:hyperlink w:anchor="_Toc148104508" w:history="1">
            <w:r w:rsidR="0033255A" w:rsidRPr="00D022AA">
              <w:rPr>
                <w:rStyle w:val="Hyperlink"/>
                <w:noProof/>
              </w:rPr>
              <w:t>4.  Maturing second-growth forests provide habitat for Queen Charlotte goshawks</w:t>
            </w:r>
            <w:r w:rsidR="0033255A">
              <w:rPr>
                <w:noProof/>
                <w:webHidden/>
              </w:rPr>
              <w:tab/>
            </w:r>
            <w:r w:rsidR="0033255A">
              <w:rPr>
                <w:noProof/>
                <w:webHidden/>
              </w:rPr>
              <w:fldChar w:fldCharType="begin"/>
            </w:r>
            <w:r w:rsidR="0033255A">
              <w:rPr>
                <w:noProof/>
                <w:webHidden/>
              </w:rPr>
              <w:instrText xml:space="preserve"> PAGEREF _Toc148104508 \h </w:instrText>
            </w:r>
            <w:r w:rsidR="0033255A">
              <w:rPr>
                <w:noProof/>
                <w:webHidden/>
              </w:rPr>
            </w:r>
            <w:r w:rsidR="0033255A">
              <w:rPr>
                <w:noProof/>
                <w:webHidden/>
              </w:rPr>
              <w:fldChar w:fldCharType="separate"/>
            </w:r>
            <w:r w:rsidR="00445B1F">
              <w:rPr>
                <w:noProof/>
                <w:webHidden/>
              </w:rPr>
              <w:t>11</w:t>
            </w:r>
            <w:r w:rsidR="0033255A">
              <w:rPr>
                <w:noProof/>
                <w:webHidden/>
              </w:rPr>
              <w:fldChar w:fldCharType="end"/>
            </w:r>
          </w:hyperlink>
        </w:p>
        <w:p w14:paraId="71B51398" w14:textId="7A8B5C32" w:rsidR="0033255A" w:rsidRDefault="009359C2" w:rsidP="006C5D82">
          <w:pPr>
            <w:pStyle w:val="TOC2"/>
            <w:tabs>
              <w:tab w:val="right" w:leader="dot" w:pos="10070"/>
            </w:tabs>
            <w:rPr>
              <w:rFonts w:asciiTheme="minorHAnsi" w:eastAsiaTheme="minorEastAsia" w:hAnsiTheme="minorHAnsi" w:cstheme="minorBidi"/>
              <w:noProof/>
              <w:kern w:val="2"/>
              <w:szCs w:val="22"/>
              <w14:ligatures w14:val="standardContextual"/>
            </w:rPr>
          </w:pPr>
          <w:hyperlink w:anchor="_Toc148104509" w:history="1">
            <w:r w:rsidR="0033255A" w:rsidRPr="00D022AA">
              <w:rPr>
                <w:rStyle w:val="Hyperlink"/>
                <w:noProof/>
              </w:rPr>
              <w:t>B. The cumulative impacts of logging by multiple landowners in the area requires analysis in an EIS</w:t>
            </w:r>
            <w:r w:rsidR="0033255A">
              <w:rPr>
                <w:noProof/>
                <w:webHidden/>
              </w:rPr>
              <w:tab/>
            </w:r>
            <w:r w:rsidR="0033255A">
              <w:rPr>
                <w:noProof/>
                <w:webHidden/>
              </w:rPr>
              <w:fldChar w:fldCharType="begin"/>
            </w:r>
            <w:r w:rsidR="0033255A">
              <w:rPr>
                <w:noProof/>
                <w:webHidden/>
              </w:rPr>
              <w:instrText xml:space="preserve"> PAGEREF _Toc148104509 \h </w:instrText>
            </w:r>
            <w:r w:rsidR="0033255A">
              <w:rPr>
                <w:noProof/>
                <w:webHidden/>
              </w:rPr>
            </w:r>
            <w:r w:rsidR="0033255A">
              <w:rPr>
                <w:noProof/>
                <w:webHidden/>
              </w:rPr>
              <w:fldChar w:fldCharType="separate"/>
            </w:r>
            <w:r w:rsidR="00445B1F">
              <w:rPr>
                <w:noProof/>
                <w:webHidden/>
              </w:rPr>
              <w:t>12</w:t>
            </w:r>
            <w:r w:rsidR="0033255A">
              <w:rPr>
                <w:noProof/>
                <w:webHidden/>
              </w:rPr>
              <w:fldChar w:fldCharType="end"/>
            </w:r>
          </w:hyperlink>
        </w:p>
        <w:p w14:paraId="4ABD90F9" w14:textId="0AC95137" w:rsidR="0033255A" w:rsidRDefault="009359C2" w:rsidP="006C5D82">
          <w:pPr>
            <w:pStyle w:val="TOC2"/>
            <w:tabs>
              <w:tab w:val="right" w:leader="dot" w:pos="10070"/>
            </w:tabs>
            <w:rPr>
              <w:rFonts w:asciiTheme="minorHAnsi" w:eastAsiaTheme="minorEastAsia" w:hAnsiTheme="minorHAnsi" w:cstheme="minorBidi"/>
              <w:noProof/>
              <w:kern w:val="2"/>
              <w:szCs w:val="22"/>
              <w14:ligatures w14:val="standardContextual"/>
            </w:rPr>
          </w:pPr>
          <w:hyperlink w:anchor="_Toc148104510" w:history="1">
            <w:r w:rsidR="0033255A" w:rsidRPr="00D022AA">
              <w:rPr>
                <w:rStyle w:val="Hyperlink"/>
                <w:noProof/>
              </w:rPr>
              <w:t>C. Intensive second growth logging entails unknown and uncertain risks to recovering watersheds</w:t>
            </w:r>
            <w:r w:rsidR="0033255A">
              <w:rPr>
                <w:noProof/>
                <w:webHidden/>
              </w:rPr>
              <w:tab/>
            </w:r>
            <w:r w:rsidR="0033255A">
              <w:rPr>
                <w:noProof/>
                <w:webHidden/>
              </w:rPr>
              <w:fldChar w:fldCharType="begin"/>
            </w:r>
            <w:r w:rsidR="0033255A">
              <w:rPr>
                <w:noProof/>
                <w:webHidden/>
              </w:rPr>
              <w:instrText xml:space="preserve"> PAGEREF _Toc148104510 \h </w:instrText>
            </w:r>
            <w:r w:rsidR="0033255A">
              <w:rPr>
                <w:noProof/>
                <w:webHidden/>
              </w:rPr>
            </w:r>
            <w:r w:rsidR="0033255A">
              <w:rPr>
                <w:noProof/>
                <w:webHidden/>
              </w:rPr>
              <w:fldChar w:fldCharType="separate"/>
            </w:r>
            <w:r w:rsidR="00445B1F">
              <w:rPr>
                <w:noProof/>
                <w:webHidden/>
              </w:rPr>
              <w:t>13</w:t>
            </w:r>
            <w:r w:rsidR="0033255A">
              <w:rPr>
                <w:noProof/>
                <w:webHidden/>
              </w:rPr>
              <w:fldChar w:fldCharType="end"/>
            </w:r>
          </w:hyperlink>
        </w:p>
        <w:p w14:paraId="656F89E1" w14:textId="32E710B7" w:rsidR="0033255A" w:rsidRDefault="009359C2" w:rsidP="006C5D82">
          <w:pPr>
            <w:pStyle w:val="TOC1"/>
            <w:tabs>
              <w:tab w:val="right" w:leader="dot" w:pos="10070"/>
            </w:tabs>
            <w:rPr>
              <w:rFonts w:asciiTheme="minorHAnsi" w:eastAsiaTheme="minorEastAsia" w:hAnsiTheme="minorHAnsi" w:cstheme="minorBidi"/>
              <w:noProof/>
              <w:kern w:val="2"/>
              <w:szCs w:val="22"/>
              <w14:ligatures w14:val="standardContextual"/>
            </w:rPr>
          </w:pPr>
          <w:hyperlink w:anchor="_Toc148104511" w:history="1">
            <w:r w:rsidR="0033255A" w:rsidRPr="00D022AA">
              <w:rPr>
                <w:rStyle w:val="Hyperlink"/>
                <w:noProof/>
              </w:rPr>
              <w:t>IV.  Comments on the Purpose and Need and Range of Alternatives</w:t>
            </w:r>
            <w:r w:rsidR="0033255A">
              <w:rPr>
                <w:noProof/>
                <w:webHidden/>
              </w:rPr>
              <w:tab/>
            </w:r>
            <w:r w:rsidR="0033255A">
              <w:rPr>
                <w:noProof/>
                <w:webHidden/>
              </w:rPr>
              <w:fldChar w:fldCharType="begin"/>
            </w:r>
            <w:r w:rsidR="0033255A">
              <w:rPr>
                <w:noProof/>
                <w:webHidden/>
              </w:rPr>
              <w:instrText xml:space="preserve"> PAGEREF _Toc148104511 \h </w:instrText>
            </w:r>
            <w:r w:rsidR="0033255A">
              <w:rPr>
                <w:noProof/>
                <w:webHidden/>
              </w:rPr>
            </w:r>
            <w:r w:rsidR="0033255A">
              <w:rPr>
                <w:noProof/>
                <w:webHidden/>
              </w:rPr>
              <w:fldChar w:fldCharType="separate"/>
            </w:r>
            <w:r w:rsidR="00445B1F">
              <w:rPr>
                <w:noProof/>
                <w:webHidden/>
              </w:rPr>
              <w:t>15</w:t>
            </w:r>
            <w:r w:rsidR="0033255A">
              <w:rPr>
                <w:noProof/>
                <w:webHidden/>
              </w:rPr>
              <w:fldChar w:fldCharType="end"/>
            </w:r>
          </w:hyperlink>
        </w:p>
        <w:p w14:paraId="03096C63" w14:textId="0D91CD0C" w:rsidR="0033255A" w:rsidRDefault="009359C2" w:rsidP="006C5D82">
          <w:pPr>
            <w:pStyle w:val="TOC2"/>
            <w:tabs>
              <w:tab w:val="right" w:leader="dot" w:pos="10070"/>
            </w:tabs>
            <w:rPr>
              <w:rFonts w:asciiTheme="minorHAnsi" w:eastAsiaTheme="minorEastAsia" w:hAnsiTheme="minorHAnsi" w:cstheme="minorBidi"/>
              <w:noProof/>
              <w:kern w:val="2"/>
              <w:szCs w:val="22"/>
              <w14:ligatures w14:val="standardContextual"/>
            </w:rPr>
          </w:pPr>
          <w:hyperlink w:anchor="_Toc148104512" w:history="1">
            <w:r w:rsidR="0033255A" w:rsidRPr="00D022AA">
              <w:rPr>
                <w:rStyle w:val="Hyperlink"/>
                <w:noProof/>
              </w:rPr>
              <w:t>A.  Comments on the Purpose and Need</w:t>
            </w:r>
            <w:r w:rsidR="0033255A">
              <w:rPr>
                <w:noProof/>
                <w:webHidden/>
              </w:rPr>
              <w:tab/>
            </w:r>
            <w:r w:rsidR="0033255A">
              <w:rPr>
                <w:noProof/>
                <w:webHidden/>
              </w:rPr>
              <w:fldChar w:fldCharType="begin"/>
            </w:r>
            <w:r w:rsidR="0033255A">
              <w:rPr>
                <w:noProof/>
                <w:webHidden/>
              </w:rPr>
              <w:instrText xml:space="preserve"> PAGEREF _Toc148104512 \h </w:instrText>
            </w:r>
            <w:r w:rsidR="0033255A">
              <w:rPr>
                <w:noProof/>
                <w:webHidden/>
              </w:rPr>
            </w:r>
            <w:r w:rsidR="0033255A">
              <w:rPr>
                <w:noProof/>
                <w:webHidden/>
              </w:rPr>
              <w:fldChar w:fldCharType="separate"/>
            </w:r>
            <w:r w:rsidR="00445B1F">
              <w:rPr>
                <w:noProof/>
                <w:webHidden/>
              </w:rPr>
              <w:t>15</w:t>
            </w:r>
            <w:r w:rsidR="0033255A">
              <w:rPr>
                <w:noProof/>
                <w:webHidden/>
              </w:rPr>
              <w:fldChar w:fldCharType="end"/>
            </w:r>
          </w:hyperlink>
        </w:p>
        <w:p w14:paraId="1B8FB7CE" w14:textId="552714D4" w:rsidR="0033255A" w:rsidRDefault="009359C2" w:rsidP="006C5D82">
          <w:pPr>
            <w:pStyle w:val="TOC2"/>
            <w:tabs>
              <w:tab w:val="right" w:leader="dot" w:pos="10070"/>
            </w:tabs>
            <w:rPr>
              <w:rFonts w:asciiTheme="minorHAnsi" w:eastAsiaTheme="minorEastAsia" w:hAnsiTheme="minorHAnsi" w:cstheme="minorBidi"/>
              <w:noProof/>
              <w:kern w:val="2"/>
              <w:szCs w:val="22"/>
              <w14:ligatures w14:val="standardContextual"/>
            </w:rPr>
          </w:pPr>
          <w:hyperlink w:anchor="_Toc148104513" w:history="1">
            <w:r w:rsidR="0033255A" w:rsidRPr="00D022AA">
              <w:rPr>
                <w:rStyle w:val="Hyperlink"/>
                <w:noProof/>
              </w:rPr>
              <w:t>B. NEPA requires a broader range of alternatives</w:t>
            </w:r>
            <w:r w:rsidR="0033255A">
              <w:rPr>
                <w:noProof/>
                <w:webHidden/>
              </w:rPr>
              <w:tab/>
            </w:r>
            <w:r w:rsidR="0033255A">
              <w:rPr>
                <w:noProof/>
                <w:webHidden/>
              </w:rPr>
              <w:fldChar w:fldCharType="begin"/>
            </w:r>
            <w:r w:rsidR="0033255A">
              <w:rPr>
                <w:noProof/>
                <w:webHidden/>
              </w:rPr>
              <w:instrText xml:space="preserve"> PAGEREF _Toc148104513 \h </w:instrText>
            </w:r>
            <w:r w:rsidR="0033255A">
              <w:rPr>
                <w:noProof/>
                <w:webHidden/>
              </w:rPr>
            </w:r>
            <w:r w:rsidR="0033255A">
              <w:rPr>
                <w:noProof/>
                <w:webHidden/>
              </w:rPr>
              <w:fldChar w:fldCharType="separate"/>
            </w:r>
            <w:r w:rsidR="00445B1F">
              <w:rPr>
                <w:noProof/>
                <w:webHidden/>
              </w:rPr>
              <w:t>17</w:t>
            </w:r>
            <w:r w:rsidR="0033255A">
              <w:rPr>
                <w:noProof/>
                <w:webHidden/>
              </w:rPr>
              <w:fldChar w:fldCharType="end"/>
            </w:r>
          </w:hyperlink>
        </w:p>
        <w:p w14:paraId="738B2942" w14:textId="32679E77" w:rsidR="0033255A" w:rsidRDefault="009359C2" w:rsidP="006C5D82">
          <w:pPr>
            <w:pStyle w:val="TOC1"/>
            <w:tabs>
              <w:tab w:val="right" w:leader="dot" w:pos="10070"/>
            </w:tabs>
            <w:rPr>
              <w:rFonts w:asciiTheme="minorHAnsi" w:eastAsiaTheme="minorEastAsia" w:hAnsiTheme="minorHAnsi" w:cstheme="minorBidi"/>
              <w:noProof/>
              <w:kern w:val="2"/>
              <w:szCs w:val="22"/>
              <w14:ligatures w14:val="standardContextual"/>
            </w:rPr>
          </w:pPr>
          <w:hyperlink w:anchor="_Toc148104514" w:history="1">
            <w:r w:rsidR="0033255A" w:rsidRPr="00D022AA">
              <w:rPr>
                <w:rStyle w:val="Hyperlink"/>
                <w:noProof/>
              </w:rPr>
              <w:t>V.  Conclusion:  Cancel clearcutting and protect late successional forests</w:t>
            </w:r>
            <w:r w:rsidR="0033255A">
              <w:rPr>
                <w:noProof/>
                <w:webHidden/>
              </w:rPr>
              <w:tab/>
            </w:r>
            <w:r w:rsidR="0033255A">
              <w:rPr>
                <w:noProof/>
                <w:webHidden/>
              </w:rPr>
              <w:fldChar w:fldCharType="begin"/>
            </w:r>
            <w:r w:rsidR="0033255A">
              <w:rPr>
                <w:noProof/>
                <w:webHidden/>
              </w:rPr>
              <w:instrText xml:space="preserve"> PAGEREF _Toc148104514 \h </w:instrText>
            </w:r>
            <w:r w:rsidR="0033255A">
              <w:rPr>
                <w:noProof/>
                <w:webHidden/>
              </w:rPr>
            </w:r>
            <w:r w:rsidR="0033255A">
              <w:rPr>
                <w:noProof/>
                <w:webHidden/>
              </w:rPr>
              <w:fldChar w:fldCharType="separate"/>
            </w:r>
            <w:r w:rsidR="00445B1F">
              <w:rPr>
                <w:noProof/>
                <w:webHidden/>
              </w:rPr>
              <w:t>19</w:t>
            </w:r>
            <w:r w:rsidR="0033255A">
              <w:rPr>
                <w:noProof/>
                <w:webHidden/>
              </w:rPr>
              <w:fldChar w:fldCharType="end"/>
            </w:r>
          </w:hyperlink>
        </w:p>
        <w:p w14:paraId="65E0E1BF" w14:textId="4C371BD0" w:rsidR="0033255A" w:rsidRPr="0033255A" w:rsidRDefault="0033255A" w:rsidP="006C5D82">
          <w:r>
            <w:rPr>
              <w:b/>
              <w:bCs/>
              <w:noProof/>
            </w:rPr>
            <w:fldChar w:fldCharType="end"/>
          </w:r>
        </w:p>
      </w:sdtContent>
    </w:sdt>
    <w:p w14:paraId="5C18416A" w14:textId="77777777" w:rsidR="00BF73BE" w:rsidRPr="00730C0D" w:rsidRDefault="00BF73BE" w:rsidP="006C5D82">
      <w:pPr>
        <w:pStyle w:val="Heading1"/>
        <w:spacing w:before="120" w:after="0"/>
        <w:ind w:left="0" w:firstLine="0"/>
      </w:pPr>
      <w:bookmarkStart w:id="0" w:name="_Toc148104501"/>
      <w:r>
        <w:t>I.   Introduction</w:t>
      </w:r>
      <w:bookmarkEnd w:id="0"/>
    </w:p>
    <w:p w14:paraId="429355CD" w14:textId="7A7231B2" w:rsidR="00577440" w:rsidRPr="003824B6" w:rsidRDefault="00BF73BE" w:rsidP="006C5D82">
      <w:pPr>
        <w:widowControl w:val="0"/>
        <w:autoSpaceDE w:val="0"/>
        <w:autoSpaceDN w:val="0"/>
        <w:adjustRightInd w:val="0"/>
        <w:ind w:firstLine="720"/>
        <w:rPr>
          <w:sz w:val="24"/>
          <w:lang w:bidi="en-US"/>
        </w:rPr>
      </w:pPr>
      <w:r w:rsidRPr="003824B6">
        <w:rPr>
          <w:sz w:val="24"/>
        </w:rPr>
        <w:t>Our major concerns about this project pertain to adverse impacts to wildlife and fish and further loss of socio-economic benefits</w:t>
      </w:r>
      <w:r w:rsidR="00BD5E7A">
        <w:rPr>
          <w:sz w:val="24"/>
        </w:rPr>
        <w:t xml:space="preserve"> and ecosystem services</w:t>
      </w:r>
      <w:r w:rsidRPr="003824B6">
        <w:rPr>
          <w:sz w:val="24"/>
        </w:rPr>
        <w:t xml:space="preserve"> resulting from the proposal to implement short-rotation clearcut harvests for recovering second-growth forests.  The second-growth clearcut</w:t>
      </w:r>
      <w:r w:rsidR="003B380A">
        <w:rPr>
          <w:sz w:val="24"/>
        </w:rPr>
        <w:t>s</w:t>
      </w:r>
      <w:r w:rsidRPr="003824B6">
        <w:rPr>
          <w:sz w:val="24"/>
        </w:rPr>
        <w:t xml:space="preserve"> will prevent those recovering forests from achieving old-growth characteristics, and reduce long-term habitat values for wildlife by prolonging the stem exclusion phase of forest succession.  W</w:t>
      </w:r>
      <w:r w:rsidRPr="003824B6">
        <w:rPr>
          <w:sz w:val="24"/>
          <w:lang w:bidi="en-US"/>
        </w:rPr>
        <w:t>inter deer habitat and project area watersheds have already been seriously impacted due to past industrial scale logging. Any additional impacts to remaining habitat, even if of lesser quality, will exacerbate an already bad situation for deer, wolves and hunters, harm forest dependent species such as goshawks, and pose unjustifiable risks to project area watersheds and fishery values.</w:t>
      </w:r>
      <w:r w:rsidR="00BD5E7A">
        <w:rPr>
          <w:sz w:val="24"/>
          <w:lang w:bidi="en-US"/>
        </w:rPr>
        <w:t xml:space="preserve"> </w:t>
      </w:r>
      <w:r w:rsidR="008D1EF6">
        <w:rPr>
          <w:sz w:val="24"/>
          <w:lang w:bidi="en-US"/>
        </w:rPr>
        <w:t xml:space="preserve">As </w:t>
      </w:r>
      <w:r w:rsidR="001B0863">
        <w:rPr>
          <w:sz w:val="24"/>
          <w:lang w:bidi="en-US"/>
        </w:rPr>
        <w:t xml:space="preserve">currently </w:t>
      </w:r>
      <w:r w:rsidR="008D1EF6">
        <w:rPr>
          <w:sz w:val="24"/>
          <w:lang w:bidi="en-US"/>
        </w:rPr>
        <w:t>planned, the project will sacrifice m</w:t>
      </w:r>
      <w:r w:rsidR="00BD5E7A">
        <w:rPr>
          <w:sz w:val="24"/>
          <w:lang w:bidi="en-US"/>
        </w:rPr>
        <w:t xml:space="preserve">aturing forests </w:t>
      </w:r>
      <w:r w:rsidR="00942792">
        <w:rPr>
          <w:sz w:val="24"/>
          <w:lang w:bidi="en-US"/>
        </w:rPr>
        <w:t>that have</w:t>
      </w:r>
      <w:r w:rsidR="00BD5E7A">
        <w:rPr>
          <w:sz w:val="24"/>
          <w:lang w:bidi="en-US"/>
        </w:rPr>
        <w:t xml:space="preserve"> high carbon sequestration potential and currently stored carbon.</w:t>
      </w:r>
      <w:r w:rsidRPr="003824B6">
        <w:rPr>
          <w:sz w:val="24"/>
          <w:lang w:bidi="en-US"/>
        </w:rPr>
        <w:t xml:space="preserve"> We request the </w:t>
      </w:r>
      <w:r w:rsidR="002762F6">
        <w:rPr>
          <w:sz w:val="24"/>
          <w:lang w:bidi="en-US"/>
        </w:rPr>
        <w:t>agency</w:t>
      </w:r>
      <w:r w:rsidRPr="003824B6">
        <w:rPr>
          <w:sz w:val="24"/>
          <w:lang w:bidi="en-US"/>
        </w:rPr>
        <w:t xml:space="preserve"> provide detailed analysis regarding the following broad categories:</w:t>
      </w:r>
    </w:p>
    <w:p w14:paraId="7B326C27" w14:textId="23A29DFF" w:rsidR="00BF73BE" w:rsidRDefault="00BF73BE" w:rsidP="009359C2">
      <w:pPr>
        <w:widowControl w:val="0"/>
        <w:numPr>
          <w:ilvl w:val="0"/>
          <w:numId w:val="2"/>
        </w:numPr>
        <w:autoSpaceDE w:val="0"/>
        <w:autoSpaceDN w:val="0"/>
        <w:adjustRightInd w:val="0"/>
        <w:spacing w:before="60"/>
        <w:rPr>
          <w:sz w:val="24"/>
          <w:lang w:bidi="en-US"/>
        </w:rPr>
      </w:pPr>
      <w:r w:rsidRPr="003824B6">
        <w:rPr>
          <w:sz w:val="24"/>
          <w:lang w:bidi="en-US"/>
        </w:rPr>
        <w:t>Evaluate and disclose significant adverse environmental impacts to wildlife associated with the second-growth logging plan for the project area including long-term impacts caused by delaying forest succession;</w:t>
      </w:r>
    </w:p>
    <w:p w14:paraId="586C1A10" w14:textId="383C5EE3" w:rsidR="00BF73BE" w:rsidRPr="003824B6" w:rsidRDefault="00BF73BE" w:rsidP="009359C2">
      <w:pPr>
        <w:widowControl w:val="0"/>
        <w:numPr>
          <w:ilvl w:val="0"/>
          <w:numId w:val="2"/>
        </w:numPr>
        <w:autoSpaceDE w:val="0"/>
        <w:autoSpaceDN w:val="0"/>
        <w:adjustRightInd w:val="0"/>
        <w:spacing w:before="60"/>
        <w:rPr>
          <w:sz w:val="24"/>
          <w:lang w:bidi="en-US"/>
        </w:rPr>
      </w:pPr>
      <w:r w:rsidRPr="003824B6">
        <w:rPr>
          <w:sz w:val="24"/>
          <w:lang w:bidi="en-US"/>
        </w:rPr>
        <w:t xml:space="preserve">Take a </w:t>
      </w:r>
      <w:r w:rsidRPr="006616FD">
        <w:rPr>
          <w:i/>
          <w:sz w:val="24"/>
          <w:lang w:bidi="en-US"/>
        </w:rPr>
        <w:t>hard loo</w:t>
      </w:r>
      <w:r w:rsidRPr="003824B6">
        <w:rPr>
          <w:sz w:val="24"/>
          <w:lang w:bidi="en-US"/>
        </w:rPr>
        <w:t>k at impacts to aquatic habitat and fish populations given the cumulative risks of climate change and short-rotation timber management, which prevents watershed recovery;</w:t>
      </w:r>
    </w:p>
    <w:p w14:paraId="5B44596F" w14:textId="7FAAE397" w:rsidR="00EC2507" w:rsidRPr="00EC2507" w:rsidRDefault="00BF73BE" w:rsidP="009359C2">
      <w:pPr>
        <w:widowControl w:val="0"/>
        <w:numPr>
          <w:ilvl w:val="0"/>
          <w:numId w:val="2"/>
        </w:numPr>
        <w:autoSpaceDE w:val="0"/>
        <w:autoSpaceDN w:val="0"/>
        <w:adjustRightInd w:val="0"/>
        <w:spacing w:before="60"/>
        <w:rPr>
          <w:sz w:val="24"/>
          <w:lang w:bidi="en-US"/>
        </w:rPr>
      </w:pPr>
      <w:r w:rsidRPr="003824B6">
        <w:rPr>
          <w:sz w:val="24"/>
          <w:lang w:bidi="en-US"/>
        </w:rPr>
        <w:t>Consider the extent to which this project establishes a precedent for short-rotation management of federally-owned recovering forestlands that favors</w:t>
      </w:r>
      <w:r w:rsidR="00BD5E7A">
        <w:rPr>
          <w:sz w:val="24"/>
          <w:lang w:bidi="en-US"/>
        </w:rPr>
        <w:t xml:space="preserve"> </w:t>
      </w:r>
      <w:r w:rsidR="00BD5E7A">
        <w:rPr>
          <w:sz w:val="24"/>
          <w:lang w:bidi="en-US"/>
        </w:rPr>
        <w:lastRenderedPageBreak/>
        <w:t xml:space="preserve">raw log </w:t>
      </w:r>
      <w:r w:rsidRPr="003824B6">
        <w:rPr>
          <w:sz w:val="24"/>
          <w:lang w:bidi="en-US"/>
        </w:rPr>
        <w:t>exporters over small local mills and recreation providers.</w:t>
      </w:r>
    </w:p>
    <w:p w14:paraId="6827DDAD" w14:textId="77777777" w:rsidR="00EC2507" w:rsidRDefault="00EC2507" w:rsidP="006C5D82">
      <w:pPr>
        <w:pStyle w:val="Heading1"/>
        <w:spacing w:before="120" w:after="0"/>
      </w:pPr>
      <w:bookmarkStart w:id="1" w:name="_Toc148104502"/>
      <w:r>
        <w:t>II.  The Forest Service should re-scope this project and prepare an EIS</w:t>
      </w:r>
      <w:bookmarkEnd w:id="1"/>
    </w:p>
    <w:p w14:paraId="5C701455" w14:textId="3B169A06" w:rsidR="00EC2507" w:rsidRDefault="00EC2507" w:rsidP="006C5D82">
      <w:pPr>
        <w:ind w:firstLine="720"/>
        <w:rPr>
          <w:sz w:val="24"/>
        </w:rPr>
      </w:pPr>
      <w:r w:rsidRPr="00946B65">
        <w:rPr>
          <w:sz w:val="24"/>
        </w:rPr>
        <w:t>We request that you restart the scoping process and publish a Notice of Intent to prepare a full EIS prior to any further planning on the project.</w:t>
      </w:r>
      <w:r w:rsidRPr="00946B65">
        <w:rPr>
          <w:sz w:val="24"/>
          <w:lang w:bidi="en-US"/>
        </w:rPr>
        <w:t xml:space="preserve"> </w:t>
      </w:r>
      <w:r w:rsidRPr="00946B65">
        <w:rPr>
          <w:rStyle w:val="FootnoteReference"/>
          <w:sz w:val="24"/>
          <w:lang w:bidi="en-US"/>
        </w:rPr>
        <w:t xml:space="preserve"> </w:t>
      </w:r>
      <w:r w:rsidRPr="00946B65">
        <w:rPr>
          <w:sz w:val="24"/>
        </w:rPr>
        <w:t>NEPA requires federal agencies to analyze the foreseeable environmental impacts, including direct, indirect, and cumulative impacts, of “major Federal actions.”</w:t>
      </w:r>
      <w:r w:rsidRPr="00946B65">
        <w:rPr>
          <w:rStyle w:val="FootnoteReference"/>
          <w:sz w:val="24"/>
        </w:rPr>
        <w:footnoteReference w:id="2"/>
      </w:r>
      <w:r w:rsidRPr="00946B65">
        <w:rPr>
          <w:sz w:val="24"/>
        </w:rPr>
        <w:t xml:space="preserve">   If the action </w:t>
      </w:r>
      <w:r w:rsidRPr="00946B65">
        <w:rPr>
          <w:i/>
          <w:sz w:val="24"/>
        </w:rPr>
        <w:t>may</w:t>
      </w:r>
      <w:r w:rsidRPr="00946B65">
        <w:rPr>
          <w:sz w:val="24"/>
        </w:rPr>
        <w:t xml:space="preserve"> cause degradation of some human environmental factor, the agency must prepare an EIS.</w:t>
      </w:r>
      <w:r w:rsidRPr="00946B65">
        <w:rPr>
          <w:rStyle w:val="FootnoteReference"/>
          <w:sz w:val="24"/>
        </w:rPr>
        <w:footnoteReference w:id="3"/>
      </w:r>
      <w:r w:rsidRPr="00946B65">
        <w:rPr>
          <w:sz w:val="24"/>
        </w:rPr>
        <w:t xml:space="preserve">   In other words, the threshold issue for determining whether or not to prepare an EIS is not whether significant effects </w:t>
      </w:r>
      <w:r w:rsidRPr="006616FD">
        <w:rPr>
          <w:i/>
          <w:sz w:val="24"/>
        </w:rPr>
        <w:t>will</w:t>
      </w:r>
      <w:r w:rsidRPr="00946B65">
        <w:rPr>
          <w:sz w:val="24"/>
        </w:rPr>
        <w:t xml:space="preserve"> in fact occur</w:t>
      </w:r>
      <w:r>
        <w:rPr>
          <w:sz w:val="24"/>
        </w:rPr>
        <w:t>.</w:t>
      </w:r>
      <w:r w:rsidRPr="00946B65">
        <w:rPr>
          <w:sz w:val="24"/>
        </w:rPr>
        <w:t xml:space="preserve"> </w:t>
      </w:r>
      <w:r>
        <w:rPr>
          <w:sz w:val="24"/>
        </w:rPr>
        <w:t xml:space="preserve"> I</w:t>
      </w:r>
      <w:r w:rsidRPr="00946B65">
        <w:rPr>
          <w:sz w:val="24"/>
        </w:rPr>
        <w:t>nstead</w:t>
      </w:r>
      <w:r>
        <w:rPr>
          <w:sz w:val="24"/>
        </w:rPr>
        <w:t xml:space="preserve">, the trigger is </w:t>
      </w:r>
      <w:r w:rsidRPr="006616FD">
        <w:rPr>
          <w:i/>
          <w:sz w:val="24"/>
        </w:rPr>
        <w:t>if there are substantial questions</w:t>
      </w:r>
      <w:r w:rsidRPr="006616FD">
        <w:rPr>
          <w:sz w:val="24"/>
        </w:rPr>
        <w:t xml:space="preserve"> about</w:t>
      </w:r>
      <w:r w:rsidRPr="00946B65">
        <w:rPr>
          <w:sz w:val="24"/>
        </w:rPr>
        <w:t xml:space="preserve"> whether a project will have a significant effect on the environment.</w:t>
      </w:r>
      <w:r w:rsidRPr="00946B65">
        <w:rPr>
          <w:rStyle w:val="FootnoteReference"/>
          <w:sz w:val="24"/>
        </w:rPr>
        <w:footnoteReference w:id="4"/>
      </w:r>
      <w:r w:rsidRPr="00946B65">
        <w:rPr>
          <w:sz w:val="24"/>
        </w:rPr>
        <w:t xml:space="preserve">  </w:t>
      </w:r>
    </w:p>
    <w:p w14:paraId="1E367C0F" w14:textId="77777777" w:rsidR="00B42C77" w:rsidRDefault="00EC2507" w:rsidP="006C5D82">
      <w:pPr>
        <w:pStyle w:val="Default"/>
        <w:spacing w:before="120"/>
        <w:ind w:firstLine="720"/>
        <w:rPr>
          <w:rFonts w:ascii="Bookman Old Style" w:hAnsi="Bookman Old Style"/>
        </w:rPr>
      </w:pPr>
      <w:r w:rsidRPr="00352F11">
        <w:rPr>
          <w:rFonts w:ascii="Bookman Old Style" w:hAnsi="Bookman Old Style"/>
        </w:rPr>
        <w:t xml:space="preserve">The </w:t>
      </w:r>
      <w:r>
        <w:rPr>
          <w:rFonts w:ascii="Bookman Old Style" w:hAnsi="Bookman Old Style"/>
        </w:rPr>
        <w:t xml:space="preserve">main component of this project is a large timber sale. </w:t>
      </w:r>
      <w:r w:rsidRPr="00A62224">
        <w:rPr>
          <w:rFonts w:ascii="Bookman Old Style" w:hAnsi="Bookman Old Style"/>
        </w:rPr>
        <w:t xml:space="preserve">The scoping notice </w:t>
      </w:r>
      <w:r>
        <w:rPr>
          <w:rFonts w:ascii="Bookman Old Style" w:hAnsi="Bookman Old Style"/>
        </w:rPr>
        <w:t>discloses plans to sell between two and five million board feet</w:t>
      </w:r>
      <w:r w:rsidRPr="00352F11">
        <w:rPr>
          <w:rFonts w:ascii="Bookman Old Style" w:hAnsi="Bookman Old Style"/>
        </w:rPr>
        <w:t xml:space="preserve"> </w:t>
      </w:r>
      <w:r>
        <w:rPr>
          <w:rFonts w:ascii="Bookman Old Style" w:hAnsi="Bookman Old Style"/>
        </w:rPr>
        <w:t>(</w:t>
      </w:r>
      <w:r w:rsidRPr="00352F11">
        <w:rPr>
          <w:rFonts w:ascii="Bookman Old Style" w:hAnsi="Bookman Old Style"/>
        </w:rPr>
        <w:t xml:space="preserve">MMBF) </w:t>
      </w:r>
      <w:r>
        <w:rPr>
          <w:rFonts w:ascii="Bookman Old Style" w:hAnsi="Bookman Old Style"/>
        </w:rPr>
        <w:t>of timber each year over a fifteen year period, or between 30 and 75 MMBF over the life of the project.</w:t>
      </w:r>
      <w:r>
        <w:rPr>
          <w:rStyle w:val="FootnoteReference"/>
          <w:rFonts w:ascii="Bookman Old Style" w:hAnsi="Bookman Old Style"/>
        </w:rPr>
        <w:footnoteReference w:id="5"/>
      </w:r>
      <w:r>
        <w:rPr>
          <w:rFonts w:ascii="Bookman Old Style" w:hAnsi="Bookman Old Style"/>
        </w:rPr>
        <w:t xml:space="preserve">  Most of the logging – 1,797 acres - will occur in 61 clearcut units</w:t>
      </w:r>
      <w:r w:rsidRPr="00352F11">
        <w:rPr>
          <w:rFonts w:ascii="Bookman Old Style" w:hAnsi="Bookman Old Style"/>
        </w:rPr>
        <w:t>.</w:t>
      </w:r>
      <w:r>
        <w:rPr>
          <w:rStyle w:val="FootnoteReference"/>
          <w:rFonts w:ascii="Bookman Old Style" w:hAnsi="Bookman Old Style"/>
        </w:rPr>
        <w:footnoteReference w:id="6"/>
      </w:r>
      <w:r w:rsidRPr="00352F11">
        <w:rPr>
          <w:rFonts w:ascii="Bookman Old Style" w:hAnsi="Bookman Old Style"/>
        </w:rPr>
        <w:t xml:space="preserve"> </w:t>
      </w:r>
      <w:r>
        <w:rPr>
          <w:rFonts w:ascii="Bookman Old Style" w:hAnsi="Bookman Old Style"/>
        </w:rPr>
        <w:t>34 of those clearcut units that range between 21 and 80 acres in size will provide most of the timber volume.</w:t>
      </w:r>
      <w:r>
        <w:rPr>
          <w:rStyle w:val="FootnoteReference"/>
          <w:rFonts w:ascii="Bookman Old Style" w:hAnsi="Bookman Old Style"/>
        </w:rPr>
        <w:footnoteReference w:id="7"/>
      </w:r>
      <w:r>
        <w:rPr>
          <w:rFonts w:ascii="Bookman Old Style" w:hAnsi="Bookman Old Style"/>
        </w:rPr>
        <w:t xml:space="preserve">  There will also be “two-aged management” which entail</w:t>
      </w:r>
      <w:r w:rsidR="00B42C77">
        <w:rPr>
          <w:rFonts w:ascii="Bookman Old Style" w:hAnsi="Bookman Old Style"/>
        </w:rPr>
        <w:t>s</w:t>
      </w:r>
      <w:r>
        <w:rPr>
          <w:rFonts w:ascii="Bookman Old Style" w:hAnsi="Bookman Old Style"/>
        </w:rPr>
        <w:t xml:space="preserve"> clearcuts of up to 20 acres on 406 acres</w:t>
      </w:r>
      <w:r w:rsidRPr="00352F11">
        <w:rPr>
          <w:rFonts w:ascii="Bookman Old Style" w:hAnsi="Bookman Old Style"/>
        </w:rPr>
        <w:t>.</w:t>
      </w:r>
      <w:r>
        <w:rPr>
          <w:rStyle w:val="FootnoteReference"/>
          <w:rFonts w:ascii="Bookman Old Style" w:hAnsi="Bookman Old Style"/>
        </w:rPr>
        <w:footnoteReference w:id="8"/>
      </w:r>
      <w:r w:rsidRPr="00352F11">
        <w:rPr>
          <w:rFonts w:ascii="Bookman Old Style" w:hAnsi="Bookman Old Style"/>
        </w:rPr>
        <w:t xml:space="preserve"> </w:t>
      </w:r>
      <w:r>
        <w:rPr>
          <w:rFonts w:ascii="Bookman Old Style" w:hAnsi="Bookman Old Style"/>
        </w:rPr>
        <w:t>Smaller clearcuts and some selective cutting units will add another 233 acres for a total cut of 2,437 acres.</w:t>
      </w:r>
      <w:r>
        <w:rPr>
          <w:rStyle w:val="FootnoteReference"/>
          <w:rFonts w:ascii="Bookman Old Style" w:hAnsi="Bookman Old Style"/>
        </w:rPr>
        <w:footnoteReference w:id="9"/>
      </w:r>
      <w:r>
        <w:rPr>
          <w:rFonts w:ascii="Bookman Old Style" w:hAnsi="Bookman Old Style"/>
        </w:rPr>
        <w:t xml:space="preserve"> </w:t>
      </w:r>
    </w:p>
    <w:p w14:paraId="7EC37347" w14:textId="453A51FA" w:rsidR="00EC2507" w:rsidRDefault="00EC2507" w:rsidP="006C5D82">
      <w:pPr>
        <w:ind w:firstLine="720"/>
        <w:rPr>
          <w:rFonts w:ascii="Times New Roman" w:hAnsi="Times New Roman"/>
          <w:sz w:val="24"/>
        </w:rPr>
      </w:pPr>
      <w:r>
        <w:rPr>
          <w:sz w:val="24"/>
        </w:rPr>
        <w:t xml:space="preserve">We reviewed recent analyses of Tongass second-growth timber sales in order to better understand the actual scale of this project. </w:t>
      </w:r>
      <w:r w:rsidRPr="008C4A4E">
        <w:rPr>
          <w:sz w:val="24"/>
        </w:rPr>
        <w:t xml:space="preserve">The estimated volume from the 2016 Kosciusko project was 29.9 million board feet from roughly 1,500 acres logged through a combination of complete and partial clearcuts (i.e. </w:t>
      </w:r>
      <w:r>
        <w:rPr>
          <w:sz w:val="24"/>
        </w:rPr>
        <w:t>“</w:t>
      </w:r>
      <w:r w:rsidRPr="008C4A4E">
        <w:rPr>
          <w:sz w:val="24"/>
        </w:rPr>
        <w:t>two-aged management</w:t>
      </w:r>
      <w:r>
        <w:rPr>
          <w:sz w:val="24"/>
        </w:rPr>
        <w:t>”</w:t>
      </w:r>
      <w:r w:rsidRPr="008C4A4E">
        <w:rPr>
          <w:sz w:val="24"/>
        </w:rPr>
        <w:t xml:space="preserve"> and </w:t>
      </w:r>
      <w:r>
        <w:rPr>
          <w:sz w:val="24"/>
        </w:rPr>
        <w:t>“</w:t>
      </w:r>
      <w:r w:rsidRPr="008C4A4E">
        <w:rPr>
          <w:sz w:val="24"/>
        </w:rPr>
        <w:t>uneven-aged management</w:t>
      </w:r>
      <w:r>
        <w:rPr>
          <w:sz w:val="24"/>
        </w:rPr>
        <w:t>”</w:t>
      </w:r>
      <w:r w:rsidRPr="008C4A4E">
        <w:rPr>
          <w:sz w:val="24"/>
        </w:rPr>
        <w:t xml:space="preserve"> which defer half and two-thirds of the units for future logging).</w:t>
      </w:r>
      <w:r w:rsidRPr="008C4A4E">
        <w:rPr>
          <w:rStyle w:val="FootnoteReference"/>
          <w:sz w:val="24"/>
        </w:rPr>
        <w:footnoteReference w:id="10"/>
      </w:r>
      <w:r w:rsidRPr="008C4A4E">
        <w:rPr>
          <w:sz w:val="24"/>
        </w:rPr>
        <w:t xml:space="preserve">  Another alternative from that project would have produced 30.2 MMBF from 861 clearcut acres, or 35 thousand board feet (MBF) per acre.</w:t>
      </w:r>
      <w:r w:rsidRPr="008C4A4E">
        <w:rPr>
          <w:rStyle w:val="FootnoteReference"/>
          <w:sz w:val="24"/>
        </w:rPr>
        <w:footnoteReference w:id="11"/>
      </w:r>
      <w:r>
        <w:t xml:space="preserve"> </w:t>
      </w:r>
      <w:r>
        <w:rPr>
          <w:sz w:val="24"/>
        </w:rPr>
        <w:t>The largest clearcut alternative from the pending Thomas Bay project proposed to extract 19.3 MMBF from 841 acres, or 23 MBF per acre.</w:t>
      </w:r>
      <w:r>
        <w:rPr>
          <w:rStyle w:val="FootnoteReference"/>
          <w:sz w:val="24"/>
        </w:rPr>
        <w:footnoteReference w:id="12"/>
      </w:r>
      <w:r>
        <w:rPr>
          <w:sz w:val="24"/>
        </w:rPr>
        <w:t xml:space="preserve"> In other words, depending on the </w:t>
      </w:r>
      <w:r>
        <w:rPr>
          <w:sz w:val="24"/>
        </w:rPr>
        <w:lastRenderedPageBreak/>
        <w:t>volume per acre, the clearcut/even-aged and clearcut/two-aged management units could yield between 50 and 77 MMBF.</w:t>
      </w:r>
    </w:p>
    <w:p w14:paraId="2B2A769C" w14:textId="7B6128DD" w:rsidR="00EC2507" w:rsidRPr="00D648AA" w:rsidRDefault="00EC2507" w:rsidP="006C5D82">
      <w:pPr>
        <w:ind w:firstLine="720"/>
        <w:rPr>
          <w:rFonts w:ascii="Times New Roman" w:hAnsi="Times New Roman"/>
          <w:sz w:val="24"/>
        </w:rPr>
      </w:pPr>
      <w:r w:rsidRPr="00946B65">
        <w:rPr>
          <w:sz w:val="24"/>
        </w:rPr>
        <w:t xml:space="preserve">The proposed action </w:t>
      </w:r>
      <w:r>
        <w:rPr>
          <w:sz w:val="24"/>
        </w:rPr>
        <w:t xml:space="preserve">is </w:t>
      </w:r>
      <w:r w:rsidR="00CD4A9E">
        <w:rPr>
          <w:sz w:val="24"/>
        </w:rPr>
        <w:t xml:space="preserve">thus </w:t>
      </w:r>
      <w:r>
        <w:rPr>
          <w:sz w:val="24"/>
        </w:rPr>
        <w:t>a very large timber sale that the agency intends to clearcut, triggering questions about significant environmental effects.</w:t>
      </w:r>
      <w:r w:rsidR="00A75E87">
        <w:rPr>
          <w:rStyle w:val="FootnoteReference"/>
        </w:rPr>
        <w:footnoteReference w:id="13"/>
      </w:r>
      <w:r w:rsidR="00A75E87">
        <w:rPr>
          <w:rFonts w:ascii="Times New Roman" w:hAnsi="Times New Roman"/>
        </w:rPr>
        <w:t xml:space="preserve"> </w:t>
      </w:r>
      <w:r>
        <w:rPr>
          <w:sz w:val="24"/>
        </w:rPr>
        <w:t xml:space="preserve"> </w:t>
      </w:r>
      <w:r w:rsidRPr="003824B6">
        <w:rPr>
          <w:sz w:val="24"/>
        </w:rPr>
        <w:t xml:space="preserve">The Tongass National Forest’s own </w:t>
      </w:r>
      <w:r>
        <w:rPr>
          <w:sz w:val="24"/>
        </w:rPr>
        <w:t xml:space="preserve">past </w:t>
      </w:r>
      <w:r w:rsidR="00474A1B">
        <w:rPr>
          <w:sz w:val="24"/>
        </w:rPr>
        <w:t xml:space="preserve">practices for doing </w:t>
      </w:r>
      <w:r w:rsidRPr="003824B6">
        <w:rPr>
          <w:sz w:val="24"/>
        </w:rPr>
        <w:t xml:space="preserve">environmental analyses </w:t>
      </w:r>
      <w:r>
        <w:rPr>
          <w:sz w:val="24"/>
        </w:rPr>
        <w:t>indicate the need to produce an EIS. T</w:t>
      </w:r>
      <w:r w:rsidRPr="003824B6">
        <w:rPr>
          <w:sz w:val="24"/>
        </w:rPr>
        <w:t xml:space="preserve">he </w:t>
      </w:r>
      <w:r>
        <w:rPr>
          <w:sz w:val="24"/>
        </w:rPr>
        <w:t>agency</w:t>
      </w:r>
      <w:r w:rsidRPr="003824B6">
        <w:rPr>
          <w:sz w:val="24"/>
        </w:rPr>
        <w:t xml:space="preserve"> has</w:t>
      </w:r>
      <w:r>
        <w:rPr>
          <w:sz w:val="24"/>
        </w:rPr>
        <w:t xml:space="preserve"> consistently prepared</w:t>
      </w:r>
      <w:r w:rsidRPr="003824B6">
        <w:rPr>
          <w:sz w:val="24"/>
        </w:rPr>
        <w:t xml:space="preserve"> </w:t>
      </w:r>
      <w:r>
        <w:rPr>
          <w:sz w:val="24"/>
        </w:rPr>
        <w:t>an EIS</w:t>
      </w:r>
      <w:r w:rsidRPr="003824B6">
        <w:rPr>
          <w:sz w:val="24"/>
        </w:rPr>
        <w:t xml:space="preserve"> for timber sale</w:t>
      </w:r>
      <w:r>
        <w:rPr>
          <w:sz w:val="24"/>
        </w:rPr>
        <w:t>s</w:t>
      </w:r>
      <w:r w:rsidRPr="003824B6">
        <w:rPr>
          <w:sz w:val="24"/>
        </w:rPr>
        <w:t xml:space="preserve"> that </w:t>
      </w:r>
      <w:r>
        <w:rPr>
          <w:sz w:val="24"/>
        </w:rPr>
        <w:t>entail industrial scale</w:t>
      </w:r>
      <w:r w:rsidRPr="003824B6">
        <w:rPr>
          <w:sz w:val="24"/>
        </w:rPr>
        <w:t xml:space="preserve"> clearcutting</w:t>
      </w:r>
      <w:r w:rsidR="00B42C77">
        <w:rPr>
          <w:sz w:val="24"/>
        </w:rPr>
        <w:t xml:space="preserve"> of</w:t>
      </w:r>
      <w:r w:rsidRPr="003824B6">
        <w:rPr>
          <w:sz w:val="24"/>
        </w:rPr>
        <w:t xml:space="preserve"> large amounts of </w:t>
      </w:r>
      <w:r>
        <w:rPr>
          <w:sz w:val="24"/>
        </w:rPr>
        <w:t>timber</w:t>
      </w:r>
      <w:r w:rsidRPr="003824B6">
        <w:rPr>
          <w:sz w:val="24"/>
        </w:rPr>
        <w:t xml:space="preserve">.  </w:t>
      </w:r>
      <w:r w:rsidR="00374580">
        <w:rPr>
          <w:sz w:val="24"/>
        </w:rPr>
        <w:t>B</w:t>
      </w:r>
      <w:r w:rsidRPr="003824B6">
        <w:rPr>
          <w:sz w:val="24"/>
        </w:rPr>
        <w:t xml:space="preserve">etween 1998 and 2006, the agency produced 10 timber project EAs for timber volumes that ranged </w:t>
      </w:r>
      <w:r w:rsidR="00374580">
        <w:rPr>
          <w:sz w:val="24"/>
        </w:rPr>
        <w:t>from</w:t>
      </w:r>
      <w:r w:rsidRPr="003824B6">
        <w:rPr>
          <w:sz w:val="24"/>
        </w:rPr>
        <w:t xml:space="preserve"> 2.6 </w:t>
      </w:r>
      <w:r w:rsidR="00374580">
        <w:rPr>
          <w:sz w:val="24"/>
        </w:rPr>
        <w:t>to</w:t>
      </w:r>
      <w:r w:rsidRPr="003824B6">
        <w:rPr>
          <w:sz w:val="24"/>
        </w:rPr>
        <w:t xml:space="preserve"> 8.7 MMBF, or an average volume of a</w:t>
      </w:r>
      <w:r w:rsidR="00374580">
        <w:rPr>
          <w:sz w:val="24"/>
        </w:rPr>
        <w:t>bout</w:t>
      </w:r>
      <w:r w:rsidRPr="003824B6">
        <w:rPr>
          <w:sz w:val="24"/>
        </w:rPr>
        <w:t xml:space="preserve"> 5.5 MMBF.</w:t>
      </w:r>
      <w:r w:rsidRPr="003824B6">
        <w:rPr>
          <w:rStyle w:val="FootnoteReference"/>
          <w:sz w:val="24"/>
        </w:rPr>
        <w:footnoteReference w:id="14"/>
      </w:r>
      <w:r w:rsidRPr="003824B6">
        <w:rPr>
          <w:sz w:val="24"/>
        </w:rPr>
        <w:t xml:space="preserve">  Conversely, </w:t>
      </w:r>
      <w:r>
        <w:rPr>
          <w:sz w:val="24"/>
        </w:rPr>
        <w:t xml:space="preserve">between 1998 and 2011 </w:t>
      </w:r>
      <w:r w:rsidRPr="003824B6">
        <w:rPr>
          <w:sz w:val="24"/>
        </w:rPr>
        <w:t>the agency ha</w:t>
      </w:r>
      <w:r w:rsidR="00B42C77">
        <w:rPr>
          <w:sz w:val="24"/>
        </w:rPr>
        <w:t>d,</w:t>
      </w:r>
      <w:r w:rsidRPr="003824B6">
        <w:rPr>
          <w:sz w:val="24"/>
        </w:rPr>
        <w:t xml:space="preserve"> after producing an EIS, issued decisions on 19 timber sales</w:t>
      </w:r>
      <w:r>
        <w:rPr>
          <w:sz w:val="24"/>
        </w:rPr>
        <w:t xml:space="preserve">. </w:t>
      </w:r>
      <w:r w:rsidR="00FD3C33">
        <w:rPr>
          <w:sz w:val="24"/>
        </w:rPr>
        <w:t>C</w:t>
      </w:r>
      <w:r w:rsidR="00FD3C33" w:rsidRPr="003824B6">
        <w:rPr>
          <w:sz w:val="24"/>
        </w:rPr>
        <w:t>ompared to the proposed action</w:t>
      </w:r>
      <w:r w:rsidR="00FD3C33">
        <w:rPr>
          <w:sz w:val="24"/>
        </w:rPr>
        <w:t>, m</w:t>
      </w:r>
      <w:r>
        <w:rPr>
          <w:sz w:val="24"/>
        </w:rPr>
        <w:t>any of these</w:t>
      </w:r>
      <w:r w:rsidRPr="003824B6">
        <w:rPr>
          <w:sz w:val="24"/>
        </w:rPr>
        <w:t xml:space="preserve"> projects removed similar or even considerably smaller amounts of forest.</w:t>
      </w:r>
      <w:r w:rsidRPr="003824B6">
        <w:rPr>
          <w:rStyle w:val="FootnoteReference"/>
          <w:sz w:val="24"/>
        </w:rPr>
        <w:footnoteReference w:id="15"/>
      </w:r>
      <w:r w:rsidRPr="003824B6">
        <w:rPr>
          <w:sz w:val="24"/>
        </w:rPr>
        <w:t xml:space="preserve">  </w:t>
      </w:r>
    </w:p>
    <w:p w14:paraId="1715166A" w14:textId="77777777" w:rsidR="00EC2507" w:rsidRPr="00577440" w:rsidRDefault="00EC2507" w:rsidP="006C5D82">
      <w:pPr>
        <w:ind w:firstLine="720"/>
        <w:rPr>
          <w:sz w:val="24"/>
          <w:lang w:bidi="en-US"/>
        </w:rPr>
      </w:pPr>
      <w:r w:rsidRPr="00577440">
        <w:rPr>
          <w:sz w:val="24"/>
        </w:rPr>
        <w:t xml:space="preserve">The only similar </w:t>
      </w:r>
      <w:r>
        <w:rPr>
          <w:sz w:val="24"/>
        </w:rPr>
        <w:t>Tongass National Forest project analyzed in an EA</w:t>
      </w:r>
      <w:r w:rsidRPr="00577440">
        <w:rPr>
          <w:sz w:val="24"/>
        </w:rPr>
        <w:t xml:space="preserve"> was the Kosciusko Vegetation Management EA </w:t>
      </w:r>
      <w:r>
        <w:rPr>
          <w:sz w:val="24"/>
        </w:rPr>
        <w:t xml:space="preserve">- </w:t>
      </w:r>
      <w:r w:rsidRPr="00577440">
        <w:rPr>
          <w:sz w:val="24"/>
        </w:rPr>
        <w:t>a 29.9 MMBF timber sale.  We filed a formal objection to that project based primarily on the need to prepare a full EIS</w:t>
      </w:r>
      <w:r>
        <w:rPr>
          <w:sz w:val="24"/>
        </w:rPr>
        <w:t xml:space="preserve"> because t</w:t>
      </w:r>
      <w:r w:rsidRPr="00577440">
        <w:rPr>
          <w:sz w:val="24"/>
        </w:rPr>
        <w:t xml:space="preserve">he project was a large timber project that authorized </w:t>
      </w:r>
      <w:r>
        <w:rPr>
          <w:sz w:val="24"/>
        </w:rPr>
        <w:t>the extraction of</w:t>
      </w:r>
      <w:r w:rsidRPr="00577440">
        <w:rPr>
          <w:sz w:val="24"/>
        </w:rPr>
        <w:t xml:space="preserve"> 29.9 MMBF of timber </w:t>
      </w:r>
      <w:r>
        <w:rPr>
          <w:sz w:val="24"/>
        </w:rPr>
        <w:t>through 396 acres of clearcuts, 856 acres of clearcuts with reserve patches (two-aged management) and 209 acres of partial clearcuts (uneven-aged management).</w:t>
      </w:r>
      <w:r w:rsidRPr="00577440">
        <w:rPr>
          <w:rStyle w:val="FootnoteReference"/>
          <w:sz w:val="24"/>
        </w:rPr>
        <w:footnoteReference w:id="16"/>
      </w:r>
      <w:r>
        <w:rPr>
          <w:sz w:val="24"/>
        </w:rPr>
        <w:t xml:space="preserve">  We also disagree with the decision to analyze the pending Thomas Bay timber sale in an EA.</w:t>
      </w:r>
      <w:r>
        <w:rPr>
          <w:rStyle w:val="FootnoteReference"/>
          <w:sz w:val="24"/>
        </w:rPr>
        <w:footnoteReference w:id="17"/>
      </w:r>
    </w:p>
    <w:p w14:paraId="405D487B" w14:textId="01C839DA" w:rsidR="00EC2507" w:rsidRPr="00577440" w:rsidRDefault="00EC2507" w:rsidP="006C5D82">
      <w:pPr>
        <w:rPr>
          <w:sz w:val="24"/>
        </w:rPr>
      </w:pPr>
      <w:r w:rsidRPr="00577440">
        <w:rPr>
          <w:sz w:val="24"/>
        </w:rPr>
        <w:t xml:space="preserve">  </w:t>
      </w:r>
      <w:r w:rsidR="00B42C77">
        <w:rPr>
          <w:sz w:val="24"/>
        </w:rPr>
        <w:tab/>
      </w:r>
      <w:r>
        <w:rPr>
          <w:sz w:val="24"/>
        </w:rPr>
        <w:t xml:space="preserve">The proposal to analyze this project in an EA </w:t>
      </w:r>
      <w:r w:rsidR="00FD3C33">
        <w:rPr>
          <w:sz w:val="24"/>
        </w:rPr>
        <w:t>is</w:t>
      </w:r>
      <w:r>
        <w:rPr>
          <w:sz w:val="24"/>
        </w:rPr>
        <w:t xml:space="preserve"> inconsistent with the widespread recognition that the very nature of large-scale clearcutting results in significant, adverse environmental effects. </w:t>
      </w:r>
      <w:r w:rsidRPr="00577440">
        <w:rPr>
          <w:sz w:val="24"/>
        </w:rPr>
        <w:t xml:space="preserve">In </w:t>
      </w:r>
      <w:r w:rsidRPr="00577440">
        <w:rPr>
          <w:i/>
          <w:sz w:val="24"/>
        </w:rPr>
        <w:t xml:space="preserve">Wyoming Outdoor Coordinating Council v. </w:t>
      </w:r>
      <w:proofErr w:type="spellStart"/>
      <w:r w:rsidRPr="00577440">
        <w:rPr>
          <w:i/>
          <w:sz w:val="24"/>
        </w:rPr>
        <w:t>Butz</w:t>
      </w:r>
      <w:proofErr w:type="spellEnd"/>
      <w:r w:rsidRPr="00577440">
        <w:rPr>
          <w:i/>
          <w:sz w:val="24"/>
        </w:rPr>
        <w:t xml:space="preserve">, </w:t>
      </w:r>
      <w:r w:rsidRPr="00577440">
        <w:rPr>
          <w:sz w:val="24"/>
        </w:rPr>
        <w:t xml:space="preserve">the Forest Service refused to prepare an EIS analyzing </w:t>
      </w:r>
      <w:r>
        <w:rPr>
          <w:sz w:val="24"/>
        </w:rPr>
        <w:t>a</w:t>
      </w:r>
      <w:r w:rsidRPr="00577440">
        <w:rPr>
          <w:sz w:val="24"/>
        </w:rPr>
        <w:t xml:space="preserve"> 15 MMBF</w:t>
      </w:r>
      <w:r>
        <w:rPr>
          <w:sz w:val="24"/>
        </w:rPr>
        <w:t xml:space="preserve"> sale</w:t>
      </w:r>
      <w:r w:rsidRPr="00577440">
        <w:rPr>
          <w:sz w:val="24"/>
        </w:rPr>
        <w:t xml:space="preserve"> </w:t>
      </w:r>
      <w:r w:rsidR="00B42C77">
        <w:rPr>
          <w:sz w:val="24"/>
        </w:rPr>
        <w:t xml:space="preserve">occurring on </w:t>
      </w:r>
      <w:r w:rsidRPr="00577440">
        <w:rPr>
          <w:sz w:val="24"/>
        </w:rPr>
        <w:t>670 acre</w:t>
      </w:r>
      <w:r w:rsidR="00B42C77">
        <w:rPr>
          <w:sz w:val="24"/>
        </w:rPr>
        <w:t>s</w:t>
      </w:r>
      <w:r w:rsidRPr="00577440">
        <w:rPr>
          <w:sz w:val="24"/>
        </w:rPr>
        <w:t>.</w:t>
      </w:r>
      <w:r w:rsidRPr="00577440">
        <w:rPr>
          <w:rStyle w:val="FootnoteReference"/>
          <w:sz w:val="24"/>
        </w:rPr>
        <w:footnoteReference w:id="18"/>
      </w:r>
      <w:r w:rsidRPr="00577440">
        <w:rPr>
          <w:sz w:val="24"/>
        </w:rPr>
        <w:t xml:space="preserve">  The court concluded that the agency needed to prepare an EIS, recognizing that </w:t>
      </w:r>
      <w:r w:rsidRPr="00AB7A03">
        <w:rPr>
          <w:i/>
          <w:iCs/>
          <w:sz w:val="24"/>
          <w:u w:val="single"/>
        </w:rPr>
        <w:t>“[t]he clearcutting of the timber planned obviously will have a significant effect on the environment for many years</w:t>
      </w:r>
      <w:r w:rsidRPr="00577440">
        <w:rPr>
          <w:sz w:val="24"/>
        </w:rPr>
        <w:t>.”</w:t>
      </w:r>
      <w:r w:rsidRPr="00577440">
        <w:rPr>
          <w:rStyle w:val="FootnoteReference"/>
          <w:sz w:val="24"/>
        </w:rPr>
        <w:footnoteReference w:id="19"/>
      </w:r>
      <w:r w:rsidRPr="00577440">
        <w:rPr>
          <w:sz w:val="24"/>
        </w:rPr>
        <w:t xml:space="preserve">  In 1995, a federal district court in Vermont </w:t>
      </w:r>
      <w:r>
        <w:rPr>
          <w:sz w:val="24"/>
        </w:rPr>
        <w:t>considered</w:t>
      </w:r>
      <w:r w:rsidRPr="00577440">
        <w:rPr>
          <w:sz w:val="24"/>
        </w:rPr>
        <w:t xml:space="preserve"> a </w:t>
      </w:r>
      <w:r>
        <w:rPr>
          <w:sz w:val="24"/>
        </w:rPr>
        <w:t>Forest Service project</w:t>
      </w:r>
      <w:r w:rsidRPr="00577440">
        <w:rPr>
          <w:sz w:val="24"/>
        </w:rPr>
        <w:t xml:space="preserve"> that</w:t>
      </w:r>
      <w:r>
        <w:rPr>
          <w:sz w:val="24"/>
        </w:rPr>
        <w:t xml:space="preserve"> </w:t>
      </w:r>
      <w:r w:rsidR="00B42C77">
        <w:rPr>
          <w:sz w:val="24"/>
        </w:rPr>
        <w:t>w</w:t>
      </w:r>
      <w:r>
        <w:rPr>
          <w:sz w:val="24"/>
        </w:rPr>
        <w:t>ould remove 3.2 million board feet of timber through</w:t>
      </w:r>
      <w:r w:rsidRPr="00577440">
        <w:rPr>
          <w:sz w:val="24"/>
        </w:rPr>
        <w:t xml:space="preserve"> 300 acres of clearcuts</w:t>
      </w:r>
      <w:r>
        <w:rPr>
          <w:sz w:val="24"/>
        </w:rPr>
        <w:t xml:space="preserve"> and increase road access to </w:t>
      </w:r>
      <w:r>
        <w:rPr>
          <w:sz w:val="24"/>
        </w:rPr>
        <w:lastRenderedPageBreak/>
        <w:t>wildlife habitat.</w:t>
      </w:r>
      <w:r w:rsidRPr="00577440">
        <w:rPr>
          <w:rStyle w:val="FootnoteReference"/>
          <w:sz w:val="24"/>
        </w:rPr>
        <w:footnoteReference w:id="20"/>
      </w:r>
      <w:r w:rsidRPr="00577440">
        <w:rPr>
          <w:sz w:val="24"/>
        </w:rPr>
        <w:t xml:space="preserve">  </w:t>
      </w:r>
      <w:r>
        <w:rPr>
          <w:sz w:val="24"/>
        </w:rPr>
        <w:t>The court determined that “[o]n its face, the proposed action, which includes clearcutting of over 300 acres and its admitted attendant effects such as intrusion into bear and neotropical bird habitats, is ‘significant’ under any reasonable construction of the term.”</w:t>
      </w:r>
      <w:r>
        <w:rPr>
          <w:rStyle w:val="FootnoteReference"/>
          <w:sz w:val="24"/>
        </w:rPr>
        <w:footnoteReference w:id="21"/>
      </w:r>
      <w:r w:rsidR="00B42C77">
        <w:rPr>
          <w:sz w:val="24"/>
        </w:rPr>
        <w:t xml:space="preserve"> </w:t>
      </w:r>
      <w:r>
        <w:rPr>
          <w:sz w:val="24"/>
        </w:rPr>
        <w:t>Similarly, i</w:t>
      </w:r>
      <w:r w:rsidRPr="00577440">
        <w:rPr>
          <w:sz w:val="24"/>
        </w:rPr>
        <w:t xml:space="preserve">n 1997, </w:t>
      </w:r>
      <w:r>
        <w:rPr>
          <w:sz w:val="24"/>
        </w:rPr>
        <w:t>a Pennsylvania</w:t>
      </w:r>
      <w:r w:rsidRPr="00577440">
        <w:rPr>
          <w:sz w:val="24"/>
        </w:rPr>
        <w:t xml:space="preserve"> federal district court</w:t>
      </w:r>
      <w:r>
        <w:rPr>
          <w:sz w:val="24"/>
        </w:rPr>
        <w:t xml:space="preserve"> required the Forest Service to prepare an EIS for a 31 MMBF timber sale</w:t>
      </w:r>
      <w:r w:rsidRPr="00577440">
        <w:rPr>
          <w:sz w:val="24"/>
        </w:rPr>
        <w:t>.</w:t>
      </w:r>
      <w:r w:rsidRPr="00577440">
        <w:rPr>
          <w:rStyle w:val="FootnoteReference"/>
          <w:sz w:val="24"/>
        </w:rPr>
        <w:footnoteReference w:id="22"/>
      </w:r>
      <w:r w:rsidRPr="00577440">
        <w:rPr>
          <w:sz w:val="24"/>
        </w:rPr>
        <w:t xml:space="preserve">  The court identified a number of relevant factors that are</w:t>
      </w:r>
      <w:r>
        <w:rPr>
          <w:sz w:val="24"/>
        </w:rPr>
        <w:t xml:space="preserve"> or may be</w:t>
      </w:r>
      <w:r w:rsidRPr="00577440">
        <w:rPr>
          <w:sz w:val="24"/>
        </w:rPr>
        <w:t xml:space="preserve"> applicable to </w:t>
      </w:r>
      <w:r>
        <w:rPr>
          <w:sz w:val="24"/>
        </w:rPr>
        <w:t>this project</w:t>
      </w:r>
      <w:r w:rsidRPr="00577440">
        <w:rPr>
          <w:sz w:val="24"/>
        </w:rPr>
        <w:t xml:space="preserve">:  (1) a large number of acres; (2) the predominant use of </w:t>
      </w:r>
      <w:bookmarkStart w:id="2" w:name="_GoBack"/>
      <w:bookmarkEnd w:id="2"/>
      <w:r w:rsidRPr="00577440">
        <w:rPr>
          <w:sz w:val="24"/>
        </w:rPr>
        <w:t>clearcutting; (3) the presence of sensitive species</w:t>
      </w:r>
      <w:r w:rsidR="00B42C77">
        <w:rPr>
          <w:sz w:val="24"/>
        </w:rPr>
        <w:t xml:space="preserve"> and</w:t>
      </w:r>
      <w:r w:rsidRPr="00577440">
        <w:rPr>
          <w:sz w:val="24"/>
        </w:rPr>
        <w:t xml:space="preserve"> (4) the proximity of the project to old-growth forest and to important watersheds.</w:t>
      </w:r>
      <w:r w:rsidRPr="00577440">
        <w:rPr>
          <w:rStyle w:val="FootnoteReference"/>
          <w:sz w:val="24"/>
        </w:rPr>
        <w:footnoteReference w:id="23"/>
      </w:r>
      <w:r w:rsidRPr="00577440">
        <w:rPr>
          <w:sz w:val="24"/>
        </w:rPr>
        <w:t xml:space="preserve">  </w:t>
      </w:r>
    </w:p>
    <w:p w14:paraId="3ABE88E7" w14:textId="732A7018" w:rsidR="00EC2507" w:rsidRPr="00A75E87" w:rsidRDefault="00EC2507" w:rsidP="006C5D82">
      <w:pPr>
        <w:ind w:firstLine="720"/>
        <w:rPr>
          <w:sz w:val="20"/>
          <w:szCs w:val="20"/>
        </w:rPr>
      </w:pPr>
      <w:r>
        <w:rPr>
          <w:sz w:val="24"/>
        </w:rPr>
        <w:t>9</w:t>
      </w:r>
      <w:r w:rsidRPr="00005F79">
        <w:rPr>
          <w:sz w:val="24"/>
          <w:vertAlign w:val="superscript"/>
        </w:rPr>
        <w:t>th</w:t>
      </w:r>
      <w:r>
        <w:rPr>
          <w:sz w:val="24"/>
        </w:rPr>
        <w:t xml:space="preserve"> Circuit courts have also recently required the timber agencies to prepare an EIS for large timber projects.  An Oregon court required the Forest Service to prepare an EIS for the Crystal Clear Restoration Project, a large project that primarily involved experimental variable density thinning.</w:t>
      </w:r>
      <w:r>
        <w:rPr>
          <w:rStyle w:val="FootnoteReference"/>
          <w:sz w:val="24"/>
        </w:rPr>
        <w:footnoteReference w:id="24"/>
      </w:r>
      <w:r>
        <w:rPr>
          <w:sz w:val="24"/>
        </w:rPr>
        <w:t xml:space="preserve">  An Oregon federal district court also required an EIS for the Forest Service’s Goose Project which sought to improve stand conditions, reduce hazardous fuels and provide timber.</w:t>
      </w:r>
      <w:r>
        <w:rPr>
          <w:rStyle w:val="FootnoteReference"/>
          <w:sz w:val="24"/>
        </w:rPr>
        <w:footnoteReference w:id="25"/>
      </w:r>
      <w:r>
        <w:rPr>
          <w:sz w:val="24"/>
        </w:rPr>
        <w:t xml:space="preserve">  The project consisted of 1,255 acres of commercial and non-commercial thinning (1,255 acres and 800 acres, respectively) rather than clearcutting.</w:t>
      </w:r>
      <w:r>
        <w:rPr>
          <w:rStyle w:val="FootnoteReference"/>
          <w:sz w:val="24"/>
        </w:rPr>
        <w:footnoteReference w:id="26"/>
      </w:r>
      <w:r>
        <w:rPr>
          <w:sz w:val="24"/>
        </w:rPr>
        <w:t xml:space="preserve">  One issue these cases share with this project involved controversy over clearcutting maturing, second-growth forests.</w:t>
      </w:r>
      <w:r w:rsidR="00B42C77">
        <w:rPr>
          <w:sz w:val="24"/>
        </w:rPr>
        <w:t xml:space="preserve"> </w:t>
      </w:r>
    </w:p>
    <w:p w14:paraId="1AAAD8AA" w14:textId="77777777" w:rsidR="002F1EE0" w:rsidRPr="00946B65" w:rsidRDefault="002F1EE0" w:rsidP="006C5D82">
      <w:pPr>
        <w:pStyle w:val="Heading1"/>
        <w:spacing w:before="120" w:after="0"/>
      </w:pPr>
      <w:bookmarkStart w:id="3" w:name="_Toc148104503"/>
      <w:r>
        <w:t>III.  NEPA’s intensity factors require an EIS</w:t>
      </w:r>
      <w:bookmarkEnd w:id="3"/>
    </w:p>
    <w:p w14:paraId="5FD5A296" w14:textId="77732616" w:rsidR="002F1EE0" w:rsidRPr="002F1EE0" w:rsidRDefault="002F1EE0" w:rsidP="006C5D82">
      <w:pPr>
        <w:ind w:firstLine="720"/>
        <w:rPr>
          <w:sz w:val="24"/>
        </w:rPr>
      </w:pPr>
      <w:r w:rsidRPr="002F1EE0">
        <w:rPr>
          <w:sz w:val="24"/>
        </w:rPr>
        <w:t>The determination of a significant effect on the environment requires consideration of “context and intensity.”</w:t>
      </w:r>
      <w:r w:rsidRPr="002F1EE0">
        <w:rPr>
          <w:rStyle w:val="FootnoteReference"/>
          <w:sz w:val="24"/>
        </w:rPr>
        <w:footnoteReference w:id="27"/>
      </w:r>
      <w:r w:rsidRPr="002F1EE0">
        <w:rPr>
          <w:sz w:val="24"/>
        </w:rPr>
        <w:t xml:space="preserve">  The context is the scope of the agency’s action, including affected interests.</w:t>
      </w:r>
      <w:r w:rsidRPr="002F1EE0">
        <w:rPr>
          <w:rStyle w:val="FootnoteReference"/>
          <w:sz w:val="24"/>
        </w:rPr>
        <w:footnoteReference w:id="28"/>
      </w:r>
      <w:r w:rsidRPr="002F1EE0">
        <w:rPr>
          <w:sz w:val="24"/>
        </w:rPr>
        <w:t xml:space="preserve">  Intensity is the degree to which the agency action affects the locale and interests identified in the context part of the inquiry.</w:t>
      </w:r>
      <w:r w:rsidRPr="002F1EE0">
        <w:rPr>
          <w:rStyle w:val="FootnoteReference"/>
          <w:sz w:val="24"/>
        </w:rPr>
        <w:footnoteReference w:id="29"/>
      </w:r>
      <w:r w:rsidRPr="002F1EE0">
        <w:rPr>
          <w:sz w:val="24"/>
        </w:rPr>
        <w:t xml:space="preserve">  Intensity requires evaluation of various factors, including “[u]</w:t>
      </w:r>
      <w:proofErr w:type="spellStart"/>
      <w:r w:rsidRPr="002F1EE0">
        <w:rPr>
          <w:sz w:val="24"/>
        </w:rPr>
        <w:t>nique</w:t>
      </w:r>
      <w:proofErr w:type="spellEnd"/>
      <w:r w:rsidRPr="002F1EE0">
        <w:rPr>
          <w:sz w:val="24"/>
        </w:rPr>
        <w:t xml:space="preserve"> characteristics of the geographic area, such as … ecologically critical areas[,]” …  “[t]he degree to which the effects on the quality of the human environment are likely to be highly controversial[,]” … “[t]he degree to which the possible effects on the human environment are highly uncertain or involve unique or unknown risks[,] … “[w]</w:t>
      </w:r>
      <w:proofErr w:type="spellStart"/>
      <w:r w:rsidRPr="002F1EE0">
        <w:rPr>
          <w:sz w:val="24"/>
        </w:rPr>
        <w:t>hether</w:t>
      </w:r>
      <w:proofErr w:type="spellEnd"/>
      <w:r w:rsidRPr="002F1EE0">
        <w:rPr>
          <w:sz w:val="24"/>
        </w:rPr>
        <w:t xml:space="preserve"> the action is related to other actions with individually insignificant but cumulatively significant impacts</w:t>
      </w:r>
      <w:r w:rsidR="00A75E87">
        <w:rPr>
          <w:sz w:val="24"/>
        </w:rPr>
        <w:t>.</w:t>
      </w:r>
      <w:r w:rsidRPr="002F1EE0">
        <w:rPr>
          <w:sz w:val="24"/>
        </w:rPr>
        <w:t>”</w:t>
      </w:r>
      <w:r w:rsidRPr="002F1EE0">
        <w:rPr>
          <w:rStyle w:val="FootnoteReference"/>
          <w:sz w:val="24"/>
        </w:rPr>
        <w:footnoteReference w:id="30"/>
      </w:r>
      <w:r w:rsidRPr="002F1EE0">
        <w:rPr>
          <w:sz w:val="24"/>
        </w:rPr>
        <w:t xml:space="preserve">  “[O]ne of [the NEPA intensity] factors may be sufficient to require preparation of an EIS in appropriate circumstances.”</w:t>
      </w:r>
      <w:r w:rsidRPr="002F1EE0">
        <w:rPr>
          <w:rStyle w:val="FootnoteReference"/>
          <w:sz w:val="24"/>
        </w:rPr>
        <w:footnoteReference w:id="31"/>
      </w:r>
      <w:r w:rsidRPr="002F1EE0">
        <w:rPr>
          <w:sz w:val="24"/>
        </w:rPr>
        <w:t xml:space="preserve"> In some timber sale </w:t>
      </w:r>
      <w:r w:rsidRPr="002F1EE0">
        <w:rPr>
          <w:sz w:val="24"/>
        </w:rPr>
        <w:lastRenderedPageBreak/>
        <w:t>cases, n</w:t>
      </w:r>
      <w:r w:rsidR="00A75E87">
        <w:rPr>
          <w:sz w:val="24"/>
        </w:rPr>
        <w:t>o</w:t>
      </w:r>
      <w:r w:rsidRPr="002F1EE0">
        <w:rPr>
          <w:sz w:val="24"/>
        </w:rPr>
        <w:t xml:space="preserve"> significance factor by </w:t>
      </w:r>
      <w:r w:rsidR="00A75E87">
        <w:rPr>
          <w:sz w:val="24"/>
        </w:rPr>
        <w:t>itself</w:t>
      </w:r>
      <w:r w:rsidRPr="002F1EE0">
        <w:rPr>
          <w:sz w:val="24"/>
        </w:rPr>
        <w:t xml:space="preserve"> required an EIS, but collective controversies</w:t>
      </w:r>
      <w:r w:rsidR="00B42C77">
        <w:rPr>
          <w:sz w:val="24"/>
        </w:rPr>
        <w:t xml:space="preserve"> and</w:t>
      </w:r>
      <w:r w:rsidRPr="002F1EE0">
        <w:rPr>
          <w:sz w:val="24"/>
        </w:rPr>
        <w:t xml:space="preserve"> uncertainties and</w:t>
      </w:r>
      <w:r w:rsidR="00B42C77">
        <w:rPr>
          <w:sz w:val="24"/>
        </w:rPr>
        <w:t xml:space="preserve"> other factors</w:t>
      </w:r>
      <w:r w:rsidRPr="002F1EE0">
        <w:rPr>
          <w:sz w:val="24"/>
        </w:rPr>
        <w:t xml:space="preserve"> </w:t>
      </w:r>
      <w:r w:rsidR="00B42C77">
        <w:rPr>
          <w:sz w:val="24"/>
        </w:rPr>
        <w:t>triggered the need for</w:t>
      </w:r>
      <w:r w:rsidRPr="002F1EE0">
        <w:rPr>
          <w:sz w:val="24"/>
        </w:rPr>
        <w:t xml:space="preserve"> analysis in an EIS.</w:t>
      </w:r>
      <w:r w:rsidRPr="002F1EE0">
        <w:rPr>
          <w:rStyle w:val="FootnoteReference"/>
          <w:sz w:val="24"/>
        </w:rPr>
        <w:footnoteReference w:id="32"/>
      </w:r>
    </w:p>
    <w:p w14:paraId="21CB2E25" w14:textId="77777777" w:rsidR="002F1EE0" w:rsidRDefault="002F1EE0" w:rsidP="006C5D82">
      <w:pPr>
        <w:pStyle w:val="Heading2"/>
        <w:spacing w:before="120" w:after="0"/>
      </w:pPr>
      <w:bookmarkStart w:id="4" w:name="_Toc148104504"/>
      <w:r>
        <w:t>A. The project entails unique or unknown risks to wildlife</w:t>
      </w:r>
      <w:bookmarkEnd w:id="4"/>
    </w:p>
    <w:p w14:paraId="0AB614EA" w14:textId="2A316659" w:rsidR="002F1EE0" w:rsidRPr="002F1EE0" w:rsidRDefault="002F1EE0" w:rsidP="006C5D82">
      <w:pPr>
        <w:widowControl w:val="0"/>
        <w:autoSpaceDE w:val="0"/>
        <w:autoSpaceDN w:val="0"/>
        <w:adjustRightInd w:val="0"/>
        <w:ind w:firstLine="720"/>
        <w:rPr>
          <w:sz w:val="24"/>
        </w:rPr>
      </w:pPr>
      <w:r w:rsidRPr="002F1EE0">
        <w:rPr>
          <w:sz w:val="24"/>
        </w:rPr>
        <w:t>Clearcutting may have significant adverse impacts to project area wildlife that vary by species and may potentially worsen over time because maturing forests may otherwise provide increasing habitat values over time. The NEPA analysis must consider “[t]he degree to which the possible effects … are highly uncertain or involve unique and unknown risks.”</w:t>
      </w:r>
      <w:r w:rsidRPr="002F1EE0">
        <w:rPr>
          <w:rStyle w:val="FootnoteReference"/>
          <w:sz w:val="24"/>
        </w:rPr>
        <w:footnoteReference w:id="33"/>
      </w:r>
      <w:r w:rsidRPr="002F1EE0">
        <w:rPr>
          <w:sz w:val="24"/>
        </w:rPr>
        <w:t xml:space="preserve">  A project is also highly controversial</w:t>
      </w:r>
      <w:r w:rsidR="00C61C3B">
        <w:rPr>
          <w:sz w:val="24"/>
        </w:rPr>
        <w:t>—</w:t>
      </w:r>
      <w:r w:rsidRPr="002F1EE0">
        <w:rPr>
          <w:sz w:val="24"/>
        </w:rPr>
        <w:t>such that an EIS may be required</w:t>
      </w:r>
      <w:r w:rsidR="00C61C3B">
        <w:rPr>
          <w:sz w:val="24"/>
        </w:rPr>
        <w:t>—</w:t>
      </w:r>
      <w:r w:rsidRPr="002F1EE0">
        <w:rPr>
          <w:sz w:val="24"/>
        </w:rPr>
        <w:t>if there is a ‘substantial dispute about the size, nature, or effect of the major Federal action rather than the existence of opposition to a use.’”</w:t>
      </w:r>
      <w:r w:rsidRPr="002F1EE0">
        <w:rPr>
          <w:rStyle w:val="FootnoteReference"/>
          <w:sz w:val="24"/>
        </w:rPr>
        <w:footnoteReference w:id="34"/>
      </w:r>
      <w:r w:rsidRPr="002F1EE0">
        <w:rPr>
          <w:sz w:val="24"/>
        </w:rPr>
        <w:t xml:space="preserve">  </w:t>
      </w:r>
      <w:r w:rsidR="00914811">
        <w:rPr>
          <w:sz w:val="24"/>
        </w:rPr>
        <w:t>Such controversy</w:t>
      </w:r>
      <w:r w:rsidRPr="002F1EE0">
        <w:rPr>
          <w:sz w:val="24"/>
        </w:rPr>
        <w:t xml:space="preserve"> can occur when there is considerable evidence that a project will not meet its goal, or the effects are highly controversial and uncertain.</w:t>
      </w:r>
      <w:r w:rsidRPr="002F1EE0">
        <w:rPr>
          <w:rStyle w:val="FootnoteReference"/>
          <w:sz w:val="24"/>
        </w:rPr>
        <w:footnoteReference w:id="35"/>
      </w:r>
      <w:r w:rsidRPr="002F1EE0">
        <w:rPr>
          <w:sz w:val="24"/>
        </w:rPr>
        <w:t xml:space="preserve">  </w:t>
      </w:r>
    </w:p>
    <w:p w14:paraId="064D15D3" w14:textId="44303747" w:rsidR="002F1EE0" w:rsidRPr="002F1EE0" w:rsidRDefault="002F1EE0" w:rsidP="006C5D82">
      <w:pPr>
        <w:ind w:firstLine="720"/>
        <w:rPr>
          <w:sz w:val="24"/>
        </w:rPr>
      </w:pPr>
      <w:r w:rsidRPr="002F1EE0">
        <w:rPr>
          <w:sz w:val="24"/>
        </w:rPr>
        <w:t>Sacrificing 2,203 acres of substantially regenerated second growth is a significant impact because of extensive past, ongoing and future logging in the project area</w:t>
      </w:r>
      <w:r w:rsidR="00914811">
        <w:rPr>
          <w:sz w:val="24"/>
        </w:rPr>
        <w:t>, federal and non-federal</w:t>
      </w:r>
      <w:r w:rsidRPr="002F1EE0">
        <w:rPr>
          <w:sz w:val="24"/>
        </w:rPr>
        <w:t>.  This aggressive approach to second growth logging will prevent these maturing forests from recovering to the point of attaining some old-growth habitat features of value for wildlife. Further, uncut or lightly treated second-growth forests can have some value for wildlife despite the limited availability of biological characteristics associated with old-growth forests.</w:t>
      </w:r>
      <w:r w:rsidRPr="002F1EE0">
        <w:rPr>
          <w:rStyle w:val="FootnoteReference"/>
          <w:sz w:val="24"/>
        </w:rPr>
        <w:footnoteReference w:id="36"/>
      </w:r>
      <w:r w:rsidRPr="002F1EE0">
        <w:rPr>
          <w:sz w:val="24"/>
        </w:rPr>
        <w:t xml:space="preserve">  In particular, wildlife will utilize second-growth forests in areas where there is a deficit of preferred habitats.</w:t>
      </w:r>
      <w:r w:rsidRPr="002F1EE0">
        <w:rPr>
          <w:rStyle w:val="FootnoteReference"/>
          <w:sz w:val="24"/>
        </w:rPr>
        <w:footnoteReference w:id="37"/>
      </w:r>
      <w:r w:rsidRPr="002F1EE0">
        <w:rPr>
          <w:sz w:val="24"/>
        </w:rPr>
        <w:t xml:space="preserve">  Maintaining these recovering forests would have multiple benefits to wildlife by reducing edge effects, extending the size of forested acres, enhancing interior habitat, reducing blowdown risks, reducing disturbances of nesting and breeding areas and providing refugia.</w:t>
      </w:r>
      <w:r w:rsidRPr="002F1EE0">
        <w:rPr>
          <w:rStyle w:val="FootnoteReference"/>
          <w:sz w:val="24"/>
        </w:rPr>
        <w:footnoteReference w:id="38"/>
      </w:r>
    </w:p>
    <w:p w14:paraId="564AF7B3" w14:textId="77777777" w:rsidR="002F1EE0" w:rsidRPr="003A5D44" w:rsidRDefault="002F1EE0" w:rsidP="009359C2">
      <w:pPr>
        <w:pStyle w:val="Heading3"/>
        <w:numPr>
          <w:ilvl w:val="0"/>
          <w:numId w:val="3"/>
        </w:numPr>
        <w:spacing w:before="120" w:after="0"/>
      </w:pPr>
      <w:bookmarkStart w:id="5" w:name="_Toc148104505"/>
      <w:r w:rsidRPr="003A5D44">
        <w:t>Clearcutting is controversial and entails unknown long-term risks</w:t>
      </w:r>
      <w:bookmarkEnd w:id="5"/>
    </w:p>
    <w:p w14:paraId="150D62C6" w14:textId="4F887273" w:rsidR="002F1EE0" w:rsidRPr="002F1EE0" w:rsidRDefault="002F1EE0" w:rsidP="006C5D82">
      <w:pPr>
        <w:ind w:firstLine="720"/>
        <w:rPr>
          <w:rStyle w:val="None"/>
          <w:sz w:val="24"/>
        </w:rPr>
      </w:pPr>
      <w:r w:rsidRPr="002F1EE0">
        <w:rPr>
          <w:sz w:val="24"/>
        </w:rPr>
        <w:t>Industrial logging caused long-term harmful habitat changes for deer and other wildlife by clearcutting old-growth forests.</w:t>
      </w:r>
      <w:r w:rsidRPr="002F1EE0">
        <w:rPr>
          <w:rStyle w:val="FootnoteReference"/>
          <w:sz w:val="24"/>
        </w:rPr>
        <w:footnoteReference w:id="39"/>
      </w:r>
      <w:r w:rsidRPr="002F1EE0">
        <w:rPr>
          <w:sz w:val="24"/>
        </w:rPr>
        <w:t xml:space="preserve">  There are four stages of forest succession in previously clearcut southeast Alaska forests:  (1) stand initiation (1 – 25 years): (2) stem exclusion (25 – 150 years); (3) understory re-initiation (150 – 250 years); and old-growth forest (&gt;250 years).</w:t>
      </w:r>
      <w:r w:rsidRPr="002F1EE0">
        <w:rPr>
          <w:rStyle w:val="FootnoteReference"/>
          <w:sz w:val="24"/>
        </w:rPr>
        <w:footnoteReference w:id="40"/>
      </w:r>
      <w:r w:rsidRPr="002F1EE0">
        <w:rPr>
          <w:sz w:val="24"/>
        </w:rPr>
        <w:t xml:space="preserve"> Canopy closure during the stem exclusion phase causes a long-lasting deficit of wildlife habitat for old-growth </w:t>
      </w:r>
      <w:r w:rsidRPr="002F1EE0">
        <w:rPr>
          <w:sz w:val="24"/>
        </w:rPr>
        <w:lastRenderedPageBreak/>
        <w:t>dependent species.</w:t>
      </w:r>
      <w:r w:rsidRPr="002F1EE0">
        <w:rPr>
          <w:rStyle w:val="FootnoteReference"/>
          <w:sz w:val="24"/>
        </w:rPr>
        <w:footnoteReference w:id="41"/>
      </w:r>
      <w:r w:rsidRPr="002F1EE0">
        <w:rPr>
          <w:sz w:val="24"/>
        </w:rPr>
        <w:t xml:space="preserve"> </w:t>
      </w:r>
      <w:r w:rsidRPr="002F1EE0">
        <w:rPr>
          <w:rStyle w:val="None"/>
          <w:sz w:val="24"/>
        </w:rPr>
        <w:t>Scientists call this impact “succession debt.”</w:t>
      </w:r>
      <w:r w:rsidRPr="002F1EE0">
        <w:rPr>
          <w:rStyle w:val="FootnoteReference"/>
          <w:sz w:val="24"/>
        </w:rPr>
        <w:footnoteReference w:id="42"/>
      </w:r>
      <w:r w:rsidRPr="002F1EE0">
        <w:rPr>
          <w:rStyle w:val="None"/>
          <w:sz w:val="24"/>
        </w:rPr>
        <w:t xml:space="preserve"> </w:t>
      </w:r>
      <w:r w:rsidRPr="002F1EE0">
        <w:rPr>
          <w:sz w:val="24"/>
        </w:rPr>
        <w:t>Setting succession back to its earliest stage will not benefit any resource in the long-term.</w:t>
      </w:r>
      <w:r w:rsidRPr="002F1EE0">
        <w:rPr>
          <w:rStyle w:val="FootnoteReference"/>
          <w:sz w:val="24"/>
        </w:rPr>
        <w:footnoteReference w:id="43"/>
      </w:r>
      <w:r w:rsidRPr="002F1EE0">
        <w:rPr>
          <w:sz w:val="24"/>
        </w:rPr>
        <w:t xml:space="preserve">  </w:t>
      </w:r>
    </w:p>
    <w:p w14:paraId="3D930A1D" w14:textId="77777777" w:rsidR="002F1EE0" w:rsidRPr="002F1EE0" w:rsidRDefault="002F1EE0" w:rsidP="006C5D82">
      <w:pPr>
        <w:ind w:firstLine="720"/>
        <w:rPr>
          <w:sz w:val="24"/>
        </w:rPr>
      </w:pPr>
      <w:r w:rsidRPr="002F1EE0">
        <w:rPr>
          <w:sz w:val="24"/>
        </w:rPr>
        <w:t>This project requires an EIS under several NEPA intensity factors because it would extend the succession debt for wildlife and delay or prevent these public forests from eventually developing old-growth habitat characteristics.    The CEQ regulations explain that indirect effects are effects “which are caused by the action and</w:t>
      </w:r>
      <w:r w:rsidRPr="002F1EE0">
        <w:rPr>
          <w:i/>
          <w:sz w:val="24"/>
        </w:rPr>
        <w:t xml:space="preserve"> are later in time or farther removed in distance, but are still reasonably foreseeable</w:t>
      </w:r>
      <w:r w:rsidRPr="002F1EE0">
        <w:rPr>
          <w:iCs/>
          <w:sz w:val="24"/>
        </w:rPr>
        <w:t>.</w:t>
      </w:r>
      <w:r w:rsidRPr="002F1EE0">
        <w:rPr>
          <w:i/>
          <w:sz w:val="24"/>
        </w:rPr>
        <w:t>”</w:t>
      </w:r>
      <w:r w:rsidRPr="002F1EE0">
        <w:rPr>
          <w:rStyle w:val="FootnoteReference"/>
          <w:sz w:val="24"/>
        </w:rPr>
        <w:footnoteReference w:id="44"/>
      </w:r>
      <w:r w:rsidRPr="002F1EE0">
        <w:rPr>
          <w:sz w:val="24"/>
        </w:rPr>
        <w:t xml:space="preserve">  Many of these older maturing forests would foreseeably recover later in time into the understory reinitiation stage between 2060 and 2070.</w:t>
      </w:r>
      <w:r w:rsidRPr="002F1EE0">
        <w:rPr>
          <w:rStyle w:val="FootnoteReference"/>
          <w:sz w:val="24"/>
        </w:rPr>
        <w:footnoteReference w:id="45"/>
      </w:r>
      <w:r w:rsidRPr="002F1EE0">
        <w:rPr>
          <w:sz w:val="24"/>
        </w:rPr>
        <w:t xml:space="preserve"> If implemented, this project would delay the recovery process by another half century before these forests reach the same inhospitable stand conditions present today, and another half century after that to enter the understory reinitiation stage.</w:t>
      </w:r>
      <w:r w:rsidRPr="002F1EE0">
        <w:rPr>
          <w:rStyle w:val="FootnoteReference"/>
          <w:sz w:val="24"/>
        </w:rPr>
        <w:footnoteReference w:id="46"/>
      </w:r>
      <w:r w:rsidRPr="002F1EE0">
        <w:rPr>
          <w:sz w:val="24"/>
        </w:rPr>
        <w:t xml:space="preserve"> </w:t>
      </w:r>
    </w:p>
    <w:p w14:paraId="4CF7DF9D" w14:textId="08C57B8F" w:rsidR="002F1EE0" w:rsidRPr="002F1EE0" w:rsidRDefault="002F1EE0" w:rsidP="006C5D82">
      <w:pPr>
        <w:autoSpaceDE w:val="0"/>
        <w:autoSpaceDN w:val="0"/>
        <w:adjustRightInd w:val="0"/>
        <w:ind w:firstLine="720"/>
        <w:rPr>
          <w:rFonts w:cs="TimesNewRomanPSMT"/>
          <w:sz w:val="24"/>
        </w:rPr>
      </w:pPr>
      <w:r w:rsidRPr="002F1EE0">
        <w:rPr>
          <w:sz w:val="24"/>
        </w:rPr>
        <w:t xml:space="preserve">There is ample scientific analysis to demonstrate that this project will have significant adverse environmental impacts. Scientific experts evaluating the impacts of logging on Tongass wildlife conservation during the 1990s explained that short rotations of 100 to 110 years old (or less) would prevent the “development of additional, quality habitat and </w:t>
      </w:r>
      <w:proofErr w:type="spellStart"/>
      <w:r w:rsidRPr="002F1EE0">
        <w:rPr>
          <w:sz w:val="24"/>
        </w:rPr>
        <w:t>increas</w:t>
      </w:r>
      <w:proofErr w:type="spellEnd"/>
      <w:r w:rsidRPr="002F1EE0">
        <w:rPr>
          <w:sz w:val="24"/>
        </w:rPr>
        <w:t>[e] species extirpation risks across the landscape” over the long-term.</w:t>
      </w:r>
      <w:r w:rsidRPr="002F1EE0">
        <w:rPr>
          <w:rStyle w:val="FootnoteReference"/>
          <w:sz w:val="24"/>
        </w:rPr>
        <w:footnoteReference w:id="47"/>
      </w:r>
      <w:r w:rsidRPr="002F1EE0">
        <w:rPr>
          <w:sz w:val="24"/>
        </w:rPr>
        <w:t xml:space="preserve"> The biologists identified a significant difference between landscape scale clearcutting on a one hundred year rotation versus a 200 year rotation because of habitat features that emerge during the second century of forest succession.</w:t>
      </w:r>
      <w:r w:rsidRPr="002F1EE0">
        <w:rPr>
          <w:rStyle w:val="FootnoteReference"/>
          <w:sz w:val="24"/>
        </w:rPr>
        <w:footnoteReference w:id="48"/>
      </w:r>
      <w:r w:rsidRPr="002F1EE0">
        <w:rPr>
          <w:sz w:val="24"/>
        </w:rPr>
        <w:t xml:space="preserve">  Long-term wildlife viability requires a mix of forested habitats and the scale of clearcutting proposed here would delay or prevent the development of forests into the understory re-initiation stage.</w:t>
      </w:r>
      <w:r w:rsidRPr="002F1EE0">
        <w:rPr>
          <w:rStyle w:val="FootnoteReference"/>
          <w:sz w:val="24"/>
        </w:rPr>
        <w:footnoteReference w:id="49"/>
      </w:r>
      <w:r w:rsidRPr="002F1EE0">
        <w:rPr>
          <w:sz w:val="24"/>
        </w:rPr>
        <w:t xml:space="preserve">  </w:t>
      </w:r>
    </w:p>
    <w:p w14:paraId="5C4A6526" w14:textId="77777777" w:rsidR="002F1EE0" w:rsidRPr="003068FC" w:rsidRDefault="002F1EE0" w:rsidP="006C5D82">
      <w:pPr>
        <w:ind w:firstLine="720"/>
        <w:rPr>
          <w:szCs w:val="22"/>
        </w:rPr>
      </w:pPr>
      <w:r w:rsidRPr="002F1EE0">
        <w:rPr>
          <w:sz w:val="24"/>
        </w:rPr>
        <w:lastRenderedPageBreak/>
        <w:t>The 2018 Prince of Wales Landscape Level Analysis FEIS also recognized that logging young second-growth forests will prevent the development of old-growth forest structure and functions that include long-term understory forage production and other habitat qualities for wildlife.</w:t>
      </w:r>
      <w:r w:rsidRPr="002F1EE0">
        <w:rPr>
          <w:rStyle w:val="FootnoteReference"/>
          <w:sz w:val="24"/>
        </w:rPr>
        <w:footnoteReference w:id="50"/>
      </w:r>
      <w:r w:rsidRPr="002F1EE0">
        <w:rPr>
          <w:sz w:val="24"/>
        </w:rPr>
        <w:t xml:space="preserve">  It explicitly admitted uncertainty and controversy within the meaning of NEPA’s intensity factors:  (1) “there is no research” suggesting that it is better to continuously clearcut maturing forests rather than let them grow back; (2) the benefits of short-rotation forest are debatable and (3) while there may be some short-term benefits to resetting to the stand initiation stage, at least in the summer, “the long-term effects are unknown.”</w:t>
      </w:r>
      <w:r w:rsidRPr="002F1EE0">
        <w:rPr>
          <w:rStyle w:val="FootnoteReference"/>
          <w:sz w:val="24"/>
        </w:rPr>
        <w:footnoteReference w:id="51"/>
      </w:r>
      <w:r w:rsidRPr="002F1EE0">
        <w:rPr>
          <w:sz w:val="24"/>
        </w:rPr>
        <w:t xml:space="preserve"> Given the impact of the long-term habitat deficit associated with maintaining forests across the landscape in the stem exclusion phase, particularly in light of the proportion of private and state logging in the planning area, it is unreasonable to analyze this project in an EA</w:t>
      </w:r>
      <w:r>
        <w:t>.</w:t>
      </w:r>
    </w:p>
    <w:p w14:paraId="2D1737DA" w14:textId="5D4CFDF4" w:rsidR="002F1EE0" w:rsidRPr="003A5D44" w:rsidRDefault="002F1EE0" w:rsidP="009359C2">
      <w:pPr>
        <w:pStyle w:val="Heading3"/>
        <w:numPr>
          <w:ilvl w:val="0"/>
          <w:numId w:val="3"/>
        </w:numPr>
        <w:spacing w:before="120" w:after="0"/>
        <w:rPr>
          <w:rStyle w:val="None"/>
        </w:rPr>
      </w:pPr>
      <w:bookmarkStart w:id="6" w:name="_Toc148104506"/>
      <w:r w:rsidRPr="003A5D44">
        <w:rPr>
          <w:rStyle w:val="None"/>
        </w:rPr>
        <w:t>Setting back succession poses adverse long-term impacts to deer</w:t>
      </w:r>
      <w:bookmarkEnd w:id="6"/>
    </w:p>
    <w:p w14:paraId="6EC65FE3" w14:textId="0AE2AC6B" w:rsidR="002F1EE0" w:rsidRPr="002F1EE0" w:rsidRDefault="002F1EE0" w:rsidP="006C5D82">
      <w:pPr>
        <w:ind w:firstLine="720"/>
        <w:rPr>
          <w:rFonts w:eastAsia="Arial Unicode MS"/>
          <w:noProof/>
          <w:sz w:val="24"/>
        </w:rPr>
      </w:pPr>
      <w:r w:rsidRPr="002F1EE0">
        <w:rPr>
          <w:rFonts w:eastAsia="Cambria"/>
          <w:sz w:val="24"/>
        </w:rPr>
        <w:t>Alaska Department of Fish and Game biologists expect the Prince of Wales deer population to decline because of habitat loss caused by logging.</w:t>
      </w:r>
      <w:r w:rsidRPr="002F1EE0">
        <w:rPr>
          <w:rStyle w:val="FootnoteReference"/>
          <w:rFonts w:ascii="Cambria" w:hAnsi="Cambria"/>
          <w:noProof/>
          <w:sz w:val="24"/>
        </w:rPr>
        <w:footnoteReference w:id="52"/>
      </w:r>
      <w:r w:rsidRPr="002F1EE0">
        <w:rPr>
          <w:rFonts w:eastAsia="Cambria"/>
          <w:sz w:val="24"/>
        </w:rPr>
        <w:t xml:space="preserve"> </w:t>
      </w:r>
      <w:r w:rsidRPr="002F1EE0">
        <w:rPr>
          <w:rStyle w:val="None"/>
          <w:noProof/>
          <w:sz w:val="24"/>
        </w:rPr>
        <w:t xml:space="preserve">There has been a substantial and disproportionate </w:t>
      </w:r>
      <w:r w:rsidR="00F5669F">
        <w:rPr>
          <w:rStyle w:val="None"/>
          <w:noProof/>
          <w:sz w:val="24"/>
        </w:rPr>
        <w:t xml:space="preserve">loss of </w:t>
      </w:r>
      <w:r w:rsidRPr="002F1EE0">
        <w:rPr>
          <w:rStyle w:val="None"/>
          <w:noProof/>
          <w:sz w:val="24"/>
        </w:rPr>
        <w:t>large-tree forest and winter habitat to logging on central and northern Prince Wales Island.</w:t>
      </w:r>
      <w:r w:rsidRPr="002F1EE0">
        <w:rPr>
          <w:rStyle w:val="FootnoteReference"/>
          <w:rFonts w:ascii="Cambria" w:hAnsi="Cambria"/>
          <w:noProof/>
          <w:sz w:val="24"/>
        </w:rPr>
        <w:footnoteReference w:id="53"/>
      </w:r>
      <w:r w:rsidRPr="002F1EE0">
        <w:rPr>
          <w:rStyle w:val="None"/>
          <w:rFonts w:ascii="Cambria" w:hAnsi="Cambria"/>
          <w:noProof/>
          <w:sz w:val="24"/>
        </w:rPr>
        <w:t xml:space="preserve">  </w:t>
      </w:r>
      <w:r w:rsidRPr="002F1EE0">
        <w:rPr>
          <w:rStyle w:val="None"/>
          <w:noProof/>
          <w:sz w:val="24"/>
        </w:rPr>
        <w:t>Recent federal timber sales</w:t>
      </w:r>
      <w:r w:rsidRPr="002F1EE0">
        <w:rPr>
          <w:rFonts w:eastAsia="Cambria"/>
          <w:sz w:val="24"/>
        </w:rPr>
        <w:t xml:space="preserve"> targeted most of the last remaining stands of high-quality winter deer habitat and deer travel corridors in the north and central parts of the island</w:t>
      </w:r>
      <w:r w:rsidRPr="002F1EE0">
        <w:rPr>
          <w:noProof/>
          <w:sz w:val="24"/>
        </w:rPr>
        <w:t>.</w:t>
      </w:r>
      <w:r w:rsidRPr="002F1EE0">
        <w:rPr>
          <w:rStyle w:val="FootnoteReference"/>
          <w:rFonts w:ascii="Cambria" w:hAnsi="Cambria"/>
          <w:noProof/>
          <w:sz w:val="24"/>
        </w:rPr>
        <w:footnoteReference w:id="54"/>
      </w:r>
      <w:r w:rsidRPr="002F1EE0">
        <w:rPr>
          <w:noProof/>
          <w:sz w:val="24"/>
        </w:rPr>
        <w:t xml:space="preserve">  Federal and non-federal logging combined has created</w:t>
      </w:r>
      <w:r w:rsidR="00F5669F">
        <w:rPr>
          <w:noProof/>
          <w:sz w:val="24"/>
        </w:rPr>
        <w:t>, on this island,</w:t>
      </w:r>
      <w:r w:rsidRPr="002F1EE0">
        <w:rPr>
          <w:noProof/>
          <w:sz w:val="24"/>
        </w:rPr>
        <w:t xml:space="preserve"> the highest density of clearcuts in Southeast Alaska.</w:t>
      </w:r>
      <w:r w:rsidRPr="002F1EE0">
        <w:rPr>
          <w:rStyle w:val="FootnoteReference"/>
          <w:rFonts w:ascii="Cambria" w:hAnsi="Cambria"/>
          <w:noProof/>
          <w:sz w:val="24"/>
        </w:rPr>
        <w:footnoteReference w:id="55"/>
      </w:r>
      <w:r w:rsidRPr="002F1EE0">
        <w:rPr>
          <w:noProof/>
          <w:sz w:val="24"/>
        </w:rPr>
        <w:t xml:space="preserve">  </w:t>
      </w:r>
    </w:p>
    <w:p w14:paraId="4B59826C" w14:textId="77777777" w:rsidR="002F1EE0" w:rsidRPr="002F1EE0" w:rsidRDefault="002F1EE0" w:rsidP="006C5D82">
      <w:pPr>
        <w:ind w:firstLine="720"/>
        <w:rPr>
          <w:rFonts w:eastAsia="Cambria"/>
          <w:sz w:val="24"/>
        </w:rPr>
      </w:pPr>
      <w:r w:rsidRPr="002F1EE0">
        <w:rPr>
          <w:rStyle w:val="None"/>
          <w:rFonts w:eastAsia="MS Mincho"/>
          <w:sz w:val="24"/>
        </w:rPr>
        <w:t>Lower deer carrying capacity in the long-term will reduce hunting opportunities in the most important individual island for deer hunting in Southeast Alaska.</w:t>
      </w:r>
      <w:r w:rsidRPr="002F1EE0">
        <w:rPr>
          <w:rStyle w:val="FootnoteReference"/>
          <w:sz w:val="24"/>
        </w:rPr>
        <w:footnoteReference w:id="56"/>
      </w:r>
      <w:r w:rsidRPr="002F1EE0">
        <w:rPr>
          <w:rStyle w:val="None"/>
          <w:rFonts w:eastAsia="MS Mincho"/>
          <w:sz w:val="24"/>
        </w:rPr>
        <w:t xml:space="preserve"> </w:t>
      </w:r>
      <w:r w:rsidRPr="002F1EE0">
        <w:rPr>
          <w:sz w:val="24"/>
        </w:rPr>
        <w:t>There is increasing concern about ongoing declines in POW deer populations.</w:t>
      </w:r>
      <w:r w:rsidRPr="002F1EE0">
        <w:rPr>
          <w:rStyle w:val="FootnoteReference"/>
          <w:sz w:val="24"/>
        </w:rPr>
        <w:footnoteReference w:id="57"/>
      </w:r>
      <w:r w:rsidRPr="002F1EE0">
        <w:rPr>
          <w:sz w:val="24"/>
        </w:rPr>
        <w:t xml:space="preserve"> </w:t>
      </w:r>
      <w:r w:rsidRPr="002F1EE0">
        <w:rPr>
          <w:rStyle w:val="None"/>
          <w:rFonts w:eastAsia="MS Mincho"/>
          <w:sz w:val="24"/>
        </w:rPr>
        <w:t>Subsistence hunters cite increasing difficulty harvesting deer on the island.</w:t>
      </w:r>
      <w:r w:rsidRPr="002F1EE0">
        <w:rPr>
          <w:rStyle w:val="FootnoteReference"/>
          <w:sz w:val="24"/>
        </w:rPr>
        <w:footnoteReference w:id="58"/>
      </w:r>
      <w:r w:rsidRPr="002F1EE0">
        <w:rPr>
          <w:rStyle w:val="None"/>
          <w:rFonts w:eastAsia="MS Mincho"/>
          <w:sz w:val="24"/>
        </w:rPr>
        <w:t xml:space="preserve">  </w:t>
      </w:r>
      <w:r w:rsidRPr="002F1EE0">
        <w:rPr>
          <w:rFonts w:eastAsia="Cambria"/>
          <w:sz w:val="24"/>
        </w:rPr>
        <w:t xml:space="preserve">The Alaska </w:t>
      </w:r>
      <w:r w:rsidRPr="002F1EE0">
        <w:rPr>
          <w:rFonts w:eastAsia="Cambria"/>
          <w:sz w:val="24"/>
        </w:rPr>
        <w:lastRenderedPageBreak/>
        <w:t>Department of Fish and Game has concerns about the cumulative adverse effects of past, ongoing and future industrial scale clearcutting:</w:t>
      </w:r>
    </w:p>
    <w:p w14:paraId="00A03CAA" w14:textId="77777777" w:rsidR="002F1EE0" w:rsidRPr="00D41E19" w:rsidRDefault="002F1EE0" w:rsidP="006C5D82">
      <w:pPr>
        <w:ind w:left="720" w:right="720" w:firstLine="0"/>
        <w:jc w:val="both"/>
        <w:rPr>
          <w:rStyle w:val="None"/>
          <w:rFonts w:eastAsia="Arial Unicode MS" w:cs="Arial Unicode MS"/>
          <w:color w:val="000000"/>
          <w:szCs w:val="22"/>
        </w:rPr>
      </w:pPr>
      <w:r w:rsidRPr="00D41E19">
        <w:rPr>
          <w:rStyle w:val="None"/>
          <w:szCs w:val="22"/>
        </w:rPr>
        <w:t>We should better inform the public regarding the effects of logging on deer populations, so they are aware of trade-offs between timber harvest and wildlife.  We anticipate that logging related reductions in important winter habitat will reduce deer carrying capacity for decades to come.  The long term consequences of habitat loss include loss of hunting opportunity and the inability to provide for subsistence needs of rural residents.</w:t>
      </w:r>
      <w:r w:rsidRPr="00CE371A">
        <w:rPr>
          <w:rStyle w:val="FootnoteReference"/>
          <w:szCs w:val="22"/>
        </w:rPr>
        <w:footnoteReference w:id="59"/>
      </w:r>
    </w:p>
    <w:p w14:paraId="1E43F5A4" w14:textId="77777777" w:rsidR="002F1EE0" w:rsidRPr="002F1EE0" w:rsidRDefault="002F1EE0" w:rsidP="006C5D82">
      <w:pPr>
        <w:ind w:firstLine="720"/>
        <w:rPr>
          <w:sz w:val="24"/>
        </w:rPr>
      </w:pPr>
      <w:r w:rsidRPr="002F1EE0">
        <w:rPr>
          <w:rStyle w:val="None"/>
          <w:rFonts w:eastAsia="Bookman Old Style" w:cs="Bookman Old Style"/>
          <w:sz w:val="24"/>
        </w:rPr>
        <w:t xml:space="preserve">The loss of </w:t>
      </w:r>
      <w:r w:rsidRPr="002F1EE0">
        <w:rPr>
          <w:rStyle w:val="None"/>
          <w:sz w:val="24"/>
        </w:rPr>
        <w:t>low-elevation productive old-growth forest - essential winter habitat for deer - has long been a major mortality factor for deer.</w:t>
      </w:r>
      <w:r w:rsidRPr="002F1EE0">
        <w:rPr>
          <w:rStyle w:val="FootnoteReference"/>
          <w:sz w:val="24"/>
        </w:rPr>
        <w:footnoteReference w:id="60"/>
      </w:r>
      <w:r w:rsidRPr="002F1EE0">
        <w:rPr>
          <w:rStyle w:val="None"/>
          <w:sz w:val="24"/>
        </w:rPr>
        <w:t xml:space="preserve">  After clearcutting, low abundance and poor quality forage conditions persist for over a century, leading to declines in </w:t>
      </w:r>
      <w:r w:rsidRPr="002F1EE0">
        <w:rPr>
          <w:sz w:val="24"/>
        </w:rPr>
        <w:t>d</w:t>
      </w:r>
      <w:r w:rsidRPr="002F1EE0">
        <w:rPr>
          <w:rStyle w:val="None"/>
          <w:sz w:val="24"/>
        </w:rPr>
        <w:t>eer populations.</w:t>
      </w:r>
      <w:r w:rsidRPr="002F1EE0">
        <w:rPr>
          <w:rStyle w:val="FootnoteReference"/>
          <w:sz w:val="24"/>
        </w:rPr>
        <w:footnoteReference w:id="61"/>
      </w:r>
      <w:r w:rsidRPr="002F1EE0">
        <w:rPr>
          <w:rStyle w:val="None"/>
          <w:sz w:val="24"/>
        </w:rPr>
        <w:t xml:space="preserve">  </w:t>
      </w:r>
      <w:r w:rsidRPr="002F1EE0">
        <w:rPr>
          <w:rFonts w:eastAsia="Cambria" w:cs="Cambria"/>
          <w:kern w:val="2"/>
          <w:sz w:val="24"/>
        </w:rPr>
        <w:t>Winter weather and predation by wolves and bears, are the other main threats to Sitka black-tailed deer.</w:t>
      </w:r>
      <w:r w:rsidRPr="002F1EE0">
        <w:rPr>
          <w:rStyle w:val="FootnoteReference"/>
          <w:rFonts w:eastAsia="Cambria" w:cs="Cambria"/>
          <w:kern w:val="2"/>
          <w:sz w:val="24"/>
        </w:rPr>
        <w:footnoteReference w:id="62"/>
      </w:r>
      <w:r w:rsidRPr="002F1EE0">
        <w:rPr>
          <w:rFonts w:eastAsia="Cambria" w:cs="Cambria"/>
          <w:kern w:val="2"/>
          <w:sz w:val="24"/>
        </w:rPr>
        <w:t xml:space="preserve">  Warmer winters will not necessarily reduce this risk; instead,</w:t>
      </w:r>
      <w:r w:rsidRPr="002F1EE0">
        <w:rPr>
          <w:rStyle w:val="None"/>
          <w:sz w:val="24"/>
        </w:rPr>
        <w:t xml:space="preserve"> expected increases in precipitation and extreme storms may exacerbate risks to deer.</w:t>
      </w:r>
      <w:r w:rsidRPr="002F1EE0">
        <w:rPr>
          <w:rStyle w:val="FootnoteReference"/>
          <w:sz w:val="24"/>
        </w:rPr>
        <w:footnoteReference w:id="63"/>
      </w:r>
      <w:r w:rsidRPr="002F1EE0">
        <w:rPr>
          <w:rStyle w:val="FootnoteReference"/>
          <w:sz w:val="24"/>
        </w:rPr>
        <w:t xml:space="preserve"> </w:t>
      </w:r>
    </w:p>
    <w:p w14:paraId="30334AAE" w14:textId="15F95FC7" w:rsidR="002F1EE0" w:rsidRPr="002F1EE0" w:rsidRDefault="002F1EE0" w:rsidP="006C5D82">
      <w:pPr>
        <w:rPr>
          <w:sz w:val="24"/>
        </w:rPr>
      </w:pPr>
      <w:r w:rsidRPr="002F1EE0">
        <w:rPr>
          <w:sz w:val="24"/>
        </w:rPr>
        <w:t>Deer do utilize older second-growth as snow depths increase.</w:t>
      </w:r>
      <w:r w:rsidRPr="002F1EE0">
        <w:rPr>
          <w:rStyle w:val="FootnoteReference"/>
          <w:sz w:val="24"/>
        </w:rPr>
        <w:footnoteReference w:id="64"/>
      </w:r>
      <w:r w:rsidRPr="002F1EE0">
        <w:rPr>
          <w:sz w:val="24"/>
        </w:rPr>
        <w:t xml:space="preserve">  One of the most significant adverse impacts to deer pertains to the need for varying habitat needs within seasons or even over periods of years, particularly for snow interception</w:t>
      </w:r>
      <w:r w:rsidR="007A7E2E">
        <w:rPr>
          <w:sz w:val="24"/>
        </w:rPr>
        <w:t>:</w:t>
      </w:r>
      <w:r w:rsidRPr="002F1EE0">
        <w:rPr>
          <w:sz w:val="24"/>
        </w:rPr>
        <w:t xml:space="preserve"> </w:t>
      </w:r>
    </w:p>
    <w:p w14:paraId="3AC4B9BC" w14:textId="77777777" w:rsidR="002F1EE0" w:rsidRDefault="002F1EE0" w:rsidP="006C5D82">
      <w:pPr>
        <w:ind w:left="720" w:right="720"/>
        <w:jc w:val="both"/>
      </w:pPr>
      <w:r>
        <w:t xml:space="preserve">For ungulates at temperate and higher latitudes, winter is often the limiting season for survival, when cold temperatures and snowfall restrict the availability of forage and increase costs of movement.  In addition, vulnerability of ungulates to predators can be higher in snow-covered landscapes because of reduced nutritional condition and increased cost of movements for prey relative to predators.  Subsequently, habitat selection of ungulates in winter can be strongly shaped by the landscapes of energetic costs and risk of death.  </w:t>
      </w:r>
      <w:r>
        <w:rPr>
          <w:i/>
          <w:u w:val="single"/>
        </w:rPr>
        <w:t>As snow depth increases, values of habitat to wildlife may be completely reversed from low-snow conditions.</w:t>
      </w:r>
      <w:r>
        <w:t xml:space="preserve">  As habitat types with abundant forage but little canopy cover to intercept snow become unusable, habitats with adequate forage and good canopy cover become preferred.</w:t>
      </w:r>
      <w:r>
        <w:rPr>
          <w:rStyle w:val="FootnoteReference"/>
        </w:rPr>
        <w:footnoteReference w:id="65"/>
      </w:r>
    </w:p>
    <w:p w14:paraId="28162C31" w14:textId="77777777" w:rsidR="002F1EE0" w:rsidRPr="002F1EE0" w:rsidRDefault="002F1EE0" w:rsidP="006C5D82">
      <w:pPr>
        <w:ind w:firstLine="720"/>
        <w:rPr>
          <w:sz w:val="24"/>
        </w:rPr>
      </w:pPr>
      <w:r w:rsidRPr="00F5669F">
        <w:rPr>
          <w:b/>
          <w:sz w:val="24"/>
        </w:rPr>
        <w:t>There is little the Forest Service can do</w:t>
      </w:r>
      <w:r w:rsidRPr="002F1EE0">
        <w:rPr>
          <w:sz w:val="24"/>
        </w:rPr>
        <w:t xml:space="preserve"> to address the need for forest cover to reduce snow accumulation </w:t>
      </w:r>
      <w:r w:rsidRPr="00F5669F">
        <w:rPr>
          <w:b/>
          <w:sz w:val="24"/>
        </w:rPr>
        <w:t>other than to allow juvenile trees to mature.</w:t>
      </w:r>
      <w:r w:rsidRPr="002F1EE0">
        <w:rPr>
          <w:rStyle w:val="FootnoteReference"/>
          <w:sz w:val="24"/>
        </w:rPr>
        <w:footnoteReference w:id="66"/>
      </w:r>
      <w:r w:rsidRPr="002F1EE0">
        <w:rPr>
          <w:sz w:val="24"/>
        </w:rPr>
        <w:t xml:space="preserve">  </w:t>
      </w:r>
    </w:p>
    <w:p w14:paraId="75AA0926" w14:textId="77777777" w:rsidR="002F1EE0" w:rsidRPr="002F1EE0" w:rsidRDefault="002F1EE0" w:rsidP="006C5D82">
      <w:pPr>
        <w:autoSpaceDE w:val="0"/>
        <w:autoSpaceDN w:val="0"/>
        <w:adjustRightInd w:val="0"/>
        <w:ind w:firstLine="720"/>
        <w:rPr>
          <w:sz w:val="24"/>
        </w:rPr>
      </w:pPr>
      <w:r w:rsidRPr="002F1EE0">
        <w:rPr>
          <w:sz w:val="24"/>
        </w:rPr>
        <w:lastRenderedPageBreak/>
        <w:t>Although deer may benefit from new clearcuts during summer and mild winters, in the long-term clearcutting second growth forests on short rotations will reduce habitat capability and eliminate suitable foraging habitat.</w:t>
      </w:r>
      <w:r w:rsidRPr="002F1EE0">
        <w:rPr>
          <w:rStyle w:val="FootnoteReference"/>
          <w:sz w:val="24"/>
        </w:rPr>
        <w:footnoteReference w:id="67"/>
      </w:r>
      <w:r w:rsidRPr="002F1EE0">
        <w:rPr>
          <w:sz w:val="24"/>
        </w:rPr>
        <w:t xml:space="preserve">  The forage that clearcutting produces for deer will only be available for 10 to 25 years and will not be available during severe winters.</w:t>
      </w:r>
      <w:r w:rsidRPr="002F1EE0">
        <w:rPr>
          <w:rStyle w:val="FootnoteReference"/>
          <w:sz w:val="24"/>
        </w:rPr>
        <w:footnoteReference w:id="68"/>
      </w:r>
      <w:r w:rsidRPr="002F1EE0">
        <w:rPr>
          <w:sz w:val="24"/>
        </w:rPr>
        <w:t xml:space="preserve">  Ultimately, maintaining the landscape as second-growth forests will compromise forest succession to long-term habitat conditions favorable for deer and increase mortality risks to them over time.</w:t>
      </w:r>
      <w:r w:rsidRPr="002F1EE0">
        <w:rPr>
          <w:rStyle w:val="FootnoteReference"/>
          <w:sz w:val="24"/>
        </w:rPr>
        <w:footnoteReference w:id="69"/>
      </w:r>
      <w:r w:rsidRPr="002F1EE0">
        <w:rPr>
          <w:sz w:val="24"/>
        </w:rPr>
        <w:t xml:space="preserve">  </w:t>
      </w:r>
    </w:p>
    <w:p w14:paraId="172DDD3C" w14:textId="77777777" w:rsidR="002F1EE0" w:rsidRPr="003A5D44" w:rsidRDefault="002F1EE0" w:rsidP="006C5D82">
      <w:pPr>
        <w:pStyle w:val="Heading3"/>
        <w:spacing w:before="120" w:after="0"/>
      </w:pPr>
      <w:r w:rsidRPr="003A5D44">
        <w:t xml:space="preserve"> </w:t>
      </w:r>
      <w:bookmarkStart w:id="7" w:name="_Toc148104507"/>
      <w:r w:rsidRPr="003A5D44">
        <w:t>3</w:t>
      </w:r>
      <w:r>
        <w:t xml:space="preserve">. </w:t>
      </w:r>
      <w:r w:rsidRPr="003A5D44">
        <w:t>Succession debt also poses risks to apex predators</w:t>
      </w:r>
      <w:bookmarkEnd w:id="7"/>
    </w:p>
    <w:p w14:paraId="558D05F6" w14:textId="77777777" w:rsidR="002F1EE0" w:rsidRDefault="002F1EE0" w:rsidP="006C5D82">
      <w:pPr>
        <w:ind w:firstLine="720"/>
        <w:rPr>
          <w:rFonts w:cs="MinionPro-Regular"/>
          <w:color w:val="000000"/>
          <w:sz w:val="24"/>
        </w:rPr>
      </w:pPr>
      <w:r w:rsidRPr="002F1EE0">
        <w:rPr>
          <w:sz w:val="24"/>
        </w:rPr>
        <w:t>These same concerns about succession debt apply to the island’s apex predators. Wolf and deer abundances are intertwined – substantial reductions in deer populations caused by logging and succession debt will eventually result in smaller wolf populations.</w:t>
      </w:r>
      <w:r w:rsidRPr="002F1EE0">
        <w:rPr>
          <w:rStyle w:val="FootnoteReference"/>
          <w:sz w:val="24"/>
        </w:rPr>
        <w:footnoteReference w:id="70"/>
      </w:r>
      <w:r w:rsidRPr="002F1EE0">
        <w:rPr>
          <w:sz w:val="24"/>
        </w:rPr>
        <w:t xml:space="preserve"> </w:t>
      </w:r>
      <w:r w:rsidRPr="002F1EE0">
        <w:rPr>
          <w:rFonts w:cs="MinionPro-Regular"/>
          <w:sz w:val="24"/>
        </w:rPr>
        <w:t>Prince of Wales and surrounding islands once had the largest wolf population in Southeast Alaska.</w:t>
      </w:r>
      <w:r w:rsidRPr="002F1EE0">
        <w:rPr>
          <w:rStyle w:val="FootnoteReference"/>
          <w:rFonts w:cs="MinionPro-Regular"/>
          <w:sz w:val="24"/>
        </w:rPr>
        <w:footnoteReference w:id="71"/>
      </w:r>
      <w:r w:rsidRPr="002F1EE0">
        <w:rPr>
          <w:rFonts w:cs="MinionPro-Regular"/>
          <w:sz w:val="24"/>
        </w:rPr>
        <w:t xml:space="preserve">  </w:t>
      </w:r>
      <w:r w:rsidRPr="002F1EE0">
        <w:rPr>
          <w:rFonts w:cs="MinionPro-Regular"/>
          <w:color w:val="000000"/>
          <w:sz w:val="24"/>
        </w:rPr>
        <w:t>Industrial logging directly and indirectly is responsible for the Alexander Archipelago wolf population declines by creating less productive forest with lower habitat capacity for deer and a road network that increased human access.</w:t>
      </w:r>
      <w:r w:rsidRPr="002F1EE0">
        <w:rPr>
          <w:rStyle w:val="FootnoteReference"/>
          <w:rFonts w:cs="MinionPro-Regular"/>
          <w:color w:val="000000"/>
          <w:sz w:val="24"/>
        </w:rPr>
        <w:t xml:space="preserve"> </w:t>
      </w:r>
      <w:r w:rsidRPr="002F1EE0">
        <w:rPr>
          <w:rStyle w:val="FootnoteReference"/>
          <w:rFonts w:cs="MinionPro-Regular"/>
          <w:color w:val="000000"/>
          <w:sz w:val="24"/>
        </w:rPr>
        <w:footnoteReference w:id="72"/>
      </w:r>
      <w:r w:rsidRPr="002F1EE0">
        <w:rPr>
          <w:rFonts w:cs="MinionPro-Regular"/>
          <w:color w:val="000000"/>
          <w:sz w:val="24"/>
        </w:rPr>
        <w:t xml:space="preserve">  </w:t>
      </w:r>
    </w:p>
    <w:p w14:paraId="25AF3090" w14:textId="093F2FE8" w:rsidR="00413F06" w:rsidRPr="00413F06" w:rsidRDefault="00413F06" w:rsidP="006C5D82">
      <w:pPr>
        <w:ind w:firstLine="720"/>
        <w:rPr>
          <w:sz w:val="24"/>
        </w:rPr>
      </w:pPr>
      <w:r>
        <w:rPr>
          <w:sz w:val="24"/>
        </w:rPr>
        <w:t xml:space="preserve">In August </w:t>
      </w:r>
      <w:r w:rsidR="00F46CA0">
        <w:rPr>
          <w:sz w:val="24"/>
        </w:rPr>
        <w:t xml:space="preserve">of </w:t>
      </w:r>
      <w:r>
        <w:rPr>
          <w:sz w:val="24"/>
        </w:rPr>
        <w:t>this year, the U.S. Fish and Wildlife Service concluded that listing the Alexander Archipelago Wolf as threatened or endangered was not warranted based on the stability of populations in four large areas outside of Prince of Wales Island.</w:t>
      </w:r>
      <w:r>
        <w:rPr>
          <w:rStyle w:val="FootnoteReference"/>
          <w:sz w:val="24"/>
        </w:rPr>
        <w:footnoteReference w:id="73"/>
      </w:r>
      <w:r>
        <w:rPr>
          <w:sz w:val="24"/>
        </w:rPr>
        <w:t xml:space="preserve">  The agency also found the Prince of Wales Island wolves were inbreeding, prey-limited, overly reliant on a single prey source, deer, and susceptible to excessive mortality from humans.</w:t>
      </w:r>
      <w:r>
        <w:rPr>
          <w:rStyle w:val="FootnoteReference"/>
          <w:sz w:val="24"/>
        </w:rPr>
        <w:footnoteReference w:id="74"/>
      </w:r>
      <w:r>
        <w:rPr>
          <w:sz w:val="24"/>
        </w:rPr>
        <w:t xml:space="preserve">  The agency considered three future scenarios for wolves on Prince of Wales Island and projected that the population could become moderately resilient – or functionally extirpated.</w:t>
      </w:r>
      <w:r w:rsidRPr="00413F06">
        <w:rPr>
          <w:rStyle w:val="FootnoteReference"/>
          <w:sz w:val="24"/>
        </w:rPr>
        <w:t xml:space="preserve"> </w:t>
      </w:r>
      <w:r>
        <w:rPr>
          <w:rStyle w:val="FootnoteReference"/>
          <w:sz w:val="24"/>
        </w:rPr>
        <w:footnoteReference w:id="75"/>
      </w:r>
      <w:r>
        <w:rPr>
          <w:sz w:val="24"/>
        </w:rPr>
        <w:t xml:space="preserve">  When an activity can adversely impact a local wildlife population such as a local wolf pack, even if it does not impact the broader population, there are substantial questions about impacts to the local population and ecosystem that are </w:t>
      </w:r>
      <w:r w:rsidRPr="00530920">
        <w:rPr>
          <w:sz w:val="24"/>
        </w:rPr>
        <w:t>both uncertain and controversial within the meaning of NEPA</w:t>
      </w:r>
      <w:r>
        <w:rPr>
          <w:sz w:val="24"/>
        </w:rPr>
        <w:t xml:space="preserve"> and require analysis in an EIS</w:t>
      </w:r>
      <w:r w:rsidRPr="00530920">
        <w:rPr>
          <w:sz w:val="24"/>
        </w:rPr>
        <w:t>.</w:t>
      </w:r>
      <w:r>
        <w:rPr>
          <w:rStyle w:val="FootnoteReference"/>
        </w:rPr>
        <w:footnoteReference w:id="76"/>
      </w:r>
      <w:r w:rsidRPr="00530920">
        <w:rPr>
          <w:sz w:val="24"/>
        </w:rPr>
        <w:t xml:space="preserve">  </w:t>
      </w:r>
    </w:p>
    <w:p w14:paraId="1E2A8CEE" w14:textId="77777777" w:rsidR="002F1EE0" w:rsidRPr="002F1EE0" w:rsidRDefault="002F1EE0" w:rsidP="006C5D82">
      <w:pPr>
        <w:ind w:firstLine="720"/>
        <w:rPr>
          <w:sz w:val="24"/>
        </w:rPr>
      </w:pPr>
      <w:r w:rsidRPr="002F1EE0">
        <w:rPr>
          <w:rFonts w:cs="Arial"/>
          <w:sz w:val="24"/>
        </w:rPr>
        <w:lastRenderedPageBreak/>
        <w:t>Logging and timber road construction have similar adverse impacts to bears by reducing old-growth forest habitat, denning habitat, foraging habitat and increasing disturbances during summer and vulnerability to human harvest.</w:t>
      </w:r>
      <w:r w:rsidRPr="002F1EE0">
        <w:rPr>
          <w:rStyle w:val="FootnoteReference"/>
          <w:sz w:val="24"/>
        </w:rPr>
        <w:footnoteReference w:id="77"/>
      </w:r>
      <w:r w:rsidRPr="002F1EE0">
        <w:rPr>
          <w:rFonts w:cs="Arial"/>
          <w:sz w:val="24"/>
        </w:rPr>
        <w:t xml:space="preserve"> </w:t>
      </w:r>
      <w:r w:rsidRPr="002F1EE0">
        <w:rPr>
          <w:noProof/>
          <w:sz w:val="24"/>
        </w:rPr>
        <w:t>Bears, like wolves, are susceptible to hunting and, like deer, experience significant succession debt – i.e. the long-term loss of foraging opportunities as clearcuts regenerate into unsuitable habitat.</w:t>
      </w:r>
      <w:r w:rsidRPr="002F1EE0">
        <w:rPr>
          <w:rStyle w:val="FootnoteReference"/>
          <w:noProof/>
          <w:sz w:val="24"/>
        </w:rPr>
        <w:footnoteReference w:id="78"/>
      </w:r>
      <w:r w:rsidRPr="002F1EE0">
        <w:rPr>
          <w:noProof/>
          <w:sz w:val="24"/>
        </w:rPr>
        <w:t xml:space="preserve">  Bears utilize some of the same food resources as wolves such as deer and salmon, which both fluctuate and are at risk to the combined effects of logging and climate change.</w:t>
      </w:r>
      <w:r w:rsidRPr="002F1EE0">
        <w:rPr>
          <w:rStyle w:val="FootnoteReference"/>
          <w:noProof/>
          <w:sz w:val="24"/>
        </w:rPr>
        <w:footnoteReference w:id="79"/>
      </w:r>
      <w:r w:rsidRPr="002F1EE0">
        <w:rPr>
          <w:sz w:val="24"/>
        </w:rPr>
        <w:t xml:space="preserve">  </w:t>
      </w:r>
    </w:p>
    <w:p w14:paraId="616D42C7" w14:textId="77777777" w:rsidR="002F1EE0" w:rsidRDefault="002F1EE0" w:rsidP="006C5D82">
      <w:pPr>
        <w:pStyle w:val="Heading3"/>
        <w:spacing w:before="120" w:after="0"/>
      </w:pPr>
      <w:bookmarkStart w:id="8" w:name="_Toc148104508"/>
      <w:r>
        <w:t>4.  Maturing second-growth forests provide habitat for Queen Charlotte goshawks</w:t>
      </w:r>
      <w:bookmarkEnd w:id="8"/>
    </w:p>
    <w:p w14:paraId="37A7AE9A" w14:textId="0E97D61F" w:rsidR="002F1EE0" w:rsidRPr="002F1EE0" w:rsidRDefault="00413F06" w:rsidP="006C5D82">
      <w:pPr>
        <w:ind w:firstLine="720"/>
        <w:rPr>
          <w:sz w:val="24"/>
        </w:rPr>
      </w:pPr>
      <w:r w:rsidRPr="00413F06">
        <w:rPr>
          <w:sz w:val="24"/>
        </w:rPr>
        <w:t>As with wolves, an EIS is necessary when a project may adversely impact small, local populations of Queen Charlotte goshawks.</w:t>
      </w:r>
      <w:r>
        <w:rPr>
          <w:sz w:val="24"/>
        </w:rPr>
        <w:t xml:space="preserve"> </w:t>
      </w:r>
      <w:r w:rsidR="002F1EE0" w:rsidRPr="002F1EE0">
        <w:rPr>
          <w:sz w:val="24"/>
        </w:rPr>
        <w:t>New clearcuts do not provide forage for all wildlife species – fresh clearcuts will not provide foraging opportunities for Queen Charlotte goshawks, but stands in the understory initiation phases will provide improved foraging habitat and even nesting trees.</w:t>
      </w:r>
      <w:r w:rsidR="002F1EE0" w:rsidRPr="002F1EE0">
        <w:rPr>
          <w:rStyle w:val="FootnoteReference"/>
          <w:sz w:val="24"/>
        </w:rPr>
        <w:footnoteReference w:id="80"/>
      </w:r>
      <w:r w:rsidR="002F1EE0" w:rsidRPr="002F1EE0">
        <w:rPr>
          <w:sz w:val="24"/>
        </w:rPr>
        <w:t xml:space="preserve">  </w:t>
      </w:r>
      <w:r w:rsidR="00B6483B">
        <w:rPr>
          <w:sz w:val="24"/>
        </w:rPr>
        <w:t>The proposed action would c</w:t>
      </w:r>
      <w:r w:rsidR="002F1EE0" w:rsidRPr="002F1EE0">
        <w:rPr>
          <w:sz w:val="24"/>
        </w:rPr>
        <w:t xml:space="preserve">learcut maturing second growth forests that </w:t>
      </w:r>
      <w:r w:rsidR="00B6483B">
        <w:rPr>
          <w:sz w:val="24"/>
        </w:rPr>
        <w:t>are</w:t>
      </w:r>
      <w:r w:rsidR="002F1EE0" w:rsidRPr="002F1EE0">
        <w:rPr>
          <w:sz w:val="24"/>
        </w:rPr>
        <w:t xml:space="preserve"> now or soon will be old enough for use by Queen Charlotte goshawks for forage or even nesting.</w:t>
      </w:r>
      <w:r w:rsidR="002F1EE0" w:rsidRPr="002F1EE0">
        <w:rPr>
          <w:rStyle w:val="FootnoteReference"/>
          <w:sz w:val="24"/>
        </w:rPr>
        <w:footnoteReference w:id="81"/>
      </w:r>
      <w:r w:rsidR="002F1EE0" w:rsidRPr="002F1EE0">
        <w:rPr>
          <w:sz w:val="24"/>
        </w:rPr>
        <w:t xml:space="preserve"> </w:t>
      </w:r>
    </w:p>
    <w:p w14:paraId="188FD538" w14:textId="3F5C9D80" w:rsidR="002F1EE0" w:rsidRPr="00B6483B" w:rsidRDefault="002F1EE0" w:rsidP="006C5D82">
      <w:pPr>
        <w:pStyle w:val="FootnoteText"/>
        <w:spacing w:before="120"/>
        <w:ind w:firstLine="720"/>
        <w:contextualSpacing w:val="0"/>
        <w:rPr>
          <w:sz w:val="24"/>
          <w:szCs w:val="24"/>
        </w:rPr>
      </w:pPr>
      <w:r>
        <w:rPr>
          <w:sz w:val="24"/>
          <w:szCs w:val="24"/>
        </w:rPr>
        <w:t>This project will likely maintain an excess amount of early seral forest (90 – 100 years old), increasing long-term viability risks to Queen Charlotte Goshawks.  New clearcut</w:t>
      </w:r>
      <w:r w:rsidR="00B6483B">
        <w:rPr>
          <w:sz w:val="24"/>
          <w:szCs w:val="24"/>
        </w:rPr>
        <w:t>s</w:t>
      </w:r>
      <w:r>
        <w:rPr>
          <w:sz w:val="24"/>
          <w:szCs w:val="24"/>
        </w:rPr>
        <w:t xml:space="preserve"> and early seral stage habitats do not provide critical habitat features for Queen Charlotte goshawks.</w:t>
      </w:r>
      <w:r>
        <w:rPr>
          <w:rStyle w:val="FootnoteReference"/>
          <w:sz w:val="24"/>
          <w:szCs w:val="24"/>
        </w:rPr>
        <w:footnoteReference w:id="82"/>
      </w:r>
      <w:r>
        <w:rPr>
          <w:sz w:val="24"/>
          <w:szCs w:val="24"/>
        </w:rPr>
        <w:t xml:space="preserve">  In its 2007 Status Review, the Fish and Wildlife Service stated that “[f]</w:t>
      </w:r>
      <w:proofErr w:type="spellStart"/>
      <w:r>
        <w:rPr>
          <w:sz w:val="24"/>
          <w:szCs w:val="24"/>
        </w:rPr>
        <w:t>orest</w:t>
      </w:r>
      <w:proofErr w:type="spellEnd"/>
      <w:r>
        <w:rPr>
          <w:sz w:val="24"/>
          <w:szCs w:val="24"/>
        </w:rPr>
        <w:t xml:space="preserve"> management </w:t>
      </w:r>
      <w:r>
        <w:rPr>
          <w:i/>
          <w:sz w:val="24"/>
          <w:szCs w:val="24"/>
          <w:u w:val="single"/>
        </w:rPr>
        <w:t xml:space="preserve">must </w:t>
      </w:r>
      <w:r>
        <w:rPr>
          <w:sz w:val="24"/>
          <w:szCs w:val="24"/>
        </w:rPr>
        <w:t xml:space="preserve">… emphasize continued existence of </w:t>
      </w:r>
      <w:r>
        <w:rPr>
          <w:i/>
          <w:sz w:val="24"/>
          <w:szCs w:val="24"/>
          <w:u w:val="single"/>
        </w:rPr>
        <w:t>mature</w:t>
      </w:r>
      <w:r>
        <w:rPr>
          <w:sz w:val="24"/>
          <w:szCs w:val="24"/>
        </w:rPr>
        <w:t xml:space="preserve"> and old forest to ensure preservation of the species.”</w:t>
      </w:r>
      <w:r>
        <w:rPr>
          <w:rStyle w:val="FootnoteReference"/>
          <w:sz w:val="24"/>
          <w:szCs w:val="24"/>
        </w:rPr>
        <w:footnoteReference w:id="83"/>
      </w:r>
      <w:r>
        <w:rPr>
          <w:sz w:val="24"/>
          <w:szCs w:val="24"/>
        </w:rPr>
        <w:t xml:space="preserve">  Scientists who considered the influence of forest rotations on the long-term viability of the species “generally agreed that older second growth resulting from timber rotations of 200 to 300 years could provide useful habitat, and would reduce risk to goshawks, as compared to 100-year rotations.”</w:t>
      </w:r>
      <w:r>
        <w:rPr>
          <w:rStyle w:val="FootnoteReference"/>
          <w:sz w:val="24"/>
          <w:szCs w:val="24"/>
        </w:rPr>
        <w:footnoteReference w:id="84"/>
      </w:r>
      <w:r>
        <w:rPr>
          <w:sz w:val="24"/>
          <w:szCs w:val="24"/>
        </w:rPr>
        <w:t xml:space="preserve">  </w:t>
      </w:r>
      <w:r w:rsidRPr="002F1EE0">
        <w:rPr>
          <w:sz w:val="24"/>
        </w:rPr>
        <w:t>The review of the TLMP conservation strategy anticipated ecological rotations of 300 years as likely to sustain goshawks (i.e. 1/3 of the forest in second growth &lt;100 years old, 1/3 of the forest &lt;200 years old, and 1/3 &gt;200 years old), but noted this scale masked localized effects which would create gaps in distribution.</w:t>
      </w:r>
      <w:r w:rsidRPr="002F1EE0">
        <w:rPr>
          <w:rStyle w:val="FootnoteReference"/>
          <w:sz w:val="24"/>
        </w:rPr>
        <w:footnoteReference w:id="85"/>
      </w:r>
      <w:r w:rsidRPr="002F1EE0">
        <w:rPr>
          <w:sz w:val="24"/>
        </w:rPr>
        <w:t xml:space="preserve">   The FWS anticipated that habitat quality could improve over the long-term as recovering forests mature – but not under a 100 year rotation as proposed here.</w:t>
      </w:r>
      <w:r w:rsidRPr="002F1EE0">
        <w:rPr>
          <w:rStyle w:val="FootnoteReference"/>
          <w:sz w:val="24"/>
        </w:rPr>
        <w:footnoteReference w:id="86"/>
      </w:r>
      <w:r w:rsidRPr="002F1EE0">
        <w:rPr>
          <w:sz w:val="24"/>
        </w:rPr>
        <w:t xml:space="preserve">  </w:t>
      </w:r>
    </w:p>
    <w:p w14:paraId="7D3FF22A" w14:textId="193A2068" w:rsidR="006C5D82" w:rsidRPr="002F1EE0" w:rsidRDefault="002F1EE0" w:rsidP="006C5D82">
      <w:pPr>
        <w:ind w:firstLine="720"/>
        <w:rPr>
          <w:sz w:val="24"/>
        </w:rPr>
      </w:pPr>
      <w:r w:rsidRPr="002F1EE0">
        <w:rPr>
          <w:sz w:val="24"/>
        </w:rPr>
        <w:lastRenderedPageBreak/>
        <w:t>If left alone, or thinned only from below, second-growth stands could provide suitable habitat in the long-term that equate to 15% of the habitat value of productive old-growth.</w:t>
      </w:r>
      <w:r w:rsidRPr="002F1EE0">
        <w:rPr>
          <w:rStyle w:val="FootnoteReference"/>
          <w:sz w:val="24"/>
        </w:rPr>
        <w:footnoteReference w:id="87"/>
      </w:r>
      <w:r w:rsidRPr="002F1EE0">
        <w:rPr>
          <w:sz w:val="24"/>
        </w:rPr>
        <w:t xml:space="preserve">  These findings are consistent with recent studies showing successful Queen Charlotte goshawk utilization of mature second-growth forests.</w:t>
      </w:r>
      <w:r w:rsidRPr="002F1EE0">
        <w:rPr>
          <w:rStyle w:val="FootnoteReference"/>
          <w:sz w:val="24"/>
        </w:rPr>
        <w:footnoteReference w:id="88"/>
      </w:r>
      <w:r w:rsidRPr="002F1EE0">
        <w:rPr>
          <w:sz w:val="24"/>
        </w:rPr>
        <w:t xml:space="preserve">  Further fragmentation, however, reduces the potential value of mature second growth for goshawk habitat needs.</w:t>
      </w:r>
      <w:r w:rsidRPr="002F1EE0">
        <w:rPr>
          <w:rStyle w:val="FootnoteReference"/>
          <w:sz w:val="24"/>
        </w:rPr>
        <w:footnoteReference w:id="89"/>
      </w:r>
      <w:r w:rsidRPr="002F1EE0">
        <w:rPr>
          <w:sz w:val="24"/>
        </w:rPr>
        <w:t xml:space="preserve">  Mature second-growth forests also have habitat values for other forest birds likely to be present in the project area.</w:t>
      </w:r>
      <w:r w:rsidRPr="002F1EE0">
        <w:rPr>
          <w:rStyle w:val="FootnoteReference"/>
          <w:sz w:val="24"/>
        </w:rPr>
        <w:footnoteReference w:id="90"/>
      </w:r>
    </w:p>
    <w:p w14:paraId="320D87C1" w14:textId="77777777" w:rsidR="00A75E87" w:rsidRDefault="00A75E87" w:rsidP="006C5D82">
      <w:pPr>
        <w:pStyle w:val="Heading2"/>
        <w:spacing w:before="120" w:after="0"/>
      </w:pPr>
      <w:bookmarkStart w:id="9" w:name="_Toc148104509"/>
      <w:r>
        <w:t>B. The cumulative impacts of logging by multiple landowners in the area requires analysis in an EIS</w:t>
      </w:r>
      <w:bookmarkEnd w:id="9"/>
    </w:p>
    <w:p w14:paraId="155A6A1B" w14:textId="22FD117E" w:rsidR="00A75E87" w:rsidRDefault="0033255A" w:rsidP="006C5D82">
      <w:pPr>
        <w:ind w:firstLine="720"/>
        <w:rPr>
          <w:sz w:val="24"/>
        </w:rPr>
      </w:pPr>
      <w:r w:rsidRPr="00A75E87">
        <w:rPr>
          <w:noProof/>
          <w:sz w:val="24"/>
        </w:rPr>
        <w:drawing>
          <wp:anchor distT="0" distB="0" distL="114300" distR="114300" simplePos="0" relativeHeight="251663360" behindDoc="1" locked="0" layoutInCell="1" allowOverlap="0" wp14:anchorId="0022FEC9" wp14:editId="599525AE">
            <wp:simplePos x="0" y="0"/>
            <wp:positionH relativeFrom="column">
              <wp:posOffset>0</wp:posOffset>
            </wp:positionH>
            <wp:positionV relativeFrom="page">
              <wp:posOffset>1730375</wp:posOffset>
            </wp:positionV>
            <wp:extent cx="2798064" cy="2724912"/>
            <wp:effectExtent l="0" t="0" r="2540" b="0"/>
            <wp:wrapTight wrapText="bothSides">
              <wp:wrapPolygon edited="0">
                <wp:start x="0" y="0"/>
                <wp:lineTo x="0" y="21444"/>
                <wp:lineTo x="21473" y="21444"/>
                <wp:lineTo x="21473" y="0"/>
                <wp:lineTo x="0" y="0"/>
              </wp:wrapPolygon>
            </wp:wrapTight>
            <wp:docPr id="167668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8064" cy="2724912"/>
                    </a:xfrm>
                    <a:prstGeom prst="rect">
                      <a:avLst/>
                    </a:prstGeom>
                    <a:noFill/>
                    <a:ln>
                      <a:noFill/>
                    </a:ln>
                  </pic:spPr>
                </pic:pic>
              </a:graphicData>
            </a:graphic>
            <wp14:sizeRelH relativeFrom="page">
              <wp14:pctWidth>0</wp14:pctWidth>
            </wp14:sizeRelH>
            <wp14:sizeRelV relativeFrom="page">
              <wp14:pctHeight>0</wp14:pctHeight>
            </wp14:sizeRelV>
          </wp:anchor>
        </w:drawing>
      </w:r>
      <w:r w:rsidR="00A75E87" w:rsidRPr="00A75E87">
        <w:rPr>
          <w:sz w:val="24"/>
        </w:rPr>
        <w:t>One of the most important NEPA intensity factors relevant to the need for an EIS to analyze this project is “[w]</w:t>
      </w:r>
      <w:proofErr w:type="spellStart"/>
      <w:r w:rsidR="00A75E87" w:rsidRPr="00A75E87">
        <w:rPr>
          <w:sz w:val="24"/>
        </w:rPr>
        <w:t>hether</w:t>
      </w:r>
      <w:proofErr w:type="spellEnd"/>
      <w:r w:rsidR="00A75E87" w:rsidRPr="00A75E87">
        <w:rPr>
          <w:sz w:val="24"/>
        </w:rPr>
        <w:t xml:space="preserve"> the action is related to other actions with individually insignificant but cumulatively significant impacts.”</w:t>
      </w:r>
      <w:r w:rsidR="00A75E87" w:rsidRPr="00A75E87">
        <w:rPr>
          <w:rStyle w:val="FootnoteReference"/>
          <w:sz w:val="24"/>
        </w:rPr>
        <w:footnoteReference w:id="91"/>
      </w:r>
      <w:r w:rsidR="00A75E87" w:rsidRPr="00A75E87">
        <w:rPr>
          <w:sz w:val="24"/>
        </w:rPr>
        <w:t xml:space="preserve">  All of the colored areas in Figure 1 from the scoping notice are past clearcuts, indicating a massive cumulative wildlife habitat deficit in the project area.</w:t>
      </w:r>
      <w:r w:rsidR="00A75E87" w:rsidRPr="00A75E87">
        <w:rPr>
          <w:rStyle w:val="FootnoteReference"/>
          <w:sz w:val="24"/>
        </w:rPr>
        <w:footnoteReference w:id="92"/>
      </w:r>
      <w:r w:rsidR="00A75E87" w:rsidRPr="00A75E87">
        <w:rPr>
          <w:sz w:val="24"/>
        </w:rPr>
        <w:t xml:space="preserve">  Further, the proposed new clearcuts are adjacent to non-federal land. Nearly half the logging occurring over the past decade in Southeast Alaska – much of it on Prince of Wales Island - is on formerly </w:t>
      </w:r>
      <w:r w:rsidR="00227ED7">
        <w:rPr>
          <w:sz w:val="24"/>
        </w:rPr>
        <w:t xml:space="preserve">federal </w:t>
      </w:r>
      <w:r w:rsidR="00A75E87" w:rsidRPr="00A75E87">
        <w:rPr>
          <w:sz w:val="24"/>
        </w:rPr>
        <w:t>public lands</w:t>
      </w:r>
      <w:r w:rsidR="00227ED7">
        <w:rPr>
          <w:sz w:val="24"/>
        </w:rPr>
        <w:t>, now</w:t>
      </w:r>
      <w:r w:rsidR="00A75E87" w:rsidRPr="00A75E87">
        <w:rPr>
          <w:sz w:val="24"/>
        </w:rPr>
        <w:t xml:space="preserve"> transferred from the Forest Service to state or private entities through Congressionally approved land exchanges</w:t>
      </w:r>
      <w:r w:rsidR="00A75E87" w:rsidRPr="00A75E87">
        <w:rPr>
          <w:sz w:val="24"/>
          <w:shd w:val="clear" w:color="auto" w:fill="FFFFFF"/>
        </w:rPr>
        <w:t>.</w:t>
      </w:r>
      <w:r w:rsidR="00A75E87" w:rsidRPr="00A75E87">
        <w:rPr>
          <w:rStyle w:val="FootnoteReference"/>
          <w:sz w:val="24"/>
        </w:rPr>
        <w:footnoteReference w:id="93"/>
      </w:r>
      <w:r w:rsidR="00A75E87" w:rsidRPr="00A75E87">
        <w:rPr>
          <w:sz w:val="24"/>
        </w:rPr>
        <w:t xml:space="preserve"> </w:t>
      </w:r>
      <w:r w:rsidR="00A75E87" w:rsidRPr="00A75E87">
        <w:rPr>
          <w:sz w:val="24"/>
          <w:shd w:val="clear" w:color="auto" w:fill="FFFFFF"/>
        </w:rPr>
        <w:t xml:space="preserve">  The </w:t>
      </w:r>
      <w:r w:rsidR="00A75E87" w:rsidRPr="00A75E87">
        <w:rPr>
          <w:sz w:val="24"/>
        </w:rPr>
        <w:t>Alaska Division of Forestry, the Alaska Mental Health Trust, the University of Alaska and corporate landowners have been responsible for most of the logging in the region in the 21</w:t>
      </w:r>
      <w:r w:rsidR="00A75E87" w:rsidRPr="00A75E87">
        <w:rPr>
          <w:sz w:val="24"/>
          <w:vertAlign w:val="superscript"/>
        </w:rPr>
        <w:t>st</w:t>
      </w:r>
      <w:r w:rsidR="00A75E87" w:rsidRPr="00A75E87">
        <w:rPr>
          <w:sz w:val="24"/>
        </w:rPr>
        <w:t xml:space="preserve"> century.</w:t>
      </w:r>
      <w:r w:rsidR="00A75E87" w:rsidRPr="00A75E87">
        <w:rPr>
          <w:rStyle w:val="FootnoteReference"/>
          <w:sz w:val="24"/>
        </w:rPr>
        <w:footnoteReference w:id="94"/>
      </w:r>
      <w:r w:rsidR="00A75E87" w:rsidRPr="00A75E87">
        <w:rPr>
          <w:sz w:val="24"/>
        </w:rPr>
        <w:t xml:space="preserve">  The Alaska Division of Forestry plans to offer nearly 62 million board feet of mostly old-growth timber from 3,000 acres of state-owned lands over the next five </w:t>
      </w:r>
      <w:r w:rsidR="00A75E87" w:rsidRPr="00A75E87">
        <w:rPr>
          <w:sz w:val="24"/>
        </w:rPr>
        <w:lastRenderedPageBreak/>
        <w:t>years.</w:t>
      </w:r>
      <w:r w:rsidR="00A75E87" w:rsidRPr="00A75E87">
        <w:rPr>
          <w:rStyle w:val="FootnoteReference"/>
          <w:sz w:val="24"/>
        </w:rPr>
        <w:footnoteReference w:id="95"/>
      </w:r>
      <w:r w:rsidR="00A75E87" w:rsidRPr="00A75E87">
        <w:rPr>
          <w:sz w:val="24"/>
        </w:rPr>
        <w:t xml:space="preserve"> Two-thirds of the timber would come from Prince of Wales Island and nearby smaller islands in areas.</w:t>
      </w:r>
      <w:r w:rsidR="00A75E87" w:rsidRPr="00A75E87">
        <w:rPr>
          <w:rStyle w:val="FootnoteReference"/>
          <w:sz w:val="24"/>
        </w:rPr>
        <w:footnoteReference w:id="96"/>
      </w:r>
      <w:r w:rsidR="00A75E87" w:rsidRPr="00A75E87">
        <w:rPr>
          <w:sz w:val="24"/>
        </w:rPr>
        <w:t xml:space="preserve"> </w:t>
      </w:r>
    </w:p>
    <w:p w14:paraId="2C876D9A" w14:textId="3D66F6C7" w:rsidR="00A75E87" w:rsidRPr="008A624D" w:rsidRDefault="00A75E87" w:rsidP="006C5D82">
      <w:pPr>
        <w:ind w:firstLine="720"/>
        <w:rPr>
          <w:rFonts w:ascii="Times New Roman" w:hAnsi="Times New Roman"/>
          <w:sz w:val="24"/>
        </w:rPr>
      </w:pPr>
      <w:r w:rsidRPr="00A75E87">
        <w:rPr>
          <w:sz w:val="24"/>
        </w:rPr>
        <w:t xml:space="preserve">This project, combined with past, ongoing and future logging, may potentially coalesce into a landscape consisting of hundreds of acres of habitat that will be unsuitable for wildlife for decades. The Forest Service must analyze this type of cumulative impact </w:t>
      </w:r>
      <w:r w:rsidRPr="00D970E3">
        <w:rPr>
          <w:i/>
          <w:sz w:val="24"/>
        </w:rPr>
        <w:t>in an EIS</w:t>
      </w:r>
      <w:r w:rsidRPr="00A75E87">
        <w:rPr>
          <w:sz w:val="24"/>
        </w:rPr>
        <w:t>.</w:t>
      </w:r>
    </w:p>
    <w:p w14:paraId="5E29CCF7" w14:textId="36177818" w:rsidR="008A624D" w:rsidRDefault="008A624D" w:rsidP="006C5D82">
      <w:pPr>
        <w:pStyle w:val="Heading2"/>
        <w:spacing w:before="120" w:after="0"/>
        <w:rPr>
          <w:szCs w:val="26"/>
        </w:rPr>
      </w:pPr>
      <w:bookmarkStart w:id="10" w:name="_Toc148104510"/>
      <w:r>
        <w:t>C. Intensive second growth logging entails unknown and uncertain risks to recovering watersheds</w:t>
      </w:r>
      <w:bookmarkEnd w:id="10"/>
    </w:p>
    <w:p w14:paraId="04A91453" w14:textId="3567B642" w:rsidR="008A624D" w:rsidRDefault="008A624D" w:rsidP="006C5D82">
      <w:pPr>
        <w:ind w:firstLine="720"/>
        <w:rPr>
          <w:sz w:val="24"/>
        </w:rPr>
      </w:pPr>
      <w:r>
        <w:rPr>
          <w:sz w:val="24"/>
        </w:rPr>
        <w:t xml:space="preserve">Short rotations also </w:t>
      </w:r>
      <w:r w:rsidR="002472A5">
        <w:rPr>
          <w:sz w:val="24"/>
        </w:rPr>
        <w:t xml:space="preserve">have </w:t>
      </w:r>
      <w:r>
        <w:rPr>
          <w:sz w:val="24"/>
        </w:rPr>
        <w:t>a sign</w:t>
      </w:r>
      <w:r w:rsidR="002472A5">
        <w:rPr>
          <w:sz w:val="24"/>
        </w:rPr>
        <w:t>i</w:t>
      </w:r>
      <w:r>
        <w:rPr>
          <w:sz w:val="24"/>
        </w:rPr>
        <w:t xml:space="preserve">ficant impact </w:t>
      </w:r>
      <w:r w:rsidR="002472A5">
        <w:rPr>
          <w:sz w:val="24"/>
        </w:rPr>
        <w:t xml:space="preserve">that </w:t>
      </w:r>
      <w:r>
        <w:rPr>
          <w:sz w:val="24"/>
        </w:rPr>
        <w:t>warrant</w:t>
      </w:r>
      <w:r w:rsidR="002472A5">
        <w:rPr>
          <w:sz w:val="24"/>
        </w:rPr>
        <w:t>s</w:t>
      </w:r>
      <w:r>
        <w:rPr>
          <w:sz w:val="24"/>
        </w:rPr>
        <w:t xml:space="preserve"> analysis in an EIS </w:t>
      </w:r>
      <w:r w:rsidR="002472A5">
        <w:rPr>
          <w:sz w:val="24"/>
        </w:rPr>
        <w:t xml:space="preserve">because of </w:t>
      </w:r>
      <w:r>
        <w:rPr>
          <w:sz w:val="24"/>
        </w:rPr>
        <w:t xml:space="preserve">risks associated with frequent watershed disturbances. This project would adversely impact salmon production through </w:t>
      </w:r>
      <w:r w:rsidR="002472A5">
        <w:rPr>
          <w:sz w:val="24"/>
        </w:rPr>
        <w:t xml:space="preserve">a combination of </w:t>
      </w:r>
      <w:r>
        <w:rPr>
          <w:sz w:val="24"/>
        </w:rPr>
        <w:t xml:space="preserve">road construction activities in fish habitat accompanied by intensive clearcutting of second growth recovering forests </w:t>
      </w:r>
      <w:r w:rsidR="002472A5">
        <w:rPr>
          <w:sz w:val="24"/>
        </w:rPr>
        <w:t>—</w:t>
      </w:r>
      <w:r>
        <w:rPr>
          <w:sz w:val="24"/>
        </w:rPr>
        <w:t xml:space="preserve"> and</w:t>
      </w:r>
      <w:r w:rsidR="00F24EF1">
        <w:rPr>
          <w:sz w:val="24"/>
        </w:rPr>
        <w:t xml:space="preserve"> the project </w:t>
      </w:r>
      <w:r w:rsidR="002472A5">
        <w:rPr>
          <w:sz w:val="24"/>
        </w:rPr>
        <w:t xml:space="preserve">cause these impacts </w:t>
      </w:r>
      <w:r>
        <w:rPr>
          <w:sz w:val="24"/>
        </w:rPr>
        <w:t xml:space="preserve">at a time when the region’s salmon production capacity is highly variable due to multiple environmental factors. </w:t>
      </w:r>
    </w:p>
    <w:p w14:paraId="50C5AD82" w14:textId="327D11B5" w:rsidR="00060CEE" w:rsidRPr="00E8407A" w:rsidRDefault="00060CEE" w:rsidP="006C5D82">
      <w:pPr>
        <w:autoSpaceDE w:val="0"/>
        <w:autoSpaceDN w:val="0"/>
        <w:adjustRightInd w:val="0"/>
        <w:ind w:firstLine="720"/>
        <w:rPr>
          <w:rFonts w:cs="TimesLTStd-Roman"/>
          <w:sz w:val="24"/>
        </w:rPr>
      </w:pPr>
      <w:r>
        <w:rPr>
          <w:rStyle w:val="None"/>
          <w:rFonts w:eastAsia="Bookman Old Style" w:cs="Bookman Old Style"/>
          <w:sz w:val="24"/>
        </w:rPr>
        <w:t>Forested aquatic ecosystems take decades to recover after logging.</w:t>
      </w:r>
      <w:r>
        <w:rPr>
          <w:rStyle w:val="FootnoteReference"/>
          <w:rFonts w:eastAsia="Bookman Old Style" w:cs="Bookman Old Style"/>
          <w:sz w:val="24"/>
        </w:rPr>
        <w:footnoteReference w:id="97"/>
      </w:r>
      <w:r>
        <w:rPr>
          <w:rFonts w:eastAsia="Cambria" w:cs="Cambria"/>
          <w:kern w:val="2"/>
          <w:sz w:val="24"/>
        </w:rPr>
        <w:t xml:space="preserve"> The Forest Service’s second-growth logging program would permanently degrade previously logged watersheds with a succession of short timber rotation cycles.</w:t>
      </w:r>
      <w:r>
        <w:rPr>
          <w:sz w:val="24"/>
        </w:rPr>
        <w:t xml:space="preserve"> </w:t>
      </w:r>
      <w:r>
        <w:rPr>
          <w:rFonts w:cs="TimesLTStd-Roman"/>
          <w:sz w:val="24"/>
        </w:rPr>
        <w:t>Timber rotation</w:t>
      </w:r>
      <w:r w:rsidR="00B6483B">
        <w:rPr>
          <w:rFonts w:cs="TimesLTStd-Roman"/>
          <w:sz w:val="24"/>
        </w:rPr>
        <w:t>s in the Pacific Northwest</w:t>
      </w:r>
      <w:r>
        <w:rPr>
          <w:rFonts w:cs="TimesLTStd-Roman"/>
          <w:sz w:val="24"/>
        </w:rPr>
        <w:t xml:space="preserve"> range</w:t>
      </w:r>
      <w:r w:rsidR="00B6483B">
        <w:rPr>
          <w:rFonts w:cs="TimesLTStd-Roman"/>
          <w:sz w:val="24"/>
        </w:rPr>
        <w:t>d</w:t>
      </w:r>
      <w:r>
        <w:rPr>
          <w:rFonts w:cs="TimesLTStd-Roman"/>
          <w:sz w:val="24"/>
        </w:rPr>
        <w:t xml:space="preserve"> between 100 and 200 years on the federal landscape.</w:t>
      </w:r>
      <w:r>
        <w:rPr>
          <w:rStyle w:val="FootnoteReference"/>
          <w:rFonts w:cs="TimesLTStd-Roman"/>
          <w:sz w:val="24"/>
        </w:rPr>
        <w:footnoteReference w:id="98"/>
      </w:r>
      <w:r>
        <w:rPr>
          <w:rFonts w:cs="TimesLTStd-Roman"/>
          <w:sz w:val="24"/>
        </w:rPr>
        <w:t xml:space="preserve"> Such frequent cutting can prevent development of ecologically important seral stages, such as late-successional and old-growth stands.</w:t>
      </w:r>
      <w:r>
        <w:rPr>
          <w:rStyle w:val="FootnoteReference"/>
          <w:rFonts w:cs="TimesLTStd-Roman"/>
          <w:sz w:val="24"/>
        </w:rPr>
        <w:footnoteReference w:id="99"/>
      </w:r>
    </w:p>
    <w:p w14:paraId="657D598A" w14:textId="44FFBC1C" w:rsidR="008A624D" w:rsidRDefault="008A624D" w:rsidP="006C5D82">
      <w:pPr>
        <w:ind w:firstLine="720"/>
        <w:rPr>
          <w:sz w:val="24"/>
        </w:rPr>
      </w:pPr>
      <w:r>
        <w:rPr>
          <w:sz w:val="24"/>
        </w:rPr>
        <w:t>The Forest Service’s 1995 Anadromous Fish Habitat Assessment explained that:</w:t>
      </w:r>
    </w:p>
    <w:p w14:paraId="14E0F57A" w14:textId="77777777" w:rsidR="008A624D" w:rsidRDefault="008A624D" w:rsidP="006C5D82">
      <w:pPr>
        <w:ind w:left="720" w:right="720"/>
        <w:jc w:val="both"/>
        <w:rPr>
          <w:sz w:val="24"/>
        </w:rPr>
      </w:pPr>
      <w:r>
        <w:rPr>
          <w:sz w:val="24"/>
        </w:rPr>
        <w:t xml:space="preserve">The cumulative effects of frequent disturbances in the Pacific Northwest have been shown to substantially reduce the quality of freshwater fish habitats resulting in negative consequences for species, stocks, and populations of fish that depend on them, even if coniferous cover is left in buffer strips along the fish-bearing streams.  Fish-bearing streams represent only a small portion of stream mileage in any watershed.  </w:t>
      </w:r>
      <w:r w:rsidRPr="00E8407A">
        <w:rPr>
          <w:b/>
          <w:bCs/>
          <w:i/>
          <w:iCs/>
          <w:sz w:val="24"/>
          <w:u w:val="single"/>
        </w:rPr>
        <w:t>Because recovery of fish habitat from the effects of extensive logging in a watershed may take a century or more, recovery may never be complete if forests are clearcut harvested and watersheds are disturbed extensively on rotation cycles of about 100 years.  Few refuges remain in a watershed that fish can use during such widespread, intense, and recurrent disturbances</w:t>
      </w:r>
      <w:r w:rsidRPr="00E8407A">
        <w:rPr>
          <w:b/>
          <w:bCs/>
          <w:sz w:val="24"/>
        </w:rPr>
        <w:t>.</w:t>
      </w:r>
    </w:p>
    <w:p w14:paraId="153603D8" w14:textId="77777777" w:rsidR="008A624D" w:rsidRDefault="008A624D" w:rsidP="006C5D82">
      <w:pPr>
        <w:ind w:left="720" w:right="720"/>
        <w:jc w:val="both"/>
        <w:rPr>
          <w:sz w:val="24"/>
        </w:rPr>
      </w:pPr>
      <w:r>
        <w:rPr>
          <w:sz w:val="24"/>
        </w:rPr>
        <w:t xml:space="preserve">…Should freshwater habitats be degraded for long periods, salmon and steelhead stocks will eventually be confronted simultaneously with </w:t>
      </w:r>
      <w:r>
        <w:rPr>
          <w:sz w:val="24"/>
        </w:rPr>
        <w:lastRenderedPageBreak/>
        <w:t>low marine productivity and degraded freshwater habitat.  The likely result of such double jeopardy could be high, long-term risk of extinction.</w:t>
      </w:r>
      <w:r>
        <w:rPr>
          <w:rStyle w:val="FootnoteReference"/>
          <w:sz w:val="24"/>
        </w:rPr>
        <w:footnoteReference w:id="100"/>
      </w:r>
      <w:r>
        <w:rPr>
          <w:sz w:val="24"/>
        </w:rPr>
        <w:t xml:space="preserve">  </w:t>
      </w:r>
    </w:p>
    <w:p w14:paraId="65FA0607" w14:textId="77777777" w:rsidR="006C5D82" w:rsidRDefault="006C5D82" w:rsidP="006C5D82">
      <w:pPr>
        <w:ind w:left="720" w:right="720"/>
        <w:jc w:val="both"/>
        <w:rPr>
          <w:sz w:val="24"/>
        </w:rPr>
      </w:pPr>
    </w:p>
    <w:p w14:paraId="5206B3E4" w14:textId="531C551F" w:rsidR="00E8407A" w:rsidRPr="00E8407A" w:rsidRDefault="00E8407A" w:rsidP="006C5D82">
      <w:pPr>
        <w:pStyle w:val="Default"/>
        <w:spacing w:before="120"/>
        <w:ind w:firstLine="720"/>
        <w:rPr>
          <w:rFonts w:ascii="Bookman Old Style" w:hAnsi="Bookman Old Style"/>
        </w:rPr>
      </w:pPr>
      <w:r w:rsidRPr="00A13DB6">
        <w:rPr>
          <w:noProof/>
          <w:sz w:val="23"/>
          <w:szCs w:val="23"/>
        </w:rPr>
        <w:drawing>
          <wp:anchor distT="0" distB="0" distL="114300" distR="114300" simplePos="0" relativeHeight="251661312" behindDoc="1" locked="0" layoutInCell="1" allowOverlap="1" wp14:anchorId="6C73D066" wp14:editId="4ABB11AF">
            <wp:simplePos x="0" y="0"/>
            <wp:positionH relativeFrom="column">
              <wp:posOffset>2723515</wp:posOffset>
            </wp:positionH>
            <wp:positionV relativeFrom="paragraph">
              <wp:posOffset>43180</wp:posOffset>
            </wp:positionV>
            <wp:extent cx="3648075" cy="2788920"/>
            <wp:effectExtent l="19050" t="19050" r="28575" b="11430"/>
            <wp:wrapSquare wrapText="bothSides"/>
            <wp:docPr id="2041975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8075" cy="278892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rFonts w:ascii="Bookman Old Style" w:hAnsi="Bookman Old Style"/>
        </w:rPr>
        <w:t xml:space="preserve">It is likely that project area watersheds are producing far fewer fish </w:t>
      </w:r>
      <w:r w:rsidR="00B6483B">
        <w:rPr>
          <w:rFonts w:ascii="Bookman Old Style" w:hAnsi="Bookman Old Style"/>
        </w:rPr>
        <w:t>than they would in the absence of timber road networks</w:t>
      </w:r>
      <w:r>
        <w:rPr>
          <w:rFonts w:ascii="Bookman Old Style" w:hAnsi="Bookman Old Style"/>
        </w:rPr>
        <w:t xml:space="preserve">. Figure 11 from the scoping notice shows the density of red culverts in the project area.  There are nearly fifty of them (red dots).  These fish passage obstructions are likely significantly impairing salmon productivity, which raises considerable concern about plans to open 40 miles of road over the next fifteen years to support this project.  </w:t>
      </w:r>
    </w:p>
    <w:p w14:paraId="5C171279" w14:textId="05A255C6" w:rsidR="00E8407A" w:rsidRPr="00B6483B" w:rsidRDefault="00E8407A" w:rsidP="006C5D82">
      <w:pPr>
        <w:widowControl w:val="0"/>
        <w:autoSpaceDE w:val="0"/>
        <w:autoSpaceDN w:val="0"/>
        <w:adjustRightInd w:val="0"/>
        <w:ind w:firstLine="720"/>
        <w:rPr>
          <w:rFonts w:cs="Lato-Regular"/>
          <w:sz w:val="24"/>
        </w:rPr>
      </w:pPr>
      <w:r>
        <w:rPr>
          <w:rFonts w:cs="Lato-Regular"/>
          <w:sz w:val="24"/>
        </w:rPr>
        <w:t>There are two primary ways to improve ecosystem productivity for salmon.  The most cost-effective strategy is to p</w:t>
      </w:r>
      <w:r w:rsidRPr="002B2781">
        <w:rPr>
          <w:rFonts w:cs="Lato-Regular"/>
          <w:sz w:val="24"/>
        </w:rPr>
        <w:t>revent further development in salmon habitat</w:t>
      </w:r>
      <w:r w:rsidR="00B6483B">
        <w:rPr>
          <w:rFonts w:cs="Lato-Regular"/>
          <w:sz w:val="24"/>
        </w:rPr>
        <w:t>, such as</w:t>
      </w:r>
      <w:r>
        <w:rPr>
          <w:rFonts w:cs="Lato-Regular"/>
          <w:sz w:val="24"/>
        </w:rPr>
        <w:t xml:space="preserve"> by eliminating the timber emphasis units from this project</w:t>
      </w:r>
      <w:r w:rsidRPr="002B2781">
        <w:rPr>
          <w:rFonts w:cs="Lato-Regular"/>
          <w:sz w:val="24"/>
        </w:rPr>
        <w:t>.</w:t>
      </w:r>
      <w:r w:rsidRPr="002B2781">
        <w:rPr>
          <w:rStyle w:val="FootnoteReference"/>
          <w:rFonts w:cs="Lato-Regular"/>
          <w:sz w:val="24"/>
        </w:rPr>
        <w:footnoteReference w:id="101"/>
      </w:r>
      <w:r w:rsidRPr="002B2781">
        <w:rPr>
          <w:rFonts w:cs="Lato-Regular"/>
          <w:sz w:val="24"/>
        </w:rPr>
        <w:t xml:space="preserve">  Removing culverts is the second most cost-effective measure for improving freshwater habitat conditions.</w:t>
      </w:r>
      <w:r w:rsidRPr="002B2781">
        <w:rPr>
          <w:rStyle w:val="FootnoteReference"/>
          <w:rFonts w:cs="Lato-Regular"/>
          <w:sz w:val="24"/>
        </w:rPr>
        <w:footnoteReference w:id="102"/>
      </w:r>
      <w:r w:rsidR="00B6483B">
        <w:rPr>
          <w:rFonts w:cs="Lato-Regular"/>
          <w:sz w:val="24"/>
        </w:rPr>
        <w:t xml:space="preserve"> </w:t>
      </w:r>
      <w:r>
        <w:rPr>
          <w:sz w:val="24"/>
        </w:rPr>
        <w:t>Barrier culvert impacts</w:t>
      </w:r>
      <w:r w:rsidRPr="002B2781">
        <w:rPr>
          <w:sz w:val="24"/>
        </w:rPr>
        <w:t xml:space="preserve"> to salmon are much more extensive than the obvious problem of eliminating adult salmon spawning habitat. </w:t>
      </w:r>
      <w:r w:rsidRPr="002B2781">
        <w:rPr>
          <w:rFonts w:eastAsia="Bookman Old Style" w:cs="Bookman Old Style"/>
          <w:sz w:val="24"/>
        </w:rPr>
        <w:t xml:space="preserve"> Salmon require habitat connectivity.</w:t>
      </w:r>
      <w:r w:rsidRPr="002B2781">
        <w:rPr>
          <w:rStyle w:val="FootnoteReference"/>
          <w:rFonts w:eastAsia="Bookman Old Style" w:cs="Bookman Old Style"/>
          <w:sz w:val="24"/>
        </w:rPr>
        <w:footnoteReference w:id="103"/>
      </w:r>
      <w:r w:rsidRPr="002B2781">
        <w:rPr>
          <w:rFonts w:eastAsia="Bookman Old Style" w:cs="Bookman Old Style"/>
          <w:sz w:val="24"/>
        </w:rPr>
        <w:t xml:space="preserve">  In addition to other life cycle migrations, juvenile salmon will move within a watershed to rearing or overwintering habitat or explore other habitats at times</w:t>
      </w:r>
      <w:r w:rsidR="00A931EC">
        <w:rPr>
          <w:rFonts w:eastAsia="Bookman Old Style" w:cs="Bookman Old Style"/>
          <w:sz w:val="24"/>
        </w:rPr>
        <w:t>,</w:t>
      </w:r>
      <w:r w:rsidRPr="002B2781">
        <w:rPr>
          <w:rFonts w:eastAsia="Bookman Old Style" w:cs="Bookman Old Style"/>
          <w:sz w:val="24"/>
        </w:rPr>
        <w:t xml:space="preserve"> in pursuit of food.</w:t>
      </w:r>
      <w:r w:rsidRPr="002B2781">
        <w:rPr>
          <w:rStyle w:val="FootnoteReference"/>
          <w:rFonts w:eastAsia="Bookman Old Style" w:cs="Bookman Old Style"/>
          <w:sz w:val="24"/>
        </w:rPr>
        <w:footnoteReference w:id="104"/>
      </w:r>
      <w:r w:rsidRPr="002B2781">
        <w:rPr>
          <w:rFonts w:eastAsia="Bookman Old Style" w:cs="Bookman Old Style"/>
          <w:sz w:val="24"/>
        </w:rPr>
        <w:t xml:space="preserve"> They also move to seek refuge from adverse environmental conditions such as floods or debris flows from landslides.</w:t>
      </w:r>
      <w:r w:rsidRPr="002B2781">
        <w:rPr>
          <w:rStyle w:val="FootnoteReference"/>
          <w:rFonts w:eastAsia="Bookman Old Style" w:cs="Bookman Old Style"/>
          <w:sz w:val="24"/>
        </w:rPr>
        <w:footnoteReference w:id="105"/>
      </w:r>
      <w:r w:rsidRPr="002B2781">
        <w:rPr>
          <w:rFonts w:eastAsia="Bookman Old Style" w:cs="Bookman Old Style"/>
          <w:sz w:val="24"/>
        </w:rPr>
        <w:t xml:space="preserve">  </w:t>
      </w:r>
      <w:r w:rsidRPr="002B2781">
        <w:rPr>
          <w:rFonts w:cs="Arial"/>
          <w:sz w:val="24"/>
          <w:shd w:val="clear" w:color="auto" w:fill="FFFFFF"/>
        </w:rPr>
        <w:t>Barrier culverts</w:t>
      </w:r>
      <w:r>
        <w:rPr>
          <w:rFonts w:cs="Arial"/>
          <w:sz w:val="24"/>
          <w:shd w:val="clear" w:color="auto" w:fill="FFFFFF"/>
        </w:rPr>
        <w:t xml:space="preserve"> that occur</w:t>
      </w:r>
      <w:r w:rsidRPr="002B2781">
        <w:rPr>
          <w:rFonts w:cs="Arial"/>
          <w:sz w:val="24"/>
          <w:shd w:val="clear" w:color="auto" w:fill="FFFFFF"/>
        </w:rPr>
        <w:t xml:space="preserve"> throughout a watershed block those movements, cumulatively reducing population productivity by impairing foraging opportunities that slow growth and development and by blocking access to </w:t>
      </w:r>
      <w:r w:rsidRPr="002B2781">
        <w:rPr>
          <w:rFonts w:cs="Arial"/>
          <w:sz w:val="24"/>
          <w:shd w:val="clear" w:color="auto" w:fill="FFFFFF"/>
        </w:rPr>
        <w:lastRenderedPageBreak/>
        <w:t>refugia.</w:t>
      </w:r>
      <w:r w:rsidRPr="002B2781">
        <w:rPr>
          <w:rStyle w:val="FootnoteReference"/>
          <w:sz w:val="24"/>
          <w:shd w:val="clear" w:color="auto" w:fill="FFFFFF"/>
        </w:rPr>
        <w:footnoteReference w:id="106"/>
      </w:r>
      <w:r w:rsidRPr="002B2781">
        <w:rPr>
          <w:rFonts w:cs="Arial"/>
          <w:sz w:val="24"/>
          <w:shd w:val="clear" w:color="auto" w:fill="FFFFFF"/>
        </w:rPr>
        <w:t xml:space="preserve"> </w:t>
      </w:r>
      <w:r w:rsidRPr="002B2781">
        <w:rPr>
          <w:rFonts w:eastAsia="Bookman Old Style" w:cs="Bookman Old Style"/>
          <w:sz w:val="24"/>
        </w:rPr>
        <w:t xml:space="preserve"> </w:t>
      </w:r>
      <w:r w:rsidRPr="002B2781">
        <w:rPr>
          <w:sz w:val="24"/>
        </w:rPr>
        <w:t xml:space="preserve">  </w:t>
      </w:r>
      <w:r w:rsidRPr="002B2781">
        <w:rPr>
          <w:rFonts w:cs="Arial"/>
          <w:sz w:val="24"/>
          <w:shd w:val="clear" w:color="auto" w:fill="FFFFFF"/>
        </w:rPr>
        <w:t xml:space="preserve"> </w:t>
      </w:r>
      <w:r w:rsidRPr="002B2781">
        <w:rPr>
          <w:sz w:val="24"/>
        </w:rPr>
        <w:t xml:space="preserve"> </w:t>
      </w:r>
    </w:p>
    <w:p w14:paraId="154E4D91" w14:textId="1270208D" w:rsidR="00E8407A" w:rsidRDefault="0054470C" w:rsidP="006C5D82">
      <w:pPr>
        <w:ind w:firstLine="720"/>
        <w:rPr>
          <w:sz w:val="24"/>
        </w:rPr>
      </w:pPr>
      <w:r>
        <w:rPr>
          <w:sz w:val="24"/>
        </w:rPr>
        <w:t>We Respondents</w:t>
      </w:r>
      <w:r w:rsidR="00E8407A">
        <w:rPr>
          <w:sz w:val="24"/>
        </w:rPr>
        <w:t xml:space="preserve"> support efforts to reduce road impacts, but the reconstruction, construction and use of </w:t>
      </w:r>
      <w:r w:rsidR="00E8407A" w:rsidRPr="00A931EC">
        <w:rPr>
          <w:i/>
          <w:sz w:val="24"/>
        </w:rPr>
        <w:t>new roads</w:t>
      </w:r>
      <w:r w:rsidR="00E8407A">
        <w:rPr>
          <w:sz w:val="24"/>
        </w:rPr>
        <w:t xml:space="preserve"> to support timber extraction seems likely to offset any benefits from road remediation activities. T</w:t>
      </w:r>
      <w:r w:rsidR="00E8407A" w:rsidRPr="002B2781">
        <w:rPr>
          <w:sz w:val="24"/>
        </w:rPr>
        <w:t>imber roads and clearcutting increase sedimentation, degrade water quality, fragment habitat, and increase high temperature events.</w:t>
      </w:r>
      <w:r w:rsidR="00E8407A" w:rsidRPr="002B2781">
        <w:rPr>
          <w:rStyle w:val="FootnoteReference"/>
          <w:sz w:val="24"/>
        </w:rPr>
        <w:footnoteReference w:id="107"/>
      </w:r>
      <w:r w:rsidR="00E8407A" w:rsidRPr="002B2781">
        <w:rPr>
          <w:sz w:val="24"/>
        </w:rPr>
        <w:t xml:space="preserve">  Sedimentation of stream beds is a </w:t>
      </w:r>
      <w:r w:rsidR="00E8407A" w:rsidRPr="002B2781">
        <w:rPr>
          <w:rStyle w:val="Hyperlink4"/>
          <w:sz w:val="24"/>
        </w:rPr>
        <w:t>principal cause of declining salmon populations throughout their range.</w:t>
      </w:r>
      <w:r w:rsidR="00E8407A" w:rsidRPr="002B2781">
        <w:rPr>
          <w:rStyle w:val="FootnoteReference"/>
          <w:rFonts w:eastAsia="Bookman Old Style" w:cs="Bookman Old Style"/>
          <w:sz w:val="24"/>
        </w:rPr>
        <w:footnoteReference w:id="108"/>
      </w:r>
      <w:r w:rsidR="00E8407A" w:rsidRPr="002B2781">
        <w:rPr>
          <w:rStyle w:val="Hyperlink4"/>
          <w:sz w:val="24"/>
        </w:rPr>
        <w:t xml:space="preserve">  </w:t>
      </w:r>
      <w:r w:rsidR="00E8407A" w:rsidRPr="002B2781">
        <w:rPr>
          <w:sz w:val="24"/>
        </w:rPr>
        <w:t xml:space="preserve"> Roads are a primary cause of accelerated, ongoing, chronic sediment delivery that </w:t>
      </w:r>
      <w:r w:rsidR="00A931EC">
        <w:rPr>
          <w:sz w:val="24"/>
        </w:rPr>
        <w:t>progresses</w:t>
      </w:r>
      <w:r w:rsidR="00E8407A" w:rsidRPr="002B2781">
        <w:rPr>
          <w:sz w:val="24"/>
        </w:rPr>
        <w:t xml:space="preserve"> downstream</w:t>
      </w:r>
      <w:r w:rsidR="00A931EC">
        <w:rPr>
          <w:sz w:val="24"/>
        </w:rPr>
        <w:t>, degrading additional</w:t>
      </w:r>
      <w:r w:rsidR="00E8407A" w:rsidRPr="002B2781">
        <w:rPr>
          <w:sz w:val="24"/>
        </w:rPr>
        <w:t xml:space="preserve"> salmon spawning and rearing habitat.</w:t>
      </w:r>
      <w:r w:rsidR="00E8407A" w:rsidRPr="002B2781">
        <w:rPr>
          <w:rStyle w:val="FootnoteReference"/>
          <w:sz w:val="24"/>
        </w:rPr>
        <w:footnoteReference w:id="109"/>
      </w:r>
      <w:r w:rsidR="00E8407A" w:rsidRPr="002B2781">
        <w:rPr>
          <w:sz w:val="24"/>
        </w:rPr>
        <w:t xml:space="preserve">  Large volumes of sediment from road surfaces, ditches and cut</w:t>
      </w:r>
      <w:r w:rsidR="003F4D39">
        <w:rPr>
          <w:sz w:val="24"/>
        </w:rPr>
        <w:t>-</w:t>
      </w:r>
      <w:r w:rsidR="00E8407A" w:rsidRPr="002B2781">
        <w:rPr>
          <w:sz w:val="24"/>
        </w:rPr>
        <w:t>and</w:t>
      </w:r>
      <w:r w:rsidR="003F4D39">
        <w:rPr>
          <w:sz w:val="24"/>
        </w:rPr>
        <w:t>-</w:t>
      </w:r>
      <w:r w:rsidR="00E8407A" w:rsidRPr="002B2781">
        <w:rPr>
          <w:sz w:val="24"/>
        </w:rPr>
        <w:t>fill surfaces traverse riparian zones and enter streams from multiple locations within a watershed.</w:t>
      </w:r>
      <w:r w:rsidR="00E8407A" w:rsidRPr="002B2781">
        <w:rPr>
          <w:rStyle w:val="FootnoteReference"/>
          <w:rFonts w:cs="TimesLTStd-Roman"/>
          <w:sz w:val="24"/>
        </w:rPr>
        <w:footnoteReference w:id="110"/>
      </w:r>
      <w:r w:rsidR="00E8407A" w:rsidRPr="002B2781">
        <w:rPr>
          <w:rFonts w:cs="TimesLTStd-Roman"/>
          <w:sz w:val="24"/>
        </w:rPr>
        <w:t xml:space="preserve"> </w:t>
      </w:r>
      <w:r w:rsidR="00E8407A" w:rsidRPr="002B2781">
        <w:rPr>
          <w:sz w:val="24"/>
        </w:rPr>
        <w:t xml:space="preserve"> There is chronic sedimentation affecting fish habitat throughout Southeast Alaska islands </w:t>
      </w:r>
      <w:r w:rsidR="0069277F">
        <w:rPr>
          <w:sz w:val="24"/>
        </w:rPr>
        <w:t xml:space="preserve">that have been </w:t>
      </w:r>
      <w:r w:rsidR="00E8407A" w:rsidRPr="002B2781">
        <w:rPr>
          <w:sz w:val="24"/>
        </w:rPr>
        <w:t>heavily impacted by clearcutting and timber road densities.</w:t>
      </w:r>
      <w:r w:rsidR="00E8407A" w:rsidRPr="002B2781">
        <w:rPr>
          <w:rStyle w:val="FootnoteReference"/>
          <w:sz w:val="24"/>
        </w:rPr>
        <w:footnoteReference w:id="111"/>
      </w:r>
      <w:r w:rsidR="00E8407A" w:rsidRPr="002B2781">
        <w:rPr>
          <w:sz w:val="24"/>
        </w:rPr>
        <w:t xml:space="preserve">  It is nearly impossible to mitigate this impact.</w:t>
      </w:r>
      <w:r w:rsidR="00E8407A" w:rsidRPr="002B2781">
        <w:rPr>
          <w:rStyle w:val="FootnoteReference"/>
          <w:sz w:val="24"/>
        </w:rPr>
        <w:footnoteReference w:id="112"/>
      </w:r>
      <w:r w:rsidR="00E8407A" w:rsidRPr="002B2781">
        <w:rPr>
          <w:rFonts w:cs="TimesLTStd-Roman"/>
          <w:sz w:val="24"/>
        </w:rPr>
        <w:t xml:space="preserve"> Intact riparian vegetation can capture and store some sediment, but once disturbed by roads or logging, most of the sediment passes through to stream channels.</w:t>
      </w:r>
      <w:r w:rsidR="00E8407A" w:rsidRPr="002B2781">
        <w:rPr>
          <w:rStyle w:val="FootnoteReference"/>
          <w:rFonts w:cs="TimesLTStd-Roman"/>
          <w:sz w:val="24"/>
        </w:rPr>
        <w:t xml:space="preserve"> </w:t>
      </w:r>
      <w:r w:rsidR="00E8407A" w:rsidRPr="002B2781">
        <w:rPr>
          <w:rStyle w:val="FootnoteReference"/>
          <w:rFonts w:cs="TimesLTStd-Roman"/>
          <w:sz w:val="24"/>
        </w:rPr>
        <w:footnoteReference w:id="113"/>
      </w:r>
      <w:r w:rsidR="00E8407A" w:rsidRPr="002B2781">
        <w:rPr>
          <w:rFonts w:cs="TimesLTStd-Roman"/>
          <w:sz w:val="24"/>
        </w:rPr>
        <w:t xml:space="preserve">  </w:t>
      </w:r>
    </w:p>
    <w:p w14:paraId="0F933497" w14:textId="4068BAC3" w:rsidR="004D68EF" w:rsidRDefault="004D68EF" w:rsidP="006C5D82">
      <w:pPr>
        <w:pStyle w:val="Heading1"/>
        <w:spacing w:before="120" w:after="0"/>
      </w:pPr>
      <w:bookmarkStart w:id="11" w:name="_Toc364317317"/>
      <w:bookmarkStart w:id="12" w:name="_Toc364317387"/>
      <w:bookmarkStart w:id="13" w:name="_Toc391402188"/>
      <w:bookmarkStart w:id="14" w:name="_Toc148104511"/>
      <w:r>
        <w:t xml:space="preserve">IV.  Comments on the Purpose and Need </w:t>
      </w:r>
      <w:bookmarkEnd w:id="11"/>
      <w:bookmarkEnd w:id="12"/>
      <w:bookmarkEnd w:id="13"/>
      <w:r>
        <w:t xml:space="preserve">and </w:t>
      </w:r>
      <w:r w:rsidR="0069277F">
        <w:t xml:space="preserve">the </w:t>
      </w:r>
      <w:r>
        <w:t>Range of Alternatives</w:t>
      </w:r>
      <w:bookmarkEnd w:id="14"/>
    </w:p>
    <w:p w14:paraId="1D554FDC" w14:textId="77777777" w:rsidR="004D68EF" w:rsidRDefault="004D68EF" w:rsidP="006C5D82">
      <w:pPr>
        <w:pStyle w:val="Heading2"/>
        <w:spacing w:before="120" w:after="0"/>
      </w:pPr>
      <w:bookmarkStart w:id="15" w:name="_Toc148104512"/>
      <w:r>
        <w:t>A.  Comments on the Purpose and Need</w:t>
      </w:r>
      <w:bookmarkEnd w:id="15"/>
      <w:r>
        <w:t xml:space="preserve"> </w:t>
      </w:r>
    </w:p>
    <w:p w14:paraId="6CE57DF1" w14:textId="4E3FE0AA" w:rsidR="004D68EF" w:rsidRDefault="0054470C" w:rsidP="006C5D82">
      <w:pPr>
        <w:ind w:firstLine="720"/>
        <w:rPr>
          <w:sz w:val="24"/>
        </w:rPr>
      </w:pPr>
      <w:r>
        <w:rPr>
          <w:sz w:val="24"/>
        </w:rPr>
        <w:t xml:space="preserve">We Respondents’ </w:t>
      </w:r>
      <w:r w:rsidR="004D68EF">
        <w:rPr>
          <w:sz w:val="24"/>
        </w:rPr>
        <w:t>primary</w:t>
      </w:r>
      <w:r>
        <w:rPr>
          <w:sz w:val="24"/>
        </w:rPr>
        <w:t xml:space="preserve"> </w:t>
      </w:r>
      <w:r w:rsidR="004D68EF">
        <w:rPr>
          <w:sz w:val="24"/>
        </w:rPr>
        <w:t xml:space="preserve">concern with the </w:t>
      </w:r>
      <w:r w:rsidR="00CC30B1">
        <w:rPr>
          <w:sz w:val="24"/>
        </w:rPr>
        <w:t xml:space="preserve">project’s </w:t>
      </w:r>
      <w:r w:rsidR="004D68EF">
        <w:rPr>
          <w:sz w:val="24"/>
        </w:rPr>
        <w:t xml:space="preserve">preliminary purpose and need is that it is one thing to hope for watershed and habitat restoration and another to bundle those things with a 50 – 70 MMBF timber sale.  </w:t>
      </w:r>
      <w:r w:rsidR="004D68EF" w:rsidRPr="00B92818">
        <w:rPr>
          <w:sz w:val="24"/>
        </w:rPr>
        <w:t xml:space="preserve">The </w:t>
      </w:r>
      <w:r w:rsidR="004D68EF">
        <w:rPr>
          <w:sz w:val="24"/>
        </w:rPr>
        <w:t xml:space="preserve">scoping notice lists multiple forest plan </w:t>
      </w:r>
      <w:r w:rsidR="004D68EF" w:rsidRPr="003A1299">
        <w:rPr>
          <w:i/>
          <w:sz w:val="24"/>
        </w:rPr>
        <w:t>desired</w:t>
      </w:r>
      <w:r w:rsidR="004D68EF">
        <w:rPr>
          <w:sz w:val="24"/>
        </w:rPr>
        <w:t xml:space="preserve"> conditions, objectives and guidelines, many of which are duplicative or even in conflict with each other.</w:t>
      </w:r>
      <w:r w:rsidR="004D68EF">
        <w:rPr>
          <w:rStyle w:val="FootnoteReference"/>
          <w:sz w:val="24"/>
        </w:rPr>
        <w:footnoteReference w:id="114"/>
      </w:r>
      <w:r w:rsidR="004D68EF">
        <w:rPr>
          <w:sz w:val="24"/>
        </w:rPr>
        <w:t xml:space="preserve">  It is hard to see how intensive </w:t>
      </w:r>
      <w:r w:rsidR="004D68EF">
        <w:rPr>
          <w:sz w:val="24"/>
        </w:rPr>
        <w:lastRenderedPageBreak/>
        <w:t xml:space="preserve">clearcutting fits with the </w:t>
      </w:r>
      <w:r w:rsidR="002F6C77">
        <w:rPr>
          <w:sz w:val="24"/>
        </w:rPr>
        <w:t xml:space="preserve">multiple </w:t>
      </w:r>
      <w:r w:rsidR="004D68EF">
        <w:rPr>
          <w:sz w:val="24"/>
        </w:rPr>
        <w:t>desired conditions, objectives and guidelines that reference accelerating old-growth habitat characteristics for wildlife.</w:t>
      </w:r>
      <w:r w:rsidR="004D68EF">
        <w:rPr>
          <w:rStyle w:val="FootnoteReference"/>
          <w:sz w:val="24"/>
        </w:rPr>
        <w:footnoteReference w:id="115"/>
      </w:r>
      <w:r w:rsidR="004D68EF">
        <w:rPr>
          <w:sz w:val="24"/>
        </w:rPr>
        <w:t xml:space="preserve">  </w:t>
      </w:r>
    </w:p>
    <w:p w14:paraId="3263D30C" w14:textId="64F3BD23" w:rsidR="00A55B2A" w:rsidRDefault="00A55B2A" w:rsidP="006C5D82">
      <w:pPr>
        <w:ind w:firstLine="720"/>
        <w:rPr>
          <w:sz w:val="24"/>
        </w:rPr>
      </w:pPr>
      <w:r>
        <w:rPr>
          <w:sz w:val="24"/>
        </w:rPr>
        <w:t xml:space="preserve">The proposed project volume far exceeds local processing capacity, raising serious questions about whether it will meet desired conditions and objectives aimed at local processing and instead simply feed raw log export markets. There has been no recent local activity to suggest </w:t>
      </w:r>
      <w:r w:rsidR="003A1299">
        <w:rPr>
          <w:sz w:val="24"/>
        </w:rPr>
        <w:t xml:space="preserve">there will be </w:t>
      </w:r>
      <w:r>
        <w:rPr>
          <w:sz w:val="24"/>
        </w:rPr>
        <w:t xml:space="preserve">a conversion to </w:t>
      </w:r>
      <w:r w:rsidR="003A1299">
        <w:rPr>
          <w:sz w:val="24"/>
        </w:rPr>
        <w:t xml:space="preserve">accommodate the </w:t>
      </w:r>
      <w:r>
        <w:rPr>
          <w:sz w:val="24"/>
        </w:rPr>
        <w:t xml:space="preserve">processing </w:t>
      </w:r>
      <w:r w:rsidR="003A1299">
        <w:rPr>
          <w:sz w:val="24"/>
        </w:rPr>
        <w:t xml:space="preserve">of </w:t>
      </w:r>
      <w:r>
        <w:rPr>
          <w:sz w:val="24"/>
        </w:rPr>
        <w:t xml:space="preserve">even a fraction of </w:t>
      </w:r>
      <w:r w:rsidR="002F6C77">
        <w:rPr>
          <w:sz w:val="24"/>
        </w:rPr>
        <w:t xml:space="preserve">a percent of </w:t>
      </w:r>
      <w:r>
        <w:rPr>
          <w:sz w:val="24"/>
        </w:rPr>
        <w:t>the timber</w:t>
      </w:r>
      <w:r w:rsidR="002F6C77">
        <w:rPr>
          <w:sz w:val="24"/>
        </w:rPr>
        <w:t xml:space="preserve"> volume proposed for this project</w:t>
      </w:r>
      <w:r>
        <w:rPr>
          <w:sz w:val="24"/>
        </w:rPr>
        <w:t>.  Southeast Alaska mills processed 0.3 MMBF of second growth timber in 2021.</w:t>
      </w:r>
      <w:r>
        <w:rPr>
          <w:rStyle w:val="FootnoteReference"/>
          <w:sz w:val="24"/>
        </w:rPr>
        <w:footnoteReference w:id="116"/>
      </w:r>
      <w:r>
        <w:rPr>
          <w:sz w:val="24"/>
        </w:rPr>
        <w:t xml:space="preserve"> The six small mills </w:t>
      </w:r>
      <w:r w:rsidR="002F6C77">
        <w:rPr>
          <w:sz w:val="24"/>
        </w:rPr>
        <w:t xml:space="preserve"> that were </w:t>
      </w:r>
      <w:r>
        <w:rPr>
          <w:sz w:val="24"/>
        </w:rPr>
        <w:t>active on Prince of Wales Island in 2021 processed 0.1 MMBF of second growth timber.</w:t>
      </w:r>
      <w:r>
        <w:rPr>
          <w:rStyle w:val="FootnoteReference"/>
          <w:sz w:val="24"/>
        </w:rPr>
        <w:footnoteReference w:id="117"/>
      </w:r>
      <w:r>
        <w:rPr>
          <w:sz w:val="24"/>
        </w:rPr>
        <w:t xml:space="preserve"> Most of these mills specialize in in cedar, some almost exclusively.</w:t>
      </w:r>
      <w:r>
        <w:rPr>
          <w:rStyle w:val="FootnoteReference"/>
          <w:sz w:val="24"/>
        </w:rPr>
        <w:footnoteReference w:id="118"/>
      </w:r>
      <w:r>
        <w:rPr>
          <w:sz w:val="24"/>
        </w:rPr>
        <w:t xml:space="preserve">  Cedar comprised over three-fourths of the 1.4 MMBF processed</w:t>
      </w:r>
      <w:r w:rsidR="002F6C77">
        <w:rPr>
          <w:sz w:val="24"/>
        </w:rPr>
        <w:t xml:space="preserve"> by these six mills</w:t>
      </w:r>
      <w:r>
        <w:rPr>
          <w:sz w:val="24"/>
        </w:rPr>
        <w:t xml:space="preserve"> in 2021</w:t>
      </w:r>
      <w:r>
        <w:rPr>
          <w:rStyle w:val="FootnoteReference"/>
          <w:sz w:val="24"/>
        </w:rPr>
        <w:footnoteReference w:id="119"/>
      </w:r>
      <w:r>
        <w:rPr>
          <w:sz w:val="24"/>
        </w:rPr>
        <w:t xml:space="preserve">  Yellow cedar does not regenerate in second-growth stands and the proportion of western red cedar </w:t>
      </w:r>
      <w:r w:rsidR="002F6C77">
        <w:rPr>
          <w:sz w:val="24"/>
        </w:rPr>
        <w:t>is much lower than in old-growth stands</w:t>
      </w:r>
      <w:r>
        <w:rPr>
          <w:sz w:val="24"/>
        </w:rPr>
        <w:t>.</w:t>
      </w:r>
      <w:r>
        <w:rPr>
          <w:rStyle w:val="FootnoteReference"/>
          <w:sz w:val="24"/>
        </w:rPr>
        <w:footnoteReference w:id="120"/>
      </w:r>
      <w:r>
        <w:rPr>
          <w:sz w:val="24"/>
        </w:rPr>
        <w:t xml:space="preserve"> Five years ago, the agency’s analysis of Prince of Wales Island second-growth timber markets stated that:</w:t>
      </w:r>
    </w:p>
    <w:p w14:paraId="6CFED05D" w14:textId="77777777" w:rsidR="00A55B2A" w:rsidRPr="006C5D82" w:rsidRDefault="00A55B2A" w:rsidP="006C5D82">
      <w:pPr>
        <w:ind w:left="720" w:right="720" w:firstLine="0"/>
        <w:jc w:val="both"/>
        <w:rPr>
          <w:sz w:val="24"/>
        </w:rPr>
      </w:pPr>
      <w:r w:rsidRPr="006C5D82">
        <w:rPr>
          <w:sz w:val="24"/>
        </w:rPr>
        <w:t>Young-growth-volume is assumed to be 100 percent export because there is currently no established market for domestically sawn young-growth (see Table 20). This was assumed to be true for the life of this project since the amount of young-growth estimated to be available would not be enough to warrant the construction of a mill especially designed to be able to handle young-growth logs. Recent young-growth contracts with domestic processing have not been fully successful for the purchasers due to a lack of local markets for sawn young-growth. Contracts where export of young-growth was allowed have been more successful for purchasers.</w:t>
      </w:r>
      <w:r w:rsidRPr="006C5D82">
        <w:rPr>
          <w:rStyle w:val="FootnoteReference"/>
          <w:sz w:val="24"/>
        </w:rPr>
        <w:footnoteReference w:id="121"/>
      </w:r>
    </w:p>
    <w:p w14:paraId="6CC768F2" w14:textId="00085D00" w:rsidR="00A55B2A" w:rsidRDefault="002F6C77" w:rsidP="003A0893">
      <w:pPr>
        <w:ind w:firstLine="0"/>
        <w:rPr>
          <w:sz w:val="24"/>
        </w:rPr>
      </w:pPr>
      <w:r>
        <w:rPr>
          <w:sz w:val="24"/>
        </w:rPr>
        <w:t>What has changed to create a demand for 50 – 70 MMBF from local industry? Mill utilization</w:t>
      </w:r>
      <w:r w:rsidR="00A55B2A">
        <w:rPr>
          <w:sz w:val="24"/>
        </w:rPr>
        <w:t xml:space="preserve"> data suggest that the proposed action</w:t>
      </w:r>
      <w:r w:rsidR="003A0893">
        <w:rPr>
          <w:sz w:val="24"/>
        </w:rPr>
        <w:t>’s</w:t>
      </w:r>
      <w:r w:rsidR="00A55B2A">
        <w:rPr>
          <w:sz w:val="24"/>
        </w:rPr>
        <w:t xml:space="preserve"> target</w:t>
      </w:r>
      <w:r w:rsidR="003A0893">
        <w:rPr>
          <w:sz w:val="24"/>
        </w:rPr>
        <w:t xml:space="preserve"> is</w:t>
      </w:r>
      <w:r w:rsidR="00A55B2A">
        <w:rPr>
          <w:sz w:val="24"/>
        </w:rPr>
        <w:t xml:space="preserve"> foreign raw log export markets</w:t>
      </w:r>
      <w:r w:rsidR="003A0893">
        <w:rPr>
          <w:sz w:val="24"/>
        </w:rPr>
        <w:t>,</w:t>
      </w:r>
      <w:r w:rsidR="00A55B2A">
        <w:rPr>
          <w:sz w:val="24"/>
        </w:rPr>
        <w:t xml:space="preserve"> and </w:t>
      </w:r>
      <w:r w:rsidR="003A0893">
        <w:rPr>
          <w:sz w:val="24"/>
        </w:rPr>
        <w:t xml:space="preserve">that </w:t>
      </w:r>
      <w:r w:rsidR="00A55B2A" w:rsidRPr="003A0893">
        <w:rPr>
          <w:i/>
          <w:sz w:val="24"/>
        </w:rPr>
        <w:t>is inconsistent with</w:t>
      </w:r>
      <w:r w:rsidR="00A55B2A">
        <w:rPr>
          <w:sz w:val="24"/>
        </w:rPr>
        <w:t xml:space="preserve"> the stated purpose and all of the desired conditions and objectives with the exception the two</w:t>
      </w:r>
      <w:r>
        <w:rPr>
          <w:sz w:val="24"/>
        </w:rPr>
        <w:t xml:space="preserve"> objectives</w:t>
      </w:r>
      <w:r w:rsidR="00A55B2A">
        <w:rPr>
          <w:sz w:val="24"/>
        </w:rPr>
        <w:t xml:space="preserve"> aimed at </w:t>
      </w:r>
      <w:r>
        <w:rPr>
          <w:sz w:val="24"/>
        </w:rPr>
        <w:t>offering more second growth for sale</w:t>
      </w:r>
      <w:r w:rsidR="00A55B2A">
        <w:rPr>
          <w:sz w:val="24"/>
        </w:rPr>
        <w:t>.  Finally, estimated administrative costs are nearly a million dollars per 10 MMBF, meaning that lower volume alternatives would reduce taxpayer costs by up seven million dollars.</w:t>
      </w:r>
      <w:r w:rsidR="00A55B2A">
        <w:rPr>
          <w:rStyle w:val="FootnoteReference"/>
          <w:sz w:val="24"/>
        </w:rPr>
        <w:footnoteReference w:id="122"/>
      </w:r>
      <w:r w:rsidR="00A55B2A">
        <w:rPr>
          <w:sz w:val="24"/>
        </w:rPr>
        <w:t xml:space="preserve">  The Tongass timber sale program has a long </w:t>
      </w:r>
      <w:r w:rsidR="00A55B2A">
        <w:rPr>
          <w:sz w:val="24"/>
        </w:rPr>
        <w:lastRenderedPageBreak/>
        <w:t>history of generating taxpayer losses which increase in proportion to timber sale volumes.</w:t>
      </w:r>
      <w:r w:rsidR="00A55B2A">
        <w:rPr>
          <w:rStyle w:val="FootnoteReference"/>
          <w:sz w:val="24"/>
        </w:rPr>
        <w:footnoteReference w:id="123"/>
      </w:r>
      <w:r w:rsidR="00A55B2A">
        <w:rPr>
          <w:sz w:val="24"/>
        </w:rPr>
        <w:t xml:space="preserve">  </w:t>
      </w:r>
    </w:p>
    <w:p w14:paraId="3B1D6A48" w14:textId="14225DF2" w:rsidR="004D68EF" w:rsidRDefault="004D68EF" w:rsidP="006C5D82">
      <w:pPr>
        <w:ind w:firstLine="720"/>
        <w:rPr>
          <w:sz w:val="24"/>
        </w:rPr>
      </w:pPr>
      <w:r>
        <w:rPr>
          <w:sz w:val="24"/>
        </w:rPr>
        <w:t xml:space="preserve">The Forest Service needs to rethink its purpose for the project given the number of conflicting and contradictory Forest Plan goals.  </w:t>
      </w:r>
      <w:r w:rsidR="0054470C">
        <w:rPr>
          <w:sz w:val="24"/>
        </w:rPr>
        <w:t>We Respondents</w:t>
      </w:r>
      <w:r>
        <w:rPr>
          <w:sz w:val="24"/>
        </w:rPr>
        <w:t xml:space="preserve"> recommend that you eliminate, at a minimum, Objectives O-YG-01 and -O2 which are driving the irresponsible timber volume so that it will be possible to analyze lower volume alternatives that would be less harmful to fish, wildlife and the local economy.</w:t>
      </w:r>
    </w:p>
    <w:p w14:paraId="72831D00" w14:textId="77777777" w:rsidR="004D68EF" w:rsidRPr="0070630C" w:rsidRDefault="004D68EF" w:rsidP="006C5D82">
      <w:pPr>
        <w:pStyle w:val="Heading2"/>
        <w:spacing w:before="120" w:after="0"/>
      </w:pPr>
      <w:bookmarkStart w:id="16" w:name="_Toc148104513"/>
      <w:r>
        <w:t>B. NEPA requires a broader range of alternatives</w:t>
      </w:r>
      <w:bookmarkEnd w:id="16"/>
    </w:p>
    <w:p w14:paraId="2AFC88D4" w14:textId="77777777" w:rsidR="004D68EF" w:rsidRDefault="004D68EF" w:rsidP="006C5D82">
      <w:pPr>
        <w:rPr>
          <w:sz w:val="24"/>
        </w:rPr>
      </w:pPr>
      <w:r>
        <w:rPr>
          <w:sz w:val="24"/>
        </w:rPr>
        <w:t xml:space="preserve"> </w:t>
      </w:r>
      <w:r>
        <w:rPr>
          <w:sz w:val="24"/>
        </w:rPr>
        <w:tab/>
        <w:t>The scoping letter identifies only one action alternative - the proposed action – 2,203 acres of clearcuts, mostly in large, contiguous units.    NEPA imposes an obligation to “[r]</w:t>
      </w:r>
      <w:proofErr w:type="spellStart"/>
      <w:r>
        <w:rPr>
          <w:sz w:val="24"/>
        </w:rPr>
        <w:t>igorously</w:t>
      </w:r>
      <w:proofErr w:type="spellEnd"/>
      <w:r>
        <w:rPr>
          <w:sz w:val="24"/>
        </w:rPr>
        <w:t xml:space="preserve"> explore and objectively evaluate all reasonable alternatives.”</w:t>
      </w:r>
      <w:r>
        <w:rPr>
          <w:rStyle w:val="FootnoteReference"/>
          <w:sz w:val="24"/>
        </w:rPr>
        <w:footnoteReference w:id="124"/>
      </w:r>
      <w:r>
        <w:rPr>
          <w:sz w:val="24"/>
        </w:rPr>
        <w:t xml:space="preserve">  An agency must “consider such alternatives to the proposed action as may partially or completely meet the proposal’s goal,” meaning that it is reasonable to consider alternatives that meet other objectives.</w:t>
      </w:r>
      <w:r>
        <w:rPr>
          <w:rStyle w:val="FootnoteReference"/>
          <w:sz w:val="24"/>
        </w:rPr>
        <w:footnoteReference w:id="125"/>
      </w:r>
      <w:r>
        <w:rPr>
          <w:sz w:val="24"/>
        </w:rPr>
        <w:t xml:space="preserve">  The key criterion for determining whether a range of alternatives is reasonable “is whether an EIS’s selection and discussion of alternatives fosters informed decisionmaking and informed public participation.”</w:t>
      </w:r>
      <w:r>
        <w:rPr>
          <w:rStyle w:val="FootnoteReference"/>
          <w:sz w:val="24"/>
        </w:rPr>
        <w:footnoteReference w:id="126"/>
      </w:r>
      <w:r>
        <w:rPr>
          <w:sz w:val="24"/>
        </w:rPr>
        <w:t xml:space="preserve"> </w:t>
      </w:r>
    </w:p>
    <w:p w14:paraId="351A025C" w14:textId="77777777" w:rsidR="004D68EF" w:rsidRDefault="004D68EF" w:rsidP="006C5D82">
      <w:pPr>
        <w:ind w:firstLine="720"/>
        <w:rPr>
          <w:sz w:val="24"/>
        </w:rPr>
      </w:pPr>
      <w:r>
        <w:rPr>
          <w:sz w:val="24"/>
        </w:rPr>
        <w:t>While an EIS need not include every conceivable alternative, “[t]he existence of a viable but unexamined alternative renders an environmental impact statement inadequate.”</w:t>
      </w:r>
      <w:r>
        <w:rPr>
          <w:rStyle w:val="FootnoteReference"/>
          <w:sz w:val="24"/>
        </w:rPr>
        <w:footnoteReference w:id="127"/>
      </w:r>
      <w:r>
        <w:rPr>
          <w:sz w:val="24"/>
        </w:rPr>
        <w:t xml:space="preserve"> The exploration of alternatives to an agency’s preferred course of action is critical, because “[w]</w:t>
      </w:r>
      <w:proofErr w:type="spellStart"/>
      <w:r>
        <w:rPr>
          <w:sz w:val="24"/>
        </w:rPr>
        <w:t>ithout</w:t>
      </w:r>
      <w:proofErr w:type="spellEnd"/>
      <w:r>
        <w:rPr>
          <w:sz w:val="24"/>
        </w:rPr>
        <w:t xml:space="preserve"> substantive, comparative environmental impact information regarding other possible courses of action, the ability of an EIS to inform agency deliberation and facilitate public involvement would be greatly degraded.”</w:t>
      </w:r>
      <w:r>
        <w:rPr>
          <w:rStyle w:val="FootnoteReference"/>
          <w:sz w:val="24"/>
        </w:rPr>
        <w:footnoteReference w:id="128"/>
      </w:r>
      <w:r>
        <w:rPr>
          <w:sz w:val="24"/>
        </w:rPr>
        <w:t xml:space="preserve">  </w:t>
      </w:r>
    </w:p>
    <w:p w14:paraId="41D958FD" w14:textId="77777777" w:rsidR="004D68EF" w:rsidRDefault="004D68EF" w:rsidP="006C5D82">
      <w:pPr>
        <w:widowControl w:val="0"/>
        <w:autoSpaceDE w:val="0"/>
        <w:autoSpaceDN w:val="0"/>
        <w:adjustRightInd w:val="0"/>
        <w:ind w:firstLine="720"/>
        <w:rPr>
          <w:sz w:val="24"/>
        </w:rPr>
      </w:pPr>
      <w:r>
        <w:rPr>
          <w:sz w:val="24"/>
        </w:rPr>
        <w:t xml:space="preserve">The Forest Service needs to develop downscaled action alternatives.  In </w:t>
      </w:r>
      <w:r>
        <w:rPr>
          <w:i/>
          <w:iCs/>
          <w:sz w:val="24"/>
        </w:rPr>
        <w:t xml:space="preserve">Curry v. U.S. Forest Service, </w:t>
      </w:r>
      <w:r>
        <w:rPr>
          <w:sz w:val="24"/>
        </w:rPr>
        <w:t>the agency considered only two alternatives for the Mortality II timber project - a no-action alternative and the proposed action which involved “the overwhelming use of even-aged management techniques.”</w:t>
      </w:r>
      <w:r>
        <w:rPr>
          <w:rStyle w:val="FootnoteReference"/>
          <w:sz w:val="24"/>
        </w:rPr>
        <w:footnoteReference w:id="129"/>
      </w:r>
      <w:r>
        <w:rPr>
          <w:sz w:val="24"/>
        </w:rPr>
        <w:t xml:space="preserve">   The court explained that:</w:t>
      </w:r>
    </w:p>
    <w:p w14:paraId="59A8A9B6" w14:textId="77777777" w:rsidR="004D68EF" w:rsidRDefault="004D68EF" w:rsidP="006C5D82">
      <w:pPr>
        <w:widowControl w:val="0"/>
        <w:autoSpaceDE w:val="0"/>
        <w:autoSpaceDN w:val="0"/>
        <w:adjustRightInd w:val="0"/>
        <w:ind w:left="720" w:right="720" w:firstLine="0"/>
        <w:jc w:val="both"/>
        <w:rPr>
          <w:sz w:val="24"/>
        </w:rPr>
      </w:pPr>
      <w:r>
        <w:rPr>
          <w:sz w:val="24"/>
        </w:rPr>
        <w:t xml:space="preserve">“In the court’s extensive research in connection with plaintiffs’ claims under the NFMA and NEPA, the court did not find one case in which the Forest Service had considered so few alternatives.  Although the LRMP for the Allegheny National Forest indicates that even-aged management will be the “featured” silvicultural system for Management Area 3, this </w:t>
      </w:r>
      <w:r>
        <w:rPr>
          <w:sz w:val="24"/>
        </w:rPr>
        <w:lastRenderedPageBreak/>
        <w:t>provision does not, in the court’s opinion, negate the obligation of the Forest Service under NEPA and its implementing regulations to consider a ‘broad range of reasonable alternatives’ for the Mortality II Project, some of which involve more extensive uneven-aged management techniques.”</w:t>
      </w:r>
      <w:r>
        <w:rPr>
          <w:rStyle w:val="FootnoteReference"/>
          <w:sz w:val="24"/>
        </w:rPr>
        <w:footnoteReference w:id="130"/>
      </w:r>
    </w:p>
    <w:p w14:paraId="6F5F735D" w14:textId="77777777" w:rsidR="004D68EF" w:rsidRDefault="004D68EF" w:rsidP="006C5D82">
      <w:pPr>
        <w:widowControl w:val="0"/>
        <w:autoSpaceDE w:val="0"/>
        <w:autoSpaceDN w:val="0"/>
        <w:adjustRightInd w:val="0"/>
        <w:ind w:firstLine="720"/>
        <w:rPr>
          <w:sz w:val="24"/>
        </w:rPr>
      </w:pPr>
      <w:r>
        <w:rPr>
          <w:sz w:val="24"/>
        </w:rPr>
        <w:t>There have been several recent cases recognizing that the mandate to “examine all viable and reasonable alternatives” means that timber agencies must develop multiple alternatives for timber projects – particularly alternatives that include retaining higher volumes of older and larger trees.</w:t>
      </w:r>
      <w:r>
        <w:rPr>
          <w:rStyle w:val="FootnoteReference"/>
          <w:sz w:val="24"/>
        </w:rPr>
        <w:footnoteReference w:id="131"/>
      </w:r>
      <w:r>
        <w:rPr>
          <w:sz w:val="24"/>
        </w:rPr>
        <w:t xml:space="preserve">  The only action alternative drives at one result – intensive clearcutting of recovering forests.  The alternative provides no opportunity for the public to compare and provide comments on alternatives that would allow for the retention of forested habitat that is essential to maintaining at-risk fish and wildlife populations and reducing significant harm to socio-economic sectors that depend on those resources.  </w:t>
      </w:r>
    </w:p>
    <w:p w14:paraId="3BD99A5E" w14:textId="77777777" w:rsidR="004D68EF" w:rsidRDefault="004D68EF" w:rsidP="006C5D82">
      <w:pPr>
        <w:widowControl w:val="0"/>
        <w:autoSpaceDE w:val="0"/>
        <w:autoSpaceDN w:val="0"/>
        <w:adjustRightInd w:val="0"/>
        <w:ind w:firstLine="720"/>
        <w:rPr>
          <w:sz w:val="24"/>
        </w:rPr>
      </w:pPr>
      <w:r>
        <w:rPr>
          <w:sz w:val="24"/>
        </w:rPr>
        <w:t>It is clear that the Forest Service also has an obligation under NFMA to consider alternatives to clearcutting for this project.</w:t>
      </w:r>
      <w:r>
        <w:rPr>
          <w:rStyle w:val="FootnoteReference"/>
          <w:sz w:val="24"/>
        </w:rPr>
        <w:footnoteReference w:id="132"/>
      </w:r>
      <w:r>
        <w:rPr>
          <w:sz w:val="24"/>
        </w:rPr>
        <w:t xml:space="preserve">  The only applicable Forest Plan justifications for clearcutting are to achieve timber production objectives or where there is a risk of infection or disease, or high risk of windthrow.</w:t>
      </w:r>
      <w:r>
        <w:rPr>
          <w:rStyle w:val="FootnoteReference"/>
          <w:sz w:val="24"/>
        </w:rPr>
        <w:footnoteReference w:id="133"/>
      </w:r>
      <w:r>
        <w:rPr>
          <w:sz w:val="24"/>
        </w:rPr>
        <w:t xml:space="preserve">  Timber production considerations do not justify clearcutting.  The Forest Service has previously found that uneven-aged management (generally, 67% forest retention) would produce more timber from the area over time.</w:t>
      </w:r>
      <w:r>
        <w:rPr>
          <w:rStyle w:val="FootnoteReference"/>
          <w:sz w:val="24"/>
        </w:rPr>
        <w:footnoteReference w:id="134"/>
      </w:r>
      <w:r>
        <w:rPr>
          <w:sz w:val="24"/>
        </w:rPr>
        <w:t xml:space="preserve">  Windthrow risks do not justify clearcutting as the agency has also stated that uneven-aged management, whether group or single tree selection, creates a mostly wind firm retention level.</w:t>
      </w:r>
      <w:r>
        <w:rPr>
          <w:rStyle w:val="FootnoteReference"/>
          <w:sz w:val="24"/>
        </w:rPr>
        <w:footnoteReference w:id="135"/>
      </w:r>
      <w:r>
        <w:rPr>
          <w:sz w:val="24"/>
        </w:rPr>
        <w:t xml:space="preserve">  </w:t>
      </w:r>
    </w:p>
    <w:p w14:paraId="2603CB10" w14:textId="77777777" w:rsidR="004D68EF" w:rsidRDefault="004D68EF" w:rsidP="006C5D82">
      <w:pPr>
        <w:widowControl w:val="0"/>
        <w:autoSpaceDE w:val="0"/>
        <w:autoSpaceDN w:val="0"/>
        <w:adjustRightInd w:val="0"/>
        <w:ind w:firstLine="720"/>
        <w:rPr>
          <w:sz w:val="24"/>
        </w:rPr>
      </w:pPr>
      <w:r>
        <w:rPr>
          <w:sz w:val="24"/>
        </w:rPr>
        <w:t>The Forest Service should develop an alternative limited to uneven-aged management in development LUDs through group or single tree selection that would provide timber to smaller operators while retaining 67 percent of the stand area</w:t>
      </w:r>
      <w:r w:rsidRPr="00A871A7">
        <w:rPr>
          <w:sz w:val="24"/>
        </w:rPr>
        <w:t xml:space="preserve">.  </w:t>
      </w:r>
      <w:r>
        <w:rPr>
          <w:sz w:val="24"/>
        </w:rPr>
        <w:t>This alternative would at least enable the retention areas to advance from late stem exclusion to understory re-initiation structure over the next three decades.  While this “uneven-aged management” scheme entails cutting another third of the stand in 30 years, at least future forest managers could later consider whether to defer or cancel future cutting and better provide for long-term wildlife needs as the retention areas would be trending toward old-growth structure by that time.</w:t>
      </w:r>
    </w:p>
    <w:p w14:paraId="7A91E027" w14:textId="77777777" w:rsidR="004D68EF" w:rsidRDefault="004D68EF" w:rsidP="006C5D82">
      <w:pPr>
        <w:ind w:firstLine="720"/>
        <w:rPr>
          <w:sz w:val="24"/>
        </w:rPr>
      </w:pPr>
      <w:r>
        <w:rPr>
          <w:sz w:val="24"/>
        </w:rPr>
        <w:t xml:space="preserve">There should also be an alternative that omits the timber emphasis units so that all timber extraction would be limited to small openings in the habitat emphasis </w:t>
      </w:r>
      <w:r>
        <w:rPr>
          <w:sz w:val="24"/>
        </w:rPr>
        <w:lastRenderedPageBreak/>
        <w:t xml:space="preserve">units.  </w:t>
      </w:r>
      <w:r w:rsidRPr="00A551E1">
        <w:rPr>
          <w:sz w:val="24"/>
        </w:rPr>
        <w:t>It is better to pursue longer rotations with smaller openings so as to ensure retention of maturing forests to provide habitat features</w:t>
      </w:r>
      <w:r>
        <w:rPr>
          <w:sz w:val="24"/>
        </w:rPr>
        <w:t xml:space="preserve"> and meet the Forest Plan desired condition of progressing toward old-growth conditions</w:t>
      </w:r>
      <w:r w:rsidRPr="00A551E1">
        <w:rPr>
          <w:sz w:val="24"/>
        </w:rPr>
        <w:t>.</w:t>
      </w:r>
      <w:r w:rsidRPr="00A551E1">
        <w:rPr>
          <w:rStyle w:val="FootnoteReference"/>
          <w:sz w:val="24"/>
        </w:rPr>
        <w:footnoteReference w:id="136"/>
      </w:r>
      <w:r>
        <w:rPr>
          <w:sz w:val="24"/>
        </w:rPr>
        <w:t xml:space="preserve"> The agency’s own research indicates habitat objectives in non-development LUDs for deer that combine snow interception with forage.</w:t>
      </w:r>
      <w:r>
        <w:rPr>
          <w:rStyle w:val="FootnoteReference"/>
          <w:sz w:val="24"/>
        </w:rPr>
        <w:footnoteReference w:id="137"/>
      </w:r>
      <w:r>
        <w:rPr>
          <w:sz w:val="24"/>
        </w:rPr>
        <w:t xml:space="preserve"> Given the condition of the project area landscape, the Forest Service needs to consider alternatives to clearcutting - and even to uneven-aged management – that aim solely at wildlife habitat objectives in the development LUDs.  As noted in the agency’s own reports, the relevant time frames for analysis should be “years to decades and multiple decades to centuries, respectively.”</w:t>
      </w:r>
      <w:r>
        <w:rPr>
          <w:rStyle w:val="FootnoteReference"/>
          <w:sz w:val="24"/>
        </w:rPr>
        <w:footnoteReference w:id="138"/>
      </w:r>
      <w:r>
        <w:rPr>
          <w:sz w:val="24"/>
        </w:rPr>
        <w:t xml:space="preserve">  Such an alternative would help to meet the need </w:t>
      </w:r>
      <w:r w:rsidRPr="00A551E1">
        <w:rPr>
          <w:sz w:val="24"/>
        </w:rPr>
        <w:t>for long-term winter range.</w:t>
      </w:r>
      <w:r w:rsidRPr="00A551E1">
        <w:rPr>
          <w:rStyle w:val="FootnoteReference"/>
          <w:sz w:val="24"/>
        </w:rPr>
        <w:footnoteReference w:id="139"/>
      </w:r>
      <w:r>
        <w:rPr>
          <w:sz w:val="24"/>
        </w:rPr>
        <w:t xml:space="preserve"> Short-term benefits may pertain to understory vegetation and plant species diversity, while long-term objectives could be more rapid attainment of old-growth conditions.</w:t>
      </w:r>
      <w:r>
        <w:rPr>
          <w:rStyle w:val="FootnoteReference"/>
          <w:sz w:val="24"/>
        </w:rPr>
        <w:footnoteReference w:id="140"/>
      </w:r>
    </w:p>
    <w:p w14:paraId="434E0A35" w14:textId="6D0FBA76" w:rsidR="004D68EF" w:rsidRDefault="004D68EF" w:rsidP="006C5D82">
      <w:pPr>
        <w:widowControl w:val="0"/>
        <w:autoSpaceDE w:val="0"/>
        <w:autoSpaceDN w:val="0"/>
        <w:adjustRightInd w:val="0"/>
        <w:ind w:firstLine="720"/>
        <w:rPr>
          <w:sz w:val="24"/>
        </w:rPr>
      </w:pPr>
      <w:r>
        <w:rPr>
          <w:sz w:val="24"/>
        </w:rPr>
        <w:t>In sum, we request that you develop substantially downscaled alternatives that responds to other multiple use values by:  (1) eliminating any clearcutting and (2) if commercial timber take is part of the project, there must be an uneven-aged management alternative and (3) there should be an alternative aimed narrowly at wildlife habitat enhancement with small openings only and no clearcuts.</w:t>
      </w:r>
    </w:p>
    <w:p w14:paraId="23EA68C0" w14:textId="0F71366F" w:rsidR="004D68EF" w:rsidRDefault="004D68EF" w:rsidP="006C5D82">
      <w:pPr>
        <w:pStyle w:val="Heading1"/>
        <w:spacing w:before="120" w:after="0"/>
        <w:ind w:left="0" w:firstLine="0"/>
      </w:pPr>
      <w:bookmarkStart w:id="17" w:name="_Toc148104514"/>
      <w:r>
        <w:t>V.  Conclusion:  Cancel clearcutting</w:t>
      </w:r>
      <w:r w:rsidR="0004452C">
        <w:t xml:space="preserve"> and protect late successional forests</w:t>
      </w:r>
      <w:bookmarkEnd w:id="17"/>
    </w:p>
    <w:p w14:paraId="6DBF0477" w14:textId="0C5E895C" w:rsidR="0004452C" w:rsidRPr="0009174B" w:rsidRDefault="002F6C77" w:rsidP="006C5D82">
      <w:pPr>
        <w:widowControl w:val="0"/>
        <w:autoSpaceDE w:val="0"/>
        <w:autoSpaceDN w:val="0"/>
        <w:adjustRightInd w:val="0"/>
        <w:ind w:firstLine="720"/>
        <w:rPr>
          <w:sz w:val="24"/>
        </w:rPr>
      </w:pPr>
      <w:r>
        <w:rPr>
          <w:sz w:val="24"/>
        </w:rPr>
        <w:t>T</w:t>
      </w:r>
      <w:r w:rsidR="0004452C">
        <w:rPr>
          <w:sz w:val="24"/>
        </w:rPr>
        <w:t xml:space="preserve">he Forest Service has at times prepared Forest Plan amendments that reduce the size of Old-Growth Reserves to meet timber objectives or weaken conservation standards in order to allow timber companies to operate on moderate vulnerability karst lands.  </w:t>
      </w:r>
      <w:r w:rsidR="005721E0">
        <w:rPr>
          <w:sz w:val="24"/>
        </w:rPr>
        <w:t>We Respondents</w:t>
      </w:r>
      <w:r w:rsidR="0004452C">
        <w:rPr>
          <w:sz w:val="24"/>
        </w:rPr>
        <w:t xml:space="preserve"> submit that the agency needs to consider protective measures instead and evaluate a Forest Plan amendment that would protect </w:t>
      </w:r>
      <w:r w:rsidR="0033255A">
        <w:rPr>
          <w:sz w:val="24"/>
        </w:rPr>
        <w:t>some of the oldest second-growth</w:t>
      </w:r>
      <w:r w:rsidR="0004452C">
        <w:rPr>
          <w:sz w:val="24"/>
        </w:rPr>
        <w:t xml:space="preserve"> forests in the project area as reserves. </w:t>
      </w:r>
      <w:r w:rsidR="0004452C" w:rsidRPr="0009174B">
        <w:rPr>
          <w:sz w:val="24"/>
        </w:rPr>
        <w:t>Even in areas where there is some remaining old-growth habitat, “additional areas of older second-growth forest will have to be protected and allowed to recover to an old-growth state to ensure adequate representation of these forest types in the future, and to provide a continuous network of wildlife habitat.</w:t>
      </w:r>
      <w:r w:rsidR="0004452C" w:rsidRPr="0009174B">
        <w:rPr>
          <w:rStyle w:val="FootnoteReference"/>
          <w:sz w:val="24"/>
        </w:rPr>
        <w:footnoteReference w:id="141"/>
      </w:r>
    </w:p>
    <w:p w14:paraId="54928BBB" w14:textId="0B7F9CDB" w:rsidR="0004452C" w:rsidRPr="0004452C" w:rsidRDefault="004D68EF" w:rsidP="006C5D82">
      <w:pPr>
        <w:ind w:firstLine="720"/>
        <w:rPr>
          <w:sz w:val="24"/>
        </w:rPr>
      </w:pPr>
      <w:r w:rsidRPr="0004452C">
        <w:rPr>
          <w:sz w:val="24"/>
        </w:rPr>
        <w:t xml:space="preserve"> </w:t>
      </w:r>
      <w:r w:rsidR="0004452C" w:rsidRPr="0004452C">
        <w:rPr>
          <w:sz w:val="24"/>
        </w:rPr>
        <w:t>Logging these forests intensively also sacrifices carbon storage and sequestration capacity.  Many of these forests are “middle-aged” - between 50 – and 100 years old.</w:t>
      </w:r>
      <w:r w:rsidR="0004452C" w:rsidRPr="0004452C">
        <w:rPr>
          <w:rStyle w:val="FootnoteReference"/>
          <w:sz w:val="24"/>
        </w:rPr>
        <w:footnoteReference w:id="142"/>
      </w:r>
      <w:r w:rsidR="0004452C" w:rsidRPr="0004452C">
        <w:rPr>
          <w:sz w:val="24"/>
        </w:rPr>
        <w:t xml:space="preserve">  These forests sequester carbon quickly and are “carbon </w:t>
      </w:r>
      <w:r w:rsidR="0004452C" w:rsidRPr="0004452C">
        <w:rPr>
          <w:sz w:val="24"/>
        </w:rPr>
        <w:lastRenderedPageBreak/>
        <w:t>hotspots.”</w:t>
      </w:r>
      <w:r w:rsidR="0004452C" w:rsidRPr="0004452C">
        <w:rPr>
          <w:rStyle w:val="FootnoteReference"/>
          <w:sz w:val="24"/>
        </w:rPr>
        <w:footnoteReference w:id="143"/>
      </w:r>
      <w:r w:rsidR="0004452C" w:rsidRPr="0004452C">
        <w:rPr>
          <w:sz w:val="24"/>
        </w:rPr>
        <w:t xml:space="preserve"> There is wide recognition that preserving these forests would increase sequestration rates, by avoiding the simultaneous CO</w:t>
      </w:r>
      <w:r w:rsidR="0004452C" w:rsidRPr="0004452C">
        <w:rPr>
          <w:rFonts w:ascii="Times New Roman" w:hAnsi="Times New Roman"/>
          <w:sz w:val="24"/>
        </w:rPr>
        <w:t>₂</w:t>
      </w:r>
      <w:r w:rsidR="0004452C" w:rsidRPr="0004452C">
        <w:rPr>
          <w:sz w:val="24"/>
        </w:rPr>
        <w:t xml:space="preserve"> emissions caused by logging and loss of the future carbon storage capacity</w:t>
      </w:r>
      <w:r w:rsidR="0004452C" w:rsidRPr="0004452C">
        <w:rPr>
          <w:rFonts w:eastAsia="Cambria" w:cs="Cambria"/>
          <w:sz w:val="24"/>
        </w:rPr>
        <w:t xml:space="preserve">. </w:t>
      </w:r>
      <w:r w:rsidR="0004452C" w:rsidRPr="0004452C">
        <w:rPr>
          <w:sz w:val="24"/>
        </w:rPr>
        <w:t>Emphasis on proforestation is increasing, as a cost-effective strategy for mitigating climate change.</w:t>
      </w:r>
      <w:r w:rsidR="0004452C" w:rsidRPr="0004452C">
        <w:rPr>
          <w:rStyle w:val="FootnoteReference"/>
          <w:sz w:val="24"/>
        </w:rPr>
        <w:footnoteReference w:id="144"/>
      </w:r>
      <w:r w:rsidR="0004452C" w:rsidRPr="0004452C">
        <w:rPr>
          <w:sz w:val="24"/>
        </w:rPr>
        <w:t xml:space="preserve">  </w:t>
      </w:r>
      <w:r w:rsidR="0004452C" w:rsidRPr="0004452C">
        <w:rPr>
          <w:rFonts w:cs="Arial"/>
          <w:color w:val="222222"/>
          <w:sz w:val="24"/>
          <w:shd w:val="clear" w:color="auto" w:fill="FFFFFF"/>
        </w:rPr>
        <w:t>Proforestation allows maturing trees that are already rapidly sequestering carbon to fully mature into natural forests of diverse species, maximizing their potential as carbon sinks</w:t>
      </w:r>
      <w:r w:rsidR="0004452C" w:rsidRPr="0004452C">
        <w:rPr>
          <w:sz w:val="24"/>
        </w:rPr>
        <w:t>.</w:t>
      </w:r>
      <w:r w:rsidR="0004452C" w:rsidRPr="0004452C">
        <w:rPr>
          <w:rStyle w:val="FootnoteReference"/>
          <w:sz w:val="24"/>
        </w:rPr>
        <w:footnoteReference w:id="145"/>
      </w:r>
      <w:r w:rsidR="0004452C" w:rsidRPr="0004452C">
        <w:rPr>
          <w:sz w:val="24"/>
        </w:rPr>
        <w:t xml:space="preserve"> Proforestation would generate rapid, additional carbon sequestration and significantly help in offsetting CO</w:t>
      </w:r>
      <w:r w:rsidR="0004452C" w:rsidRPr="0004452C">
        <w:rPr>
          <w:rFonts w:ascii="Times New Roman" w:hAnsi="Times New Roman"/>
          <w:sz w:val="24"/>
        </w:rPr>
        <w:t>₂</w:t>
      </w:r>
      <w:r w:rsidR="0004452C" w:rsidRPr="0004452C">
        <w:rPr>
          <w:sz w:val="24"/>
        </w:rPr>
        <w:t xml:space="preserve"> emissions in the U.S.</w:t>
      </w:r>
      <w:r w:rsidR="0004452C" w:rsidRPr="0004452C">
        <w:rPr>
          <w:rStyle w:val="FootnoteReference"/>
          <w:sz w:val="24"/>
        </w:rPr>
        <w:footnoteReference w:id="146"/>
      </w:r>
      <w:r w:rsidR="0004452C" w:rsidRPr="0004452C">
        <w:rPr>
          <w:sz w:val="24"/>
        </w:rPr>
        <w:t xml:space="preserve">  </w:t>
      </w:r>
    </w:p>
    <w:p w14:paraId="72C14AE4" w14:textId="15076DD6" w:rsidR="004D68EF" w:rsidRDefault="004D68EF" w:rsidP="006C5D82">
      <w:pPr>
        <w:widowControl w:val="0"/>
        <w:autoSpaceDE w:val="0"/>
        <w:autoSpaceDN w:val="0"/>
        <w:adjustRightInd w:val="0"/>
        <w:ind w:firstLine="0"/>
        <w:rPr>
          <w:sz w:val="24"/>
        </w:rPr>
      </w:pPr>
    </w:p>
    <w:p w14:paraId="7C62EF0E" w14:textId="77777777" w:rsidR="004D68EF" w:rsidRDefault="004D68EF" w:rsidP="006C5D82">
      <w:pPr>
        <w:ind w:firstLine="720"/>
        <w:rPr>
          <w:sz w:val="24"/>
        </w:rPr>
      </w:pPr>
      <w:r>
        <w:rPr>
          <w:sz w:val="24"/>
        </w:rPr>
        <w:t>We request that you cease planning on the proposed action.  As currently proposed, an EIS is necessary to address significant adverse impacts.</w:t>
      </w:r>
    </w:p>
    <w:p w14:paraId="2846395E" w14:textId="77777777" w:rsidR="005E42CA" w:rsidRDefault="005E42CA" w:rsidP="005E42CA">
      <w:pPr>
        <w:spacing w:before="0"/>
        <w:ind w:firstLine="720"/>
        <w:rPr>
          <w:sz w:val="24"/>
        </w:rPr>
      </w:pPr>
    </w:p>
    <w:p w14:paraId="28936349" w14:textId="6E6A66FA" w:rsidR="005E42CA" w:rsidRDefault="005E42CA" w:rsidP="005E42CA">
      <w:pPr>
        <w:spacing w:before="0"/>
        <w:ind w:firstLine="720"/>
        <w:rPr>
          <w:sz w:val="24"/>
        </w:rPr>
      </w:pPr>
      <w:r>
        <w:rPr>
          <w:noProof/>
          <w:sz w:val="24"/>
        </w:rPr>
        <w:drawing>
          <wp:anchor distT="0" distB="0" distL="114300" distR="114300" simplePos="0" relativeHeight="251665408" behindDoc="0" locked="0" layoutInCell="1" allowOverlap="1" wp14:anchorId="31949EE9" wp14:editId="2B445B16">
            <wp:simplePos x="0" y="0"/>
            <wp:positionH relativeFrom="column">
              <wp:posOffset>-12803</wp:posOffset>
            </wp:positionH>
            <wp:positionV relativeFrom="paragraph">
              <wp:posOffset>237617</wp:posOffset>
            </wp:positionV>
            <wp:extent cx="1943581" cy="526694"/>
            <wp:effectExtent l="0" t="0" r="0" b="6985"/>
            <wp:wrapNone/>
            <wp:docPr id="1" name="Picture 1" descr="F:\A\Signatures\Larry_Signature_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Signatures\Larry_Signature_4jp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51404" cy="5288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9F161" w14:textId="72638175" w:rsidR="004D68EF" w:rsidRDefault="004D68EF" w:rsidP="005E42CA">
      <w:pPr>
        <w:spacing w:before="0"/>
        <w:rPr>
          <w:sz w:val="24"/>
        </w:rPr>
      </w:pPr>
    </w:p>
    <w:p w14:paraId="786726BE" w14:textId="77777777" w:rsidR="005E42CA" w:rsidRDefault="005E42CA" w:rsidP="005E42CA">
      <w:pPr>
        <w:spacing w:before="0"/>
        <w:rPr>
          <w:sz w:val="24"/>
        </w:rPr>
      </w:pPr>
    </w:p>
    <w:p w14:paraId="372EE2EC" w14:textId="693EC834" w:rsidR="005E42CA" w:rsidRDefault="005E42CA" w:rsidP="005E42CA">
      <w:pPr>
        <w:pStyle w:val="NormTight"/>
        <w:spacing w:before="100"/>
        <w:rPr>
          <w:sz w:val="24"/>
        </w:rPr>
      </w:pPr>
      <w:r>
        <w:rPr>
          <w:sz w:val="24"/>
        </w:rPr>
        <w:t>_______________________________</w:t>
      </w:r>
    </w:p>
    <w:p w14:paraId="0AEEB57D" w14:textId="77777777" w:rsidR="004D68EF" w:rsidRDefault="004D68EF" w:rsidP="006C5D82">
      <w:pPr>
        <w:pStyle w:val="NormTight"/>
        <w:spacing w:before="120"/>
        <w:rPr>
          <w:sz w:val="24"/>
        </w:rPr>
      </w:pPr>
      <w:r>
        <w:rPr>
          <w:sz w:val="24"/>
        </w:rPr>
        <w:t>Larry Edwards, President</w:t>
      </w:r>
    </w:p>
    <w:p w14:paraId="1CC44D61" w14:textId="5CE5B6D4" w:rsidR="005E42CA" w:rsidRPr="005721E0" w:rsidRDefault="005E42CA" w:rsidP="005E42CA">
      <w:pPr>
        <w:pStyle w:val="NormTight"/>
        <w:rPr>
          <w:b/>
          <w:sz w:val="24"/>
        </w:rPr>
      </w:pPr>
      <w:r w:rsidRPr="005721E0">
        <w:rPr>
          <w:b/>
          <w:sz w:val="24"/>
        </w:rPr>
        <w:t>Alaska Rainforest Defenders</w:t>
      </w:r>
    </w:p>
    <w:p w14:paraId="7F1ED531" w14:textId="77777777" w:rsidR="005E42CA" w:rsidRDefault="005E42CA" w:rsidP="006C5D82">
      <w:pPr>
        <w:pStyle w:val="NormTight"/>
        <w:spacing w:before="120"/>
        <w:rPr>
          <w:sz w:val="24"/>
        </w:rPr>
      </w:pPr>
    </w:p>
    <w:p w14:paraId="73A3D0EF" w14:textId="77777777" w:rsidR="005E42CA" w:rsidRDefault="005E42CA" w:rsidP="006C5D82">
      <w:pPr>
        <w:pStyle w:val="NormTight"/>
        <w:spacing w:before="120"/>
        <w:rPr>
          <w:sz w:val="24"/>
        </w:rPr>
      </w:pPr>
    </w:p>
    <w:p w14:paraId="240E4B53" w14:textId="77777777" w:rsidR="005E42CA" w:rsidRDefault="005E42CA" w:rsidP="006C5D82">
      <w:pPr>
        <w:pStyle w:val="NormTight"/>
        <w:spacing w:before="120"/>
        <w:rPr>
          <w:sz w:val="24"/>
        </w:rPr>
      </w:pPr>
      <w:r>
        <w:rPr>
          <w:sz w:val="24"/>
        </w:rPr>
        <w:t>(verifiable signature on request)</w:t>
      </w:r>
    </w:p>
    <w:p w14:paraId="3954ACAE" w14:textId="536C6A32" w:rsidR="005E42CA" w:rsidRDefault="005E42CA" w:rsidP="005E42CA">
      <w:pPr>
        <w:pStyle w:val="NormTight"/>
        <w:rPr>
          <w:sz w:val="24"/>
        </w:rPr>
      </w:pPr>
      <w:r>
        <w:rPr>
          <w:sz w:val="24"/>
        </w:rPr>
        <w:t>_______________________________</w:t>
      </w:r>
    </w:p>
    <w:p w14:paraId="6E934C92" w14:textId="09FCA4F3" w:rsidR="005E42CA" w:rsidRDefault="005E42CA" w:rsidP="006C5D82">
      <w:pPr>
        <w:pStyle w:val="NormTight"/>
        <w:spacing w:before="120"/>
        <w:rPr>
          <w:sz w:val="24"/>
        </w:rPr>
      </w:pPr>
      <w:r>
        <w:rPr>
          <w:sz w:val="24"/>
        </w:rPr>
        <w:t>Cooper Freeman</w:t>
      </w:r>
    </w:p>
    <w:p w14:paraId="201DF0D8" w14:textId="37AD5A72" w:rsidR="0054470C" w:rsidRDefault="0054470C" w:rsidP="0054470C">
      <w:pPr>
        <w:pStyle w:val="NormTight"/>
        <w:rPr>
          <w:sz w:val="24"/>
        </w:rPr>
      </w:pPr>
      <w:r w:rsidRPr="005E42CA">
        <w:rPr>
          <w:sz w:val="24"/>
        </w:rPr>
        <w:t>Senior Advocate</w:t>
      </w:r>
      <w:r>
        <w:rPr>
          <w:sz w:val="24"/>
        </w:rPr>
        <w:t xml:space="preserve"> &amp; </w:t>
      </w:r>
      <w:r w:rsidRPr="005E42CA">
        <w:rPr>
          <w:sz w:val="24"/>
        </w:rPr>
        <w:t>Alaska Representative</w:t>
      </w:r>
    </w:p>
    <w:p w14:paraId="0C5091F9" w14:textId="687846BE" w:rsidR="005E42CA" w:rsidRPr="005721E0" w:rsidRDefault="005E42CA" w:rsidP="005E42CA">
      <w:pPr>
        <w:pStyle w:val="NormTight"/>
        <w:rPr>
          <w:b/>
          <w:sz w:val="24"/>
        </w:rPr>
      </w:pPr>
      <w:r w:rsidRPr="005721E0">
        <w:rPr>
          <w:b/>
          <w:sz w:val="24"/>
        </w:rPr>
        <w:t>Center for Biological Diversity</w:t>
      </w:r>
    </w:p>
    <w:p w14:paraId="02B54099" w14:textId="77777777" w:rsidR="004D68EF" w:rsidRDefault="004D68EF" w:rsidP="006C5D82">
      <w:pPr>
        <w:ind w:firstLine="0"/>
        <w:rPr>
          <w:sz w:val="24"/>
        </w:rPr>
      </w:pPr>
    </w:p>
    <w:p w14:paraId="7E7BEC4B" w14:textId="77777777" w:rsidR="004D68EF" w:rsidRDefault="004D68EF" w:rsidP="006C5D82">
      <w:pPr>
        <w:ind w:firstLine="0"/>
        <w:rPr>
          <w:sz w:val="24"/>
        </w:rPr>
      </w:pPr>
    </w:p>
    <w:p w14:paraId="7324FAB9" w14:textId="77777777" w:rsidR="004D68EF" w:rsidRDefault="004D68EF" w:rsidP="006C5D82">
      <w:pPr>
        <w:ind w:firstLine="0"/>
        <w:rPr>
          <w:sz w:val="24"/>
        </w:rPr>
      </w:pPr>
    </w:p>
    <w:p w14:paraId="6B7B0FB0" w14:textId="77777777" w:rsidR="004D68EF" w:rsidRPr="00A32FAD" w:rsidRDefault="004D68EF" w:rsidP="006C5D82">
      <w:pPr>
        <w:widowControl w:val="0"/>
        <w:autoSpaceDE w:val="0"/>
        <w:autoSpaceDN w:val="0"/>
        <w:adjustRightInd w:val="0"/>
        <w:ind w:firstLine="720"/>
        <w:rPr>
          <w:sz w:val="24"/>
        </w:rPr>
      </w:pPr>
    </w:p>
    <w:sectPr w:rsidR="004D68EF" w:rsidRPr="00A32FAD" w:rsidSect="005B66FB">
      <w:footerReference w:type="even" r:id="rId15"/>
      <w:footerReference w:type="default" r:id="rId16"/>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6C160D" w14:textId="77777777" w:rsidR="009359C2" w:rsidRDefault="009359C2">
      <w:r>
        <w:separator/>
      </w:r>
    </w:p>
  </w:endnote>
  <w:endnote w:type="continuationSeparator" w:id="0">
    <w:p w14:paraId="228E2FDC" w14:textId="77777777" w:rsidR="009359C2" w:rsidRDefault="00935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wiss721BT-Bold">
    <w:altName w:val="Calibri"/>
    <w:panose1 w:val="00000000000000000000"/>
    <w:charset w:val="00"/>
    <w:family w:val="swiss"/>
    <w:notTrueType/>
    <w:pitch w:val="default"/>
    <w:sig w:usb0="00000003" w:usb1="00000000" w:usb2="00000000" w:usb3="00000000" w:csb0="00000001" w:csb1="00000000"/>
  </w:font>
  <w:font w:name="Swiss721BT-Roman">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TimesLTStd-Bold">
    <w:altName w:val="Times New Roman"/>
    <w:panose1 w:val="00000000000000000000"/>
    <w:charset w:val="00"/>
    <w:family w:val="auto"/>
    <w:notTrueType/>
    <w:pitch w:val="default"/>
    <w:sig w:usb0="00000003" w:usb1="00000000" w:usb2="00000000" w:usb3="00000000" w:csb0="00000001" w:csb1="00000000"/>
  </w:font>
  <w:font w:name="Lato-Regular">
    <w:altName w:val="Lato"/>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90FBF9" w14:textId="77777777" w:rsidR="0072798B" w:rsidRDefault="0072798B" w:rsidP="008D53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1F5866" w14:textId="77777777" w:rsidR="0072798B" w:rsidRDefault="007279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5CEDC" w14:textId="77777777" w:rsidR="0072798B" w:rsidRDefault="0072798B" w:rsidP="008D53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45B1F">
      <w:rPr>
        <w:rStyle w:val="PageNumber"/>
        <w:noProof/>
      </w:rPr>
      <w:t>20</w:t>
    </w:r>
    <w:r>
      <w:rPr>
        <w:rStyle w:val="PageNumber"/>
      </w:rPr>
      <w:fldChar w:fldCharType="end"/>
    </w:r>
  </w:p>
  <w:p w14:paraId="769D97B9" w14:textId="77777777" w:rsidR="0072798B" w:rsidRDefault="007279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E5C037" w14:textId="77777777" w:rsidR="009359C2" w:rsidRDefault="009359C2">
      <w:r>
        <w:separator/>
      </w:r>
    </w:p>
  </w:footnote>
  <w:footnote w:type="continuationSeparator" w:id="0">
    <w:p w14:paraId="0924D5DA" w14:textId="77777777" w:rsidR="009359C2" w:rsidRDefault="009359C2">
      <w:r>
        <w:continuationSeparator/>
      </w:r>
    </w:p>
  </w:footnote>
  <w:footnote w:id="1">
    <w:p w14:paraId="50305C04" w14:textId="77777777" w:rsidR="002B1849" w:rsidRPr="00221CF3" w:rsidRDefault="002B1849" w:rsidP="00085B8D">
      <w:pPr>
        <w:pStyle w:val="FootnoteText"/>
      </w:pPr>
      <w:r>
        <w:rPr>
          <w:rStyle w:val="FootnoteReference"/>
        </w:rPr>
        <w:footnoteRef/>
      </w:r>
      <w:r>
        <w:t xml:space="preserve"> </w:t>
      </w:r>
      <w:r w:rsidRPr="00332693">
        <w:t xml:space="preserve">USDA Forest Service.  2023.  Scoping Notice: </w:t>
      </w:r>
      <w:r w:rsidRPr="00332693">
        <w:rPr>
          <w:rFonts w:cs="Arial"/>
        </w:rPr>
        <w:t>Thorne Bay Basin Integrated Resource Management Project</w:t>
      </w:r>
      <w:r>
        <w:rPr>
          <w:rFonts w:cs="Arial"/>
        </w:rPr>
        <w:t xml:space="preserve"> at 5</w:t>
      </w:r>
      <w:r w:rsidRPr="00332693">
        <w:rPr>
          <w:rFonts w:cs="Arial"/>
        </w:rPr>
        <w:t xml:space="preserve">. </w:t>
      </w:r>
      <w:r w:rsidRPr="00332693">
        <w:t>Tongass National Forest, Thorne Bay Ranger District</w:t>
      </w:r>
      <w:r>
        <w:t>,</w:t>
      </w:r>
      <w:r w:rsidRPr="00332693">
        <w:t xml:space="preserve"> September 2023</w:t>
      </w:r>
      <w:r>
        <w:t xml:space="preserve"> (hereinafter 2023 TBB IRMP Scoping Notice).</w:t>
      </w:r>
    </w:p>
  </w:footnote>
  <w:footnote w:id="2">
    <w:p w14:paraId="3A96D8B7" w14:textId="77777777" w:rsidR="00EC2507" w:rsidRPr="007C5027" w:rsidRDefault="00EC2507" w:rsidP="00A75E87">
      <w:pPr>
        <w:pStyle w:val="FootnoteText"/>
      </w:pPr>
      <w:r w:rsidRPr="007C5027">
        <w:rPr>
          <w:rStyle w:val="FootnoteReference"/>
        </w:rPr>
        <w:footnoteRef/>
      </w:r>
      <w:r w:rsidRPr="007C5027">
        <w:t xml:space="preserve"> 42 U.S.C. § 4332(2)(C).</w:t>
      </w:r>
    </w:p>
  </w:footnote>
  <w:footnote w:id="3">
    <w:p w14:paraId="4804B34E" w14:textId="77777777" w:rsidR="00EC2507" w:rsidRPr="007C5027" w:rsidRDefault="00EC2507" w:rsidP="00A75E87">
      <w:pPr>
        <w:pStyle w:val="FootnoteText"/>
      </w:pPr>
      <w:r w:rsidRPr="007C5027">
        <w:rPr>
          <w:rStyle w:val="FootnoteReference"/>
        </w:rPr>
        <w:footnoteRef/>
      </w:r>
      <w:r w:rsidRPr="007C5027">
        <w:t xml:space="preserve"> </w:t>
      </w:r>
      <w:r w:rsidRPr="007C5027">
        <w:rPr>
          <w:i/>
          <w:iCs/>
        </w:rPr>
        <w:t xml:space="preserve">Idaho Sporting Congress v. Thomas, </w:t>
      </w:r>
      <w:r w:rsidRPr="007C5027">
        <w:t>137 F.3d 1146, 1149 (9</w:t>
      </w:r>
      <w:r w:rsidRPr="007C5027">
        <w:rPr>
          <w:vertAlign w:val="superscript"/>
        </w:rPr>
        <w:t>th</w:t>
      </w:r>
      <w:r w:rsidRPr="007C5027">
        <w:t xml:space="preserve"> Cir. 1998).</w:t>
      </w:r>
    </w:p>
    <w:p w14:paraId="775F9478" w14:textId="3CAE28C5" w:rsidR="00EC2507" w:rsidRPr="007C5027" w:rsidRDefault="00EC2507" w:rsidP="00B42C77">
      <w:pPr>
        <w:pStyle w:val="FootnoteText"/>
      </w:pPr>
      <w:r w:rsidRPr="007C5027">
        <w:rPr>
          <w:i/>
        </w:rPr>
        <w:t xml:space="preserve">Foundation for N. Am. Wild Sheep v. United States Dep’t of Agric., </w:t>
      </w:r>
      <w:r w:rsidRPr="007C5027">
        <w:t>681 F.2d 1172, 1178-79 (9</w:t>
      </w:r>
      <w:r w:rsidRPr="007C5027">
        <w:rPr>
          <w:vertAlign w:val="superscript"/>
        </w:rPr>
        <w:t>th</w:t>
      </w:r>
      <w:r w:rsidRPr="007C5027">
        <w:t xml:space="preserve"> Cir. 1982)(emphasis added); </w:t>
      </w:r>
      <w:r w:rsidRPr="007C5027">
        <w:rPr>
          <w:i/>
        </w:rPr>
        <w:t xml:space="preserve">see also Blue Mountains Biodiversity Project v. Blackwood, </w:t>
      </w:r>
      <w:r w:rsidRPr="007C5027">
        <w:t>161 F.3d 1208, 1212 (9</w:t>
      </w:r>
      <w:r w:rsidRPr="007C5027">
        <w:rPr>
          <w:vertAlign w:val="superscript"/>
        </w:rPr>
        <w:t>th</w:t>
      </w:r>
      <w:r w:rsidRPr="007C5027">
        <w:t xml:space="preserve"> Cir. 1998</w:t>
      </w:r>
      <w:r w:rsidR="00B42C77">
        <w:t>)</w:t>
      </w:r>
      <w:r w:rsidRPr="007C5027">
        <w:t xml:space="preserve">.   </w:t>
      </w:r>
    </w:p>
  </w:footnote>
  <w:footnote w:id="4">
    <w:p w14:paraId="28CFB755" w14:textId="77777777" w:rsidR="00EC2507" w:rsidRPr="007C5027" w:rsidRDefault="00EC2507" w:rsidP="00B42C77">
      <w:pPr>
        <w:pStyle w:val="FootnoteText"/>
      </w:pPr>
      <w:r w:rsidRPr="007C5027">
        <w:rPr>
          <w:rStyle w:val="FootnoteReference"/>
        </w:rPr>
        <w:footnoteRef/>
      </w:r>
      <w:r w:rsidRPr="007C5027">
        <w:t xml:space="preserve"> </w:t>
      </w:r>
      <w:r w:rsidRPr="007C5027">
        <w:rPr>
          <w:i/>
        </w:rPr>
        <w:t xml:space="preserve">Idaho Sporting Congress v. Thomas, </w:t>
      </w:r>
      <w:r w:rsidRPr="007C5027">
        <w:t>137 F.3d 1146, 1150 (9</w:t>
      </w:r>
      <w:r w:rsidRPr="007C5027">
        <w:rPr>
          <w:vertAlign w:val="superscript"/>
        </w:rPr>
        <w:t>th</w:t>
      </w:r>
      <w:r w:rsidRPr="007C5027">
        <w:t xml:space="preserve"> Cir. 1998).  </w:t>
      </w:r>
    </w:p>
  </w:footnote>
  <w:footnote w:id="5">
    <w:p w14:paraId="43B8F58C" w14:textId="485991BB" w:rsidR="00EC2507" w:rsidRPr="001E6C40" w:rsidRDefault="00EC2507" w:rsidP="00B42C77">
      <w:pPr>
        <w:pStyle w:val="FootnoteText"/>
      </w:pPr>
      <w:r>
        <w:rPr>
          <w:rStyle w:val="FootnoteReference"/>
        </w:rPr>
        <w:footnoteRef/>
      </w:r>
      <w:r>
        <w:t xml:space="preserve"> </w:t>
      </w:r>
      <w:r w:rsidRPr="001E6C40">
        <w:t>2023 TBB IRMP Scoping Notice at 8, Table 2.</w:t>
      </w:r>
    </w:p>
  </w:footnote>
  <w:footnote w:id="6">
    <w:p w14:paraId="29B0C225" w14:textId="2A36B1A2" w:rsidR="00EC2507" w:rsidRDefault="00EC2507" w:rsidP="00B42C77">
      <w:pPr>
        <w:pStyle w:val="FootnoteText"/>
      </w:pPr>
      <w:r>
        <w:rPr>
          <w:rStyle w:val="FootnoteReference"/>
        </w:rPr>
        <w:footnoteRef/>
      </w:r>
      <w:r>
        <w:t xml:space="preserve"> </w:t>
      </w:r>
      <w:r w:rsidR="00A75E87">
        <w:rPr>
          <w:i/>
          <w:iCs/>
        </w:rPr>
        <w:t>Id.</w:t>
      </w:r>
      <w:r>
        <w:t xml:space="preserve"> at 8, Table 2 &amp; 19-22; Figures 7-10.</w:t>
      </w:r>
    </w:p>
  </w:footnote>
  <w:footnote w:id="7">
    <w:p w14:paraId="7D14C773" w14:textId="5ED342D4" w:rsidR="00EC2507" w:rsidRDefault="00EC2507" w:rsidP="00030322">
      <w:pPr>
        <w:pStyle w:val="FootnoteText"/>
      </w:pPr>
      <w:r>
        <w:rPr>
          <w:rStyle w:val="FootnoteReference"/>
        </w:rPr>
        <w:footnoteRef/>
      </w:r>
      <w:r>
        <w:t xml:space="preserve"> </w:t>
      </w:r>
      <w:r w:rsidR="00A75E87">
        <w:rPr>
          <w:i/>
          <w:iCs/>
        </w:rPr>
        <w:t>Id.</w:t>
      </w:r>
      <w:r w:rsidR="00A75E87">
        <w:t xml:space="preserve"> </w:t>
      </w:r>
      <w:r>
        <w:t>at 22, Figure 10.</w:t>
      </w:r>
    </w:p>
  </w:footnote>
  <w:footnote w:id="8">
    <w:p w14:paraId="77507B2C" w14:textId="70D4AA95" w:rsidR="00EC2507" w:rsidRPr="001E6C40" w:rsidRDefault="00EC2507" w:rsidP="00030322">
      <w:pPr>
        <w:pStyle w:val="Default"/>
        <w:rPr>
          <w:rFonts w:ascii="Bookman Old Style" w:hAnsi="Bookman Old Style"/>
          <w:sz w:val="20"/>
          <w:szCs w:val="20"/>
        </w:rPr>
      </w:pPr>
      <w:r>
        <w:rPr>
          <w:rStyle w:val="FootnoteReference"/>
        </w:rPr>
        <w:footnoteRef/>
      </w:r>
      <w:r>
        <w:t xml:space="preserve"> </w:t>
      </w:r>
      <w:r w:rsidR="00A75E87">
        <w:rPr>
          <w:i/>
          <w:iCs/>
        </w:rPr>
        <w:t>Id.</w:t>
      </w:r>
      <w:r w:rsidR="00A75E87">
        <w:t xml:space="preserve"> </w:t>
      </w:r>
      <w:r w:rsidRPr="001E6C40">
        <w:rPr>
          <w:rFonts w:ascii="Bookman Old Style" w:hAnsi="Bookman Old Style"/>
          <w:sz w:val="20"/>
          <w:szCs w:val="20"/>
        </w:rPr>
        <w:t xml:space="preserve">at </w:t>
      </w:r>
      <w:r>
        <w:rPr>
          <w:rFonts w:ascii="Bookman Old Style" w:hAnsi="Bookman Old Style"/>
          <w:sz w:val="20"/>
          <w:szCs w:val="20"/>
        </w:rPr>
        <w:t>6.</w:t>
      </w:r>
    </w:p>
  </w:footnote>
  <w:footnote w:id="9">
    <w:p w14:paraId="65923786" w14:textId="1AC04302" w:rsidR="00EC2507" w:rsidRDefault="00EC2507" w:rsidP="00030322">
      <w:pPr>
        <w:pStyle w:val="FootnoteText"/>
      </w:pPr>
      <w:r>
        <w:rPr>
          <w:rStyle w:val="FootnoteReference"/>
        </w:rPr>
        <w:footnoteRef/>
      </w:r>
      <w:r>
        <w:t xml:space="preserve"> </w:t>
      </w:r>
      <w:r w:rsidR="00A75E87">
        <w:rPr>
          <w:i/>
          <w:iCs/>
        </w:rPr>
        <w:t>Id.</w:t>
      </w:r>
      <w:r w:rsidR="00A75E87">
        <w:t xml:space="preserve"> </w:t>
      </w:r>
      <w:r>
        <w:t>at 8 Table 2.</w:t>
      </w:r>
    </w:p>
  </w:footnote>
  <w:footnote w:id="10">
    <w:p w14:paraId="3569094A" w14:textId="77777777" w:rsidR="00EC2507" w:rsidRDefault="00EC2507" w:rsidP="00030322">
      <w:pPr>
        <w:pStyle w:val="FootnoteText"/>
      </w:pPr>
      <w:r>
        <w:rPr>
          <w:rStyle w:val="FootnoteReference"/>
        </w:rPr>
        <w:footnoteRef/>
      </w:r>
      <w:r>
        <w:t xml:space="preserve"> USDA Forest Service. 2016. Kosciusko Vegetation Management and Watershed Improvement Project Environmental Assessment, Final Decision Notice and Finding of No Significant Impact.  Alaska Region, Tongass National Forest, Thorne Bay Ranger District.  R-10-M-762(c). September 2016; Brand, G. 2015. Kosciusko Vegetation Management and Watershed Improvement Project Environmental Assessment Timber Resource Report at 5.</w:t>
      </w:r>
    </w:p>
  </w:footnote>
  <w:footnote w:id="11">
    <w:p w14:paraId="19962E28" w14:textId="026A627D" w:rsidR="00EC2507" w:rsidRDefault="00EC2507" w:rsidP="00030322">
      <w:pPr>
        <w:pStyle w:val="FootnoteText"/>
      </w:pPr>
      <w:r>
        <w:rPr>
          <w:rStyle w:val="FootnoteReference"/>
        </w:rPr>
        <w:footnoteRef/>
      </w:r>
      <w:r>
        <w:t xml:space="preserve"> </w:t>
      </w:r>
      <w:r w:rsidR="00A75E87">
        <w:rPr>
          <w:i/>
          <w:iCs/>
        </w:rPr>
        <w:t>Id</w:t>
      </w:r>
      <w:r>
        <w:t>.</w:t>
      </w:r>
    </w:p>
  </w:footnote>
  <w:footnote w:id="12">
    <w:p w14:paraId="317578F1" w14:textId="77777777" w:rsidR="00EC2507" w:rsidRDefault="00EC2507" w:rsidP="00A75E87">
      <w:pPr>
        <w:pStyle w:val="FootnoteText"/>
      </w:pPr>
      <w:r>
        <w:rPr>
          <w:rStyle w:val="FootnoteReference"/>
        </w:rPr>
        <w:footnoteRef/>
      </w:r>
      <w:r>
        <w:t xml:space="preserve"> USDA Forest Service. 2023.  Thomas Bay Young-Growth Timber Sale Environmental Assessment and Finding of No Significant Impact.  Alaska Region, Tongass National Forest, Petersburg Ranger District. R10-MB-880a. April 2023.</w:t>
      </w:r>
    </w:p>
  </w:footnote>
  <w:footnote w:id="13">
    <w:p w14:paraId="54FAFA61" w14:textId="77777777" w:rsidR="00A75E87" w:rsidRDefault="00A75E87" w:rsidP="00A75E87">
      <w:pPr>
        <w:pStyle w:val="FootnoteText"/>
      </w:pPr>
      <w:r>
        <w:rPr>
          <w:rStyle w:val="FootnoteReference"/>
        </w:rPr>
        <w:footnoteRef/>
      </w:r>
      <w:r>
        <w:t xml:space="preserve"> 16 U.S.C. § 1604(g)(3)(E)(iv).  NFMA’s directives on clearcutting mean that it is only acceptable in “exceptional circumstances” or, at a minimum, the Forest Service “must proceed cautiously in implementing an even-aged management alternative and only after a close examination of the effects that such management will have on other forest resources.”  </w:t>
      </w:r>
      <w:r>
        <w:rPr>
          <w:i/>
        </w:rPr>
        <w:t xml:space="preserve">Sierra Club v. Thomas, </w:t>
      </w:r>
      <w:r>
        <w:t>105 F.3d 248 (6</w:t>
      </w:r>
      <w:r>
        <w:rPr>
          <w:vertAlign w:val="superscript"/>
        </w:rPr>
        <w:t>th</w:t>
      </w:r>
      <w:r>
        <w:t xml:space="preserve"> Cir. 1997); </w:t>
      </w:r>
      <w:r>
        <w:rPr>
          <w:i/>
        </w:rPr>
        <w:t xml:space="preserve">Sierra Club v. Espy, </w:t>
      </w:r>
      <w:r>
        <w:t>38 F.3d 792, 799 (5</w:t>
      </w:r>
      <w:r>
        <w:rPr>
          <w:vertAlign w:val="superscript"/>
        </w:rPr>
        <w:t>th</w:t>
      </w:r>
      <w:r>
        <w:t xml:space="preserve"> Cir. 1994).  </w:t>
      </w:r>
    </w:p>
  </w:footnote>
  <w:footnote w:id="14">
    <w:p w14:paraId="02AD892D" w14:textId="77777777" w:rsidR="00EC2507" w:rsidRDefault="00EC2507" w:rsidP="00F249C4">
      <w:pPr>
        <w:pStyle w:val="FootnoteText"/>
      </w:pPr>
      <w:r>
        <w:rPr>
          <w:rStyle w:val="FootnoteReference"/>
        </w:rPr>
        <w:footnoteRef/>
      </w:r>
      <w:r>
        <w:t xml:space="preserve"> These projects were the 1998 Nemo, </w:t>
      </w:r>
      <w:proofErr w:type="spellStart"/>
      <w:r>
        <w:t>Todahl</w:t>
      </w:r>
      <w:proofErr w:type="spellEnd"/>
      <w:r>
        <w:t xml:space="preserve"> and Twin Creek projects, the 2000 Doughnut and Polk projects, the 2004 Boundary and Shady projects, and the 2006 Goose Creek, Overlook and Soda Nick projects.</w:t>
      </w:r>
    </w:p>
  </w:footnote>
  <w:footnote w:id="15">
    <w:p w14:paraId="56742BBC" w14:textId="77777777" w:rsidR="00EC2507" w:rsidRDefault="00EC2507" w:rsidP="00F249C4">
      <w:pPr>
        <w:pStyle w:val="FootnoteText"/>
      </w:pPr>
      <w:r>
        <w:rPr>
          <w:rStyle w:val="FootnoteReference"/>
        </w:rPr>
        <w:footnoteRef/>
      </w:r>
      <w:r>
        <w:t xml:space="preserve"> These projects include the 1998 Crane and Rowan Mountain and Crystal Creek Projects (24 and 13 MMBF); the 1999 Canal Hoya Project (13 MMBF); the 2000 </w:t>
      </w:r>
      <w:proofErr w:type="spellStart"/>
      <w:r>
        <w:t>Kuakan</w:t>
      </w:r>
      <w:proofErr w:type="spellEnd"/>
      <w:r>
        <w:t xml:space="preserve">, Luck Lake and Skipping Cow Projects (12, 12.9 and 19 MMBF); the 2001 – 2003 Woodpecker Project (16.3 MMBF); the 2003 Finger Mountain, Licking Creek and Madan Projects (21.4, 17 and 27 MMBF); the 2004 Three Mile Project (19.5 MMBF); the 2005 </w:t>
      </w:r>
      <w:proofErr w:type="spellStart"/>
      <w:r>
        <w:t>Couverden</w:t>
      </w:r>
      <w:proofErr w:type="spellEnd"/>
      <w:r>
        <w:t xml:space="preserve"> and Emerald Bay Projects (23 and 16.4 MMBF); the 2006 Scott Peak and </w:t>
      </w:r>
      <w:proofErr w:type="spellStart"/>
      <w:r>
        <w:t>Tuxekan</w:t>
      </w:r>
      <w:proofErr w:type="spellEnd"/>
      <w:r>
        <w:t xml:space="preserve"> Projects (8.3 and 18.3 MMBF); the 2007 </w:t>
      </w:r>
      <w:proofErr w:type="spellStart"/>
      <w:r>
        <w:t>Scratchings</w:t>
      </w:r>
      <w:proofErr w:type="spellEnd"/>
      <w:r>
        <w:t xml:space="preserve"> and Traitors Cove Projects (21 and 17.1 MMBF); the 2008 Baht Project (4.3 MMBF) and the 2011 Central Kupreanof Project (26.3 MMBF).  </w:t>
      </w:r>
    </w:p>
  </w:footnote>
  <w:footnote w:id="16">
    <w:p w14:paraId="41BEA178" w14:textId="77777777" w:rsidR="00EC2507" w:rsidRDefault="00EC2507" w:rsidP="000421A0">
      <w:pPr>
        <w:pStyle w:val="FootnoteText"/>
      </w:pPr>
      <w:r>
        <w:rPr>
          <w:rStyle w:val="FootnoteReference"/>
        </w:rPr>
        <w:footnoteRef/>
      </w:r>
      <w:r>
        <w:t xml:space="preserve"> </w:t>
      </w:r>
      <w:r>
        <w:rPr>
          <w:i/>
          <w:iCs/>
        </w:rPr>
        <w:t>See</w:t>
      </w:r>
      <w:r w:rsidRPr="00AB7A03">
        <w:t xml:space="preserve"> </w:t>
      </w:r>
      <w:hyperlink r:id="rId1" w:history="1">
        <w:r w:rsidRPr="00BF0971">
          <w:rPr>
            <w:rStyle w:val="Hyperlink"/>
            <w:rFonts w:ascii="Bookman Old Style" w:hAnsi="Bookman Old Style"/>
          </w:rPr>
          <w:t>https://www.fs.usda.gov/project/?project=45037</w:t>
        </w:r>
      </w:hyperlink>
      <w:r>
        <w:t xml:space="preserve"> </w:t>
      </w:r>
    </w:p>
  </w:footnote>
  <w:footnote w:id="17">
    <w:p w14:paraId="49453EBA" w14:textId="77777777" w:rsidR="00EC2507" w:rsidRDefault="00EC2507">
      <w:pPr>
        <w:pStyle w:val="FootnoteText"/>
      </w:pPr>
      <w:r>
        <w:rPr>
          <w:rStyle w:val="FootnoteReference"/>
        </w:rPr>
        <w:footnoteRef/>
      </w:r>
      <w:r>
        <w:t xml:space="preserve"> </w:t>
      </w:r>
      <w:hyperlink r:id="rId2" w:history="1">
        <w:r w:rsidRPr="002260B4">
          <w:rPr>
            <w:rStyle w:val="Hyperlink"/>
            <w:rFonts w:ascii="Bookman Old Style" w:hAnsi="Bookman Old Style"/>
          </w:rPr>
          <w:t>https://cara.fs2c.usda.gov/Public/Letter/3927855?project=60639</w:t>
        </w:r>
      </w:hyperlink>
      <w:r>
        <w:t xml:space="preserve"> </w:t>
      </w:r>
    </w:p>
  </w:footnote>
  <w:footnote w:id="18">
    <w:p w14:paraId="00844003" w14:textId="77777777" w:rsidR="00EC2507" w:rsidRDefault="00EC2507" w:rsidP="00F249C4">
      <w:pPr>
        <w:pStyle w:val="FootnoteText"/>
      </w:pPr>
      <w:r>
        <w:rPr>
          <w:rStyle w:val="FootnoteReference"/>
        </w:rPr>
        <w:footnoteRef/>
      </w:r>
      <w:r>
        <w:t xml:space="preserve"> </w:t>
      </w:r>
      <w:r>
        <w:rPr>
          <w:i/>
          <w:szCs w:val="22"/>
        </w:rPr>
        <w:t xml:space="preserve">Wyoming Outdoor Coordinating Council v. </w:t>
      </w:r>
      <w:proofErr w:type="spellStart"/>
      <w:r>
        <w:rPr>
          <w:i/>
          <w:szCs w:val="22"/>
        </w:rPr>
        <w:t>Butz</w:t>
      </w:r>
      <w:proofErr w:type="spellEnd"/>
      <w:r>
        <w:rPr>
          <w:i/>
          <w:szCs w:val="22"/>
        </w:rPr>
        <w:t xml:space="preserve">, </w:t>
      </w:r>
      <w:r>
        <w:rPr>
          <w:szCs w:val="22"/>
        </w:rPr>
        <w:t>484 F.2d at 1247, 1251, n. 5 (10</w:t>
      </w:r>
      <w:r>
        <w:rPr>
          <w:szCs w:val="22"/>
          <w:vertAlign w:val="superscript"/>
        </w:rPr>
        <w:t>th</w:t>
      </w:r>
      <w:r>
        <w:rPr>
          <w:szCs w:val="22"/>
        </w:rPr>
        <w:t xml:space="preserve"> Cir. 1973).</w:t>
      </w:r>
    </w:p>
  </w:footnote>
  <w:footnote w:id="19">
    <w:p w14:paraId="6C986FC8" w14:textId="77777777" w:rsidR="00EC2507" w:rsidRDefault="00EC2507" w:rsidP="00F249C4">
      <w:pPr>
        <w:pStyle w:val="FootnoteText"/>
      </w:pPr>
      <w:r>
        <w:rPr>
          <w:rStyle w:val="FootnoteReference"/>
        </w:rPr>
        <w:footnoteRef/>
      </w:r>
      <w:r>
        <w:t xml:space="preserve"> </w:t>
      </w:r>
      <w:r>
        <w:rPr>
          <w:i/>
          <w:szCs w:val="22"/>
        </w:rPr>
        <w:t xml:space="preserve">Id. </w:t>
      </w:r>
      <w:r>
        <w:rPr>
          <w:szCs w:val="22"/>
        </w:rPr>
        <w:t>at 1250-1251 (emphasis added).</w:t>
      </w:r>
    </w:p>
  </w:footnote>
  <w:footnote w:id="20">
    <w:p w14:paraId="2F052A71" w14:textId="19A35103" w:rsidR="00EC2507" w:rsidRDefault="00EC2507" w:rsidP="00A75E87">
      <w:pPr>
        <w:pStyle w:val="FootnoteText"/>
      </w:pPr>
      <w:r>
        <w:rPr>
          <w:rStyle w:val="FootnoteReference"/>
        </w:rPr>
        <w:footnoteRef/>
      </w:r>
      <w:r>
        <w:t xml:space="preserve"> National Audubon Society v. Hoffman, 917 F.Supp. 280, 287-288.</w:t>
      </w:r>
    </w:p>
  </w:footnote>
  <w:footnote w:id="21">
    <w:p w14:paraId="743A0DE2" w14:textId="61A6A349" w:rsidR="00EC2507" w:rsidRDefault="00EC2507" w:rsidP="00A75E87">
      <w:pPr>
        <w:pStyle w:val="FootnoteText"/>
      </w:pPr>
      <w:r>
        <w:rPr>
          <w:rStyle w:val="FootnoteReference"/>
        </w:rPr>
        <w:footnoteRef/>
      </w:r>
      <w:r>
        <w:t xml:space="preserve"> </w:t>
      </w:r>
      <w:r w:rsidR="00A75E87">
        <w:rPr>
          <w:iCs/>
        </w:rPr>
        <w:t>Id.</w:t>
      </w:r>
      <w:r w:rsidR="00A75E87">
        <w:t xml:space="preserve"> at</w:t>
      </w:r>
      <w:r>
        <w:t xml:space="preserve"> 280, 288.</w:t>
      </w:r>
    </w:p>
  </w:footnote>
  <w:footnote w:id="22">
    <w:p w14:paraId="72339953" w14:textId="77777777" w:rsidR="00EC2507" w:rsidRDefault="00EC2507" w:rsidP="00A75E87">
      <w:pPr>
        <w:pStyle w:val="FootnoteText"/>
      </w:pPr>
      <w:r>
        <w:rPr>
          <w:rStyle w:val="FootnoteReference"/>
        </w:rPr>
        <w:footnoteRef/>
      </w:r>
      <w:r>
        <w:t xml:space="preserve"> </w:t>
      </w:r>
      <w:r w:rsidRPr="00B42C77">
        <w:rPr>
          <w:i/>
          <w:iCs/>
        </w:rPr>
        <w:t>Curry v. Forest Service</w:t>
      </w:r>
      <w:r>
        <w:t>, 988 F.Supp. 541, 545, 556 (W.D. Penn. 1997).</w:t>
      </w:r>
    </w:p>
  </w:footnote>
  <w:footnote w:id="23">
    <w:p w14:paraId="408DF9AB" w14:textId="360E7D94" w:rsidR="00EC2507" w:rsidRDefault="00EC2507" w:rsidP="00A75E87">
      <w:pPr>
        <w:pStyle w:val="FootnoteText"/>
      </w:pPr>
      <w:r>
        <w:rPr>
          <w:rStyle w:val="FootnoteReference"/>
        </w:rPr>
        <w:footnoteRef/>
      </w:r>
      <w:r>
        <w:t xml:space="preserve"> </w:t>
      </w:r>
      <w:r w:rsidRPr="00B42C77">
        <w:rPr>
          <w:i/>
          <w:iCs/>
        </w:rPr>
        <w:t>Id.</w:t>
      </w:r>
      <w:r>
        <w:t xml:space="preserve"> at 551-552.</w:t>
      </w:r>
    </w:p>
  </w:footnote>
  <w:footnote w:id="24">
    <w:p w14:paraId="21AFD9FB" w14:textId="77777777" w:rsidR="00EC2507" w:rsidRPr="00C456B5" w:rsidRDefault="00EC2507" w:rsidP="00A75E87">
      <w:pPr>
        <w:pStyle w:val="FootnoteText"/>
      </w:pPr>
      <w:r>
        <w:rPr>
          <w:rStyle w:val="FootnoteReference"/>
        </w:rPr>
        <w:footnoteRef/>
      </w:r>
      <w:r>
        <w:t xml:space="preserve"> </w:t>
      </w:r>
      <w:r w:rsidRPr="004540E2">
        <w:rPr>
          <w:i/>
          <w:iCs/>
        </w:rPr>
        <w:t xml:space="preserve">Bark et al. v. U.S. Forest Service, </w:t>
      </w:r>
      <w:r w:rsidRPr="004540E2">
        <w:t>958 F.3d 865, 868 (9</w:t>
      </w:r>
      <w:r w:rsidRPr="004540E2">
        <w:rPr>
          <w:vertAlign w:val="superscript"/>
        </w:rPr>
        <w:t>th</w:t>
      </w:r>
      <w:r w:rsidRPr="004540E2">
        <w:t xml:space="preserve"> Cir. 2020)</w:t>
      </w:r>
      <w:r>
        <w:t xml:space="preserve">; </w:t>
      </w:r>
      <w:r>
        <w:rPr>
          <w:i/>
          <w:iCs/>
        </w:rPr>
        <w:t xml:space="preserve">see also Oregon Wild v. Bureau of Land Management, </w:t>
      </w:r>
      <w:r>
        <w:t>Case No. 6:14-CV-0110AA (D. Or. 2015)(requiring the Forest Service to prepare an EIS for the 6.4 MMBF White Castle Project in large part because the agency proposed to clearcut 180 acres of “mature forest” – stands over 80 years old, which had wildlife habitat values).</w:t>
      </w:r>
    </w:p>
  </w:footnote>
  <w:footnote w:id="25">
    <w:p w14:paraId="724A493F" w14:textId="77777777" w:rsidR="00EC2507" w:rsidRPr="006F737F" w:rsidRDefault="00EC2507" w:rsidP="00A75E87">
      <w:pPr>
        <w:pStyle w:val="FootnoteText"/>
      </w:pPr>
      <w:r>
        <w:rPr>
          <w:rStyle w:val="FootnoteReference"/>
        </w:rPr>
        <w:footnoteRef/>
      </w:r>
      <w:r>
        <w:t xml:space="preserve"> </w:t>
      </w:r>
      <w:r>
        <w:rPr>
          <w:i/>
          <w:iCs/>
        </w:rPr>
        <w:t xml:space="preserve">Cascadia Wildlands v. U.S Forest Service, </w:t>
      </w:r>
      <w:r>
        <w:t xml:space="preserve">937 F.Supp.2d 1271, 1274, 1284 (D. Or. 2013).   </w:t>
      </w:r>
    </w:p>
  </w:footnote>
  <w:footnote w:id="26">
    <w:p w14:paraId="26E8F8A3" w14:textId="77777777" w:rsidR="00EC2507" w:rsidRDefault="00EC2507" w:rsidP="00A75E87">
      <w:pPr>
        <w:pStyle w:val="FootnoteText"/>
      </w:pPr>
      <w:r>
        <w:rPr>
          <w:rStyle w:val="FootnoteReference"/>
        </w:rPr>
        <w:footnoteRef/>
      </w:r>
      <w:r>
        <w:t xml:space="preserve"> </w:t>
      </w:r>
      <w:r>
        <w:rPr>
          <w:i/>
          <w:iCs/>
        </w:rPr>
        <w:t>Id.</w:t>
      </w:r>
      <w:r>
        <w:t xml:space="preserve"> at 1274.  </w:t>
      </w:r>
    </w:p>
  </w:footnote>
  <w:footnote w:id="27">
    <w:p w14:paraId="03D142EA" w14:textId="77777777" w:rsidR="002F1EE0" w:rsidRPr="007C5027" w:rsidRDefault="002F1EE0" w:rsidP="00A75E87">
      <w:pPr>
        <w:pStyle w:val="FootnoteText"/>
      </w:pPr>
      <w:r w:rsidRPr="007C5027">
        <w:rPr>
          <w:rStyle w:val="FootnoteReference"/>
        </w:rPr>
        <w:footnoteRef/>
      </w:r>
      <w:r w:rsidRPr="007C5027">
        <w:t xml:space="preserve"> 40 C.F.R. § 1508.27.   </w:t>
      </w:r>
    </w:p>
  </w:footnote>
  <w:footnote w:id="28">
    <w:p w14:paraId="0E00B319" w14:textId="77777777" w:rsidR="002F1EE0" w:rsidRPr="007C5027" w:rsidRDefault="002F1EE0" w:rsidP="00A75E87">
      <w:pPr>
        <w:pStyle w:val="FootnoteText"/>
      </w:pPr>
      <w:r w:rsidRPr="007C5027">
        <w:rPr>
          <w:rStyle w:val="FootnoteReference"/>
        </w:rPr>
        <w:footnoteRef/>
      </w:r>
      <w:r w:rsidRPr="007C5027">
        <w:t xml:space="preserve"> </w:t>
      </w:r>
      <w:r w:rsidRPr="007C5027">
        <w:rPr>
          <w:i/>
        </w:rPr>
        <w:t xml:space="preserve">National Parks &amp; Conservation </w:t>
      </w:r>
      <w:proofErr w:type="spellStart"/>
      <w:r w:rsidRPr="007C5027">
        <w:rPr>
          <w:i/>
        </w:rPr>
        <w:t>Ass’n</w:t>
      </w:r>
      <w:proofErr w:type="spellEnd"/>
      <w:r w:rsidRPr="007C5027">
        <w:rPr>
          <w:i/>
        </w:rPr>
        <w:t xml:space="preserve"> v. Babbitt, </w:t>
      </w:r>
      <w:r w:rsidRPr="007C5027">
        <w:t>241 F.3d 222, 731 (9</w:t>
      </w:r>
      <w:r w:rsidRPr="007C5027">
        <w:rPr>
          <w:vertAlign w:val="superscript"/>
        </w:rPr>
        <w:t>th</w:t>
      </w:r>
      <w:r w:rsidRPr="007C5027">
        <w:t xml:space="preserve"> Cir. 2001).  </w:t>
      </w:r>
    </w:p>
  </w:footnote>
  <w:footnote w:id="29">
    <w:p w14:paraId="4BE38060" w14:textId="77777777" w:rsidR="002F1EE0" w:rsidRPr="00FB2A30" w:rsidRDefault="002F1EE0" w:rsidP="00A75E87">
      <w:pPr>
        <w:pStyle w:val="FootnoteText"/>
        <w:rPr>
          <w:i/>
        </w:rPr>
      </w:pPr>
      <w:r w:rsidRPr="007C5027">
        <w:rPr>
          <w:rStyle w:val="FootnoteReference"/>
        </w:rPr>
        <w:footnoteRef/>
      </w:r>
      <w:r w:rsidRPr="007C5027">
        <w:t xml:space="preserve"> </w:t>
      </w:r>
      <w:r w:rsidRPr="007C5027">
        <w:rPr>
          <w:i/>
        </w:rPr>
        <w:t>Id.</w:t>
      </w:r>
    </w:p>
  </w:footnote>
  <w:footnote w:id="30">
    <w:p w14:paraId="71C0C8DA" w14:textId="77777777" w:rsidR="002F1EE0" w:rsidRPr="007C5027" w:rsidRDefault="002F1EE0" w:rsidP="00A75E87">
      <w:pPr>
        <w:pStyle w:val="FootnoteText"/>
      </w:pPr>
      <w:r w:rsidRPr="007C5027">
        <w:rPr>
          <w:rStyle w:val="FootnoteReference"/>
        </w:rPr>
        <w:footnoteRef/>
      </w:r>
      <w:r w:rsidRPr="007C5027">
        <w:t xml:space="preserve"> </w:t>
      </w:r>
      <w:r w:rsidRPr="007C5027">
        <w:rPr>
          <w:rStyle w:val="Strong"/>
          <w:b w:val="0"/>
        </w:rPr>
        <w:t xml:space="preserve">40 C.F.R. § 1508.27(b).  </w:t>
      </w:r>
    </w:p>
  </w:footnote>
  <w:footnote w:id="31">
    <w:p w14:paraId="0BE63534" w14:textId="77777777" w:rsidR="002F1EE0" w:rsidRDefault="002F1EE0" w:rsidP="00A75E87">
      <w:pPr>
        <w:pStyle w:val="FootnoteText"/>
      </w:pPr>
      <w:r>
        <w:rPr>
          <w:rStyle w:val="FootnoteReference"/>
        </w:rPr>
        <w:footnoteRef/>
      </w:r>
      <w:r>
        <w:t xml:space="preserve"> </w:t>
      </w:r>
      <w:r w:rsidRPr="00822BBB">
        <w:rPr>
          <w:i/>
          <w:iCs/>
        </w:rPr>
        <w:t xml:space="preserve">Ocean Advocates v. U.S. Army Corps of </w:t>
      </w:r>
      <w:proofErr w:type="spellStart"/>
      <w:r w:rsidRPr="00822BBB">
        <w:rPr>
          <w:i/>
          <w:iCs/>
        </w:rPr>
        <w:t>Eng’rs</w:t>
      </w:r>
      <w:proofErr w:type="spellEnd"/>
      <w:r>
        <w:t>, 402 F.3d 846, 865 (9</w:t>
      </w:r>
      <w:r w:rsidRPr="00B52649">
        <w:rPr>
          <w:vertAlign w:val="superscript"/>
        </w:rPr>
        <w:t>th</w:t>
      </w:r>
      <w:r>
        <w:t xml:space="preserve"> Cir. 2005).</w:t>
      </w:r>
    </w:p>
  </w:footnote>
  <w:footnote w:id="32">
    <w:p w14:paraId="1993D5D9" w14:textId="77777777" w:rsidR="002F1EE0" w:rsidRDefault="002F1EE0" w:rsidP="00A75E87">
      <w:pPr>
        <w:pStyle w:val="FootnoteText"/>
      </w:pPr>
      <w:r>
        <w:rPr>
          <w:rStyle w:val="FootnoteReference"/>
        </w:rPr>
        <w:footnoteRef/>
      </w:r>
      <w:r>
        <w:t xml:space="preserve"> </w:t>
      </w:r>
      <w:r>
        <w:rPr>
          <w:i/>
          <w:iCs/>
        </w:rPr>
        <w:t xml:space="preserve">Cascadia Wildlands v. U.S Forest Service, </w:t>
      </w:r>
      <w:r>
        <w:t xml:space="preserve">937 F.Supp.2d 1271, 1274 (D. Or. 2013).  </w:t>
      </w:r>
    </w:p>
  </w:footnote>
  <w:footnote w:id="33">
    <w:p w14:paraId="577FA405" w14:textId="77777777" w:rsidR="002F1EE0" w:rsidRDefault="002F1EE0" w:rsidP="00A75E87">
      <w:pPr>
        <w:pStyle w:val="FootnoteText"/>
      </w:pPr>
      <w:r>
        <w:rPr>
          <w:rStyle w:val="FootnoteReference"/>
        </w:rPr>
        <w:footnoteRef/>
      </w:r>
      <w:r>
        <w:t xml:space="preserve"> </w:t>
      </w:r>
      <w:r>
        <w:rPr>
          <w:szCs w:val="22"/>
        </w:rPr>
        <w:t>40 C.F.R. §1508.27(b)(5)</w:t>
      </w:r>
    </w:p>
  </w:footnote>
  <w:footnote w:id="34">
    <w:p w14:paraId="56C44AE0" w14:textId="77777777" w:rsidR="002F1EE0" w:rsidRDefault="002F1EE0" w:rsidP="00A75E87">
      <w:pPr>
        <w:pStyle w:val="FootnoteText"/>
      </w:pPr>
      <w:r>
        <w:rPr>
          <w:rStyle w:val="FootnoteReference"/>
        </w:rPr>
        <w:footnoteRef/>
      </w:r>
      <w:r>
        <w:t xml:space="preserve"> </w:t>
      </w:r>
      <w:r>
        <w:rPr>
          <w:i/>
          <w:iCs/>
        </w:rPr>
        <w:t>Native Ecosystems Council</w:t>
      </w:r>
      <w:r>
        <w:t>, 428 F.2d at 1240.</w:t>
      </w:r>
    </w:p>
  </w:footnote>
  <w:footnote w:id="35">
    <w:p w14:paraId="43796544" w14:textId="77777777" w:rsidR="002F1EE0" w:rsidRDefault="002F1EE0" w:rsidP="00B82E8D">
      <w:pPr>
        <w:pStyle w:val="FootnoteText"/>
      </w:pPr>
      <w:r>
        <w:rPr>
          <w:rStyle w:val="FootnoteReference"/>
        </w:rPr>
        <w:footnoteRef/>
      </w:r>
      <w:r>
        <w:t xml:space="preserve"> </w:t>
      </w:r>
      <w:r>
        <w:rPr>
          <w:i/>
          <w:iCs/>
        </w:rPr>
        <w:t xml:space="preserve">Bark et al. v. U.S. Forest Service, </w:t>
      </w:r>
      <w:r>
        <w:t>958 F.3d 870-71 (9</w:t>
      </w:r>
      <w:r>
        <w:rPr>
          <w:vertAlign w:val="superscript"/>
        </w:rPr>
        <w:t>th</w:t>
      </w:r>
      <w:r>
        <w:t xml:space="preserve"> Cir. 2020). </w:t>
      </w:r>
    </w:p>
  </w:footnote>
  <w:footnote w:id="36">
    <w:p w14:paraId="232EBF24" w14:textId="77777777" w:rsidR="002F1EE0" w:rsidRDefault="002F1EE0" w:rsidP="00D717F2">
      <w:pPr>
        <w:pStyle w:val="FootnoteText"/>
      </w:pPr>
      <w:r>
        <w:rPr>
          <w:rStyle w:val="FootnoteReference"/>
        </w:rPr>
        <w:footnoteRef/>
      </w:r>
      <w:r>
        <w:t xml:space="preserve"> </w:t>
      </w:r>
      <w:proofErr w:type="spellStart"/>
      <w:r>
        <w:t>Harrop</w:t>
      </w:r>
      <w:proofErr w:type="spellEnd"/>
      <w:r>
        <w:t>-Archibald, H. 2014. The value of second-growth forests to biodiversity. University of Victoria, British Columbia School of Environmental Studies.</w:t>
      </w:r>
    </w:p>
  </w:footnote>
  <w:footnote w:id="37">
    <w:p w14:paraId="53678EF6" w14:textId="77777777" w:rsidR="002F1EE0" w:rsidRDefault="002F1EE0" w:rsidP="00D717F2">
      <w:pPr>
        <w:pStyle w:val="FootnoteText"/>
        <w:rPr>
          <w:i/>
        </w:rPr>
      </w:pPr>
      <w:r>
        <w:rPr>
          <w:rStyle w:val="FootnoteReference"/>
        </w:rPr>
        <w:footnoteRef/>
      </w:r>
      <w:r>
        <w:t xml:space="preserve"> </w:t>
      </w:r>
      <w:r>
        <w:rPr>
          <w:i/>
        </w:rPr>
        <w:t>Id.</w:t>
      </w:r>
    </w:p>
  </w:footnote>
  <w:footnote w:id="38">
    <w:p w14:paraId="46E446C3" w14:textId="77777777" w:rsidR="002F1EE0" w:rsidRDefault="002F1EE0" w:rsidP="00D717F2">
      <w:pPr>
        <w:pStyle w:val="FootnoteText"/>
      </w:pPr>
      <w:r>
        <w:rPr>
          <w:rStyle w:val="FootnoteReference"/>
        </w:rPr>
        <w:footnoteRef/>
      </w:r>
      <w:r>
        <w:t xml:space="preserve"> </w:t>
      </w:r>
      <w:r>
        <w:rPr>
          <w:i/>
        </w:rPr>
        <w:t xml:space="preserve">Id. </w:t>
      </w:r>
    </w:p>
  </w:footnote>
  <w:footnote w:id="39">
    <w:p w14:paraId="3E7B870C" w14:textId="77777777" w:rsidR="002F1EE0" w:rsidRPr="0024153B" w:rsidRDefault="002F1EE0" w:rsidP="001C4C5A">
      <w:pPr>
        <w:pStyle w:val="FootnoteText"/>
      </w:pPr>
      <w:r>
        <w:rPr>
          <w:rStyle w:val="FootnoteReference"/>
          <w:rFonts w:ascii="Cambria" w:hAnsi="Cambria"/>
        </w:rPr>
        <w:footnoteRef/>
      </w:r>
      <w:r>
        <w:t xml:space="preserve"> </w:t>
      </w:r>
      <w:r>
        <w:rPr>
          <w:rFonts w:cs="Arial"/>
          <w:shd w:val="clear" w:color="auto" w:fill="FFFFFF"/>
        </w:rPr>
        <w:t>Farmer, C.J., Person, D.K. and Bowyer, R.T., 2006. Risk factors and mortality of black</w:t>
      </w:r>
      <w:r>
        <w:rPr>
          <w:rFonts w:ascii="Times New Roman" w:hAnsi="Times New Roman"/>
          <w:shd w:val="clear" w:color="auto" w:fill="FFFFFF"/>
        </w:rPr>
        <w:t>‐</w:t>
      </w:r>
      <w:r>
        <w:rPr>
          <w:rFonts w:cs="Arial"/>
          <w:shd w:val="clear" w:color="auto" w:fill="FFFFFF"/>
        </w:rPr>
        <w:t>tailed deer in a managed forest landscape. </w:t>
      </w:r>
      <w:r>
        <w:rPr>
          <w:rFonts w:cs="Arial"/>
          <w:i/>
          <w:iCs/>
          <w:shd w:val="clear" w:color="auto" w:fill="FFFFFF"/>
        </w:rPr>
        <w:t>The Journal of Wildlife Management</w:t>
      </w:r>
      <w:r>
        <w:rPr>
          <w:rFonts w:cs="Arial"/>
          <w:shd w:val="clear" w:color="auto" w:fill="FFFFFF"/>
        </w:rPr>
        <w:t>, </w:t>
      </w:r>
      <w:r>
        <w:rPr>
          <w:rFonts w:cs="Arial"/>
          <w:i/>
          <w:iCs/>
          <w:shd w:val="clear" w:color="auto" w:fill="FFFFFF"/>
        </w:rPr>
        <w:t>70</w:t>
      </w:r>
      <w:r>
        <w:rPr>
          <w:rFonts w:cs="Arial"/>
          <w:shd w:val="clear" w:color="auto" w:fill="FFFFFF"/>
        </w:rPr>
        <w:t xml:space="preserve">(5), pp.1403-1415; </w:t>
      </w:r>
      <w:r>
        <w:t>Schoen, J. &amp; M. Kirchhoff. 2007. Sitka black-</w:t>
      </w:r>
      <w:r w:rsidRPr="0024153B">
        <w:t xml:space="preserve">tailed deer. Ch. 6.1 </w:t>
      </w:r>
      <w:r w:rsidRPr="0024153B">
        <w:rPr>
          <w:rStyle w:val="None"/>
        </w:rPr>
        <w:t xml:space="preserve">in:  J.W. Schoen &amp; E. </w:t>
      </w:r>
      <w:proofErr w:type="spellStart"/>
      <w:r w:rsidRPr="0024153B">
        <w:rPr>
          <w:rStyle w:val="None"/>
        </w:rPr>
        <w:t>Dovichin</w:t>
      </w:r>
      <w:proofErr w:type="spellEnd"/>
      <w:r w:rsidRPr="0024153B">
        <w:rPr>
          <w:rStyle w:val="None"/>
        </w:rPr>
        <w:t>, eds. The coastal forests and mountains ecoregion of southeastern Alaska and the Tongass National Forest:  a conservation assessment and resource synthesis</w:t>
      </w:r>
      <w:r>
        <w:t>.</w:t>
      </w:r>
    </w:p>
  </w:footnote>
  <w:footnote w:id="40">
    <w:p w14:paraId="23F8B9E4" w14:textId="77777777" w:rsidR="002F1EE0" w:rsidRPr="00B62291" w:rsidRDefault="002F1EE0" w:rsidP="00D717F2">
      <w:pPr>
        <w:pStyle w:val="FootnoteText"/>
      </w:pPr>
      <w:r>
        <w:rPr>
          <w:rStyle w:val="FootnoteReference"/>
        </w:rPr>
        <w:footnoteRef/>
      </w:r>
      <w:r>
        <w:t xml:space="preserve"> </w:t>
      </w:r>
      <w:r w:rsidRPr="00B62291">
        <w:rPr>
          <w:rFonts w:cs="Arial"/>
          <w:shd w:val="clear" w:color="auto" w:fill="FFFFFF"/>
        </w:rPr>
        <w:t>Alaback, P.B. 1984. Plant succession following logging in the Sitka spruce-western hemlock forests of southeast Alaska: implications for management (Vol. 173). US Department of Agriculture, Forest Service, Pacific Northwest Forest and Range Experiment Station.</w:t>
      </w:r>
    </w:p>
  </w:footnote>
  <w:footnote w:id="41">
    <w:p w14:paraId="18003433" w14:textId="77777777" w:rsidR="002F1EE0" w:rsidRPr="00954533" w:rsidRDefault="002F1EE0" w:rsidP="00D62C50">
      <w:pPr>
        <w:autoSpaceDE w:val="0"/>
        <w:autoSpaceDN w:val="0"/>
        <w:adjustRightInd w:val="0"/>
        <w:spacing w:before="0"/>
        <w:ind w:firstLine="0"/>
        <w:rPr>
          <w:rFonts w:cs="TimesNewRomanPSMT"/>
          <w:sz w:val="20"/>
          <w:szCs w:val="20"/>
        </w:rPr>
      </w:pPr>
      <w:r>
        <w:rPr>
          <w:rStyle w:val="FootnoteReference"/>
        </w:rPr>
        <w:footnoteRef/>
      </w:r>
      <w:r>
        <w:t xml:space="preserve"> </w:t>
      </w:r>
      <w:r w:rsidRPr="00954533">
        <w:rPr>
          <w:rFonts w:cs="TimesNewRomanPSMT"/>
          <w:sz w:val="20"/>
          <w:szCs w:val="20"/>
        </w:rPr>
        <w:t>Alaback</w:t>
      </w:r>
      <w:r>
        <w:rPr>
          <w:rFonts w:cs="TimesNewRomanPSMT"/>
          <w:sz w:val="20"/>
          <w:szCs w:val="20"/>
        </w:rPr>
        <w:t xml:space="preserve">, P. 2010.  </w:t>
      </w:r>
      <w:r w:rsidRPr="00954533">
        <w:rPr>
          <w:rFonts w:cs="TimesNewRomanPSMT"/>
          <w:sz w:val="20"/>
          <w:szCs w:val="20"/>
        </w:rPr>
        <w:t>FINAL REPORT</w:t>
      </w:r>
      <w:r>
        <w:rPr>
          <w:rFonts w:cs="TimesNewRomanPSMT"/>
          <w:sz w:val="20"/>
          <w:szCs w:val="20"/>
        </w:rPr>
        <w:t xml:space="preserve"> </w:t>
      </w:r>
      <w:r w:rsidRPr="00954533">
        <w:rPr>
          <w:rFonts w:cs="TimesNewRomanPSMT"/>
          <w:sz w:val="20"/>
          <w:szCs w:val="20"/>
        </w:rPr>
        <w:t>An evaluation of canopy gaps in restoring wildlife habitat</w:t>
      </w:r>
    </w:p>
    <w:p w14:paraId="5ADF503B" w14:textId="77777777" w:rsidR="002F1EE0" w:rsidRPr="00954533" w:rsidRDefault="002F1EE0" w:rsidP="00D62C50">
      <w:pPr>
        <w:autoSpaceDE w:val="0"/>
        <w:autoSpaceDN w:val="0"/>
        <w:adjustRightInd w:val="0"/>
        <w:spacing w:before="0"/>
        <w:ind w:firstLine="0"/>
        <w:rPr>
          <w:rFonts w:cs="TimesNewRomanPSMT"/>
          <w:sz w:val="20"/>
          <w:szCs w:val="20"/>
        </w:rPr>
      </w:pPr>
      <w:r w:rsidRPr="00954533">
        <w:rPr>
          <w:rFonts w:cs="TimesNewRomanPSMT"/>
          <w:sz w:val="20"/>
          <w:szCs w:val="20"/>
        </w:rPr>
        <w:t>in second growth forests of Southeastern Alask</w:t>
      </w:r>
      <w:r>
        <w:rPr>
          <w:rFonts w:cs="TimesNewRomanPSMT"/>
          <w:sz w:val="20"/>
          <w:szCs w:val="20"/>
        </w:rPr>
        <w:t>a.</w:t>
      </w:r>
    </w:p>
  </w:footnote>
  <w:footnote w:id="42">
    <w:p w14:paraId="4415E11E" w14:textId="77777777" w:rsidR="002F1EE0" w:rsidRPr="0024153B" w:rsidRDefault="002F1EE0" w:rsidP="0024153B">
      <w:pPr>
        <w:pStyle w:val="FootnoteText"/>
      </w:pPr>
      <w:r>
        <w:rPr>
          <w:rStyle w:val="FootnoteReference"/>
          <w:rFonts w:ascii="Cambria" w:hAnsi="Cambria"/>
        </w:rPr>
        <w:footnoteRef/>
      </w:r>
      <w:r>
        <w:t xml:space="preserve"> </w:t>
      </w:r>
      <w:r>
        <w:rPr>
          <w:rStyle w:val="None"/>
          <w:rFonts w:ascii="Cambria" w:hAnsi="Cambria"/>
        </w:rPr>
        <w:t xml:space="preserve"> </w:t>
      </w:r>
      <w:r w:rsidRPr="0024153B">
        <w:rPr>
          <w:rStyle w:val="None"/>
        </w:rPr>
        <w:t xml:space="preserve">Person, D.K. &amp; T.J. Brinkman. 2013.  Succession debt and roads: Short-and long-term effects of timber harvest on a large mammal predator prey community in Southeast Alaska. Pages 143-167 [In] G.H. </w:t>
      </w:r>
      <w:proofErr w:type="spellStart"/>
      <w:r w:rsidRPr="0024153B">
        <w:rPr>
          <w:rStyle w:val="None"/>
        </w:rPr>
        <w:t>Orians</w:t>
      </w:r>
      <w:proofErr w:type="spellEnd"/>
      <w:r w:rsidRPr="0024153B">
        <w:rPr>
          <w:rStyle w:val="None"/>
        </w:rPr>
        <w:t xml:space="preserve"> &amp; J.W. Schoen, eds. North Pacific Temperate Rainforests: Ecology &amp; Conservation, Audubon Alaska, Anchorage.</w:t>
      </w:r>
    </w:p>
  </w:footnote>
  <w:footnote w:id="43">
    <w:p w14:paraId="7EB9C65D" w14:textId="77777777" w:rsidR="002F1EE0" w:rsidRDefault="002F1EE0" w:rsidP="00590131">
      <w:pPr>
        <w:pStyle w:val="FootnoteText"/>
      </w:pPr>
      <w:r>
        <w:rPr>
          <w:rStyle w:val="FootnoteReference"/>
        </w:rPr>
        <w:footnoteRef/>
      </w:r>
      <w:r>
        <w:t xml:space="preserve"> Kirchhoff, M. 2015. Letter re:  Draft Tongass Advisory Committee Recommendations. April 19, 2015.</w:t>
      </w:r>
    </w:p>
  </w:footnote>
  <w:footnote w:id="44">
    <w:p w14:paraId="37FBD825" w14:textId="77777777" w:rsidR="002F1EE0" w:rsidRDefault="002F1EE0" w:rsidP="00D717F2">
      <w:pPr>
        <w:pStyle w:val="FootnoteText"/>
      </w:pPr>
      <w:r>
        <w:rPr>
          <w:rStyle w:val="FootnoteReference"/>
        </w:rPr>
        <w:footnoteRef/>
      </w:r>
      <w:r>
        <w:t xml:space="preserve"> 40 C.F.R. § 1508.8.</w:t>
      </w:r>
    </w:p>
  </w:footnote>
  <w:footnote w:id="45">
    <w:p w14:paraId="539FCEBE" w14:textId="77777777" w:rsidR="002F1EE0" w:rsidRPr="001A2DB9" w:rsidRDefault="002F1EE0" w:rsidP="00D717F2">
      <w:pPr>
        <w:pStyle w:val="FootnoteText"/>
        <w:rPr>
          <w:rFonts w:ascii="Cambria" w:hAnsi="Cambria"/>
          <w:i/>
          <w:iCs/>
        </w:rPr>
      </w:pPr>
      <w:r>
        <w:rPr>
          <w:rStyle w:val="FootnoteReference"/>
        </w:rPr>
        <w:footnoteRef/>
      </w:r>
      <w:r>
        <w:t xml:space="preserve"> USDA Forest Service.  2018.  Prince of Wales Landscape Level Analysis FEIS at 220.  R10-MB-833e.</w:t>
      </w:r>
    </w:p>
  </w:footnote>
  <w:footnote w:id="46">
    <w:p w14:paraId="34CB3DEB" w14:textId="77777777" w:rsidR="002F1EE0" w:rsidRPr="001A2DB9" w:rsidRDefault="002F1EE0" w:rsidP="00D717F2">
      <w:pPr>
        <w:pStyle w:val="FootnoteText"/>
        <w:rPr>
          <w:i/>
          <w:iCs/>
        </w:rPr>
      </w:pPr>
      <w:r>
        <w:rPr>
          <w:rStyle w:val="FootnoteReference"/>
        </w:rPr>
        <w:footnoteRef/>
      </w:r>
      <w:r>
        <w:t xml:space="preserve"> </w:t>
      </w:r>
      <w:r>
        <w:rPr>
          <w:i/>
          <w:iCs/>
        </w:rPr>
        <w:t>Id.</w:t>
      </w:r>
    </w:p>
  </w:footnote>
  <w:footnote w:id="47">
    <w:p w14:paraId="7413339D" w14:textId="77777777" w:rsidR="002F1EE0" w:rsidRPr="00590131" w:rsidRDefault="002F1EE0" w:rsidP="00DA12CC">
      <w:pPr>
        <w:autoSpaceDE w:val="0"/>
        <w:autoSpaceDN w:val="0"/>
        <w:adjustRightInd w:val="0"/>
        <w:spacing w:before="0"/>
        <w:ind w:firstLine="0"/>
        <w:rPr>
          <w:rFonts w:cs="Book Antiqua"/>
          <w:sz w:val="20"/>
          <w:szCs w:val="20"/>
        </w:rPr>
      </w:pPr>
      <w:r>
        <w:rPr>
          <w:rStyle w:val="FootnoteReference"/>
        </w:rPr>
        <w:footnoteRef/>
      </w:r>
      <w:r>
        <w:t xml:space="preserve"> </w:t>
      </w:r>
      <w:r w:rsidRPr="00B92A8B">
        <w:rPr>
          <w:i/>
          <w:sz w:val="20"/>
          <w:szCs w:val="20"/>
        </w:rPr>
        <w:t xml:space="preserve">See, e.g. </w:t>
      </w:r>
      <w:r w:rsidRPr="00B92A8B">
        <w:rPr>
          <w:sz w:val="20"/>
          <w:szCs w:val="20"/>
        </w:rPr>
        <w:t>Iverson</w:t>
      </w:r>
      <w:r>
        <w:rPr>
          <w:sz w:val="20"/>
          <w:szCs w:val="20"/>
        </w:rPr>
        <w:t>, C.</w:t>
      </w:r>
      <w:r w:rsidRPr="00B92A8B">
        <w:rPr>
          <w:sz w:val="20"/>
          <w:szCs w:val="20"/>
        </w:rPr>
        <w:t xml:space="preserve"> 1997</w:t>
      </w:r>
      <w:r>
        <w:rPr>
          <w:sz w:val="20"/>
          <w:szCs w:val="20"/>
        </w:rPr>
        <w:t xml:space="preserve">. </w:t>
      </w:r>
      <w:r w:rsidRPr="00B92A8B">
        <w:rPr>
          <w:rFonts w:cs="Arial"/>
          <w:sz w:val="20"/>
          <w:szCs w:val="20"/>
        </w:rPr>
        <w:t>Summary of the 1997 Northern Goshawk Risk Assessment Panel</w:t>
      </w:r>
      <w:r>
        <w:rPr>
          <w:rFonts w:cs="Arial"/>
          <w:sz w:val="20"/>
          <w:szCs w:val="20"/>
        </w:rPr>
        <w:t>.</w:t>
      </w:r>
      <w:r w:rsidRPr="00B92A8B">
        <w:rPr>
          <w:rFonts w:cs="Arial"/>
          <w:sz w:val="20"/>
          <w:szCs w:val="20"/>
        </w:rPr>
        <w:t xml:space="preserve"> United States</w:t>
      </w:r>
      <w:r>
        <w:rPr>
          <w:rFonts w:cs="Arial"/>
          <w:sz w:val="20"/>
          <w:szCs w:val="20"/>
        </w:rPr>
        <w:t xml:space="preserve"> </w:t>
      </w:r>
      <w:r w:rsidRPr="00B92A8B">
        <w:rPr>
          <w:rFonts w:cs="Arial"/>
          <w:sz w:val="20"/>
          <w:szCs w:val="20"/>
        </w:rPr>
        <w:t>Department of</w:t>
      </w:r>
      <w:r>
        <w:rPr>
          <w:rFonts w:cs="Arial"/>
          <w:sz w:val="20"/>
          <w:szCs w:val="20"/>
        </w:rPr>
        <w:t xml:space="preserve"> </w:t>
      </w:r>
      <w:r w:rsidRPr="00B92A8B">
        <w:rPr>
          <w:rFonts w:cs="Arial"/>
          <w:sz w:val="20"/>
          <w:szCs w:val="20"/>
        </w:rPr>
        <w:t>Agriculture</w:t>
      </w:r>
      <w:r>
        <w:rPr>
          <w:rFonts w:cs="Arial"/>
          <w:sz w:val="20"/>
          <w:szCs w:val="20"/>
        </w:rPr>
        <w:t xml:space="preserve"> </w:t>
      </w:r>
      <w:r w:rsidRPr="00B92A8B">
        <w:rPr>
          <w:rFonts w:cs="Arial"/>
          <w:sz w:val="20"/>
          <w:szCs w:val="20"/>
        </w:rPr>
        <w:t>Tongass National Forest</w:t>
      </w:r>
      <w:r>
        <w:rPr>
          <w:rFonts w:cs="Arial"/>
          <w:sz w:val="20"/>
          <w:szCs w:val="20"/>
        </w:rPr>
        <w:t xml:space="preserve"> </w:t>
      </w:r>
      <w:proofErr w:type="spellStart"/>
      <w:r w:rsidRPr="00B92A8B">
        <w:rPr>
          <w:rFonts w:cs="Arial"/>
          <w:sz w:val="20"/>
          <w:szCs w:val="20"/>
        </w:rPr>
        <w:t>Forest</w:t>
      </w:r>
      <w:proofErr w:type="spellEnd"/>
      <w:r w:rsidRPr="00B92A8B">
        <w:rPr>
          <w:rFonts w:cs="Arial"/>
          <w:sz w:val="20"/>
          <w:szCs w:val="20"/>
        </w:rPr>
        <w:t xml:space="preserve"> Plan Interdisciplinary Team</w:t>
      </w:r>
      <w:r>
        <w:rPr>
          <w:rFonts w:cs="Arial"/>
          <w:sz w:val="20"/>
          <w:szCs w:val="20"/>
        </w:rPr>
        <w:t xml:space="preserve">. </w:t>
      </w:r>
      <w:r w:rsidRPr="00B92A8B">
        <w:rPr>
          <w:rFonts w:cs="Arial"/>
          <w:sz w:val="20"/>
          <w:szCs w:val="20"/>
        </w:rPr>
        <w:t>Juneau, Alaska</w:t>
      </w:r>
      <w:r>
        <w:rPr>
          <w:rFonts w:cs="Arial"/>
          <w:sz w:val="20"/>
          <w:szCs w:val="20"/>
        </w:rPr>
        <w:t xml:space="preserve">. </w:t>
      </w:r>
      <w:r w:rsidRPr="00B92A8B">
        <w:rPr>
          <w:rFonts w:cs="Arial"/>
          <w:sz w:val="20"/>
          <w:szCs w:val="20"/>
        </w:rPr>
        <w:t>May 7, 1997</w:t>
      </w:r>
      <w:r>
        <w:rPr>
          <w:rFonts w:cs="Arial"/>
          <w:sz w:val="20"/>
          <w:szCs w:val="20"/>
        </w:rPr>
        <w:t xml:space="preserve">; </w:t>
      </w:r>
      <w:proofErr w:type="spellStart"/>
      <w:r>
        <w:rPr>
          <w:rFonts w:cs="Arial"/>
          <w:sz w:val="20"/>
          <w:szCs w:val="20"/>
        </w:rPr>
        <w:t>Degayner</w:t>
      </w:r>
      <w:proofErr w:type="spellEnd"/>
      <w:r>
        <w:rPr>
          <w:rFonts w:cs="Arial"/>
          <w:sz w:val="20"/>
          <w:szCs w:val="20"/>
        </w:rPr>
        <w:t xml:space="preserve">, G. 1997. </w:t>
      </w:r>
      <w:r w:rsidRPr="00B92A8B">
        <w:rPr>
          <w:rFonts w:cs="Arial"/>
          <w:sz w:val="20"/>
          <w:szCs w:val="20"/>
        </w:rPr>
        <w:t>Summary of the 1997 American Marten Risk Assessment Panel</w:t>
      </w:r>
      <w:r>
        <w:rPr>
          <w:rFonts w:cs="Arial"/>
          <w:sz w:val="20"/>
          <w:szCs w:val="20"/>
        </w:rPr>
        <w:t xml:space="preserve">. </w:t>
      </w:r>
      <w:r w:rsidRPr="00B92A8B">
        <w:rPr>
          <w:rFonts w:cs="Arial"/>
          <w:sz w:val="20"/>
          <w:szCs w:val="20"/>
        </w:rPr>
        <w:t>United States</w:t>
      </w:r>
      <w:r>
        <w:rPr>
          <w:rFonts w:cs="Arial"/>
          <w:sz w:val="20"/>
          <w:szCs w:val="20"/>
        </w:rPr>
        <w:t xml:space="preserve"> </w:t>
      </w:r>
      <w:r w:rsidRPr="00B92A8B">
        <w:rPr>
          <w:rFonts w:cs="Arial"/>
          <w:sz w:val="20"/>
          <w:szCs w:val="20"/>
        </w:rPr>
        <w:t>Department of</w:t>
      </w:r>
      <w:r>
        <w:rPr>
          <w:rFonts w:cs="Arial"/>
          <w:sz w:val="20"/>
          <w:szCs w:val="20"/>
        </w:rPr>
        <w:t xml:space="preserve"> </w:t>
      </w:r>
      <w:r w:rsidRPr="00B92A8B">
        <w:rPr>
          <w:rFonts w:cs="Arial"/>
          <w:sz w:val="20"/>
          <w:szCs w:val="20"/>
        </w:rPr>
        <w:t>Agriculture</w:t>
      </w:r>
      <w:r>
        <w:rPr>
          <w:rFonts w:cs="Arial"/>
          <w:sz w:val="20"/>
          <w:szCs w:val="20"/>
        </w:rPr>
        <w:t xml:space="preserve"> </w:t>
      </w:r>
      <w:r w:rsidRPr="00B92A8B">
        <w:rPr>
          <w:rFonts w:cs="Arial"/>
          <w:sz w:val="20"/>
          <w:szCs w:val="20"/>
        </w:rPr>
        <w:t>Tongass National Forest</w:t>
      </w:r>
      <w:r>
        <w:rPr>
          <w:rFonts w:cs="Arial"/>
          <w:sz w:val="20"/>
          <w:szCs w:val="20"/>
        </w:rPr>
        <w:t xml:space="preserve"> </w:t>
      </w:r>
      <w:proofErr w:type="spellStart"/>
      <w:r w:rsidRPr="00B92A8B">
        <w:rPr>
          <w:rFonts w:cs="Arial"/>
          <w:sz w:val="20"/>
          <w:szCs w:val="20"/>
        </w:rPr>
        <w:t>Forest</w:t>
      </w:r>
      <w:proofErr w:type="spellEnd"/>
      <w:r w:rsidRPr="00B92A8B">
        <w:rPr>
          <w:rFonts w:cs="Arial"/>
          <w:sz w:val="20"/>
          <w:szCs w:val="20"/>
        </w:rPr>
        <w:t xml:space="preserve"> Plan Interdisciplinary Team</w:t>
      </w:r>
      <w:r>
        <w:rPr>
          <w:rFonts w:cs="Arial"/>
          <w:sz w:val="20"/>
          <w:szCs w:val="20"/>
        </w:rPr>
        <w:t xml:space="preserve">. </w:t>
      </w:r>
      <w:r w:rsidRPr="00B92A8B">
        <w:rPr>
          <w:rFonts w:cs="Arial"/>
          <w:sz w:val="20"/>
          <w:szCs w:val="20"/>
        </w:rPr>
        <w:t>Juneau, Alaska</w:t>
      </w:r>
      <w:r>
        <w:rPr>
          <w:rFonts w:cs="Arial"/>
          <w:sz w:val="20"/>
          <w:szCs w:val="20"/>
        </w:rPr>
        <w:t xml:space="preserve">. </w:t>
      </w:r>
      <w:r w:rsidRPr="00B92A8B">
        <w:rPr>
          <w:rFonts w:cs="Arial"/>
          <w:sz w:val="20"/>
          <w:szCs w:val="20"/>
        </w:rPr>
        <w:t xml:space="preserve">May </w:t>
      </w:r>
      <w:r>
        <w:rPr>
          <w:rFonts w:cs="Arial"/>
          <w:sz w:val="20"/>
          <w:szCs w:val="20"/>
        </w:rPr>
        <w:t>6</w:t>
      </w:r>
      <w:r w:rsidRPr="00B92A8B">
        <w:rPr>
          <w:rFonts w:cs="Arial"/>
          <w:sz w:val="20"/>
          <w:szCs w:val="20"/>
        </w:rPr>
        <w:t>, 1997</w:t>
      </w:r>
      <w:r>
        <w:rPr>
          <w:rFonts w:cs="Arial"/>
          <w:sz w:val="20"/>
          <w:szCs w:val="20"/>
        </w:rPr>
        <w:t xml:space="preserve">; </w:t>
      </w:r>
      <w:r w:rsidRPr="00B92A8B">
        <w:rPr>
          <w:sz w:val="20"/>
          <w:szCs w:val="20"/>
        </w:rPr>
        <w:t>Iverson</w:t>
      </w:r>
      <w:r>
        <w:rPr>
          <w:sz w:val="20"/>
          <w:szCs w:val="20"/>
        </w:rPr>
        <w:t>, C.</w:t>
      </w:r>
      <w:r w:rsidRPr="00B92A8B">
        <w:rPr>
          <w:sz w:val="20"/>
          <w:szCs w:val="20"/>
        </w:rPr>
        <w:t xml:space="preserve"> 199</w:t>
      </w:r>
      <w:r>
        <w:rPr>
          <w:sz w:val="20"/>
          <w:szCs w:val="20"/>
        </w:rPr>
        <w:t xml:space="preserve">6a. </w:t>
      </w:r>
      <w:r w:rsidRPr="00B62291">
        <w:rPr>
          <w:rFonts w:cs="Arial"/>
          <w:sz w:val="20"/>
          <w:szCs w:val="20"/>
        </w:rPr>
        <w:t>Northern Goshawk Viability Assessment Panel Summary</w:t>
      </w:r>
      <w:r>
        <w:rPr>
          <w:rFonts w:cs="Arial"/>
          <w:sz w:val="20"/>
          <w:szCs w:val="20"/>
        </w:rPr>
        <w:t xml:space="preserve">. </w:t>
      </w:r>
      <w:r w:rsidRPr="00B92A8B">
        <w:rPr>
          <w:rFonts w:cs="Arial"/>
          <w:sz w:val="20"/>
          <w:szCs w:val="20"/>
        </w:rPr>
        <w:t>United States</w:t>
      </w:r>
      <w:r>
        <w:rPr>
          <w:rFonts w:cs="Arial"/>
          <w:sz w:val="20"/>
          <w:szCs w:val="20"/>
        </w:rPr>
        <w:t xml:space="preserve"> </w:t>
      </w:r>
      <w:r w:rsidRPr="00B92A8B">
        <w:rPr>
          <w:rFonts w:cs="Arial"/>
          <w:sz w:val="20"/>
          <w:szCs w:val="20"/>
        </w:rPr>
        <w:t>Department of</w:t>
      </w:r>
      <w:r>
        <w:rPr>
          <w:rFonts w:cs="Arial"/>
          <w:sz w:val="20"/>
          <w:szCs w:val="20"/>
        </w:rPr>
        <w:t xml:space="preserve"> </w:t>
      </w:r>
      <w:r w:rsidRPr="00B92A8B">
        <w:rPr>
          <w:rFonts w:cs="Arial"/>
          <w:sz w:val="20"/>
          <w:szCs w:val="20"/>
        </w:rPr>
        <w:t>Agriculture</w:t>
      </w:r>
      <w:r>
        <w:rPr>
          <w:rFonts w:cs="Arial"/>
          <w:sz w:val="20"/>
          <w:szCs w:val="20"/>
        </w:rPr>
        <w:t xml:space="preserve"> </w:t>
      </w:r>
      <w:r w:rsidRPr="00B92A8B">
        <w:rPr>
          <w:rFonts w:cs="Arial"/>
          <w:sz w:val="20"/>
          <w:szCs w:val="20"/>
        </w:rPr>
        <w:t>Tongass National Forest</w:t>
      </w:r>
      <w:r>
        <w:rPr>
          <w:rFonts w:cs="Arial"/>
          <w:sz w:val="20"/>
          <w:szCs w:val="20"/>
        </w:rPr>
        <w:t xml:space="preserve"> </w:t>
      </w:r>
      <w:proofErr w:type="spellStart"/>
      <w:r w:rsidRPr="00B92A8B">
        <w:rPr>
          <w:rFonts w:cs="Arial"/>
          <w:sz w:val="20"/>
          <w:szCs w:val="20"/>
        </w:rPr>
        <w:t>Forest</w:t>
      </w:r>
      <w:proofErr w:type="spellEnd"/>
      <w:r w:rsidRPr="00B92A8B">
        <w:rPr>
          <w:rFonts w:cs="Arial"/>
          <w:sz w:val="20"/>
          <w:szCs w:val="20"/>
        </w:rPr>
        <w:t xml:space="preserve"> Plan Interdisciplinary Team</w:t>
      </w:r>
      <w:r>
        <w:rPr>
          <w:rFonts w:cs="Arial"/>
          <w:sz w:val="20"/>
          <w:szCs w:val="20"/>
        </w:rPr>
        <w:t xml:space="preserve">. </w:t>
      </w:r>
      <w:r w:rsidRPr="00B92A8B">
        <w:rPr>
          <w:rFonts w:cs="Arial"/>
          <w:sz w:val="20"/>
          <w:szCs w:val="20"/>
        </w:rPr>
        <w:t>Juneau, Alaska</w:t>
      </w:r>
      <w:r>
        <w:rPr>
          <w:rFonts w:cs="Arial"/>
          <w:sz w:val="20"/>
          <w:szCs w:val="20"/>
        </w:rPr>
        <w:t xml:space="preserve">. January 14, 1996. </w:t>
      </w:r>
      <w:proofErr w:type="spellStart"/>
      <w:r>
        <w:rPr>
          <w:rFonts w:cs="Arial"/>
          <w:sz w:val="20"/>
          <w:szCs w:val="20"/>
        </w:rPr>
        <w:t>Julin</w:t>
      </w:r>
      <w:proofErr w:type="spellEnd"/>
      <w:r>
        <w:rPr>
          <w:rFonts w:cs="Arial"/>
          <w:sz w:val="20"/>
          <w:szCs w:val="20"/>
        </w:rPr>
        <w:t xml:space="preserve">, K. (Facilitator). 1995. </w:t>
      </w:r>
      <w:r w:rsidRPr="00B62291">
        <w:rPr>
          <w:rFonts w:cs="Book Antiqua"/>
          <w:sz w:val="20"/>
          <w:szCs w:val="20"/>
        </w:rPr>
        <w:t>Other Terrestrial Mammals Panel Assessment Summary</w:t>
      </w:r>
      <w:r>
        <w:rPr>
          <w:rFonts w:cs="Book Antiqua"/>
          <w:sz w:val="20"/>
          <w:szCs w:val="20"/>
        </w:rPr>
        <w:t xml:space="preserve">. </w:t>
      </w:r>
      <w:r w:rsidRPr="00B92A8B">
        <w:rPr>
          <w:rFonts w:cs="Arial"/>
          <w:sz w:val="20"/>
          <w:szCs w:val="20"/>
        </w:rPr>
        <w:t>United States</w:t>
      </w:r>
      <w:r>
        <w:rPr>
          <w:rFonts w:cs="Arial"/>
          <w:sz w:val="20"/>
          <w:szCs w:val="20"/>
        </w:rPr>
        <w:t xml:space="preserve"> </w:t>
      </w:r>
      <w:r w:rsidRPr="00B92A8B">
        <w:rPr>
          <w:rFonts w:cs="Arial"/>
          <w:sz w:val="20"/>
          <w:szCs w:val="20"/>
        </w:rPr>
        <w:t>Department of</w:t>
      </w:r>
      <w:r>
        <w:rPr>
          <w:rFonts w:cs="Arial"/>
          <w:sz w:val="20"/>
          <w:szCs w:val="20"/>
        </w:rPr>
        <w:t xml:space="preserve"> </w:t>
      </w:r>
      <w:r w:rsidRPr="00B92A8B">
        <w:rPr>
          <w:rFonts w:cs="Arial"/>
          <w:sz w:val="20"/>
          <w:szCs w:val="20"/>
        </w:rPr>
        <w:t>Agriculture</w:t>
      </w:r>
      <w:r>
        <w:rPr>
          <w:rFonts w:cs="Arial"/>
          <w:sz w:val="20"/>
          <w:szCs w:val="20"/>
        </w:rPr>
        <w:t xml:space="preserve"> </w:t>
      </w:r>
      <w:r w:rsidRPr="00B92A8B">
        <w:rPr>
          <w:rFonts w:cs="Arial"/>
          <w:sz w:val="20"/>
          <w:szCs w:val="20"/>
        </w:rPr>
        <w:t>Tongass National Forest</w:t>
      </w:r>
      <w:r>
        <w:rPr>
          <w:rFonts w:cs="Arial"/>
          <w:sz w:val="20"/>
          <w:szCs w:val="20"/>
        </w:rPr>
        <w:t xml:space="preserve"> </w:t>
      </w:r>
      <w:proofErr w:type="spellStart"/>
      <w:r w:rsidRPr="00B92A8B">
        <w:rPr>
          <w:rFonts w:cs="Arial"/>
          <w:sz w:val="20"/>
          <w:szCs w:val="20"/>
        </w:rPr>
        <w:t>Forest</w:t>
      </w:r>
      <w:proofErr w:type="spellEnd"/>
      <w:r w:rsidRPr="00B92A8B">
        <w:rPr>
          <w:rFonts w:cs="Arial"/>
          <w:sz w:val="20"/>
          <w:szCs w:val="20"/>
        </w:rPr>
        <w:t xml:space="preserve"> Plan Interdisciplinary Team</w:t>
      </w:r>
      <w:r>
        <w:rPr>
          <w:rFonts w:cs="Arial"/>
          <w:sz w:val="20"/>
          <w:szCs w:val="20"/>
        </w:rPr>
        <w:t xml:space="preserve">. </w:t>
      </w:r>
      <w:r w:rsidRPr="00B92A8B">
        <w:rPr>
          <w:rFonts w:cs="Arial"/>
          <w:sz w:val="20"/>
          <w:szCs w:val="20"/>
        </w:rPr>
        <w:t>Juneau, Alaska</w:t>
      </w:r>
      <w:r>
        <w:rPr>
          <w:rFonts w:cs="Arial"/>
          <w:sz w:val="20"/>
          <w:szCs w:val="20"/>
        </w:rPr>
        <w:t>.</w:t>
      </w:r>
      <w:r>
        <w:rPr>
          <w:rFonts w:cs="Book Antiqua"/>
          <w:sz w:val="20"/>
          <w:szCs w:val="20"/>
        </w:rPr>
        <w:t xml:space="preserve"> </w:t>
      </w:r>
      <w:r w:rsidRPr="00B62291">
        <w:rPr>
          <w:rFonts w:cs="Book Antiqua"/>
          <w:sz w:val="20"/>
          <w:szCs w:val="20"/>
        </w:rPr>
        <w:t>November 2</w:t>
      </w:r>
      <w:r>
        <w:rPr>
          <w:rFonts w:cs="Book Antiqua"/>
          <w:sz w:val="20"/>
          <w:szCs w:val="20"/>
        </w:rPr>
        <w:t>9</w:t>
      </w:r>
      <w:r w:rsidRPr="00B62291">
        <w:rPr>
          <w:rFonts w:cs="Book Antiqua"/>
          <w:sz w:val="20"/>
          <w:szCs w:val="20"/>
        </w:rPr>
        <w:t>,1995</w:t>
      </w:r>
      <w:r>
        <w:rPr>
          <w:rFonts w:cs="Book Antiqua"/>
          <w:sz w:val="20"/>
          <w:szCs w:val="20"/>
        </w:rPr>
        <w:t xml:space="preserve">; </w:t>
      </w:r>
      <w:r w:rsidRPr="00B92A8B">
        <w:rPr>
          <w:sz w:val="20"/>
          <w:szCs w:val="20"/>
        </w:rPr>
        <w:t>Iverson</w:t>
      </w:r>
      <w:r>
        <w:rPr>
          <w:sz w:val="20"/>
          <w:szCs w:val="20"/>
        </w:rPr>
        <w:t>, C.</w:t>
      </w:r>
      <w:r w:rsidRPr="00B92A8B">
        <w:rPr>
          <w:sz w:val="20"/>
          <w:szCs w:val="20"/>
        </w:rPr>
        <w:t xml:space="preserve"> 199</w:t>
      </w:r>
      <w:r>
        <w:rPr>
          <w:sz w:val="20"/>
          <w:szCs w:val="20"/>
        </w:rPr>
        <w:t xml:space="preserve">6b. </w:t>
      </w:r>
      <w:r w:rsidRPr="00B62291">
        <w:rPr>
          <w:rFonts w:cs="Arial"/>
          <w:sz w:val="20"/>
          <w:szCs w:val="20"/>
        </w:rPr>
        <w:t>Alexander Archipelago Wolf Viability Assessment Panel Summary</w:t>
      </w:r>
      <w:r>
        <w:rPr>
          <w:rFonts w:cs="Arial"/>
          <w:sz w:val="20"/>
          <w:szCs w:val="20"/>
        </w:rPr>
        <w:t xml:space="preserve">. </w:t>
      </w:r>
      <w:r w:rsidRPr="00B92A8B">
        <w:rPr>
          <w:rFonts w:cs="Arial"/>
          <w:sz w:val="20"/>
          <w:szCs w:val="20"/>
        </w:rPr>
        <w:t>United States</w:t>
      </w:r>
      <w:r>
        <w:rPr>
          <w:rFonts w:cs="Arial"/>
          <w:sz w:val="20"/>
          <w:szCs w:val="20"/>
        </w:rPr>
        <w:t xml:space="preserve"> </w:t>
      </w:r>
      <w:r w:rsidRPr="00B92A8B">
        <w:rPr>
          <w:rFonts w:cs="Arial"/>
          <w:sz w:val="20"/>
          <w:szCs w:val="20"/>
        </w:rPr>
        <w:t>Department of</w:t>
      </w:r>
      <w:r>
        <w:rPr>
          <w:rFonts w:cs="Arial"/>
          <w:sz w:val="20"/>
          <w:szCs w:val="20"/>
        </w:rPr>
        <w:t xml:space="preserve"> </w:t>
      </w:r>
      <w:r w:rsidRPr="00B92A8B">
        <w:rPr>
          <w:rFonts w:cs="Arial"/>
          <w:sz w:val="20"/>
          <w:szCs w:val="20"/>
        </w:rPr>
        <w:t>Agriculture</w:t>
      </w:r>
      <w:r>
        <w:rPr>
          <w:rFonts w:cs="Arial"/>
          <w:sz w:val="20"/>
          <w:szCs w:val="20"/>
        </w:rPr>
        <w:t xml:space="preserve"> </w:t>
      </w:r>
      <w:r w:rsidRPr="00B92A8B">
        <w:rPr>
          <w:rFonts w:cs="Arial"/>
          <w:sz w:val="20"/>
          <w:szCs w:val="20"/>
        </w:rPr>
        <w:t>Tongass National Forest</w:t>
      </w:r>
      <w:r>
        <w:rPr>
          <w:rFonts w:cs="Arial"/>
          <w:sz w:val="20"/>
          <w:szCs w:val="20"/>
        </w:rPr>
        <w:t xml:space="preserve"> </w:t>
      </w:r>
      <w:proofErr w:type="spellStart"/>
      <w:r w:rsidRPr="00B92A8B">
        <w:rPr>
          <w:rFonts w:cs="Arial"/>
          <w:sz w:val="20"/>
          <w:szCs w:val="20"/>
        </w:rPr>
        <w:t>Forest</w:t>
      </w:r>
      <w:proofErr w:type="spellEnd"/>
      <w:r w:rsidRPr="00B92A8B">
        <w:rPr>
          <w:rFonts w:cs="Arial"/>
          <w:sz w:val="20"/>
          <w:szCs w:val="20"/>
        </w:rPr>
        <w:t xml:space="preserve"> Plan Interdisciplinary Team</w:t>
      </w:r>
      <w:r>
        <w:rPr>
          <w:rFonts w:cs="Arial"/>
          <w:sz w:val="20"/>
          <w:szCs w:val="20"/>
        </w:rPr>
        <w:t xml:space="preserve">. </w:t>
      </w:r>
      <w:r w:rsidRPr="00B92A8B">
        <w:rPr>
          <w:rFonts w:cs="Arial"/>
          <w:sz w:val="20"/>
          <w:szCs w:val="20"/>
        </w:rPr>
        <w:t>Juneau, Alaska</w:t>
      </w:r>
      <w:r>
        <w:rPr>
          <w:rFonts w:cs="Arial"/>
          <w:sz w:val="20"/>
          <w:szCs w:val="20"/>
        </w:rPr>
        <w:t xml:space="preserve">. January 31, 1996; </w:t>
      </w:r>
      <w:r>
        <w:rPr>
          <w:rFonts w:cs="Arial"/>
          <w:i/>
          <w:iCs/>
          <w:sz w:val="20"/>
          <w:szCs w:val="20"/>
        </w:rPr>
        <w:t xml:space="preserve">see also </w:t>
      </w:r>
      <w:r w:rsidRPr="00590131">
        <w:rPr>
          <w:sz w:val="20"/>
          <w:szCs w:val="20"/>
        </w:rPr>
        <w:t>Alaback, P.B. 1984</w:t>
      </w:r>
      <w:r>
        <w:rPr>
          <w:rFonts w:cs="Arial"/>
          <w:sz w:val="20"/>
          <w:szCs w:val="20"/>
        </w:rPr>
        <w:t xml:space="preserve"> </w:t>
      </w:r>
      <w:r w:rsidRPr="00590131">
        <w:rPr>
          <w:sz w:val="20"/>
          <w:szCs w:val="20"/>
        </w:rPr>
        <w:t xml:space="preserve">(explaining that “there are no data at this time to suggest that … </w:t>
      </w:r>
      <w:r w:rsidRPr="00590131">
        <w:rPr>
          <w:i/>
          <w:sz w:val="20"/>
          <w:szCs w:val="20"/>
          <w:u w:val="single"/>
        </w:rPr>
        <w:t>timber rotations less than 200 years</w:t>
      </w:r>
      <w:r w:rsidRPr="00590131">
        <w:rPr>
          <w:sz w:val="20"/>
          <w:szCs w:val="20"/>
        </w:rPr>
        <w:t xml:space="preserve"> will measurably increase either the diversity or productivity of understory vegetation over that typically found in old-growth forests</w:t>
      </w:r>
      <w:r>
        <w:rPr>
          <w:sz w:val="20"/>
          <w:szCs w:val="20"/>
        </w:rPr>
        <w:t>”)</w:t>
      </w:r>
      <w:r>
        <w:t xml:space="preserve">   </w:t>
      </w:r>
    </w:p>
  </w:footnote>
  <w:footnote w:id="48">
    <w:p w14:paraId="1FB006AC" w14:textId="77777777" w:rsidR="002F1EE0" w:rsidRDefault="002F1EE0" w:rsidP="000C7B5B">
      <w:pPr>
        <w:pStyle w:val="FootnoteText"/>
      </w:pPr>
      <w:r>
        <w:rPr>
          <w:rStyle w:val="FootnoteReference"/>
        </w:rPr>
        <w:footnoteRef/>
      </w:r>
      <w:r>
        <w:t xml:space="preserve"> Iverson, C. 1997; </w:t>
      </w:r>
      <w:proofErr w:type="spellStart"/>
      <w:r>
        <w:t>Degayner</w:t>
      </w:r>
      <w:proofErr w:type="spellEnd"/>
      <w:r>
        <w:t>, G. 1997; Iverson, C. 1996a.</w:t>
      </w:r>
    </w:p>
  </w:footnote>
  <w:footnote w:id="49">
    <w:p w14:paraId="3EFCB90B" w14:textId="77777777" w:rsidR="002F1EE0" w:rsidRPr="00512425" w:rsidRDefault="002F1EE0" w:rsidP="00C66E1B">
      <w:pPr>
        <w:autoSpaceDE w:val="0"/>
        <w:autoSpaceDN w:val="0"/>
        <w:adjustRightInd w:val="0"/>
        <w:spacing w:before="0"/>
        <w:ind w:firstLine="0"/>
        <w:rPr>
          <w:rFonts w:cs="Swiss721BT-Bold"/>
          <w:sz w:val="20"/>
          <w:szCs w:val="20"/>
        </w:rPr>
      </w:pPr>
      <w:r>
        <w:rPr>
          <w:rStyle w:val="FootnoteReference"/>
        </w:rPr>
        <w:footnoteRef/>
      </w:r>
      <w:r>
        <w:t xml:space="preserve"> </w:t>
      </w:r>
      <w:r w:rsidRPr="00DA12CC">
        <w:rPr>
          <w:rFonts w:cs="Swiss721BT-Roman"/>
          <w:sz w:val="20"/>
          <w:szCs w:val="20"/>
        </w:rPr>
        <w:t xml:space="preserve">Hanley, </w:t>
      </w:r>
      <w:r>
        <w:rPr>
          <w:rFonts w:cs="Swiss721BT-Roman"/>
          <w:sz w:val="20"/>
          <w:szCs w:val="20"/>
        </w:rPr>
        <w:t xml:space="preserve">T.A., </w:t>
      </w:r>
      <w:r w:rsidRPr="00DA12CC">
        <w:rPr>
          <w:rFonts w:cs="Swiss721BT-Roman"/>
          <w:sz w:val="20"/>
          <w:szCs w:val="20"/>
        </w:rPr>
        <w:t>C</w:t>
      </w:r>
      <w:r>
        <w:rPr>
          <w:rFonts w:cs="Swiss721BT-Roman"/>
          <w:sz w:val="20"/>
          <w:szCs w:val="20"/>
        </w:rPr>
        <w:t>.</w:t>
      </w:r>
      <w:r w:rsidRPr="00DA12CC">
        <w:rPr>
          <w:rFonts w:cs="Swiss721BT-Roman"/>
          <w:sz w:val="20"/>
          <w:szCs w:val="20"/>
        </w:rPr>
        <w:t xml:space="preserve"> T. Robbins</w:t>
      </w:r>
      <w:r>
        <w:rPr>
          <w:rFonts w:cs="Swiss721BT-Roman"/>
          <w:sz w:val="20"/>
          <w:szCs w:val="20"/>
        </w:rPr>
        <w:t xml:space="preserve"> &amp;</w:t>
      </w:r>
      <w:r w:rsidRPr="00DA12CC">
        <w:rPr>
          <w:rFonts w:cs="Swiss721BT-Roman"/>
          <w:sz w:val="20"/>
          <w:szCs w:val="20"/>
        </w:rPr>
        <w:t xml:space="preserve"> D</w:t>
      </w:r>
      <w:r>
        <w:rPr>
          <w:rFonts w:cs="Swiss721BT-Roman"/>
          <w:sz w:val="20"/>
          <w:szCs w:val="20"/>
        </w:rPr>
        <w:t>.</w:t>
      </w:r>
      <w:r w:rsidRPr="00DA12CC">
        <w:rPr>
          <w:rFonts w:cs="Swiss721BT-Roman"/>
          <w:sz w:val="20"/>
          <w:szCs w:val="20"/>
        </w:rPr>
        <w:t xml:space="preserve"> E. </w:t>
      </w:r>
      <w:proofErr w:type="spellStart"/>
      <w:r w:rsidRPr="00DA12CC">
        <w:rPr>
          <w:rFonts w:cs="Swiss721BT-Roman"/>
          <w:sz w:val="20"/>
          <w:szCs w:val="20"/>
        </w:rPr>
        <w:t>Spalinger</w:t>
      </w:r>
      <w:proofErr w:type="spellEnd"/>
      <w:r>
        <w:rPr>
          <w:rFonts w:cs="Swiss721BT-Roman"/>
          <w:sz w:val="20"/>
          <w:szCs w:val="20"/>
        </w:rPr>
        <w:t xml:space="preserve">. 1989. </w:t>
      </w:r>
      <w:r w:rsidRPr="00DA12CC">
        <w:rPr>
          <w:rFonts w:cs="Swiss721BT-Bold"/>
          <w:sz w:val="20"/>
          <w:szCs w:val="20"/>
        </w:rPr>
        <w:t>Forest Habitats and the</w:t>
      </w:r>
      <w:r>
        <w:rPr>
          <w:rFonts w:cs="Swiss721BT-Bold"/>
          <w:sz w:val="20"/>
          <w:szCs w:val="20"/>
        </w:rPr>
        <w:t xml:space="preserve"> </w:t>
      </w:r>
      <w:r w:rsidRPr="00DA12CC">
        <w:rPr>
          <w:rFonts w:cs="Swiss721BT-Bold"/>
          <w:sz w:val="20"/>
          <w:szCs w:val="20"/>
        </w:rPr>
        <w:t>Nutritional Ecology of</w:t>
      </w:r>
      <w:r>
        <w:rPr>
          <w:rFonts w:cs="Swiss721BT-Bold"/>
          <w:sz w:val="20"/>
          <w:szCs w:val="20"/>
        </w:rPr>
        <w:t xml:space="preserve"> </w:t>
      </w:r>
      <w:r w:rsidRPr="00DA12CC">
        <w:rPr>
          <w:rFonts w:cs="Swiss721BT-Bold"/>
          <w:sz w:val="20"/>
          <w:szCs w:val="20"/>
        </w:rPr>
        <w:t>Sitka Black-Tailed Deer:</w:t>
      </w:r>
      <w:r>
        <w:rPr>
          <w:rFonts w:cs="Swiss721BT-Bold"/>
          <w:sz w:val="20"/>
          <w:szCs w:val="20"/>
        </w:rPr>
        <w:t xml:space="preserve"> </w:t>
      </w:r>
      <w:r w:rsidRPr="00DA12CC">
        <w:rPr>
          <w:rFonts w:cs="Swiss721BT-Bold"/>
          <w:sz w:val="20"/>
          <w:szCs w:val="20"/>
        </w:rPr>
        <w:t>A Research Synthesis</w:t>
      </w:r>
      <w:r>
        <w:rPr>
          <w:rFonts w:cs="Swiss721BT-Bold"/>
          <w:sz w:val="20"/>
          <w:szCs w:val="20"/>
        </w:rPr>
        <w:t xml:space="preserve"> </w:t>
      </w:r>
      <w:r w:rsidRPr="00DA12CC">
        <w:rPr>
          <w:rFonts w:cs="Swiss721BT-Bold"/>
          <w:sz w:val="20"/>
          <w:szCs w:val="20"/>
        </w:rPr>
        <w:t>With Implications for</w:t>
      </w:r>
      <w:r>
        <w:rPr>
          <w:rFonts w:cs="Swiss721BT-Bold"/>
          <w:sz w:val="20"/>
          <w:szCs w:val="20"/>
        </w:rPr>
        <w:t xml:space="preserve"> </w:t>
      </w:r>
      <w:r w:rsidRPr="00DA12CC">
        <w:rPr>
          <w:rFonts w:cs="Swiss721BT-Bold"/>
          <w:sz w:val="20"/>
          <w:szCs w:val="20"/>
        </w:rPr>
        <w:t>Forest Management</w:t>
      </w:r>
      <w:r>
        <w:rPr>
          <w:rFonts w:cs="Swiss721BT-Bold"/>
          <w:sz w:val="20"/>
          <w:szCs w:val="20"/>
        </w:rPr>
        <w:t xml:space="preserve"> at 47. </w:t>
      </w:r>
      <w:r>
        <w:rPr>
          <w:rFonts w:cs="Swiss721BT-Roman"/>
          <w:sz w:val="20"/>
          <w:szCs w:val="20"/>
        </w:rPr>
        <w:t xml:space="preserve">U.S. </w:t>
      </w:r>
      <w:r w:rsidRPr="00DA12CC">
        <w:rPr>
          <w:rFonts w:cs="Swiss721BT-Roman"/>
          <w:sz w:val="20"/>
          <w:szCs w:val="20"/>
        </w:rPr>
        <w:t>Department of</w:t>
      </w:r>
      <w:r>
        <w:rPr>
          <w:rFonts w:cs="Swiss721BT-Roman"/>
          <w:sz w:val="20"/>
          <w:szCs w:val="20"/>
        </w:rPr>
        <w:t xml:space="preserve"> </w:t>
      </w:r>
      <w:r w:rsidRPr="00DA12CC">
        <w:rPr>
          <w:rFonts w:cs="Swiss721BT-Roman"/>
          <w:sz w:val="20"/>
          <w:szCs w:val="20"/>
        </w:rPr>
        <w:t>Agriculture</w:t>
      </w:r>
      <w:r>
        <w:rPr>
          <w:rFonts w:cs="Swiss721BT-Roman"/>
          <w:sz w:val="20"/>
          <w:szCs w:val="20"/>
        </w:rPr>
        <w:t xml:space="preserve"> </w:t>
      </w:r>
      <w:r w:rsidRPr="00DA12CC">
        <w:rPr>
          <w:rFonts w:cs="Swiss721BT-Bold"/>
          <w:sz w:val="20"/>
          <w:szCs w:val="20"/>
        </w:rPr>
        <w:t>Forest Service</w:t>
      </w:r>
      <w:r>
        <w:rPr>
          <w:rFonts w:cs="Swiss721BT-Roman"/>
          <w:sz w:val="20"/>
          <w:szCs w:val="20"/>
        </w:rPr>
        <w:t xml:space="preserve"> </w:t>
      </w:r>
      <w:r w:rsidRPr="00DA12CC">
        <w:rPr>
          <w:rFonts w:cs="Swiss721BT-Roman"/>
          <w:sz w:val="20"/>
          <w:szCs w:val="20"/>
        </w:rPr>
        <w:t>Pacific Northwest</w:t>
      </w:r>
      <w:r>
        <w:rPr>
          <w:rFonts w:cs="Swiss721BT-Roman"/>
          <w:sz w:val="20"/>
          <w:szCs w:val="20"/>
        </w:rPr>
        <w:t xml:space="preserve"> </w:t>
      </w:r>
      <w:r w:rsidRPr="00DA12CC">
        <w:rPr>
          <w:rFonts w:cs="Swiss721BT-Roman"/>
          <w:sz w:val="20"/>
          <w:szCs w:val="20"/>
        </w:rPr>
        <w:t>Research Station</w:t>
      </w:r>
      <w:r>
        <w:rPr>
          <w:rFonts w:cs="Swiss721BT-Roman"/>
          <w:sz w:val="20"/>
          <w:szCs w:val="20"/>
        </w:rPr>
        <w:t xml:space="preserve"> </w:t>
      </w:r>
      <w:r w:rsidRPr="00DA12CC">
        <w:rPr>
          <w:rFonts w:cs="Swiss721BT-Roman"/>
          <w:sz w:val="20"/>
          <w:szCs w:val="20"/>
        </w:rPr>
        <w:t>General Technical</w:t>
      </w:r>
      <w:r>
        <w:rPr>
          <w:rFonts w:cs="Swiss721BT-Roman"/>
          <w:sz w:val="20"/>
          <w:szCs w:val="20"/>
        </w:rPr>
        <w:t xml:space="preserve"> </w:t>
      </w:r>
      <w:r w:rsidRPr="00DA12CC">
        <w:rPr>
          <w:rFonts w:cs="Swiss721BT-Roman"/>
          <w:sz w:val="20"/>
          <w:szCs w:val="20"/>
        </w:rPr>
        <w:t>Report</w:t>
      </w:r>
      <w:r>
        <w:rPr>
          <w:rFonts w:cs="Swiss721BT-Roman"/>
          <w:sz w:val="20"/>
          <w:szCs w:val="20"/>
        </w:rPr>
        <w:t xml:space="preserve"> </w:t>
      </w:r>
      <w:r w:rsidRPr="00DA12CC">
        <w:rPr>
          <w:rFonts w:cs="Swiss721BT-Roman"/>
          <w:sz w:val="20"/>
          <w:szCs w:val="20"/>
        </w:rPr>
        <w:t>PNW-GTR-230</w:t>
      </w:r>
      <w:r>
        <w:rPr>
          <w:rFonts w:cs="Swiss721BT-Roman"/>
          <w:sz w:val="20"/>
          <w:szCs w:val="20"/>
        </w:rPr>
        <w:t xml:space="preserve">. </w:t>
      </w:r>
      <w:r w:rsidRPr="00DA12CC">
        <w:rPr>
          <w:rFonts w:cs="Swiss721BT-Roman"/>
          <w:sz w:val="20"/>
          <w:szCs w:val="20"/>
        </w:rPr>
        <w:t>March 1989</w:t>
      </w:r>
      <w:r>
        <w:rPr>
          <w:rFonts w:cs="Swiss721BT-Roman"/>
          <w:sz w:val="20"/>
          <w:szCs w:val="20"/>
        </w:rPr>
        <w:t>.</w:t>
      </w:r>
    </w:p>
  </w:footnote>
  <w:footnote w:id="50">
    <w:p w14:paraId="0053BC8F" w14:textId="77777777" w:rsidR="002F1EE0" w:rsidRPr="00B84874" w:rsidRDefault="002F1EE0" w:rsidP="00D62C50">
      <w:pPr>
        <w:pStyle w:val="Default"/>
        <w:rPr>
          <w:rFonts w:ascii="Bookman Old Style" w:hAnsi="Bookman Old Style"/>
          <w:sz w:val="20"/>
          <w:szCs w:val="20"/>
        </w:rPr>
      </w:pPr>
      <w:r>
        <w:rPr>
          <w:rStyle w:val="FootnoteReference"/>
        </w:rPr>
        <w:footnoteRef/>
      </w:r>
      <w:r>
        <w:t xml:space="preserve"> </w:t>
      </w:r>
      <w:r w:rsidRPr="00DE6DE0">
        <w:rPr>
          <w:rFonts w:ascii="Bookman Old Style" w:hAnsi="Bookman Old Style"/>
          <w:sz w:val="20"/>
          <w:szCs w:val="20"/>
        </w:rPr>
        <w:t xml:space="preserve">Iverson, G.C., G.D. Hayward, K. Titus, E. </w:t>
      </w:r>
      <w:proofErr w:type="spellStart"/>
      <w:r w:rsidRPr="00DE6DE0">
        <w:rPr>
          <w:rFonts w:ascii="Bookman Old Style" w:hAnsi="Bookman Old Style"/>
          <w:sz w:val="20"/>
          <w:szCs w:val="20"/>
        </w:rPr>
        <w:t>DeGayner</w:t>
      </w:r>
      <w:proofErr w:type="spellEnd"/>
      <w:r w:rsidRPr="00DE6DE0">
        <w:rPr>
          <w:rFonts w:ascii="Bookman Old Style" w:hAnsi="Bookman Old Style"/>
          <w:sz w:val="20"/>
          <w:szCs w:val="20"/>
        </w:rPr>
        <w:t xml:space="preserve">, R.E. Lowell, D.C. Crocker-Bedford, P.F. </w:t>
      </w:r>
      <w:proofErr w:type="spellStart"/>
      <w:r w:rsidRPr="00DE6DE0">
        <w:rPr>
          <w:rFonts w:ascii="Bookman Old Style" w:hAnsi="Bookman Old Style"/>
          <w:sz w:val="20"/>
          <w:szCs w:val="20"/>
        </w:rPr>
        <w:t>Schempf</w:t>
      </w:r>
      <w:proofErr w:type="spellEnd"/>
      <w:r w:rsidRPr="00DE6DE0">
        <w:rPr>
          <w:rFonts w:ascii="Bookman Old Style" w:hAnsi="Bookman Old Style"/>
          <w:sz w:val="20"/>
          <w:szCs w:val="20"/>
        </w:rPr>
        <w:t>, and J. Lindell. 1996. Conservation assessment for the Northern Goshawk in Southeast Alaska. USDA Forest Service Publication PNW-GTR-387</w:t>
      </w:r>
      <w:r>
        <w:rPr>
          <w:rFonts w:ascii="Bookman Old Style" w:hAnsi="Bookman Old Style"/>
          <w:sz w:val="20"/>
          <w:szCs w:val="20"/>
        </w:rPr>
        <w:t>.</w:t>
      </w:r>
      <w:r w:rsidRPr="00DE6DE0">
        <w:rPr>
          <w:rFonts w:ascii="Bookman Old Style" w:hAnsi="Bookman Old Style"/>
          <w:sz w:val="20"/>
          <w:szCs w:val="20"/>
        </w:rPr>
        <w:t xml:space="preserve"> </w:t>
      </w:r>
    </w:p>
  </w:footnote>
  <w:footnote w:id="51">
    <w:p w14:paraId="27755A18" w14:textId="13804678" w:rsidR="002F1EE0" w:rsidRPr="00DE6DE0" w:rsidRDefault="002F1EE0" w:rsidP="00DA12CC">
      <w:pPr>
        <w:pStyle w:val="FootnoteText"/>
        <w:rPr>
          <w:rFonts w:ascii="Cambria" w:hAnsi="Cambria"/>
          <w:i/>
          <w:iCs/>
        </w:rPr>
      </w:pPr>
      <w:r>
        <w:rPr>
          <w:rStyle w:val="FootnoteReference"/>
        </w:rPr>
        <w:footnoteRef/>
      </w:r>
      <w:r>
        <w:t xml:space="preserve"> USDA Forest Service.  2018.  Prince of Wales Landscape Level Analysis FEIS</w:t>
      </w:r>
      <w:r w:rsidR="00A75E87">
        <w:t>.</w:t>
      </w:r>
    </w:p>
  </w:footnote>
  <w:footnote w:id="52">
    <w:p w14:paraId="5C0E21A3" w14:textId="0F80D13C" w:rsidR="002F1EE0" w:rsidRPr="00B75722" w:rsidRDefault="002F1EE0" w:rsidP="00A75E87">
      <w:pPr>
        <w:pStyle w:val="FootnoteText"/>
      </w:pPr>
      <w:r>
        <w:rPr>
          <w:rStyle w:val="FootnoteReference"/>
          <w:rFonts w:ascii="Cambria" w:hAnsi="Cambria"/>
        </w:rPr>
        <w:footnoteRef/>
      </w:r>
      <w:r>
        <w:rPr>
          <w:rFonts w:ascii="Cambria" w:hAnsi="Cambria"/>
        </w:rPr>
        <w:t xml:space="preserve"> </w:t>
      </w:r>
      <w:r w:rsidRPr="00B75722">
        <w:t>Hasbrouck, T.R. 2020a. Sitka black-tailed deer management report and plan. Game Management Unit 2:  Report period 1 July 2011-30 June 2016, and plan period 1 July 2016-30 June 2021.  Alaska Department of Fish and Game, Species Management Report and Plan ADF&amp;G.DWC.SMR&amp;P-2020-30.</w:t>
      </w:r>
      <w:r w:rsidRPr="00B75722">
        <w:rPr>
          <w:noProof/>
        </w:rPr>
        <w:t xml:space="preserve"> </w:t>
      </w:r>
    </w:p>
  </w:footnote>
  <w:footnote w:id="53">
    <w:p w14:paraId="252D470E" w14:textId="2E766908" w:rsidR="002F1EE0" w:rsidRPr="00B75722" w:rsidRDefault="002F1EE0" w:rsidP="00A75E87">
      <w:pPr>
        <w:pStyle w:val="FootnoteText"/>
      </w:pPr>
      <w:r>
        <w:rPr>
          <w:rStyle w:val="FootnoteReference"/>
          <w:rFonts w:ascii="Cambria" w:hAnsi="Cambria"/>
        </w:rPr>
        <w:footnoteRef/>
      </w:r>
      <w:r>
        <w:rPr>
          <w:rFonts w:ascii="Cambria" w:hAnsi="Cambria"/>
        </w:rPr>
        <w:t xml:space="preserve"> </w:t>
      </w:r>
      <w:r w:rsidRPr="00B75722">
        <w:rPr>
          <w:rStyle w:val="None"/>
        </w:rPr>
        <w:t xml:space="preserve">Albert, D. &amp; J. Schoen. 2007;  </w:t>
      </w:r>
      <w:r w:rsidR="007A7E2E" w:rsidRPr="0024153B">
        <w:rPr>
          <w:rStyle w:val="None"/>
        </w:rPr>
        <w:t xml:space="preserve">Brinkman, T.J., T. Chapin, G. </w:t>
      </w:r>
      <w:proofErr w:type="spellStart"/>
      <w:r w:rsidR="007A7E2E" w:rsidRPr="0024153B">
        <w:rPr>
          <w:rStyle w:val="None"/>
        </w:rPr>
        <w:t>Kofinas</w:t>
      </w:r>
      <w:proofErr w:type="spellEnd"/>
      <w:r w:rsidR="007A7E2E" w:rsidRPr="0024153B">
        <w:rPr>
          <w:rStyle w:val="None"/>
        </w:rPr>
        <w:t xml:space="preserve"> &amp; D.K. Person. 2009.  Linking hunter knowledge with forest change to understand changing deer harvest opportunities in intensively logged landscapes.  Ecology and Society 14(1):36</w:t>
      </w:r>
    </w:p>
  </w:footnote>
  <w:footnote w:id="54">
    <w:p w14:paraId="550B9995" w14:textId="77777777" w:rsidR="002F1EE0" w:rsidRPr="00B75722" w:rsidRDefault="002F1EE0" w:rsidP="00A75E87">
      <w:pPr>
        <w:pStyle w:val="FootnoteText"/>
      </w:pPr>
      <w:r w:rsidRPr="00B75722">
        <w:rPr>
          <w:rStyle w:val="FootnoteReference"/>
        </w:rPr>
        <w:footnoteRef/>
      </w:r>
      <w:r w:rsidRPr="00B75722">
        <w:t xml:space="preserve"> Hasbrouck, T.R. 2020a.</w:t>
      </w:r>
      <w:r w:rsidRPr="00B75722">
        <w:rPr>
          <w:noProof/>
        </w:rPr>
        <w:t xml:space="preserve"> </w:t>
      </w:r>
    </w:p>
  </w:footnote>
  <w:footnote w:id="55">
    <w:p w14:paraId="390FDD7E" w14:textId="77777777" w:rsidR="002F1EE0" w:rsidRPr="00B75722" w:rsidRDefault="002F1EE0" w:rsidP="00A75E87">
      <w:pPr>
        <w:pStyle w:val="FootnoteText"/>
      </w:pPr>
      <w:r w:rsidRPr="00B75722">
        <w:rPr>
          <w:rStyle w:val="FootnoteReference"/>
        </w:rPr>
        <w:footnoteRef/>
      </w:r>
      <w:r w:rsidRPr="00B75722">
        <w:t xml:space="preserve"> </w:t>
      </w:r>
      <w:r w:rsidRPr="00B75722">
        <w:rPr>
          <w:i/>
          <w:iCs/>
        </w:rPr>
        <w:t>Id.</w:t>
      </w:r>
    </w:p>
  </w:footnote>
  <w:footnote w:id="56">
    <w:p w14:paraId="30B107FC" w14:textId="77777777" w:rsidR="002F1EE0" w:rsidRPr="00B75722" w:rsidRDefault="002F1EE0" w:rsidP="00D41E19">
      <w:pPr>
        <w:pStyle w:val="FootnoteText"/>
      </w:pPr>
      <w:r>
        <w:rPr>
          <w:rStyle w:val="FootnoteReference"/>
          <w:rFonts w:ascii="Cambria" w:hAnsi="Cambria"/>
        </w:rPr>
        <w:footnoteRef/>
      </w:r>
      <w:r>
        <w:rPr>
          <w:rFonts w:ascii="Cambria" w:hAnsi="Cambria"/>
        </w:rPr>
        <w:t xml:space="preserve"> </w:t>
      </w:r>
      <w:r w:rsidRPr="00B75722">
        <w:t xml:space="preserve">Schoen, J. &amp; M. Kirchhoff. 2007. Sitka black-tailed deer. Ch. 6.1 </w:t>
      </w:r>
      <w:r w:rsidRPr="00B75722">
        <w:rPr>
          <w:rStyle w:val="None"/>
          <w:rFonts w:eastAsia="MS Mincho"/>
        </w:rPr>
        <w:t xml:space="preserve">In:  J.W. Schoen &amp; E. </w:t>
      </w:r>
      <w:proofErr w:type="spellStart"/>
      <w:r w:rsidRPr="00B75722">
        <w:rPr>
          <w:rStyle w:val="None"/>
          <w:rFonts w:eastAsia="MS Mincho"/>
        </w:rPr>
        <w:t>Dovichin</w:t>
      </w:r>
      <w:proofErr w:type="spellEnd"/>
      <w:r w:rsidRPr="00B75722">
        <w:rPr>
          <w:rStyle w:val="None"/>
          <w:rFonts w:eastAsia="MS Mincho"/>
        </w:rPr>
        <w:t xml:space="preserve">, eds. The coastal forests and mountains ecoregion of southeastern Alaska and the Tongass National Forest:  a conservation assessment and resource synthesis; Brinkman, T.J., T. Chapin, G. </w:t>
      </w:r>
      <w:proofErr w:type="spellStart"/>
      <w:r w:rsidRPr="00B75722">
        <w:rPr>
          <w:rStyle w:val="None"/>
          <w:rFonts w:eastAsia="MS Mincho"/>
        </w:rPr>
        <w:t>Kofinas</w:t>
      </w:r>
      <w:proofErr w:type="spellEnd"/>
      <w:r w:rsidRPr="00B75722">
        <w:rPr>
          <w:rStyle w:val="None"/>
          <w:rFonts w:eastAsia="MS Mincho"/>
        </w:rPr>
        <w:t xml:space="preserve"> &amp; D.K. Person. 2009</w:t>
      </w:r>
      <w:r>
        <w:rPr>
          <w:rStyle w:val="None"/>
          <w:rFonts w:eastAsia="MS Mincho"/>
        </w:rPr>
        <w:t xml:space="preserve">; </w:t>
      </w:r>
      <w:r w:rsidRPr="00B75722">
        <w:rPr>
          <w:rStyle w:val="None"/>
          <w:rFonts w:eastAsia="MS Mincho"/>
        </w:rPr>
        <w:t>Person, D.K. &amp; T.J. Brinkman. 2013.</w:t>
      </w:r>
    </w:p>
  </w:footnote>
  <w:footnote w:id="57">
    <w:p w14:paraId="128C26E4" w14:textId="77777777" w:rsidR="002F1EE0" w:rsidRPr="00B75722" w:rsidRDefault="002F1EE0" w:rsidP="00D41E19">
      <w:pPr>
        <w:pStyle w:val="FootnoteText"/>
      </w:pPr>
      <w:r>
        <w:rPr>
          <w:rStyle w:val="FootnoteReference"/>
          <w:rFonts w:ascii="Cambria" w:hAnsi="Cambria"/>
        </w:rPr>
        <w:footnoteRef/>
      </w:r>
      <w:r>
        <w:rPr>
          <w:rFonts w:ascii="Cambria" w:hAnsi="Cambria"/>
        </w:rPr>
        <w:t xml:space="preserve"> </w:t>
      </w:r>
      <w:r w:rsidRPr="00B75722">
        <w:t xml:space="preserve">Miller, R. 2022.  Scientists present theories for deer decline at Prince of Wales deer summit (KRBD, Nov. 3, 2022). </w:t>
      </w:r>
      <w:hyperlink r:id="rId3" w:history="1">
        <w:r w:rsidRPr="00B75722">
          <w:rPr>
            <w:rStyle w:val="Hyperlink"/>
            <w:rFonts w:ascii="Bookman Old Style" w:hAnsi="Bookman Old Style"/>
            <w:color w:val="000000"/>
          </w:rPr>
          <w:t>Scientists present theories for deer decline at Prince of Wales Island deer summit (ktoo.org)</w:t>
        </w:r>
      </w:hyperlink>
    </w:p>
  </w:footnote>
  <w:footnote w:id="58">
    <w:p w14:paraId="25BCB23A" w14:textId="771F8F35" w:rsidR="002F1EE0" w:rsidRPr="00B75722" w:rsidRDefault="002F1EE0" w:rsidP="00D41E19">
      <w:pPr>
        <w:pStyle w:val="FootnoteText"/>
        <w:rPr>
          <w:sz w:val="18"/>
          <w:szCs w:val="18"/>
        </w:rPr>
      </w:pPr>
      <w:r w:rsidRPr="00B75722">
        <w:rPr>
          <w:rStyle w:val="FootnoteReference"/>
        </w:rPr>
        <w:footnoteRef/>
      </w:r>
      <w:r w:rsidRPr="00B75722">
        <w:t xml:space="preserve"> Hasbrouck, T.R. 2020a; Southeast Alaska Subsistence Regional Advisory Council. 2017.  Meeting materials October 31 – November 2, 2017.</w:t>
      </w:r>
    </w:p>
  </w:footnote>
  <w:footnote w:id="59">
    <w:p w14:paraId="530E13CA" w14:textId="652BD6D5" w:rsidR="002F1EE0" w:rsidRPr="00D62C50" w:rsidRDefault="002F1EE0" w:rsidP="00D41E19">
      <w:pPr>
        <w:pStyle w:val="FootnoteText"/>
      </w:pPr>
      <w:r>
        <w:rPr>
          <w:rStyle w:val="FootnoteReference"/>
          <w:rFonts w:ascii="Cambria" w:hAnsi="Cambria"/>
        </w:rPr>
        <w:footnoteRef/>
      </w:r>
      <w:r>
        <w:rPr>
          <w:rFonts w:ascii="Cambria" w:hAnsi="Cambria"/>
        </w:rPr>
        <w:t xml:space="preserve"> </w:t>
      </w:r>
      <w:r>
        <w:t>Bethune, S. 2015. Unit 2 deer.  Chapter 4, pages 4-1 through 4-15 [In] P. Harper and L.A. McCarthy, editors.  Deer management report of survey and inventory activities 1 July 2012-30 June 2014.  Alaska Department of Fish and Game.  Species Management Report ADF&amp;G/DWC/SMR-2015-3, Juneau.</w:t>
      </w:r>
    </w:p>
  </w:footnote>
  <w:footnote w:id="60">
    <w:p w14:paraId="5E1A197A" w14:textId="0EB24D69" w:rsidR="002F1EE0" w:rsidRPr="0096304E" w:rsidRDefault="002F1EE0" w:rsidP="0096304E">
      <w:pPr>
        <w:pStyle w:val="FootnoteText"/>
      </w:pPr>
      <w:r>
        <w:rPr>
          <w:rStyle w:val="FootnoteReference"/>
          <w:rFonts w:ascii="Cambria" w:hAnsi="Cambria"/>
        </w:rPr>
        <w:footnoteRef/>
      </w:r>
      <w:r>
        <w:t xml:space="preserve"> </w:t>
      </w:r>
      <w:r>
        <w:rPr>
          <w:rFonts w:cs="Arial"/>
          <w:shd w:val="clear" w:color="auto" w:fill="FFFFFF"/>
        </w:rPr>
        <w:t xml:space="preserve">Farmer, C.J., Person, D.K. and Bowyer, R.T., 2006; </w:t>
      </w:r>
      <w:r w:rsidRPr="0024153B">
        <w:rPr>
          <w:rStyle w:val="None"/>
        </w:rPr>
        <w:t>Brinkman, T.J.</w:t>
      </w:r>
      <w:r w:rsidR="007A7E2E">
        <w:rPr>
          <w:rStyle w:val="None"/>
        </w:rPr>
        <w:t xml:space="preserve"> et al</w:t>
      </w:r>
      <w:r w:rsidRPr="0024153B">
        <w:rPr>
          <w:rStyle w:val="None"/>
        </w:rPr>
        <w:t>. 2009;</w:t>
      </w:r>
      <w:r w:rsidRPr="0024153B">
        <w:t xml:space="preserve"> </w:t>
      </w:r>
      <w:r w:rsidRPr="0024153B">
        <w:rPr>
          <w:rStyle w:val="None"/>
        </w:rPr>
        <w:t xml:space="preserve">Person, D.K. et al 1996.  The Alexander Archipelago Wolf:  A conservation assessment.  Gen. Tech. Rpt. PNW-GTR-384, November 1996.  Pacific Northwest Research Station, U.S. Forest Service; </w:t>
      </w:r>
      <w:r>
        <w:rPr>
          <w:rFonts w:cs="Arial"/>
          <w:shd w:val="clear" w:color="auto" w:fill="FFFFFF"/>
        </w:rPr>
        <w:t xml:space="preserve">Gilbert, S.L., Haynes, T., Lindberg, M.S., Albert, D.M., </w:t>
      </w:r>
      <w:proofErr w:type="spellStart"/>
      <w:r>
        <w:rPr>
          <w:rFonts w:cs="Arial"/>
          <w:shd w:val="clear" w:color="auto" w:fill="FFFFFF"/>
        </w:rPr>
        <w:t>Kissling</w:t>
      </w:r>
      <w:proofErr w:type="spellEnd"/>
      <w:r>
        <w:rPr>
          <w:rFonts w:cs="Arial"/>
          <w:shd w:val="clear" w:color="auto" w:fill="FFFFFF"/>
        </w:rPr>
        <w:t>, M., Lynch, L. and Person, D., 2022. Potential futures for coastal wolves and their ecosystem services in Alaska, with implications for management of a social-ecological system. </w:t>
      </w:r>
      <w:r>
        <w:rPr>
          <w:rFonts w:cs="Arial"/>
          <w:i/>
          <w:iCs/>
          <w:shd w:val="clear" w:color="auto" w:fill="FFFFFF"/>
        </w:rPr>
        <w:t>Frontiers in Ecology and Evolution</w:t>
      </w:r>
      <w:r>
        <w:rPr>
          <w:rFonts w:cs="Arial"/>
          <w:shd w:val="clear" w:color="auto" w:fill="FFFFFF"/>
        </w:rPr>
        <w:t>, </w:t>
      </w:r>
      <w:r>
        <w:rPr>
          <w:rFonts w:cs="Arial"/>
          <w:i/>
          <w:iCs/>
          <w:shd w:val="clear" w:color="auto" w:fill="FFFFFF"/>
        </w:rPr>
        <w:t>10</w:t>
      </w:r>
      <w:r>
        <w:rPr>
          <w:rFonts w:cs="Arial"/>
          <w:shd w:val="clear" w:color="auto" w:fill="FFFFFF"/>
        </w:rPr>
        <w:t>.</w:t>
      </w:r>
    </w:p>
  </w:footnote>
  <w:footnote w:id="61">
    <w:p w14:paraId="2A504925" w14:textId="77777777" w:rsidR="002F1EE0" w:rsidRDefault="002F1EE0" w:rsidP="001C4C5A">
      <w:pPr>
        <w:pStyle w:val="FootnoteText"/>
        <w:rPr>
          <w:i/>
          <w:iCs/>
        </w:rPr>
      </w:pPr>
      <w:r>
        <w:rPr>
          <w:rStyle w:val="FootnoteReference"/>
          <w:rFonts w:ascii="Cambria" w:hAnsi="Cambria"/>
        </w:rPr>
        <w:footnoteRef/>
      </w:r>
      <w:r>
        <w:t xml:space="preserve"> </w:t>
      </w:r>
      <w:r w:rsidRPr="00D717F2">
        <w:rPr>
          <w:rStyle w:val="None"/>
          <w:i/>
          <w:iCs/>
        </w:rPr>
        <w:t>Id.</w:t>
      </w:r>
      <w:r w:rsidRPr="00D717F2">
        <w:rPr>
          <w:rStyle w:val="None"/>
        </w:rPr>
        <w:t xml:space="preserve"> </w:t>
      </w:r>
      <w:r w:rsidRPr="0024153B">
        <w:rPr>
          <w:rStyle w:val="None"/>
        </w:rPr>
        <w:t>Person, D.K. &amp; T.J. Brinkman. 2013.</w:t>
      </w:r>
    </w:p>
  </w:footnote>
  <w:footnote w:id="62">
    <w:p w14:paraId="6512D287" w14:textId="77777777" w:rsidR="002F1EE0" w:rsidRDefault="002F1EE0" w:rsidP="001C4C5A">
      <w:pPr>
        <w:pStyle w:val="FootnoteText"/>
      </w:pPr>
      <w:r>
        <w:rPr>
          <w:rStyle w:val="FootnoteReference"/>
          <w:rFonts w:ascii="Cambria" w:hAnsi="Cambria"/>
        </w:rPr>
        <w:footnoteRef/>
      </w:r>
      <w:r>
        <w:t xml:space="preserve"> </w:t>
      </w:r>
      <w:r>
        <w:rPr>
          <w:rFonts w:cs="Arial"/>
          <w:shd w:val="clear" w:color="auto" w:fill="FFFFFF"/>
        </w:rPr>
        <w:t>Farmer, C.J., Person, D.K. and Bowyer, R.T., 2006.</w:t>
      </w:r>
    </w:p>
  </w:footnote>
  <w:footnote w:id="63">
    <w:p w14:paraId="1E2366D4" w14:textId="77777777" w:rsidR="002F1EE0" w:rsidRPr="00B75722" w:rsidRDefault="002F1EE0" w:rsidP="001C4C5A">
      <w:pPr>
        <w:pStyle w:val="FootnoteText"/>
        <w:rPr>
          <w:sz w:val="18"/>
          <w:szCs w:val="18"/>
        </w:rPr>
      </w:pPr>
      <w:r>
        <w:rPr>
          <w:rStyle w:val="FootnoteReference"/>
          <w:rFonts w:ascii="Cambria" w:hAnsi="Cambria"/>
        </w:rPr>
        <w:footnoteRef/>
      </w:r>
      <w:r>
        <w:rPr>
          <w:rFonts w:ascii="Cambria" w:hAnsi="Cambria"/>
        </w:rPr>
        <w:t xml:space="preserve"> </w:t>
      </w:r>
      <w:r w:rsidRPr="00B75722">
        <w:rPr>
          <w:rStyle w:val="None"/>
        </w:rPr>
        <w:t>Person, D.K. &amp; T.J. Brinkman. 2013.</w:t>
      </w:r>
    </w:p>
  </w:footnote>
  <w:footnote w:id="64">
    <w:p w14:paraId="4F2C8810" w14:textId="67E07855" w:rsidR="002F1EE0" w:rsidRDefault="002F1EE0" w:rsidP="003068FC">
      <w:pPr>
        <w:pStyle w:val="FootnoteText"/>
      </w:pPr>
      <w:r>
        <w:rPr>
          <w:rStyle w:val="FootnoteReference"/>
        </w:rPr>
        <w:footnoteRef/>
      </w:r>
      <w:r>
        <w:t xml:space="preserve"> </w:t>
      </w:r>
      <w:r w:rsidR="004C0CF9" w:rsidRPr="00D41E19">
        <w:rPr>
          <w:rFonts w:cs="Arial"/>
          <w:shd w:val="clear" w:color="auto" w:fill="FFFFFF"/>
        </w:rPr>
        <w:t xml:space="preserve">Gilbert, S.L., </w:t>
      </w:r>
      <w:proofErr w:type="spellStart"/>
      <w:r w:rsidR="004C0CF9" w:rsidRPr="00D41E19">
        <w:rPr>
          <w:rFonts w:cs="Arial"/>
          <w:shd w:val="clear" w:color="auto" w:fill="FFFFFF"/>
        </w:rPr>
        <w:t>Hundertmark</w:t>
      </w:r>
      <w:proofErr w:type="spellEnd"/>
      <w:r w:rsidR="004C0CF9" w:rsidRPr="00D41E19">
        <w:rPr>
          <w:rFonts w:cs="Arial"/>
          <w:shd w:val="clear" w:color="auto" w:fill="FFFFFF"/>
        </w:rPr>
        <w:t>, K.J., Person, D.K., Lindberg, M.S. and Boyce, M.S., 2017. Behavioral plasticity in a variable environment: snow depth and habitat interactions drive deer movement in winter. </w:t>
      </w:r>
      <w:r w:rsidR="004C0CF9" w:rsidRPr="00D41E19">
        <w:rPr>
          <w:rFonts w:cs="Arial"/>
          <w:i/>
          <w:iCs/>
          <w:shd w:val="clear" w:color="auto" w:fill="FFFFFF"/>
        </w:rPr>
        <w:t xml:space="preserve">Journal of </w:t>
      </w:r>
      <w:proofErr w:type="spellStart"/>
      <w:r w:rsidR="004C0CF9" w:rsidRPr="00D41E19">
        <w:rPr>
          <w:rFonts w:cs="Arial"/>
          <w:i/>
          <w:iCs/>
          <w:shd w:val="clear" w:color="auto" w:fill="FFFFFF"/>
        </w:rPr>
        <w:t>Mammalogy</w:t>
      </w:r>
      <w:proofErr w:type="spellEnd"/>
      <w:r w:rsidR="004C0CF9" w:rsidRPr="00D41E19">
        <w:rPr>
          <w:rFonts w:cs="Arial"/>
          <w:shd w:val="clear" w:color="auto" w:fill="FFFFFF"/>
        </w:rPr>
        <w:t>, </w:t>
      </w:r>
      <w:r w:rsidR="004C0CF9" w:rsidRPr="00D41E19">
        <w:rPr>
          <w:rFonts w:cs="Arial"/>
          <w:i/>
          <w:iCs/>
          <w:shd w:val="clear" w:color="auto" w:fill="FFFFFF"/>
        </w:rPr>
        <w:t>98</w:t>
      </w:r>
      <w:r w:rsidR="004C0CF9" w:rsidRPr="00D41E19">
        <w:rPr>
          <w:rFonts w:cs="Arial"/>
          <w:shd w:val="clear" w:color="auto" w:fill="FFFFFF"/>
        </w:rPr>
        <w:t>(1), pp.246-259.</w:t>
      </w:r>
    </w:p>
  </w:footnote>
  <w:footnote w:id="65">
    <w:p w14:paraId="38DDDB82" w14:textId="77777777" w:rsidR="002F1EE0" w:rsidRDefault="002F1EE0" w:rsidP="003068FC">
      <w:pPr>
        <w:pStyle w:val="FootnoteText"/>
      </w:pPr>
      <w:r>
        <w:rPr>
          <w:rStyle w:val="FootnoteReference"/>
        </w:rPr>
        <w:footnoteRef/>
      </w:r>
      <w:r>
        <w:t xml:space="preserve"> </w:t>
      </w:r>
      <w:r>
        <w:rPr>
          <w:i/>
        </w:rPr>
        <w:t xml:space="preserve">Id. </w:t>
      </w:r>
      <w:r>
        <w:t>(emphasis added)(internal citations omitted).</w:t>
      </w:r>
    </w:p>
  </w:footnote>
  <w:footnote w:id="66">
    <w:p w14:paraId="323AE078" w14:textId="77777777" w:rsidR="002F1EE0" w:rsidRDefault="002F1EE0" w:rsidP="003068FC">
      <w:pPr>
        <w:pStyle w:val="FootnoteText"/>
      </w:pPr>
      <w:r>
        <w:rPr>
          <w:rStyle w:val="FootnoteReference"/>
        </w:rPr>
        <w:footnoteRef/>
      </w:r>
      <w:r>
        <w:t xml:space="preserve"> </w:t>
      </w:r>
      <w:r w:rsidRPr="00DA12CC">
        <w:rPr>
          <w:rFonts w:cs="Swiss721BT-Roman"/>
        </w:rPr>
        <w:t xml:space="preserve">Hanley, </w:t>
      </w:r>
      <w:r>
        <w:rPr>
          <w:rFonts w:cs="Swiss721BT-Roman"/>
        </w:rPr>
        <w:t xml:space="preserve">T.A., </w:t>
      </w:r>
      <w:r w:rsidRPr="00DA12CC">
        <w:rPr>
          <w:rFonts w:cs="Swiss721BT-Roman"/>
        </w:rPr>
        <w:t>C</w:t>
      </w:r>
      <w:r>
        <w:rPr>
          <w:rFonts w:cs="Swiss721BT-Roman"/>
        </w:rPr>
        <w:t>.</w:t>
      </w:r>
      <w:r w:rsidRPr="00DA12CC">
        <w:rPr>
          <w:rFonts w:cs="Swiss721BT-Roman"/>
        </w:rPr>
        <w:t xml:space="preserve"> T. Robbins</w:t>
      </w:r>
      <w:r>
        <w:rPr>
          <w:rFonts w:cs="Swiss721BT-Roman"/>
        </w:rPr>
        <w:t xml:space="preserve"> &amp;</w:t>
      </w:r>
      <w:r w:rsidRPr="00DA12CC">
        <w:rPr>
          <w:rFonts w:cs="Swiss721BT-Roman"/>
        </w:rPr>
        <w:t xml:space="preserve"> D</w:t>
      </w:r>
      <w:r>
        <w:rPr>
          <w:rFonts w:cs="Swiss721BT-Roman"/>
        </w:rPr>
        <w:t>.</w:t>
      </w:r>
      <w:r w:rsidRPr="00DA12CC">
        <w:rPr>
          <w:rFonts w:cs="Swiss721BT-Roman"/>
        </w:rPr>
        <w:t xml:space="preserve"> E. </w:t>
      </w:r>
      <w:proofErr w:type="spellStart"/>
      <w:r w:rsidRPr="00DA12CC">
        <w:rPr>
          <w:rFonts w:cs="Swiss721BT-Roman"/>
        </w:rPr>
        <w:t>Spalinger</w:t>
      </w:r>
      <w:proofErr w:type="spellEnd"/>
      <w:r>
        <w:rPr>
          <w:rFonts w:cs="Swiss721BT-Roman"/>
        </w:rPr>
        <w:t>. 1989.</w:t>
      </w:r>
    </w:p>
  </w:footnote>
  <w:footnote w:id="67">
    <w:p w14:paraId="17C2380F" w14:textId="4138300D" w:rsidR="002F1EE0" w:rsidRDefault="002F1EE0" w:rsidP="00D01067">
      <w:pPr>
        <w:pStyle w:val="FootnoteText"/>
      </w:pPr>
      <w:r>
        <w:rPr>
          <w:rStyle w:val="FootnoteReference"/>
        </w:rPr>
        <w:footnoteRef/>
      </w:r>
      <w:r>
        <w:t xml:space="preserve"> Person, D. &amp; Brinkman, T. 2013 at 147; Person, D. et al. 1996.</w:t>
      </w:r>
    </w:p>
  </w:footnote>
  <w:footnote w:id="68">
    <w:p w14:paraId="10ED5079" w14:textId="34D7D4D3" w:rsidR="002F1EE0" w:rsidRPr="00D01067" w:rsidRDefault="002F1EE0" w:rsidP="00954533">
      <w:pPr>
        <w:pStyle w:val="FootnoteText"/>
      </w:pPr>
      <w:r>
        <w:rPr>
          <w:rStyle w:val="FootnoteReference"/>
        </w:rPr>
        <w:footnoteRef/>
      </w:r>
      <w:r>
        <w:t xml:space="preserve"> </w:t>
      </w:r>
      <w:r>
        <w:rPr>
          <w:rFonts w:cs="TimesNewRomanPSMT"/>
        </w:rPr>
        <w:t>Alaback, P. 2010.</w:t>
      </w:r>
    </w:p>
  </w:footnote>
  <w:footnote w:id="69">
    <w:p w14:paraId="7B34EE32" w14:textId="77777777" w:rsidR="002F1EE0" w:rsidRPr="007A7E2E" w:rsidRDefault="002F1EE0" w:rsidP="003068FC">
      <w:pPr>
        <w:pStyle w:val="Default"/>
        <w:rPr>
          <w:rFonts w:ascii="Bookman Old Style" w:hAnsi="Bookman Old Style" w:cs="Arial"/>
          <w:sz w:val="20"/>
          <w:szCs w:val="20"/>
        </w:rPr>
      </w:pPr>
      <w:r>
        <w:rPr>
          <w:rStyle w:val="FootnoteReference"/>
        </w:rPr>
        <w:footnoteRef/>
      </w:r>
      <w:r>
        <w:t xml:space="preserve"> </w:t>
      </w:r>
      <w:r w:rsidRPr="007A7E2E">
        <w:rPr>
          <w:rFonts w:ascii="Bookman Old Style" w:hAnsi="Bookman Old Style" w:cs="Arial"/>
          <w:sz w:val="20"/>
          <w:szCs w:val="20"/>
          <w:shd w:val="clear" w:color="auto" w:fill="FFFFFF"/>
        </w:rPr>
        <w:t xml:space="preserve">Farmer, C.J., Person, D.K. and Bowyer, R.T., 2006; </w:t>
      </w:r>
      <w:r w:rsidRPr="007A7E2E">
        <w:rPr>
          <w:rFonts w:ascii="Bookman Old Style" w:hAnsi="Bookman Old Style"/>
          <w:sz w:val="20"/>
          <w:szCs w:val="20"/>
        </w:rPr>
        <w:t xml:space="preserve">Wolf Technical Committee. 2017. Interagency Wolf Habitat Management Program: Recommendations for Game Management Unit 2 at 18. Management Bulletin R10-MB-822. USDA Forest Service, USDI Fish and Wildlife Service, and Alaska Department of Fish and Game. </w:t>
      </w:r>
    </w:p>
  </w:footnote>
  <w:footnote w:id="70">
    <w:p w14:paraId="38A2F5DE" w14:textId="77777777" w:rsidR="002F1EE0" w:rsidRPr="003A5D44" w:rsidRDefault="002F1EE0" w:rsidP="004C0CF9">
      <w:pPr>
        <w:pStyle w:val="FootnoteText"/>
      </w:pPr>
      <w:r>
        <w:rPr>
          <w:rStyle w:val="FootnoteReference"/>
          <w:rFonts w:ascii="Cambria" w:hAnsi="Cambria"/>
        </w:rPr>
        <w:footnoteRef/>
      </w:r>
      <w:r>
        <w:t xml:space="preserve"> </w:t>
      </w:r>
      <w:r w:rsidRPr="003A5D44">
        <w:rPr>
          <w:rStyle w:val="None"/>
        </w:rPr>
        <w:t xml:space="preserve">Person, D.K. 2013.  Statement of David K. Person regarding the Big Thorne Project, Prince of Wales Island, August 15, 2013. Roffler, G. H. et al. 2018.  Resources selection by coastal wolves reveals the seasonal importance of seral forest and suitable prey habitat.  Forest Ecology and Management 409:190-201; </w:t>
      </w:r>
      <w:r w:rsidRPr="003A5D44">
        <w:rPr>
          <w:shd w:val="clear" w:color="auto" w:fill="FFFFFF"/>
        </w:rPr>
        <w:t>Roffler, G.H., Waite, J.N., Flynn, R.W., Larson, K.R. and Logan, B.D., 2016. Wolf population estimation on Prince of Wales Island, Southeast Alaska: a comparison of methods. Alaska Department of Fish and Game, Division of Wildlife Conservation, Region I.</w:t>
      </w:r>
    </w:p>
  </w:footnote>
  <w:footnote w:id="71">
    <w:p w14:paraId="5EBF094F" w14:textId="2CD35161" w:rsidR="002F1EE0" w:rsidRDefault="002F1EE0" w:rsidP="004C0CF9">
      <w:pPr>
        <w:pStyle w:val="FootnoteText"/>
        <w:rPr>
          <w:u w:val="single"/>
        </w:rPr>
      </w:pPr>
      <w:r>
        <w:rPr>
          <w:rStyle w:val="FootnoteReference"/>
        </w:rPr>
        <w:footnoteRef/>
      </w:r>
      <w:r>
        <w:t xml:space="preserve"> </w:t>
      </w:r>
      <w:r>
        <w:rPr>
          <w:shd w:val="clear" w:color="auto" w:fill="FFFFFF"/>
        </w:rPr>
        <w:t>Gilbert, S.L.</w:t>
      </w:r>
      <w:r w:rsidR="00B6483B">
        <w:rPr>
          <w:shd w:val="clear" w:color="auto" w:fill="FFFFFF"/>
        </w:rPr>
        <w:t xml:space="preserve"> et al.</w:t>
      </w:r>
      <w:r>
        <w:rPr>
          <w:shd w:val="clear" w:color="auto" w:fill="FFFFFF"/>
        </w:rPr>
        <w:t xml:space="preserve"> 2022. </w:t>
      </w:r>
    </w:p>
  </w:footnote>
  <w:footnote w:id="72">
    <w:p w14:paraId="61D4F65C" w14:textId="59DE1229" w:rsidR="002F1EE0" w:rsidRDefault="002F1EE0" w:rsidP="004C0CF9">
      <w:pPr>
        <w:pStyle w:val="FootnoteText"/>
        <w:rPr>
          <w:u w:val="single"/>
        </w:rPr>
      </w:pPr>
      <w:r>
        <w:rPr>
          <w:rStyle w:val="FootnoteReference"/>
        </w:rPr>
        <w:footnoteRef/>
      </w:r>
      <w:r>
        <w:rPr>
          <w:shd w:val="clear" w:color="auto" w:fill="FFFFFF"/>
        </w:rPr>
        <w:t> </w:t>
      </w:r>
      <w:r w:rsidR="004C0CF9">
        <w:rPr>
          <w:i/>
          <w:iCs/>
          <w:shd w:val="clear" w:color="auto" w:fill="FFFFFF"/>
        </w:rPr>
        <w:t>Id</w:t>
      </w:r>
      <w:r>
        <w:rPr>
          <w:shd w:val="clear" w:color="auto" w:fill="FFFFFF"/>
        </w:rPr>
        <w:t>.</w:t>
      </w:r>
    </w:p>
  </w:footnote>
  <w:footnote w:id="73">
    <w:p w14:paraId="4E1C4467" w14:textId="77777777" w:rsidR="00413F06" w:rsidRPr="00413F06" w:rsidRDefault="00413F06" w:rsidP="004C0CF9">
      <w:pPr>
        <w:pStyle w:val="FootnoteText"/>
      </w:pPr>
      <w:r>
        <w:rPr>
          <w:rStyle w:val="FootnoteReference"/>
        </w:rPr>
        <w:footnoteRef/>
      </w:r>
      <w:r>
        <w:t xml:space="preserve"> </w:t>
      </w:r>
      <w:hyperlink r:id="rId4" w:history="1">
        <w:r w:rsidRPr="00413F06">
          <w:rPr>
            <w:rStyle w:val="Hyperlink"/>
            <w:rFonts w:ascii="Bookman Old Style" w:hAnsi="Bookman Old Style"/>
          </w:rPr>
          <w:t>https://www.federalregister.gov/documents/2023/08/23/2023-18260/endangered-and-threatened-wildlife-and-plants-nine-species-not-warranted-for-listing-as-endangered</w:t>
        </w:r>
      </w:hyperlink>
      <w:r w:rsidRPr="00413F06">
        <w:t xml:space="preserve"> </w:t>
      </w:r>
    </w:p>
  </w:footnote>
  <w:footnote w:id="74">
    <w:p w14:paraId="2D78FFE2" w14:textId="77777777" w:rsidR="00413F06" w:rsidRPr="00413F06" w:rsidRDefault="00413F06" w:rsidP="004C0CF9">
      <w:pPr>
        <w:pStyle w:val="FootnoteText"/>
        <w:rPr>
          <w:i/>
          <w:iCs/>
        </w:rPr>
      </w:pPr>
      <w:r>
        <w:rPr>
          <w:rStyle w:val="FootnoteReference"/>
        </w:rPr>
        <w:footnoteRef/>
      </w:r>
      <w:r>
        <w:t xml:space="preserve"> </w:t>
      </w:r>
      <w:r>
        <w:rPr>
          <w:i/>
          <w:iCs/>
        </w:rPr>
        <w:t>Id.</w:t>
      </w:r>
    </w:p>
  </w:footnote>
  <w:footnote w:id="75">
    <w:p w14:paraId="15FD3A20" w14:textId="77777777" w:rsidR="00413F06" w:rsidRPr="00413F06" w:rsidRDefault="00413F06" w:rsidP="004C0CF9">
      <w:pPr>
        <w:pStyle w:val="FootnoteText"/>
        <w:rPr>
          <w:i/>
          <w:iCs/>
        </w:rPr>
      </w:pPr>
      <w:r>
        <w:rPr>
          <w:rStyle w:val="FootnoteReference"/>
        </w:rPr>
        <w:footnoteRef/>
      </w:r>
      <w:r>
        <w:t xml:space="preserve"> </w:t>
      </w:r>
      <w:r>
        <w:rPr>
          <w:i/>
          <w:iCs/>
        </w:rPr>
        <w:t>Id.</w:t>
      </w:r>
    </w:p>
  </w:footnote>
  <w:footnote w:id="76">
    <w:p w14:paraId="083AB4FD" w14:textId="3CB25736" w:rsidR="00413F06" w:rsidRDefault="00413F06" w:rsidP="00413F06">
      <w:pPr>
        <w:pStyle w:val="FootnoteText"/>
      </w:pPr>
      <w:r>
        <w:rPr>
          <w:rStyle w:val="FootnoteReference"/>
        </w:rPr>
        <w:footnoteRef/>
      </w:r>
      <w:r>
        <w:t xml:space="preserve"> </w:t>
      </w:r>
      <w:r w:rsidRPr="00530920">
        <w:rPr>
          <w:i/>
        </w:rPr>
        <w:t xml:space="preserve">Anderson v. Evans, </w:t>
      </w:r>
      <w:r w:rsidRPr="00530920">
        <w:t>371 F.3d 475, 490-93 (9</w:t>
      </w:r>
      <w:r w:rsidRPr="00530920">
        <w:rPr>
          <w:vertAlign w:val="superscript"/>
        </w:rPr>
        <w:t>th</w:t>
      </w:r>
      <w:r w:rsidRPr="00530920">
        <w:t xml:space="preserve"> Cir. 2004); </w:t>
      </w:r>
      <w:r w:rsidRPr="00530920">
        <w:rPr>
          <w:i/>
        </w:rPr>
        <w:t xml:space="preserve">see also Fund for Animals v. Norton, </w:t>
      </w:r>
      <w:r w:rsidRPr="00530920">
        <w:t>281 F.Supp.2d 209, 234 (D.D.C. 2003)(holding that</w:t>
      </w:r>
      <w:r w:rsidR="004C0CF9">
        <w:t xml:space="preserve"> uncertainty about impacts to a local populations is a basis for setting aside a FONSI)</w:t>
      </w:r>
      <w:r w:rsidRPr="00530920">
        <w:t>.</w:t>
      </w:r>
    </w:p>
  </w:footnote>
  <w:footnote w:id="77">
    <w:p w14:paraId="41FC1F62" w14:textId="77777777" w:rsidR="002F1EE0" w:rsidRDefault="002F1EE0" w:rsidP="003A5D44">
      <w:pPr>
        <w:pStyle w:val="FootnoteText"/>
        <w:rPr>
          <w:rFonts w:cs="Arial"/>
        </w:rPr>
      </w:pPr>
      <w:r>
        <w:rPr>
          <w:rStyle w:val="FootnoteReference"/>
          <w:rFonts w:ascii="Cambria" w:hAnsi="Cambria"/>
        </w:rPr>
        <w:footnoteRef/>
      </w:r>
      <w:r>
        <w:rPr>
          <w:rFonts w:cs="Arial"/>
        </w:rPr>
        <w:t xml:space="preserve"> Davis, H, A.N. Hamilton, A.S. </w:t>
      </w:r>
      <w:proofErr w:type="spellStart"/>
      <w:r>
        <w:rPr>
          <w:rFonts w:cs="Arial"/>
        </w:rPr>
        <w:t>Harestead</w:t>
      </w:r>
      <w:proofErr w:type="spellEnd"/>
      <w:r>
        <w:rPr>
          <w:rFonts w:cs="Arial"/>
        </w:rPr>
        <w:t xml:space="preserve"> &amp; R.D. Weir. 2012.  Longevity and Reuse of Black Bear Dens in Managed Forests of Coastal British Columbia.  In:  Journal of Wildlife Management 76(3):523-527; </w:t>
      </w:r>
      <w:r>
        <w:rPr>
          <w:rFonts w:cs="Arial"/>
          <w:i/>
          <w:iCs/>
        </w:rPr>
        <w:t xml:space="preserve">see also </w:t>
      </w:r>
      <w:r>
        <w:rPr>
          <w:rFonts w:cs="Arial"/>
        </w:rPr>
        <w:t>USDA Forest Service. 2016. Wrangell Island Project Draft Environmental Impact Statement.  U.S. Forest Service, Alaska Region.  Tongass National Forest, Wrangell Ranger District.  R10-MB-634.  May 2016.</w:t>
      </w:r>
    </w:p>
  </w:footnote>
  <w:footnote w:id="78">
    <w:p w14:paraId="004CC507" w14:textId="77777777" w:rsidR="002F1EE0" w:rsidRDefault="002F1EE0" w:rsidP="003A5D44">
      <w:pPr>
        <w:pStyle w:val="FootnoteText"/>
      </w:pPr>
      <w:r>
        <w:rPr>
          <w:rStyle w:val="FootnoteReference"/>
          <w:rFonts w:ascii="Cambria" w:hAnsi="Cambria"/>
        </w:rPr>
        <w:footnoteRef/>
      </w:r>
      <w:r>
        <w:t xml:space="preserve"> Porter, B., D.P. </w:t>
      </w:r>
      <w:proofErr w:type="spellStart"/>
      <w:r>
        <w:t>Gregovich</w:t>
      </w:r>
      <w:proofErr w:type="spellEnd"/>
      <w:r>
        <w:t xml:space="preserve">, A.P. </w:t>
      </w:r>
      <w:proofErr w:type="spellStart"/>
      <w:r>
        <w:t>Crupi</w:t>
      </w:r>
      <w:proofErr w:type="spellEnd"/>
      <w:r>
        <w:t>, G.W. Pendleton &amp; S.W. Bethune.  Black bears select large woody structures for dens in southeast Alaska.  Journal of Wildlife Management 1-12; 2021.</w:t>
      </w:r>
    </w:p>
  </w:footnote>
  <w:footnote w:id="79">
    <w:p w14:paraId="1C2F4987" w14:textId="77777777" w:rsidR="002F1EE0" w:rsidRDefault="002F1EE0" w:rsidP="003A5D44">
      <w:pPr>
        <w:pStyle w:val="FootnoteText"/>
      </w:pPr>
      <w:r>
        <w:rPr>
          <w:rStyle w:val="FootnoteReference"/>
          <w:rFonts w:ascii="Cambria" w:hAnsi="Cambria"/>
        </w:rPr>
        <w:footnoteRef/>
      </w:r>
      <w:r>
        <w:t xml:space="preserve"> </w:t>
      </w:r>
      <w:r>
        <w:rPr>
          <w:i/>
          <w:iCs/>
        </w:rPr>
        <w:t>Id.</w:t>
      </w:r>
    </w:p>
  </w:footnote>
  <w:footnote w:id="80">
    <w:p w14:paraId="5D248B6C" w14:textId="77777777" w:rsidR="002F1EE0" w:rsidRDefault="002F1EE0" w:rsidP="003A5D44">
      <w:pPr>
        <w:pStyle w:val="FootnoteText"/>
      </w:pPr>
      <w:r>
        <w:rPr>
          <w:rStyle w:val="FootnoteReference"/>
        </w:rPr>
        <w:footnoteRef/>
      </w:r>
      <w:r>
        <w:t xml:space="preserve"> </w:t>
      </w:r>
      <w:r w:rsidRPr="00B92A8B">
        <w:t>Iverson</w:t>
      </w:r>
      <w:r>
        <w:t>, C.</w:t>
      </w:r>
      <w:r w:rsidRPr="00B92A8B">
        <w:t xml:space="preserve"> 199</w:t>
      </w:r>
      <w:r>
        <w:t xml:space="preserve">6a. </w:t>
      </w:r>
      <w:r w:rsidRPr="00B62291">
        <w:rPr>
          <w:rFonts w:cs="Arial"/>
        </w:rPr>
        <w:t>Northern Goshawk Viability Assessment Panel Summary</w:t>
      </w:r>
      <w:r>
        <w:rPr>
          <w:rFonts w:cs="Arial"/>
        </w:rPr>
        <w:t>.</w:t>
      </w:r>
    </w:p>
  </w:footnote>
  <w:footnote w:id="81">
    <w:p w14:paraId="5E058C1E" w14:textId="77777777" w:rsidR="002F1EE0" w:rsidRDefault="002F1EE0" w:rsidP="003A5D44">
      <w:pPr>
        <w:pStyle w:val="FootnoteText"/>
      </w:pPr>
      <w:r>
        <w:rPr>
          <w:rStyle w:val="FootnoteReference"/>
        </w:rPr>
        <w:footnoteRef/>
      </w:r>
      <w:r>
        <w:t xml:space="preserve"> </w:t>
      </w:r>
      <w:r w:rsidRPr="00E35E84">
        <w:rPr>
          <w:rFonts w:cs="Arial"/>
          <w:color w:val="222222"/>
          <w:shd w:val="clear" w:color="auto" w:fill="FFFFFF"/>
        </w:rPr>
        <w:t>U.S. Fish and Wildlife Service Alaska Region. 2007. Queen Charlotte Goshawk Status Review</w:t>
      </w:r>
      <w:r>
        <w:rPr>
          <w:rFonts w:cs="Arial"/>
          <w:color w:val="222222"/>
          <w:shd w:val="clear" w:color="auto" w:fill="FFFFFF"/>
        </w:rPr>
        <w:t>.</w:t>
      </w:r>
    </w:p>
  </w:footnote>
  <w:footnote w:id="82">
    <w:p w14:paraId="15DD4B98" w14:textId="1E3DAE83" w:rsidR="002F1EE0" w:rsidRPr="00E35E84" w:rsidRDefault="002F1EE0" w:rsidP="003A5D44">
      <w:pPr>
        <w:pStyle w:val="FootnoteText"/>
      </w:pPr>
      <w:r>
        <w:rPr>
          <w:rStyle w:val="FootnoteReference"/>
        </w:rPr>
        <w:footnoteRef/>
      </w:r>
      <w:r>
        <w:t xml:space="preserve"> </w:t>
      </w:r>
      <w:r w:rsidR="00B6483B">
        <w:rPr>
          <w:i/>
        </w:rPr>
        <w:t>Id.</w:t>
      </w:r>
    </w:p>
  </w:footnote>
  <w:footnote w:id="83">
    <w:p w14:paraId="65A9C0E3" w14:textId="77777777" w:rsidR="002F1EE0" w:rsidRDefault="002F1EE0" w:rsidP="003A5D44">
      <w:pPr>
        <w:pStyle w:val="FootnoteText"/>
      </w:pPr>
      <w:r>
        <w:rPr>
          <w:rStyle w:val="FootnoteReference"/>
        </w:rPr>
        <w:footnoteRef/>
      </w:r>
      <w:r>
        <w:t xml:space="preserve"> </w:t>
      </w:r>
      <w:r>
        <w:rPr>
          <w:i/>
        </w:rPr>
        <w:t xml:space="preserve">Id. </w:t>
      </w:r>
      <w:r>
        <w:t>(emphasis added).</w:t>
      </w:r>
    </w:p>
  </w:footnote>
  <w:footnote w:id="84">
    <w:p w14:paraId="3C59A6EC" w14:textId="06E95595" w:rsidR="002F1EE0" w:rsidRDefault="002F1EE0" w:rsidP="003A5D44">
      <w:pPr>
        <w:pStyle w:val="FootnoteText"/>
      </w:pPr>
      <w:r>
        <w:rPr>
          <w:rStyle w:val="FootnoteReference"/>
        </w:rPr>
        <w:footnoteRef/>
      </w:r>
      <w:r>
        <w:t xml:space="preserve"> </w:t>
      </w:r>
      <w:r>
        <w:rPr>
          <w:i/>
        </w:rPr>
        <w:t xml:space="preserve">Id. </w:t>
      </w:r>
      <w:r>
        <w:t xml:space="preserve">at 105; </w:t>
      </w:r>
      <w:r>
        <w:rPr>
          <w:i/>
        </w:rPr>
        <w:t>see also</w:t>
      </w:r>
      <w:r>
        <w:t xml:space="preserve"> </w:t>
      </w:r>
      <w:r w:rsidRPr="00B92A8B">
        <w:t>Iverson</w:t>
      </w:r>
      <w:r>
        <w:t>, C.</w:t>
      </w:r>
      <w:r w:rsidRPr="00B92A8B">
        <w:t xml:space="preserve"> 1997</w:t>
      </w:r>
      <w:r>
        <w:t xml:space="preserve">. </w:t>
      </w:r>
      <w:r w:rsidRPr="00B92A8B">
        <w:rPr>
          <w:rFonts w:cs="Arial"/>
        </w:rPr>
        <w:t>Summary of the 1997 Northern Goshawk Risk Assessment Panel</w:t>
      </w:r>
      <w:r>
        <w:rPr>
          <w:rFonts w:cs="Arial"/>
        </w:rPr>
        <w:t xml:space="preserve"> at 1-7</w:t>
      </w:r>
      <w:r>
        <w:t>.</w:t>
      </w:r>
    </w:p>
  </w:footnote>
  <w:footnote w:id="85">
    <w:p w14:paraId="56657922" w14:textId="77777777" w:rsidR="002F1EE0" w:rsidRDefault="002F1EE0" w:rsidP="003A5D44">
      <w:pPr>
        <w:pStyle w:val="FootnoteText"/>
      </w:pPr>
      <w:r>
        <w:rPr>
          <w:rStyle w:val="FootnoteReference"/>
        </w:rPr>
        <w:footnoteRef/>
      </w:r>
      <w:r>
        <w:t xml:space="preserve"> </w:t>
      </w:r>
      <w:r w:rsidRPr="00B92A8B">
        <w:t>Iverson</w:t>
      </w:r>
      <w:r>
        <w:t>, C.</w:t>
      </w:r>
      <w:r w:rsidRPr="00B92A8B">
        <w:t xml:space="preserve"> 199</w:t>
      </w:r>
      <w:r>
        <w:t xml:space="preserve">6a. </w:t>
      </w:r>
      <w:r w:rsidRPr="00B62291">
        <w:rPr>
          <w:rFonts w:cs="Arial"/>
        </w:rPr>
        <w:t>Northern Goshawk Viability Assessment Panel Summary</w:t>
      </w:r>
      <w:r>
        <w:rPr>
          <w:rFonts w:cs="Arial"/>
        </w:rPr>
        <w:t xml:space="preserve"> at 74.</w:t>
      </w:r>
    </w:p>
  </w:footnote>
  <w:footnote w:id="86">
    <w:p w14:paraId="0DE4FF8C" w14:textId="77777777" w:rsidR="002F1EE0" w:rsidRDefault="002F1EE0" w:rsidP="003A5D44">
      <w:pPr>
        <w:pStyle w:val="FootnoteText"/>
      </w:pPr>
      <w:r>
        <w:rPr>
          <w:rStyle w:val="FootnoteReference"/>
        </w:rPr>
        <w:footnoteRef/>
      </w:r>
      <w:r>
        <w:t xml:space="preserve"> </w:t>
      </w:r>
      <w:r>
        <w:rPr>
          <w:i/>
        </w:rPr>
        <w:t xml:space="preserve">Id. </w:t>
      </w:r>
      <w:r>
        <w:t>at 76-78.</w:t>
      </w:r>
    </w:p>
  </w:footnote>
  <w:footnote w:id="87">
    <w:p w14:paraId="252C4A72" w14:textId="77777777" w:rsidR="002F1EE0" w:rsidRDefault="002F1EE0" w:rsidP="00CA4BD1">
      <w:pPr>
        <w:pStyle w:val="FootnoteText"/>
      </w:pPr>
      <w:r>
        <w:rPr>
          <w:rStyle w:val="FootnoteReference"/>
        </w:rPr>
        <w:footnoteRef/>
      </w:r>
      <w:r>
        <w:t xml:space="preserve"> </w:t>
      </w:r>
      <w:r w:rsidRPr="00E35E84">
        <w:rPr>
          <w:rFonts w:cs="Arial"/>
          <w:color w:val="222222"/>
          <w:shd w:val="clear" w:color="auto" w:fill="FFFFFF"/>
        </w:rPr>
        <w:t>U.S. Fish and Wildlife Service Alaska Region. 2007. Queen Charlotte Goshawk Status Review</w:t>
      </w:r>
      <w:r>
        <w:t xml:space="preserve"> at 99.</w:t>
      </w:r>
    </w:p>
  </w:footnote>
  <w:footnote w:id="88">
    <w:p w14:paraId="2F30ADD0" w14:textId="77777777" w:rsidR="002F1EE0" w:rsidRDefault="002F1EE0" w:rsidP="00CA4BD1">
      <w:pPr>
        <w:pStyle w:val="FootnoteText"/>
      </w:pPr>
      <w:r>
        <w:rPr>
          <w:rStyle w:val="FootnoteReference"/>
        </w:rPr>
        <w:footnoteRef/>
      </w:r>
      <w:r>
        <w:t xml:space="preserve"> </w:t>
      </w:r>
      <w:r>
        <w:rPr>
          <w:i/>
        </w:rPr>
        <w:t xml:space="preserve">Id. </w:t>
      </w:r>
      <w:r>
        <w:t>at 102.</w:t>
      </w:r>
    </w:p>
  </w:footnote>
  <w:footnote w:id="89">
    <w:p w14:paraId="7988D974" w14:textId="77777777" w:rsidR="002F1EE0" w:rsidRDefault="002F1EE0" w:rsidP="00CA4BD1">
      <w:pPr>
        <w:pStyle w:val="FootnoteText"/>
        <w:rPr>
          <w:i/>
        </w:rPr>
      </w:pPr>
      <w:r>
        <w:rPr>
          <w:rStyle w:val="FootnoteReference"/>
        </w:rPr>
        <w:footnoteRef/>
      </w:r>
      <w:r>
        <w:t xml:space="preserve"> </w:t>
      </w:r>
      <w:r>
        <w:rPr>
          <w:i/>
        </w:rPr>
        <w:t>Id.</w:t>
      </w:r>
    </w:p>
  </w:footnote>
  <w:footnote w:id="90">
    <w:p w14:paraId="120B2FA1" w14:textId="7E26DFDC" w:rsidR="002F1EE0" w:rsidRDefault="002F1EE0" w:rsidP="007207B1">
      <w:pPr>
        <w:pStyle w:val="FootnoteText"/>
      </w:pPr>
      <w:r>
        <w:rPr>
          <w:rStyle w:val="FootnoteReference"/>
        </w:rPr>
        <w:footnoteRef/>
      </w:r>
      <w:r>
        <w:t xml:space="preserve"> </w:t>
      </w:r>
      <w:proofErr w:type="spellStart"/>
      <w:r>
        <w:t>Harrop</w:t>
      </w:r>
      <w:proofErr w:type="spellEnd"/>
      <w:r>
        <w:t xml:space="preserve">-Archibald, H. 2014. </w:t>
      </w:r>
    </w:p>
  </w:footnote>
  <w:footnote w:id="91">
    <w:p w14:paraId="45AC8F0B" w14:textId="77777777" w:rsidR="00A75E87" w:rsidRDefault="00A75E87" w:rsidP="004742BB">
      <w:pPr>
        <w:pStyle w:val="FootnoteText"/>
      </w:pPr>
      <w:r>
        <w:rPr>
          <w:rStyle w:val="FootnoteReference"/>
        </w:rPr>
        <w:footnoteRef/>
      </w:r>
      <w:r>
        <w:t xml:space="preserve"> </w:t>
      </w:r>
      <w:r w:rsidRPr="00432BD1">
        <w:rPr>
          <w:rStyle w:val="Strong"/>
          <w:b w:val="0"/>
          <w:bCs w:val="0"/>
        </w:rPr>
        <w:t>40 C.F.R. § 1508.27(b).</w:t>
      </w:r>
      <w:r>
        <w:rPr>
          <w:rStyle w:val="Strong"/>
        </w:rPr>
        <w:t xml:space="preserve">  </w:t>
      </w:r>
    </w:p>
  </w:footnote>
  <w:footnote w:id="92">
    <w:p w14:paraId="07F871A4" w14:textId="77777777" w:rsidR="00A75E87" w:rsidRDefault="00A75E87">
      <w:pPr>
        <w:pStyle w:val="FootnoteText"/>
      </w:pPr>
      <w:r>
        <w:rPr>
          <w:rStyle w:val="FootnoteReference"/>
        </w:rPr>
        <w:footnoteRef/>
      </w:r>
      <w:r>
        <w:t xml:space="preserve"> </w:t>
      </w:r>
      <w:r w:rsidRPr="00F422A9">
        <w:rPr>
          <w:noProof/>
        </w:rPr>
        <w:drawing>
          <wp:inline distT="0" distB="0" distL="0" distR="0" wp14:anchorId="0FC33E9F" wp14:editId="50461CAC">
            <wp:extent cx="1394460" cy="1333500"/>
            <wp:effectExtent l="0" t="0" r="0" b="0"/>
            <wp:docPr id="1374086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4460" cy="1333500"/>
                    </a:xfrm>
                    <a:prstGeom prst="rect">
                      <a:avLst/>
                    </a:prstGeom>
                    <a:noFill/>
                    <a:ln>
                      <a:noFill/>
                    </a:ln>
                  </pic:spPr>
                </pic:pic>
              </a:graphicData>
            </a:graphic>
          </wp:inline>
        </w:drawing>
      </w:r>
    </w:p>
  </w:footnote>
  <w:footnote w:id="93">
    <w:p w14:paraId="612C4F7B" w14:textId="77777777" w:rsidR="00A75E87" w:rsidRPr="00D446AB" w:rsidRDefault="00A75E87" w:rsidP="00432BD1">
      <w:pPr>
        <w:pStyle w:val="FootnoteText"/>
      </w:pPr>
      <w:r w:rsidRPr="00D446AB">
        <w:rPr>
          <w:rStyle w:val="FootnoteReference"/>
        </w:rPr>
        <w:footnoteRef/>
      </w:r>
      <w:r w:rsidRPr="00D446AB">
        <w:t xml:space="preserve"> </w:t>
      </w:r>
      <w:proofErr w:type="spellStart"/>
      <w:r w:rsidRPr="00D446AB">
        <w:t>Resneck</w:t>
      </w:r>
      <w:proofErr w:type="spellEnd"/>
      <w:r w:rsidRPr="00D446AB">
        <w:t xml:space="preserve">, J., E. Stone, E. </w:t>
      </w:r>
      <w:proofErr w:type="spellStart"/>
      <w:r w:rsidRPr="00D446AB">
        <w:t>Boyda</w:t>
      </w:r>
      <w:proofErr w:type="spellEnd"/>
      <w:r w:rsidRPr="00D446AB">
        <w:t xml:space="preserve"> &amp; C. </w:t>
      </w:r>
      <w:proofErr w:type="spellStart"/>
      <w:r w:rsidRPr="00D446AB">
        <w:t>Aldern</w:t>
      </w:r>
      <w:proofErr w:type="spellEnd"/>
      <w:r w:rsidRPr="00D446AB">
        <w:t>. 2022.  Road to Ruin:  The Roadless Rule is supposed to protect wild places.  What went wrong in the Tongass National Forest?  Grist.  March 29, 2022.</w:t>
      </w:r>
    </w:p>
  </w:footnote>
  <w:footnote w:id="94">
    <w:p w14:paraId="7BF216A5" w14:textId="77777777" w:rsidR="00A75E87" w:rsidRPr="008D4DB0" w:rsidRDefault="00A75E87" w:rsidP="001540B7">
      <w:pPr>
        <w:pStyle w:val="FootnoteText"/>
        <w:rPr>
          <w:i/>
          <w:iCs/>
        </w:rPr>
      </w:pPr>
      <w:r w:rsidRPr="00D446AB">
        <w:rPr>
          <w:rStyle w:val="FootnoteReference"/>
        </w:rPr>
        <w:footnoteRef/>
      </w:r>
      <w:r w:rsidRPr="00D446AB">
        <w:t xml:space="preserve"> 2016 TLMP FEIS Vol. II, Appx. C; USDA Forest Service.  2018.  Prince of Wales Landscape Level Analysis </w:t>
      </w:r>
      <w:r>
        <w:t>Final Environmental Impact Statement</w:t>
      </w:r>
      <w:r w:rsidRPr="00D446AB">
        <w:t>.  R10-MB-833e.</w:t>
      </w:r>
    </w:p>
  </w:footnote>
  <w:footnote w:id="95">
    <w:p w14:paraId="115BA68A" w14:textId="77777777" w:rsidR="00A75E87" w:rsidRDefault="00A75E87" w:rsidP="00FF6485">
      <w:pPr>
        <w:pStyle w:val="FootnoteText"/>
        <w:rPr>
          <w:rFonts w:ascii="Cambria" w:hAnsi="Cambria"/>
        </w:rPr>
      </w:pPr>
      <w:r>
        <w:rPr>
          <w:rStyle w:val="FootnoteReference"/>
        </w:rPr>
        <w:footnoteRef/>
      </w:r>
      <w:r>
        <w:t xml:space="preserve"> </w:t>
      </w:r>
      <w:r>
        <w:rPr>
          <w:rStyle w:val="None"/>
        </w:rPr>
        <w:t>Alaska Division of Forestry</w:t>
      </w:r>
      <w:r>
        <w:t>. 2023. 2023-2027 Five Year Schedule Timber Sales (FYSTS).</w:t>
      </w:r>
    </w:p>
  </w:footnote>
  <w:footnote w:id="96">
    <w:p w14:paraId="0410B382" w14:textId="77777777" w:rsidR="00A75E87" w:rsidRDefault="00A75E87" w:rsidP="00FF6485">
      <w:pPr>
        <w:pStyle w:val="FootnoteText"/>
      </w:pPr>
      <w:r>
        <w:rPr>
          <w:rStyle w:val="FootnoteReference"/>
        </w:rPr>
        <w:footnoteRef/>
      </w:r>
      <w:r>
        <w:t xml:space="preserve"> </w:t>
      </w:r>
      <w:r>
        <w:rPr>
          <w:rStyle w:val="None"/>
          <w:i/>
          <w:iCs/>
        </w:rPr>
        <w:t>Id</w:t>
      </w:r>
      <w:r>
        <w:t>.</w:t>
      </w:r>
    </w:p>
  </w:footnote>
  <w:footnote w:id="97">
    <w:p w14:paraId="106D1FC7" w14:textId="77777777" w:rsidR="00060CEE" w:rsidRDefault="00060CEE" w:rsidP="00B6483B">
      <w:pPr>
        <w:pStyle w:val="FootnoteText"/>
      </w:pPr>
      <w:r>
        <w:rPr>
          <w:rStyle w:val="FootnoteReference"/>
        </w:rPr>
        <w:footnoteRef/>
      </w:r>
      <w:r>
        <w:t xml:space="preserve"> </w:t>
      </w:r>
      <w:r>
        <w:rPr>
          <w:i/>
          <w:iCs/>
        </w:rPr>
        <w:t>Id.</w:t>
      </w:r>
      <w:r>
        <w:t xml:space="preserve">; </w:t>
      </w:r>
      <w:r>
        <w:rPr>
          <w:rStyle w:val="None"/>
        </w:rPr>
        <w:t xml:space="preserve">U.S. </w:t>
      </w:r>
      <w:r>
        <w:t>Department of Agriculture</w:t>
      </w:r>
      <w:r>
        <w:rPr>
          <w:rStyle w:val="None"/>
        </w:rPr>
        <w:t xml:space="preserve">, 1995. Report to Congress: Anadromous fish habitat assessment. </w:t>
      </w:r>
    </w:p>
  </w:footnote>
  <w:footnote w:id="98">
    <w:p w14:paraId="6399D4D1" w14:textId="77777777" w:rsidR="00060CEE" w:rsidRDefault="00060CEE" w:rsidP="00B6483B">
      <w:pPr>
        <w:pStyle w:val="FootnoteText"/>
      </w:pPr>
      <w:r>
        <w:rPr>
          <w:rStyle w:val="FootnoteReference"/>
        </w:rPr>
        <w:footnoteRef/>
      </w:r>
      <w:r>
        <w:t xml:space="preserve"> </w:t>
      </w:r>
      <w:r>
        <w:rPr>
          <w:rFonts w:cs="TimesLTStd-Bold"/>
        </w:rPr>
        <w:t>Everest, F. H. &amp; G.H. Reeves. 2006</w:t>
      </w:r>
      <w:r>
        <w:rPr>
          <w:rFonts w:cs="TimesLTStd-Bold"/>
          <w:b/>
          <w:bCs/>
        </w:rPr>
        <w:t xml:space="preserve">. </w:t>
      </w:r>
      <w:r>
        <w:t>Riparian and aquatic habitats of the Pacific Northwest and southeast Alaska: ecology, management history, and potential management strategies. Gen. Tech. Rep. PNW-GTR-692. Portland, OR: U.S. Department of Agriculture, Forest Service, Pacific Northwest Research Station. 130 p.</w:t>
      </w:r>
    </w:p>
  </w:footnote>
  <w:footnote w:id="99">
    <w:p w14:paraId="1F864CB0" w14:textId="17F69A61" w:rsidR="00060CEE" w:rsidRDefault="00060CEE" w:rsidP="00B6483B">
      <w:pPr>
        <w:pStyle w:val="FootnoteText"/>
      </w:pPr>
      <w:r>
        <w:rPr>
          <w:rStyle w:val="FootnoteReference"/>
        </w:rPr>
        <w:footnoteRef/>
      </w:r>
      <w:r>
        <w:t xml:space="preserve"> </w:t>
      </w:r>
      <w:r w:rsidR="00B6483B">
        <w:rPr>
          <w:rFonts w:cs="TimesLTStd-Bold"/>
          <w:i/>
          <w:iCs/>
        </w:rPr>
        <w:t>Id</w:t>
      </w:r>
      <w:r>
        <w:t>.</w:t>
      </w:r>
    </w:p>
  </w:footnote>
  <w:footnote w:id="100">
    <w:p w14:paraId="543E23A0" w14:textId="77777777" w:rsidR="008A624D" w:rsidRDefault="008A624D" w:rsidP="00E8407A">
      <w:pPr>
        <w:pStyle w:val="FootnoteText"/>
      </w:pPr>
      <w:r>
        <w:rPr>
          <w:rStyle w:val="FootnoteReference"/>
        </w:rPr>
        <w:footnoteRef/>
      </w:r>
      <w:r>
        <w:t xml:space="preserve"> U.S. Forest Service.  1995.  Report to Congress:  Anadromous fish habitat assessment.  Pacific Northwest Research Station, Alaska Region.  R10-MB-279.</w:t>
      </w:r>
    </w:p>
  </w:footnote>
  <w:footnote w:id="101">
    <w:p w14:paraId="7B7B6FB5" w14:textId="77777777" w:rsidR="00E8407A" w:rsidRPr="008C3BA9" w:rsidRDefault="00E8407A" w:rsidP="00E8407A">
      <w:pPr>
        <w:pStyle w:val="FootnoteText"/>
        <w:rPr>
          <w:rFonts w:cs="Arial"/>
          <w:shd w:val="clear" w:color="auto" w:fill="FFFFFF"/>
        </w:rPr>
      </w:pPr>
      <w:r w:rsidRPr="008C3BA9">
        <w:rPr>
          <w:rStyle w:val="FootnoteReference"/>
        </w:rPr>
        <w:footnoteRef/>
      </w:r>
      <w:r w:rsidRPr="008C3BA9">
        <w:t xml:space="preserve"> </w:t>
      </w:r>
      <w:r w:rsidRPr="008C3BA9">
        <w:rPr>
          <w:rFonts w:cs="Arial"/>
          <w:shd w:val="clear" w:color="auto" w:fill="FFFFFF"/>
        </w:rPr>
        <w:t xml:space="preserve">Walsh, J.C., Connors, K., Hertz, E., Kehoe, L., Martin, T.G., Connors, B., Bradford, M.J., Freshwater, C., </w:t>
      </w:r>
      <w:proofErr w:type="spellStart"/>
      <w:r w:rsidRPr="008C3BA9">
        <w:rPr>
          <w:rFonts w:cs="Arial"/>
          <w:shd w:val="clear" w:color="auto" w:fill="FFFFFF"/>
        </w:rPr>
        <w:t>Frid</w:t>
      </w:r>
      <w:proofErr w:type="spellEnd"/>
      <w:r w:rsidRPr="008C3BA9">
        <w:rPr>
          <w:rFonts w:cs="Arial"/>
          <w:shd w:val="clear" w:color="auto" w:fill="FFFFFF"/>
        </w:rPr>
        <w:t>, A., Halverson, J. and Moore, J.W., 2020. Prioritizing conservation actions for Pacific salmon in Canada. </w:t>
      </w:r>
      <w:r w:rsidRPr="008C3BA9">
        <w:rPr>
          <w:rFonts w:cs="Arial"/>
          <w:i/>
          <w:iCs/>
          <w:shd w:val="clear" w:color="auto" w:fill="FFFFFF"/>
        </w:rPr>
        <w:t>Journal of Applied Ecology</w:t>
      </w:r>
      <w:r w:rsidRPr="008C3BA9">
        <w:rPr>
          <w:rFonts w:cs="Arial"/>
          <w:shd w:val="clear" w:color="auto" w:fill="FFFFFF"/>
        </w:rPr>
        <w:t>, </w:t>
      </w:r>
      <w:r w:rsidRPr="008C3BA9">
        <w:rPr>
          <w:rFonts w:cs="Arial"/>
          <w:i/>
          <w:iCs/>
          <w:shd w:val="clear" w:color="auto" w:fill="FFFFFF"/>
        </w:rPr>
        <w:t>57</w:t>
      </w:r>
      <w:r w:rsidRPr="008C3BA9">
        <w:rPr>
          <w:rFonts w:cs="Arial"/>
          <w:shd w:val="clear" w:color="auto" w:fill="FFFFFF"/>
        </w:rPr>
        <w:t>(9), pp.1688-1699.</w:t>
      </w:r>
    </w:p>
  </w:footnote>
  <w:footnote w:id="102">
    <w:p w14:paraId="49796ED6" w14:textId="04C0595B" w:rsidR="00E8407A" w:rsidRPr="008C3BA9" w:rsidRDefault="00E8407A" w:rsidP="00E8407A">
      <w:pPr>
        <w:pStyle w:val="FootnoteText"/>
        <w:rPr>
          <w:rFonts w:cs="Arial"/>
          <w:shd w:val="clear" w:color="auto" w:fill="FFFFFF"/>
        </w:rPr>
      </w:pPr>
      <w:r w:rsidRPr="008C3BA9">
        <w:rPr>
          <w:rStyle w:val="FootnoteReference"/>
        </w:rPr>
        <w:footnoteRef/>
      </w:r>
      <w:r w:rsidRPr="008C3BA9">
        <w:t xml:space="preserve"> </w:t>
      </w:r>
      <w:r w:rsidR="00B6483B">
        <w:rPr>
          <w:rFonts w:cs="Arial"/>
          <w:i/>
          <w:iCs/>
          <w:shd w:val="clear" w:color="auto" w:fill="FFFFFF"/>
        </w:rPr>
        <w:t>Id</w:t>
      </w:r>
      <w:r w:rsidRPr="008C3BA9">
        <w:rPr>
          <w:rFonts w:cs="Arial"/>
          <w:shd w:val="clear" w:color="auto" w:fill="FFFFFF"/>
        </w:rPr>
        <w:t>.</w:t>
      </w:r>
    </w:p>
  </w:footnote>
  <w:footnote w:id="103">
    <w:p w14:paraId="529DD9CA" w14:textId="77777777" w:rsidR="00E8407A" w:rsidRPr="004F064E" w:rsidRDefault="00E8407A" w:rsidP="00E8407A">
      <w:pPr>
        <w:pStyle w:val="FootnoteText"/>
        <w:rPr>
          <w:rFonts w:ascii="Cambria" w:hAnsi="Cambria" w:cs="Arial"/>
          <w:shd w:val="clear" w:color="auto" w:fill="FFFFFF"/>
        </w:rPr>
      </w:pPr>
      <w:r w:rsidRPr="008C3BA9">
        <w:rPr>
          <w:rStyle w:val="FootnoteReference"/>
        </w:rPr>
        <w:footnoteRef/>
      </w:r>
      <w:r>
        <w:rPr>
          <w:rFonts w:cs="Arial"/>
          <w:color w:val="000000" w:themeColor="text1"/>
          <w:shd w:val="clear" w:color="auto" w:fill="FFFFFF"/>
        </w:rPr>
        <w:t xml:space="preserve"> </w:t>
      </w:r>
      <w:r>
        <w:rPr>
          <w:rFonts w:cs="Arial"/>
          <w:shd w:val="clear" w:color="auto" w:fill="FFFFFF"/>
        </w:rPr>
        <w:t xml:space="preserve">Clark, C., Roni, P., Keeton, J. &amp; </w:t>
      </w:r>
      <w:proofErr w:type="spellStart"/>
      <w:r>
        <w:rPr>
          <w:rFonts w:cs="Arial"/>
          <w:shd w:val="clear" w:color="auto" w:fill="FFFFFF"/>
        </w:rPr>
        <w:t>Pess</w:t>
      </w:r>
      <w:proofErr w:type="spellEnd"/>
      <w:r>
        <w:rPr>
          <w:rFonts w:cs="Arial"/>
          <w:shd w:val="clear" w:color="auto" w:fill="FFFFFF"/>
        </w:rPr>
        <w:t xml:space="preserve">, G. 2020. Evaluation of the removal of impassable barriers on anadromous salmon and steelhead in the Columbia River Basin.  Fisheries Management and Ecology 27(1), 102-110. </w:t>
      </w:r>
    </w:p>
  </w:footnote>
  <w:footnote w:id="104">
    <w:p w14:paraId="0CB8F041" w14:textId="77777777" w:rsidR="00E8407A" w:rsidRPr="008C3BA9" w:rsidRDefault="00E8407A" w:rsidP="00E8407A">
      <w:pPr>
        <w:pStyle w:val="FootnoteText"/>
        <w:rPr>
          <w:color w:val="222222"/>
          <w:shd w:val="clear" w:color="auto" w:fill="FFFFFF"/>
        </w:rPr>
      </w:pPr>
      <w:r w:rsidRPr="008C3BA9">
        <w:rPr>
          <w:rStyle w:val="FootnoteReference"/>
        </w:rPr>
        <w:footnoteRef/>
      </w:r>
      <w:r w:rsidRPr="008C3BA9">
        <w:t xml:space="preserve"> </w:t>
      </w:r>
      <w:r>
        <w:rPr>
          <w:shd w:val="clear" w:color="auto" w:fill="FFFFFF"/>
        </w:rPr>
        <w:t>Davis, J.C. and Davis, G.A., 2011. The influence of stream-crossing structures on the distribution of rearing juvenile Pacific salmon. </w:t>
      </w:r>
      <w:r>
        <w:rPr>
          <w:i/>
          <w:iCs/>
          <w:shd w:val="clear" w:color="auto" w:fill="FFFFFF"/>
        </w:rPr>
        <w:t xml:space="preserve">Journal of the North American </w:t>
      </w:r>
      <w:proofErr w:type="spellStart"/>
      <w:r>
        <w:rPr>
          <w:i/>
          <w:iCs/>
          <w:shd w:val="clear" w:color="auto" w:fill="FFFFFF"/>
        </w:rPr>
        <w:t>Benthological</w:t>
      </w:r>
      <w:proofErr w:type="spellEnd"/>
      <w:r>
        <w:rPr>
          <w:i/>
          <w:iCs/>
          <w:shd w:val="clear" w:color="auto" w:fill="FFFFFF"/>
        </w:rPr>
        <w:t xml:space="preserve"> Society</w:t>
      </w:r>
      <w:r>
        <w:rPr>
          <w:shd w:val="clear" w:color="auto" w:fill="FFFFFF"/>
        </w:rPr>
        <w:t>, </w:t>
      </w:r>
      <w:r>
        <w:rPr>
          <w:i/>
          <w:iCs/>
          <w:shd w:val="clear" w:color="auto" w:fill="FFFFFF"/>
        </w:rPr>
        <w:t>30</w:t>
      </w:r>
      <w:r>
        <w:rPr>
          <w:shd w:val="clear" w:color="auto" w:fill="FFFFFF"/>
        </w:rPr>
        <w:t>(4), pp.1117-1128</w:t>
      </w:r>
    </w:p>
  </w:footnote>
  <w:footnote w:id="105">
    <w:p w14:paraId="2DE5A73C" w14:textId="77777777" w:rsidR="00E8407A" w:rsidRPr="004F064E" w:rsidRDefault="00E8407A" w:rsidP="00E8407A">
      <w:pPr>
        <w:pStyle w:val="FootnoteText"/>
        <w:rPr>
          <w:rFonts w:ascii="Cambria" w:hAnsi="Cambria"/>
          <w:shd w:val="clear" w:color="auto" w:fill="FFFFFF"/>
        </w:rPr>
      </w:pPr>
      <w:r w:rsidRPr="008C3BA9">
        <w:rPr>
          <w:rStyle w:val="FootnoteReference"/>
        </w:rPr>
        <w:footnoteRef/>
      </w:r>
      <w:r w:rsidRPr="008C3BA9">
        <w:t xml:space="preserve"> </w:t>
      </w:r>
      <w:r w:rsidRPr="008C3BA9">
        <w:rPr>
          <w:i/>
          <w:iCs/>
        </w:rPr>
        <w:t>Id.;</w:t>
      </w:r>
      <w:r w:rsidRPr="008C3BA9">
        <w:rPr>
          <w:shd w:val="clear" w:color="auto" w:fill="FFFFFF"/>
        </w:rPr>
        <w:t xml:space="preserve"> </w:t>
      </w:r>
      <w:r>
        <w:rPr>
          <w:shd w:val="clear" w:color="auto" w:fill="FFFFFF"/>
        </w:rPr>
        <w:t>Price, D.M., Quinn, T. and Barnard, R.J., 2010. Fish passage effectiveness of recently constructed road crossing culverts in the Puget Sound region of Washington State. </w:t>
      </w:r>
      <w:r>
        <w:rPr>
          <w:i/>
          <w:iCs/>
          <w:shd w:val="clear" w:color="auto" w:fill="FFFFFF"/>
        </w:rPr>
        <w:t>North American Journal of Fisheries Management</w:t>
      </w:r>
      <w:r>
        <w:rPr>
          <w:shd w:val="clear" w:color="auto" w:fill="FFFFFF"/>
        </w:rPr>
        <w:t>, </w:t>
      </w:r>
      <w:r>
        <w:rPr>
          <w:i/>
          <w:iCs/>
          <w:shd w:val="clear" w:color="auto" w:fill="FFFFFF"/>
        </w:rPr>
        <w:t>30</w:t>
      </w:r>
      <w:r>
        <w:rPr>
          <w:shd w:val="clear" w:color="auto" w:fill="FFFFFF"/>
        </w:rPr>
        <w:t>(5), pp.1110-1125.</w:t>
      </w:r>
    </w:p>
  </w:footnote>
  <w:footnote w:id="106">
    <w:p w14:paraId="5E4D766C" w14:textId="77777777" w:rsidR="00E8407A" w:rsidRPr="008C3BA9" w:rsidRDefault="00E8407A" w:rsidP="00E8407A">
      <w:pPr>
        <w:pStyle w:val="FootnoteText"/>
      </w:pPr>
      <w:r w:rsidRPr="008C3BA9">
        <w:rPr>
          <w:rStyle w:val="FootnoteReference"/>
        </w:rPr>
        <w:footnoteRef/>
      </w:r>
      <w:r w:rsidRPr="008C3BA9">
        <w:t xml:space="preserve"> </w:t>
      </w:r>
      <w:r w:rsidRPr="008C3BA9">
        <w:rPr>
          <w:i/>
          <w:iCs/>
        </w:rPr>
        <w:t xml:space="preserve">Id.; </w:t>
      </w:r>
      <w:r w:rsidRPr="008C3BA9">
        <w:rPr>
          <w:shd w:val="clear" w:color="auto" w:fill="FFFFFF"/>
        </w:rPr>
        <w:t xml:space="preserve">Clark, C., Roni, P., Keeton, J. &amp; </w:t>
      </w:r>
      <w:proofErr w:type="spellStart"/>
      <w:r w:rsidRPr="008C3BA9">
        <w:rPr>
          <w:shd w:val="clear" w:color="auto" w:fill="FFFFFF"/>
        </w:rPr>
        <w:t>Pess</w:t>
      </w:r>
      <w:proofErr w:type="spellEnd"/>
      <w:r w:rsidRPr="008C3BA9">
        <w:rPr>
          <w:shd w:val="clear" w:color="auto" w:fill="FFFFFF"/>
        </w:rPr>
        <w:t>, G. 2020; Price, D.M., Quinn, T. and Barnard, R.J., 2010.</w:t>
      </w:r>
    </w:p>
  </w:footnote>
  <w:footnote w:id="107">
    <w:p w14:paraId="5CC4EDF7" w14:textId="2E3AC35E" w:rsidR="00E8407A" w:rsidRDefault="00E8407A" w:rsidP="00E8407A">
      <w:pPr>
        <w:pStyle w:val="FootnoteText"/>
      </w:pPr>
      <w:r>
        <w:rPr>
          <w:rStyle w:val="FootnoteReference"/>
        </w:rPr>
        <w:footnoteRef/>
      </w:r>
      <w:r>
        <w:t xml:space="preserve"> </w:t>
      </w:r>
      <w:proofErr w:type="spellStart"/>
      <w:r>
        <w:t>Dellassalla</w:t>
      </w:r>
      <w:proofErr w:type="spellEnd"/>
      <w:r>
        <w:t xml:space="preserve">, D.A., Karr, J.R. &amp; Olson, D.M. 2011. Roadless areas </w:t>
      </w:r>
      <w:r w:rsidRPr="0043730C">
        <w:t>and clean water. Journal of Soil and Water Conservation 66(3): 78A-84A</w:t>
      </w:r>
      <w:r>
        <w:t xml:space="preserve">; </w:t>
      </w:r>
      <w:proofErr w:type="spellStart"/>
      <w:r>
        <w:t>Trombulak</w:t>
      </w:r>
      <w:proofErr w:type="spellEnd"/>
      <w:r>
        <w:t xml:space="preserve">, S.C. &amp; </w:t>
      </w:r>
      <w:proofErr w:type="spellStart"/>
      <w:r>
        <w:t>Frissell</w:t>
      </w:r>
      <w:proofErr w:type="spellEnd"/>
      <w:r>
        <w:t>, C.A. 2000. Review of ecological effects of roads on terrestrial and aquatic communities. Conservation Biology 14(1): 18-30.</w:t>
      </w:r>
    </w:p>
  </w:footnote>
  <w:footnote w:id="108">
    <w:p w14:paraId="09EA09AE" w14:textId="77777777" w:rsidR="00E8407A" w:rsidRDefault="00E8407A" w:rsidP="00E8407A">
      <w:pPr>
        <w:pStyle w:val="FootnoteText"/>
      </w:pPr>
      <w:r>
        <w:rPr>
          <w:rStyle w:val="FootnoteReference"/>
        </w:rPr>
        <w:footnoteRef/>
      </w:r>
      <w:r>
        <w:t xml:space="preserve"> </w:t>
      </w:r>
      <w:r w:rsidRPr="0043730C">
        <w:rPr>
          <w:rStyle w:val="None"/>
          <w:rFonts w:eastAsia="Bookman Old Style"/>
        </w:rPr>
        <w:t>Endangered and Threatened Species: Threatened status for Southern Oregon/Northern California Evolutionarily Significant Unit (ESU) of coho salmon. 62 Fed. Reg. 24588. May 6, 1997.</w:t>
      </w:r>
    </w:p>
  </w:footnote>
  <w:footnote w:id="109">
    <w:p w14:paraId="72820FBB" w14:textId="05AD2F6B" w:rsidR="00E8407A" w:rsidRPr="00AB26D9" w:rsidRDefault="00E8407A" w:rsidP="00E8407A">
      <w:pPr>
        <w:pStyle w:val="FootnoteText"/>
        <w:rPr>
          <w:rFonts w:cs="TimesLTStd-Roman"/>
          <w:color w:val="000000"/>
        </w:rPr>
      </w:pPr>
      <w:r>
        <w:rPr>
          <w:rStyle w:val="FootnoteReference"/>
        </w:rPr>
        <w:footnoteRef/>
      </w:r>
      <w:r>
        <w:t xml:space="preserve"> </w:t>
      </w:r>
      <w:r w:rsidRPr="00AB26D9">
        <w:t xml:space="preserve">Jones, J.A., Swanson, F.J., Wemple, B.C. &amp; Snyder, K.U. 2000. Effects of roads on hydrology, geomorphology, and disturbance patches in stream networks.  Conservation Biology 14(1), 76-85; Wemple, B.C., Swanson, F.J. &amp; Jones, J.A. 2001.  Forest roads and geomorphic process interactions, Cascade Range, Oregon.  Earth surface processes and landforms: The Journal of the British Geomorphological Research Group 26(2): 191-204. Everest, F.H., Swanston, D.N., Shaw, C.G., Smith, W.P., </w:t>
      </w:r>
      <w:proofErr w:type="spellStart"/>
      <w:r w:rsidRPr="00AB26D9">
        <w:t>Juln</w:t>
      </w:r>
      <w:proofErr w:type="spellEnd"/>
      <w:r w:rsidRPr="00AB26D9">
        <w:t xml:space="preserve">, K.R., &amp; Allen, S.D. 1997. Evaluation of the use of scientific information in developing the 1997 Forest Plan for the Tongass National Forest.  Gen. Tech. Rep. PNW-GTR-415. Portland, Or: US Department of Agriculture, Forest Service, Pacific Northwest Research Station. 69 p.; </w:t>
      </w:r>
      <w:proofErr w:type="spellStart"/>
      <w:r w:rsidRPr="00AB26D9">
        <w:t>Trombulak</w:t>
      </w:r>
      <w:proofErr w:type="spellEnd"/>
      <w:r w:rsidRPr="00AB26D9">
        <w:t xml:space="preserve">, S.C. &amp; </w:t>
      </w:r>
      <w:proofErr w:type="spellStart"/>
      <w:r w:rsidRPr="00AB26D9">
        <w:t>Frissell</w:t>
      </w:r>
      <w:proofErr w:type="spellEnd"/>
      <w:r w:rsidRPr="00AB26D9">
        <w:t xml:space="preserve">, C.A. 2000; </w:t>
      </w:r>
      <w:r w:rsidRPr="00AB26D9">
        <w:rPr>
          <w:rFonts w:cs="TimesLTStd-Bold"/>
          <w:color w:val="000000"/>
        </w:rPr>
        <w:t>Everest, F</w:t>
      </w:r>
      <w:r>
        <w:rPr>
          <w:rFonts w:cs="TimesLTStd-Bold"/>
          <w:color w:val="000000"/>
        </w:rPr>
        <w:t>.</w:t>
      </w:r>
      <w:r w:rsidRPr="00AB26D9">
        <w:rPr>
          <w:rFonts w:cs="TimesLTStd-Bold"/>
          <w:color w:val="000000"/>
        </w:rPr>
        <w:t xml:space="preserve"> H.</w:t>
      </w:r>
      <w:r>
        <w:rPr>
          <w:rFonts w:cs="TimesLTStd-Bold"/>
          <w:color w:val="000000"/>
        </w:rPr>
        <w:t xml:space="preserve"> &amp; G.H.</w:t>
      </w:r>
      <w:r w:rsidRPr="00AB26D9">
        <w:rPr>
          <w:rFonts w:cs="TimesLTStd-Bold"/>
          <w:color w:val="000000"/>
        </w:rPr>
        <w:t xml:space="preserve"> Reeves. 2006</w:t>
      </w:r>
      <w:r w:rsidRPr="00AB26D9">
        <w:rPr>
          <w:rFonts w:cs="TimesLTStd-Roman"/>
          <w:color w:val="000000"/>
        </w:rPr>
        <w:t>.</w:t>
      </w:r>
    </w:p>
  </w:footnote>
  <w:footnote w:id="110">
    <w:p w14:paraId="02A269A1" w14:textId="77777777" w:rsidR="00E8407A" w:rsidRPr="00AF0A0D" w:rsidRDefault="00E8407A" w:rsidP="00E8407A">
      <w:pPr>
        <w:pStyle w:val="FootnoteText"/>
        <w:rPr>
          <w:rFonts w:cs="TimesLTStd-Roman"/>
          <w:color w:val="000000"/>
        </w:rPr>
      </w:pPr>
      <w:r>
        <w:rPr>
          <w:rStyle w:val="FootnoteReference"/>
        </w:rPr>
        <w:footnoteRef/>
      </w:r>
      <w:r>
        <w:t xml:space="preserve"> </w:t>
      </w:r>
      <w:r w:rsidRPr="00A27DAF">
        <w:rPr>
          <w:rFonts w:cs="TimesLTStd-Bold"/>
          <w:color w:val="000000"/>
        </w:rPr>
        <w:t>Everest, F</w:t>
      </w:r>
      <w:r>
        <w:rPr>
          <w:rFonts w:cs="TimesLTStd-Bold"/>
          <w:color w:val="000000"/>
        </w:rPr>
        <w:t>.</w:t>
      </w:r>
      <w:r w:rsidRPr="00A27DAF">
        <w:rPr>
          <w:rFonts w:cs="TimesLTStd-Bold"/>
          <w:color w:val="000000"/>
        </w:rPr>
        <w:t xml:space="preserve"> H.; </w:t>
      </w:r>
      <w:r>
        <w:rPr>
          <w:rFonts w:cs="TimesLTStd-Bold"/>
          <w:color w:val="000000"/>
        </w:rPr>
        <w:t xml:space="preserve">&amp; G.H. </w:t>
      </w:r>
      <w:r w:rsidRPr="00A27DAF">
        <w:rPr>
          <w:rFonts w:cs="TimesLTStd-Bold"/>
          <w:color w:val="000000"/>
        </w:rPr>
        <w:t>Reeves. 2006</w:t>
      </w:r>
      <w:r w:rsidRPr="00A27DAF">
        <w:rPr>
          <w:rFonts w:cs="TimesLTStd-Bold"/>
          <w:b/>
          <w:bCs/>
          <w:color w:val="000000"/>
        </w:rPr>
        <w:t xml:space="preserve">. </w:t>
      </w:r>
      <w:r w:rsidRPr="00A27DAF">
        <w:rPr>
          <w:rFonts w:cs="TimesLTStd-Roman"/>
          <w:color w:val="000000"/>
        </w:rPr>
        <w:t>Gen. Tech. Rep. PNW-GTR-692.</w:t>
      </w:r>
    </w:p>
  </w:footnote>
  <w:footnote w:id="111">
    <w:p w14:paraId="2BBB0029" w14:textId="77777777" w:rsidR="00E8407A" w:rsidRPr="0043730C" w:rsidRDefault="00E8407A" w:rsidP="00E8407A">
      <w:pPr>
        <w:pStyle w:val="FootnoteText"/>
      </w:pPr>
      <w:r w:rsidRPr="0043730C">
        <w:rPr>
          <w:rStyle w:val="FootnoteReference"/>
          <w:rFonts w:eastAsia="Bookman Old Style"/>
        </w:rPr>
        <w:footnoteRef/>
      </w:r>
      <w:r w:rsidRPr="0043730C">
        <w:t xml:space="preserve"> </w:t>
      </w:r>
      <w:r>
        <w:t xml:space="preserve">U.S. Forest Service. 2019. </w:t>
      </w:r>
      <w:r w:rsidRPr="0043730C">
        <w:t>Central Tongass Project D</w:t>
      </w:r>
      <w:r>
        <w:t>raft Environmental Impact Statement. R10-MB-832a; U.S. Forest Service. 2018. Prince of Wales Landscape Level Analysis FEIS.</w:t>
      </w:r>
      <w:r w:rsidRPr="0043730C">
        <w:t xml:space="preserve">  </w:t>
      </w:r>
    </w:p>
  </w:footnote>
  <w:footnote w:id="112">
    <w:p w14:paraId="4001E0FD" w14:textId="77777777" w:rsidR="00E8407A" w:rsidRDefault="00E8407A" w:rsidP="00E8407A">
      <w:pPr>
        <w:pStyle w:val="FootnoteText"/>
      </w:pPr>
      <w:r>
        <w:rPr>
          <w:rStyle w:val="FootnoteReference"/>
        </w:rPr>
        <w:footnoteRef/>
      </w:r>
      <w:r>
        <w:t xml:space="preserve"> </w:t>
      </w:r>
      <w:r w:rsidRPr="008C3BA9">
        <w:t>Al-</w:t>
      </w:r>
      <w:proofErr w:type="spellStart"/>
      <w:r w:rsidRPr="008C3BA9">
        <w:t>Chokhachy</w:t>
      </w:r>
      <w:proofErr w:type="spellEnd"/>
      <w:r w:rsidRPr="008C3BA9">
        <w:t xml:space="preserve">, R., Black, T.A., Thomas, C., </w:t>
      </w:r>
      <w:proofErr w:type="spellStart"/>
      <w:r w:rsidRPr="008C3BA9">
        <w:t>Luce</w:t>
      </w:r>
      <w:proofErr w:type="spellEnd"/>
      <w:r w:rsidRPr="008C3BA9">
        <w:t xml:space="preserve">, </w:t>
      </w:r>
      <w:proofErr w:type="spellStart"/>
      <w:r w:rsidRPr="008C3BA9">
        <w:t>C.h</w:t>
      </w:r>
      <w:proofErr w:type="spellEnd"/>
      <w:r w:rsidRPr="008C3BA9">
        <w:t xml:space="preserve">., </w:t>
      </w:r>
      <w:proofErr w:type="spellStart"/>
      <w:r w:rsidRPr="008C3BA9">
        <w:t>Rieman</w:t>
      </w:r>
      <w:proofErr w:type="spellEnd"/>
      <w:r w:rsidRPr="008C3BA9">
        <w:t xml:space="preserve">, B., </w:t>
      </w:r>
      <w:proofErr w:type="spellStart"/>
      <w:r w:rsidRPr="008C3BA9">
        <w:t>Cissel</w:t>
      </w:r>
      <w:proofErr w:type="spellEnd"/>
      <w:r w:rsidRPr="008C3BA9">
        <w:t xml:space="preserve">, R. &amp; </w:t>
      </w:r>
      <w:proofErr w:type="spellStart"/>
      <w:r w:rsidRPr="008C3BA9">
        <w:t>Kershner</w:t>
      </w:r>
      <w:proofErr w:type="spellEnd"/>
      <w:r w:rsidRPr="008C3BA9">
        <w:t>, J.L. 2016.  Linkages between unpaved roads and streambed sediment:  why context matters in directing road restoration.  Restoration Ecology 24(5): 589-598.</w:t>
      </w:r>
    </w:p>
  </w:footnote>
  <w:footnote w:id="113">
    <w:p w14:paraId="23212E51" w14:textId="77777777" w:rsidR="00E8407A" w:rsidRPr="00AF0A0D" w:rsidRDefault="00E8407A" w:rsidP="00E8407A">
      <w:pPr>
        <w:pStyle w:val="FootnoteText"/>
        <w:rPr>
          <w:rFonts w:cs="TimesLTStd-Roman"/>
        </w:rPr>
      </w:pPr>
      <w:r>
        <w:rPr>
          <w:rStyle w:val="FootnoteReference"/>
        </w:rPr>
        <w:footnoteRef/>
      </w:r>
      <w:r>
        <w:t xml:space="preserve"> </w:t>
      </w:r>
      <w:r w:rsidRPr="00A27DAF">
        <w:t>Everest, F</w:t>
      </w:r>
      <w:r>
        <w:t>.</w:t>
      </w:r>
      <w:r w:rsidRPr="00A27DAF">
        <w:t xml:space="preserve"> H.; Reeves, G</w:t>
      </w:r>
      <w:r>
        <w:t>.</w:t>
      </w:r>
      <w:r w:rsidRPr="00A27DAF">
        <w:t xml:space="preserve"> H. 2006</w:t>
      </w:r>
      <w:r w:rsidRPr="00A27DAF">
        <w:rPr>
          <w:b/>
          <w:bCs/>
        </w:rPr>
        <w:t xml:space="preserve">. </w:t>
      </w:r>
      <w:r w:rsidRPr="00A27DAF">
        <w:rPr>
          <w:rFonts w:cs="TimesLTStd-Roman"/>
        </w:rPr>
        <w:t>Gen. Tech. Rep. PNW-GTR-692.</w:t>
      </w:r>
      <w:r w:rsidRPr="00AF0A0D">
        <w:rPr>
          <w:rFonts w:cs="TimesLTStd-Roman"/>
        </w:rPr>
        <w:t xml:space="preserve"> </w:t>
      </w:r>
    </w:p>
  </w:footnote>
  <w:footnote w:id="114">
    <w:p w14:paraId="6CB37753" w14:textId="19E9966A" w:rsidR="004D68EF" w:rsidRPr="002F6C77" w:rsidRDefault="004D68EF" w:rsidP="00E8407A">
      <w:pPr>
        <w:pStyle w:val="FootnoteText"/>
      </w:pPr>
      <w:r>
        <w:rPr>
          <w:rStyle w:val="FootnoteReference"/>
        </w:rPr>
        <w:footnoteRef/>
      </w:r>
      <w:r>
        <w:t xml:space="preserve"> </w:t>
      </w:r>
      <w:r>
        <w:rPr>
          <w:i/>
          <w:iCs/>
        </w:rPr>
        <w:t xml:space="preserve">See, e.g. </w:t>
      </w:r>
      <w:r w:rsidRPr="002F6C77">
        <w:t xml:space="preserve">DC-YG-02 &amp; GL-YG-02 (referencing pre-commercial thinning in areas appropriate for future timber extraction) &amp; O-YG-01 </w:t>
      </w:r>
      <w:r w:rsidR="002F6C77">
        <w:t xml:space="preserve">&amp; </w:t>
      </w:r>
      <w:r w:rsidRPr="002F6C77">
        <w:t>-02 (directing the agency to offer increasing volumes of young-growth timber).</w:t>
      </w:r>
    </w:p>
  </w:footnote>
  <w:footnote w:id="115">
    <w:p w14:paraId="3BF5AF8D" w14:textId="77777777" w:rsidR="004D68EF" w:rsidRPr="00524B5E" w:rsidRDefault="004D68EF" w:rsidP="00E8407A">
      <w:pPr>
        <w:pStyle w:val="FootnoteText"/>
      </w:pPr>
      <w:r>
        <w:rPr>
          <w:rStyle w:val="FootnoteReference"/>
        </w:rPr>
        <w:footnoteRef/>
      </w:r>
      <w:r>
        <w:t xml:space="preserve"> </w:t>
      </w:r>
      <w:r w:rsidRPr="00BD0786">
        <w:t>O-YG-03</w:t>
      </w:r>
      <w:r>
        <w:t xml:space="preserve">; </w:t>
      </w:r>
      <w:r w:rsidRPr="00BD0786">
        <w:t>DC-YG-</w:t>
      </w:r>
      <w:r>
        <w:t>03 &amp; -</w:t>
      </w:r>
      <w:r w:rsidRPr="00BD0786">
        <w:t>04</w:t>
      </w:r>
      <w:r>
        <w:t xml:space="preserve">; </w:t>
      </w:r>
      <w:r w:rsidRPr="002779E8">
        <w:t>DC-YG-RIP-01</w:t>
      </w:r>
      <w:r>
        <w:t xml:space="preserve"> (recommending h</w:t>
      </w:r>
      <w:r w:rsidRPr="00BD0786">
        <w:t xml:space="preserve">arvesting of young-growth stands </w:t>
      </w:r>
      <w:r>
        <w:t>in riparian management areas and elsewhere</w:t>
      </w:r>
      <w:r w:rsidRPr="00BD0786">
        <w:t xml:space="preserve"> to improve or maintain fish and wildlife habitat by accelerating old-growth characteristics</w:t>
      </w:r>
      <w:r>
        <w:t>)</w:t>
      </w:r>
    </w:p>
  </w:footnote>
  <w:footnote w:id="116">
    <w:p w14:paraId="52A491DF" w14:textId="77777777" w:rsidR="00A55B2A" w:rsidRDefault="00A55B2A" w:rsidP="00E8407A">
      <w:pPr>
        <w:pStyle w:val="FootnoteText"/>
      </w:pPr>
      <w:r>
        <w:rPr>
          <w:rStyle w:val="FootnoteReference"/>
        </w:rPr>
        <w:footnoteRef/>
      </w:r>
      <w:r>
        <w:t xml:space="preserve"> Daniel, J., P. Morris &amp; D. O’Leary. 2022.  2021 Sawmill capacity and production report.  USDA Forest Service, Alaska Region.  Report to Ecosystem Planning and Natural Resources.  August 2022. https://www.fs.usda.gov/Internet/FSE_DOCUMENTS/fseprd1056341.pdf</w:t>
      </w:r>
    </w:p>
  </w:footnote>
  <w:footnote w:id="117">
    <w:p w14:paraId="0E7CE6B1" w14:textId="77777777" w:rsidR="00A55B2A" w:rsidRDefault="00A55B2A" w:rsidP="00E8407A">
      <w:pPr>
        <w:pStyle w:val="FootnoteText"/>
        <w:rPr>
          <w:i/>
          <w:iCs/>
        </w:rPr>
      </w:pPr>
      <w:r>
        <w:rPr>
          <w:rStyle w:val="FootnoteReference"/>
        </w:rPr>
        <w:footnoteRef/>
      </w:r>
      <w:r>
        <w:t xml:space="preserve"> </w:t>
      </w:r>
      <w:r>
        <w:rPr>
          <w:i/>
          <w:iCs/>
        </w:rPr>
        <w:t>Id.</w:t>
      </w:r>
    </w:p>
  </w:footnote>
  <w:footnote w:id="118">
    <w:p w14:paraId="68AABD22" w14:textId="77777777" w:rsidR="00A55B2A" w:rsidRDefault="00A55B2A" w:rsidP="00E8407A">
      <w:pPr>
        <w:pStyle w:val="FootnoteText"/>
        <w:rPr>
          <w:i/>
          <w:iCs/>
        </w:rPr>
      </w:pPr>
      <w:r>
        <w:rPr>
          <w:rStyle w:val="FootnoteReference"/>
        </w:rPr>
        <w:footnoteRef/>
      </w:r>
      <w:r>
        <w:t xml:space="preserve"> </w:t>
      </w:r>
      <w:r>
        <w:rPr>
          <w:i/>
          <w:iCs/>
        </w:rPr>
        <w:t>Id.</w:t>
      </w:r>
    </w:p>
  </w:footnote>
  <w:footnote w:id="119">
    <w:p w14:paraId="7926C153" w14:textId="77777777" w:rsidR="00A55B2A" w:rsidRDefault="00A55B2A" w:rsidP="00E8407A">
      <w:pPr>
        <w:pStyle w:val="FootnoteText"/>
        <w:rPr>
          <w:i/>
          <w:iCs/>
        </w:rPr>
      </w:pPr>
      <w:r>
        <w:rPr>
          <w:rStyle w:val="FootnoteReference"/>
        </w:rPr>
        <w:footnoteRef/>
      </w:r>
      <w:r>
        <w:t xml:space="preserve"> </w:t>
      </w:r>
      <w:r>
        <w:rPr>
          <w:i/>
          <w:iCs/>
        </w:rPr>
        <w:t>Id.</w:t>
      </w:r>
    </w:p>
  </w:footnote>
  <w:footnote w:id="120">
    <w:p w14:paraId="5ED396A5" w14:textId="77777777" w:rsidR="00A55B2A" w:rsidRDefault="00A55B2A" w:rsidP="00E8407A">
      <w:pPr>
        <w:pStyle w:val="FootnoteText"/>
      </w:pPr>
      <w:r>
        <w:rPr>
          <w:rStyle w:val="FootnoteReference"/>
        </w:rPr>
        <w:footnoteRef/>
      </w:r>
      <w:r>
        <w:t xml:space="preserve"> Prince of Wales Landscape Level Analysis FEIS at 108.</w:t>
      </w:r>
    </w:p>
  </w:footnote>
  <w:footnote w:id="121">
    <w:p w14:paraId="76471DC4" w14:textId="77777777" w:rsidR="00A55B2A" w:rsidRPr="00E8407A" w:rsidRDefault="00A55B2A" w:rsidP="00E8407A">
      <w:pPr>
        <w:pStyle w:val="FootnoteText"/>
      </w:pPr>
      <w:r w:rsidRPr="00E8407A">
        <w:rPr>
          <w:rStyle w:val="FootnoteReference"/>
          <w:color w:val="auto"/>
        </w:rPr>
        <w:footnoteRef/>
      </w:r>
      <w:r w:rsidRPr="00E8407A">
        <w:t xml:space="preserve"> </w:t>
      </w:r>
      <w:r w:rsidRPr="00E8407A">
        <w:rPr>
          <w:i/>
          <w:iCs/>
        </w:rPr>
        <w:t>Id.</w:t>
      </w:r>
      <w:r w:rsidRPr="00E8407A">
        <w:t xml:space="preserve"> at 116-17</w:t>
      </w:r>
    </w:p>
  </w:footnote>
  <w:footnote w:id="122">
    <w:p w14:paraId="214DE2A3" w14:textId="77777777" w:rsidR="00A55B2A" w:rsidRPr="00E8407A" w:rsidRDefault="00A55B2A" w:rsidP="00E8407A">
      <w:pPr>
        <w:pStyle w:val="FootnoteText"/>
      </w:pPr>
      <w:r w:rsidRPr="00E8407A">
        <w:rPr>
          <w:rStyle w:val="FootnoteReference"/>
          <w:color w:val="auto"/>
        </w:rPr>
        <w:footnoteRef/>
      </w:r>
      <w:r w:rsidRPr="00E8407A">
        <w:t xml:space="preserve"> Thomas Bay EA at 33-34 (disclosing an administrative cost of $1.8 million for 19.3 MMBF).  </w:t>
      </w:r>
    </w:p>
  </w:footnote>
  <w:footnote w:id="123">
    <w:p w14:paraId="43FC5990" w14:textId="77777777" w:rsidR="00A55B2A" w:rsidRPr="00E8407A" w:rsidRDefault="00A55B2A" w:rsidP="00E8407A">
      <w:pPr>
        <w:pStyle w:val="FootnoteText"/>
      </w:pPr>
      <w:r w:rsidRPr="00E8407A">
        <w:rPr>
          <w:rStyle w:val="FootnoteReference"/>
          <w:color w:val="auto"/>
        </w:rPr>
        <w:footnoteRef/>
      </w:r>
      <w:r w:rsidRPr="00E8407A">
        <w:t xml:space="preserve"> </w:t>
      </w:r>
      <w:hyperlink r:id="rId6" w:history="1">
        <w:r w:rsidRPr="00E8407A">
          <w:rPr>
            <w:rStyle w:val="Hyperlink"/>
            <w:rFonts w:ascii="Bookman Old Style" w:hAnsi="Bookman Old Style"/>
            <w:color w:val="auto"/>
            <w:u w:val="none"/>
          </w:rPr>
          <w:t>https://www.taxpayer.net/energy-natural-resources/upcoming-and-ongoing-taxpayer-losses-from-timber-sales-in-the-tongass-natio/</w:t>
        </w:r>
      </w:hyperlink>
      <w:r w:rsidRPr="00E8407A">
        <w:t xml:space="preserve"> ; </w:t>
      </w:r>
      <w:hyperlink r:id="rId7" w:history="1">
        <w:r w:rsidRPr="00E8407A">
          <w:rPr>
            <w:rStyle w:val="Hyperlink"/>
            <w:rFonts w:ascii="Bookman Old Style" w:hAnsi="Bookman Old Style"/>
            <w:color w:val="auto"/>
            <w:u w:val="none"/>
          </w:rPr>
          <w:t>https://www.taxpayer.net/energy-natural-resources/u-s-forest-services-tongass-timber-plan-proposes-increased-costs-for-taxpa/</w:t>
        </w:r>
      </w:hyperlink>
      <w:r w:rsidRPr="00E8407A">
        <w:t xml:space="preserve"> </w:t>
      </w:r>
    </w:p>
  </w:footnote>
  <w:footnote w:id="124">
    <w:p w14:paraId="5B5C8C90" w14:textId="77777777" w:rsidR="004D68EF" w:rsidRPr="00E8407A" w:rsidRDefault="004D68EF" w:rsidP="00E8407A">
      <w:pPr>
        <w:pStyle w:val="FootnoteText"/>
      </w:pPr>
      <w:r w:rsidRPr="00E8407A">
        <w:rPr>
          <w:rStyle w:val="FootnoteReference"/>
          <w:color w:val="auto"/>
        </w:rPr>
        <w:footnoteRef/>
      </w:r>
      <w:r w:rsidRPr="00E8407A">
        <w:t xml:space="preserve"> 40 C.F.R. § 1502.14(a); see also </w:t>
      </w:r>
      <w:r w:rsidRPr="002F6C77">
        <w:rPr>
          <w:i/>
          <w:iCs/>
        </w:rPr>
        <w:t>Barnes v. U.S. Dep’t. of Transp</w:t>
      </w:r>
      <w:r w:rsidRPr="00E8407A">
        <w:t>., 655 F.3d 1124, 1131 (9th Cir. 2011)(“Congress created NEPA to protect the environment by requiring that federal agencies carefully weigh environmental considerations and consider potential alternatives to the proposed action before the government launches any major federal action”).</w:t>
      </w:r>
    </w:p>
  </w:footnote>
  <w:footnote w:id="125">
    <w:p w14:paraId="08895013" w14:textId="77777777" w:rsidR="004D68EF" w:rsidRPr="00E8407A" w:rsidRDefault="004D68EF" w:rsidP="00E8407A">
      <w:pPr>
        <w:pStyle w:val="FootnoteText"/>
      </w:pPr>
      <w:r w:rsidRPr="00E8407A">
        <w:rPr>
          <w:rStyle w:val="FootnoteReference"/>
          <w:color w:val="auto"/>
        </w:rPr>
        <w:footnoteRef/>
      </w:r>
      <w:r w:rsidRPr="00E8407A">
        <w:t xml:space="preserve"> </w:t>
      </w:r>
      <w:r w:rsidRPr="002F6C77">
        <w:rPr>
          <w:i/>
          <w:iCs/>
        </w:rPr>
        <w:t>City of New York v. U.S. Dep’t of Transp</w:t>
      </w:r>
      <w:r w:rsidRPr="00E8407A">
        <w:t>., 715 F.2d 732, 742-742 (2nd Cir. 1981).</w:t>
      </w:r>
    </w:p>
  </w:footnote>
  <w:footnote w:id="126">
    <w:p w14:paraId="16D1A1A0" w14:textId="77777777" w:rsidR="004D68EF" w:rsidRPr="00E8407A" w:rsidRDefault="004D68EF" w:rsidP="00E8407A">
      <w:pPr>
        <w:pStyle w:val="FootnoteText"/>
      </w:pPr>
      <w:r w:rsidRPr="00E8407A">
        <w:rPr>
          <w:rStyle w:val="FootnoteReference"/>
          <w:color w:val="auto"/>
        </w:rPr>
        <w:footnoteRef/>
      </w:r>
      <w:r w:rsidRPr="00E8407A">
        <w:t xml:space="preserve"> </w:t>
      </w:r>
      <w:proofErr w:type="spellStart"/>
      <w:r w:rsidRPr="002F6C77">
        <w:rPr>
          <w:i/>
          <w:iCs/>
        </w:rPr>
        <w:t>Westlands</w:t>
      </w:r>
      <w:proofErr w:type="spellEnd"/>
      <w:r w:rsidRPr="002F6C77">
        <w:rPr>
          <w:i/>
          <w:iCs/>
        </w:rPr>
        <w:t xml:space="preserve"> Water Dist. V. U.S. Dep’t of Interior</w:t>
      </w:r>
      <w:r w:rsidRPr="00E8407A">
        <w:t xml:space="preserve">, 376 F.3d 853, 872 (9th Cir. 2004)(citations omitted).  </w:t>
      </w:r>
    </w:p>
  </w:footnote>
  <w:footnote w:id="127">
    <w:p w14:paraId="03323DDD" w14:textId="77777777" w:rsidR="004D68EF" w:rsidRPr="00E8407A" w:rsidRDefault="004D68EF" w:rsidP="00E8407A">
      <w:pPr>
        <w:pStyle w:val="FootnoteText"/>
      </w:pPr>
      <w:r w:rsidRPr="00E8407A">
        <w:rPr>
          <w:rStyle w:val="FootnoteReference"/>
          <w:color w:val="auto"/>
        </w:rPr>
        <w:footnoteRef/>
      </w:r>
      <w:r w:rsidRPr="00E8407A">
        <w:t xml:space="preserve"> </w:t>
      </w:r>
      <w:r w:rsidRPr="00E8407A">
        <w:rPr>
          <w:i/>
          <w:iCs/>
        </w:rPr>
        <w:t>Id.</w:t>
      </w:r>
      <w:r w:rsidRPr="00E8407A">
        <w:t xml:space="preserve"> at 868; </w:t>
      </w:r>
      <w:r w:rsidRPr="002F6C77">
        <w:rPr>
          <w:i/>
          <w:iCs/>
        </w:rPr>
        <w:t>Vermont Yankee Nuclear Power Corp. v. NRDC</w:t>
      </w:r>
      <w:r w:rsidRPr="00E8407A">
        <w:t>, 435 U.S. 519, 551 (1978).</w:t>
      </w:r>
    </w:p>
  </w:footnote>
  <w:footnote w:id="128">
    <w:p w14:paraId="397BE662" w14:textId="77777777" w:rsidR="004D68EF" w:rsidRPr="00E8407A" w:rsidRDefault="004D68EF" w:rsidP="00E8407A">
      <w:pPr>
        <w:pStyle w:val="FootnoteText"/>
      </w:pPr>
      <w:r w:rsidRPr="00E8407A">
        <w:rPr>
          <w:rStyle w:val="FootnoteReference"/>
          <w:color w:val="auto"/>
        </w:rPr>
        <w:footnoteRef/>
      </w:r>
      <w:r w:rsidRPr="00E8407A">
        <w:t xml:space="preserve"> </w:t>
      </w:r>
      <w:r w:rsidRPr="002F6C77">
        <w:rPr>
          <w:i/>
          <w:iCs/>
        </w:rPr>
        <w:t>New Mexico ex rel. Richardson</w:t>
      </w:r>
      <w:r w:rsidRPr="00E8407A">
        <w:t>, 565 F.3d 683, 708 (10th Cir. 2009)(citations omitted).</w:t>
      </w:r>
    </w:p>
  </w:footnote>
  <w:footnote w:id="129">
    <w:p w14:paraId="6141FFB0" w14:textId="77777777" w:rsidR="004D68EF" w:rsidRPr="00E8407A" w:rsidRDefault="004D68EF" w:rsidP="00E8407A">
      <w:pPr>
        <w:pStyle w:val="FootnoteText"/>
      </w:pPr>
      <w:r w:rsidRPr="00E8407A">
        <w:rPr>
          <w:rStyle w:val="FootnoteReference"/>
          <w:color w:val="auto"/>
        </w:rPr>
        <w:footnoteRef/>
      </w:r>
      <w:r w:rsidRPr="00E8407A">
        <w:t xml:space="preserve"> </w:t>
      </w:r>
      <w:r w:rsidRPr="00E8407A">
        <w:rPr>
          <w:i/>
          <w:iCs/>
        </w:rPr>
        <w:t>Curry v. Forest Service</w:t>
      </w:r>
      <w:r w:rsidRPr="00E8407A">
        <w:t>, 988 F.Supp. 541, 553 (W.D. Penn. 1997).</w:t>
      </w:r>
    </w:p>
  </w:footnote>
  <w:footnote w:id="130">
    <w:p w14:paraId="3BFAFBB9" w14:textId="77777777" w:rsidR="004D68EF" w:rsidRDefault="004D68EF" w:rsidP="008B0F65">
      <w:pPr>
        <w:pStyle w:val="FootnoteText"/>
      </w:pPr>
      <w:r>
        <w:rPr>
          <w:rStyle w:val="FootnoteReference"/>
        </w:rPr>
        <w:footnoteRef/>
      </w:r>
      <w:r>
        <w:t xml:space="preserve"> </w:t>
      </w:r>
      <w:r>
        <w:rPr>
          <w:i/>
          <w:szCs w:val="22"/>
        </w:rPr>
        <w:t xml:space="preserve">Id. </w:t>
      </w:r>
      <w:r>
        <w:rPr>
          <w:iCs/>
          <w:szCs w:val="22"/>
        </w:rPr>
        <w:t>at</w:t>
      </w:r>
      <w:r>
        <w:rPr>
          <w:szCs w:val="22"/>
        </w:rPr>
        <w:t xml:space="preserve"> 553-554.</w:t>
      </w:r>
    </w:p>
  </w:footnote>
  <w:footnote w:id="131">
    <w:p w14:paraId="2697BA8E" w14:textId="77777777" w:rsidR="004D68EF" w:rsidRPr="00B92818" w:rsidRDefault="004D68EF" w:rsidP="006D527E">
      <w:pPr>
        <w:pStyle w:val="FootnoteText"/>
      </w:pPr>
      <w:r>
        <w:rPr>
          <w:rStyle w:val="FootnoteReference"/>
        </w:rPr>
        <w:footnoteRef/>
      </w:r>
      <w:r>
        <w:t xml:space="preserve"> </w:t>
      </w:r>
      <w:r>
        <w:rPr>
          <w:i/>
          <w:iCs/>
        </w:rPr>
        <w:t xml:space="preserve">See </w:t>
      </w:r>
      <w:r w:rsidRPr="004C1E63">
        <w:rPr>
          <w:i/>
          <w:iCs/>
        </w:rPr>
        <w:t xml:space="preserve">Conservation Congress v. U.S. Forest Service, </w:t>
      </w:r>
      <w:r w:rsidRPr="004C1E63">
        <w:t>235 F.Supp.3d 1189</w:t>
      </w:r>
      <w:r>
        <w:t>, 1210-12</w:t>
      </w:r>
      <w:r w:rsidRPr="004C1E63">
        <w:t xml:space="preserve"> (E.D. Cal. 2017)</w:t>
      </w:r>
      <w:r>
        <w:t xml:space="preserve">(ruling that the Forest Service violated NEPA by considering only the proposed action and no action alternative and failing to consider an alternative that would have preserved more large diameter trees);  </w:t>
      </w:r>
      <w:r>
        <w:rPr>
          <w:i/>
          <w:iCs/>
        </w:rPr>
        <w:t xml:space="preserve">Oregon Wild v. Bureau of Land Management, </w:t>
      </w:r>
      <w:r>
        <w:t>Case No. 6:14-CV-0110AA (D. Or. 2015)(</w:t>
      </w:r>
      <w:r w:rsidRPr="006D527E">
        <w:t xml:space="preserve"> (rejecting the agency’s contention that it only needed to consider one alternative with less environmental impact than the proposed project and ruling that the agency violated NEPA by failing to consider an alternative that retained a higher volume of older and larger trees).  </w:t>
      </w:r>
    </w:p>
  </w:footnote>
  <w:footnote w:id="132">
    <w:p w14:paraId="25DCA4F7" w14:textId="77777777" w:rsidR="004D68EF" w:rsidRDefault="004D68EF" w:rsidP="00DB0A27">
      <w:pPr>
        <w:pStyle w:val="FootnoteText"/>
      </w:pPr>
      <w:r>
        <w:rPr>
          <w:rStyle w:val="FootnoteReference"/>
        </w:rPr>
        <w:footnoteRef/>
      </w:r>
      <w:r>
        <w:t xml:space="preserve"> </w:t>
      </w:r>
      <w:r w:rsidRPr="00A50A2F">
        <w:rPr>
          <w:i/>
          <w:iCs/>
        </w:rPr>
        <w:t xml:space="preserve">See </w:t>
      </w:r>
      <w:r w:rsidRPr="00A50A2F">
        <w:t xml:space="preserve">16 U.S.C. § 1604(g)(3); </w:t>
      </w:r>
      <w:r w:rsidRPr="00A50A2F">
        <w:rPr>
          <w:i/>
          <w:iCs/>
        </w:rPr>
        <w:t>Avers v. Espy</w:t>
      </w:r>
      <w:r w:rsidRPr="00A50A2F">
        <w:t xml:space="preserve">, 873 F.Supp.455 (D. Colo. 1994); </w:t>
      </w:r>
      <w:r w:rsidRPr="00A50A2F">
        <w:rPr>
          <w:i/>
        </w:rPr>
        <w:t xml:space="preserve">Curry v. Forest Service, </w:t>
      </w:r>
      <w:r w:rsidRPr="00A50A2F">
        <w:t>988 F.Supp. 541, 554 (W.D. Penn. 1997).</w:t>
      </w:r>
    </w:p>
  </w:footnote>
  <w:footnote w:id="133">
    <w:p w14:paraId="1CB1673B" w14:textId="77777777" w:rsidR="004D68EF" w:rsidRDefault="004D68EF" w:rsidP="00F417CA">
      <w:pPr>
        <w:pStyle w:val="FootnoteText"/>
      </w:pPr>
      <w:r>
        <w:rPr>
          <w:rStyle w:val="FootnoteReference"/>
        </w:rPr>
        <w:footnoteRef/>
      </w:r>
      <w:r>
        <w:t xml:space="preserve"> Forest Plan at 4-68.</w:t>
      </w:r>
    </w:p>
  </w:footnote>
  <w:footnote w:id="134">
    <w:p w14:paraId="5CD2118E" w14:textId="77777777" w:rsidR="004D68EF" w:rsidRPr="00A50A2F" w:rsidRDefault="004D68EF" w:rsidP="00F417CA">
      <w:pPr>
        <w:pStyle w:val="FootnoteText"/>
      </w:pPr>
      <w:r>
        <w:rPr>
          <w:rStyle w:val="FootnoteReference"/>
        </w:rPr>
        <w:footnoteRef/>
      </w:r>
      <w:r>
        <w:t xml:space="preserve"> </w:t>
      </w:r>
      <w:r w:rsidRPr="00C456B5">
        <w:t>Central Tongass Project Draft Environmental Impact Statement</w:t>
      </w:r>
      <w:r>
        <w:t xml:space="preserve"> at 3-230</w:t>
      </w:r>
      <w:r w:rsidRPr="00C456B5">
        <w:t>.</w:t>
      </w:r>
    </w:p>
  </w:footnote>
  <w:footnote w:id="135">
    <w:p w14:paraId="01F86D99" w14:textId="77777777" w:rsidR="004D68EF" w:rsidRPr="00D11853" w:rsidRDefault="004D68EF" w:rsidP="00F417CA">
      <w:pPr>
        <w:pStyle w:val="FootnoteText"/>
      </w:pPr>
      <w:r>
        <w:rPr>
          <w:rStyle w:val="FootnoteReference"/>
        </w:rPr>
        <w:footnoteRef/>
      </w:r>
      <w:r>
        <w:t xml:space="preserve"> </w:t>
      </w:r>
      <w:r>
        <w:rPr>
          <w:i/>
          <w:iCs/>
        </w:rPr>
        <w:t xml:space="preserve">Id. </w:t>
      </w:r>
      <w:r>
        <w:t>at 3-233.</w:t>
      </w:r>
    </w:p>
  </w:footnote>
  <w:footnote w:id="136">
    <w:p w14:paraId="32914779" w14:textId="77777777" w:rsidR="004D68EF" w:rsidRPr="00F417CA" w:rsidRDefault="004D68EF" w:rsidP="00F417CA">
      <w:pPr>
        <w:pStyle w:val="FootnoteText"/>
        <w:rPr>
          <w:rFonts w:ascii="Arial" w:hAnsi="Arial" w:cs="Arial"/>
          <w:sz w:val="32"/>
          <w:szCs w:val="32"/>
        </w:rPr>
      </w:pPr>
      <w:r>
        <w:rPr>
          <w:rStyle w:val="FootnoteReference"/>
        </w:rPr>
        <w:footnoteRef/>
      </w:r>
      <w:r>
        <w:t xml:space="preserve"> </w:t>
      </w:r>
      <w:r w:rsidRPr="00675465">
        <w:t>Wolf Technical Committee. 2017. Interagency Wolf Habitat Management Program: Recommendations for Game Management Unit 2</w:t>
      </w:r>
      <w:r>
        <w:t xml:space="preserve"> at 14</w:t>
      </w:r>
      <w:r w:rsidRPr="00675465">
        <w:t xml:space="preserve">. Management Bulletin R10-MB-822. USDA Forest Service, USDI Fish and Wildlife Service, and Alaska Department of Fish and Game. </w:t>
      </w:r>
    </w:p>
  </w:footnote>
  <w:footnote w:id="137">
    <w:p w14:paraId="0A6FABFA" w14:textId="77777777" w:rsidR="004D68EF" w:rsidRDefault="004D68EF" w:rsidP="00F417CA">
      <w:pPr>
        <w:pStyle w:val="FootnoteText"/>
      </w:pPr>
      <w:r>
        <w:rPr>
          <w:rStyle w:val="FootnoteReference"/>
        </w:rPr>
        <w:footnoteRef/>
      </w:r>
      <w:r>
        <w:t xml:space="preserve"> </w:t>
      </w:r>
      <w:proofErr w:type="spellStart"/>
      <w:r>
        <w:t>Bennetson</w:t>
      </w:r>
      <w:proofErr w:type="spellEnd"/>
      <w:r>
        <w:t>, B. 2020.  Tongass National Forest young-growth management guidelines for stands with a wildlife management objective.  Exh. 3 of the Tongass Young-Growth Management Strategy, USDA Forest Service, Tongass National Forest, Juneau, AK. 86 pp.</w:t>
      </w:r>
    </w:p>
  </w:footnote>
  <w:footnote w:id="138">
    <w:p w14:paraId="79255714" w14:textId="77777777" w:rsidR="004D68EF" w:rsidRDefault="004D68EF" w:rsidP="00F417CA">
      <w:pPr>
        <w:pStyle w:val="FootnoteText"/>
      </w:pPr>
      <w:r>
        <w:rPr>
          <w:rStyle w:val="FootnoteReference"/>
        </w:rPr>
        <w:footnoteRef/>
      </w:r>
      <w:r>
        <w:t xml:space="preserve"> </w:t>
      </w:r>
      <w:r>
        <w:rPr>
          <w:i/>
          <w:iCs/>
        </w:rPr>
        <w:t>Id.</w:t>
      </w:r>
    </w:p>
  </w:footnote>
  <w:footnote w:id="139">
    <w:p w14:paraId="288AA27D" w14:textId="77777777" w:rsidR="004D68EF" w:rsidRPr="0096304E" w:rsidRDefault="004D68EF" w:rsidP="00F417CA">
      <w:pPr>
        <w:pStyle w:val="FootnoteText"/>
      </w:pPr>
      <w:r>
        <w:rPr>
          <w:rStyle w:val="FootnoteReference"/>
        </w:rPr>
        <w:footnoteRef/>
      </w:r>
      <w:r>
        <w:t xml:space="preserve"> </w:t>
      </w:r>
      <w:r w:rsidRPr="0096304E">
        <w:rPr>
          <w:rFonts w:cs="Arial"/>
          <w:color w:val="222222"/>
          <w:shd w:val="clear" w:color="auto" w:fill="FFFFFF"/>
        </w:rPr>
        <w:t>Hanley, T.A., 1984. </w:t>
      </w:r>
      <w:r w:rsidRPr="0096304E">
        <w:rPr>
          <w:rFonts w:cs="Arial"/>
          <w:i/>
          <w:iCs/>
          <w:color w:val="222222"/>
          <w:shd w:val="clear" w:color="auto" w:fill="FFFFFF"/>
        </w:rPr>
        <w:t>Relationships between Sitka black-tailed deer and their habitat</w:t>
      </w:r>
      <w:r w:rsidRPr="0096304E">
        <w:rPr>
          <w:rFonts w:cs="Arial"/>
          <w:color w:val="222222"/>
          <w:shd w:val="clear" w:color="auto" w:fill="FFFFFF"/>
        </w:rPr>
        <w:t> (Vol. 168). US Department of Agriculture, Forest Service, Pacific Northwest Forest and Range Experiment Station.</w:t>
      </w:r>
    </w:p>
  </w:footnote>
  <w:footnote w:id="140">
    <w:p w14:paraId="69885193" w14:textId="77777777" w:rsidR="004D68EF" w:rsidRDefault="004D68EF" w:rsidP="00F417CA">
      <w:pPr>
        <w:pStyle w:val="FootnoteText"/>
      </w:pPr>
      <w:r>
        <w:rPr>
          <w:rStyle w:val="FootnoteReference"/>
        </w:rPr>
        <w:footnoteRef/>
      </w:r>
      <w:r>
        <w:t xml:space="preserve"> </w:t>
      </w:r>
      <w:r>
        <w:rPr>
          <w:i/>
          <w:iCs/>
        </w:rPr>
        <w:t>Id.</w:t>
      </w:r>
      <w:r>
        <w:t xml:space="preserve"> </w:t>
      </w:r>
    </w:p>
  </w:footnote>
  <w:footnote w:id="141">
    <w:p w14:paraId="3630553F" w14:textId="77777777" w:rsidR="0004452C" w:rsidRDefault="0004452C" w:rsidP="00E8407A">
      <w:pPr>
        <w:pStyle w:val="FootnoteText"/>
      </w:pPr>
      <w:r>
        <w:rPr>
          <w:rStyle w:val="FootnoteReference"/>
        </w:rPr>
        <w:footnoteRef/>
      </w:r>
      <w:r>
        <w:t xml:space="preserve"> </w:t>
      </w:r>
      <w:proofErr w:type="spellStart"/>
      <w:r>
        <w:t>Harrop</w:t>
      </w:r>
      <w:proofErr w:type="spellEnd"/>
      <w:r>
        <w:t>-Archibald, H. 2014.</w:t>
      </w:r>
    </w:p>
  </w:footnote>
  <w:footnote w:id="142">
    <w:p w14:paraId="590D699B" w14:textId="77777777" w:rsidR="0004452C" w:rsidRDefault="0004452C" w:rsidP="00E8407A">
      <w:pPr>
        <w:pStyle w:val="FootnoteText"/>
      </w:pPr>
      <w:r>
        <w:rPr>
          <w:rStyle w:val="FootnoteReference"/>
        </w:rPr>
        <w:footnoteRef/>
      </w:r>
      <w:r>
        <w:t xml:space="preserve"> USDA Forest Service. 2020.  Forestry as a Natural Climate Solution:  The positive outcomes of negative carbon emissions.  Science Findings 225/March 2020.  Pacific Northwest Research Station, Portland, OR.</w:t>
      </w:r>
    </w:p>
  </w:footnote>
  <w:footnote w:id="143">
    <w:p w14:paraId="7299485B" w14:textId="77777777" w:rsidR="0004452C" w:rsidRDefault="0004452C" w:rsidP="00E8407A">
      <w:pPr>
        <w:pStyle w:val="FootnoteText"/>
        <w:rPr>
          <w:i/>
          <w:iCs/>
        </w:rPr>
      </w:pPr>
      <w:r>
        <w:rPr>
          <w:rStyle w:val="FootnoteReference"/>
        </w:rPr>
        <w:footnoteRef/>
      </w:r>
      <w:r>
        <w:t xml:space="preserve"> </w:t>
      </w:r>
      <w:r>
        <w:rPr>
          <w:i/>
          <w:iCs/>
        </w:rPr>
        <w:t>Id.</w:t>
      </w:r>
    </w:p>
  </w:footnote>
  <w:footnote w:id="144">
    <w:p w14:paraId="47A98273" w14:textId="77777777" w:rsidR="0004452C" w:rsidRDefault="0004452C" w:rsidP="00E8407A">
      <w:pPr>
        <w:pStyle w:val="FootnoteText"/>
        <w:rPr>
          <w:rFonts w:cs="Arial"/>
          <w:shd w:val="clear" w:color="auto" w:fill="FFFFFF"/>
        </w:rPr>
      </w:pPr>
      <w:r>
        <w:rPr>
          <w:rStyle w:val="FootnoteReference"/>
        </w:rPr>
        <w:footnoteRef/>
      </w:r>
      <w:r>
        <w:t xml:space="preserve"> </w:t>
      </w:r>
      <w:r>
        <w:rPr>
          <w:rFonts w:cs="Arial"/>
          <w:shd w:val="clear" w:color="auto" w:fill="FFFFFF"/>
        </w:rPr>
        <w:t xml:space="preserve">Moomaw, W.R., </w:t>
      </w:r>
      <w:proofErr w:type="spellStart"/>
      <w:r>
        <w:rPr>
          <w:rFonts w:cs="Arial"/>
          <w:shd w:val="clear" w:color="auto" w:fill="FFFFFF"/>
        </w:rPr>
        <w:t>Masino</w:t>
      </w:r>
      <w:proofErr w:type="spellEnd"/>
      <w:r>
        <w:rPr>
          <w:rFonts w:cs="Arial"/>
          <w:shd w:val="clear" w:color="auto" w:fill="FFFFFF"/>
        </w:rPr>
        <w:t>, S.A. and Faison, E.K., 2019. Intact forests in the United States: Proforestation mitigates climate change and serves the greatest good. </w:t>
      </w:r>
      <w:r>
        <w:rPr>
          <w:rFonts w:cs="Arial"/>
          <w:i/>
          <w:iCs/>
          <w:shd w:val="clear" w:color="auto" w:fill="FFFFFF"/>
        </w:rPr>
        <w:t>Frontiers in Forests and Global Change</w:t>
      </w:r>
      <w:r>
        <w:rPr>
          <w:rFonts w:cs="Arial"/>
          <w:shd w:val="clear" w:color="auto" w:fill="FFFFFF"/>
        </w:rPr>
        <w:t>, </w:t>
      </w:r>
      <w:r>
        <w:rPr>
          <w:rFonts w:cs="Arial"/>
          <w:i/>
          <w:iCs/>
          <w:shd w:val="clear" w:color="auto" w:fill="FFFFFF"/>
        </w:rPr>
        <w:t>2</w:t>
      </w:r>
      <w:r>
        <w:rPr>
          <w:rFonts w:cs="Arial"/>
          <w:shd w:val="clear" w:color="auto" w:fill="FFFFFF"/>
        </w:rPr>
        <w:t>, p.27.</w:t>
      </w:r>
    </w:p>
  </w:footnote>
  <w:footnote w:id="145">
    <w:p w14:paraId="4CFE5263" w14:textId="3682DBAA" w:rsidR="0004452C" w:rsidRDefault="0004452C" w:rsidP="00E8407A">
      <w:pPr>
        <w:pStyle w:val="FootnoteText"/>
      </w:pPr>
      <w:r>
        <w:rPr>
          <w:rStyle w:val="FootnoteReference"/>
        </w:rPr>
        <w:footnoteRef/>
      </w:r>
      <w:r>
        <w:t xml:space="preserve"> </w:t>
      </w:r>
      <w:r>
        <w:rPr>
          <w:rFonts w:cs="Arial"/>
          <w:i/>
          <w:iCs/>
          <w:shd w:val="clear" w:color="auto" w:fill="FFFFFF"/>
        </w:rPr>
        <w:t>Id.</w:t>
      </w:r>
      <w:r>
        <w:rPr>
          <w:rFonts w:cs="Arial"/>
          <w:shd w:val="clear" w:color="auto" w:fill="FFFFFF"/>
        </w:rPr>
        <w:t xml:space="preserve">; </w:t>
      </w:r>
      <w:r>
        <w:t>Moomaw, W.R., B.E. Law &amp; S.J. Goetz. 2020.</w:t>
      </w:r>
    </w:p>
  </w:footnote>
  <w:footnote w:id="146">
    <w:p w14:paraId="53AB8D49" w14:textId="77777777" w:rsidR="0004452C" w:rsidRDefault="0004452C" w:rsidP="00E8407A">
      <w:pPr>
        <w:pStyle w:val="FootnoteText"/>
        <w:rPr>
          <w:rFonts w:cs="Arial"/>
          <w:shd w:val="clear" w:color="auto" w:fill="FFFFFF"/>
        </w:rPr>
      </w:pPr>
      <w:r>
        <w:rPr>
          <w:rStyle w:val="FootnoteReference"/>
        </w:rPr>
        <w:footnoteRef/>
      </w:r>
      <w:r>
        <w:t xml:space="preserve"> </w:t>
      </w:r>
      <w:r>
        <w:rPr>
          <w:rFonts w:cs="Arial"/>
          <w:shd w:val="clear" w:color="auto" w:fill="FFFFFF"/>
        </w:rPr>
        <w:t xml:space="preserve">Moomaw, W.R., </w:t>
      </w:r>
      <w:proofErr w:type="spellStart"/>
      <w:r>
        <w:rPr>
          <w:rFonts w:cs="Arial"/>
          <w:shd w:val="clear" w:color="auto" w:fill="FFFFFF"/>
        </w:rPr>
        <w:t>Masino</w:t>
      </w:r>
      <w:proofErr w:type="spellEnd"/>
      <w:r>
        <w:rPr>
          <w:rFonts w:cs="Arial"/>
          <w:shd w:val="clear" w:color="auto" w:fill="FFFFFF"/>
        </w:rPr>
        <w:t>, S.A. and Faison, E.K., 2019.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F1EE0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392D43"/>
    <w:multiLevelType w:val="hybridMultilevel"/>
    <w:tmpl w:val="5FEA22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F33E3B"/>
    <w:multiLevelType w:val="hybridMultilevel"/>
    <w:tmpl w:val="80D63A40"/>
    <w:lvl w:ilvl="0" w:tplc="F73AF834">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DCC"/>
    <w:rsid w:val="000016B5"/>
    <w:rsid w:val="00001700"/>
    <w:rsid w:val="00002CC9"/>
    <w:rsid w:val="00005F79"/>
    <w:rsid w:val="00007498"/>
    <w:rsid w:val="00023B74"/>
    <w:rsid w:val="000254DA"/>
    <w:rsid w:val="0002703C"/>
    <w:rsid w:val="00030D89"/>
    <w:rsid w:val="00030DDD"/>
    <w:rsid w:val="00032180"/>
    <w:rsid w:val="00034EDB"/>
    <w:rsid w:val="000421A0"/>
    <w:rsid w:val="0004452C"/>
    <w:rsid w:val="00044FA9"/>
    <w:rsid w:val="000511D8"/>
    <w:rsid w:val="00051A8F"/>
    <w:rsid w:val="00051DF0"/>
    <w:rsid w:val="0005543D"/>
    <w:rsid w:val="00055880"/>
    <w:rsid w:val="0005636F"/>
    <w:rsid w:val="00060CEE"/>
    <w:rsid w:val="000641C8"/>
    <w:rsid w:val="00064549"/>
    <w:rsid w:val="000649BD"/>
    <w:rsid w:val="0007148D"/>
    <w:rsid w:val="000735E3"/>
    <w:rsid w:val="00074BEA"/>
    <w:rsid w:val="00075CE5"/>
    <w:rsid w:val="00077CA8"/>
    <w:rsid w:val="000803A3"/>
    <w:rsid w:val="00083798"/>
    <w:rsid w:val="00083CA7"/>
    <w:rsid w:val="000847A7"/>
    <w:rsid w:val="00085B8D"/>
    <w:rsid w:val="00087FB9"/>
    <w:rsid w:val="0009059C"/>
    <w:rsid w:val="0009228A"/>
    <w:rsid w:val="000929BD"/>
    <w:rsid w:val="000A0273"/>
    <w:rsid w:val="000A1DC0"/>
    <w:rsid w:val="000A3E02"/>
    <w:rsid w:val="000A7978"/>
    <w:rsid w:val="000B6DE5"/>
    <w:rsid w:val="000B7546"/>
    <w:rsid w:val="000C3070"/>
    <w:rsid w:val="000C3C07"/>
    <w:rsid w:val="000C730C"/>
    <w:rsid w:val="000D06A8"/>
    <w:rsid w:val="000D1414"/>
    <w:rsid w:val="000D7E7A"/>
    <w:rsid w:val="000E02DD"/>
    <w:rsid w:val="000E79D2"/>
    <w:rsid w:val="000F11CA"/>
    <w:rsid w:val="000F1E43"/>
    <w:rsid w:val="000F2B1A"/>
    <w:rsid w:val="000F464C"/>
    <w:rsid w:val="000F50D6"/>
    <w:rsid w:val="000F64D1"/>
    <w:rsid w:val="00102BEF"/>
    <w:rsid w:val="001039B7"/>
    <w:rsid w:val="00115FBC"/>
    <w:rsid w:val="00116A61"/>
    <w:rsid w:val="0011711F"/>
    <w:rsid w:val="0012030B"/>
    <w:rsid w:val="00120C2E"/>
    <w:rsid w:val="00124CC9"/>
    <w:rsid w:val="00124CFE"/>
    <w:rsid w:val="001253E2"/>
    <w:rsid w:val="00125C32"/>
    <w:rsid w:val="00125D08"/>
    <w:rsid w:val="00127383"/>
    <w:rsid w:val="00127A14"/>
    <w:rsid w:val="00131165"/>
    <w:rsid w:val="0013659B"/>
    <w:rsid w:val="00137306"/>
    <w:rsid w:val="001440E3"/>
    <w:rsid w:val="0014460D"/>
    <w:rsid w:val="001459CD"/>
    <w:rsid w:val="00146846"/>
    <w:rsid w:val="00152B29"/>
    <w:rsid w:val="001538C9"/>
    <w:rsid w:val="00154A8C"/>
    <w:rsid w:val="001554CD"/>
    <w:rsid w:val="001559D7"/>
    <w:rsid w:val="00160DD2"/>
    <w:rsid w:val="00162379"/>
    <w:rsid w:val="001625F4"/>
    <w:rsid w:val="00165B8B"/>
    <w:rsid w:val="00170B56"/>
    <w:rsid w:val="001747B9"/>
    <w:rsid w:val="00177F4F"/>
    <w:rsid w:val="00181DC2"/>
    <w:rsid w:val="001844A9"/>
    <w:rsid w:val="00190470"/>
    <w:rsid w:val="00190F33"/>
    <w:rsid w:val="001A0DCC"/>
    <w:rsid w:val="001A3056"/>
    <w:rsid w:val="001A3CF0"/>
    <w:rsid w:val="001A438B"/>
    <w:rsid w:val="001A50E3"/>
    <w:rsid w:val="001B0863"/>
    <w:rsid w:val="001B3FC6"/>
    <w:rsid w:val="001B46F6"/>
    <w:rsid w:val="001B7088"/>
    <w:rsid w:val="001C1615"/>
    <w:rsid w:val="001C687E"/>
    <w:rsid w:val="001C69EB"/>
    <w:rsid w:val="001C7B61"/>
    <w:rsid w:val="001D192B"/>
    <w:rsid w:val="001D30EB"/>
    <w:rsid w:val="001D51FC"/>
    <w:rsid w:val="001D5CBD"/>
    <w:rsid w:val="001D68E1"/>
    <w:rsid w:val="001D7F99"/>
    <w:rsid w:val="001E21C9"/>
    <w:rsid w:val="001E33AB"/>
    <w:rsid w:val="001E3B12"/>
    <w:rsid w:val="001E6C40"/>
    <w:rsid w:val="001F0A6C"/>
    <w:rsid w:val="001F1EC8"/>
    <w:rsid w:val="001F2135"/>
    <w:rsid w:val="001F3540"/>
    <w:rsid w:val="001F496B"/>
    <w:rsid w:val="001F6531"/>
    <w:rsid w:val="00200580"/>
    <w:rsid w:val="00200E0B"/>
    <w:rsid w:val="00201430"/>
    <w:rsid w:val="00202976"/>
    <w:rsid w:val="00202E28"/>
    <w:rsid w:val="0020720B"/>
    <w:rsid w:val="0021092B"/>
    <w:rsid w:val="002114F6"/>
    <w:rsid w:val="00211EE8"/>
    <w:rsid w:val="0021289C"/>
    <w:rsid w:val="00214287"/>
    <w:rsid w:val="002148DE"/>
    <w:rsid w:val="00215C70"/>
    <w:rsid w:val="00220E7F"/>
    <w:rsid w:val="00221CF3"/>
    <w:rsid w:val="0022486E"/>
    <w:rsid w:val="00227ED7"/>
    <w:rsid w:val="00240631"/>
    <w:rsid w:val="002420DE"/>
    <w:rsid w:val="00243C49"/>
    <w:rsid w:val="002472A5"/>
    <w:rsid w:val="00247FAD"/>
    <w:rsid w:val="00251051"/>
    <w:rsid w:val="00252A83"/>
    <w:rsid w:val="00253F67"/>
    <w:rsid w:val="00255228"/>
    <w:rsid w:val="00264B7D"/>
    <w:rsid w:val="00264E36"/>
    <w:rsid w:val="002656F4"/>
    <w:rsid w:val="002658AA"/>
    <w:rsid w:val="002669CF"/>
    <w:rsid w:val="00271004"/>
    <w:rsid w:val="00272557"/>
    <w:rsid w:val="002762F6"/>
    <w:rsid w:val="0027724D"/>
    <w:rsid w:val="00277DE4"/>
    <w:rsid w:val="002843C7"/>
    <w:rsid w:val="00287B33"/>
    <w:rsid w:val="00287E49"/>
    <w:rsid w:val="0029205E"/>
    <w:rsid w:val="0029456C"/>
    <w:rsid w:val="00294BFA"/>
    <w:rsid w:val="0029609F"/>
    <w:rsid w:val="002A1A6C"/>
    <w:rsid w:val="002A3BBB"/>
    <w:rsid w:val="002A55CA"/>
    <w:rsid w:val="002A71E9"/>
    <w:rsid w:val="002B1849"/>
    <w:rsid w:val="002B7B40"/>
    <w:rsid w:val="002C2086"/>
    <w:rsid w:val="002C416E"/>
    <w:rsid w:val="002C626E"/>
    <w:rsid w:val="002C672F"/>
    <w:rsid w:val="002C7759"/>
    <w:rsid w:val="002C7C46"/>
    <w:rsid w:val="002D2CE9"/>
    <w:rsid w:val="002D7601"/>
    <w:rsid w:val="002E0A6E"/>
    <w:rsid w:val="002E20B9"/>
    <w:rsid w:val="002E2F76"/>
    <w:rsid w:val="002F1EE0"/>
    <w:rsid w:val="002F6181"/>
    <w:rsid w:val="002F6C77"/>
    <w:rsid w:val="002F77D9"/>
    <w:rsid w:val="00302ED2"/>
    <w:rsid w:val="0030350C"/>
    <w:rsid w:val="0030423F"/>
    <w:rsid w:val="00311F00"/>
    <w:rsid w:val="0031213F"/>
    <w:rsid w:val="0031504F"/>
    <w:rsid w:val="00325335"/>
    <w:rsid w:val="00326C08"/>
    <w:rsid w:val="0033255A"/>
    <w:rsid w:val="00332693"/>
    <w:rsid w:val="0033348D"/>
    <w:rsid w:val="00335334"/>
    <w:rsid w:val="003363FC"/>
    <w:rsid w:val="00340E7F"/>
    <w:rsid w:val="003411B2"/>
    <w:rsid w:val="0034335D"/>
    <w:rsid w:val="0034621A"/>
    <w:rsid w:val="0035079E"/>
    <w:rsid w:val="00350FF6"/>
    <w:rsid w:val="00352F11"/>
    <w:rsid w:val="00355F42"/>
    <w:rsid w:val="00357132"/>
    <w:rsid w:val="00363149"/>
    <w:rsid w:val="00364811"/>
    <w:rsid w:val="003678DD"/>
    <w:rsid w:val="00370BF1"/>
    <w:rsid w:val="00371E3C"/>
    <w:rsid w:val="00373573"/>
    <w:rsid w:val="00373DC9"/>
    <w:rsid w:val="00374567"/>
    <w:rsid w:val="00374580"/>
    <w:rsid w:val="00376F0E"/>
    <w:rsid w:val="0037734E"/>
    <w:rsid w:val="003824B6"/>
    <w:rsid w:val="003918A0"/>
    <w:rsid w:val="00393AD1"/>
    <w:rsid w:val="00394313"/>
    <w:rsid w:val="0039497A"/>
    <w:rsid w:val="00395FF4"/>
    <w:rsid w:val="003A0893"/>
    <w:rsid w:val="003A1299"/>
    <w:rsid w:val="003A2EB3"/>
    <w:rsid w:val="003A4471"/>
    <w:rsid w:val="003A7096"/>
    <w:rsid w:val="003B0A43"/>
    <w:rsid w:val="003B1CF9"/>
    <w:rsid w:val="003B380A"/>
    <w:rsid w:val="003C04E4"/>
    <w:rsid w:val="003C5274"/>
    <w:rsid w:val="003C6B53"/>
    <w:rsid w:val="003C7412"/>
    <w:rsid w:val="003D1725"/>
    <w:rsid w:val="003D44DB"/>
    <w:rsid w:val="003D4C44"/>
    <w:rsid w:val="003D7E5F"/>
    <w:rsid w:val="003E469D"/>
    <w:rsid w:val="003E5FBD"/>
    <w:rsid w:val="003F1A65"/>
    <w:rsid w:val="003F2EDE"/>
    <w:rsid w:val="003F4D39"/>
    <w:rsid w:val="003F5EF0"/>
    <w:rsid w:val="00400E0E"/>
    <w:rsid w:val="00402B67"/>
    <w:rsid w:val="004040E7"/>
    <w:rsid w:val="004054E3"/>
    <w:rsid w:val="00405839"/>
    <w:rsid w:val="00407FE4"/>
    <w:rsid w:val="004102C9"/>
    <w:rsid w:val="004121E5"/>
    <w:rsid w:val="00413F06"/>
    <w:rsid w:val="0041756E"/>
    <w:rsid w:val="004200CA"/>
    <w:rsid w:val="0042042F"/>
    <w:rsid w:val="00421A14"/>
    <w:rsid w:val="00421C1D"/>
    <w:rsid w:val="004223F7"/>
    <w:rsid w:val="00427700"/>
    <w:rsid w:val="00435640"/>
    <w:rsid w:val="00435B8B"/>
    <w:rsid w:val="004373B4"/>
    <w:rsid w:val="00440F8A"/>
    <w:rsid w:val="00445B1F"/>
    <w:rsid w:val="004501AA"/>
    <w:rsid w:val="004511E0"/>
    <w:rsid w:val="004540E2"/>
    <w:rsid w:val="00454ED5"/>
    <w:rsid w:val="004639AE"/>
    <w:rsid w:val="00465B87"/>
    <w:rsid w:val="004703B7"/>
    <w:rsid w:val="00474A1B"/>
    <w:rsid w:val="00474B09"/>
    <w:rsid w:val="004757B5"/>
    <w:rsid w:val="00476FA7"/>
    <w:rsid w:val="00486F0D"/>
    <w:rsid w:val="00494BB3"/>
    <w:rsid w:val="00496A86"/>
    <w:rsid w:val="004B1044"/>
    <w:rsid w:val="004B17F5"/>
    <w:rsid w:val="004B1FA4"/>
    <w:rsid w:val="004B4C51"/>
    <w:rsid w:val="004B5903"/>
    <w:rsid w:val="004B724D"/>
    <w:rsid w:val="004C0238"/>
    <w:rsid w:val="004C0CF9"/>
    <w:rsid w:val="004C1E63"/>
    <w:rsid w:val="004C3D3F"/>
    <w:rsid w:val="004C4CC4"/>
    <w:rsid w:val="004C656B"/>
    <w:rsid w:val="004D2488"/>
    <w:rsid w:val="004D3163"/>
    <w:rsid w:val="004D4A5C"/>
    <w:rsid w:val="004D5694"/>
    <w:rsid w:val="004D68EF"/>
    <w:rsid w:val="004E1CBC"/>
    <w:rsid w:val="004E71CB"/>
    <w:rsid w:val="004E7C48"/>
    <w:rsid w:val="004F19AE"/>
    <w:rsid w:val="004F3F2F"/>
    <w:rsid w:val="004F408A"/>
    <w:rsid w:val="004F6936"/>
    <w:rsid w:val="0050295F"/>
    <w:rsid w:val="00503982"/>
    <w:rsid w:val="00506929"/>
    <w:rsid w:val="005072B8"/>
    <w:rsid w:val="0050760F"/>
    <w:rsid w:val="00507A7C"/>
    <w:rsid w:val="00517ACE"/>
    <w:rsid w:val="00517D33"/>
    <w:rsid w:val="0052023F"/>
    <w:rsid w:val="00521F38"/>
    <w:rsid w:val="00522C9C"/>
    <w:rsid w:val="0052609C"/>
    <w:rsid w:val="00530920"/>
    <w:rsid w:val="00530CB1"/>
    <w:rsid w:val="005342CE"/>
    <w:rsid w:val="00537738"/>
    <w:rsid w:val="00543286"/>
    <w:rsid w:val="00543A0D"/>
    <w:rsid w:val="00543E50"/>
    <w:rsid w:val="005444ED"/>
    <w:rsid w:val="0054470C"/>
    <w:rsid w:val="0055085F"/>
    <w:rsid w:val="00551F6B"/>
    <w:rsid w:val="0055336B"/>
    <w:rsid w:val="005549E3"/>
    <w:rsid w:val="00556E5D"/>
    <w:rsid w:val="0056053E"/>
    <w:rsid w:val="005626C2"/>
    <w:rsid w:val="00562EF9"/>
    <w:rsid w:val="00571089"/>
    <w:rsid w:val="005721E0"/>
    <w:rsid w:val="00577440"/>
    <w:rsid w:val="00577F80"/>
    <w:rsid w:val="00582408"/>
    <w:rsid w:val="005A3DBC"/>
    <w:rsid w:val="005A5A81"/>
    <w:rsid w:val="005B2C5D"/>
    <w:rsid w:val="005B3E5B"/>
    <w:rsid w:val="005B43E0"/>
    <w:rsid w:val="005B66FB"/>
    <w:rsid w:val="005C21FA"/>
    <w:rsid w:val="005C2343"/>
    <w:rsid w:val="005C25CB"/>
    <w:rsid w:val="005C2774"/>
    <w:rsid w:val="005C6390"/>
    <w:rsid w:val="005C663E"/>
    <w:rsid w:val="005C6E08"/>
    <w:rsid w:val="005D1D8B"/>
    <w:rsid w:val="005D2A24"/>
    <w:rsid w:val="005D4C52"/>
    <w:rsid w:val="005D6FC0"/>
    <w:rsid w:val="005E2B6C"/>
    <w:rsid w:val="005E42CA"/>
    <w:rsid w:val="005E78BA"/>
    <w:rsid w:val="005F2964"/>
    <w:rsid w:val="005F4D57"/>
    <w:rsid w:val="005F5541"/>
    <w:rsid w:val="006007BF"/>
    <w:rsid w:val="006032CB"/>
    <w:rsid w:val="00603952"/>
    <w:rsid w:val="00604EAE"/>
    <w:rsid w:val="00607383"/>
    <w:rsid w:val="006106AF"/>
    <w:rsid w:val="0061116F"/>
    <w:rsid w:val="00612417"/>
    <w:rsid w:val="00614097"/>
    <w:rsid w:val="0061453E"/>
    <w:rsid w:val="00621312"/>
    <w:rsid w:val="00622CEA"/>
    <w:rsid w:val="00625739"/>
    <w:rsid w:val="00625E87"/>
    <w:rsid w:val="006317DF"/>
    <w:rsid w:val="0063684A"/>
    <w:rsid w:val="00643600"/>
    <w:rsid w:val="00644661"/>
    <w:rsid w:val="00644BC0"/>
    <w:rsid w:val="006479C7"/>
    <w:rsid w:val="00650954"/>
    <w:rsid w:val="00650BFD"/>
    <w:rsid w:val="0065594D"/>
    <w:rsid w:val="00660B48"/>
    <w:rsid w:val="00660E88"/>
    <w:rsid w:val="006616FD"/>
    <w:rsid w:val="00667453"/>
    <w:rsid w:val="006748C0"/>
    <w:rsid w:val="00675DCB"/>
    <w:rsid w:val="0068245D"/>
    <w:rsid w:val="006841B2"/>
    <w:rsid w:val="00685BBC"/>
    <w:rsid w:val="00686220"/>
    <w:rsid w:val="006902C0"/>
    <w:rsid w:val="006909C1"/>
    <w:rsid w:val="0069277F"/>
    <w:rsid w:val="00696C81"/>
    <w:rsid w:val="006A0242"/>
    <w:rsid w:val="006A281F"/>
    <w:rsid w:val="006A4784"/>
    <w:rsid w:val="006B0535"/>
    <w:rsid w:val="006B5153"/>
    <w:rsid w:val="006C061C"/>
    <w:rsid w:val="006C3CDC"/>
    <w:rsid w:val="006C5D82"/>
    <w:rsid w:val="006C6771"/>
    <w:rsid w:val="006D340D"/>
    <w:rsid w:val="006D527E"/>
    <w:rsid w:val="006E28CB"/>
    <w:rsid w:val="006E3FB9"/>
    <w:rsid w:val="006E45E5"/>
    <w:rsid w:val="006E7BED"/>
    <w:rsid w:val="006F17AC"/>
    <w:rsid w:val="006F2811"/>
    <w:rsid w:val="006F3B11"/>
    <w:rsid w:val="006F3D55"/>
    <w:rsid w:val="006F4DCA"/>
    <w:rsid w:val="006F737F"/>
    <w:rsid w:val="006F792B"/>
    <w:rsid w:val="00702C5E"/>
    <w:rsid w:val="007037EA"/>
    <w:rsid w:val="0070630C"/>
    <w:rsid w:val="0070743B"/>
    <w:rsid w:val="00707E1A"/>
    <w:rsid w:val="00711AAA"/>
    <w:rsid w:val="00713B96"/>
    <w:rsid w:val="0072054D"/>
    <w:rsid w:val="007234AD"/>
    <w:rsid w:val="00723BEF"/>
    <w:rsid w:val="0072587F"/>
    <w:rsid w:val="0072798B"/>
    <w:rsid w:val="00730C0D"/>
    <w:rsid w:val="00733577"/>
    <w:rsid w:val="00735E01"/>
    <w:rsid w:val="00741EE2"/>
    <w:rsid w:val="007436D2"/>
    <w:rsid w:val="00744956"/>
    <w:rsid w:val="007451EB"/>
    <w:rsid w:val="0074743F"/>
    <w:rsid w:val="00754348"/>
    <w:rsid w:val="00760BB1"/>
    <w:rsid w:val="00762ACF"/>
    <w:rsid w:val="007655BE"/>
    <w:rsid w:val="00770E2E"/>
    <w:rsid w:val="0077550C"/>
    <w:rsid w:val="00775DD4"/>
    <w:rsid w:val="00775F1B"/>
    <w:rsid w:val="00782A1B"/>
    <w:rsid w:val="00782AD0"/>
    <w:rsid w:val="00784F64"/>
    <w:rsid w:val="00785548"/>
    <w:rsid w:val="007933A9"/>
    <w:rsid w:val="007935EA"/>
    <w:rsid w:val="00795FD6"/>
    <w:rsid w:val="007960B6"/>
    <w:rsid w:val="00796A49"/>
    <w:rsid w:val="007A326D"/>
    <w:rsid w:val="007A6143"/>
    <w:rsid w:val="007A6271"/>
    <w:rsid w:val="007A71A3"/>
    <w:rsid w:val="007A7E2E"/>
    <w:rsid w:val="007B09CA"/>
    <w:rsid w:val="007B3E09"/>
    <w:rsid w:val="007B43FA"/>
    <w:rsid w:val="007B5842"/>
    <w:rsid w:val="007B6BA6"/>
    <w:rsid w:val="007C2DE7"/>
    <w:rsid w:val="007C6999"/>
    <w:rsid w:val="007C7F9E"/>
    <w:rsid w:val="007D163B"/>
    <w:rsid w:val="007D2F28"/>
    <w:rsid w:val="007D53EB"/>
    <w:rsid w:val="007D5ED4"/>
    <w:rsid w:val="007E24B4"/>
    <w:rsid w:val="007E4073"/>
    <w:rsid w:val="007E56D6"/>
    <w:rsid w:val="007E6D2E"/>
    <w:rsid w:val="007E6E7B"/>
    <w:rsid w:val="007F40E4"/>
    <w:rsid w:val="007F44A8"/>
    <w:rsid w:val="007F4F3C"/>
    <w:rsid w:val="007F51A4"/>
    <w:rsid w:val="008006BA"/>
    <w:rsid w:val="00807377"/>
    <w:rsid w:val="0081221E"/>
    <w:rsid w:val="008173EC"/>
    <w:rsid w:val="00821317"/>
    <w:rsid w:val="00822BBB"/>
    <w:rsid w:val="008258D1"/>
    <w:rsid w:val="0082610A"/>
    <w:rsid w:val="00831563"/>
    <w:rsid w:val="00832FFA"/>
    <w:rsid w:val="00837157"/>
    <w:rsid w:val="00837F09"/>
    <w:rsid w:val="0084168B"/>
    <w:rsid w:val="00843AB6"/>
    <w:rsid w:val="008464EF"/>
    <w:rsid w:val="00846FD4"/>
    <w:rsid w:val="00851AD5"/>
    <w:rsid w:val="00855C54"/>
    <w:rsid w:val="008702FA"/>
    <w:rsid w:val="00870C3E"/>
    <w:rsid w:val="00871528"/>
    <w:rsid w:val="00881B33"/>
    <w:rsid w:val="00885A79"/>
    <w:rsid w:val="00886E32"/>
    <w:rsid w:val="0089287E"/>
    <w:rsid w:val="00893C98"/>
    <w:rsid w:val="00893DB4"/>
    <w:rsid w:val="00896EF3"/>
    <w:rsid w:val="008A0EA9"/>
    <w:rsid w:val="008A36DC"/>
    <w:rsid w:val="008A4C05"/>
    <w:rsid w:val="008A624D"/>
    <w:rsid w:val="008A7570"/>
    <w:rsid w:val="008B02F2"/>
    <w:rsid w:val="008B0F65"/>
    <w:rsid w:val="008B1D37"/>
    <w:rsid w:val="008B5536"/>
    <w:rsid w:val="008B7FE4"/>
    <w:rsid w:val="008C39FA"/>
    <w:rsid w:val="008C3F64"/>
    <w:rsid w:val="008C4A4E"/>
    <w:rsid w:val="008C7559"/>
    <w:rsid w:val="008C7EEA"/>
    <w:rsid w:val="008D0E0A"/>
    <w:rsid w:val="008D1475"/>
    <w:rsid w:val="008D1EF6"/>
    <w:rsid w:val="008D5362"/>
    <w:rsid w:val="008E5470"/>
    <w:rsid w:val="008F4CF2"/>
    <w:rsid w:val="008F6500"/>
    <w:rsid w:val="008F6E64"/>
    <w:rsid w:val="0090342D"/>
    <w:rsid w:val="00905BF3"/>
    <w:rsid w:val="00906B60"/>
    <w:rsid w:val="00907B95"/>
    <w:rsid w:val="00910EA8"/>
    <w:rsid w:val="00911024"/>
    <w:rsid w:val="00912DE2"/>
    <w:rsid w:val="00913FE6"/>
    <w:rsid w:val="00914811"/>
    <w:rsid w:val="0091482F"/>
    <w:rsid w:val="009217F9"/>
    <w:rsid w:val="00923ED8"/>
    <w:rsid w:val="009251B9"/>
    <w:rsid w:val="0092706D"/>
    <w:rsid w:val="00932452"/>
    <w:rsid w:val="009359C2"/>
    <w:rsid w:val="009421BE"/>
    <w:rsid w:val="00942792"/>
    <w:rsid w:val="00943D51"/>
    <w:rsid w:val="00946937"/>
    <w:rsid w:val="009501AF"/>
    <w:rsid w:val="00952723"/>
    <w:rsid w:val="00957E83"/>
    <w:rsid w:val="009623F1"/>
    <w:rsid w:val="0096342B"/>
    <w:rsid w:val="00963972"/>
    <w:rsid w:val="0096439A"/>
    <w:rsid w:val="00964877"/>
    <w:rsid w:val="00965445"/>
    <w:rsid w:val="009664F1"/>
    <w:rsid w:val="00966EDD"/>
    <w:rsid w:val="009759AF"/>
    <w:rsid w:val="00975C5F"/>
    <w:rsid w:val="0098058B"/>
    <w:rsid w:val="0098377F"/>
    <w:rsid w:val="00986AE5"/>
    <w:rsid w:val="00991BCC"/>
    <w:rsid w:val="00991E94"/>
    <w:rsid w:val="0099580C"/>
    <w:rsid w:val="00996E17"/>
    <w:rsid w:val="009A7B44"/>
    <w:rsid w:val="009A7B4A"/>
    <w:rsid w:val="009B17AA"/>
    <w:rsid w:val="009B29B9"/>
    <w:rsid w:val="009B36E4"/>
    <w:rsid w:val="009B49E1"/>
    <w:rsid w:val="009B6967"/>
    <w:rsid w:val="009B7040"/>
    <w:rsid w:val="009B7433"/>
    <w:rsid w:val="009C11E8"/>
    <w:rsid w:val="009C5F97"/>
    <w:rsid w:val="009C7892"/>
    <w:rsid w:val="009D24A0"/>
    <w:rsid w:val="009D48A3"/>
    <w:rsid w:val="009D59B6"/>
    <w:rsid w:val="009D6B53"/>
    <w:rsid w:val="009E11D7"/>
    <w:rsid w:val="009E1506"/>
    <w:rsid w:val="009E22BE"/>
    <w:rsid w:val="009E4FB9"/>
    <w:rsid w:val="00A00D57"/>
    <w:rsid w:val="00A01B8F"/>
    <w:rsid w:val="00A01E1E"/>
    <w:rsid w:val="00A03F24"/>
    <w:rsid w:val="00A0579B"/>
    <w:rsid w:val="00A1363C"/>
    <w:rsid w:val="00A201B5"/>
    <w:rsid w:val="00A2020E"/>
    <w:rsid w:val="00A25BF6"/>
    <w:rsid w:val="00A26E6C"/>
    <w:rsid w:val="00A27046"/>
    <w:rsid w:val="00A31891"/>
    <w:rsid w:val="00A32FAD"/>
    <w:rsid w:val="00A35C5C"/>
    <w:rsid w:val="00A35ECE"/>
    <w:rsid w:val="00A36F46"/>
    <w:rsid w:val="00A43D19"/>
    <w:rsid w:val="00A44DCB"/>
    <w:rsid w:val="00A45164"/>
    <w:rsid w:val="00A45484"/>
    <w:rsid w:val="00A462B4"/>
    <w:rsid w:val="00A46319"/>
    <w:rsid w:val="00A50A2F"/>
    <w:rsid w:val="00A50ACD"/>
    <w:rsid w:val="00A529CA"/>
    <w:rsid w:val="00A538E5"/>
    <w:rsid w:val="00A55B2A"/>
    <w:rsid w:val="00A560E0"/>
    <w:rsid w:val="00A56381"/>
    <w:rsid w:val="00A56A14"/>
    <w:rsid w:val="00A60C0A"/>
    <w:rsid w:val="00A649E7"/>
    <w:rsid w:val="00A75E87"/>
    <w:rsid w:val="00A770A1"/>
    <w:rsid w:val="00A8078E"/>
    <w:rsid w:val="00A871A7"/>
    <w:rsid w:val="00A87CB7"/>
    <w:rsid w:val="00A90162"/>
    <w:rsid w:val="00A931EC"/>
    <w:rsid w:val="00A93E33"/>
    <w:rsid w:val="00A9400C"/>
    <w:rsid w:val="00A957AF"/>
    <w:rsid w:val="00AA0EA4"/>
    <w:rsid w:val="00AA488B"/>
    <w:rsid w:val="00AA717D"/>
    <w:rsid w:val="00AA7A86"/>
    <w:rsid w:val="00AB005B"/>
    <w:rsid w:val="00AB51FF"/>
    <w:rsid w:val="00AB7A03"/>
    <w:rsid w:val="00AB7E45"/>
    <w:rsid w:val="00AC3A0A"/>
    <w:rsid w:val="00AD342E"/>
    <w:rsid w:val="00AD3DAD"/>
    <w:rsid w:val="00AD4167"/>
    <w:rsid w:val="00AD65CD"/>
    <w:rsid w:val="00AE1F39"/>
    <w:rsid w:val="00AE3AAA"/>
    <w:rsid w:val="00AE5314"/>
    <w:rsid w:val="00AE700B"/>
    <w:rsid w:val="00AF25B8"/>
    <w:rsid w:val="00AF3A40"/>
    <w:rsid w:val="00AF76F0"/>
    <w:rsid w:val="00B00145"/>
    <w:rsid w:val="00B0188A"/>
    <w:rsid w:val="00B018AA"/>
    <w:rsid w:val="00B054FC"/>
    <w:rsid w:val="00B065CC"/>
    <w:rsid w:val="00B06A0F"/>
    <w:rsid w:val="00B07673"/>
    <w:rsid w:val="00B14619"/>
    <w:rsid w:val="00B14DAC"/>
    <w:rsid w:val="00B152EC"/>
    <w:rsid w:val="00B235E2"/>
    <w:rsid w:val="00B25EA1"/>
    <w:rsid w:val="00B26265"/>
    <w:rsid w:val="00B31D80"/>
    <w:rsid w:val="00B355BE"/>
    <w:rsid w:val="00B35A6B"/>
    <w:rsid w:val="00B42C77"/>
    <w:rsid w:val="00B42FD3"/>
    <w:rsid w:val="00B45CFF"/>
    <w:rsid w:val="00B52649"/>
    <w:rsid w:val="00B53534"/>
    <w:rsid w:val="00B539E9"/>
    <w:rsid w:val="00B57929"/>
    <w:rsid w:val="00B61C85"/>
    <w:rsid w:val="00B62571"/>
    <w:rsid w:val="00B6483B"/>
    <w:rsid w:val="00B66ED5"/>
    <w:rsid w:val="00B705FD"/>
    <w:rsid w:val="00B72B53"/>
    <w:rsid w:val="00B72D1C"/>
    <w:rsid w:val="00B750BF"/>
    <w:rsid w:val="00B75917"/>
    <w:rsid w:val="00B7604F"/>
    <w:rsid w:val="00B8042C"/>
    <w:rsid w:val="00B81CCC"/>
    <w:rsid w:val="00B832DB"/>
    <w:rsid w:val="00B83847"/>
    <w:rsid w:val="00B84461"/>
    <w:rsid w:val="00B90A73"/>
    <w:rsid w:val="00B916B6"/>
    <w:rsid w:val="00B92818"/>
    <w:rsid w:val="00B93282"/>
    <w:rsid w:val="00B944BE"/>
    <w:rsid w:val="00B97F73"/>
    <w:rsid w:val="00BA2109"/>
    <w:rsid w:val="00BA389C"/>
    <w:rsid w:val="00BA7DA9"/>
    <w:rsid w:val="00BB140C"/>
    <w:rsid w:val="00BB5AB2"/>
    <w:rsid w:val="00BB7B35"/>
    <w:rsid w:val="00BC05E6"/>
    <w:rsid w:val="00BC0A44"/>
    <w:rsid w:val="00BC15CA"/>
    <w:rsid w:val="00BC23CE"/>
    <w:rsid w:val="00BC4FFD"/>
    <w:rsid w:val="00BC5651"/>
    <w:rsid w:val="00BD0C4A"/>
    <w:rsid w:val="00BD23C6"/>
    <w:rsid w:val="00BD2B7F"/>
    <w:rsid w:val="00BD4C6E"/>
    <w:rsid w:val="00BD5E7A"/>
    <w:rsid w:val="00BD6AF9"/>
    <w:rsid w:val="00BE01B2"/>
    <w:rsid w:val="00BE1117"/>
    <w:rsid w:val="00BE2FEA"/>
    <w:rsid w:val="00BE605A"/>
    <w:rsid w:val="00BF1B9F"/>
    <w:rsid w:val="00BF5239"/>
    <w:rsid w:val="00BF5810"/>
    <w:rsid w:val="00BF62A0"/>
    <w:rsid w:val="00BF6892"/>
    <w:rsid w:val="00BF73BE"/>
    <w:rsid w:val="00C079C0"/>
    <w:rsid w:val="00C14D0C"/>
    <w:rsid w:val="00C17DD4"/>
    <w:rsid w:val="00C20943"/>
    <w:rsid w:val="00C21FCB"/>
    <w:rsid w:val="00C2328D"/>
    <w:rsid w:val="00C23B96"/>
    <w:rsid w:val="00C244E8"/>
    <w:rsid w:val="00C250BB"/>
    <w:rsid w:val="00C25538"/>
    <w:rsid w:val="00C262AB"/>
    <w:rsid w:val="00C26FAA"/>
    <w:rsid w:val="00C2750C"/>
    <w:rsid w:val="00C27761"/>
    <w:rsid w:val="00C312EA"/>
    <w:rsid w:val="00C31B95"/>
    <w:rsid w:val="00C354CE"/>
    <w:rsid w:val="00C36F8C"/>
    <w:rsid w:val="00C456B5"/>
    <w:rsid w:val="00C47AB1"/>
    <w:rsid w:val="00C52825"/>
    <w:rsid w:val="00C52B5F"/>
    <w:rsid w:val="00C53B60"/>
    <w:rsid w:val="00C558BD"/>
    <w:rsid w:val="00C57409"/>
    <w:rsid w:val="00C57680"/>
    <w:rsid w:val="00C61439"/>
    <w:rsid w:val="00C61C3B"/>
    <w:rsid w:val="00C61C7A"/>
    <w:rsid w:val="00C63EC1"/>
    <w:rsid w:val="00C6427A"/>
    <w:rsid w:val="00C734D8"/>
    <w:rsid w:val="00C74F6C"/>
    <w:rsid w:val="00C75EE8"/>
    <w:rsid w:val="00C76C06"/>
    <w:rsid w:val="00C772FB"/>
    <w:rsid w:val="00C821F1"/>
    <w:rsid w:val="00C8675D"/>
    <w:rsid w:val="00C90AC7"/>
    <w:rsid w:val="00C92EB9"/>
    <w:rsid w:val="00C94AC2"/>
    <w:rsid w:val="00C96123"/>
    <w:rsid w:val="00C9686C"/>
    <w:rsid w:val="00CA0036"/>
    <w:rsid w:val="00CA4719"/>
    <w:rsid w:val="00CA5758"/>
    <w:rsid w:val="00CA6CBE"/>
    <w:rsid w:val="00CB0B5B"/>
    <w:rsid w:val="00CB361F"/>
    <w:rsid w:val="00CC2F38"/>
    <w:rsid w:val="00CC30B1"/>
    <w:rsid w:val="00CC4DC3"/>
    <w:rsid w:val="00CC5CF8"/>
    <w:rsid w:val="00CC6282"/>
    <w:rsid w:val="00CD4A9E"/>
    <w:rsid w:val="00CD57DF"/>
    <w:rsid w:val="00CD70C3"/>
    <w:rsid w:val="00CD79D3"/>
    <w:rsid w:val="00CE0535"/>
    <w:rsid w:val="00CE27E4"/>
    <w:rsid w:val="00CE7F94"/>
    <w:rsid w:val="00CF0A6F"/>
    <w:rsid w:val="00CF2CFF"/>
    <w:rsid w:val="00CF3BC5"/>
    <w:rsid w:val="00D003F6"/>
    <w:rsid w:val="00D02086"/>
    <w:rsid w:val="00D04E31"/>
    <w:rsid w:val="00D11853"/>
    <w:rsid w:val="00D12C46"/>
    <w:rsid w:val="00D15C3E"/>
    <w:rsid w:val="00D16650"/>
    <w:rsid w:val="00D167D2"/>
    <w:rsid w:val="00D24BBC"/>
    <w:rsid w:val="00D2674F"/>
    <w:rsid w:val="00D268CC"/>
    <w:rsid w:val="00D32605"/>
    <w:rsid w:val="00D32EE1"/>
    <w:rsid w:val="00D34906"/>
    <w:rsid w:val="00D3550D"/>
    <w:rsid w:val="00D373AB"/>
    <w:rsid w:val="00D41EA3"/>
    <w:rsid w:val="00D4367C"/>
    <w:rsid w:val="00D43B7D"/>
    <w:rsid w:val="00D61F1E"/>
    <w:rsid w:val="00D648AA"/>
    <w:rsid w:val="00D66B43"/>
    <w:rsid w:val="00D66E60"/>
    <w:rsid w:val="00D72134"/>
    <w:rsid w:val="00D737CD"/>
    <w:rsid w:val="00D80613"/>
    <w:rsid w:val="00D816C8"/>
    <w:rsid w:val="00D81B39"/>
    <w:rsid w:val="00D91165"/>
    <w:rsid w:val="00D925B0"/>
    <w:rsid w:val="00D92DB9"/>
    <w:rsid w:val="00D970E3"/>
    <w:rsid w:val="00DA17E1"/>
    <w:rsid w:val="00DA2428"/>
    <w:rsid w:val="00DA258F"/>
    <w:rsid w:val="00DA3EB3"/>
    <w:rsid w:val="00DA67D5"/>
    <w:rsid w:val="00DA744B"/>
    <w:rsid w:val="00DB0A27"/>
    <w:rsid w:val="00DB1A5A"/>
    <w:rsid w:val="00DB397D"/>
    <w:rsid w:val="00DB39C0"/>
    <w:rsid w:val="00DB639E"/>
    <w:rsid w:val="00DC2820"/>
    <w:rsid w:val="00DC3DF5"/>
    <w:rsid w:val="00DC63CB"/>
    <w:rsid w:val="00DD4EA4"/>
    <w:rsid w:val="00DD57BB"/>
    <w:rsid w:val="00DE27C8"/>
    <w:rsid w:val="00DE5126"/>
    <w:rsid w:val="00DE5A23"/>
    <w:rsid w:val="00DF3107"/>
    <w:rsid w:val="00DF72C7"/>
    <w:rsid w:val="00DF7ACC"/>
    <w:rsid w:val="00DF7EA1"/>
    <w:rsid w:val="00E01527"/>
    <w:rsid w:val="00E02CFF"/>
    <w:rsid w:val="00E061D7"/>
    <w:rsid w:val="00E0792C"/>
    <w:rsid w:val="00E1095D"/>
    <w:rsid w:val="00E10A01"/>
    <w:rsid w:val="00E11380"/>
    <w:rsid w:val="00E121F1"/>
    <w:rsid w:val="00E1229D"/>
    <w:rsid w:val="00E134B5"/>
    <w:rsid w:val="00E166BF"/>
    <w:rsid w:val="00E23E0E"/>
    <w:rsid w:val="00E246AE"/>
    <w:rsid w:val="00E259F3"/>
    <w:rsid w:val="00E25AB0"/>
    <w:rsid w:val="00E25D6E"/>
    <w:rsid w:val="00E30124"/>
    <w:rsid w:val="00E309B0"/>
    <w:rsid w:val="00E31C7A"/>
    <w:rsid w:val="00E32296"/>
    <w:rsid w:val="00E33BE5"/>
    <w:rsid w:val="00E35CBE"/>
    <w:rsid w:val="00E41930"/>
    <w:rsid w:val="00E44BD7"/>
    <w:rsid w:val="00E4745F"/>
    <w:rsid w:val="00E50317"/>
    <w:rsid w:val="00E503D9"/>
    <w:rsid w:val="00E51672"/>
    <w:rsid w:val="00E52647"/>
    <w:rsid w:val="00E5318F"/>
    <w:rsid w:val="00E57C9F"/>
    <w:rsid w:val="00E61088"/>
    <w:rsid w:val="00E62EF6"/>
    <w:rsid w:val="00E64AA4"/>
    <w:rsid w:val="00E658CA"/>
    <w:rsid w:val="00E663F7"/>
    <w:rsid w:val="00E66B0A"/>
    <w:rsid w:val="00E753D2"/>
    <w:rsid w:val="00E80681"/>
    <w:rsid w:val="00E80E67"/>
    <w:rsid w:val="00E8407A"/>
    <w:rsid w:val="00E84C20"/>
    <w:rsid w:val="00E84CCE"/>
    <w:rsid w:val="00E8608E"/>
    <w:rsid w:val="00E906A0"/>
    <w:rsid w:val="00E91664"/>
    <w:rsid w:val="00E91FB2"/>
    <w:rsid w:val="00E921B8"/>
    <w:rsid w:val="00E937F2"/>
    <w:rsid w:val="00E952E4"/>
    <w:rsid w:val="00E957E8"/>
    <w:rsid w:val="00EA3A20"/>
    <w:rsid w:val="00EA68BA"/>
    <w:rsid w:val="00EB6EFA"/>
    <w:rsid w:val="00EB7127"/>
    <w:rsid w:val="00EC2507"/>
    <w:rsid w:val="00EC3E64"/>
    <w:rsid w:val="00EC53BC"/>
    <w:rsid w:val="00EC7B06"/>
    <w:rsid w:val="00ED052D"/>
    <w:rsid w:val="00ED0577"/>
    <w:rsid w:val="00ED1009"/>
    <w:rsid w:val="00ED3F4C"/>
    <w:rsid w:val="00ED4EC7"/>
    <w:rsid w:val="00EE0E1D"/>
    <w:rsid w:val="00EE6445"/>
    <w:rsid w:val="00EE6502"/>
    <w:rsid w:val="00EF3125"/>
    <w:rsid w:val="00F02695"/>
    <w:rsid w:val="00F0494B"/>
    <w:rsid w:val="00F049FA"/>
    <w:rsid w:val="00F1766E"/>
    <w:rsid w:val="00F177FC"/>
    <w:rsid w:val="00F20540"/>
    <w:rsid w:val="00F2122F"/>
    <w:rsid w:val="00F23C82"/>
    <w:rsid w:val="00F241BD"/>
    <w:rsid w:val="00F249C4"/>
    <w:rsid w:val="00F24EF1"/>
    <w:rsid w:val="00F33E53"/>
    <w:rsid w:val="00F34D70"/>
    <w:rsid w:val="00F35148"/>
    <w:rsid w:val="00F37DFB"/>
    <w:rsid w:val="00F42F84"/>
    <w:rsid w:val="00F43C6F"/>
    <w:rsid w:val="00F46CA0"/>
    <w:rsid w:val="00F50D65"/>
    <w:rsid w:val="00F5669F"/>
    <w:rsid w:val="00F56CD2"/>
    <w:rsid w:val="00F60122"/>
    <w:rsid w:val="00F644AF"/>
    <w:rsid w:val="00F644D1"/>
    <w:rsid w:val="00F67DD8"/>
    <w:rsid w:val="00F701E5"/>
    <w:rsid w:val="00F706E5"/>
    <w:rsid w:val="00F7147F"/>
    <w:rsid w:val="00F73544"/>
    <w:rsid w:val="00F73E8C"/>
    <w:rsid w:val="00F75384"/>
    <w:rsid w:val="00F8192C"/>
    <w:rsid w:val="00F83756"/>
    <w:rsid w:val="00F83825"/>
    <w:rsid w:val="00F85DCC"/>
    <w:rsid w:val="00F9117C"/>
    <w:rsid w:val="00F91924"/>
    <w:rsid w:val="00F91A31"/>
    <w:rsid w:val="00F9311B"/>
    <w:rsid w:val="00F97784"/>
    <w:rsid w:val="00FA090E"/>
    <w:rsid w:val="00FA4978"/>
    <w:rsid w:val="00FB14C5"/>
    <w:rsid w:val="00FB3D8D"/>
    <w:rsid w:val="00FB4468"/>
    <w:rsid w:val="00FB55B9"/>
    <w:rsid w:val="00FB5A5B"/>
    <w:rsid w:val="00FB5A9D"/>
    <w:rsid w:val="00FC4FAA"/>
    <w:rsid w:val="00FC6B8B"/>
    <w:rsid w:val="00FD3C33"/>
    <w:rsid w:val="00FE2355"/>
    <w:rsid w:val="00FF09E9"/>
    <w:rsid w:val="00FF0D8B"/>
    <w:rsid w:val="00FF5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D2C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footnote text" w:uiPriority="99" w:qFormat="1"/>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Body Text 3" w:uiPriority="99"/>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FFD"/>
    <w:pPr>
      <w:spacing w:before="120"/>
      <w:ind w:firstLine="360"/>
    </w:pPr>
    <w:rPr>
      <w:rFonts w:ascii="Bookman Old Style" w:hAnsi="Bookman Old Style"/>
      <w:sz w:val="22"/>
      <w:szCs w:val="24"/>
    </w:rPr>
  </w:style>
  <w:style w:type="paragraph" w:styleId="Heading1">
    <w:name w:val="heading 1"/>
    <w:basedOn w:val="Normal"/>
    <w:next w:val="Normal"/>
    <w:link w:val="Heading1Char"/>
    <w:qFormat/>
    <w:rsid w:val="00B61C85"/>
    <w:pPr>
      <w:keepNext/>
      <w:spacing w:before="240" w:after="60"/>
      <w:ind w:left="360" w:hanging="360"/>
      <w:outlineLvl w:val="0"/>
    </w:pPr>
    <w:rPr>
      <w:rFonts w:ascii="Arial" w:hAnsi="Arial" w:cs="Arial"/>
      <w:b/>
      <w:bCs/>
      <w:i/>
      <w:kern w:val="32"/>
      <w:sz w:val="24"/>
      <w:szCs w:val="32"/>
    </w:rPr>
  </w:style>
  <w:style w:type="paragraph" w:styleId="Heading2">
    <w:name w:val="heading 2"/>
    <w:basedOn w:val="Normal"/>
    <w:next w:val="Normal"/>
    <w:link w:val="Heading2Char"/>
    <w:qFormat/>
    <w:rsid w:val="00F7147F"/>
    <w:pPr>
      <w:keepNext/>
      <w:spacing w:before="240" w:after="60"/>
      <w:ind w:left="720" w:hanging="360"/>
      <w:outlineLvl w:val="1"/>
    </w:pPr>
    <w:rPr>
      <w:rFonts w:ascii="Arial" w:hAnsi="Arial" w:cs="Arial"/>
      <w:b/>
      <w:bCs/>
      <w:i/>
      <w:iCs/>
      <w:szCs w:val="28"/>
    </w:rPr>
  </w:style>
  <w:style w:type="paragraph" w:styleId="Heading3">
    <w:name w:val="heading 3"/>
    <w:basedOn w:val="Normal"/>
    <w:next w:val="Normal"/>
    <w:link w:val="Heading3Char"/>
    <w:qFormat/>
    <w:rsid w:val="00B61C85"/>
    <w:pPr>
      <w:keepNext/>
      <w:spacing w:before="240" w:after="60"/>
      <w:ind w:left="1080" w:hanging="360"/>
      <w:outlineLvl w:val="2"/>
    </w:pPr>
    <w:rPr>
      <w:rFonts w:ascii="Arial" w:hAnsi="Arial" w:cs="Arial"/>
      <w:b/>
      <w:bCs/>
      <w:i/>
      <w:szCs w:val="26"/>
    </w:rPr>
  </w:style>
  <w:style w:type="paragraph" w:styleId="Heading4">
    <w:name w:val="heading 4"/>
    <w:basedOn w:val="Normal"/>
    <w:next w:val="Normal"/>
    <w:link w:val="Heading4Char"/>
    <w:qFormat/>
    <w:rsid w:val="00B61C85"/>
    <w:pPr>
      <w:keepNext/>
      <w:spacing w:before="240" w:after="60"/>
      <w:ind w:left="1440" w:hanging="360"/>
      <w:outlineLvl w:val="3"/>
    </w:pPr>
    <w:rPr>
      <w:b/>
      <w:bCs/>
      <w:i/>
      <w:sz w:val="20"/>
      <w:szCs w:val="28"/>
    </w:rPr>
  </w:style>
  <w:style w:type="paragraph" w:styleId="Heading5">
    <w:name w:val="heading 5"/>
    <w:basedOn w:val="Normal"/>
    <w:next w:val="Normal"/>
    <w:qFormat/>
    <w:rsid w:val="00B61C85"/>
    <w:pPr>
      <w:spacing w:before="240" w:after="60"/>
      <w:ind w:left="1800" w:hanging="360"/>
      <w:outlineLvl w:val="4"/>
    </w:pPr>
    <w:rPr>
      <w:b/>
      <w:bCs/>
      <w:i/>
      <w:iCs/>
      <w:sz w:val="20"/>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Char,Ftnote Txt 11ptG"/>
    <w:link w:val="FootnoteTextChar"/>
    <w:uiPriority w:val="99"/>
    <w:qFormat/>
    <w:rsid w:val="00085B8D"/>
    <w:pPr>
      <w:contextualSpacing/>
    </w:pPr>
    <w:rPr>
      <w:rFonts w:ascii="Bookman Old Style" w:hAnsi="Bookman Old Style"/>
    </w:rPr>
  </w:style>
  <w:style w:type="paragraph" w:customStyle="1" w:styleId="NormTight">
    <w:name w:val="Norm_Tight"/>
    <w:rsid w:val="00287B33"/>
    <w:rPr>
      <w:rFonts w:ascii="Bookman Old Style" w:hAnsi="Bookman Old Style"/>
      <w:sz w:val="22"/>
      <w:szCs w:val="24"/>
    </w:rPr>
  </w:style>
  <w:style w:type="character" w:styleId="FootnoteReference">
    <w:name w:val="footnote reference"/>
    <w:rsid w:val="004D5694"/>
    <w:rPr>
      <w:color w:val="0000FF"/>
      <w:vertAlign w:val="superscript"/>
    </w:rPr>
  </w:style>
  <w:style w:type="paragraph" w:styleId="Title">
    <w:name w:val="Title"/>
    <w:basedOn w:val="Normal"/>
    <w:qFormat/>
    <w:rsid w:val="00287B33"/>
    <w:pPr>
      <w:spacing w:before="240" w:after="60"/>
      <w:jc w:val="center"/>
      <w:outlineLvl w:val="0"/>
    </w:pPr>
    <w:rPr>
      <w:rFonts w:ascii="Arial" w:hAnsi="Arial" w:cs="Arial"/>
      <w:b/>
      <w:bCs/>
      <w:kern w:val="28"/>
      <w:sz w:val="32"/>
      <w:szCs w:val="32"/>
    </w:rPr>
  </w:style>
  <w:style w:type="paragraph" w:customStyle="1" w:styleId="NormalQuote">
    <w:name w:val="Normal_Quote"/>
    <w:next w:val="Normal"/>
    <w:autoRedefine/>
    <w:rsid w:val="001554CD"/>
    <w:pPr>
      <w:spacing w:before="120"/>
      <w:ind w:left="720" w:right="720"/>
      <w:jc w:val="both"/>
    </w:pPr>
    <w:rPr>
      <w:rFonts w:ascii="Arial" w:hAnsi="Arial"/>
    </w:rPr>
  </w:style>
  <w:style w:type="paragraph" w:styleId="BodyText3">
    <w:name w:val="Body Text 3"/>
    <w:basedOn w:val="Normal"/>
    <w:link w:val="BodyText3Char"/>
    <w:uiPriority w:val="99"/>
    <w:rsid w:val="00A35C5C"/>
    <w:pPr>
      <w:spacing w:after="120"/>
    </w:pPr>
    <w:rPr>
      <w:sz w:val="16"/>
      <w:szCs w:val="16"/>
    </w:rPr>
  </w:style>
  <w:style w:type="paragraph" w:styleId="Header">
    <w:name w:val="header"/>
    <w:basedOn w:val="Normal"/>
    <w:rsid w:val="00F85DCC"/>
    <w:pPr>
      <w:tabs>
        <w:tab w:val="center" w:pos="4320"/>
        <w:tab w:val="right" w:pos="8640"/>
      </w:tabs>
    </w:pPr>
  </w:style>
  <w:style w:type="paragraph" w:styleId="Footer">
    <w:name w:val="footer"/>
    <w:basedOn w:val="Normal"/>
    <w:link w:val="FooterChar"/>
    <w:uiPriority w:val="99"/>
    <w:rsid w:val="00F85DCC"/>
    <w:pPr>
      <w:tabs>
        <w:tab w:val="center" w:pos="4320"/>
        <w:tab w:val="right" w:pos="8640"/>
      </w:tabs>
    </w:pPr>
  </w:style>
  <w:style w:type="character" w:styleId="Hyperlink">
    <w:name w:val="Hyperlink"/>
    <w:uiPriority w:val="99"/>
    <w:rsid w:val="00F85DCC"/>
    <w:rPr>
      <w:rFonts w:ascii="Times New Roman" w:hAnsi="Times New Roman" w:cs="Times New Roman" w:hint="default"/>
      <w:color w:val="0000FF"/>
      <w:u w:val="single"/>
    </w:rPr>
  </w:style>
  <w:style w:type="character" w:customStyle="1" w:styleId="Heading1Char">
    <w:name w:val="Heading 1 Char"/>
    <w:link w:val="Heading1"/>
    <w:locked/>
    <w:rsid w:val="00B61C85"/>
    <w:rPr>
      <w:rFonts w:ascii="Arial" w:hAnsi="Arial" w:cs="Arial"/>
      <w:b/>
      <w:bCs/>
      <w:i/>
      <w:kern w:val="32"/>
      <w:sz w:val="24"/>
      <w:szCs w:val="32"/>
      <w:lang w:val="en-US" w:eastAsia="en-US" w:bidi="ar-SA"/>
    </w:rPr>
  </w:style>
  <w:style w:type="paragraph" w:styleId="TOC1">
    <w:name w:val="toc 1"/>
    <w:basedOn w:val="Normal"/>
    <w:next w:val="Normal"/>
    <w:autoRedefine/>
    <w:uiPriority w:val="39"/>
    <w:rsid w:val="009D24A0"/>
  </w:style>
  <w:style w:type="paragraph" w:styleId="BlockText">
    <w:name w:val="Block Text"/>
    <w:rsid w:val="00B61C85"/>
    <w:pPr>
      <w:spacing w:before="120"/>
      <w:ind w:left="720" w:right="1080"/>
    </w:pPr>
    <w:rPr>
      <w:rFonts w:ascii="Arial" w:hAnsi="Arial"/>
      <w:sz w:val="21"/>
      <w:szCs w:val="24"/>
    </w:rPr>
  </w:style>
  <w:style w:type="table" w:styleId="TableGrid">
    <w:name w:val="Table Grid"/>
    <w:basedOn w:val="TableNormal"/>
    <w:rsid w:val="005626C2"/>
    <w:pPr>
      <w:spacing w:before="120"/>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B61C85"/>
    <w:pPr>
      <w:numPr>
        <w:numId w:val="1"/>
      </w:numPr>
    </w:pPr>
  </w:style>
  <w:style w:type="character" w:styleId="PageNumber">
    <w:name w:val="page number"/>
    <w:basedOn w:val="DefaultParagraphFont"/>
    <w:rsid w:val="005B66FB"/>
  </w:style>
  <w:style w:type="paragraph" w:customStyle="1" w:styleId="References">
    <w:name w:val="References"/>
    <w:rsid w:val="00730C0D"/>
    <w:pPr>
      <w:spacing w:before="80"/>
      <w:ind w:left="720" w:hanging="720"/>
    </w:pPr>
    <w:rPr>
      <w:rFonts w:ascii="Bookman Old Style" w:hAnsi="Bookman Old Style"/>
      <w:szCs w:val="24"/>
    </w:rPr>
  </w:style>
  <w:style w:type="paragraph" w:styleId="TOC2">
    <w:name w:val="toc 2"/>
    <w:basedOn w:val="Normal"/>
    <w:next w:val="Normal"/>
    <w:autoRedefine/>
    <w:uiPriority w:val="39"/>
    <w:rsid w:val="005B66FB"/>
    <w:pPr>
      <w:ind w:left="220"/>
    </w:pPr>
  </w:style>
  <w:style w:type="paragraph" w:styleId="TOC3">
    <w:name w:val="toc 3"/>
    <w:basedOn w:val="Normal"/>
    <w:next w:val="Normal"/>
    <w:autoRedefine/>
    <w:uiPriority w:val="39"/>
    <w:rsid w:val="005B66FB"/>
    <w:pPr>
      <w:ind w:left="440"/>
    </w:pPr>
  </w:style>
  <w:style w:type="paragraph" w:styleId="TOC4">
    <w:name w:val="toc 4"/>
    <w:basedOn w:val="Normal"/>
    <w:next w:val="Normal"/>
    <w:autoRedefine/>
    <w:uiPriority w:val="39"/>
    <w:rsid w:val="005B66FB"/>
    <w:pPr>
      <w:ind w:left="660"/>
    </w:pPr>
  </w:style>
  <w:style w:type="paragraph" w:styleId="TOC5">
    <w:name w:val="toc 5"/>
    <w:basedOn w:val="Normal"/>
    <w:next w:val="Normal"/>
    <w:autoRedefine/>
    <w:uiPriority w:val="39"/>
    <w:rsid w:val="005B66FB"/>
    <w:pPr>
      <w:ind w:left="880"/>
    </w:pPr>
  </w:style>
  <w:style w:type="character" w:customStyle="1" w:styleId="FootnoteTextChar">
    <w:name w:val="Footnote Text Char"/>
    <w:aliases w:val="Char Char Char,Ftnote Txt 11ptG Char"/>
    <w:link w:val="FootnoteText"/>
    <w:uiPriority w:val="99"/>
    <w:locked/>
    <w:rsid w:val="00085B8D"/>
    <w:rPr>
      <w:rFonts w:ascii="Bookman Old Style" w:hAnsi="Bookman Old Style"/>
    </w:rPr>
  </w:style>
  <w:style w:type="character" w:customStyle="1" w:styleId="FooterChar">
    <w:name w:val="Footer Char"/>
    <w:link w:val="Footer"/>
    <w:uiPriority w:val="99"/>
    <w:locked/>
    <w:rsid w:val="005F4D57"/>
    <w:rPr>
      <w:rFonts w:ascii="Bookman Old Style" w:hAnsi="Bookman Old Style"/>
      <w:sz w:val="22"/>
      <w:szCs w:val="24"/>
    </w:rPr>
  </w:style>
  <w:style w:type="character" w:customStyle="1" w:styleId="Heading2Char">
    <w:name w:val="Heading 2 Char"/>
    <w:link w:val="Heading2"/>
    <w:rsid w:val="005F4D57"/>
    <w:rPr>
      <w:rFonts w:ascii="Arial" w:hAnsi="Arial" w:cs="Arial"/>
      <w:b/>
      <w:bCs/>
      <w:i/>
      <w:iCs/>
      <w:sz w:val="22"/>
      <w:szCs w:val="28"/>
    </w:rPr>
  </w:style>
  <w:style w:type="character" w:customStyle="1" w:styleId="Heading3Char">
    <w:name w:val="Heading 3 Char"/>
    <w:link w:val="Heading3"/>
    <w:rsid w:val="005F4D57"/>
    <w:rPr>
      <w:rFonts w:ascii="Arial" w:hAnsi="Arial" w:cs="Arial"/>
      <w:b/>
      <w:bCs/>
      <w:i/>
      <w:sz w:val="22"/>
      <w:szCs w:val="26"/>
    </w:rPr>
  </w:style>
  <w:style w:type="character" w:customStyle="1" w:styleId="Heading4Char">
    <w:name w:val="Heading 4 Char"/>
    <w:link w:val="Heading4"/>
    <w:rsid w:val="005F4D57"/>
    <w:rPr>
      <w:rFonts w:ascii="Bookman Old Style" w:hAnsi="Bookman Old Style"/>
      <w:b/>
      <w:bCs/>
      <w:i/>
      <w:szCs w:val="28"/>
    </w:rPr>
  </w:style>
  <w:style w:type="paragraph" w:styleId="ListParagraph">
    <w:name w:val="List Paragraph"/>
    <w:basedOn w:val="Normal"/>
    <w:uiPriority w:val="34"/>
    <w:qFormat/>
    <w:rsid w:val="006E45E5"/>
    <w:pPr>
      <w:ind w:left="720"/>
      <w:contextualSpacing/>
    </w:pPr>
  </w:style>
  <w:style w:type="character" w:customStyle="1" w:styleId="BodyText3Char">
    <w:name w:val="Body Text 3 Char"/>
    <w:link w:val="BodyText3"/>
    <w:uiPriority w:val="99"/>
    <w:locked/>
    <w:rsid w:val="00625E87"/>
    <w:rPr>
      <w:rFonts w:ascii="Bookman Old Style" w:hAnsi="Bookman Old Style"/>
      <w:sz w:val="16"/>
      <w:szCs w:val="16"/>
    </w:rPr>
  </w:style>
  <w:style w:type="character" w:customStyle="1" w:styleId="EmailStyle31">
    <w:name w:val="EmailStyle31"/>
    <w:uiPriority w:val="99"/>
    <w:semiHidden/>
    <w:rsid w:val="00625E87"/>
    <w:rPr>
      <w:rFonts w:ascii="Arial" w:hAnsi="Arial" w:cs="Arial"/>
      <w:color w:val="000080"/>
      <w:sz w:val="20"/>
      <w:szCs w:val="20"/>
    </w:rPr>
  </w:style>
  <w:style w:type="character" w:styleId="Strong">
    <w:name w:val="Strong"/>
    <w:uiPriority w:val="22"/>
    <w:qFormat/>
    <w:rsid w:val="00C47AB1"/>
    <w:rPr>
      <w:b/>
      <w:bCs/>
    </w:rPr>
  </w:style>
  <w:style w:type="character" w:customStyle="1" w:styleId="UnresolvedMention">
    <w:name w:val="Unresolved Mention"/>
    <w:basedOn w:val="DefaultParagraphFont"/>
    <w:uiPriority w:val="99"/>
    <w:semiHidden/>
    <w:unhideWhenUsed/>
    <w:rsid w:val="00D66B43"/>
    <w:rPr>
      <w:color w:val="605E5C"/>
      <w:shd w:val="clear" w:color="auto" w:fill="E1DFDD"/>
    </w:rPr>
  </w:style>
  <w:style w:type="paragraph" w:customStyle="1" w:styleId="Normal-Tight">
    <w:name w:val="Normal-Tight"/>
    <w:basedOn w:val="Normal"/>
    <w:next w:val="Normal"/>
    <w:qFormat/>
    <w:rsid w:val="0072798B"/>
    <w:pPr>
      <w:spacing w:before="0"/>
      <w:ind w:firstLine="0"/>
    </w:pPr>
    <w:rPr>
      <w:rFonts w:eastAsiaTheme="minorHAnsi" w:cstheme="minorBidi"/>
      <w:szCs w:val="22"/>
    </w:rPr>
  </w:style>
  <w:style w:type="paragraph" w:styleId="NormalWeb">
    <w:name w:val="Normal (Web)"/>
    <w:basedOn w:val="Normal"/>
    <w:uiPriority w:val="99"/>
    <w:semiHidden/>
    <w:unhideWhenUsed/>
    <w:rsid w:val="007B09CA"/>
    <w:pPr>
      <w:spacing w:before="100" w:beforeAutospacing="1" w:after="100" w:afterAutospacing="1"/>
      <w:ind w:firstLine="0"/>
    </w:pPr>
    <w:rPr>
      <w:rFonts w:ascii="Times New Roman" w:hAnsi="Times New Roman"/>
      <w:sz w:val="24"/>
    </w:rPr>
  </w:style>
  <w:style w:type="paragraph" w:customStyle="1" w:styleId="Default">
    <w:name w:val="Default"/>
    <w:rsid w:val="00332693"/>
    <w:pPr>
      <w:autoSpaceDE w:val="0"/>
      <w:autoSpaceDN w:val="0"/>
      <w:adjustRightInd w:val="0"/>
    </w:pPr>
    <w:rPr>
      <w:color w:val="000000"/>
      <w:sz w:val="24"/>
      <w:szCs w:val="24"/>
    </w:rPr>
  </w:style>
  <w:style w:type="character" w:customStyle="1" w:styleId="None">
    <w:name w:val="None"/>
    <w:rsid w:val="002F1EE0"/>
  </w:style>
  <w:style w:type="paragraph" w:styleId="Quote">
    <w:name w:val="Quote"/>
    <w:basedOn w:val="Normal"/>
    <w:next w:val="Normal"/>
    <w:link w:val="QuoteChar"/>
    <w:uiPriority w:val="29"/>
    <w:qFormat/>
    <w:rsid w:val="007C7F9E"/>
    <w:pPr>
      <w:ind w:left="720" w:right="720" w:firstLine="0"/>
    </w:pPr>
    <w:rPr>
      <w:iCs/>
      <w:color w:val="000000"/>
      <w:sz w:val="20"/>
    </w:rPr>
  </w:style>
  <w:style w:type="character" w:customStyle="1" w:styleId="QuoteChar">
    <w:name w:val="Quote Char"/>
    <w:basedOn w:val="DefaultParagraphFont"/>
    <w:link w:val="Quote"/>
    <w:uiPriority w:val="29"/>
    <w:rsid w:val="007C7F9E"/>
    <w:rPr>
      <w:rFonts w:ascii="Bookman Old Style" w:hAnsi="Bookman Old Style"/>
      <w:iCs/>
      <w:color w:val="000000"/>
      <w:szCs w:val="24"/>
    </w:rPr>
  </w:style>
  <w:style w:type="character" w:customStyle="1" w:styleId="Hyperlink4">
    <w:name w:val="Hyperlink.4"/>
    <w:basedOn w:val="None"/>
    <w:rsid w:val="00E8407A"/>
    <w:rPr>
      <w:rFonts w:ascii="Bookman Old Style" w:eastAsia="Bookman Old Style" w:hAnsi="Bookman Old Style" w:cs="Bookman Old Style" w:hint="default"/>
      <w:lang w:val="en-US"/>
    </w:rPr>
  </w:style>
  <w:style w:type="paragraph" w:styleId="TOCHeading">
    <w:name w:val="TOC Heading"/>
    <w:basedOn w:val="Heading1"/>
    <w:next w:val="Normal"/>
    <w:uiPriority w:val="39"/>
    <w:unhideWhenUsed/>
    <w:qFormat/>
    <w:rsid w:val="0033255A"/>
    <w:pPr>
      <w:keepLines/>
      <w:spacing w:after="0" w:line="259" w:lineRule="auto"/>
      <w:ind w:left="0" w:firstLine="0"/>
      <w:outlineLvl w:val="9"/>
    </w:pPr>
    <w:rPr>
      <w:rFonts w:asciiTheme="majorHAnsi" w:eastAsiaTheme="majorEastAsia" w:hAnsiTheme="majorHAnsi" w:cstheme="majorBidi"/>
      <w:b w:val="0"/>
      <w:bCs w:val="0"/>
      <w:i w:val="0"/>
      <w:color w:val="365F91" w:themeColor="accent1" w:themeShade="BF"/>
      <w:kern w:val="0"/>
      <w:sz w:val="32"/>
    </w:rPr>
  </w:style>
  <w:style w:type="paragraph" w:styleId="BalloonText">
    <w:name w:val="Balloon Text"/>
    <w:basedOn w:val="Normal"/>
    <w:link w:val="BalloonTextChar"/>
    <w:rsid w:val="006C5D82"/>
    <w:pPr>
      <w:spacing w:before="0"/>
    </w:pPr>
    <w:rPr>
      <w:rFonts w:ascii="Tahoma" w:hAnsi="Tahoma" w:cs="Tahoma"/>
      <w:sz w:val="16"/>
      <w:szCs w:val="16"/>
    </w:rPr>
  </w:style>
  <w:style w:type="character" w:customStyle="1" w:styleId="BalloonTextChar">
    <w:name w:val="Balloon Text Char"/>
    <w:basedOn w:val="DefaultParagraphFont"/>
    <w:link w:val="BalloonText"/>
    <w:rsid w:val="006C5D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footnote text" w:uiPriority="99" w:qFormat="1"/>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Body Text 3" w:uiPriority="99"/>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FFD"/>
    <w:pPr>
      <w:spacing w:before="120"/>
      <w:ind w:firstLine="360"/>
    </w:pPr>
    <w:rPr>
      <w:rFonts w:ascii="Bookman Old Style" w:hAnsi="Bookman Old Style"/>
      <w:sz w:val="22"/>
      <w:szCs w:val="24"/>
    </w:rPr>
  </w:style>
  <w:style w:type="paragraph" w:styleId="Heading1">
    <w:name w:val="heading 1"/>
    <w:basedOn w:val="Normal"/>
    <w:next w:val="Normal"/>
    <w:link w:val="Heading1Char"/>
    <w:qFormat/>
    <w:rsid w:val="00B61C85"/>
    <w:pPr>
      <w:keepNext/>
      <w:spacing w:before="240" w:after="60"/>
      <w:ind w:left="360" w:hanging="360"/>
      <w:outlineLvl w:val="0"/>
    </w:pPr>
    <w:rPr>
      <w:rFonts w:ascii="Arial" w:hAnsi="Arial" w:cs="Arial"/>
      <w:b/>
      <w:bCs/>
      <w:i/>
      <w:kern w:val="32"/>
      <w:sz w:val="24"/>
      <w:szCs w:val="32"/>
    </w:rPr>
  </w:style>
  <w:style w:type="paragraph" w:styleId="Heading2">
    <w:name w:val="heading 2"/>
    <w:basedOn w:val="Normal"/>
    <w:next w:val="Normal"/>
    <w:link w:val="Heading2Char"/>
    <w:qFormat/>
    <w:rsid w:val="00F7147F"/>
    <w:pPr>
      <w:keepNext/>
      <w:spacing w:before="240" w:after="60"/>
      <w:ind w:left="720" w:hanging="360"/>
      <w:outlineLvl w:val="1"/>
    </w:pPr>
    <w:rPr>
      <w:rFonts w:ascii="Arial" w:hAnsi="Arial" w:cs="Arial"/>
      <w:b/>
      <w:bCs/>
      <w:i/>
      <w:iCs/>
      <w:szCs w:val="28"/>
    </w:rPr>
  </w:style>
  <w:style w:type="paragraph" w:styleId="Heading3">
    <w:name w:val="heading 3"/>
    <w:basedOn w:val="Normal"/>
    <w:next w:val="Normal"/>
    <w:link w:val="Heading3Char"/>
    <w:qFormat/>
    <w:rsid w:val="00B61C85"/>
    <w:pPr>
      <w:keepNext/>
      <w:spacing w:before="240" w:after="60"/>
      <w:ind w:left="1080" w:hanging="360"/>
      <w:outlineLvl w:val="2"/>
    </w:pPr>
    <w:rPr>
      <w:rFonts w:ascii="Arial" w:hAnsi="Arial" w:cs="Arial"/>
      <w:b/>
      <w:bCs/>
      <w:i/>
      <w:szCs w:val="26"/>
    </w:rPr>
  </w:style>
  <w:style w:type="paragraph" w:styleId="Heading4">
    <w:name w:val="heading 4"/>
    <w:basedOn w:val="Normal"/>
    <w:next w:val="Normal"/>
    <w:link w:val="Heading4Char"/>
    <w:qFormat/>
    <w:rsid w:val="00B61C85"/>
    <w:pPr>
      <w:keepNext/>
      <w:spacing w:before="240" w:after="60"/>
      <w:ind w:left="1440" w:hanging="360"/>
      <w:outlineLvl w:val="3"/>
    </w:pPr>
    <w:rPr>
      <w:b/>
      <w:bCs/>
      <w:i/>
      <w:sz w:val="20"/>
      <w:szCs w:val="28"/>
    </w:rPr>
  </w:style>
  <w:style w:type="paragraph" w:styleId="Heading5">
    <w:name w:val="heading 5"/>
    <w:basedOn w:val="Normal"/>
    <w:next w:val="Normal"/>
    <w:qFormat/>
    <w:rsid w:val="00B61C85"/>
    <w:pPr>
      <w:spacing w:before="240" w:after="60"/>
      <w:ind w:left="1800" w:hanging="360"/>
      <w:outlineLvl w:val="4"/>
    </w:pPr>
    <w:rPr>
      <w:b/>
      <w:bCs/>
      <w:i/>
      <w:iCs/>
      <w:sz w:val="20"/>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Char,Ftnote Txt 11ptG"/>
    <w:link w:val="FootnoteTextChar"/>
    <w:uiPriority w:val="99"/>
    <w:qFormat/>
    <w:rsid w:val="00085B8D"/>
    <w:pPr>
      <w:contextualSpacing/>
    </w:pPr>
    <w:rPr>
      <w:rFonts w:ascii="Bookman Old Style" w:hAnsi="Bookman Old Style"/>
    </w:rPr>
  </w:style>
  <w:style w:type="paragraph" w:customStyle="1" w:styleId="NormTight">
    <w:name w:val="Norm_Tight"/>
    <w:rsid w:val="00287B33"/>
    <w:rPr>
      <w:rFonts w:ascii="Bookman Old Style" w:hAnsi="Bookman Old Style"/>
      <w:sz w:val="22"/>
      <w:szCs w:val="24"/>
    </w:rPr>
  </w:style>
  <w:style w:type="character" w:styleId="FootnoteReference">
    <w:name w:val="footnote reference"/>
    <w:rsid w:val="004D5694"/>
    <w:rPr>
      <w:color w:val="0000FF"/>
      <w:vertAlign w:val="superscript"/>
    </w:rPr>
  </w:style>
  <w:style w:type="paragraph" w:styleId="Title">
    <w:name w:val="Title"/>
    <w:basedOn w:val="Normal"/>
    <w:qFormat/>
    <w:rsid w:val="00287B33"/>
    <w:pPr>
      <w:spacing w:before="240" w:after="60"/>
      <w:jc w:val="center"/>
      <w:outlineLvl w:val="0"/>
    </w:pPr>
    <w:rPr>
      <w:rFonts w:ascii="Arial" w:hAnsi="Arial" w:cs="Arial"/>
      <w:b/>
      <w:bCs/>
      <w:kern w:val="28"/>
      <w:sz w:val="32"/>
      <w:szCs w:val="32"/>
    </w:rPr>
  </w:style>
  <w:style w:type="paragraph" w:customStyle="1" w:styleId="NormalQuote">
    <w:name w:val="Normal_Quote"/>
    <w:next w:val="Normal"/>
    <w:autoRedefine/>
    <w:rsid w:val="001554CD"/>
    <w:pPr>
      <w:spacing w:before="120"/>
      <w:ind w:left="720" w:right="720"/>
      <w:jc w:val="both"/>
    </w:pPr>
    <w:rPr>
      <w:rFonts w:ascii="Arial" w:hAnsi="Arial"/>
    </w:rPr>
  </w:style>
  <w:style w:type="paragraph" w:styleId="BodyText3">
    <w:name w:val="Body Text 3"/>
    <w:basedOn w:val="Normal"/>
    <w:link w:val="BodyText3Char"/>
    <w:uiPriority w:val="99"/>
    <w:rsid w:val="00A35C5C"/>
    <w:pPr>
      <w:spacing w:after="120"/>
    </w:pPr>
    <w:rPr>
      <w:sz w:val="16"/>
      <w:szCs w:val="16"/>
    </w:rPr>
  </w:style>
  <w:style w:type="paragraph" w:styleId="Header">
    <w:name w:val="header"/>
    <w:basedOn w:val="Normal"/>
    <w:rsid w:val="00F85DCC"/>
    <w:pPr>
      <w:tabs>
        <w:tab w:val="center" w:pos="4320"/>
        <w:tab w:val="right" w:pos="8640"/>
      </w:tabs>
    </w:pPr>
  </w:style>
  <w:style w:type="paragraph" w:styleId="Footer">
    <w:name w:val="footer"/>
    <w:basedOn w:val="Normal"/>
    <w:link w:val="FooterChar"/>
    <w:uiPriority w:val="99"/>
    <w:rsid w:val="00F85DCC"/>
    <w:pPr>
      <w:tabs>
        <w:tab w:val="center" w:pos="4320"/>
        <w:tab w:val="right" w:pos="8640"/>
      </w:tabs>
    </w:pPr>
  </w:style>
  <w:style w:type="character" w:styleId="Hyperlink">
    <w:name w:val="Hyperlink"/>
    <w:uiPriority w:val="99"/>
    <w:rsid w:val="00F85DCC"/>
    <w:rPr>
      <w:rFonts w:ascii="Times New Roman" w:hAnsi="Times New Roman" w:cs="Times New Roman" w:hint="default"/>
      <w:color w:val="0000FF"/>
      <w:u w:val="single"/>
    </w:rPr>
  </w:style>
  <w:style w:type="character" w:customStyle="1" w:styleId="Heading1Char">
    <w:name w:val="Heading 1 Char"/>
    <w:link w:val="Heading1"/>
    <w:locked/>
    <w:rsid w:val="00B61C85"/>
    <w:rPr>
      <w:rFonts w:ascii="Arial" w:hAnsi="Arial" w:cs="Arial"/>
      <w:b/>
      <w:bCs/>
      <w:i/>
      <w:kern w:val="32"/>
      <w:sz w:val="24"/>
      <w:szCs w:val="32"/>
      <w:lang w:val="en-US" w:eastAsia="en-US" w:bidi="ar-SA"/>
    </w:rPr>
  </w:style>
  <w:style w:type="paragraph" w:styleId="TOC1">
    <w:name w:val="toc 1"/>
    <w:basedOn w:val="Normal"/>
    <w:next w:val="Normal"/>
    <w:autoRedefine/>
    <w:uiPriority w:val="39"/>
    <w:rsid w:val="009D24A0"/>
  </w:style>
  <w:style w:type="paragraph" w:styleId="BlockText">
    <w:name w:val="Block Text"/>
    <w:rsid w:val="00B61C85"/>
    <w:pPr>
      <w:spacing w:before="120"/>
      <w:ind w:left="720" w:right="1080"/>
    </w:pPr>
    <w:rPr>
      <w:rFonts w:ascii="Arial" w:hAnsi="Arial"/>
      <w:sz w:val="21"/>
      <w:szCs w:val="24"/>
    </w:rPr>
  </w:style>
  <w:style w:type="table" w:styleId="TableGrid">
    <w:name w:val="Table Grid"/>
    <w:basedOn w:val="TableNormal"/>
    <w:rsid w:val="005626C2"/>
    <w:pPr>
      <w:spacing w:before="120"/>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B61C85"/>
    <w:pPr>
      <w:numPr>
        <w:numId w:val="1"/>
      </w:numPr>
    </w:pPr>
  </w:style>
  <w:style w:type="character" w:styleId="PageNumber">
    <w:name w:val="page number"/>
    <w:basedOn w:val="DefaultParagraphFont"/>
    <w:rsid w:val="005B66FB"/>
  </w:style>
  <w:style w:type="paragraph" w:customStyle="1" w:styleId="References">
    <w:name w:val="References"/>
    <w:rsid w:val="00730C0D"/>
    <w:pPr>
      <w:spacing w:before="80"/>
      <w:ind w:left="720" w:hanging="720"/>
    </w:pPr>
    <w:rPr>
      <w:rFonts w:ascii="Bookman Old Style" w:hAnsi="Bookman Old Style"/>
      <w:szCs w:val="24"/>
    </w:rPr>
  </w:style>
  <w:style w:type="paragraph" w:styleId="TOC2">
    <w:name w:val="toc 2"/>
    <w:basedOn w:val="Normal"/>
    <w:next w:val="Normal"/>
    <w:autoRedefine/>
    <w:uiPriority w:val="39"/>
    <w:rsid w:val="005B66FB"/>
    <w:pPr>
      <w:ind w:left="220"/>
    </w:pPr>
  </w:style>
  <w:style w:type="paragraph" w:styleId="TOC3">
    <w:name w:val="toc 3"/>
    <w:basedOn w:val="Normal"/>
    <w:next w:val="Normal"/>
    <w:autoRedefine/>
    <w:uiPriority w:val="39"/>
    <w:rsid w:val="005B66FB"/>
    <w:pPr>
      <w:ind w:left="440"/>
    </w:pPr>
  </w:style>
  <w:style w:type="paragraph" w:styleId="TOC4">
    <w:name w:val="toc 4"/>
    <w:basedOn w:val="Normal"/>
    <w:next w:val="Normal"/>
    <w:autoRedefine/>
    <w:uiPriority w:val="39"/>
    <w:rsid w:val="005B66FB"/>
    <w:pPr>
      <w:ind w:left="660"/>
    </w:pPr>
  </w:style>
  <w:style w:type="paragraph" w:styleId="TOC5">
    <w:name w:val="toc 5"/>
    <w:basedOn w:val="Normal"/>
    <w:next w:val="Normal"/>
    <w:autoRedefine/>
    <w:uiPriority w:val="39"/>
    <w:rsid w:val="005B66FB"/>
    <w:pPr>
      <w:ind w:left="880"/>
    </w:pPr>
  </w:style>
  <w:style w:type="character" w:customStyle="1" w:styleId="FootnoteTextChar">
    <w:name w:val="Footnote Text Char"/>
    <w:aliases w:val="Char Char Char,Ftnote Txt 11ptG Char"/>
    <w:link w:val="FootnoteText"/>
    <w:uiPriority w:val="99"/>
    <w:locked/>
    <w:rsid w:val="00085B8D"/>
    <w:rPr>
      <w:rFonts w:ascii="Bookman Old Style" w:hAnsi="Bookman Old Style"/>
    </w:rPr>
  </w:style>
  <w:style w:type="character" w:customStyle="1" w:styleId="FooterChar">
    <w:name w:val="Footer Char"/>
    <w:link w:val="Footer"/>
    <w:uiPriority w:val="99"/>
    <w:locked/>
    <w:rsid w:val="005F4D57"/>
    <w:rPr>
      <w:rFonts w:ascii="Bookman Old Style" w:hAnsi="Bookman Old Style"/>
      <w:sz w:val="22"/>
      <w:szCs w:val="24"/>
    </w:rPr>
  </w:style>
  <w:style w:type="character" w:customStyle="1" w:styleId="Heading2Char">
    <w:name w:val="Heading 2 Char"/>
    <w:link w:val="Heading2"/>
    <w:rsid w:val="005F4D57"/>
    <w:rPr>
      <w:rFonts w:ascii="Arial" w:hAnsi="Arial" w:cs="Arial"/>
      <w:b/>
      <w:bCs/>
      <w:i/>
      <w:iCs/>
      <w:sz w:val="22"/>
      <w:szCs w:val="28"/>
    </w:rPr>
  </w:style>
  <w:style w:type="character" w:customStyle="1" w:styleId="Heading3Char">
    <w:name w:val="Heading 3 Char"/>
    <w:link w:val="Heading3"/>
    <w:rsid w:val="005F4D57"/>
    <w:rPr>
      <w:rFonts w:ascii="Arial" w:hAnsi="Arial" w:cs="Arial"/>
      <w:b/>
      <w:bCs/>
      <w:i/>
      <w:sz w:val="22"/>
      <w:szCs w:val="26"/>
    </w:rPr>
  </w:style>
  <w:style w:type="character" w:customStyle="1" w:styleId="Heading4Char">
    <w:name w:val="Heading 4 Char"/>
    <w:link w:val="Heading4"/>
    <w:rsid w:val="005F4D57"/>
    <w:rPr>
      <w:rFonts w:ascii="Bookman Old Style" w:hAnsi="Bookman Old Style"/>
      <w:b/>
      <w:bCs/>
      <w:i/>
      <w:szCs w:val="28"/>
    </w:rPr>
  </w:style>
  <w:style w:type="paragraph" w:styleId="ListParagraph">
    <w:name w:val="List Paragraph"/>
    <w:basedOn w:val="Normal"/>
    <w:uiPriority w:val="34"/>
    <w:qFormat/>
    <w:rsid w:val="006E45E5"/>
    <w:pPr>
      <w:ind w:left="720"/>
      <w:contextualSpacing/>
    </w:pPr>
  </w:style>
  <w:style w:type="character" w:customStyle="1" w:styleId="BodyText3Char">
    <w:name w:val="Body Text 3 Char"/>
    <w:link w:val="BodyText3"/>
    <w:uiPriority w:val="99"/>
    <w:locked/>
    <w:rsid w:val="00625E87"/>
    <w:rPr>
      <w:rFonts w:ascii="Bookman Old Style" w:hAnsi="Bookman Old Style"/>
      <w:sz w:val="16"/>
      <w:szCs w:val="16"/>
    </w:rPr>
  </w:style>
  <w:style w:type="character" w:customStyle="1" w:styleId="EmailStyle31">
    <w:name w:val="EmailStyle31"/>
    <w:uiPriority w:val="99"/>
    <w:semiHidden/>
    <w:rsid w:val="00625E87"/>
    <w:rPr>
      <w:rFonts w:ascii="Arial" w:hAnsi="Arial" w:cs="Arial"/>
      <w:color w:val="000080"/>
      <w:sz w:val="20"/>
      <w:szCs w:val="20"/>
    </w:rPr>
  </w:style>
  <w:style w:type="character" w:styleId="Strong">
    <w:name w:val="Strong"/>
    <w:uiPriority w:val="22"/>
    <w:qFormat/>
    <w:rsid w:val="00C47AB1"/>
    <w:rPr>
      <w:b/>
      <w:bCs/>
    </w:rPr>
  </w:style>
  <w:style w:type="character" w:customStyle="1" w:styleId="UnresolvedMention">
    <w:name w:val="Unresolved Mention"/>
    <w:basedOn w:val="DefaultParagraphFont"/>
    <w:uiPriority w:val="99"/>
    <w:semiHidden/>
    <w:unhideWhenUsed/>
    <w:rsid w:val="00D66B43"/>
    <w:rPr>
      <w:color w:val="605E5C"/>
      <w:shd w:val="clear" w:color="auto" w:fill="E1DFDD"/>
    </w:rPr>
  </w:style>
  <w:style w:type="paragraph" w:customStyle="1" w:styleId="Normal-Tight">
    <w:name w:val="Normal-Tight"/>
    <w:basedOn w:val="Normal"/>
    <w:next w:val="Normal"/>
    <w:qFormat/>
    <w:rsid w:val="0072798B"/>
    <w:pPr>
      <w:spacing w:before="0"/>
      <w:ind w:firstLine="0"/>
    </w:pPr>
    <w:rPr>
      <w:rFonts w:eastAsiaTheme="minorHAnsi" w:cstheme="minorBidi"/>
      <w:szCs w:val="22"/>
    </w:rPr>
  </w:style>
  <w:style w:type="paragraph" w:styleId="NormalWeb">
    <w:name w:val="Normal (Web)"/>
    <w:basedOn w:val="Normal"/>
    <w:uiPriority w:val="99"/>
    <w:semiHidden/>
    <w:unhideWhenUsed/>
    <w:rsid w:val="007B09CA"/>
    <w:pPr>
      <w:spacing w:before="100" w:beforeAutospacing="1" w:after="100" w:afterAutospacing="1"/>
      <w:ind w:firstLine="0"/>
    </w:pPr>
    <w:rPr>
      <w:rFonts w:ascii="Times New Roman" w:hAnsi="Times New Roman"/>
      <w:sz w:val="24"/>
    </w:rPr>
  </w:style>
  <w:style w:type="paragraph" w:customStyle="1" w:styleId="Default">
    <w:name w:val="Default"/>
    <w:rsid w:val="00332693"/>
    <w:pPr>
      <w:autoSpaceDE w:val="0"/>
      <w:autoSpaceDN w:val="0"/>
      <w:adjustRightInd w:val="0"/>
    </w:pPr>
    <w:rPr>
      <w:color w:val="000000"/>
      <w:sz w:val="24"/>
      <w:szCs w:val="24"/>
    </w:rPr>
  </w:style>
  <w:style w:type="character" w:customStyle="1" w:styleId="None">
    <w:name w:val="None"/>
    <w:rsid w:val="002F1EE0"/>
  </w:style>
  <w:style w:type="paragraph" w:styleId="Quote">
    <w:name w:val="Quote"/>
    <w:basedOn w:val="Normal"/>
    <w:next w:val="Normal"/>
    <w:link w:val="QuoteChar"/>
    <w:uiPriority w:val="29"/>
    <w:qFormat/>
    <w:rsid w:val="007C7F9E"/>
    <w:pPr>
      <w:ind w:left="720" w:right="720" w:firstLine="0"/>
    </w:pPr>
    <w:rPr>
      <w:iCs/>
      <w:color w:val="000000"/>
      <w:sz w:val="20"/>
    </w:rPr>
  </w:style>
  <w:style w:type="character" w:customStyle="1" w:styleId="QuoteChar">
    <w:name w:val="Quote Char"/>
    <w:basedOn w:val="DefaultParagraphFont"/>
    <w:link w:val="Quote"/>
    <w:uiPriority w:val="29"/>
    <w:rsid w:val="007C7F9E"/>
    <w:rPr>
      <w:rFonts w:ascii="Bookman Old Style" w:hAnsi="Bookman Old Style"/>
      <w:iCs/>
      <w:color w:val="000000"/>
      <w:szCs w:val="24"/>
    </w:rPr>
  </w:style>
  <w:style w:type="character" w:customStyle="1" w:styleId="Hyperlink4">
    <w:name w:val="Hyperlink.4"/>
    <w:basedOn w:val="None"/>
    <w:rsid w:val="00E8407A"/>
    <w:rPr>
      <w:rFonts w:ascii="Bookman Old Style" w:eastAsia="Bookman Old Style" w:hAnsi="Bookman Old Style" w:cs="Bookman Old Style" w:hint="default"/>
      <w:lang w:val="en-US"/>
    </w:rPr>
  </w:style>
  <w:style w:type="paragraph" w:styleId="TOCHeading">
    <w:name w:val="TOC Heading"/>
    <w:basedOn w:val="Heading1"/>
    <w:next w:val="Normal"/>
    <w:uiPriority w:val="39"/>
    <w:unhideWhenUsed/>
    <w:qFormat/>
    <w:rsid w:val="0033255A"/>
    <w:pPr>
      <w:keepLines/>
      <w:spacing w:after="0" w:line="259" w:lineRule="auto"/>
      <w:ind w:left="0" w:firstLine="0"/>
      <w:outlineLvl w:val="9"/>
    </w:pPr>
    <w:rPr>
      <w:rFonts w:asciiTheme="majorHAnsi" w:eastAsiaTheme="majorEastAsia" w:hAnsiTheme="majorHAnsi" w:cstheme="majorBidi"/>
      <w:b w:val="0"/>
      <w:bCs w:val="0"/>
      <w:i w:val="0"/>
      <w:color w:val="365F91" w:themeColor="accent1" w:themeShade="BF"/>
      <w:kern w:val="0"/>
      <w:sz w:val="32"/>
    </w:rPr>
  </w:style>
  <w:style w:type="paragraph" w:styleId="BalloonText">
    <w:name w:val="Balloon Text"/>
    <w:basedOn w:val="Normal"/>
    <w:link w:val="BalloonTextChar"/>
    <w:rsid w:val="006C5D82"/>
    <w:pPr>
      <w:spacing w:before="0"/>
    </w:pPr>
    <w:rPr>
      <w:rFonts w:ascii="Tahoma" w:hAnsi="Tahoma" w:cs="Tahoma"/>
      <w:sz w:val="16"/>
      <w:szCs w:val="16"/>
    </w:rPr>
  </w:style>
  <w:style w:type="character" w:customStyle="1" w:styleId="BalloonTextChar">
    <w:name w:val="Balloon Text Char"/>
    <w:basedOn w:val="DefaultParagraphFont"/>
    <w:link w:val="BalloonText"/>
    <w:rsid w:val="006C5D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6760">
      <w:bodyDiv w:val="1"/>
      <w:marLeft w:val="0"/>
      <w:marRight w:val="0"/>
      <w:marTop w:val="0"/>
      <w:marBottom w:val="0"/>
      <w:divBdr>
        <w:top w:val="none" w:sz="0" w:space="0" w:color="auto"/>
        <w:left w:val="none" w:sz="0" w:space="0" w:color="auto"/>
        <w:bottom w:val="none" w:sz="0" w:space="0" w:color="auto"/>
        <w:right w:val="none" w:sz="0" w:space="0" w:color="auto"/>
      </w:divBdr>
    </w:div>
    <w:div w:id="104732306">
      <w:bodyDiv w:val="1"/>
      <w:marLeft w:val="0"/>
      <w:marRight w:val="0"/>
      <w:marTop w:val="0"/>
      <w:marBottom w:val="0"/>
      <w:divBdr>
        <w:top w:val="none" w:sz="0" w:space="0" w:color="auto"/>
        <w:left w:val="none" w:sz="0" w:space="0" w:color="auto"/>
        <w:bottom w:val="none" w:sz="0" w:space="0" w:color="auto"/>
        <w:right w:val="none" w:sz="0" w:space="0" w:color="auto"/>
      </w:divBdr>
    </w:div>
    <w:div w:id="144669542">
      <w:bodyDiv w:val="1"/>
      <w:marLeft w:val="0"/>
      <w:marRight w:val="0"/>
      <w:marTop w:val="0"/>
      <w:marBottom w:val="0"/>
      <w:divBdr>
        <w:top w:val="none" w:sz="0" w:space="0" w:color="auto"/>
        <w:left w:val="none" w:sz="0" w:space="0" w:color="auto"/>
        <w:bottom w:val="none" w:sz="0" w:space="0" w:color="auto"/>
        <w:right w:val="none" w:sz="0" w:space="0" w:color="auto"/>
      </w:divBdr>
    </w:div>
    <w:div w:id="157356610">
      <w:bodyDiv w:val="1"/>
      <w:marLeft w:val="0"/>
      <w:marRight w:val="0"/>
      <w:marTop w:val="0"/>
      <w:marBottom w:val="0"/>
      <w:divBdr>
        <w:top w:val="none" w:sz="0" w:space="0" w:color="auto"/>
        <w:left w:val="none" w:sz="0" w:space="0" w:color="auto"/>
        <w:bottom w:val="none" w:sz="0" w:space="0" w:color="auto"/>
        <w:right w:val="none" w:sz="0" w:space="0" w:color="auto"/>
      </w:divBdr>
    </w:div>
    <w:div w:id="304160253">
      <w:bodyDiv w:val="1"/>
      <w:marLeft w:val="0"/>
      <w:marRight w:val="0"/>
      <w:marTop w:val="0"/>
      <w:marBottom w:val="0"/>
      <w:divBdr>
        <w:top w:val="none" w:sz="0" w:space="0" w:color="auto"/>
        <w:left w:val="none" w:sz="0" w:space="0" w:color="auto"/>
        <w:bottom w:val="none" w:sz="0" w:space="0" w:color="auto"/>
        <w:right w:val="none" w:sz="0" w:space="0" w:color="auto"/>
      </w:divBdr>
    </w:div>
    <w:div w:id="491412141">
      <w:bodyDiv w:val="1"/>
      <w:marLeft w:val="0"/>
      <w:marRight w:val="0"/>
      <w:marTop w:val="0"/>
      <w:marBottom w:val="0"/>
      <w:divBdr>
        <w:top w:val="none" w:sz="0" w:space="0" w:color="auto"/>
        <w:left w:val="none" w:sz="0" w:space="0" w:color="auto"/>
        <w:bottom w:val="none" w:sz="0" w:space="0" w:color="auto"/>
        <w:right w:val="none" w:sz="0" w:space="0" w:color="auto"/>
      </w:divBdr>
    </w:div>
    <w:div w:id="558975544">
      <w:bodyDiv w:val="1"/>
      <w:marLeft w:val="0"/>
      <w:marRight w:val="0"/>
      <w:marTop w:val="0"/>
      <w:marBottom w:val="0"/>
      <w:divBdr>
        <w:top w:val="none" w:sz="0" w:space="0" w:color="auto"/>
        <w:left w:val="none" w:sz="0" w:space="0" w:color="auto"/>
        <w:bottom w:val="none" w:sz="0" w:space="0" w:color="auto"/>
        <w:right w:val="none" w:sz="0" w:space="0" w:color="auto"/>
      </w:divBdr>
    </w:div>
    <w:div w:id="723795292">
      <w:bodyDiv w:val="1"/>
      <w:marLeft w:val="0"/>
      <w:marRight w:val="0"/>
      <w:marTop w:val="0"/>
      <w:marBottom w:val="0"/>
      <w:divBdr>
        <w:top w:val="none" w:sz="0" w:space="0" w:color="auto"/>
        <w:left w:val="none" w:sz="0" w:space="0" w:color="auto"/>
        <w:bottom w:val="none" w:sz="0" w:space="0" w:color="auto"/>
        <w:right w:val="none" w:sz="0" w:space="0" w:color="auto"/>
      </w:divBdr>
    </w:div>
    <w:div w:id="815226809">
      <w:bodyDiv w:val="1"/>
      <w:marLeft w:val="0"/>
      <w:marRight w:val="0"/>
      <w:marTop w:val="0"/>
      <w:marBottom w:val="0"/>
      <w:divBdr>
        <w:top w:val="none" w:sz="0" w:space="0" w:color="auto"/>
        <w:left w:val="none" w:sz="0" w:space="0" w:color="auto"/>
        <w:bottom w:val="none" w:sz="0" w:space="0" w:color="auto"/>
        <w:right w:val="none" w:sz="0" w:space="0" w:color="auto"/>
      </w:divBdr>
    </w:div>
    <w:div w:id="818545607">
      <w:bodyDiv w:val="1"/>
      <w:marLeft w:val="0"/>
      <w:marRight w:val="0"/>
      <w:marTop w:val="0"/>
      <w:marBottom w:val="0"/>
      <w:divBdr>
        <w:top w:val="none" w:sz="0" w:space="0" w:color="auto"/>
        <w:left w:val="none" w:sz="0" w:space="0" w:color="auto"/>
        <w:bottom w:val="none" w:sz="0" w:space="0" w:color="auto"/>
        <w:right w:val="none" w:sz="0" w:space="0" w:color="auto"/>
      </w:divBdr>
    </w:div>
    <w:div w:id="853155655">
      <w:bodyDiv w:val="1"/>
      <w:marLeft w:val="0"/>
      <w:marRight w:val="0"/>
      <w:marTop w:val="0"/>
      <w:marBottom w:val="0"/>
      <w:divBdr>
        <w:top w:val="none" w:sz="0" w:space="0" w:color="auto"/>
        <w:left w:val="none" w:sz="0" w:space="0" w:color="auto"/>
        <w:bottom w:val="none" w:sz="0" w:space="0" w:color="auto"/>
        <w:right w:val="none" w:sz="0" w:space="0" w:color="auto"/>
      </w:divBdr>
    </w:div>
    <w:div w:id="869609768">
      <w:bodyDiv w:val="1"/>
      <w:marLeft w:val="0"/>
      <w:marRight w:val="0"/>
      <w:marTop w:val="0"/>
      <w:marBottom w:val="0"/>
      <w:divBdr>
        <w:top w:val="none" w:sz="0" w:space="0" w:color="auto"/>
        <w:left w:val="none" w:sz="0" w:space="0" w:color="auto"/>
        <w:bottom w:val="none" w:sz="0" w:space="0" w:color="auto"/>
        <w:right w:val="none" w:sz="0" w:space="0" w:color="auto"/>
      </w:divBdr>
    </w:div>
    <w:div w:id="871305099">
      <w:bodyDiv w:val="1"/>
      <w:marLeft w:val="0"/>
      <w:marRight w:val="0"/>
      <w:marTop w:val="0"/>
      <w:marBottom w:val="0"/>
      <w:divBdr>
        <w:top w:val="none" w:sz="0" w:space="0" w:color="auto"/>
        <w:left w:val="none" w:sz="0" w:space="0" w:color="auto"/>
        <w:bottom w:val="none" w:sz="0" w:space="0" w:color="auto"/>
        <w:right w:val="none" w:sz="0" w:space="0" w:color="auto"/>
      </w:divBdr>
    </w:div>
    <w:div w:id="927882161">
      <w:bodyDiv w:val="1"/>
      <w:marLeft w:val="0"/>
      <w:marRight w:val="0"/>
      <w:marTop w:val="0"/>
      <w:marBottom w:val="0"/>
      <w:divBdr>
        <w:top w:val="none" w:sz="0" w:space="0" w:color="auto"/>
        <w:left w:val="none" w:sz="0" w:space="0" w:color="auto"/>
        <w:bottom w:val="none" w:sz="0" w:space="0" w:color="auto"/>
        <w:right w:val="none" w:sz="0" w:space="0" w:color="auto"/>
      </w:divBdr>
    </w:div>
    <w:div w:id="955671746">
      <w:bodyDiv w:val="1"/>
      <w:marLeft w:val="0"/>
      <w:marRight w:val="0"/>
      <w:marTop w:val="0"/>
      <w:marBottom w:val="0"/>
      <w:divBdr>
        <w:top w:val="none" w:sz="0" w:space="0" w:color="auto"/>
        <w:left w:val="none" w:sz="0" w:space="0" w:color="auto"/>
        <w:bottom w:val="none" w:sz="0" w:space="0" w:color="auto"/>
        <w:right w:val="none" w:sz="0" w:space="0" w:color="auto"/>
      </w:divBdr>
    </w:div>
    <w:div w:id="1005324186">
      <w:bodyDiv w:val="1"/>
      <w:marLeft w:val="0"/>
      <w:marRight w:val="0"/>
      <w:marTop w:val="0"/>
      <w:marBottom w:val="0"/>
      <w:divBdr>
        <w:top w:val="none" w:sz="0" w:space="0" w:color="auto"/>
        <w:left w:val="none" w:sz="0" w:space="0" w:color="auto"/>
        <w:bottom w:val="none" w:sz="0" w:space="0" w:color="auto"/>
        <w:right w:val="none" w:sz="0" w:space="0" w:color="auto"/>
      </w:divBdr>
    </w:div>
    <w:div w:id="1119300174">
      <w:bodyDiv w:val="1"/>
      <w:marLeft w:val="0"/>
      <w:marRight w:val="0"/>
      <w:marTop w:val="0"/>
      <w:marBottom w:val="0"/>
      <w:divBdr>
        <w:top w:val="none" w:sz="0" w:space="0" w:color="auto"/>
        <w:left w:val="none" w:sz="0" w:space="0" w:color="auto"/>
        <w:bottom w:val="none" w:sz="0" w:space="0" w:color="auto"/>
        <w:right w:val="none" w:sz="0" w:space="0" w:color="auto"/>
      </w:divBdr>
    </w:div>
    <w:div w:id="1153831631">
      <w:bodyDiv w:val="1"/>
      <w:marLeft w:val="0"/>
      <w:marRight w:val="0"/>
      <w:marTop w:val="0"/>
      <w:marBottom w:val="0"/>
      <w:divBdr>
        <w:top w:val="none" w:sz="0" w:space="0" w:color="auto"/>
        <w:left w:val="none" w:sz="0" w:space="0" w:color="auto"/>
        <w:bottom w:val="none" w:sz="0" w:space="0" w:color="auto"/>
        <w:right w:val="none" w:sz="0" w:space="0" w:color="auto"/>
      </w:divBdr>
    </w:div>
    <w:div w:id="1164474696">
      <w:bodyDiv w:val="1"/>
      <w:marLeft w:val="0"/>
      <w:marRight w:val="0"/>
      <w:marTop w:val="0"/>
      <w:marBottom w:val="0"/>
      <w:divBdr>
        <w:top w:val="none" w:sz="0" w:space="0" w:color="auto"/>
        <w:left w:val="none" w:sz="0" w:space="0" w:color="auto"/>
        <w:bottom w:val="none" w:sz="0" w:space="0" w:color="auto"/>
        <w:right w:val="none" w:sz="0" w:space="0" w:color="auto"/>
      </w:divBdr>
    </w:div>
    <w:div w:id="1216239671">
      <w:bodyDiv w:val="1"/>
      <w:marLeft w:val="0"/>
      <w:marRight w:val="0"/>
      <w:marTop w:val="0"/>
      <w:marBottom w:val="0"/>
      <w:divBdr>
        <w:top w:val="none" w:sz="0" w:space="0" w:color="auto"/>
        <w:left w:val="none" w:sz="0" w:space="0" w:color="auto"/>
        <w:bottom w:val="none" w:sz="0" w:space="0" w:color="auto"/>
        <w:right w:val="none" w:sz="0" w:space="0" w:color="auto"/>
      </w:divBdr>
    </w:div>
    <w:div w:id="1225143258">
      <w:bodyDiv w:val="1"/>
      <w:marLeft w:val="0"/>
      <w:marRight w:val="0"/>
      <w:marTop w:val="0"/>
      <w:marBottom w:val="0"/>
      <w:divBdr>
        <w:top w:val="none" w:sz="0" w:space="0" w:color="auto"/>
        <w:left w:val="none" w:sz="0" w:space="0" w:color="auto"/>
        <w:bottom w:val="none" w:sz="0" w:space="0" w:color="auto"/>
        <w:right w:val="none" w:sz="0" w:space="0" w:color="auto"/>
      </w:divBdr>
    </w:div>
    <w:div w:id="1280606104">
      <w:bodyDiv w:val="1"/>
      <w:marLeft w:val="0"/>
      <w:marRight w:val="0"/>
      <w:marTop w:val="0"/>
      <w:marBottom w:val="0"/>
      <w:divBdr>
        <w:top w:val="none" w:sz="0" w:space="0" w:color="auto"/>
        <w:left w:val="none" w:sz="0" w:space="0" w:color="auto"/>
        <w:bottom w:val="none" w:sz="0" w:space="0" w:color="auto"/>
        <w:right w:val="none" w:sz="0" w:space="0" w:color="auto"/>
      </w:divBdr>
    </w:div>
    <w:div w:id="1304654115">
      <w:bodyDiv w:val="1"/>
      <w:marLeft w:val="0"/>
      <w:marRight w:val="0"/>
      <w:marTop w:val="0"/>
      <w:marBottom w:val="0"/>
      <w:divBdr>
        <w:top w:val="none" w:sz="0" w:space="0" w:color="auto"/>
        <w:left w:val="none" w:sz="0" w:space="0" w:color="auto"/>
        <w:bottom w:val="none" w:sz="0" w:space="0" w:color="auto"/>
        <w:right w:val="none" w:sz="0" w:space="0" w:color="auto"/>
      </w:divBdr>
    </w:div>
    <w:div w:id="1309169245">
      <w:bodyDiv w:val="1"/>
      <w:marLeft w:val="0"/>
      <w:marRight w:val="0"/>
      <w:marTop w:val="0"/>
      <w:marBottom w:val="0"/>
      <w:divBdr>
        <w:top w:val="none" w:sz="0" w:space="0" w:color="auto"/>
        <w:left w:val="none" w:sz="0" w:space="0" w:color="auto"/>
        <w:bottom w:val="none" w:sz="0" w:space="0" w:color="auto"/>
        <w:right w:val="none" w:sz="0" w:space="0" w:color="auto"/>
      </w:divBdr>
    </w:div>
    <w:div w:id="1342320254">
      <w:bodyDiv w:val="1"/>
      <w:marLeft w:val="0"/>
      <w:marRight w:val="0"/>
      <w:marTop w:val="0"/>
      <w:marBottom w:val="0"/>
      <w:divBdr>
        <w:top w:val="none" w:sz="0" w:space="0" w:color="auto"/>
        <w:left w:val="none" w:sz="0" w:space="0" w:color="auto"/>
        <w:bottom w:val="none" w:sz="0" w:space="0" w:color="auto"/>
        <w:right w:val="none" w:sz="0" w:space="0" w:color="auto"/>
      </w:divBdr>
    </w:div>
    <w:div w:id="1515653480">
      <w:bodyDiv w:val="1"/>
      <w:marLeft w:val="0"/>
      <w:marRight w:val="0"/>
      <w:marTop w:val="0"/>
      <w:marBottom w:val="0"/>
      <w:divBdr>
        <w:top w:val="none" w:sz="0" w:space="0" w:color="auto"/>
        <w:left w:val="none" w:sz="0" w:space="0" w:color="auto"/>
        <w:bottom w:val="none" w:sz="0" w:space="0" w:color="auto"/>
        <w:right w:val="none" w:sz="0" w:space="0" w:color="auto"/>
      </w:divBdr>
    </w:div>
    <w:div w:id="1526552842">
      <w:bodyDiv w:val="1"/>
      <w:marLeft w:val="0"/>
      <w:marRight w:val="0"/>
      <w:marTop w:val="0"/>
      <w:marBottom w:val="0"/>
      <w:divBdr>
        <w:top w:val="none" w:sz="0" w:space="0" w:color="auto"/>
        <w:left w:val="none" w:sz="0" w:space="0" w:color="auto"/>
        <w:bottom w:val="none" w:sz="0" w:space="0" w:color="auto"/>
        <w:right w:val="none" w:sz="0" w:space="0" w:color="auto"/>
      </w:divBdr>
    </w:div>
    <w:div w:id="1593665003">
      <w:bodyDiv w:val="1"/>
      <w:marLeft w:val="0"/>
      <w:marRight w:val="0"/>
      <w:marTop w:val="0"/>
      <w:marBottom w:val="0"/>
      <w:divBdr>
        <w:top w:val="none" w:sz="0" w:space="0" w:color="auto"/>
        <w:left w:val="none" w:sz="0" w:space="0" w:color="auto"/>
        <w:bottom w:val="none" w:sz="0" w:space="0" w:color="auto"/>
        <w:right w:val="none" w:sz="0" w:space="0" w:color="auto"/>
      </w:divBdr>
    </w:div>
    <w:div w:id="1633245772">
      <w:bodyDiv w:val="1"/>
      <w:marLeft w:val="0"/>
      <w:marRight w:val="0"/>
      <w:marTop w:val="0"/>
      <w:marBottom w:val="0"/>
      <w:divBdr>
        <w:top w:val="none" w:sz="0" w:space="0" w:color="auto"/>
        <w:left w:val="none" w:sz="0" w:space="0" w:color="auto"/>
        <w:bottom w:val="none" w:sz="0" w:space="0" w:color="auto"/>
        <w:right w:val="none" w:sz="0" w:space="0" w:color="auto"/>
      </w:divBdr>
    </w:div>
    <w:div w:id="1638143799">
      <w:bodyDiv w:val="1"/>
      <w:marLeft w:val="0"/>
      <w:marRight w:val="0"/>
      <w:marTop w:val="0"/>
      <w:marBottom w:val="0"/>
      <w:divBdr>
        <w:top w:val="none" w:sz="0" w:space="0" w:color="auto"/>
        <w:left w:val="none" w:sz="0" w:space="0" w:color="auto"/>
        <w:bottom w:val="none" w:sz="0" w:space="0" w:color="auto"/>
        <w:right w:val="none" w:sz="0" w:space="0" w:color="auto"/>
      </w:divBdr>
    </w:div>
    <w:div w:id="1718435555">
      <w:bodyDiv w:val="1"/>
      <w:marLeft w:val="0"/>
      <w:marRight w:val="0"/>
      <w:marTop w:val="0"/>
      <w:marBottom w:val="0"/>
      <w:divBdr>
        <w:top w:val="none" w:sz="0" w:space="0" w:color="auto"/>
        <w:left w:val="none" w:sz="0" w:space="0" w:color="auto"/>
        <w:bottom w:val="none" w:sz="0" w:space="0" w:color="auto"/>
        <w:right w:val="none" w:sz="0" w:space="0" w:color="auto"/>
      </w:divBdr>
    </w:div>
    <w:div w:id="1789542651">
      <w:bodyDiv w:val="1"/>
      <w:marLeft w:val="0"/>
      <w:marRight w:val="0"/>
      <w:marTop w:val="0"/>
      <w:marBottom w:val="0"/>
      <w:divBdr>
        <w:top w:val="none" w:sz="0" w:space="0" w:color="auto"/>
        <w:left w:val="none" w:sz="0" w:space="0" w:color="auto"/>
        <w:bottom w:val="none" w:sz="0" w:space="0" w:color="auto"/>
        <w:right w:val="none" w:sz="0" w:space="0" w:color="auto"/>
      </w:divBdr>
    </w:div>
    <w:div w:id="1795253442">
      <w:bodyDiv w:val="1"/>
      <w:marLeft w:val="0"/>
      <w:marRight w:val="0"/>
      <w:marTop w:val="0"/>
      <w:marBottom w:val="0"/>
      <w:divBdr>
        <w:top w:val="none" w:sz="0" w:space="0" w:color="auto"/>
        <w:left w:val="none" w:sz="0" w:space="0" w:color="auto"/>
        <w:bottom w:val="none" w:sz="0" w:space="0" w:color="auto"/>
        <w:right w:val="none" w:sz="0" w:space="0" w:color="auto"/>
      </w:divBdr>
    </w:div>
    <w:div w:id="1804078885">
      <w:bodyDiv w:val="1"/>
      <w:marLeft w:val="0"/>
      <w:marRight w:val="0"/>
      <w:marTop w:val="0"/>
      <w:marBottom w:val="0"/>
      <w:divBdr>
        <w:top w:val="none" w:sz="0" w:space="0" w:color="auto"/>
        <w:left w:val="none" w:sz="0" w:space="0" w:color="auto"/>
        <w:bottom w:val="none" w:sz="0" w:space="0" w:color="auto"/>
        <w:right w:val="none" w:sz="0" w:space="0" w:color="auto"/>
      </w:divBdr>
    </w:div>
    <w:div w:id="1954051949">
      <w:bodyDiv w:val="1"/>
      <w:marLeft w:val="0"/>
      <w:marRight w:val="0"/>
      <w:marTop w:val="0"/>
      <w:marBottom w:val="0"/>
      <w:divBdr>
        <w:top w:val="none" w:sz="0" w:space="0" w:color="auto"/>
        <w:left w:val="none" w:sz="0" w:space="0" w:color="auto"/>
        <w:bottom w:val="none" w:sz="0" w:space="0" w:color="auto"/>
        <w:right w:val="none" w:sz="0" w:space="0" w:color="auto"/>
      </w:divBdr>
    </w:div>
    <w:div w:id="2012102816">
      <w:bodyDiv w:val="1"/>
      <w:marLeft w:val="0"/>
      <w:marRight w:val="0"/>
      <w:marTop w:val="0"/>
      <w:marBottom w:val="0"/>
      <w:divBdr>
        <w:top w:val="none" w:sz="0" w:space="0" w:color="auto"/>
        <w:left w:val="none" w:sz="0" w:space="0" w:color="auto"/>
        <w:bottom w:val="none" w:sz="0" w:space="0" w:color="auto"/>
        <w:right w:val="none" w:sz="0" w:space="0" w:color="auto"/>
      </w:divBdr>
    </w:div>
    <w:div w:id="205457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s.usda.gov/project/?project=62854"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cfreeman@biologicaldiversity.org" TargetMode="External"/><Relationship Id="rId4" Type="http://schemas.microsoft.com/office/2007/relationships/stylesWithEffects" Target="stylesWithEffects.xml"/><Relationship Id="rId9" Type="http://schemas.openxmlformats.org/officeDocument/2006/relationships/hyperlink" Target="mailto:defenders@akrainforest.ogr" TargetMode="External"/><Relationship Id="rId14"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s://www.ktoo.org/2022/11/03/scientists-present-theories-for-deer-decline-at-prince-of-wales-island-deer-summit/" TargetMode="External"/><Relationship Id="rId7" Type="http://schemas.openxmlformats.org/officeDocument/2006/relationships/hyperlink" Target="https://www.taxpayer.net/energy-natural-resources/u-s-forest-services-tongass-timber-plan-proposes-increased-costs-for-taxpa/" TargetMode="External"/><Relationship Id="rId2" Type="http://schemas.openxmlformats.org/officeDocument/2006/relationships/hyperlink" Target="https://cara.fs2c.usda.gov/Public/Letter/3927855?project=60639" TargetMode="External"/><Relationship Id="rId1" Type="http://schemas.openxmlformats.org/officeDocument/2006/relationships/hyperlink" Target="https://www.fs.usda.gov/project/?project=45037" TargetMode="External"/><Relationship Id="rId6" Type="http://schemas.openxmlformats.org/officeDocument/2006/relationships/hyperlink" Target="https://www.taxpayer.net/energy-natural-resources/upcoming-and-ongoing-taxpayer-losses-from-timber-sales-in-the-tongass-natio/" TargetMode="External"/><Relationship Id="rId5" Type="http://schemas.openxmlformats.org/officeDocument/2006/relationships/image" Target="media/image2.emf"/><Relationship Id="rId4" Type="http://schemas.openxmlformats.org/officeDocument/2006/relationships/hyperlink" Target="https://www.federalregister.gov/documents/2023/08/23/2023-18260/endangered-and-threatened-wildlife-and-plants-nine-species-not-warranted-for-listing-as-endanger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B78278-4D60-4DD8-9D14-25FB65E8A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20</Pages>
  <Words>6599</Words>
  <Characters>37553</Characters>
  <Application>Microsoft Office Word</Application>
  <DocSecurity>0</DocSecurity>
  <Lines>625</Lines>
  <Paragraphs>144</Paragraphs>
  <ScaleCrop>false</ScaleCrop>
  <HeadingPairs>
    <vt:vector size="2" baseType="variant">
      <vt:variant>
        <vt:lpstr>Title</vt:lpstr>
      </vt:variant>
      <vt:variant>
        <vt:i4>1</vt:i4>
      </vt:variant>
    </vt:vector>
  </HeadingPairs>
  <TitlesOfParts>
    <vt:vector size="1" baseType="lpstr">
      <vt:lpstr>.</vt:lpstr>
    </vt:vector>
  </TitlesOfParts>
  <Company>.</Company>
  <LinksUpToDate>false</LinksUpToDate>
  <CharactersWithSpaces>44008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cp:keywords>
  <cp:lastModifiedBy>.</cp:lastModifiedBy>
  <cp:revision>3</cp:revision>
  <cp:lastPrinted>2023-10-18T05:05:00Z</cp:lastPrinted>
  <dcterms:created xsi:type="dcterms:W3CDTF">2023-10-18T05:00:00Z</dcterms:created>
  <dcterms:modified xsi:type="dcterms:W3CDTF">2023-10-18T05:06:00Z</dcterms:modified>
</cp:coreProperties>
</file>