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October 10, 2023</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Mr. Kevin Wright, Dixie Forest Supervisor/Responsible Official</w:t>
      </w:r>
    </w:p>
    <w:p w:rsidR="00000000" w:rsidDel="00000000" w:rsidP="00000000" w:rsidRDefault="00000000" w:rsidRPr="00000000" w14:paraId="00000004">
      <w:pPr>
        <w:rPr/>
      </w:pPr>
      <w:r w:rsidDel="00000000" w:rsidR="00000000" w:rsidRPr="00000000">
        <w:rPr>
          <w:rtl w:val="0"/>
        </w:rPr>
        <w:t xml:space="preserve">820 North Main Street</w:t>
      </w:r>
    </w:p>
    <w:p w:rsidR="00000000" w:rsidDel="00000000" w:rsidP="00000000" w:rsidRDefault="00000000" w:rsidRPr="00000000" w14:paraId="00000005">
      <w:pPr>
        <w:rPr/>
      </w:pPr>
      <w:r w:rsidDel="00000000" w:rsidR="00000000" w:rsidRPr="00000000">
        <w:rPr>
          <w:rtl w:val="0"/>
        </w:rPr>
        <w:t xml:space="preserve">Cedar City, UT 84721</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t xml:space="preserve">Re: </w:t>
      </w:r>
      <w:r w:rsidDel="00000000" w:rsidR="00000000" w:rsidRPr="00000000">
        <w:rPr>
          <w:b w:val="1"/>
          <w:rtl w:val="0"/>
        </w:rPr>
        <w:t xml:space="preserve">Objection to the Dixie National Forest Prescribed Fire Landscape Resiliency Project Environmental Assessment (EA)</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t xml:space="preserve">Submitted via project webpage portal: </w:t>
      </w:r>
      <w:hyperlink r:id="rId8">
        <w:r w:rsidDel="00000000" w:rsidR="00000000" w:rsidRPr="00000000">
          <w:rPr>
            <w:u w:val="single"/>
            <w:rtl w:val="0"/>
          </w:rPr>
          <w:t xml:space="preserve">https://www.fs.usda.gov/project/dixie/?project=60970</w:t>
        </w:r>
      </w:hyperlink>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Dear Mr. Wright: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following is an Objection filed by Grand Canyon Trust, Center For Biological Diversity, Western Watersheds Project, Wild Earth Guardians, and Alliance for the Wild Rockies to the Environmental Assessment, Finding of No Significant Impact, and Draft Decision Notice for the Dixie National Forest Prescribed Fire Landscape Resiliency Project.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In general, we are in favor of the Forest’s plan to reduce the risk of uncharacteristic wildfires, increase resilience of existing vegetation groups, and improve ecological function in native vegetation communities and wildlife habitats with prescribed fire. However, we remain concerned over some important issues and request further clarification or revision of the EA regarding the topics below. Note that all of these issues were raised by the undersigned in our prior comments on the Project.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r w:rsidDel="00000000" w:rsidR="00000000" w:rsidRPr="00000000">
        <w:rPr>
          <w:rtl w:val="0"/>
        </w:rPr>
        <w:t xml:space="preserve">I. Mechanical Tree Removal Specifications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Although prescribed fire is the main focus of the project, the EA also approves mechanical removal of trees to reduce fuels prior to treatment with fire.  The EA states:  “Limited mechanical chipping, mastication, slashing, thinning, or piling may be used as a pre-treatment to reduce existing surface and ladder fuels, to create a fuel bed to carry fire, reinforce firelines, or increase safety where people are working.” (EA p. 9).  The EA also states that “this proposed action does not include the use of commercial timber sale or broad scale mechanical treatment proposals” (EA p. 6).  The Silvicultural Effects Analysis discusses “effects from reduced stand densities, from either juniper thinning or mastication to create large groups” (p. 29).</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We raised concerns about the lack of specificity on this issue in our comments on the EA.  What qualifies as “limited” and what qualifies as “broad scale” is not specified, and the mention in the Silvicultural Effects Analysis of juniper thinning or mastication to create large groups sounds like broad scale mechanical tree removal.  This aspect of the proposed action remains too vague for the public to determine exactly what the Forest plans to do and at what scale.  This is a violation of NEPA’s requirement that the agency take a hard look at its proposed actions and clearly disclose the effects of those actions to the public.  In order to remedy this issue we provide a request below.</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u w:val="single"/>
          <w:rtl w:val="0"/>
        </w:rPr>
        <w:t xml:space="preserve">Proposed Resolutions: </w:t>
      </w:r>
      <w:r w:rsidDel="00000000" w:rsidR="00000000" w:rsidRPr="00000000">
        <w:rPr>
          <w:rtl w:val="0"/>
        </w:rPr>
        <w:br w:type="textWrapping"/>
      </w:r>
    </w:p>
    <w:p w:rsidR="00000000" w:rsidDel="00000000" w:rsidP="00000000" w:rsidRDefault="00000000" w:rsidRPr="00000000" w14:paraId="00000018">
      <w:pPr>
        <w:rPr/>
      </w:pPr>
      <w:r w:rsidDel="00000000" w:rsidR="00000000" w:rsidRPr="00000000">
        <w:rPr>
          <w:rtl w:val="0"/>
        </w:rPr>
        <w:t xml:space="preserve">Please add the following language to the EA and any decision document:</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“Broad scale mechanical treatments that are not included under this project include creating mosaics and breaking up continuous canopies over large areas through cutting or chipping rather than fire. </w:t>
      </w:r>
      <w:r w:rsidDel="00000000" w:rsidR="00000000" w:rsidRPr="00000000">
        <w:rPr>
          <w:rtl w:val="0"/>
        </w:rPr>
        <w:t xml:space="preserve">Any hand or mechanical cutting or chipping of vegetation will be supplemental to and necessary for the application of prescribed fire.  This is limited to things such as fireline construction and tree removal to increase safety where people are working.” </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pStyle w:val="Heading2"/>
        <w:rPr/>
      </w:pPr>
      <w:r w:rsidDel="00000000" w:rsidR="00000000" w:rsidRPr="00000000">
        <w:rPr>
          <w:rtl w:val="0"/>
        </w:rPr>
        <w:t xml:space="preserve">II. Old Growth Tree Retention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We raised concerns about old growth trees in our comments, and are concerned about how the proposed action will ensure the retention of old growth trees. The EA allows mechanical treatments in these stands to carve out discontinuous “large groups” of trees. The Forest anticipates that this will limit the spread of crown fires, retain old growth, and promote large trees over time. The EA mentions retention of old growth clumps of pinyon, but appears to imply that old growth juniper will not be retained. The EA states that “the proposed action may likely remove some large, mature, and old trees for safety reasons or to prevent fire spread across holding areas” (EA p. 51). We think this approach in the previous sentence is sensible. However, the EA seems to contemplate the removal of old growth trees on a larger scale, such as mechanically in “large group” creation. The details of this potential action and its effects have not been disclosed or analyzed in the Forest’s project documentation.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Additionally, the Forest Service must demonstrate how the proposed actions are consistent with President Biden’s Executive Order on “Strengthening the Nation’s Forests, Communities, and Local Economies” (EO 14072). On Earth Day 2022, President Biden issued this executive order requiring the Forest Service and Bureau of Land Management (BLM) to “define, identify, and complete an inventory of old-growth and mature forests” on their respective lands and to “make such inventory publicly available.”</w:t>
      </w:r>
      <w:r w:rsidDel="00000000" w:rsidR="00000000" w:rsidRPr="00000000">
        <w:rPr>
          <w:vertAlign w:val="superscript"/>
        </w:rPr>
        <w:footnoteReference w:customMarkFollows="0" w:id="0"/>
      </w:r>
      <w:r w:rsidDel="00000000" w:rsidR="00000000" w:rsidRPr="00000000">
        <w:rPr>
          <w:rtl w:val="0"/>
        </w:rPr>
        <w:t xml:space="preserve">  The Executive Order establishes as a policy the conservation of mature and old-growth forests on Federal lands. On April 20, 2023, the Forest Service and BLM took the first step in complying with EO 14072 by publishing </w:t>
      </w:r>
      <w:r w:rsidDel="00000000" w:rsidR="00000000" w:rsidRPr="00000000">
        <w:rPr>
          <w:i w:val="1"/>
          <w:rtl w:val="0"/>
        </w:rPr>
        <w:t xml:space="preserve">Mature and Old-Growth Forests: Definition, Identification, and Initial Inventory on Lands Managed by the Forest Service and Bureau of Land Management</w:t>
      </w:r>
      <w:r w:rsidDel="00000000" w:rsidR="00000000" w:rsidRPr="00000000">
        <w:rPr>
          <w:rtl w:val="0"/>
        </w:rPr>
        <w:t xml:space="preserve">.</w:t>
      </w:r>
      <w:r w:rsidDel="00000000" w:rsidR="00000000" w:rsidRPr="00000000">
        <w:rPr>
          <w:vertAlign w:val="superscript"/>
        </w:rPr>
        <w:footnoteReference w:customMarkFollows="0" w:id="1"/>
      </w:r>
      <w:r w:rsidDel="00000000" w:rsidR="00000000" w:rsidRPr="00000000">
        <w:rPr>
          <w:rtl w:val="0"/>
        </w:rPr>
        <w:t xml:space="preserve"> The Silvicultural Effects Analysis for the project states:  “The proposed action is in compliance with Executive Order 14072 due to the proposed action promoting the restoration of natural ecological processes and functions upon that landscape that would mitigate wildfire risk to communities, municipal watersheds, and resources (p. 31).  We did not see mention of the 2023 </w:t>
      </w:r>
      <w:r w:rsidDel="00000000" w:rsidR="00000000" w:rsidRPr="00000000">
        <w:rPr>
          <w:i w:val="1"/>
          <w:rtl w:val="0"/>
        </w:rPr>
        <w:t xml:space="preserve">Mature and Old-Growth Forests</w:t>
      </w:r>
      <w:r w:rsidDel="00000000" w:rsidR="00000000" w:rsidRPr="00000000">
        <w:rPr>
          <w:rtl w:val="0"/>
        </w:rPr>
        <w:t xml:space="preserve"> report in the project documentation.  If the Forest does intend to remove old growth trees outside of the context of holding areas for fire or for safety reasons, the claim that the proposed action promotes the restoration of natural ecological processes is not justified.</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2023 </w:t>
      </w:r>
      <w:r w:rsidDel="00000000" w:rsidR="00000000" w:rsidRPr="00000000">
        <w:rPr>
          <w:i w:val="1"/>
          <w:rtl w:val="0"/>
        </w:rPr>
        <w:t xml:space="preserve">Mature and Old-Growth Forest</w:t>
      </w:r>
      <w:r w:rsidDel="00000000" w:rsidR="00000000" w:rsidRPr="00000000">
        <w:rPr>
          <w:rtl w:val="0"/>
        </w:rPr>
        <w:t xml:space="preserve"> report provides old-growth working definitions for Forest Service regions.  Table 11 provides minimum old-growth criteria for the Intermountain Region (Region 4).  For pinyon and juniper in the southeastern part of the region, which includes the Dixie NF, the minimum large tree diameter (at root collar) is 9” for low productivity sites (with a corresponding minimum large tree age of 150 years) and 12” for high productivity sites (with a corresponding minimum large tree age of 200 years; p. 39). These figures correspond well with site-specific findings from the nearby Fishlake NF presented in Orlemann &amp; Robison 2020.</w:t>
      </w:r>
      <w:r w:rsidDel="00000000" w:rsidR="00000000" w:rsidRPr="00000000">
        <w:rPr>
          <w:vertAlign w:val="superscript"/>
        </w:rPr>
        <w:footnoteReference w:customMarkFollows="0" w:id="2"/>
      </w:r>
      <w:r w:rsidDel="00000000" w:rsidR="00000000" w:rsidRPr="00000000">
        <w:rPr>
          <w:rtl w:val="0"/>
        </w:rPr>
        <w:t xml:space="preserve">   That study examined authorized removal of trees up to 15” diameter at root collar (DRC), which was intended to preserve pre-settlement trees (pp. 337-338).  Orlemann &amp; Robinson found that trees 10” DRC are likely pre-settlement trees, estimated at 155 to 175 years old (pp. 340, 343).</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rPr/>
      </w:pPr>
      <w:bookmarkStart w:colFirst="0" w:colLast="0" w:name="_heading=h.c43wz52g986" w:id="0"/>
      <w:bookmarkEnd w:id="0"/>
      <w:r w:rsidDel="00000000" w:rsidR="00000000" w:rsidRPr="00000000">
        <w:rPr>
          <w:rtl w:val="0"/>
        </w:rPr>
        <w:t xml:space="preserve">In order to ensure consistency with Executive Order 14072 and the best available science, the Forest should not be cutting trees larger than 12” DRC unless it can be documented by aging that such trees are not old-growth trees.  Furthermore, 12” DRC is the old-growth threshold for high productivity sites.  Some of the locations on the Dixie NF likely qualify as low productivity sites, and should thus use 9” DRC as the old-growth threshold.  In order to remedy the issues discussed in this section we provide the following requests.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u w:val="single"/>
          <w:rtl w:val="0"/>
        </w:rPr>
        <w:t xml:space="preserve">Proposed Resolutions:</w:t>
      </w:r>
      <w:r w:rsidDel="00000000" w:rsidR="00000000" w:rsidRPr="00000000">
        <w:rPr>
          <w:rtl w:val="0"/>
        </w:rPr>
        <w:t xml:space="preserv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Please a</w:t>
      </w:r>
      <w:r w:rsidDel="00000000" w:rsidR="00000000" w:rsidRPr="00000000">
        <w:rPr>
          <w:rtl w:val="0"/>
        </w:rPr>
        <w:t xml:space="preserve">dd the following language to the EA and any decision document:</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“Mechanical removal of large, mature, and old trees will only be for safety reasons or to prevent fire spread across holding areas.”</w:t>
      </w:r>
    </w:p>
    <w:p w:rsidR="00000000" w:rsidDel="00000000" w:rsidP="00000000" w:rsidRDefault="00000000" w:rsidRPr="00000000" w14:paraId="0000002A">
      <w:pPr>
        <w:numPr>
          <w:ilvl w:val="0"/>
          <w:numId w:val="2"/>
        </w:numPr>
        <w:ind w:left="720" w:hanging="360"/>
      </w:pPr>
      <w:r w:rsidDel="00000000" w:rsidR="00000000" w:rsidRPr="00000000">
        <w:rPr>
          <w:rtl w:val="0"/>
        </w:rPr>
        <w:t xml:space="preserve">“Mechanical removal of old-growth pinyon and juniper trees outside of the context of holding areas for fire or for safety reasons will not take place.  12” DRC is the old-growth threshold for pinyon and juniper trees on high productivity sites, and 9” is the old-growth threshold for low productivity sites.  Sites where any cutting will take place will be classified as either high or low productivity.  Pinyon and juniper above these thresholds will not be cut unless documented aging determines that the threshold is higher for a particular </w:t>
      </w:r>
      <w:r w:rsidDel="00000000" w:rsidR="00000000" w:rsidRPr="00000000">
        <w:rPr>
          <w:rtl w:val="0"/>
        </w:rPr>
        <w:t xml:space="preserve">site</w:t>
      </w:r>
      <w:r w:rsidDel="00000000" w:rsidR="00000000" w:rsidRPr="00000000">
        <w:rPr>
          <w:rtl w:val="0"/>
        </w:rPr>
        <w:t xml:space="preserve">.”</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“Sites where mechanical removal is proposed will collect age data (e.g., coring and DRC measurements) from a sample of trees to verify they are not old-growth (over 150 years).” </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rPr/>
      </w:pPr>
      <w:r w:rsidDel="00000000" w:rsidR="00000000" w:rsidRPr="00000000">
        <w:rPr>
          <w:rtl w:val="0"/>
        </w:rPr>
        <w:t xml:space="preserve">III. Pinyon Jay</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We provided extensive comments regarding potential impacts to pinyon jays in our comments.  The EA, Biological Assessment, and Biological Evaluation fail to mention pinyon jay.  The only place we could find any substantive discussion on pinyon jay is in the Response to Public Comment document.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color w:val="222222"/>
          <w:rtl w:val="0"/>
        </w:rPr>
        <w:t xml:space="preserve">Pinyon jay populations are currently undergoing significant decline. </w:t>
      </w:r>
      <w:r w:rsidDel="00000000" w:rsidR="00000000" w:rsidRPr="00000000">
        <w:rPr>
          <w:rtl w:val="0"/>
        </w:rPr>
        <w:t xml:space="preserve">An estimated 85% of the pinyon jay population was lost between 1967 and 2015, and the population is anticipated to decline by another 50% in 19 years.</w:t>
      </w:r>
      <w:r w:rsidDel="00000000" w:rsidR="00000000" w:rsidRPr="00000000">
        <w:rPr>
          <w:vertAlign w:val="superscript"/>
        </w:rPr>
        <w:footnoteReference w:customMarkFollows="0" w:id="3"/>
      </w:r>
      <w:r w:rsidDel="00000000" w:rsidR="00000000" w:rsidRPr="00000000">
        <w:rPr>
          <w:rtl w:val="0"/>
        </w:rPr>
        <w:t xml:space="preserve">  </w:t>
      </w:r>
      <w:r w:rsidDel="00000000" w:rsidR="00000000" w:rsidRPr="00000000">
        <w:rPr>
          <w:rtl w:val="0"/>
        </w:rPr>
        <w:t xml:space="preserve">The Fish and Wildlife Service recently issued a positive 90-day finding in response to a petition to list the pinyon jay under the Endangered Species Act and has initiated a status review.</w:t>
      </w:r>
      <w:r w:rsidDel="00000000" w:rsidR="00000000" w:rsidRPr="00000000">
        <w:rPr>
          <w:vertAlign w:val="superscript"/>
        </w:rPr>
        <w:footnoteReference w:customMarkFollows="0" w:id="4"/>
      </w:r>
      <w:r w:rsidDel="00000000" w:rsidR="00000000" w:rsidRPr="00000000">
        <w:rPr>
          <w:rtl w:val="0"/>
        </w:rPr>
        <w:t xml:space="preserve"> The 90-day finding lists adverse habitat treatments in pinyon-juniper woodlands as a factor it is considering under 4(a)(1) of the Endangered Species Act.  ” Further, Pinyon jay is also designated as a Species of Greatest Conservation Need by the Utah Division of Wildlife Resources as part of its Wildlife Action Plan.</w:t>
      </w:r>
      <w:r w:rsidDel="00000000" w:rsidR="00000000" w:rsidRPr="00000000">
        <w:rPr>
          <w:vertAlign w:val="superscript"/>
        </w:rPr>
        <w:footnoteReference w:customMarkFollows="0" w:id="5"/>
      </w:r>
      <w:r w:rsidDel="00000000" w:rsidR="00000000" w:rsidRPr="00000000">
        <w:rPr>
          <w:rtl w:val="0"/>
        </w:rPr>
        <w:t xml:space="preserve">  In light of the above, the dismissal of our comments regarding potential impacts to pinyon jay, and the lack of any analysis regarding such impacts, is concerning to us, and fails to demonstrate the “hard look” that NEPA requires.  The EA must evaluate the impacts on pinyon jay taking into consideration the decreasing populations and other data leading to its  potential listing as an endangered species.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Pinyon-juniper removal can have detrimental effects on pinyon jays, most concerningly removal of traditional nesting sites and elimination of important nut-producing pinyon pines.  </w:t>
      </w:r>
      <w:r w:rsidDel="00000000" w:rsidR="00000000" w:rsidRPr="00000000">
        <w:rPr>
          <w:rtl w:val="0"/>
        </w:rPr>
        <w:t xml:space="preserve">Regarding migratory birds in general, Design Feature Wildlife 1 of the EA states:  “Whenever possible prescribed fires and associated vegetation treatments would not occur during migratory bird nesting seasons.  The active nesting period would normally occur between April 1 and July 31” (EA p. 99).  Recent research has shown that this window is not appropriate for pinyon jays, and that standard surveys for other birds are likely not adequate for pinyon jays.  Furthermore, </w:t>
      </w:r>
      <w:r w:rsidDel="00000000" w:rsidR="00000000" w:rsidRPr="00000000">
        <w:rPr>
          <w:highlight w:val="white"/>
          <w:rtl w:val="0"/>
        </w:rPr>
        <w:t xml:space="preserve">pinyon jays can have very high nest site fidelity. Marzluff and Balda (1992) documented a flock that bred at the same site each of the 14 years that this flock was observed, and for another flock documented 5 different nesting sites that were each used 9 times.  </w:t>
      </w:r>
      <w:r w:rsidDel="00000000" w:rsidR="00000000" w:rsidRPr="00000000">
        <w:rPr>
          <w:rtl w:val="0"/>
        </w:rPr>
        <w:t xml:space="preserve">Thus implementing the project outside of the migratory bird nesting period, and even outside of the pinyon jay nesting period specifically, could still result in damaging impacts to pinyon jays and their traditional nesting sites. This is a potential effect that was not considered in the project documentation, in violation of NEPA.</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The Response to Public Comment document states:  “Although pinyon jay may be present in or adjacent to the proposed action area, it is highly unlikely that nesting habitat would be treated or affected.”  This is apparently based on the statement that “pinyon pine are not considered in the proposed action for this project” (Row #132).  We do not see this exclusion of pinyon pine stated in the EA itself.  The Response to Public Comment document goes on to state:  “Proposed treatments in juniper woodlands are expected to result in diminished juniper cover and increased grass and forb cover, which would increase the amount of habitat for pinyon jay cache sites” (Row #132).  It says nothing about nesting sites in this context. Pinyon jays use juniper in addition to pinyon for nesting, and may even preferentially nest in juniper due to higher foliar cover and increased visual screening. </w:t>
      </w:r>
      <w:r w:rsidDel="00000000" w:rsidR="00000000" w:rsidRPr="00000000">
        <w:rPr>
          <w:vertAlign w:val="superscript"/>
        </w:rPr>
        <w:footnoteReference w:customMarkFollows="0" w:id="6"/>
      </w:r>
      <w:r w:rsidDel="00000000" w:rsidR="00000000" w:rsidRPr="00000000">
        <w:rPr>
          <w:rtl w:val="0"/>
        </w:rPr>
        <w:t xml:space="preserve"> Thus</w:t>
      </w:r>
      <w:r w:rsidDel="00000000" w:rsidR="00000000" w:rsidRPr="00000000">
        <w:rPr>
          <w:rtl w:val="0"/>
        </w:rPr>
        <w:t xml:space="preserve"> the claim that “it is highly unlikely that nesting habitat would be treated or affected” is not justified.</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EA states that the proj</w:t>
      </w:r>
      <w:r w:rsidDel="00000000" w:rsidR="00000000" w:rsidRPr="00000000">
        <w:rPr>
          <w:rtl w:val="0"/>
        </w:rPr>
        <w:t xml:space="preserve">ect will not adversely affect migratory bird populations (EA p. 46).  For the reasons listed above with regard to pinyon jays, this statement is not justified.  </w:t>
      </w:r>
      <w:r w:rsidDel="00000000" w:rsidR="00000000" w:rsidRPr="00000000">
        <w:rPr>
          <w:rtl w:val="0"/>
        </w:rPr>
        <w:t xml:space="preserve">In order to remedy the issues discussed in this section we provide the following requests, which are based on the best available science and should be utilized for any activities with the potential to impact pinyon jays.</w:t>
      </w:r>
      <w:r w:rsidDel="00000000" w:rsidR="00000000" w:rsidRPr="00000000">
        <w:rPr>
          <w:rtl w:val="0"/>
        </w:rPr>
      </w:r>
    </w:p>
    <w:p w:rsidR="00000000" w:rsidDel="00000000" w:rsidP="00000000" w:rsidRDefault="00000000" w:rsidRPr="00000000" w14:paraId="00000038">
      <w:pPr>
        <w:shd w:fill="ffffff" w:val="clear"/>
        <w:spacing w:after="0" w:lineRule="auto"/>
        <w:rPr/>
      </w:pPr>
      <w:r w:rsidDel="00000000" w:rsidR="00000000" w:rsidRPr="00000000">
        <w:rPr>
          <w:rtl w:val="0"/>
        </w:rPr>
      </w:r>
    </w:p>
    <w:p w:rsidR="00000000" w:rsidDel="00000000" w:rsidP="00000000" w:rsidRDefault="00000000" w:rsidRPr="00000000" w14:paraId="00000039">
      <w:pPr>
        <w:shd w:fill="ffffff" w:val="clear"/>
        <w:rPr/>
      </w:pPr>
      <w:r w:rsidDel="00000000" w:rsidR="00000000" w:rsidRPr="00000000">
        <w:rPr>
          <w:u w:val="single"/>
          <w:rtl w:val="0"/>
        </w:rPr>
        <w:t xml:space="preserve">Proposed Resolutions:</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u w:val="single"/>
        </w:rPr>
      </w:pPr>
      <w:r w:rsidDel="00000000" w:rsidR="00000000" w:rsidRPr="00000000">
        <w:rPr>
          <w:rtl w:val="0"/>
        </w:rPr>
        <w:t xml:space="preserve">Please add the following language to the EA and any decision document:</w:t>
      </w:r>
      <w:r w:rsidDel="00000000" w:rsidR="00000000" w:rsidRPr="00000000">
        <w:rPr>
          <w:rtl w:val="0"/>
        </w:rPr>
      </w:r>
    </w:p>
    <w:p w:rsidR="00000000" w:rsidDel="00000000" w:rsidP="00000000" w:rsidRDefault="00000000" w:rsidRPr="00000000" w14:paraId="0000003C">
      <w:pPr>
        <w:numPr>
          <w:ilvl w:val="0"/>
          <w:numId w:val="3"/>
        </w:numPr>
        <w:shd w:fill="ffffff" w:val="clear"/>
        <w:spacing w:after="0" w:lineRule="auto"/>
        <w:ind w:left="720" w:hanging="360"/>
        <w:rPr>
          <w:rFonts w:ascii="Cambria" w:cs="Cambria" w:eastAsia="Cambria" w:hAnsi="Cambria"/>
          <w:color w:val="000000"/>
        </w:rPr>
      </w:pPr>
      <w:r w:rsidDel="00000000" w:rsidR="00000000" w:rsidRPr="00000000">
        <w:rPr>
          <w:rtl w:val="0"/>
        </w:rPr>
        <w:t xml:space="preserve">“</w:t>
      </w:r>
      <w:r w:rsidDel="00000000" w:rsidR="00000000" w:rsidRPr="00000000">
        <w:rPr>
          <w:rtl w:val="0"/>
        </w:rPr>
        <w:t xml:space="preserve">Survey all areas where trees will be removed or habitat disturbance will occur, with surveys conducted during pinyon jay nesting season (generally February through May). Areas should be surveyed even if the tree removal or disturbance will take place outside the nesting season, as pinyon jays can have very high nest site fidelity and may use the same nesting sites across years.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D">
      <w:pPr>
        <w:numPr>
          <w:ilvl w:val="0"/>
          <w:numId w:val="3"/>
        </w:numPr>
        <w:shd w:fill="ffffff" w:val="clear"/>
        <w:spacing w:after="0" w:lineRule="auto"/>
        <w:ind w:left="720" w:hanging="360"/>
        <w:rPr>
          <w:rFonts w:ascii="Cambria" w:cs="Cambria" w:eastAsia="Cambria" w:hAnsi="Cambria"/>
          <w:color w:val="000000"/>
        </w:rPr>
      </w:pPr>
      <w:r w:rsidDel="00000000" w:rsidR="00000000" w:rsidRPr="00000000">
        <w:rPr>
          <w:rtl w:val="0"/>
        </w:rPr>
        <w:t xml:space="preserve">“</w:t>
      </w:r>
      <w:r w:rsidDel="00000000" w:rsidR="00000000" w:rsidRPr="00000000">
        <w:rPr>
          <w:rtl w:val="0"/>
        </w:rPr>
        <w:t xml:space="preserve">To establish pinyon jay absence, three surveys should be conducted during the nesting season, with each survey separated by at least two weeks.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E">
      <w:pPr>
        <w:numPr>
          <w:ilvl w:val="0"/>
          <w:numId w:val="3"/>
        </w:numPr>
        <w:shd w:fill="ffffff" w:val="clear"/>
        <w:spacing w:after="0" w:lineRule="auto"/>
        <w:ind w:left="720" w:hanging="360"/>
        <w:rPr>
          <w:rFonts w:ascii="Cambria" w:cs="Cambria" w:eastAsia="Cambria" w:hAnsi="Cambria"/>
          <w:color w:val="000000"/>
        </w:rPr>
      </w:pPr>
      <w:r w:rsidDel="00000000" w:rsidR="00000000" w:rsidRPr="00000000">
        <w:rPr>
          <w:rtl w:val="0"/>
        </w:rPr>
        <w:t xml:space="preserve">“</w:t>
      </w:r>
      <w:r w:rsidDel="00000000" w:rsidR="00000000" w:rsidRPr="00000000">
        <w:rPr>
          <w:rtl w:val="0"/>
        </w:rPr>
        <w:t xml:space="preserve">If pinyon jay nests are found, the breeding colony should be buffered by a 500 meter no-treatment/disturbance zone as recommended by the </w:t>
      </w:r>
      <w:r w:rsidDel="00000000" w:rsidR="00000000" w:rsidRPr="00000000">
        <w:rPr>
          <w:i w:val="1"/>
          <w:rtl w:val="0"/>
        </w:rPr>
        <w:t xml:space="preserve">Conservation Strategy for the Pinyon Jay</w:t>
      </w:r>
      <w:r w:rsidDel="00000000" w:rsidR="00000000" w:rsidRPr="00000000">
        <w:rPr>
          <w:rtl w:val="0"/>
        </w:rPr>
        <w:t xml:space="preserve"> led by the U.S. Fish &amp; Wildlife Service.</w:t>
      </w:r>
      <w:r w:rsidDel="00000000" w:rsidR="00000000" w:rsidRPr="00000000">
        <w:rPr>
          <w:vertAlign w:val="superscript"/>
        </w:rPr>
        <w:footnoteReference w:customMarkFollows="0" w:id="7"/>
      </w:r>
      <w:r w:rsidDel="00000000" w:rsidR="00000000" w:rsidRPr="00000000">
        <w:rPr>
          <w:rtl w:val="0"/>
        </w:rPr>
        <w:t xml:space="preserve">”</w:t>
      </w:r>
    </w:p>
    <w:p w:rsidR="00000000" w:rsidDel="00000000" w:rsidP="00000000" w:rsidRDefault="00000000" w:rsidRPr="00000000" w14:paraId="0000003F">
      <w:pPr>
        <w:numPr>
          <w:ilvl w:val="0"/>
          <w:numId w:val="3"/>
        </w:numPr>
        <w:shd w:fill="ffffff" w:val="clear"/>
        <w:spacing w:after="0" w:lineRule="auto"/>
        <w:ind w:left="720" w:hanging="360"/>
        <w:rPr>
          <w:u w:val="none"/>
        </w:rPr>
      </w:pPr>
      <w:r w:rsidDel="00000000" w:rsidR="00000000" w:rsidRPr="00000000">
        <w:rPr>
          <w:rtl w:val="0"/>
        </w:rPr>
        <w:t xml:space="preserve">Clarify that pinyon pine will not be treated in the proposed action, as stated in the Response to Public Comment document.</w:t>
      </w:r>
    </w:p>
    <w:p w:rsidR="00000000" w:rsidDel="00000000" w:rsidP="00000000" w:rsidRDefault="00000000" w:rsidRPr="00000000" w14:paraId="00000040">
      <w:pPr>
        <w:shd w:fill="ffffff" w:val="clear"/>
        <w:spacing w:after="0" w:lineRule="auto"/>
        <w:rPr/>
      </w:pPr>
      <w:r w:rsidDel="00000000" w:rsidR="00000000" w:rsidRPr="00000000">
        <w:rPr>
          <w:rtl w:val="0"/>
        </w:rPr>
      </w:r>
    </w:p>
    <w:p w:rsidR="00000000" w:rsidDel="00000000" w:rsidP="00000000" w:rsidRDefault="00000000" w:rsidRPr="00000000" w14:paraId="00000041">
      <w:pPr>
        <w:pStyle w:val="Heading2"/>
        <w:rPr/>
      </w:pPr>
      <w:r w:rsidDel="00000000" w:rsidR="00000000" w:rsidRPr="00000000">
        <w:rPr>
          <w:rtl w:val="0"/>
        </w:rPr>
        <w:t xml:space="preserve">IV. Inventoried Roadless Areas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Our previous comments noted that the Roadless Rule generally prohibits tree removal  in RIAs except for a few narrowly tailored exceptions. The first exemption applies to the “removal of generally small diameter timber.” The Decision Notice states with regards to Inventoried Roadless Areas that:</w:t>
      </w:r>
    </w:p>
    <w:p w:rsidR="00000000" w:rsidDel="00000000" w:rsidP="00000000" w:rsidRDefault="00000000" w:rsidRPr="00000000" w14:paraId="00000044">
      <w:pPr>
        <w:ind w:left="720" w:firstLine="0"/>
        <w:rPr/>
      </w:pPr>
      <w:r w:rsidDel="00000000" w:rsidR="00000000" w:rsidRPr="00000000">
        <w:rPr>
          <w:rtl w:val="0"/>
        </w:rPr>
        <w:t xml:space="preserve">Thinning, slashing, pruning, piling, and pile burning activities involving small diameter trees (understory trees generally less than 12 inches in diameter that would act as a fuel ladder) may be conducted to reduce existing surface and ladder fuels, to prepare a fuel bed to carry fire, to increase safety where people are working, and to reinforce firelines.</w:t>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t xml:space="preserve">Draft DN/FONSI at 38. While we appreciate the statement that pre-prescribed fire treatments may remove “</w:t>
      </w:r>
      <w:r w:rsidDel="00000000" w:rsidR="00000000" w:rsidRPr="00000000">
        <w:rPr>
          <w:rtl w:val="0"/>
        </w:rPr>
        <w:t xml:space="preserve">understory trees generally less than 12 inches in diameter that would act as a fuel ladder,” the EA fails to disclose how this prescription will be implemented on the ground. Will the agency prohibit the removal of trees greater than 12 inches in diameter across the entire project area? Only in Inventoried Roadless Areas? Neither such measure is included in the EA or Decision Notice. </w:t>
      </w:r>
    </w:p>
    <w:p w:rsidR="00000000" w:rsidDel="00000000" w:rsidP="00000000" w:rsidRDefault="00000000" w:rsidRPr="00000000" w14:paraId="00000047">
      <w:pPr>
        <w:ind w:left="0" w:firstLine="0"/>
        <w:rPr/>
      </w:pP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t xml:space="preserve">Nor does the EA contain any information about why the agency chose 12 inches as the limit for small diameter trees. A tree that is o</w:t>
      </w:r>
      <w:r w:rsidDel="00000000" w:rsidR="00000000" w:rsidRPr="00000000">
        <w:rPr>
          <w:rtl w:val="0"/>
        </w:rPr>
        <w:t xml:space="preserve">ne foot in diameter may be a quite large (and old) pinyon pine or juniper tree, for example</w:t>
      </w:r>
      <w:r w:rsidDel="00000000" w:rsidR="00000000" w:rsidRPr="00000000">
        <w:rPr>
          <w:rtl w:val="0"/>
        </w:rPr>
        <w:t xml:space="preserve">. As noted above, 12” DRC is the old-growth threshold for pinyon and juniper trees on high productivity sites, and 9” is the old-growth threshold for low productivity sites. </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A federal appeals court decision last year demonstrates that agencies should explain why they are choosing a certain diameter limit, and that such a limit must be based on sound science. In </w:t>
      </w:r>
      <w:r w:rsidDel="00000000" w:rsidR="00000000" w:rsidRPr="00000000">
        <w:rPr>
          <w:i w:val="1"/>
          <w:rtl w:val="0"/>
        </w:rPr>
        <w:t xml:space="preserve">Los Padres ForestWatch v. United States Forest Serv</w:t>
      </w:r>
      <w:r w:rsidDel="00000000" w:rsidR="00000000" w:rsidRPr="00000000">
        <w:rPr>
          <w:rtl w:val="0"/>
        </w:rPr>
        <w:t xml:space="preserve">., 25 F.4th 649 (9th Cir. 2022), the Forest Service approved the Tecuya Ridge logging project in a roadless area, setting a limit of logging trees less than 21 inches diameter at breast height (dbh), arguing that trees of such width constituted “generally small diameter timber.” </w:t>
      </w:r>
      <w:r w:rsidDel="00000000" w:rsidR="00000000" w:rsidRPr="00000000">
        <w:rPr>
          <w:i w:val="1"/>
          <w:rtl w:val="0"/>
        </w:rPr>
        <w:t xml:space="preserve">Los Padres ForestWatch</w:t>
      </w:r>
      <w:r w:rsidDel="00000000" w:rsidR="00000000" w:rsidRPr="00000000">
        <w:rPr>
          <w:rtl w:val="0"/>
        </w:rPr>
        <w:t xml:space="preserve">, 25 F.4th at 656-57. The court found that the Forest Service failed to support its conclusion that a 21” dbh tree constituted a “small diameter” tree, noting among other things that “the Forest Service did not attempt to articulate this explanation or, indeed, provide any information at all on the average dbh of the trees located within the … Project area.” </w:t>
      </w:r>
      <w:r w:rsidDel="00000000" w:rsidR="00000000" w:rsidRPr="00000000">
        <w:rPr>
          <w:i w:val="1"/>
          <w:rtl w:val="0"/>
        </w:rPr>
        <w:t xml:space="preserve">Id.</w:t>
      </w:r>
      <w:r w:rsidDel="00000000" w:rsidR="00000000" w:rsidRPr="00000000">
        <w:rPr>
          <w:rtl w:val="0"/>
        </w:rPr>
        <w:t xml:space="preserve"> at 658. The court therefore found the agency violated the Roadless Rule and remanded the project back to the Forest Service for further explanation as to what constitutes a small diameter tree. </w:t>
      </w:r>
      <w:r w:rsidDel="00000000" w:rsidR="00000000" w:rsidRPr="00000000">
        <w:rPr>
          <w:i w:val="1"/>
          <w:rtl w:val="0"/>
        </w:rPr>
        <w:t xml:space="preserve">Id</w:t>
      </w:r>
      <w:r w:rsidDel="00000000" w:rsidR="00000000" w:rsidRPr="00000000">
        <w:rPr>
          <w:rtl w:val="0"/>
        </w:rPr>
        <w:t xml:space="preserve">. at 659. A 12” diameter limit may be defensible and even desirable as a way to ensure that only small, understory trees that may act as a fuel ladder are removed. But more explanation and evaluation - a hard look - is required here by both NEPA and the Roadless Rule.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shd w:fill="ffffff" w:val="clear"/>
        <w:rPr>
          <w:u w:val="single"/>
        </w:rPr>
      </w:pPr>
      <w:r w:rsidDel="00000000" w:rsidR="00000000" w:rsidRPr="00000000">
        <w:rPr>
          <w:u w:val="single"/>
          <w:rtl w:val="0"/>
        </w:rPr>
        <w:t xml:space="preserve">Proposed Resolution:</w:t>
      </w:r>
    </w:p>
    <w:p w:rsidR="00000000" w:rsidDel="00000000" w:rsidP="00000000" w:rsidRDefault="00000000" w:rsidRPr="00000000" w14:paraId="0000004D">
      <w:pPr>
        <w:numPr>
          <w:ilvl w:val="0"/>
          <w:numId w:val="1"/>
        </w:numPr>
        <w:shd w:fill="ffffff" w:val="clear"/>
        <w:ind w:left="720" w:hanging="360"/>
        <w:rPr>
          <w:u w:val="none"/>
        </w:rPr>
      </w:pPr>
      <w:r w:rsidDel="00000000" w:rsidR="00000000" w:rsidRPr="00000000">
        <w:rPr>
          <w:rtl w:val="0"/>
        </w:rPr>
        <w:t xml:space="preserve">In any subsequently prepared NEPA document, the Forest Service must disclose why and how it chose the 12” diameter limit, whether and why that applies equally to all forest types and species, and explain how the agency will ensure that only such trees will be removed in Inventoried Roadless Areas.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2"/>
        <w:rPr/>
      </w:pPr>
      <w:r w:rsidDel="00000000" w:rsidR="00000000" w:rsidRPr="00000000">
        <w:rPr>
          <w:rtl w:val="0"/>
        </w:rPr>
        <w:t xml:space="preserve">V. Seeding</w:t>
      </w:r>
    </w:p>
    <w:p w:rsidR="00000000" w:rsidDel="00000000" w:rsidP="00000000" w:rsidRDefault="00000000" w:rsidRPr="00000000" w14:paraId="00000050">
      <w:pPr>
        <w:rPr/>
      </w:pPr>
      <w:r w:rsidDel="00000000" w:rsidR="00000000" w:rsidRPr="00000000">
        <w:rPr>
          <w:rtl w:val="0"/>
        </w:rPr>
        <w:t xml:space="preserve">In our comments on the draft EA, we requested more information on the seed mix the Forest intended to use in restoration (Comment 50 in the CSR). The Forest Service responded that “Several design features note the use of weed-free restoration activities/seed/etc.” and “PA describes restoration activities”, but we would like further clarification on Design Feature </w:t>
      </w:r>
      <w:r w:rsidDel="00000000" w:rsidR="00000000" w:rsidRPr="00000000">
        <w:rPr>
          <w:i w:val="1"/>
          <w:rtl w:val="0"/>
        </w:rPr>
        <w:t xml:space="preserve">Plant 2</w:t>
      </w:r>
      <w:r w:rsidDel="00000000" w:rsidR="00000000" w:rsidRPr="00000000">
        <w:rPr>
          <w:rtl w:val="0"/>
        </w:rPr>
        <w:t xml:space="preserve">. This language is close to, but does not exactly align with, Forest Service Manual 2070. </w:t>
      </w:r>
      <w:r w:rsidDel="00000000" w:rsidR="00000000" w:rsidRPr="00000000">
        <w:rPr>
          <w:rtl w:val="0"/>
        </w:rPr>
        <w:t xml:space="preserve">In order to remedy this issue we provide a request below. </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u w:val="single"/>
          <w:rtl w:val="0"/>
        </w:rPr>
        <w:t xml:space="preserve">Proposed Resolution: </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4"/>
        </w:numPr>
        <w:ind w:left="720" w:hanging="360"/>
        <w:rPr>
          <w:u w:val="none"/>
        </w:rPr>
      </w:pPr>
      <w:r w:rsidDel="00000000" w:rsidR="00000000" w:rsidRPr="00000000">
        <w:rPr>
          <w:rtl w:val="0"/>
        </w:rPr>
        <w:t xml:space="preserve">Revise Design Feature </w:t>
      </w:r>
      <w:r w:rsidDel="00000000" w:rsidR="00000000" w:rsidRPr="00000000">
        <w:rPr>
          <w:i w:val="1"/>
          <w:rtl w:val="0"/>
        </w:rPr>
        <w:t xml:space="preserve">Plant 2</w:t>
      </w:r>
      <w:r w:rsidDel="00000000" w:rsidR="00000000" w:rsidRPr="00000000">
        <w:rPr>
          <w:rtl w:val="0"/>
        </w:rPr>
        <w:t xml:space="preserve"> as follows (with proposed changes in red):  “When determined that native vegetation would not sufficiently recover on its own and seeding is necessary, native seed </w:t>
      </w:r>
      <w:r w:rsidDel="00000000" w:rsidR="00000000" w:rsidRPr="00000000">
        <w:rPr>
          <w:strike w:val="1"/>
          <w:color w:val="ff0000"/>
          <w:rtl w:val="0"/>
        </w:rPr>
        <w:t xml:space="preserve">would be used in restoration efforts to the extent practicable</w:t>
      </w:r>
      <w:r w:rsidDel="00000000" w:rsidR="00000000" w:rsidRPr="00000000">
        <w:rPr>
          <w:rtl w:val="0"/>
        </w:rPr>
        <w:t xml:space="preserve"> </w:t>
      </w:r>
      <w:r w:rsidDel="00000000" w:rsidR="00000000" w:rsidRPr="00000000">
        <w:rPr>
          <w:color w:val="ff0000"/>
          <w:rtl w:val="0"/>
        </w:rPr>
        <w:t xml:space="preserve">will be given primary consideration</w:t>
      </w:r>
      <w:r w:rsidDel="00000000" w:rsidR="00000000" w:rsidRPr="00000000">
        <w:rPr>
          <w:rtl w:val="0"/>
        </w:rPr>
        <w:t xml:space="preserve">. (FSM 2070.3(1)). Non-native, non-invasive seed </w:t>
      </w:r>
      <w:r w:rsidDel="00000000" w:rsidR="00000000" w:rsidRPr="00000000">
        <w:rPr>
          <w:strike w:val="1"/>
          <w:color w:val="ff0000"/>
          <w:rtl w:val="0"/>
        </w:rPr>
        <w:t xml:space="preserve">may</w:t>
      </w:r>
      <w:r w:rsidDel="00000000" w:rsidR="00000000" w:rsidRPr="00000000">
        <w:rPr>
          <w:color w:val="ff0000"/>
          <w:rtl w:val="0"/>
        </w:rPr>
        <w:t xml:space="preserve"> would only</w:t>
      </w:r>
      <w:r w:rsidDel="00000000" w:rsidR="00000000" w:rsidRPr="00000000">
        <w:rPr>
          <w:rtl w:val="0"/>
        </w:rPr>
        <w:t xml:space="preserve"> be used in areas that are susceptible to invasive species or where reestablishment of a native plant community </w:t>
      </w:r>
      <w:r w:rsidDel="00000000" w:rsidR="00000000" w:rsidRPr="00000000">
        <w:rPr>
          <w:color w:val="ff0000"/>
          <w:rtl w:val="0"/>
        </w:rPr>
        <w:t xml:space="preserve">either through natural regeneration or</w:t>
      </w:r>
      <w:r w:rsidDel="00000000" w:rsidR="00000000" w:rsidRPr="00000000">
        <w:rPr>
          <w:rtl w:val="0"/>
        </w:rPr>
        <w:t xml:space="preserve"> with native plant materials is not likely to occur (FSM 2070.3(2)).  </w:t>
      </w:r>
      <w:r w:rsidDel="00000000" w:rsidR="00000000" w:rsidRPr="00000000">
        <w:rPr>
          <w:color w:val="ff0000"/>
          <w:rtl w:val="0"/>
        </w:rPr>
        <w:t xml:space="preserve">Any non-native plants used will be selected as interim, non-persistent plant materials provided they will not hybridize with local species, will not permanently displace native species or offer serious long-term competition to the recovery of endemic plants, and are designed to aid in the reestablishment of native plant communities </w:t>
      </w:r>
      <w:r w:rsidDel="00000000" w:rsidR="00000000" w:rsidRPr="00000000">
        <w:rPr>
          <w:rtl w:val="0"/>
        </w:rPr>
        <w:t xml:space="preserve">(FSM 2070.3(3))</w:t>
      </w:r>
      <w:r w:rsidDel="00000000" w:rsidR="00000000" w:rsidRPr="00000000">
        <w:rPr>
          <w:rtl w:val="0"/>
        </w:rPr>
        <w:t xml:space="preserve">. All seed would be weed-free certified.”</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3"/>
        <w:rPr>
          <w:color w:val="000000"/>
        </w:rPr>
      </w:pPr>
      <w:bookmarkStart w:colFirst="0" w:colLast="0" w:name="_heading=h.v6ypesst73ee" w:id="1"/>
      <w:bookmarkEnd w:id="1"/>
      <w:r w:rsidDel="00000000" w:rsidR="00000000" w:rsidRPr="00000000">
        <w:rPr>
          <w:color w:val="000000"/>
          <w:rtl w:val="0"/>
        </w:rPr>
        <w:t xml:space="preserve">Again, we appreciate the need to restore natural fire regimes and other ecosystem functions as closely as possible. With the modifications outlined above, the chances of long-term success and fulfilling the project purpose and need would be greater.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Sincerely,</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drawing>
          <wp:inline distB="114300" distT="114300" distL="114300" distR="114300">
            <wp:extent cx="1190380" cy="366074"/>
            <wp:effectExtent b="0" l="0" r="0" t="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190380" cy="366074"/>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Laura Welp, Lead Objector</w:t>
      </w:r>
    </w:p>
    <w:p w:rsidR="00000000" w:rsidDel="00000000" w:rsidP="00000000" w:rsidRDefault="00000000" w:rsidRPr="00000000" w14:paraId="0000005C">
      <w:pPr>
        <w:rPr/>
      </w:pPr>
      <w:r w:rsidDel="00000000" w:rsidR="00000000" w:rsidRPr="00000000">
        <w:rPr>
          <w:rtl w:val="0"/>
        </w:rPr>
        <w:t xml:space="preserve">Vegetation Projects Specialist</w:t>
      </w:r>
    </w:p>
    <w:p w:rsidR="00000000" w:rsidDel="00000000" w:rsidP="00000000" w:rsidRDefault="00000000" w:rsidRPr="00000000" w14:paraId="0000005D">
      <w:pPr>
        <w:rPr/>
      </w:pPr>
      <w:r w:rsidDel="00000000" w:rsidR="00000000" w:rsidRPr="00000000">
        <w:rPr>
          <w:rtl w:val="0"/>
        </w:rPr>
        <w:t xml:space="preserve">Western Watersheds Project</w:t>
      </w:r>
    </w:p>
    <w:p w:rsidR="00000000" w:rsidDel="00000000" w:rsidP="00000000" w:rsidRDefault="00000000" w:rsidRPr="00000000" w14:paraId="0000005E">
      <w:pPr>
        <w:rPr/>
      </w:pPr>
      <w:r w:rsidDel="00000000" w:rsidR="00000000" w:rsidRPr="00000000">
        <w:rPr>
          <w:rtl w:val="0"/>
        </w:rPr>
        <w:t xml:space="preserve">325 NW Cleveland Street</w:t>
      </w:r>
    </w:p>
    <w:p w:rsidR="00000000" w:rsidDel="00000000" w:rsidP="00000000" w:rsidRDefault="00000000" w:rsidRPr="00000000" w14:paraId="0000005F">
      <w:pPr>
        <w:rPr/>
      </w:pPr>
      <w:r w:rsidDel="00000000" w:rsidR="00000000" w:rsidRPr="00000000">
        <w:rPr>
          <w:rtl w:val="0"/>
        </w:rPr>
        <w:t xml:space="preserve">Pullman, WA 99163</w:t>
      </w:r>
    </w:p>
    <w:p w:rsidR="00000000" w:rsidDel="00000000" w:rsidP="00000000" w:rsidRDefault="00000000" w:rsidRPr="00000000" w14:paraId="00000060">
      <w:pPr>
        <w:rPr/>
      </w:pPr>
      <w:r w:rsidDel="00000000" w:rsidR="00000000" w:rsidRPr="00000000">
        <w:rPr>
          <w:rtl w:val="0"/>
        </w:rPr>
        <w:t xml:space="preserve">(435) 899-0204</w:t>
      </w:r>
    </w:p>
    <w:p w:rsidR="00000000" w:rsidDel="00000000" w:rsidP="00000000" w:rsidRDefault="00000000" w:rsidRPr="00000000" w14:paraId="00000061">
      <w:pPr>
        <w:rPr/>
      </w:pPr>
      <w:hyperlink r:id="rId10">
        <w:r w:rsidDel="00000000" w:rsidR="00000000" w:rsidRPr="00000000">
          <w:rPr>
            <w:color w:val="1155cc"/>
            <w:u w:val="single"/>
            <w:rtl w:val="0"/>
          </w:rPr>
          <w:t xml:space="preserve">laura@westernwatersheds.org</w:t>
        </w:r>
      </w:hyperlink>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Mike Popejoy</w:t>
      </w:r>
    </w:p>
    <w:p w:rsidR="00000000" w:rsidDel="00000000" w:rsidP="00000000" w:rsidRDefault="00000000" w:rsidRPr="00000000" w14:paraId="00000064">
      <w:pPr>
        <w:rPr/>
      </w:pPr>
      <w:r w:rsidDel="00000000" w:rsidR="00000000" w:rsidRPr="00000000">
        <w:rPr>
          <w:rtl w:val="0"/>
        </w:rPr>
        <w:t xml:space="preserve">Utah Public Lands Director</w:t>
      </w:r>
    </w:p>
    <w:p w:rsidR="00000000" w:rsidDel="00000000" w:rsidP="00000000" w:rsidRDefault="00000000" w:rsidRPr="00000000" w14:paraId="00000065">
      <w:pPr>
        <w:rPr/>
      </w:pPr>
      <w:r w:rsidDel="00000000" w:rsidR="00000000" w:rsidRPr="00000000">
        <w:rPr>
          <w:rtl w:val="0"/>
        </w:rPr>
        <w:t xml:space="preserve">Grand Canyon Trust</w:t>
      </w:r>
    </w:p>
    <w:p w:rsidR="00000000" w:rsidDel="00000000" w:rsidP="00000000" w:rsidRDefault="00000000" w:rsidRPr="00000000" w14:paraId="00000066">
      <w:pPr>
        <w:rPr/>
      </w:pPr>
      <w:r w:rsidDel="00000000" w:rsidR="00000000" w:rsidRPr="00000000">
        <w:rPr>
          <w:rtl w:val="0"/>
        </w:rPr>
        <w:t xml:space="preserve">(928) 707-1419</w:t>
      </w:r>
    </w:p>
    <w:p w:rsidR="00000000" w:rsidDel="00000000" w:rsidP="00000000" w:rsidRDefault="00000000" w:rsidRPr="00000000" w14:paraId="00000067">
      <w:pPr>
        <w:rPr/>
      </w:pPr>
      <w:hyperlink r:id="rId11">
        <w:r w:rsidDel="00000000" w:rsidR="00000000" w:rsidRPr="00000000">
          <w:rPr>
            <w:color w:val="1155cc"/>
            <w:u w:val="single"/>
            <w:rtl w:val="0"/>
          </w:rPr>
          <w:t xml:space="preserve">mpopejoy@grandcanyontrust.org</w:t>
        </w:r>
      </w:hyperlink>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br w:type="page"/>
      </w: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Edward B. Zukoski, Senior </w:t>
      </w:r>
      <w:r w:rsidDel="00000000" w:rsidR="00000000" w:rsidRPr="00000000">
        <w:rPr>
          <w:rtl w:val="0"/>
        </w:rPr>
        <w:t xml:space="preserve">Attorney</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Center for Biological Diversity</w:t>
      </w:r>
    </w:p>
    <w:p w:rsidR="00000000" w:rsidDel="00000000" w:rsidP="00000000" w:rsidRDefault="00000000" w:rsidRPr="00000000" w14:paraId="0000006C">
      <w:pPr>
        <w:rPr/>
      </w:pPr>
      <w:r w:rsidDel="00000000" w:rsidR="00000000" w:rsidRPr="00000000">
        <w:rPr>
          <w:rtl w:val="0"/>
        </w:rPr>
        <w:t xml:space="preserve">1536 Wynkoop Street, Suite 421</w:t>
      </w:r>
    </w:p>
    <w:p w:rsidR="00000000" w:rsidDel="00000000" w:rsidP="00000000" w:rsidRDefault="00000000" w:rsidRPr="00000000" w14:paraId="0000006D">
      <w:pPr>
        <w:rPr/>
      </w:pPr>
      <w:r w:rsidDel="00000000" w:rsidR="00000000" w:rsidRPr="00000000">
        <w:rPr>
          <w:rtl w:val="0"/>
        </w:rPr>
        <w:t xml:space="preserve">Denver, CO 80202</w:t>
      </w:r>
    </w:p>
    <w:p w:rsidR="00000000" w:rsidDel="00000000" w:rsidP="00000000" w:rsidRDefault="00000000" w:rsidRPr="00000000" w14:paraId="0000006E">
      <w:pPr>
        <w:rPr/>
      </w:pPr>
      <w:r w:rsidDel="00000000" w:rsidR="00000000" w:rsidRPr="00000000">
        <w:rPr>
          <w:rtl w:val="0"/>
        </w:rPr>
        <w:t xml:space="preserve">(303) 641-3149</w:t>
      </w:r>
    </w:p>
    <w:p w:rsidR="00000000" w:rsidDel="00000000" w:rsidP="00000000" w:rsidRDefault="00000000" w:rsidRPr="00000000" w14:paraId="0000006F">
      <w:pPr>
        <w:rPr/>
      </w:pPr>
      <w:hyperlink r:id="rId12">
        <w:r w:rsidDel="00000000" w:rsidR="00000000" w:rsidRPr="00000000">
          <w:rPr>
            <w:color w:val="1155cc"/>
            <w:u w:val="single"/>
            <w:rtl w:val="0"/>
          </w:rPr>
          <w:t xml:space="preserve">tzukoski@biologicaldiversity.org</w:t>
        </w:r>
      </w:hyperlink>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Adam Rissen, ReWilding Manager</w:t>
      </w:r>
    </w:p>
    <w:p w:rsidR="00000000" w:rsidDel="00000000" w:rsidP="00000000" w:rsidRDefault="00000000" w:rsidRPr="00000000" w14:paraId="00000072">
      <w:pPr>
        <w:rPr/>
      </w:pPr>
      <w:r w:rsidDel="00000000" w:rsidR="00000000" w:rsidRPr="00000000">
        <w:rPr>
          <w:rtl w:val="0"/>
        </w:rPr>
        <w:t xml:space="preserve">WildEarth Guardians</w:t>
      </w:r>
    </w:p>
    <w:p w:rsidR="00000000" w:rsidDel="00000000" w:rsidP="00000000" w:rsidRDefault="00000000" w:rsidRPr="00000000" w14:paraId="00000073">
      <w:pPr>
        <w:rPr/>
      </w:pPr>
      <w:r w:rsidDel="00000000" w:rsidR="00000000" w:rsidRPr="00000000">
        <w:rPr>
          <w:rtl w:val="0"/>
        </w:rPr>
        <w:t xml:space="preserve">(406) 370-3147</w:t>
      </w:r>
    </w:p>
    <w:p w:rsidR="00000000" w:rsidDel="00000000" w:rsidP="00000000" w:rsidRDefault="00000000" w:rsidRPr="00000000" w14:paraId="00000074">
      <w:pPr>
        <w:rPr/>
      </w:pPr>
      <w:hyperlink r:id="rId13">
        <w:r w:rsidDel="00000000" w:rsidR="00000000" w:rsidRPr="00000000">
          <w:rPr>
            <w:color w:val="1155cc"/>
            <w:u w:val="single"/>
            <w:rtl w:val="0"/>
          </w:rPr>
          <w:t xml:space="preserve">www.wildearthguardians.org</w:t>
        </w:r>
      </w:hyperlink>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Mike Garrity</w:t>
      </w:r>
    </w:p>
    <w:p w:rsidR="00000000" w:rsidDel="00000000" w:rsidP="00000000" w:rsidRDefault="00000000" w:rsidRPr="00000000" w14:paraId="00000077">
      <w:pPr>
        <w:rPr/>
      </w:pPr>
      <w:r w:rsidDel="00000000" w:rsidR="00000000" w:rsidRPr="00000000">
        <w:rPr>
          <w:rtl w:val="0"/>
        </w:rPr>
        <w:t xml:space="preserve">Executive Director</w:t>
      </w:r>
    </w:p>
    <w:p w:rsidR="00000000" w:rsidDel="00000000" w:rsidP="00000000" w:rsidRDefault="00000000" w:rsidRPr="00000000" w14:paraId="00000078">
      <w:pPr>
        <w:rPr/>
      </w:pPr>
      <w:r w:rsidDel="00000000" w:rsidR="00000000" w:rsidRPr="00000000">
        <w:rPr>
          <w:rtl w:val="0"/>
        </w:rPr>
        <w:t xml:space="preserve">Alliance for the Wild Rockies</w:t>
      </w:r>
    </w:p>
    <w:p w:rsidR="00000000" w:rsidDel="00000000" w:rsidP="00000000" w:rsidRDefault="00000000" w:rsidRPr="00000000" w14:paraId="00000079">
      <w:pPr>
        <w:rPr/>
      </w:pPr>
      <w:r w:rsidDel="00000000" w:rsidR="00000000" w:rsidRPr="00000000">
        <w:rPr>
          <w:rtl w:val="0"/>
        </w:rPr>
        <w:t xml:space="preserve">(406) 459-5936</w:t>
      </w:r>
    </w:p>
    <w:p w:rsidR="00000000" w:rsidDel="00000000" w:rsidP="00000000" w:rsidRDefault="00000000" w:rsidRPr="00000000" w14:paraId="0000007A">
      <w:pPr>
        <w:rPr/>
      </w:pPr>
      <w:r w:rsidDel="00000000" w:rsidR="00000000" w:rsidRPr="00000000">
        <w:rPr>
          <w:rtl w:val="0"/>
        </w:rPr>
      </w:r>
    </w:p>
    <w:sectPr>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aramond" w:cs="Garamond" w:eastAsia="Garamond" w:hAnsi="Garamond"/>
          <w:sz w:val="20"/>
          <w:szCs w:val="20"/>
          <w:rtl w:val="0"/>
        </w:rPr>
        <w:t xml:space="preserve">81 Fed. Reg. 24851, 24852 (Apr. 22, 2022) (“EO 14072”).</w:t>
      </w:r>
      <w:r w:rsidDel="00000000" w:rsidR="00000000" w:rsidRPr="00000000">
        <w:rPr>
          <w:rtl w:val="0"/>
        </w:rPr>
      </w:r>
    </w:p>
  </w:footnote>
  <w:footnote w:id="1">
    <w:p w:rsidR="00000000" w:rsidDel="00000000" w:rsidP="00000000" w:rsidRDefault="00000000" w:rsidRPr="00000000" w14:paraId="0000007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See </w:t>
      </w:r>
      <w:hyperlink r:id="rId1">
        <w:r w:rsidDel="00000000" w:rsidR="00000000" w:rsidRPr="00000000">
          <w:rPr>
            <w:color w:val="1155cc"/>
            <w:sz w:val="20"/>
            <w:szCs w:val="20"/>
            <w:u w:val="single"/>
            <w:rtl w:val="0"/>
          </w:rPr>
          <w:t xml:space="preserve">Mature and Old-Growth Forests: Definition, Identification, and Inventory</w:t>
        </w:r>
      </w:hyperlink>
      <w:r w:rsidDel="00000000" w:rsidR="00000000" w:rsidRPr="00000000">
        <w:rPr>
          <w:sz w:val="20"/>
          <w:szCs w:val="20"/>
          <w:rtl w:val="0"/>
        </w:rPr>
        <w:t xml:space="preserve"> </w:t>
      </w:r>
    </w:p>
  </w:footnote>
  <w:footnote w:id="2">
    <w:p w:rsidR="00000000" w:rsidDel="00000000" w:rsidP="00000000" w:rsidRDefault="00000000" w:rsidRPr="00000000" w14:paraId="0000007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Orlemann, A., &amp; Robison, D.L. (2020). Learning from project implementation: removing pinyon and juniper trees from sage-steppe and grassland sites on the Fishlake National Forest in central Utah, USA. </w:t>
      </w:r>
      <w:r w:rsidDel="00000000" w:rsidR="00000000" w:rsidRPr="00000000">
        <w:rPr>
          <w:i w:val="1"/>
          <w:sz w:val="20"/>
          <w:szCs w:val="20"/>
          <w:rtl w:val="0"/>
        </w:rPr>
        <w:t xml:space="preserve">Western North American Naturalist, 80</w:t>
      </w:r>
      <w:r w:rsidDel="00000000" w:rsidR="00000000" w:rsidRPr="00000000">
        <w:rPr>
          <w:sz w:val="20"/>
          <w:szCs w:val="20"/>
          <w:rtl w:val="0"/>
        </w:rPr>
        <w:t xml:space="preserve">(3), 337-344.</w:t>
      </w:r>
    </w:p>
  </w:footnote>
  <w:footnote w:id="4">
    <w:p w:rsidR="00000000" w:rsidDel="00000000" w:rsidP="00000000" w:rsidRDefault="00000000" w:rsidRPr="00000000" w14:paraId="0000007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sz w:val="20"/>
            <w:szCs w:val="20"/>
            <w:rtl w:val="0"/>
          </w:rPr>
          <w:t xml:space="preserve">https://www.govinfo.gov/content/pkg/FR-2023-08-17/pdf/2023-17726.pdf</w:t>
        </w:r>
      </w:hyperlink>
      <w:r w:rsidDel="00000000" w:rsidR="00000000" w:rsidRPr="00000000">
        <w:rPr>
          <w:sz w:val="20"/>
          <w:szCs w:val="20"/>
          <w:rtl w:val="0"/>
        </w:rPr>
        <w:t xml:space="preserve"> </w:t>
      </w:r>
    </w:p>
  </w:footnote>
  <w:footnote w:id="5">
    <w:p w:rsidR="00000000" w:rsidDel="00000000" w:rsidP="00000000" w:rsidRDefault="00000000" w:rsidRPr="00000000" w14:paraId="0000007F">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2020 Addendum – Changes to Utah Species of Greatest Conservation Need, </w:t>
      </w:r>
      <w:hyperlink r:id="rId3">
        <w:r w:rsidDel="00000000" w:rsidR="00000000" w:rsidRPr="00000000">
          <w:rPr>
            <w:sz w:val="20"/>
            <w:szCs w:val="20"/>
            <w:rtl w:val="0"/>
          </w:rPr>
          <w:t xml:space="preserve">https://wildlife.utah.gov/pdf/WAP/2020-addendum.pdf</w:t>
        </w:r>
      </w:hyperlink>
      <w:r w:rsidDel="00000000" w:rsidR="00000000" w:rsidRPr="00000000">
        <w:rPr>
          <w:sz w:val="20"/>
          <w:szCs w:val="20"/>
          <w:rtl w:val="0"/>
        </w:rPr>
        <w:t xml:space="preserve">, pp. 1, 3; see also Utah’s Species of Greatest Conservation Need October 2021, </w:t>
      </w:r>
      <w:hyperlink r:id="rId4">
        <w:r w:rsidDel="00000000" w:rsidR="00000000" w:rsidRPr="00000000">
          <w:rPr>
            <w:sz w:val="20"/>
            <w:szCs w:val="20"/>
            <w:rtl w:val="0"/>
          </w:rPr>
          <w:t xml:space="preserve">https://wildlife.utah.gov/pdf/WAP/2021-10-sgcn-list.pdf</w:t>
        </w:r>
      </w:hyperlink>
      <w:r w:rsidDel="00000000" w:rsidR="00000000" w:rsidRPr="00000000">
        <w:rPr>
          <w:sz w:val="20"/>
          <w:szCs w:val="20"/>
          <w:rtl w:val="0"/>
        </w:rPr>
        <w:t xml:space="preserve">, p. 1.</w:t>
      </w:r>
    </w:p>
  </w:footnote>
  <w:footnote w:id="3">
    <w:p w:rsidR="00000000" w:rsidDel="00000000" w:rsidP="00000000" w:rsidRDefault="00000000" w:rsidRPr="00000000" w14:paraId="0000008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Boone JD, Witt C, Ammon EM (2021) Behavior-specific occurrence patterns of Pinyon Jays (Gymnorhinus </w:t>
      </w:r>
      <w:r w:rsidDel="00000000" w:rsidR="00000000" w:rsidRPr="00000000">
        <w:rPr>
          <w:sz w:val="20"/>
          <w:szCs w:val="20"/>
          <w:rtl w:val="0"/>
        </w:rPr>
        <w:t xml:space="preserve">cyanocephalus</w:t>
      </w:r>
      <w:r w:rsidDel="00000000" w:rsidR="00000000" w:rsidRPr="00000000">
        <w:rPr>
          <w:sz w:val="20"/>
          <w:szCs w:val="20"/>
          <w:rtl w:val="0"/>
        </w:rPr>
        <w:t xml:space="preserve">) in three Great Basin study areas and significance for pinyon-juniper woodland management. PLoS ONE 16(1): e0237721. </w:t>
      </w:r>
      <w:hyperlink r:id="rId5">
        <w:r w:rsidDel="00000000" w:rsidR="00000000" w:rsidRPr="00000000">
          <w:rPr>
            <w:sz w:val="20"/>
            <w:szCs w:val="20"/>
            <w:rtl w:val="0"/>
          </w:rPr>
          <w:t xml:space="preserve">https://doi.org/10.1371/journal.pone.0237621</w:t>
        </w:r>
      </w:hyperlink>
      <w:r w:rsidDel="00000000" w:rsidR="00000000" w:rsidRPr="00000000">
        <w:rPr>
          <w:sz w:val="20"/>
          <w:szCs w:val="20"/>
          <w:rtl w:val="0"/>
        </w:rPr>
        <w:t xml:space="preserve">; Partners in Flight Avian Conservation Assessment Database, </w:t>
      </w:r>
      <w:hyperlink r:id="rId6">
        <w:r w:rsidDel="00000000" w:rsidR="00000000" w:rsidRPr="00000000">
          <w:rPr>
            <w:sz w:val="20"/>
            <w:szCs w:val="20"/>
            <w:rtl w:val="0"/>
          </w:rPr>
          <w:t xml:space="preserve">https://pif.birdconservancy.org/avian-conservation-assessment-database-scores/</w:t>
        </w:r>
      </w:hyperlink>
      <w:r w:rsidDel="00000000" w:rsidR="00000000" w:rsidRPr="00000000">
        <w:rPr>
          <w:sz w:val="20"/>
          <w:szCs w:val="20"/>
          <w:rtl w:val="0"/>
        </w:rPr>
        <w:t xml:space="preserve">. </w:t>
      </w:r>
    </w:p>
  </w:footnote>
  <w:footnote w:id="7">
    <w:p w:rsidR="00000000" w:rsidDel="00000000" w:rsidP="00000000" w:rsidRDefault="00000000" w:rsidRPr="00000000" w14:paraId="00000081">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Somershoe, S. G., E. Ammon, J. D. Boone, K. Johnson, M. Darr, C. Witt, and E. Duvuvuei. 2020. Conservation Strategy for the Pinyon Jay (Gymnorhinus cyanocephalus). Partners in Flight Western Working Group and U.S. Fish and Wildlife Service. </w:t>
      </w:r>
      <w:hyperlink r:id="rId7">
        <w:r w:rsidDel="00000000" w:rsidR="00000000" w:rsidRPr="00000000">
          <w:rPr>
            <w:color w:val="1155cc"/>
            <w:sz w:val="20"/>
            <w:szCs w:val="20"/>
            <w:u w:val="single"/>
            <w:rtl w:val="0"/>
          </w:rPr>
          <w:t xml:space="preserve">https://partnersinflight.org/wp-content/uploads/2019/10/Conservation-Strategy-for-Pinyon-Jay_Version-1_February-2020_LowRes.pdf</w:t>
        </w:r>
      </w:hyperlink>
      <w:r w:rsidDel="00000000" w:rsidR="00000000" w:rsidRPr="00000000">
        <w:rPr>
          <w:sz w:val="20"/>
          <w:szCs w:val="20"/>
          <w:rtl w:val="0"/>
        </w:rPr>
        <w:t xml:space="preserve"> </w:t>
      </w:r>
    </w:p>
  </w:footnote>
  <w:footnote w:id="6">
    <w:p w:rsidR="00000000" w:rsidDel="00000000" w:rsidP="00000000" w:rsidRDefault="00000000" w:rsidRPr="00000000" w14:paraId="00000082">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Pinyon Jay Working Group. 2021. Guidance for Locating Pinyon Jay Nests and Confirming Breeding. </w:t>
      </w:r>
      <w:hyperlink r:id="rId8">
        <w:r w:rsidDel="00000000" w:rsidR="00000000" w:rsidRPr="00000000">
          <w:rPr>
            <w:color w:val="1155cc"/>
            <w:sz w:val="20"/>
            <w:szCs w:val="20"/>
            <w:u w:val="single"/>
            <w:rtl w:val="0"/>
          </w:rPr>
          <w:t xml:space="preserve">https://partnersinflight.org/wp-content/uploads/2019/10/Guidance-for-Locating-Pinyon-Jay-Nests-and-Confirming-Breeding.pdf</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sz w:val="26"/>
      <w:szCs w:val="26"/>
    </w:rPr>
  </w:style>
  <w:style w:type="paragraph" w:styleId="Heading3">
    <w:name w:val="heading 3"/>
    <w:basedOn w:val="Normal"/>
    <w:next w:val="Normal"/>
    <w:pPr>
      <w:keepNext w:val="1"/>
      <w:keepLines w:val="1"/>
      <w:spacing w:before="40" w:lineRule="auto"/>
    </w:pPr>
    <w:rPr>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E61B8"/>
    <w:rPr>
      <w:rFonts w:ascii="Cambria" w:hAnsi="Cambria"/>
      <w:sz w:val="24"/>
      <w:szCs w:val="24"/>
    </w:rPr>
  </w:style>
  <w:style w:type="paragraph" w:styleId="Heading2">
    <w:name w:val="heading 2"/>
    <w:basedOn w:val="Normal"/>
    <w:next w:val="Normal"/>
    <w:link w:val="Heading2Char"/>
    <w:uiPriority w:val="9"/>
    <w:unhideWhenUsed w:val="1"/>
    <w:qFormat w:val="1"/>
    <w:rsid w:val="00AE61B8"/>
    <w:pPr>
      <w:keepNext w:val="1"/>
      <w:keepLines w:val="1"/>
      <w:spacing w:before="40"/>
      <w:outlineLvl w:val="1"/>
    </w:pPr>
    <w:rPr>
      <w:rFonts w:cstheme="majorBidi" w:eastAsiaTheme="majorEastAsia"/>
      <w:sz w:val="26"/>
      <w:szCs w:val="26"/>
    </w:rPr>
  </w:style>
  <w:style w:type="paragraph" w:styleId="Heading3">
    <w:name w:val="heading 3"/>
    <w:basedOn w:val="Normal"/>
    <w:next w:val="Normal"/>
    <w:link w:val="Heading3Char"/>
    <w:uiPriority w:val="9"/>
    <w:unhideWhenUsed w:val="1"/>
    <w:qFormat w:val="1"/>
    <w:rsid w:val="001A1E25"/>
    <w:pPr>
      <w:keepNext w:val="1"/>
      <w:keepLines w:val="1"/>
      <w:spacing w:before="40"/>
      <w:outlineLvl w:val="2"/>
    </w:pPr>
    <w:rPr>
      <w:rFonts w:cstheme="majorBidi" w:eastAsiaTheme="majorEastAsia"/>
      <w:color w:val="1f3763" w:themeColor="accent1" w:themeShade="00007F"/>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DC45E2"/>
    <w:rPr>
      <w:color w:val="0563c1" w:themeColor="hyperlink"/>
      <w:u w:val="single"/>
    </w:rPr>
  </w:style>
  <w:style w:type="character" w:styleId="UnresolvedMention">
    <w:name w:val="Unresolved Mention"/>
    <w:basedOn w:val="DefaultParagraphFont"/>
    <w:uiPriority w:val="99"/>
    <w:semiHidden w:val="1"/>
    <w:unhideWhenUsed w:val="1"/>
    <w:rsid w:val="00DC45E2"/>
    <w:rPr>
      <w:color w:val="605e5c"/>
      <w:shd w:color="auto" w:fill="e1dfdd" w:val="clear"/>
    </w:rPr>
  </w:style>
  <w:style w:type="character" w:styleId="Heading2Char" w:customStyle="1">
    <w:name w:val="Heading 2 Char"/>
    <w:basedOn w:val="DefaultParagraphFont"/>
    <w:link w:val="Heading2"/>
    <w:uiPriority w:val="9"/>
    <w:rsid w:val="00AE61B8"/>
    <w:rPr>
      <w:rFonts w:ascii="Cambria" w:hAnsi="Cambria" w:cstheme="majorBidi" w:eastAsiaTheme="majorEastAsia"/>
      <w:sz w:val="26"/>
      <w:szCs w:val="26"/>
    </w:rPr>
  </w:style>
  <w:style w:type="paragraph" w:styleId="Default" w:customStyle="1">
    <w:name w:val="Default"/>
    <w:rsid w:val="00BE103F"/>
    <w:pPr>
      <w:autoSpaceDE w:val="0"/>
      <w:autoSpaceDN w:val="0"/>
      <w:adjustRightInd w:val="0"/>
    </w:pPr>
    <w:rPr>
      <w:rFonts w:ascii="Times New Roman" w:cs="Times New Roman" w:hAnsi="Times New Roman"/>
      <w:color w:val="000000"/>
      <w:kern w:val="0"/>
      <w:sz w:val="24"/>
      <w:szCs w:val="24"/>
    </w:rPr>
  </w:style>
  <w:style w:type="character" w:styleId="CommentReference">
    <w:name w:val="annotation reference"/>
    <w:basedOn w:val="DefaultParagraphFont"/>
    <w:uiPriority w:val="99"/>
    <w:semiHidden w:val="1"/>
    <w:unhideWhenUsed w:val="1"/>
    <w:rsid w:val="00507215"/>
    <w:rPr>
      <w:sz w:val="16"/>
      <w:szCs w:val="16"/>
    </w:rPr>
  </w:style>
  <w:style w:type="paragraph" w:styleId="CommentText">
    <w:name w:val="annotation text"/>
    <w:basedOn w:val="Normal"/>
    <w:link w:val="CommentTextChar"/>
    <w:uiPriority w:val="99"/>
    <w:unhideWhenUsed w:val="1"/>
    <w:rsid w:val="00507215"/>
    <w:rPr>
      <w:sz w:val="20"/>
      <w:szCs w:val="20"/>
    </w:rPr>
  </w:style>
  <w:style w:type="character" w:styleId="CommentTextChar" w:customStyle="1">
    <w:name w:val="Comment Text Char"/>
    <w:basedOn w:val="DefaultParagraphFont"/>
    <w:link w:val="CommentText"/>
    <w:uiPriority w:val="99"/>
    <w:rsid w:val="00507215"/>
    <w:rPr>
      <w:sz w:val="20"/>
      <w:szCs w:val="20"/>
    </w:rPr>
  </w:style>
  <w:style w:type="paragraph" w:styleId="CommentSubject">
    <w:name w:val="annotation subject"/>
    <w:basedOn w:val="CommentText"/>
    <w:next w:val="CommentText"/>
    <w:link w:val="CommentSubjectChar"/>
    <w:uiPriority w:val="99"/>
    <w:semiHidden w:val="1"/>
    <w:unhideWhenUsed w:val="1"/>
    <w:rsid w:val="00507215"/>
    <w:rPr>
      <w:b w:val="1"/>
      <w:bCs w:val="1"/>
    </w:rPr>
  </w:style>
  <w:style w:type="character" w:styleId="CommentSubjectChar" w:customStyle="1">
    <w:name w:val="Comment Subject Char"/>
    <w:basedOn w:val="CommentTextChar"/>
    <w:link w:val="CommentSubject"/>
    <w:uiPriority w:val="99"/>
    <w:semiHidden w:val="1"/>
    <w:rsid w:val="00507215"/>
    <w:rPr>
      <w:b w:val="1"/>
      <w:bCs w:val="1"/>
      <w:sz w:val="20"/>
      <w:szCs w:val="20"/>
    </w:rPr>
  </w:style>
  <w:style w:type="character" w:styleId="Heading3Char" w:customStyle="1">
    <w:name w:val="Heading 3 Char"/>
    <w:basedOn w:val="DefaultParagraphFont"/>
    <w:link w:val="Heading3"/>
    <w:uiPriority w:val="9"/>
    <w:rsid w:val="001A1E25"/>
    <w:rPr>
      <w:rFonts w:ascii="Cambria" w:hAnsi="Cambria" w:cstheme="majorBidi" w:eastAsiaTheme="majorEastAsia"/>
      <w:color w:val="1f3763" w:themeColor="accent1" w:themeShade="00007F"/>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mpopejoy@grandcanyontrust.org" TargetMode="External"/><Relationship Id="rId10" Type="http://schemas.openxmlformats.org/officeDocument/2006/relationships/hyperlink" Target="mailto:laura@westernwatersheds.org" TargetMode="External"/><Relationship Id="rId13" Type="http://schemas.openxmlformats.org/officeDocument/2006/relationships/hyperlink" Target="http://www.wildearthguardians.org" TargetMode="External"/><Relationship Id="rId12" Type="http://schemas.openxmlformats.org/officeDocument/2006/relationships/hyperlink" Target="mailto:tzukoski@biologicaldiversity.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fs.usda.gov/project/dixie/?project=6097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fs.usda.gov/sites/default/files/mature-and-old-growth-forests-tech.pdf" TargetMode="External"/><Relationship Id="rId2" Type="http://schemas.openxmlformats.org/officeDocument/2006/relationships/hyperlink" Target="https://www.govinfo.gov/content/pkg/FR-2023-08-17/pdf/2023-17726.pdf" TargetMode="External"/><Relationship Id="rId3" Type="http://schemas.openxmlformats.org/officeDocument/2006/relationships/hyperlink" Target="https://wildlife.utah.gov/pdf/WAP/2020-addendum.pdf" TargetMode="External"/><Relationship Id="rId4" Type="http://schemas.openxmlformats.org/officeDocument/2006/relationships/hyperlink" Target="https://wildlife.utah.gov/pdf/WAP/2021-10-sgcn-list.pdf" TargetMode="External"/><Relationship Id="rId5" Type="http://schemas.openxmlformats.org/officeDocument/2006/relationships/hyperlink" Target="https://doi.org/10.1371/journal.pone.0237621" TargetMode="External"/><Relationship Id="rId6" Type="http://schemas.openxmlformats.org/officeDocument/2006/relationships/hyperlink" Target="https://pif.birdconservancy.org/avian-conservation-assessment-database-scores/" TargetMode="External"/><Relationship Id="rId7" Type="http://schemas.openxmlformats.org/officeDocument/2006/relationships/hyperlink" Target="https://partnersinflight.org/wp-content/uploads/2019/10/Conservation-Strategy-for-Pinyon-Jay_Version-1_February-2020_LowRes.pdf" TargetMode="External"/><Relationship Id="rId8" Type="http://schemas.openxmlformats.org/officeDocument/2006/relationships/hyperlink" Target="https://partnersinflight.org/wp-content/uploads/2019/10/Guidance-for-Locating-Pinyon-Jay-Nests-and-Confirming-Breed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dnmPYB5c+NUFxyEu6U5temBp6A==">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2023-10-03T18:45:00Z</dcterms:created>
  <dc:creator>walter Fertig</dc:creator>
</cp:coreProperties>
</file>