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8EDC" w14:textId="77777777" w:rsidR="00476CBA" w:rsidRDefault="0091254C" w:rsidP="00476CBA">
      <w:pPr>
        <w:autoSpaceDE w:val="0"/>
        <w:autoSpaceDN w:val="0"/>
        <w:adjustRightInd w:val="0"/>
        <w:ind w:right="-360"/>
      </w:pPr>
      <w:r>
        <w:rPr>
          <w:noProof/>
        </w:rPr>
        <w:drawing>
          <wp:inline distT="0" distB="0" distL="0" distR="0" wp14:anchorId="2676D3FA" wp14:editId="37AEF530">
            <wp:extent cx="4229100" cy="1318260"/>
            <wp:effectExtent l="0" t="0" r="0" b="0"/>
            <wp:docPr id="1" name="Picture 1" descr="OW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 lar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9100" cy="1318260"/>
                    </a:xfrm>
                    <a:prstGeom prst="rect">
                      <a:avLst/>
                    </a:prstGeom>
                    <a:noFill/>
                    <a:ln>
                      <a:noFill/>
                    </a:ln>
                  </pic:spPr>
                </pic:pic>
              </a:graphicData>
            </a:graphic>
          </wp:inline>
        </w:drawing>
      </w:r>
    </w:p>
    <w:p w14:paraId="2ABE3A6E" w14:textId="77777777" w:rsidR="00476CBA" w:rsidRPr="00632CA3" w:rsidRDefault="00476CBA" w:rsidP="00476CBA">
      <w:pPr>
        <w:autoSpaceDE w:val="0"/>
        <w:autoSpaceDN w:val="0"/>
        <w:adjustRightInd w:val="0"/>
        <w:rPr>
          <w:rFonts w:ascii="Arial" w:hAnsi="Arial" w:cs="Arial"/>
          <w:sz w:val="20"/>
          <w:szCs w:val="20"/>
          <w:highlight w:val="black"/>
        </w:rPr>
      </w:pPr>
      <w:r w:rsidRPr="00632CA3">
        <w:rPr>
          <w:rFonts w:ascii="Arial" w:hAnsi="Arial" w:cs="Arial"/>
          <w:sz w:val="20"/>
          <w:szCs w:val="20"/>
          <w:highlight w:val="black"/>
        </w:rPr>
        <w:t>PO Box 11648 | Eugene OR 97440 | 541-344-0675 | fax 541-343-0996</w:t>
      </w:r>
    </w:p>
    <w:p w14:paraId="5ED463C1" w14:textId="77777777" w:rsidR="00476CBA" w:rsidRDefault="00000000" w:rsidP="00476CBA">
      <w:pPr>
        <w:ind w:right="-360"/>
        <w:rPr>
          <w:rFonts w:ascii="Arial" w:hAnsi="Arial" w:cs="Arial"/>
          <w:sz w:val="20"/>
          <w:szCs w:val="20"/>
        </w:rPr>
      </w:pPr>
      <w:hyperlink r:id="rId8" w:history="1">
        <w:r w:rsidR="00476CBA" w:rsidRPr="00632CA3">
          <w:rPr>
            <w:rStyle w:val="Hyperlink"/>
            <w:rFonts w:ascii="Arial" w:hAnsi="Arial" w:cs="Arial"/>
            <w:color w:val="000000" w:themeColor="text1"/>
            <w:sz w:val="20"/>
            <w:szCs w:val="20"/>
            <w:highlight w:val="black"/>
          </w:rPr>
          <w:t>dh@oregonwild.org</w:t>
        </w:r>
      </w:hyperlink>
      <w:r w:rsidR="00476CBA" w:rsidRPr="00632CA3">
        <w:rPr>
          <w:rFonts w:ascii="Arial" w:hAnsi="Arial" w:cs="Arial"/>
          <w:color w:val="000000" w:themeColor="text1"/>
          <w:sz w:val="20"/>
          <w:szCs w:val="20"/>
          <w:highlight w:val="black"/>
        </w:rPr>
        <w:t xml:space="preserve"> |</w:t>
      </w:r>
      <w:r w:rsidR="00476CBA" w:rsidRPr="00632CA3">
        <w:rPr>
          <w:rFonts w:ascii="Arial" w:hAnsi="Arial" w:cs="Arial"/>
          <w:sz w:val="20"/>
          <w:szCs w:val="20"/>
          <w:highlight w:val="black"/>
        </w:rPr>
        <w:t xml:space="preserve"> </w:t>
      </w:r>
      <w:hyperlink r:id="rId9" w:history="1">
        <w:r w:rsidR="00476CBA" w:rsidRPr="00632CA3">
          <w:rPr>
            <w:rStyle w:val="Hyperlink"/>
            <w:rFonts w:ascii="Arial" w:hAnsi="Arial" w:cs="Arial"/>
            <w:sz w:val="20"/>
            <w:szCs w:val="20"/>
            <w:highlight w:val="black"/>
          </w:rPr>
          <w:t>http://www.oregonwild.org/</w:t>
        </w:r>
      </w:hyperlink>
    </w:p>
    <w:p w14:paraId="1503BC22" w14:textId="77777777" w:rsidR="00772A6D" w:rsidRDefault="00772A6D" w:rsidP="002137BE">
      <w:pPr>
        <w:autoSpaceDE w:val="0"/>
        <w:autoSpaceDN w:val="0"/>
        <w:adjustRightInd w:val="0"/>
        <w:jc w:val="right"/>
        <w:sectPr w:rsidR="00772A6D" w:rsidSect="00476CBA">
          <w:footerReference w:type="default" r:id="rId10"/>
          <w:pgSz w:w="12240" w:h="15840"/>
          <w:pgMar w:top="1440" w:right="1800" w:bottom="1440" w:left="1800" w:header="720" w:footer="720" w:gutter="0"/>
          <w:cols w:space="720" w:equalWidth="0">
            <w:col w:w="9360" w:space="720"/>
          </w:cols>
          <w:docGrid w:linePitch="360"/>
        </w:sectPr>
      </w:pPr>
    </w:p>
    <w:p w14:paraId="4B550FBC" w14:textId="77777777" w:rsidR="00007F67" w:rsidRDefault="00007F67" w:rsidP="0053180D"/>
    <w:p w14:paraId="19497FA8" w14:textId="77777777" w:rsidR="00476CBA" w:rsidRDefault="0091254C" w:rsidP="0053180D">
      <w:r>
        <w:t>17 July 2023</w:t>
      </w:r>
    </w:p>
    <w:p w14:paraId="33B31A23" w14:textId="77777777" w:rsidR="00476CBA" w:rsidRDefault="00476CBA" w:rsidP="0053180D"/>
    <w:p w14:paraId="78FE7CD7" w14:textId="77777777" w:rsidR="00C245C1" w:rsidRDefault="00C447CA" w:rsidP="00C245C1">
      <w:r>
        <w:t xml:space="preserve">TO: </w:t>
      </w:r>
      <w:r w:rsidR="00C245C1">
        <w:t>Reviewing Officer, Forest Supervisor, Malheur National Forest,</w:t>
      </w:r>
    </w:p>
    <w:p w14:paraId="560832EC" w14:textId="77777777" w:rsidR="00C245C1" w:rsidRDefault="00C245C1" w:rsidP="00C245C1">
      <w:r>
        <w:t xml:space="preserve">ATTN: 1570 Appeals and Objections </w:t>
      </w:r>
    </w:p>
    <w:p w14:paraId="13967A74" w14:textId="77777777" w:rsidR="000C4474" w:rsidRDefault="00791EEE" w:rsidP="00C245C1">
      <w:r>
        <w:t xml:space="preserve">VIA: </w:t>
      </w:r>
      <w:hyperlink r:id="rId11" w:history="1">
        <w:r w:rsidR="00936BB6" w:rsidRPr="00262BF4">
          <w:rPr>
            <w:rStyle w:val="Hyperlink"/>
          </w:rPr>
          <w:t>objections-pnw-malheur@usda.gov</w:t>
        </w:r>
      </w:hyperlink>
      <w:r w:rsidR="00936BB6">
        <w:t xml:space="preserve"> </w:t>
      </w:r>
      <w:r w:rsidR="00936BB6" w:rsidRPr="00936BB6">
        <w:t xml:space="preserve"> </w:t>
      </w:r>
      <w:r w:rsidR="00C245C1">
        <w:t xml:space="preserve"> </w:t>
      </w:r>
    </w:p>
    <w:p w14:paraId="0EE46B24" w14:textId="77777777" w:rsidR="00791EEE" w:rsidRPr="00791EEE" w:rsidRDefault="00791EEE" w:rsidP="000C4474"/>
    <w:p w14:paraId="6BEF03FD" w14:textId="77777777" w:rsidR="000C4474" w:rsidRDefault="000C4474" w:rsidP="000C4474">
      <w:pPr>
        <w:rPr>
          <w:b/>
        </w:rPr>
      </w:pPr>
      <w:r>
        <w:rPr>
          <w:b/>
        </w:rPr>
        <w:t>Subject: 36 CFR 21</w:t>
      </w:r>
      <w:r w:rsidR="00D42DE4">
        <w:rPr>
          <w:b/>
        </w:rPr>
        <w:t>8</w:t>
      </w:r>
      <w:r>
        <w:rPr>
          <w:b/>
        </w:rPr>
        <w:t xml:space="preserve"> </w:t>
      </w:r>
      <w:r w:rsidR="00D42DE4">
        <w:rPr>
          <w:b/>
        </w:rPr>
        <w:t xml:space="preserve">objection </w:t>
      </w:r>
      <w:r>
        <w:rPr>
          <w:b/>
        </w:rPr>
        <w:t xml:space="preserve">of the </w:t>
      </w:r>
      <w:r w:rsidR="0091254C">
        <w:rPr>
          <w:b/>
        </w:rPr>
        <w:t xml:space="preserve">Emigrant Creek </w:t>
      </w:r>
      <w:proofErr w:type="gramStart"/>
      <w:r w:rsidR="0091254C">
        <w:rPr>
          <w:b/>
        </w:rPr>
        <w:t>Aspen</w:t>
      </w:r>
      <w:r w:rsidR="006B25EA">
        <w:rPr>
          <w:b/>
        </w:rPr>
        <w:t xml:space="preserve"> </w:t>
      </w:r>
      <w:r w:rsidR="00A55E60">
        <w:rPr>
          <w:b/>
        </w:rPr>
        <w:t xml:space="preserve"> Project</w:t>
      </w:r>
      <w:proofErr w:type="gramEnd"/>
      <w:r w:rsidR="00A55E60">
        <w:rPr>
          <w:b/>
        </w:rPr>
        <w:t xml:space="preserve"> </w:t>
      </w:r>
    </w:p>
    <w:p w14:paraId="4B78FECA" w14:textId="77777777" w:rsidR="000C4474" w:rsidRDefault="000C4474" w:rsidP="000C4474"/>
    <w:p w14:paraId="7BD36B36" w14:textId="77777777" w:rsidR="000C4474" w:rsidRDefault="000C4474" w:rsidP="000C4474">
      <w:r>
        <w:t>Dear Forest Service:</w:t>
      </w:r>
    </w:p>
    <w:p w14:paraId="78C50308" w14:textId="77777777" w:rsidR="000C4474" w:rsidRDefault="000C4474" w:rsidP="000C4474"/>
    <w:p w14:paraId="39123308" w14:textId="77777777" w:rsidR="000C4474" w:rsidRDefault="000C4474" w:rsidP="000C4474">
      <w:r>
        <w:t>In accordance with 36 CFR 21</w:t>
      </w:r>
      <w:r w:rsidR="00D42DE4">
        <w:t>8</w:t>
      </w:r>
      <w:r>
        <w:t>,</w:t>
      </w:r>
      <w:r w:rsidR="00363BEB">
        <w:t xml:space="preserve"> Oregon Wild</w:t>
      </w:r>
      <w:r w:rsidR="00D42DE4">
        <w:t xml:space="preserve"> </w:t>
      </w:r>
      <w:r>
        <w:t xml:space="preserve">hereby </w:t>
      </w:r>
      <w:r w:rsidR="00D42DE4">
        <w:t xml:space="preserve">objects to </w:t>
      </w:r>
      <w:r>
        <w:t>the project described below.</w:t>
      </w:r>
    </w:p>
    <w:p w14:paraId="0A3C8DC1" w14:textId="77777777" w:rsidR="000C4474" w:rsidRDefault="000C4474" w:rsidP="000C4474"/>
    <w:p w14:paraId="5016E267" w14:textId="77777777" w:rsidR="0091254C" w:rsidRDefault="00AA72C9" w:rsidP="0091254C">
      <w:r>
        <w:rPr>
          <w:b/>
        </w:rPr>
        <w:t xml:space="preserve">DOCUMENT </w:t>
      </w:r>
      <w:r w:rsidR="000C4474" w:rsidRPr="00BE36EE">
        <w:rPr>
          <w:b/>
        </w:rPr>
        <w:t>TITLE</w:t>
      </w:r>
      <w:r w:rsidR="000C4474">
        <w:t xml:space="preserve">: </w:t>
      </w:r>
      <w:r w:rsidR="0091254C">
        <w:t>DRAFT Decision Notice, Finding of No Significant Impact</w:t>
      </w:r>
    </w:p>
    <w:p w14:paraId="18F87997" w14:textId="77777777" w:rsidR="000C4474" w:rsidRDefault="0091254C" w:rsidP="0091254C">
      <w:r>
        <w:t>For the Emigrant Creek Aspen Project Environmental Assessment</w:t>
      </w:r>
      <w:r w:rsidR="003B7B64">
        <w:t xml:space="preserve">. </w:t>
      </w:r>
      <w:hyperlink r:id="rId12" w:history="1">
        <w:r w:rsidR="003B7B64" w:rsidRPr="00262BF4">
          <w:rPr>
            <w:rStyle w:val="Hyperlink"/>
          </w:rPr>
          <w:t>https://www.fs.usda.gov/project/?project=62352</w:t>
        </w:r>
      </w:hyperlink>
      <w:r w:rsidR="003B7B64">
        <w:t xml:space="preserve"> </w:t>
      </w:r>
    </w:p>
    <w:p w14:paraId="0F5D461D" w14:textId="77777777" w:rsidR="000C4474" w:rsidRDefault="000C4474" w:rsidP="000C4474">
      <w:pPr>
        <w:pStyle w:val="Header"/>
        <w:tabs>
          <w:tab w:val="clear" w:pos="4320"/>
          <w:tab w:val="clear" w:pos="8640"/>
        </w:tabs>
      </w:pPr>
    </w:p>
    <w:p w14:paraId="0857791E" w14:textId="77777777" w:rsidR="003B7B64" w:rsidRDefault="000C4474" w:rsidP="001456D1">
      <w:pPr>
        <w:rPr>
          <w:sz w:val="22"/>
          <w:szCs w:val="22"/>
        </w:rPr>
      </w:pPr>
      <w:r w:rsidRPr="00BE36EE">
        <w:rPr>
          <w:b/>
        </w:rPr>
        <w:t>PROJECT DESCRIPTION</w:t>
      </w:r>
      <w:r>
        <w:t xml:space="preserve">: </w:t>
      </w:r>
      <w:r w:rsidR="003B7B64">
        <w:rPr>
          <w:sz w:val="22"/>
          <w:szCs w:val="22"/>
        </w:rPr>
        <w:t>The proposed action alternative would treat approximately 3,373 acres of known aspen stands within the boundary of the Emigrant Creek Ranger District of the Malheur National Forest. The project area consists of all aspen habitat on Emigrant Creek Ranger District. At the site-specific treatment level, an implementation checklist assessment would be completed and would document the location and current condition of aspen stands to help determine the potential treatments needed to address the factors limiting the health and vigor of aspen. Management would be based on the results of the assessment and utilize adaptive management principles to apply actions to maintain or improve conditions for the aspen community. Proposed activities may include one or more of the following treatments:</w:t>
      </w:r>
    </w:p>
    <w:p w14:paraId="1ECE1851" w14:textId="77777777" w:rsidR="003B7B64" w:rsidRPr="00B1137D" w:rsidRDefault="003B7B64" w:rsidP="001456D1">
      <w:pPr>
        <w:pStyle w:val="ListParagraph"/>
        <w:numPr>
          <w:ilvl w:val="0"/>
          <w:numId w:val="2"/>
        </w:numPr>
        <w:ind w:left="720"/>
        <w:rPr>
          <w:sz w:val="22"/>
        </w:rPr>
      </w:pPr>
      <w:r w:rsidRPr="00B1137D">
        <w:rPr>
          <w:sz w:val="22"/>
        </w:rPr>
        <w:t>Conifer encroachment treatments</w:t>
      </w:r>
      <w:r>
        <w:t xml:space="preserve"> by mechanical, fire, and girdling, including commercial logging without new road </w:t>
      </w:r>
      <w:proofErr w:type="gramStart"/>
      <w:r>
        <w:t>construction</w:t>
      </w:r>
      <w:r w:rsidRPr="00B1137D">
        <w:rPr>
          <w:sz w:val="22"/>
        </w:rPr>
        <w:t>;</w:t>
      </w:r>
      <w:proofErr w:type="gramEnd"/>
    </w:p>
    <w:p w14:paraId="6387998A" w14:textId="77777777" w:rsidR="003B7B64" w:rsidRDefault="003B7B64" w:rsidP="001456D1">
      <w:pPr>
        <w:pStyle w:val="ListParagraph"/>
        <w:numPr>
          <w:ilvl w:val="0"/>
          <w:numId w:val="2"/>
        </w:numPr>
        <w:ind w:left="720"/>
      </w:pPr>
      <w:r w:rsidRPr="00B1137D">
        <w:rPr>
          <w:sz w:val="22"/>
        </w:rPr>
        <w:t>Aspen regeneration treatments</w:t>
      </w:r>
      <w:r>
        <w:t xml:space="preserve"> by fire or other </w:t>
      </w:r>
      <w:proofErr w:type="gramStart"/>
      <w:r>
        <w:t>disturbance</w:t>
      </w:r>
      <w:r w:rsidRPr="00B1137D">
        <w:rPr>
          <w:sz w:val="22"/>
        </w:rPr>
        <w:t>;</w:t>
      </w:r>
      <w:proofErr w:type="gramEnd"/>
    </w:p>
    <w:p w14:paraId="641A3339" w14:textId="77777777" w:rsidR="003B7B64" w:rsidRPr="00081CFA" w:rsidRDefault="003B7B64" w:rsidP="001456D1">
      <w:pPr>
        <w:pStyle w:val="ListParagraph"/>
        <w:numPr>
          <w:ilvl w:val="0"/>
          <w:numId w:val="2"/>
        </w:numPr>
        <w:autoSpaceDE w:val="0"/>
        <w:autoSpaceDN w:val="0"/>
        <w:adjustRightInd w:val="0"/>
        <w:spacing w:line="240" w:lineRule="auto"/>
        <w:ind w:left="720"/>
        <w:rPr>
          <w:color w:val="000000"/>
          <w:sz w:val="22"/>
        </w:rPr>
      </w:pPr>
      <w:r w:rsidRPr="00123C14">
        <w:t>Aspen Regeneration Protection Treatments</w:t>
      </w:r>
      <w:r>
        <w:t xml:space="preserve"> by slash barriers, fencing, cages, </w:t>
      </w:r>
      <w:proofErr w:type="gramStart"/>
      <w:r>
        <w:t>etc.;</w:t>
      </w:r>
      <w:proofErr w:type="gramEnd"/>
    </w:p>
    <w:p w14:paraId="5C2C07B8" w14:textId="77777777" w:rsidR="003B7B64" w:rsidRPr="00081CFA" w:rsidRDefault="003B7B64" w:rsidP="001456D1">
      <w:pPr>
        <w:pStyle w:val="ListParagraph"/>
        <w:numPr>
          <w:ilvl w:val="0"/>
          <w:numId w:val="2"/>
        </w:numPr>
        <w:autoSpaceDE w:val="0"/>
        <w:autoSpaceDN w:val="0"/>
        <w:adjustRightInd w:val="0"/>
        <w:spacing w:line="240" w:lineRule="auto"/>
        <w:ind w:left="720"/>
        <w:rPr>
          <w:color w:val="000000"/>
          <w:sz w:val="22"/>
        </w:rPr>
      </w:pPr>
      <w:r w:rsidRPr="00081CFA">
        <w:rPr>
          <w:color w:val="000000"/>
          <w:sz w:val="22"/>
        </w:rPr>
        <w:t>conifer within 200 feet of aspen would be thinned</w:t>
      </w:r>
      <w:r>
        <w:rPr>
          <w:color w:val="000000"/>
          <w:sz w:val="22"/>
        </w:rPr>
        <w:t xml:space="preserve"> (buried in the analysis, not in the description of the proposed action</w:t>
      </w:r>
      <w:proofErr w:type="gramStart"/>
      <w:r>
        <w:rPr>
          <w:color w:val="000000"/>
          <w:sz w:val="22"/>
        </w:rPr>
        <w:t>);</w:t>
      </w:r>
      <w:proofErr w:type="gramEnd"/>
      <w:r w:rsidRPr="00081CFA">
        <w:rPr>
          <w:color w:val="000000"/>
          <w:sz w:val="22"/>
        </w:rPr>
        <w:t xml:space="preserve"> </w:t>
      </w:r>
    </w:p>
    <w:p w14:paraId="2030FAE8" w14:textId="77777777" w:rsidR="003B7B64" w:rsidRPr="00A31583" w:rsidRDefault="003B7B64" w:rsidP="001456D1">
      <w:pPr>
        <w:pStyle w:val="ListParagraph"/>
        <w:numPr>
          <w:ilvl w:val="0"/>
          <w:numId w:val="2"/>
        </w:numPr>
        <w:ind w:left="720"/>
      </w:pPr>
      <w:r>
        <w:t>Up to 3 large trees/acre or 20 sq ft BA of large trees may be left in aspen stand.</w:t>
      </w:r>
    </w:p>
    <w:p w14:paraId="121660B0" w14:textId="77777777" w:rsidR="003B7B64" w:rsidRDefault="003B7B64" w:rsidP="003B7B64"/>
    <w:p w14:paraId="7F880192" w14:textId="77777777" w:rsidR="001456D1" w:rsidRDefault="001456D1" w:rsidP="003B7B64">
      <w:r>
        <w:t>The final EA and draft DN provided the following relevant clarifications:</w:t>
      </w:r>
    </w:p>
    <w:p w14:paraId="1FB142BD" w14:textId="77777777" w:rsidR="001456D1" w:rsidRDefault="001456D1" w:rsidP="003B7B64"/>
    <w:p w14:paraId="6E5A1A82" w14:textId="77777777" w:rsidR="001456D1" w:rsidRDefault="001456D1" w:rsidP="001456D1">
      <w:r>
        <w:lastRenderedPageBreak/>
        <w:t>"Under the Emigrant Creek Aspen EA, aspen stands in Inventoried Roadless Areas would be non-commercially thinned only."</w:t>
      </w:r>
    </w:p>
    <w:p w14:paraId="11B7E2DE" w14:textId="77777777" w:rsidR="001456D1" w:rsidRDefault="001456D1" w:rsidP="001456D1"/>
    <w:p w14:paraId="56871904" w14:textId="77777777" w:rsidR="001456D1" w:rsidRDefault="001456D1" w:rsidP="001456D1">
      <w:r>
        <w:t>"No temporary roads would be authorized for aspen treatments. Any aspen stands not located near a road would not be commercially harvested. Only non-commercial treatments would occur in undeveloped areas."</w:t>
      </w:r>
    </w:p>
    <w:p w14:paraId="17D79B67" w14:textId="77777777" w:rsidR="001456D1" w:rsidRDefault="001456D1" w:rsidP="001456D1"/>
    <w:p w14:paraId="457175F1" w14:textId="77777777" w:rsidR="001456D1" w:rsidRDefault="001456D1" w:rsidP="001456D1">
      <w:r>
        <w:t>No trees over 21” will be cut inside existing (LOS) stands. (EA at 2-2)</w:t>
      </w:r>
    </w:p>
    <w:p w14:paraId="2CC668E2" w14:textId="77777777" w:rsidR="001456D1" w:rsidRDefault="001456D1" w:rsidP="001456D1">
      <w:pPr>
        <w:pStyle w:val="Default"/>
      </w:pPr>
    </w:p>
    <w:p w14:paraId="52B260C5" w14:textId="77777777" w:rsidR="000C4474" w:rsidRPr="0091254C" w:rsidRDefault="005C768F" w:rsidP="001456D1">
      <w:pPr>
        <w:pStyle w:val="Default"/>
      </w:pPr>
      <w:r w:rsidRPr="003B7B64">
        <w:rPr>
          <w:rFonts w:ascii="Times New Roman" w:hAnsi="Times New Roman" w:cs="Times New Roman"/>
          <w:b/>
        </w:rPr>
        <w:t>PROJECT LOCATION</w:t>
      </w:r>
      <w:r w:rsidR="002C63F3" w:rsidRPr="003B7B64">
        <w:rPr>
          <w:rFonts w:ascii="Times New Roman" w:hAnsi="Times New Roman" w:cs="Times New Roman"/>
          <w:b/>
        </w:rPr>
        <w:t xml:space="preserve"> (Forest/District)</w:t>
      </w:r>
      <w:r w:rsidR="000C4474" w:rsidRPr="003B7B64">
        <w:rPr>
          <w:rFonts w:ascii="Times New Roman" w:hAnsi="Times New Roman" w:cs="Times New Roman"/>
        </w:rPr>
        <w:t xml:space="preserve">: </w:t>
      </w:r>
      <w:r w:rsidR="00AC41DE" w:rsidRPr="00AC41DE">
        <w:rPr>
          <w:rFonts w:ascii="Times New Roman" w:hAnsi="Times New Roman" w:cs="Times New Roman"/>
        </w:rPr>
        <w:t>Malheur National Forest, Emigrant Creek Ranger District, Harney, Grant, and Crook Counties, Oregon</w:t>
      </w:r>
    </w:p>
    <w:p w14:paraId="20374806" w14:textId="77777777" w:rsidR="000C4474" w:rsidRDefault="000C4474" w:rsidP="000C4474"/>
    <w:p w14:paraId="03D2DB96" w14:textId="77777777" w:rsidR="00D42DE4" w:rsidRDefault="000C4474" w:rsidP="0091254C">
      <w:r w:rsidRPr="00BE36EE">
        <w:rPr>
          <w:b/>
        </w:rPr>
        <w:t xml:space="preserve">NAME </w:t>
      </w:r>
      <w:r w:rsidR="00FF1E86">
        <w:rPr>
          <w:b/>
        </w:rPr>
        <w:t xml:space="preserve">AND TITLE </w:t>
      </w:r>
      <w:r w:rsidRPr="00BE36EE">
        <w:rPr>
          <w:b/>
        </w:rPr>
        <w:t xml:space="preserve">OF </w:t>
      </w:r>
      <w:r w:rsidR="00FF1E86">
        <w:rPr>
          <w:b/>
        </w:rPr>
        <w:t xml:space="preserve">RESPONSIBLE </w:t>
      </w:r>
      <w:r w:rsidR="005C768F">
        <w:rPr>
          <w:b/>
        </w:rPr>
        <w:t>OFFICIAL</w:t>
      </w:r>
      <w:r w:rsidR="00AB14CB">
        <w:t>:</w:t>
      </w:r>
      <w:r w:rsidR="0091254C">
        <w:t xml:space="preserve"> JOSHUA GILES, Emigrant Creek District Ranger, Malheur National Forest</w:t>
      </w:r>
    </w:p>
    <w:p w14:paraId="4B3EAEF5" w14:textId="77777777" w:rsidR="00AB14CB" w:rsidRDefault="00AB14CB" w:rsidP="000C4474"/>
    <w:p w14:paraId="3ECABFF3" w14:textId="77777777" w:rsidR="00D42DE4" w:rsidRDefault="00D42DE4" w:rsidP="000C4474">
      <w:r>
        <w:rPr>
          <w:b/>
        </w:rPr>
        <w:t xml:space="preserve">LEAD OBJECTOR: </w:t>
      </w:r>
      <w:r w:rsidRPr="00D42DE4">
        <w:t>Oregon Wild</w:t>
      </w:r>
    </w:p>
    <w:p w14:paraId="0332AA0B" w14:textId="77777777" w:rsidR="00EE7B91" w:rsidRDefault="00EE7B91" w:rsidP="000C4474"/>
    <w:p w14:paraId="49B21687" w14:textId="77777777" w:rsidR="00EE7B91" w:rsidRPr="00EE7B91" w:rsidRDefault="00EE7B91" w:rsidP="000C4474">
      <w:pPr>
        <w:rPr>
          <w:b/>
        </w:rPr>
      </w:pPr>
      <w:r w:rsidRPr="00EE7B91">
        <w:rPr>
          <w:b/>
        </w:rPr>
        <w:t>REQUEST FOR MEETING TO DISCUSS RESOLUTION:</w:t>
      </w:r>
      <w:r>
        <w:rPr>
          <w:b/>
        </w:rPr>
        <w:t xml:space="preserve"> </w:t>
      </w:r>
      <w:r w:rsidRPr="00EE7B91">
        <w:t>Oregon Wild hereby requests a meeting to discuss potential resolution of the issues raised in this objection.</w:t>
      </w:r>
    </w:p>
    <w:p w14:paraId="50170B2B" w14:textId="77777777" w:rsidR="000C4474" w:rsidRDefault="000C4474" w:rsidP="000C4474"/>
    <w:p w14:paraId="1F143E19" w14:textId="77777777" w:rsidR="00D42DE4" w:rsidRPr="00D42DE4" w:rsidRDefault="00D42DE4" w:rsidP="00D42DE4">
      <w:pPr>
        <w:rPr>
          <w:rStyle w:val="updatebodytest"/>
          <w:b/>
        </w:rPr>
      </w:pPr>
      <w:r w:rsidRPr="00D42DE4">
        <w:rPr>
          <w:rStyle w:val="updatebodytest"/>
          <w:b/>
        </w:rPr>
        <w:t xml:space="preserve">NARRATIVE DESCRIPTION OF THOSE ASPECTS OF THE PROPOSED </w:t>
      </w:r>
      <w:r w:rsidR="00FF1E86">
        <w:rPr>
          <w:rStyle w:val="updatebodytest"/>
          <w:b/>
        </w:rPr>
        <w:t xml:space="preserve">DECISION </w:t>
      </w:r>
      <w:r w:rsidRPr="00D42DE4">
        <w:rPr>
          <w:rStyle w:val="updatebodytest"/>
          <w:b/>
        </w:rPr>
        <w:t>ADDRESSED BY THE OBJECTION:</w:t>
      </w:r>
    </w:p>
    <w:p w14:paraId="669F17E0" w14:textId="77777777" w:rsidR="00D42DE4" w:rsidRPr="0091254C" w:rsidRDefault="0091254C" w:rsidP="00D42DE4">
      <w:pPr>
        <w:rPr>
          <w:rStyle w:val="updatebodytest"/>
        </w:rPr>
      </w:pPr>
      <w:r w:rsidRPr="0091254C">
        <w:rPr>
          <w:rStyle w:val="updatebodytest"/>
        </w:rPr>
        <w:t>We object to removal of large trees.</w:t>
      </w:r>
    </w:p>
    <w:p w14:paraId="0063E191" w14:textId="77777777" w:rsidR="0091254C" w:rsidRDefault="0091254C" w:rsidP="00D42DE4">
      <w:pPr>
        <w:rPr>
          <w:rStyle w:val="updatebodytest"/>
        </w:rPr>
      </w:pPr>
      <w:r w:rsidRPr="0091254C">
        <w:rPr>
          <w:rStyle w:val="updatebodytest"/>
        </w:rPr>
        <w:t>We object to the lack of site specific NEPA analysis of alternatives and environmental effects.</w:t>
      </w:r>
    </w:p>
    <w:p w14:paraId="12D12E74" w14:textId="77777777" w:rsidR="0091254C" w:rsidRPr="0091254C" w:rsidRDefault="0091254C" w:rsidP="00D42DE4">
      <w:pPr>
        <w:rPr>
          <w:rStyle w:val="updatebodytest"/>
        </w:rPr>
      </w:pPr>
      <w:r>
        <w:rPr>
          <w:rStyle w:val="updatebodytest"/>
        </w:rPr>
        <w:t>We object to the reliance on the illegal amendment of the Eastside Screens approved by the Trump Administration.</w:t>
      </w:r>
    </w:p>
    <w:p w14:paraId="7DEFC326" w14:textId="77777777" w:rsidR="009F01C5" w:rsidRDefault="009F01C5" w:rsidP="00D42DE4">
      <w:pPr>
        <w:rPr>
          <w:rStyle w:val="updatebodytest"/>
          <w:b/>
        </w:rPr>
      </w:pPr>
    </w:p>
    <w:p w14:paraId="721E7B0D" w14:textId="77777777" w:rsidR="00D42DE4" w:rsidRPr="00D42DE4" w:rsidRDefault="00D42DE4" w:rsidP="00D42DE4">
      <w:pPr>
        <w:rPr>
          <w:rStyle w:val="updatebodytest"/>
          <w:b/>
        </w:rPr>
      </w:pPr>
      <w:r w:rsidRPr="00D42DE4">
        <w:rPr>
          <w:rStyle w:val="updatebodytest"/>
          <w:b/>
        </w:rPr>
        <w:t>SUGGESTED REMEDIES THAT WOULD RESOLVE THE OBJECTION:</w:t>
      </w:r>
    </w:p>
    <w:p w14:paraId="16638382" w14:textId="77777777" w:rsidR="000C4474" w:rsidRDefault="00363BEB" w:rsidP="000C4474">
      <w:r>
        <w:t>Oregon Wild</w:t>
      </w:r>
      <w:r w:rsidR="000C4474">
        <w:t xml:space="preserve"> respectfully requests that the Forest Service withdraw the </w:t>
      </w:r>
      <w:r w:rsidR="005C768F">
        <w:t xml:space="preserve">recommended project </w:t>
      </w:r>
      <w:r w:rsidR="000C4474">
        <w:t>and —</w:t>
      </w:r>
    </w:p>
    <w:p w14:paraId="02B8C75B" w14:textId="77777777" w:rsidR="00A67125" w:rsidRDefault="0091254C" w:rsidP="000C4474">
      <w:pPr>
        <w:numPr>
          <w:ilvl w:val="0"/>
          <w:numId w:val="1"/>
        </w:numPr>
      </w:pPr>
      <w:r>
        <w:t>Defer cutting and removal of large trees (&gt;21” dbh)</w:t>
      </w:r>
      <w:r w:rsidR="004A6BBE">
        <w:t xml:space="preserve">; </w:t>
      </w:r>
      <w:r w:rsidR="00A67125">
        <w:t>and</w:t>
      </w:r>
    </w:p>
    <w:p w14:paraId="05C49939" w14:textId="77777777" w:rsidR="000C4474" w:rsidRDefault="00A67125" w:rsidP="000C4474">
      <w:pPr>
        <w:numPr>
          <w:ilvl w:val="0"/>
          <w:numId w:val="1"/>
        </w:numPr>
      </w:pPr>
      <w:r>
        <w:t xml:space="preserve">Conduct all aspen restoration non-commercially, </w:t>
      </w:r>
      <w:r w:rsidR="00DB6EB0">
        <w:t>or</w:t>
      </w:r>
    </w:p>
    <w:p w14:paraId="6236C4CC" w14:textId="77777777" w:rsidR="000C4474" w:rsidRDefault="00CD23A8" w:rsidP="000C4474">
      <w:pPr>
        <w:numPr>
          <w:ilvl w:val="0"/>
          <w:numId w:val="1"/>
        </w:numPr>
      </w:pPr>
      <w:r>
        <w:t>P</w:t>
      </w:r>
      <w:r w:rsidR="000C4474">
        <w:t xml:space="preserve">repare a new </w:t>
      </w:r>
      <w:r w:rsidR="00A67125">
        <w:t xml:space="preserve">EA </w:t>
      </w:r>
      <w:r w:rsidR="00DB6EB0">
        <w:t xml:space="preserve">to address the significant impacts and unresolved conflicts and </w:t>
      </w:r>
      <w:r w:rsidR="000C4474">
        <w:t>fully complies with the requirements of NEPA and the CEQ regulations and addresses the specific concerns expressed below.</w:t>
      </w:r>
    </w:p>
    <w:p w14:paraId="6A28B391" w14:textId="77777777" w:rsidR="000C4474" w:rsidRDefault="000C4474" w:rsidP="000C4474"/>
    <w:p w14:paraId="367DC10E" w14:textId="77777777" w:rsidR="009F01C5" w:rsidRPr="00D42DE4" w:rsidRDefault="009F01C5" w:rsidP="009F01C5">
      <w:pPr>
        <w:rPr>
          <w:rStyle w:val="updatebodytest"/>
          <w:b/>
        </w:rPr>
      </w:pPr>
      <w:r>
        <w:rPr>
          <w:rStyle w:val="updatebodytest"/>
          <w:b/>
        </w:rPr>
        <w:t>DESCRIBE HOW THE OBJECTIONS RELATE TO PRIOR COMMENTS:</w:t>
      </w:r>
    </w:p>
    <w:p w14:paraId="116407D6" w14:textId="77777777" w:rsidR="009F01C5" w:rsidRDefault="00A6722B" w:rsidP="00034114">
      <w:pPr>
        <w:rPr>
          <w:rStyle w:val="updatebodytest"/>
        </w:rPr>
      </w:pPr>
      <w:r w:rsidRPr="00A6722B">
        <w:rPr>
          <w:rStyle w:val="updatebodytest"/>
        </w:rPr>
        <w:t xml:space="preserve">Prior comments raised concerns about the NEPA analysis, </w:t>
      </w:r>
      <w:r>
        <w:rPr>
          <w:rStyle w:val="updatebodytest"/>
        </w:rPr>
        <w:t xml:space="preserve">large trees, </w:t>
      </w:r>
      <w:r w:rsidRPr="00A6722B">
        <w:rPr>
          <w:rStyle w:val="updatebodytest"/>
        </w:rPr>
        <w:t xml:space="preserve">snag habitat, </w:t>
      </w:r>
      <w:r w:rsidR="00A67125">
        <w:rPr>
          <w:rStyle w:val="updatebodytest"/>
        </w:rPr>
        <w:t xml:space="preserve">carbon storage, </w:t>
      </w:r>
      <w:r w:rsidRPr="00A6722B">
        <w:rPr>
          <w:rStyle w:val="updatebodytest"/>
        </w:rPr>
        <w:t>and other issues raised in this objection.</w:t>
      </w:r>
    </w:p>
    <w:p w14:paraId="458D56BD" w14:textId="77777777" w:rsidR="00A67125" w:rsidRDefault="00A67125" w:rsidP="00034114">
      <w:pPr>
        <w:rPr>
          <w:rStyle w:val="updatebodytest"/>
        </w:rPr>
      </w:pPr>
    </w:p>
    <w:p w14:paraId="5A455AC3" w14:textId="77777777" w:rsidR="00A67125" w:rsidRDefault="00A67125" w:rsidP="00034114">
      <w:pPr>
        <w:rPr>
          <w:rStyle w:val="updatebodytest"/>
        </w:rPr>
      </w:pPr>
      <w:r>
        <w:rPr>
          <w:rStyle w:val="updatebodytest"/>
        </w:rPr>
        <w:t>/ / /</w:t>
      </w:r>
    </w:p>
    <w:p w14:paraId="31B7DD55" w14:textId="77777777" w:rsidR="00A67125" w:rsidRDefault="00A67125" w:rsidP="00034114">
      <w:pPr>
        <w:rPr>
          <w:rStyle w:val="updatebodytest"/>
        </w:rPr>
      </w:pPr>
    </w:p>
    <w:p w14:paraId="75B2CE55" w14:textId="77777777" w:rsidR="00A67125" w:rsidRDefault="00A67125" w:rsidP="00034114">
      <w:pPr>
        <w:rPr>
          <w:rStyle w:val="updatebodytest"/>
        </w:rPr>
      </w:pPr>
      <w:r>
        <w:rPr>
          <w:rStyle w:val="updatebodytest"/>
        </w:rPr>
        <w:t>/ / /</w:t>
      </w:r>
    </w:p>
    <w:p w14:paraId="67A28584" w14:textId="77777777" w:rsidR="00A67125" w:rsidRDefault="00A67125" w:rsidP="00034114">
      <w:pPr>
        <w:rPr>
          <w:rStyle w:val="updatebodytest"/>
        </w:rPr>
      </w:pPr>
    </w:p>
    <w:p w14:paraId="60E915DB" w14:textId="77777777" w:rsidR="00A67125" w:rsidRDefault="00A67125" w:rsidP="00034114">
      <w:pPr>
        <w:rPr>
          <w:rStyle w:val="updatebodytest"/>
        </w:rPr>
      </w:pPr>
      <w:r>
        <w:rPr>
          <w:rStyle w:val="updatebodytest"/>
        </w:rPr>
        <w:t xml:space="preserve">/ / / </w:t>
      </w:r>
    </w:p>
    <w:p w14:paraId="68F86AE4" w14:textId="77777777" w:rsidR="00034114" w:rsidRPr="00D42DE4" w:rsidRDefault="00034114" w:rsidP="00034114">
      <w:pPr>
        <w:rPr>
          <w:rStyle w:val="updatebodytest"/>
          <w:b/>
        </w:rPr>
      </w:pPr>
      <w:r w:rsidRPr="00D42DE4">
        <w:rPr>
          <w:rStyle w:val="updatebodytest"/>
          <w:b/>
        </w:rPr>
        <w:lastRenderedPageBreak/>
        <w:t xml:space="preserve">SPECIFIC ISSUES RELATED TO THE PROPOSED </w:t>
      </w:r>
      <w:r w:rsidR="00813383">
        <w:rPr>
          <w:rStyle w:val="updatebodytest"/>
          <w:b/>
        </w:rPr>
        <w:t>ACTION</w:t>
      </w:r>
      <w:r w:rsidRPr="00D42DE4">
        <w:rPr>
          <w:rStyle w:val="updatebodytest"/>
          <w:b/>
        </w:rPr>
        <w:t>:</w:t>
      </w:r>
    </w:p>
    <w:p w14:paraId="1D29A218" w14:textId="77777777" w:rsidR="000C4474" w:rsidRDefault="000C4474" w:rsidP="000C4474"/>
    <w:p w14:paraId="613C3075" w14:textId="77777777" w:rsidR="001456D1" w:rsidRPr="001456D1" w:rsidRDefault="001456D1" w:rsidP="00FB2223">
      <w:pPr>
        <w:pStyle w:val="Heading1"/>
      </w:pPr>
      <w:r w:rsidRPr="001456D1">
        <w:t xml:space="preserve">The EA fails to consider reasonable </w:t>
      </w:r>
      <w:proofErr w:type="gramStart"/>
      <w:r w:rsidRPr="001456D1">
        <w:t>altern</w:t>
      </w:r>
      <w:r>
        <w:t>a</w:t>
      </w:r>
      <w:r w:rsidRPr="001456D1">
        <w:t>tives</w:t>
      </w:r>
      <w:proofErr w:type="gramEnd"/>
    </w:p>
    <w:p w14:paraId="5D1BEC1E" w14:textId="77777777" w:rsidR="00DC7939" w:rsidRDefault="00DC7939" w:rsidP="00DC7939">
      <w:r>
        <w:t xml:space="preserve">Alternatives are the heart of the NEPA process. Exploring and comparing </w:t>
      </w:r>
      <w:proofErr w:type="gramStart"/>
      <w:r>
        <w:t>alternatives  help</w:t>
      </w:r>
      <w:proofErr w:type="gramEnd"/>
      <w:r>
        <w:t xml:space="preserve"> shed light on trade-offs and help the agency find ways of harmonizing competing objectives. </w:t>
      </w:r>
    </w:p>
    <w:p w14:paraId="133E1F28" w14:textId="77777777" w:rsidR="00DC7939" w:rsidRDefault="00DC7939" w:rsidP="00DC7939"/>
    <w:p w14:paraId="513DF65B" w14:textId="77777777" w:rsidR="00DC7939" w:rsidRDefault="00DC7939" w:rsidP="00DC7939">
      <w:r>
        <w:t xml:space="preserve">NEPA mandates that an agency “shall to the fullest extent possible: use the NEPA process to identify and assess the reasonable alternatives to proposed actions that will avoid or minimize adverse effects of these action upon the quality of the human environment.” 40 C.F.R. § 1500.2(e). NEPA also requires the USFS to “study, develop, and describe appropriate alternatives to the recommended courses of action in any proposal which involves unresolved conflicts concerning alternative uses of available resources as provided by section 102(2)(E) of the Act [NEPA].”40 C.F.R. § 1501.2 (c). </w:t>
      </w:r>
    </w:p>
    <w:p w14:paraId="5120DD12" w14:textId="77777777" w:rsidR="00DC7939" w:rsidRDefault="00DC7939" w:rsidP="00DC7939">
      <w:r>
        <w:t> </w:t>
      </w:r>
    </w:p>
    <w:p w14:paraId="74CDD779" w14:textId="77777777" w:rsidR="00DC7939" w:rsidRDefault="00DC7939" w:rsidP="00DC7939">
      <w:r>
        <w:t>Environmental analysis documents must “[r]</w:t>
      </w:r>
      <w:proofErr w:type="spellStart"/>
      <w:r>
        <w:t>igorously</w:t>
      </w:r>
      <w:proofErr w:type="spellEnd"/>
      <w:r>
        <w:t xml:space="preserve"> explore and objectively evaluate all reasonable alternatives” to the project. 40 C.F.R. § 1502.14(a). The Council on Environmental Quality (CEQ), which promulgated the regulations implementing NEPA, characterizes the discussion of alternatives as “the heart of the environmental impact statement.” 40 C.F.R. § 1502.14. A decisionmaker must explore alternatives in sufficient enough detail to “sharply </w:t>
      </w:r>
      <w:proofErr w:type="spellStart"/>
      <w:r>
        <w:t>defin</w:t>
      </w:r>
      <w:proofErr w:type="spellEnd"/>
      <w:r>
        <w:t xml:space="preserve">[e] the issues and </w:t>
      </w:r>
      <w:proofErr w:type="spellStart"/>
      <w:r>
        <w:t>provid</w:t>
      </w:r>
      <w:proofErr w:type="spellEnd"/>
      <w:r>
        <w:t xml:space="preserve">[e] a clear basis for choice among options by the decisionmaker and the public.” </w:t>
      </w:r>
      <w:r>
        <w:rPr>
          <w:i/>
          <w:iCs/>
        </w:rPr>
        <w:t>Id</w:t>
      </w:r>
      <w:r>
        <w:t>. § 1502.14. All reasonable alternatives must receive a “rigorous exploration and objective evaluation</w:t>
      </w:r>
      <w:proofErr w:type="gramStart"/>
      <w:r>
        <w:t>... ,</w:t>
      </w:r>
      <w:proofErr w:type="gramEnd"/>
      <w:r>
        <w:t xml:space="preserve"> particularly those that might enhance environmental quality or avoid some or all of the adverse environmental effects.” </w:t>
      </w:r>
      <w:r>
        <w:rPr>
          <w:i/>
          <w:iCs/>
        </w:rPr>
        <w:t>Id</w:t>
      </w:r>
      <w:r>
        <w:t xml:space="preserve">. § 1500.8(a)(4). The analysis of the alternatives must be “sufficiently detailed to reveal the agency’s comparative evaluation of the environmental benefits, costs and risks of the proposed action and each reasonable alternative.” </w:t>
      </w:r>
      <w:r>
        <w:rPr>
          <w:i/>
          <w:iCs/>
        </w:rPr>
        <w:t>Id</w:t>
      </w:r>
      <w:r>
        <w:t>.</w:t>
      </w:r>
    </w:p>
    <w:p w14:paraId="17D0384B" w14:textId="77777777" w:rsidR="00DC7939" w:rsidRDefault="00DC7939" w:rsidP="00DC7939">
      <w:r>
        <w:t xml:space="preserve">If the NEPA document considers only a restricted range of alternatives this would violate the very purpose of NEPA’s alternative analysis requirement, which is to foster informed decision-making and full public involvement. 42 U.S.C. §§ 4331, 4332(2)(E); 40 C.F.R. § 1508.9(b). </w:t>
      </w:r>
      <w:r>
        <w:rPr>
          <w:i/>
          <w:iCs/>
        </w:rPr>
        <w:t>See also Robertson v. Methow Valley Citizen’s Council</w:t>
      </w:r>
      <w:r>
        <w:t xml:space="preserve">, 490 U.S. 332, 349 (1989). The Ninth Circuit stated in </w:t>
      </w:r>
      <w:r>
        <w:rPr>
          <w:i/>
          <w:iCs/>
        </w:rPr>
        <w:t>California v. Block</w:t>
      </w:r>
      <w:r>
        <w:t xml:space="preserve"> that “[a]s with the standard employed to evaluate the detail that NEPA requires in discussing a decision’s environmental consequences, the touchstone for our inquiry is whether an EIS’s selection and discussion of alternatives fosters informed decision-making and informed public participation.” </w:t>
      </w:r>
      <w:r>
        <w:rPr>
          <w:i/>
          <w:iCs/>
        </w:rPr>
        <w:t>California v. Block</w:t>
      </w:r>
      <w:r>
        <w:t>, 690 F.2d 753, 767 (9</w:t>
      </w:r>
      <w:r>
        <w:rPr>
          <w:vertAlign w:val="superscript"/>
        </w:rPr>
        <w:t>th</w:t>
      </w:r>
      <w:r>
        <w:t xml:space="preserve"> Cir. 1982). </w:t>
      </w:r>
    </w:p>
    <w:p w14:paraId="2A0C4820" w14:textId="77777777" w:rsidR="00DC7939" w:rsidRDefault="00DC7939" w:rsidP="000C4474"/>
    <w:p w14:paraId="3437B3EA" w14:textId="77777777" w:rsidR="001456D1" w:rsidRDefault="001456D1" w:rsidP="000C4474">
      <w:r>
        <w:t xml:space="preserve">The EA should have considered reasonable alternatives such as non-commercial thinning of encroaching </w:t>
      </w:r>
      <w:r w:rsidR="00450BAC">
        <w:t>small conifers, and an alternative that relied on the 21” dbh limit in all areas.</w:t>
      </w:r>
    </w:p>
    <w:p w14:paraId="57FDEC00" w14:textId="77777777" w:rsidR="001456D1" w:rsidRDefault="001456D1" w:rsidP="000C4474"/>
    <w:p w14:paraId="4353AD97" w14:textId="77777777" w:rsidR="001456D1" w:rsidRDefault="00450BAC" w:rsidP="001456D1">
      <w:pPr>
        <w:pStyle w:val="Default"/>
        <w:rPr>
          <w:rFonts w:ascii="Times New Roman" w:hAnsi="Times New Roman" w:cs="Times New Roman"/>
        </w:rPr>
      </w:pPr>
      <w:r>
        <w:rPr>
          <w:rFonts w:ascii="Times New Roman" w:hAnsi="Times New Roman" w:cs="Times New Roman"/>
        </w:rPr>
        <w:t xml:space="preserve">The EA says </w:t>
      </w:r>
      <w:r w:rsidR="001456D1" w:rsidRPr="001456D1">
        <w:rPr>
          <w:rFonts w:ascii="Times New Roman" w:hAnsi="Times New Roman" w:cs="Times New Roman"/>
        </w:rPr>
        <w:t>"A non-commercial alternative was also not considered because non-commercial thinning has been the tool used the most to treat aspen stands historically on the district. Despite this, aspen stands continue to decline ..."</w:t>
      </w:r>
      <w:r>
        <w:rPr>
          <w:rFonts w:ascii="Times New Roman" w:hAnsi="Times New Roman" w:cs="Times New Roman"/>
        </w:rPr>
        <w:t xml:space="preserve"> This is illogical and therefore arbitrary and capricious. There is no evidence that aspen continues to decline </w:t>
      </w:r>
      <w:r>
        <w:rPr>
          <w:rFonts w:ascii="Times New Roman" w:hAnsi="Times New Roman" w:cs="Times New Roman"/>
        </w:rPr>
        <w:lastRenderedPageBreak/>
        <w:t>because of lack of large trees removed with commercial extraction. There are numerous reasons that aspen continue to decline. A proper NEPA analysis should be conducted to help find the real reasons. Also, large trees can be cut and used as snag habitat instead of commercial removal.</w:t>
      </w:r>
    </w:p>
    <w:p w14:paraId="7C3761C7" w14:textId="77777777" w:rsidR="00DC7939" w:rsidRDefault="00DC7939" w:rsidP="001456D1">
      <w:pPr>
        <w:pStyle w:val="Default"/>
        <w:rPr>
          <w:rFonts w:ascii="Times New Roman" w:hAnsi="Times New Roman" w:cs="Times New Roman"/>
        </w:rPr>
      </w:pPr>
    </w:p>
    <w:p w14:paraId="73AF0D05" w14:textId="77777777" w:rsidR="00DC7939" w:rsidRDefault="00DC7939" w:rsidP="00DC7939">
      <w:r>
        <w:t xml:space="preserve">"An alternative may not be disregarded merely because it does not offer a complete solution to the problem."  Citizens Against Toxic Sprays v. </w:t>
      </w:r>
      <w:proofErr w:type="spellStart"/>
      <w:r>
        <w:t>Bergland</w:t>
      </w:r>
      <w:proofErr w:type="spellEnd"/>
      <w:r>
        <w:t>, 428 F. Supp. 908. 933 (D. Or. 1977).  As one court explained, "[o]</w:t>
      </w:r>
      <w:proofErr w:type="spellStart"/>
      <w:r>
        <w:t>bviously</w:t>
      </w:r>
      <w:proofErr w:type="spellEnd"/>
      <w:r>
        <w:t xml:space="preserve">, any genuine alternative to a proposed action will not fully accomplish all of the goals of the original proposal. One of the reasons that Congress has required agencies to set out and evaluate alternative actions is to give perspective on the environmental costs, and the social necessity, of going ahead with the original proposal."   </w:t>
      </w:r>
      <w:r w:rsidRPr="007A257E">
        <w:rPr>
          <w:i/>
        </w:rPr>
        <w:t>Town of Matthews v. United States Dept of Transp.</w:t>
      </w:r>
      <w:r>
        <w:t>, 527 F. Supp. 1055, 1058 (W.D.N.C. 1981).</w:t>
      </w:r>
    </w:p>
    <w:p w14:paraId="1D93713B" w14:textId="77777777" w:rsidR="00450BAC" w:rsidRDefault="00450BAC" w:rsidP="001456D1">
      <w:pPr>
        <w:pStyle w:val="Default"/>
        <w:rPr>
          <w:rFonts w:ascii="Times New Roman" w:hAnsi="Times New Roman" w:cs="Times New Roman"/>
        </w:rPr>
      </w:pPr>
    </w:p>
    <w:p w14:paraId="3C6B9403" w14:textId="77777777" w:rsidR="00450BAC" w:rsidRPr="001456D1" w:rsidRDefault="00450BAC" w:rsidP="00450BAC">
      <w:pPr>
        <w:pStyle w:val="Default"/>
        <w:rPr>
          <w:rFonts w:ascii="Times New Roman" w:hAnsi="Times New Roman" w:cs="Times New Roman"/>
        </w:rPr>
      </w:pPr>
      <w:r>
        <w:rPr>
          <w:rFonts w:ascii="Times New Roman" w:hAnsi="Times New Roman" w:cs="Times New Roman"/>
        </w:rPr>
        <w:t>The post-NEPA implementation c</w:t>
      </w:r>
      <w:r w:rsidRPr="001456D1">
        <w:rPr>
          <w:rFonts w:ascii="Times New Roman" w:hAnsi="Times New Roman" w:cs="Times New Roman"/>
        </w:rPr>
        <w:t xml:space="preserve">hecklist </w:t>
      </w:r>
      <w:r>
        <w:rPr>
          <w:rFonts w:ascii="Times New Roman" w:hAnsi="Times New Roman" w:cs="Times New Roman"/>
        </w:rPr>
        <w:t xml:space="preserve">fist </w:t>
      </w:r>
      <w:r w:rsidRPr="001456D1">
        <w:rPr>
          <w:rFonts w:ascii="Times New Roman" w:hAnsi="Times New Roman" w:cs="Times New Roman"/>
        </w:rPr>
        <w:t xml:space="preserve">asks: "Commercial removal viable?" </w:t>
      </w:r>
      <w:r>
        <w:rPr>
          <w:rFonts w:ascii="Times New Roman" w:hAnsi="Times New Roman" w:cs="Times New Roman"/>
        </w:rPr>
        <w:t xml:space="preserve">This makes no sense. The better question is whether </w:t>
      </w:r>
      <w:r w:rsidRPr="001456D1">
        <w:rPr>
          <w:rFonts w:ascii="Times New Roman" w:hAnsi="Times New Roman" w:cs="Times New Roman"/>
        </w:rPr>
        <w:t xml:space="preserve">"commercial removal </w:t>
      </w:r>
      <w:r>
        <w:rPr>
          <w:rFonts w:ascii="Times New Roman" w:hAnsi="Times New Roman" w:cs="Times New Roman"/>
        </w:rPr>
        <w:t xml:space="preserve">is necessary and </w:t>
      </w:r>
      <w:r w:rsidRPr="001456D1">
        <w:rPr>
          <w:rFonts w:ascii="Times New Roman" w:hAnsi="Times New Roman" w:cs="Times New Roman"/>
        </w:rPr>
        <w:t>desired?"</w:t>
      </w:r>
      <w:r>
        <w:rPr>
          <w:rFonts w:ascii="Times New Roman" w:hAnsi="Times New Roman" w:cs="Times New Roman"/>
        </w:rPr>
        <w:t xml:space="preserve"> Commercial removal sends valuable habitat </w:t>
      </w:r>
      <w:r w:rsidR="000751E1">
        <w:rPr>
          <w:rFonts w:ascii="Times New Roman" w:hAnsi="Times New Roman" w:cs="Times New Roman"/>
        </w:rPr>
        <w:t xml:space="preserve">(and carbon) </w:t>
      </w:r>
      <w:r>
        <w:rPr>
          <w:rFonts w:ascii="Times New Roman" w:hAnsi="Times New Roman" w:cs="Times New Roman"/>
        </w:rPr>
        <w:t xml:space="preserve">to the mill </w:t>
      </w:r>
      <w:r w:rsidR="000751E1">
        <w:rPr>
          <w:rFonts w:ascii="Times New Roman" w:hAnsi="Times New Roman" w:cs="Times New Roman"/>
        </w:rPr>
        <w:t xml:space="preserve">(and the atmosphere) </w:t>
      </w:r>
      <w:r>
        <w:rPr>
          <w:rFonts w:ascii="Times New Roman" w:hAnsi="Times New Roman" w:cs="Times New Roman"/>
        </w:rPr>
        <w:t>instead of keeping it in the forest for habitat</w:t>
      </w:r>
      <w:r w:rsidR="000751E1">
        <w:rPr>
          <w:rFonts w:ascii="Times New Roman" w:hAnsi="Times New Roman" w:cs="Times New Roman"/>
        </w:rPr>
        <w:t xml:space="preserve"> and carbon storage climate mitigation</w:t>
      </w:r>
      <w:r>
        <w:rPr>
          <w:rFonts w:ascii="Times New Roman" w:hAnsi="Times New Roman" w:cs="Times New Roman"/>
        </w:rPr>
        <w:t>.</w:t>
      </w:r>
    </w:p>
    <w:p w14:paraId="061A1E0C" w14:textId="77777777" w:rsidR="00450BAC" w:rsidRPr="001456D1" w:rsidRDefault="00450BAC" w:rsidP="001456D1">
      <w:pPr>
        <w:pStyle w:val="Default"/>
        <w:rPr>
          <w:rFonts w:ascii="Times New Roman" w:hAnsi="Times New Roman" w:cs="Times New Roman"/>
        </w:rPr>
      </w:pPr>
    </w:p>
    <w:p w14:paraId="32FF5580" w14:textId="77777777" w:rsidR="001456D1" w:rsidRPr="00FB2223" w:rsidRDefault="00450BAC" w:rsidP="00FB2223">
      <w:pPr>
        <w:pStyle w:val="Heading1"/>
      </w:pPr>
      <w:r w:rsidRPr="00FB2223">
        <w:t>The EA fails to provide site-specific NEPA analysis.</w:t>
      </w:r>
    </w:p>
    <w:p w14:paraId="087FF09C" w14:textId="77777777" w:rsidR="001456D1" w:rsidRPr="000751E1" w:rsidRDefault="00321667">
      <w:r>
        <w:t xml:space="preserve">The Emigrant Creek Aspen </w:t>
      </w:r>
      <w:r w:rsidR="000751E1" w:rsidRPr="000751E1">
        <w:t xml:space="preserve">EA is effectively approving </w:t>
      </w:r>
      <w:r>
        <w:t xml:space="preserve">(without proper procedures) </w:t>
      </w:r>
      <w:r w:rsidR="000751E1" w:rsidRPr="000751E1">
        <w:t xml:space="preserve">a new CE for aspen projects on the Emigrant Creek District. </w:t>
      </w:r>
      <w:r w:rsidR="00DC7939">
        <w:t>Alternatively, the F</w:t>
      </w:r>
      <w:r>
        <w:t>S</w:t>
      </w:r>
      <w:r w:rsidR="00DC7939">
        <w:t xml:space="preserve"> is using “</w:t>
      </w:r>
      <w:proofErr w:type="gramStart"/>
      <w:r w:rsidR="00DC7939">
        <w:t>conditions based</w:t>
      </w:r>
      <w:proofErr w:type="gramEnd"/>
      <w:r w:rsidR="00DC7939">
        <w:t xml:space="preserve"> management” which, by itself, is inconsistent with NEPA, unless accompanied by subsequent site-specific NEPA analysis and public involvement</w:t>
      </w:r>
      <w:r>
        <w:t>, which is clearly not anticipated here</w:t>
      </w:r>
      <w:r w:rsidR="00DC7939">
        <w:t xml:space="preserve">. </w:t>
      </w:r>
      <w:r w:rsidR="000751E1" w:rsidRPr="000751E1">
        <w:t xml:space="preserve">There is no site specific </w:t>
      </w:r>
      <w:r>
        <w:t xml:space="preserve">NEPA </w:t>
      </w:r>
      <w:r w:rsidR="000751E1" w:rsidRPr="000751E1">
        <w:t xml:space="preserve">analysis in the </w:t>
      </w:r>
      <w:r w:rsidR="00DC7939">
        <w:t xml:space="preserve">Emigrant Creek Aspen </w:t>
      </w:r>
      <w:r w:rsidR="000751E1" w:rsidRPr="000751E1">
        <w:t>EA</w:t>
      </w:r>
      <w:r>
        <w:t>. In fact, t</w:t>
      </w:r>
      <w:r w:rsidR="000751E1" w:rsidRPr="000751E1">
        <w:t xml:space="preserve">here is not even any site-specific </w:t>
      </w:r>
      <w:r w:rsidR="00DC7939">
        <w:t xml:space="preserve">description </w:t>
      </w:r>
      <w:r w:rsidR="000751E1" w:rsidRPr="000751E1">
        <w:t>of a proposed action. It</w:t>
      </w:r>
      <w:r w:rsidR="001930A0">
        <w:t>’</w:t>
      </w:r>
      <w:r w:rsidR="000751E1" w:rsidRPr="000751E1">
        <w:t xml:space="preserve">s all generic, with important details to be decided </w:t>
      </w:r>
      <w:proofErr w:type="gramStart"/>
      <w:r w:rsidR="000751E1" w:rsidRPr="000751E1">
        <w:t>at a later date</w:t>
      </w:r>
      <w:proofErr w:type="gramEnd"/>
      <w:r w:rsidR="000751E1" w:rsidRPr="000751E1">
        <w:t>.</w:t>
      </w:r>
    </w:p>
    <w:p w14:paraId="2F3E53BC" w14:textId="77777777" w:rsidR="000751E1" w:rsidRDefault="000751E1">
      <w:pPr>
        <w:rPr>
          <w:b/>
        </w:rPr>
      </w:pPr>
    </w:p>
    <w:p w14:paraId="051F1C95" w14:textId="77777777" w:rsidR="000751E1" w:rsidRPr="001456D1" w:rsidRDefault="000751E1" w:rsidP="000751E1">
      <w:pPr>
        <w:pStyle w:val="Default"/>
        <w:rPr>
          <w:rFonts w:ascii="Times New Roman" w:hAnsi="Times New Roman" w:cs="Times New Roman"/>
        </w:rPr>
      </w:pPr>
      <w:r>
        <w:rPr>
          <w:rFonts w:ascii="Times New Roman" w:hAnsi="Times New Roman" w:cs="Times New Roman"/>
        </w:rPr>
        <w:t xml:space="preserve">The Implementation </w:t>
      </w:r>
      <w:r w:rsidRPr="001456D1">
        <w:rPr>
          <w:rFonts w:ascii="Times New Roman" w:hAnsi="Times New Roman" w:cs="Times New Roman"/>
        </w:rPr>
        <w:t xml:space="preserve">Checklist </w:t>
      </w:r>
      <w:r w:rsidR="00DC7939">
        <w:rPr>
          <w:rFonts w:ascii="Times New Roman" w:hAnsi="Times New Roman" w:cs="Times New Roman"/>
        </w:rPr>
        <w:t xml:space="preserve">(EA Appendix B) </w:t>
      </w:r>
      <w:r w:rsidRPr="001456D1">
        <w:rPr>
          <w:rFonts w:ascii="Times New Roman" w:hAnsi="Times New Roman" w:cs="Times New Roman"/>
        </w:rPr>
        <w:t>shows that importa</w:t>
      </w:r>
      <w:r>
        <w:rPr>
          <w:rFonts w:ascii="Times New Roman" w:hAnsi="Times New Roman" w:cs="Times New Roman"/>
        </w:rPr>
        <w:t>nt details remain undetermined, such as:</w:t>
      </w:r>
    </w:p>
    <w:p w14:paraId="159825F8"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development of site-specific prescriptions</w:t>
      </w:r>
    </w:p>
    <w:p w14:paraId="08F56A85"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xml:space="preserve">- resource surveys </w:t>
      </w:r>
    </w:p>
    <w:p w14:paraId="4A043879"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xml:space="preserve">- specification of applicable design criteria, </w:t>
      </w:r>
    </w:p>
    <w:p w14:paraId="1EF750BA" w14:textId="77777777" w:rsidR="000751E1" w:rsidRPr="001456D1" w:rsidRDefault="001930A0" w:rsidP="00A6722B">
      <w:pPr>
        <w:pStyle w:val="Default"/>
        <w:ind w:left="360"/>
        <w:rPr>
          <w:rFonts w:ascii="Times New Roman" w:hAnsi="Times New Roman" w:cs="Times New Roman"/>
        </w:rPr>
      </w:pPr>
      <w:r>
        <w:rPr>
          <w:rFonts w:ascii="Times New Roman" w:hAnsi="Times New Roman" w:cs="Times New Roman"/>
        </w:rPr>
        <w:t>- whether prescriptions</w:t>
      </w:r>
      <w:r w:rsidR="000751E1" w:rsidRPr="001456D1">
        <w:rPr>
          <w:rFonts w:ascii="Times New Roman" w:hAnsi="Times New Roman" w:cs="Times New Roman"/>
        </w:rPr>
        <w:t xml:space="preserve"> will be commercial, </w:t>
      </w:r>
    </w:p>
    <w:p w14:paraId="10E0B016"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xml:space="preserve">- location of landings, </w:t>
      </w:r>
    </w:p>
    <w:p w14:paraId="16CFFE88"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whether roads will be built</w:t>
      </w:r>
      <w:r>
        <w:rPr>
          <w:rFonts w:ascii="Times New Roman" w:hAnsi="Times New Roman" w:cs="Times New Roman"/>
        </w:rPr>
        <w:t xml:space="preserve"> (which contradicts the proposed action saying roads would not be built)</w:t>
      </w:r>
      <w:r w:rsidRPr="001456D1">
        <w:rPr>
          <w:rFonts w:ascii="Times New Roman" w:hAnsi="Times New Roman" w:cs="Times New Roman"/>
        </w:rPr>
        <w:t xml:space="preserve">,  </w:t>
      </w:r>
    </w:p>
    <w:p w14:paraId="44646645"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whether road use will be allowed during the wet season</w:t>
      </w:r>
      <w:r>
        <w:rPr>
          <w:rFonts w:ascii="Times New Roman" w:hAnsi="Times New Roman" w:cs="Times New Roman"/>
        </w:rPr>
        <w:t>,</w:t>
      </w:r>
    </w:p>
    <w:p w14:paraId="5AB44E1D"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xml:space="preserve">- whether RHCA buffers will be modified, </w:t>
      </w:r>
    </w:p>
    <w:p w14:paraId="5225A1B3"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whether skid tails will cross streams</w:t>
      </w:r>
      <w:r>
        <w:rPr>
          <w:rFonts w:ascii="Times New Roman" w:hAnsi="Times New Roman" w:cs="Times New Roman"/>
        </w:rPr>
        <w:t>,</w:t>
      </w:r>
    </w:p>
    <w:p w14:paraId="08B930D7"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deviation(s) from the PDCs</w:t>
      </w:r>
      <w:r>
        <w:rPr>
          <w:rFonts w:ascii="Times New Roman" w:hAnsi="Times New Roman" w:cs="Times New Roman"/>
        </w:rPr>
        <w:t>,</w:t>
      </w:r>
    </w:p>
    <w:p w14:paraId="43934F4B" w14:textId="77777777" w:rsidR="000751E1" w:rsidRPr="001456D1" w:rsidRDefault="000751E1" w:rsidP="00A6722B">
      <w:pPr>
        <w:pStyle w:val="Default"/>
        <w:ind w:left="360"/>
        <w:rPr>
          <w:rFonts w:ascii="Times New Roman" w:hAnsi="Times New Roman" w:cs="Times New Roman"/>
        </w:rPr>
      </w:pPr>
      <w:r w:rsidRPr="001456D1">
        <w:rPr>
          <w:rFonts w:ascii="Times New Roman" w:hAnsi="Times New Roman" w:cs="Times New Roman"/>
        </w:rPr>
        <w:t>- whether prescribed fire would require water withdrawals from fish bearing streams</w:t>
      </w:r>
    </w:p>
    <w:p w14:paraId="0555CA04" w14:textId="77777777" w:rsidR="000751E1" w:rsidRPr="002154D4" w:rsidRDefault="000751E1" w:rsidP="000751E1">
      <w:pPr>
        <w:pStyle w:val="Default"/>
        <w:rPr>
          <w:rFonts w:ascii="Times New Roman" w:hAnsi="Times New Roman" w:cs="Times New Roman"/>
        </w:rPr>
      </w:pPr>
      <w:r w:rsidRPr="001456D1">
        <w:rPr>
          <w:rFonts w:ascii="Times New Roman" w:hAnsi="Times New Roman" w:cs="Times New Roman"/>
        </w:rPr>
        <w:t xml:space="preserve">All this happens AFTER the decision on this EA. </w:t>
      </w:r>
      <w:r>
        <w:rPr>
          <w:rFonts w:ascii="Times New Roman" w:hAnsi="Times New Roman" w:cs="Times New Roman"/>
        </w:rPr>
        <w:t>This is n</w:t>
      </w:r>
      <w:r w:rsidRPr="001456D1">
        <w:rPr>
          <w:rFonts w:ascii="Times New Roman" w:hAnsi="Times New Roman" w:cs="Times New Roman"/>
        </w:rPr>
        <w:t>ot how NEPA is supposed to work.</w:t>
      </w:r>
      <w:r>
        <w:rPr>
          <w:rFonts w:ascii="Times New Roman" w:hAnsi="Times New Roman" w:cs="Times New Roman"/>
        </w:rPr>
        <w:t xml:space="preserve"> All this post-N</w:t>
      </w:r>
      <w:r w:rsidR="00DC7939">
        <w:rPr>
          <w:rFonts w:ascii="Times New Roman" w:hAnsi="Times New Roman" w:cs="Times New Roman"/>
        </w:rPr>
        <w:t>E</w:t>
      </w:r>
      <w:r>
        <w:rPr>
          <w:rFonts w:ascii="Times New Roman" w:hAnsi="Times New Roman" w:cs="Times New Roman"/>
        </w:rPr>
        <w:t xml:space="preserve">PA discretion is contrary to fundamental </w:t>
      </w:r>
      <w:r w:rsidR="00A6722B">
        <w:rPr>
          <w:rFonts w:ascii="Times New Roman" w:hAnsi="Times New Roman" w:cs="Times New Roman"/>
        </w:rPr>
        <w:t>NEPA principles.</w:t>
      </w:r>
      <w:r w:rsidR="002154D4">
        <w:rPr>
          <w:rFonts w:ascii="Times New Roman" w:hAnsi="Times New Roman" w:cs="Times New Roman"/>
        </w:rPr>
        <w:t xml:space="preserve"> </w:t>
      </w:r>
      <w:r w:rsidR="002154D4" w:rsidRPr="002154D4">
        <w:rPr>
          <w:rFonts w:ascii="Times New Roman" w:hAnsi="Times New Roman" w:cs="Times New Roman"/>
        </w:rPr>
        <w:lastRenderedPageBreak/>
        <w:t xml:space="preserve">Procedures implementing the National Environmental Policy Act (“NEPA”) “must </w:t>
      </w:r>
      <w:proofErr w:type="gramStart"/>
      <w:r w:rsidR="002154D4" w:rsidRPr="002154D4">
        <w:rPr>
          <w:rFonts w:ascii="Times New Roman" w:hAnsi="Times New Roman" w:cs="Times New Roman"/>
        </w:rPr>
        <w:t>insure</w:t>
      </w:r>
      <w:proofErr w:type="gramEnd"/>
      <w:r w:rsidR="002154D4" w:rsidRPr="002154D4">
        <w:rPr>
          <w:rFonts w:ascii="Times New Roman" w:hAnsi="Times New Roman" w:cs="Times New Roman"/>
        </w:rPr>
        <w:t xml:space="preserve"> that environmental information is available to public officials and citizens before decisions are made and before actions are taken.” 40 C.F.R. § 1500.1(b).</w:t>
      </w:r>
      <w:r w:rsidR="002154D4">
        <w:rPr>
          <w:rFonts w:ascii="Times New Roman" w:hAnsi="Times New Roman" w:cs="Times New Roman"/>
        </w:rPr>
        <w:t xml:space="preserve"> Not only is environmental impact information not available, but the basic details about the proposal (i.e., what will happen where) are not available to the public or the decision-maker.</w:t>
      </w:r>
    </w:p>
    <w:p w14:paraId="47339FCB" w14:textId="77777777" w:rsidR="001930A0" w:rsidRDefault="001930A0" w:rsidP="000751E1">
      <w:pPr>
        <w:pStyle w:val="Default"/>
        <w:rPr>
          <w:rFonts w:ascii="Times New Roman" w:hAnsi="Times New Roman" w:cs="Times New Roman"/>
        </w:rPr>
      </w:pPr>
    </w:p>
    <w:p w14:paraId="22860C42" w14:textId="77777777" w:rsidR="001930A0" w:rsidRPr="001456D1" w:rsidRDefault="001930A0" w:rsidP="000751E1">
      <w:pPr>
        <w:pStyle w:val="Default"/>
        <w:rPr>
          <w:rFonts w:ascii="Times New Roman" w:hAnsi="Times New Roman" w:cs="Times New Roman"/>
        </w:rPr>
      </w:pPr>
      <w:r>
        <w:rPr>
          <w:rFonts w:ascii="Times New Roman" w:hAnsi="Times New Roman" w:cs="Times New Roman"/>
        </w:rPr>
        <w:t>Furthermore, as noted in our comments on the PEA: “</w:t>
      </w:r>
      <w:r w:rsidRPr="001930A0">
        <w:rPr>
          <w:rFonts w:ascii="Times New Roman" w:hAnsi="Times New Roman" w:cs="Times New Roman"/>
        </w:rPr>
        <w:t>The PEA does not define the spatial extent of aspen stands to be treated or specify the geographic scope of conifer removal in and around aspen stands. This leaves open a vast ambiguity about how far afield the conifer treatment may extend. The FS should treat conifers no more than 100 feet from existing aspen trees.</w:t>
      </w:r>
      <w:r>
        <w:rPr>
          <w:rFonts w:ascii="Times New Roman" w:hAnsi="Times New Roman" w:cs="Times New Roman"/>
        </w:rPr>
        <w:t>”</w:t>
      </w:r>
    </w:p>
    <w:p w14:paraId="0B910DD5" w14:textId="77777777" w:rsidR="000751E1" w:rsidRPr="001456D1" w:rsidRDefault="000751E1" w:rsidP="000751E1">
      <w:pPr>
        <w:pStyle w:val="Default"/>
        <w:rPr>
          <w:rFonts w:ascii="Times New Roman" w:hAnsi="Times New Roman" w:cs="Times New Roman"/>
        </w:rPr>
      </w:pPr>
    </w:p>
    <w:p w14:paraId="56CC4D4A" w14:textId="77777777" w:rsidR="000751E1" w:rsidRDefault="00DC7939" w:rsidP="000751E1">
      <w:pPr>
        <w:pStyle w:val="Default"/>
        <w:rPr>
          <w:rFonts w:ascii="Times New Roman" w:hAnsi="Times New Roman" w:cs="Times New Roman"/>
        </w:rPr>
      </w:pPr>
      <w:r>
        <w:rPr>
          <w:rFonts w:ascii="Times New Roman" w:hAnsi="Times New Roman" w:cs="Times New Roman"/>
        </w:rPr>
        <w:t xml:space="preserve">The Mastication </w:t>
      </w:r>
      <w:r w:rsidR="000751E1">
        <w:rPr>
          <w:rFonts w:ascii="Times New Roman" w:hAnsi="Times New Roman" w:cs="Times New Roman"/>
        </w:rPr>
        <w:t xml:space="preserve">PDC conflicts with the project purpose of aspen restoration: </w:t>
      </w:r>
      <w:r w:rsidR="000751E1" w:rsidRPr="001456D1">
        <w:rPr>
          <w:rFonts w:ascii="Times New Roman" w:hAnsi="Times New Roman" w:cs="Times New Roman"/>
        </w:rPr>
        <w:t>"Mastication produced material should not impede aspen suckering or recruitment over greater than 30% of the stand."</w:t>
      </w:r>
      <w:r w:rsidR="000751E1">
        <w:rPr>
          <w:rFonts w:ascii="Times New Roman" w:hAnsi="Times New Roman" w:cs="Times New Roman"/>
        </w:rPr>
        <w:t xml:space="preserve"> Impeding aspen on 30% of aspen stands is not restoration.</w:t>
      </w:r>
      <w:r>
        <w:rPr>
          <w:rFonts w:ascii="Times New Roman" w:hAnsi="Times New Roman" w:cs="Times New Roman"/>
        </w:rPr>
        <w:t xml:space="preserve"> Which aspen stands will suffer this terrible fate. The EA does not say.</w:t>
      </w:r>
    </w:p>
    <w:p w14:paraId="76BDF076" w14:textId="77777777" w:rsidR="002154D4" w:rsidRDefault="002154D4" w:rsidP="000751E1">
      <w:pPr>
        <w:pStyle w:val="Default"/>
        <w:rPr>
          <w:rFonts w:ascii="Times New Roman" w:hAnsi="Times New Roman" w:cs="Times New Roman"/>
        </w:rPr>
      </w:pPr>
    </w:p>
    <w:p w14:paraId="6FBEE43D" w14:textId="77777777" w:rsidR="00473C5E" w:rsidRPr="00A964ED" w:rsidRDefault="00473C5E" w:rsidP="00473C5E">
      <w:r w:rsidRPr="000D0739">
        <w:t>Conditions-based analysis does not fulfill the Forest Service duty to conduct site-specific NEPA analysis of effects.</w:t>
      </w:r>
      <w:r w:rsidRPr="000D0739">
        <w:rPr>
          <w:b/>
        </w:rPr>
        <w:t xml:space="preserve"> </w:t>
      </w:r>
      <w:r>
        <w:t>T</w:t>
      </w:r>
      <w:r w:rsidRPr="00A964ED">
        <w:t xml:space="preserve">he </w:t>
      </w:r>
      <w:r>
        <w:t>Supreme C</w:t>
      </w:r>
      <w:r w:rsidRPr="00A964ED">
        <w:t xml:space="preserve">ourt </w:t>
      </w:r>
      <w:r>
        <w:t xml:space="preserve">has </w:t>
      </w:r>
      <w:r w:rsidRPr="00A964ED">
        <w:t>ruled the Forest Service must provide the public with “notice and an opportunity to be heard” in the analysis of “specific areas in which logging will take place, and which logging methods will be used.”</w:t>
      </w:r>
      <w:r>
        <w:t xml:space="preserve"> </w:t>
      </w:r>
      <w:r w:rsidRPr="00A964ED">
        <w:rPr>
          <w:i/>
        </w:rPr>
        <w:t>Ohio Forestry Ass’n v. Sierra Club</w:t>
      </w:r>
      <w:r w:rsidRPr="00A964ED">
        <w:t>, 523 U.S. 726, 729–30 (1998)</w:t>
      </w:r>
      <w:r>
        <w:t xml:space="preserve">. </w:t>
      </w:r>
      <w:hyperlink r:id="rId13" w:history="1">
        <w:r w:rsidRPr="00DF0BC4">
          <w:rPr>
            <w:rStyle w:val="Hyperlink"/>
          </w:rPr>
          <w:t>https://www.law.cornell.edu/supct/pdf/97-16P.ZO</w:t>
        </w:r>
      </w:hyperlink>
      <w:r>
        <w:t xml:space="preserve"> </w:t>
      </w:r>
    </w:p>
    <w:p w14:paraId="0946DE4B" w14:textId="77777777" w:rsidR="00473C5E" w:rsidRDefault="00473C5E" w:rsidP="000751E1">
      <w:pPr>
        <w:pStyle w:val="Default"/>
        <w:rPr>
          <w:rFonts w:ascii="Times New Roman" w:hAnsi="Times New Roman" w:cs="Times New Roman"/>
        </w:rPr>
      </w:pPr>
    </w:p>
    <w:p w14:paraId="7ECA8689" w14:textId="77777777" w:rsidR="00473C5E" w:rsidRPr="000D0739" w:rsidRDefault="00473C5E" w:rsidP="00473C5E">
      <w:pPr>
        <w:pStyle w:val="ListParagraph"/>
        <w:shd w:val="clear" w:color="auto" w:fill="FFFFFF"/>
        <w:suppressAutoHyphens w:val="0"/>
        <w:spacing w:after="240" w:line="240" w:lineRule="atLeast"/>
        <w:ind w:left="0"/>
        <w:contextualSpacing/>
        <w:rPr>
          <w:rFonts w:cs="Times New Roman"/>
          <w:szCs w:val="24"/>
        </w:rPr>
      </w:pPr>
      <w:r>
        <w:rPr>
          <w:rFonts w:cs="Times New Roman"/>
          <w:szCs w:val="24"/>
        </w:rPr>
        <w:t>P</w:t>
      </w:r>
      <w:r w:rsidRPr="000D0739">
        <w:rPr>
          <w:rFonts w:cs="Times New Roman"/>
          <w:szCs w:val="24"/>
        </w:rPr>
        <w:t xml:space="preserve">roject-level NEPA </w:t>
      </w:r>
      <w:r>
        <w:rPr>
          <w:rFonts w:cs="Times New Roman"/>
          <w:szCs w:val="24"/>
        </w:rPr>
        <w:t>c</w:t>
      </w:r>
      <w:r w:rsidRPr="000D0739">
        <w:rPr>
          <w:rFonts w:cs="Times New Roman"/>
          <w:szCs w:val="24"/>
        </w:rPr>
        <w:t xml:space="preserve">ompliance is not </w:t>
      </w:r>
      <w:r>
        <w:rPr>
          <w:rFonts w:cs="Times New Roman"/>
          <w:szCs w:val="24"/>
        </w:rPr>
        <w:t>f</w:t>
      </w:r>
      <w:r w:rsidRPr="000D0739">
        <w:rPr>
          <w:rFonts w:cs="Times New Roman"/>
          <w:szCs w:val="24"/>
        </w:rPr>
        <w:t xml:space="preserve">ulfilled by </w:t>
      </w:r>
      <w:r>
        <w:rPr>
          <w:rFonts w:cs="Times New Roman"/>
          <w:szCs w:val="24"/>
        </w:rPr>
        <w:t>p</w:t>
      </w:r>
      <w:r w:rsidRPr="000D0739">
        <w:rPr>
          <w:rFonts w:cs="Times New Roman"/>
          <w:szCs w:val="24"/>
        </w:rPr>
        <w:t xml:space="preserve">rogrammatic NEPA </w:t>
      </w:r>
      <w:r>
        <w:rPr>
          <w:rFonts w:cs="Times New Roman"/>
          <w:szCs w:val="24"/>
        </w:rPr>
        <w:t>a</w:t>
      </w:r>
      <w:r w:rsidRPr="000D0739">
        <w:rPr>
          <w:rFonts w:cs="Times New Roman"/>
          <w:szCs w:val="24"/>
        </w:rPr>
        <w:t xml:space="preserve">nalysis. Numerous core issues related to the environmental impacts and trade-offs caused by logging were not fully considered in the EA, such as impacts to soil, water, wildlife, carbon, fire hazard, etc. These issues were raised by the public but not addressed in the EA. The agency cannot claim that these issues were adequately addressed in the FEIS for the RMP, because the RMP is programmatic, while project effects must be considered site-specifically. The RMP approves the </w:t>
      </w:r>
      <w:r w:rsidRPr="000D0739">
        <w:rPr>
          <w:rFonts w:cs="Times New Roman"/>
          <w:i/>
          <w:szCs w:val="24"/>
        </w:rPr>
        <w:t>possibility</w:t>
      </w:r>
      <w:r w:rsidRPr="000D0739">
        <w:rPr>
          <w:rFonts w:cs="Times New Roman"/>
          <w:szCs w:val="24"/>
        </w:rPr>
        <w:t xml:space="preserve"> of forest management in certain general areas. This project proposes </w:t>
      </w:r>
      <w:r w:rsidRPr="000D0739">
        <w:rPr>
          <w:rFonts w:cs="Times New Roman"/>
          <w:i/>
          <w:szCs w:val="24"/>
        </w:rPr>
        <w:t>specific logging activities</w:t>
      </w:r>
      <w:r w:rsidRPr="000D0739">
        <w:rPr>
          <w:rFonts w:cs="Times New Roman"/>
          <w:szCs w:val="24"/>
        </w:rPr>
        <w:t xml:space="preserve"> affecting specific locations. Programmatic and site-specific proposals require two different types of NEPA analysis. Many details about the effects of logging are simply unknowable at the time programmatic NEPA is being prepared, such as soil types, current soil conditions based on past management, slope/aspect, special habitats, current vegetation conditions, a description of past vegetation management, existing road conditions, proximity to environmental features that require extra attention (streams, nearby homes, etc.), and an analysis of how logging and roads interact with these features. This EA simply failed to enumerate many of these relevant facts and effects.</w:t>
      </w:r>
    </w:p>
    <w:p w14:paraId="3A9824D0" w14:textId="77777777" w:rsidR="00473C5E" w:rsidRDefault="00473C5E" w:rsidP="00473C5E">
      <w:r>
        <w:t xml:space="preserve">When the agency proposes large </w:t>
      </w:r>
      <w:proofErr w:type="gramStart"/>
      <w:r>
        <w:t>projects</w:t>
      </w:r>
      <w:proofErr w:type="gramEnd"/>
      <w:r>
        <w:t xml:space="preserve"> it does not excuse the NEPA requirement to prepare site specific NEPA analysis.</w:t>
      </w:r>
    </w:p>
    <w:p w14:paraId="79C920E4" w14:textId="77777777" w:rsidR="00473C5E" w:rsidRDefault="00473C5E" w:rsidP="000751E1">
      <w:pPr>
        <w:pStyle w:val="Default"/>
        <w:rPr>
          <w:rFonts w:ascii="Times New Roman" w:hAnsi="Times New Roman" w:cs="Times New Roman"/>
        </w:rPr>
      </w:pPr>
    </w:p>
    <w:p w14:paraId="33FFC929" w14:textId="77777777" w:rsidR="002154D4" w:rsidRDefault="002154D4" w:rsidP="002154D4">
      <w:r>
        <w:t xml:space="preserve">Numerous core issues related to the environmental impacts and trade-offs caused by logging were not fully considered in the EA, such as impacts to soil, water, wildlife, carbon, fire hazard, etc. These issues were raised by the public but not addressed in the </w:t>
      </w:r>
      <w:r>
        <w:lastRenderedPageBreak/>
        <w:t xml:space="preserve">EA. The agency cannot claim that these issues were adequately addressed in the FEIS for the RMP, because the RMP is programmatic, while project effects must be considered site-specifically. The RMP approves the </w:t>
      </w:r>
      <w:r w:rsidRPr="00CF0249">
        <w:rPr>
          <w:i/>
        </w:rPr>
        <w:t>possibility</w:t>
      </w:r>
      <w:r>
        <w:t xml:space="preserve"> of forest management in certain general areas. This project proposes </w:t>
      </w:r>
      <w:r w:rsidRPr="00CF0249">
        <w:rPr>
          <w:i/>
        </w:rPr>
        <w:t>specific logging activities</w:t>
      </w:r>
      <w:r>
        <w:t xml:space="preserve"> affecting specific locations. Programmatic and site-specific proposals require two different types of NEPA analysis. Many details about the effects of logging are simply unknowable at the time programmatic NEPA is being prepared, such as soil types, current soil conditions based on past management, slope/aspect, special habitats, current vegetation conditions, a description of past vegetation management, existing road conditions, proximity to environmental features that require extra attention (streams, nearby homes, etc.), and an analysis of how logging and roads interact with these features. This EA simply failed to enumerate many of these relevant facts and effects.</w:t>
      </w:r>
    </w:p>
    <w:p w14:paraId="76D4E6F5" w14:textId="77777777" w:rsidR="002154D4" w:rsidRDefault="002154D4" w:rsidP="000751E1">
      <w:pPr>
        <w:pStyle w:val="Default"/>
        <w:rPr>
          <w:rFonts w:ascii="Times New Roman" w:hAnsi="Times New Roman" w:cs="Times New Roman"/>
        </w:rPr>
      </w:pPr>
    </w:p>
    <w:p w14:paraId="60AD46A1" w14:textId="77777777" w:rsidR="00473C5E" w:rsidRDefault="00473C5E" w:rsidP="00473C5E">
      <w:r>
        <w:t xml:space="preserve">When the agency proposes large </w:t>
      </w:r>
      <w:proofErr w:type="gramStart"/>
      <w:r>
        <w:t>projects</w:t>
      </w:r>
      <w:proofErr w:type="gramEnd"/>
      <w:r>
        <w:t xml:space="preserve"> it does not excuse the NEPA requirement to prepare site specific NEPA analysis.</w:t>
      </w:r>
    </w:p>
    <w:p w14:paraId="727B719E" w14:textId="77777777" w:rsidR="00473C5E" w:rsidRDefault="00473C5E" w:rsidP="00473C5E"/>
    <w:p w14:paraId="04C2A028" w14:textId="77777777" w:rsidR="00473C5E" w:rsidRDefault="00473C5E" w:rsidP="00473C5E">
      <w:pPr>
        <w:ind w:left="720"/>
      </w:pPr>
      <w:r>
        <w:t xml:space="preserve">Where there are large-scale plans for regional development, NEPA requires both a programmatic and a site-specific EIS.... Although the agency does have discretion to define the scope of its </w:t>
      </w:r>
      <w:proofErr w:type="gramStart"/>
      <w:r>
        <w:t>actions,...</w:t>
      </w:r>
      <w:proofErr w:type="gramEnd"/>
      <w:r>
        <w:t xml:space="preserve"> such discretion does not allow the agency to determine the specificity required by NEPA.</w:t>
      </w:r>
    </w:p>
    <w:p w14:paraId="3986C56B" w14:textId="77777777" w:rsidR="00473C5E" w:rsidRDefault="00473C5E" w:rsidP="00473C5E">
      <w:r w:rsidRPr="00D12326">
        <w:rPr>
          <w:i/>
        </w:rPr>
        <w:t>City of Tenakee Springs v. Block</w:t>
      </w:r>
      <w:r>
        <w:t xml:space="preserve">, 788 F.2d 1402, 1407 (9th Cir. 1985). </w:t>
      </w:r>
    </w:p>
    <w:p w14:paraId="02507E21" w14:textId="77777777" w:rsidR="00473C5E" w:rsidRDefault="00473C5E" w:rsidP="00473C5E"/>
    <w:p w14:paraId="65036CD0" w14:textId="77777777" w:rsidR="00473C5E" w:rsidRDefault="00473C5E" w:rsidP="00473C5E">
      <w:pPr>
        <w:ind w:left="720"/>
      </w:pPr>
      <w:r>
        <w:t xml:space="preserve">NEPA requires that environmental analysis be specific enough to ensure informed decision-making and meaningful public participation.110 The Project EIS's omission of the actual location of proposed timber harvest and road construction within the Project Area falls short of that mandate. … The Project EIS at issue here … does not delineate harvest units, let alone identify planned activities within them and describe their impacts on localized cognizable values. Nor does the Project EIS allow the public to identify where specific harvest activities will occur in relation to various cognizable values on Prince of Wales Island.119 … [T]he EIS falls short of NEPA's directive to "contain[] a reasonably thorough discussion of the significant aspects of the probable environmental consequences" for each alternative.142 This approach, coupled with the lack of site-specific information in the Project EIS, detracts from a decisionmaker's or public participant's ability to conduct a meaningful comparison of the probable environmental impacts among the various alternatives. … The Project EIS identified a total acreage of potential timber harvest, but not the distribution of the specific acreage authorized by each alternative within these areas. This omission is meaningful given the duration and scale of the project.146 Despite "additional parameters that limit the ultimate selection of units and activities,"147 such as mitigation measures contained in the Activity Cards,148 the Project EIS's structure creates ambiguity about the actual location, concentration, and timing of timber harvest and road construction on Prince of Wales Island.149 By doing so, the Project EIS fails to provide a meaningful comparison of alternatives. By authorizing an integrated resource management plan but deferring siting decisions to the future with no additional NEPA review,150 the Project EIS violates NEPA. </w:t>
      </w:r>
      <w:r>
        <w:lastRenderedPageBreak/>
        <w:t xml:space="preserve">The Forest Service has not yet taken the requisite hard look at the environmental impact of site-specific timber sales on Prince of Wales over the next 15 years. The Forest Service's plan for condition-based analysis may very well streamline management of the </w:t>
      </w:r>
      <w:proofErr w:type="spellStart"/>
      <w:r>
        <w:t>Tongass</w:t>
      </w:r>
      <w:proofErr w:type="spellEnd"/>
      <w:r>
        <w:t xml:space="preserve"> and decrease the amount of </w:t>
      </w:r>
      <w:proofErr w:type="spellStart"/>
      <w:r>
        <w:t>falldown</w:t>
      </w:r>
      <w:proofErr w:type="spellEnd"/>
      <w:r>
        <w:t xml:space="preserve"> acreage associated with each timber sale;151 however, it does not comply with the procedural requirements of NEPA, which are binding on the agency.152 "NEPA favors 'coherent and comprehensive up-front environmental analysis to ensure . . . that the agency will not act on incomplete information, only to regret its decision after it is too late to correct."153</w:t>
      </w:r>
    </w:p>
    <w:p w14:paraId="4F724393" w14:textId="77777777" w:rsidR="00473C5E" w:rsidRDefault="00473C5E" w:rsidP="00473C5E">
      <w:r w:rsidRPr="00BD6BD5">
        <w:rPr>
          <w:i/>
        </w:rPr>
        <w:t>SE Alaska Conservation Council v. U.S. Forest Serv</w:t>
      </w:r>
      <w:r w:rsidRPr="00C52057">
        <w:t>. (D. Alaska 2020)</w:t>
      </w:r>
      <w:r>
        <w:t xml:space="preserve">. </w:t>
      </w:r>
      <w:r w:rsidRPr="00BD6BD5">
        <w:t>Case No. 1:19-cv-00006-SLG</w:t>
      </w:r>
      <w:r>
        <w:t xml:space="preserve">. March 11, 2020. </w:t>
      </w:r>
      <w:hyperlink r:id="rId14" w:history="1">
        <w:r>
          <w:rPr>
            <w:rStyle w:val="Hyperlink"/>
          </w:rPr>
          <w:t>https://earthjustice.org/sites/default/files/files/40-order-granting-msj_3-11-20.pdf</w:t>
        </w:r>
      </w:hyperlink>
      <w:r>
        <w:t>.</w:t>
      </w:r>
    </w:p>
    <w:p w14:paraId="6D975157" w14:textId="77777777" w:rsidR="00473C5E" w:rsidRDefault="00473C5E" w:rsidP="00473C5E"/>
    <w:p w14:paraId="611868DF" w14:textId="77777777" w:rsidR="00473C5E" w:rsidRDefault="00473C5E" w:rsidP="00473C5E">
      <w:r>
        <w:t xml:space="preserve">“We are convinced that such specific analysis is better done when a specific development action is to be taken, not at the programmatic level.” </w:t>
      </w:r>
      <w:r w:rsidRPr="006A257F">
        <w:rPr>
          <w:i/>
        </w:rPr>
        <w:t>Resources Ltd. v. Robertson</w:t>
      </w:r>
      <w:r>
        <w:t>, 8 F.3d 1394, 1401 (9th Cir. 1993).</w:t>
      </w:r>
    </w:p>
    <w:p w14:paraId="007C0D01" w14:textId="77777777" w:rsidR="00473C5E" w:rsidRDefault="00473C5E" w:rsidP="00473C5E"/>
    <w:p w14:paraId="320B989C" w14:textId="77777777" w:rsidR="00473C5E" w:rsidRDefault="00473C5E" w:rsidP="00473C5E">
      <w:proofErr w:type="gramStart"/>
      <w:r>
        <w:t>In order to</w:t>
      </w:r>
      <w:proofErr w:type="gramEnd"/>
      <w:r>
        <w:t xml:space="preserve"> comply with NEPA requirements and cover both the programmatic and site-specific impacts of logging, the NEPA analysis must carefully document all the contingencies under which covered activities might occur — </w:t>
      </w:r>
    </w:p>
    <w:p w14:paraId="01EA69D3" w14:textId="77777777" w:rsidR="00473C5E" w:rsidRDefault="00473C5E" w:rsidP="00473C5E">
      <w:pPr>
        <w:numPr>
          <w:ilvl w:val="0"/>
          <w:numId w:val="4"/>
        </w:numPr>
        <w:tabs>
          <w:tab w:val="left" w:pos="900"/>
        </w:tabs>
        <w:ind w:left="540" w:firstLine="0"/>
      </w:pPr>
      <w:r>
        <w:t xml:space="preserve">all the different soil types and </w:t>
      </w:r>
      <w:proofErr w:type="gramStart"/>
      <w:r>
        <w:t>topographies;</w:t>
      </w:r>
      <w:proofErr w:type="gramEnd"/>
      <w:r>
        <w:t xml:space="preserve"> </w:t>
      </w:r>
    </w:p>
    <w:p w14:paraId="18EA77C5" w14:textId="77777777" w:rsidR="00473C5E" w:rsidRDefault="00473C5E" w:rsidP="00473C5E">
      <w:pPr>
        <w:numPr>
          <w:ilvl w:val="0"/>
          <w:numId w:val="4"/>
        </w:numPr>
        <w:tabs>
          <w:tab w:val="left" w:pos="900"/>
        </w:tabs>
        <w:ind w:left="540" w:firstLine="0"/>
      </w:pPr>
      <w:r>
        <w:t xml:space="preserve">all the different plant </w:t>
      </w:r>
      <w:proofErr w:type="gramStart"/>
      <w:r>
        <w:t>communities;</w:t>
      </w:r>
      <w:proofErr w:type="gramEnd"/>
      <w:r>
        <w:t xml:space="preserve"> </w:t>
      </w:r>
    </w:p>
    <w:p w14:paraId="76016D8F" w14:textId="77777777" w:rsidR="00473C5E" w:rsidRDefault="00473C5E" w:rsidP="00473C5E">
      <w:pPr>
        <w:numPr>
          <w:ilvl w:val="0"/>
          <w:numId w:val="4"/>
        </w:numPr>
        <w:tabs>
          <w:tab w:val="left" w:pos="900"/>
        </w:tabs>
        <w:ind w:left="540" w:firstLine="0"/>
      </w:pPr>
      <w:r>
        <w:t xml:space="preserve">impacts to habitat for all the different special status </w:t>
      </w:r>
      <w:proofErr w:type="gramStart"/>
      <w:r>
        <w:t>species;</w:t>
      </w:r>
      <w:proofErr w:type="gramEnd"/>
      <w:r>
        <w:t xml:space="preserve"> </w:t>
      </w:r>
    </w:p>
    <w:p w14:paraId="2FD50DDC" w14:textId="77777777" w:rsidR="00473C5E" w:rsidRDefault="00473C5E" w:rsidP="00473C5E">
      <w:pPr>
        <w:numPr>
          <w:ilvl w:val="0"/>
          <w:numId w:val="4"/>
        </w:numPr>
        <w:tabs>
          <w:tab w:val="left" w:pos="900"/>
        </w:tabs>
        <w:ind w:left="540" w:firstLine="0"/>
      </w:pPr>
      <w:r>
        <w:t xml:space="preserve">proximity and impacts to special </w:t>
      </w:r>
      <w:proofErr w:type="gramStart"/>
      <w:r>
        <w:t>resources;</w:t>
      </w:r>
      <w:proofErr w:type="gramEnd"/>
      <w:r>
        <w:t xml:space="preserve"> </w:t>
      </w:r>
    </w:p>
    <w:p w14:paraId="1B817961" w14:textId="77777777" w:rsidR="00473C5E" w:rsidRDefault="00473C5E" w:rsidP="00473C5E">
      <w:pPr>
        <w:numPr>
          <w:ilvl w:val="0"/>
          <w:numId w:val="4"/>
        </w:numPr>
        <w:tabs>
          <w:tab w:val="left" w:pos="900"/>
        </w:tabs>
        <w:ind w:left="540" w:firstLine="0"/>
      </w:pPr>
      <w:r>
        <w:t xml:space="preserve">possible conflicts with site-specific recreation </w:t>
      </w:r>
      <w:proofErr w:type="gramStart"/>
      <w:r>
        <w:t>uses;</w:t>
      </w:r>
      <w:proofErr w:type="gramEnd"/>
      <w:r>
        <w:t xml:space="preserve"> </w:t>
      </w:r>
    </w:p>
    <w:p w14:paraId="511A4A84" w14:textId="77777777" w:rsidR="00473C5E" w:rsidRDefault="00473C5E" w:rsidP="00473C5E">
      <w:pPr>
        <w:numPr>
          <w:ilvl w:val="0"/>
          <w:numId w:val="4"/>
        </w:numPr>
        <w:tabs>
          <w:tab w:val="left" w:pos="900"/>
        </w:tabs>
        <w:ind w:left="540" w:firstLine="0"/>
      </w:pPr>
      <w:r>
        <w:t xml:space="preserve">trade-offs with other ecosystem </w:t>
      </w:r>
      <w:proofErr w:type="gramStart"/>
      <w:r>
        <w:t>services;</w:t>
      </w:r>
      <w:proofErr w:type="gramEnd"/>
    </w:p>
    <w:p w14:paraId="78A98058" w14:textId="77777777" w:rsidR="00473C5E" w:rsidRDefault="00473C5E" w:rsidP="00473C5E">
      <w:pPr>
        <w:numPr>
          <w:ilvl w:val="0"/>
          <w:numId w:val="4"/>
        </w:numPr>
        <w:tabs>
          <w:tab w:val="left" w:pos="900"/>
        </w:tabs>
        <w:ind w:left="540" w:firstLine="0"/>
      </w:pPr>
      <w:r>
        <w:t xml:space="preserve">compliance with RMP requirements for all the different land </w:t>
      </w:r>
      <w:proofErr w:type="gramStart"/>
      <w:r>
        <w:t>allocations;</w:t>
      </w:r>
      <w:proofErr w:type="gramEnd"/>
      <w:r>
        <w:t xml:space="preserve"> </w:t>
      </w:r>
    </w:p>
    <w:p w14:paraId="19AD9A5F" w14:textId="77777777" w:rsidR="00473C5E" w:rsidRDefault="00473C5E" w:rsidP="00473C5E">
      <w:pPr>
        <w:numPr>
          <w:ilvl w:val="0"/>
          <w:numId w:val="4"/>
        </w:numPr>
        <w:tabs>
          <w:tab w:val="left" w:pos="900"/>
        </w:tabs>
        <w:ind w:left="540" w:firstLine="0"/>
      </w:pPr>
      <w:r>
        <w:t xml:space="preserve">consideration of new information that may render the programmatic NEPA analysis </w:t>
      </w:r>
      <w:proofErr w:type="gramStart"/>
      <w:r>
        <w:t>obsolete;</w:t>
      </w:r>
      <w:proofErr w:type="gramEnd"/>
      <w:r>
        <w:t xml:space="preserve"> </w:t>
      </w:r>
    </w:p>
    <w:p w14:paraId="3407DF4B" w14:textId="77777777" w:rsidR="00473C5E" w:rsidRDefault="00473C5E" w:rsidP="00473C5E">
      <w:pPr>
        <w:numPr>
          <w:ilvl w:val="0"/>
          <w:numId w:val="4"/>
        </w:numPr>
        <w:tabs>
          <w:tab w:val="left" w:pos="900"/>
        </w:tabs>
        <w:ind w:left="540" w:firstLine="0"/>
      </w:pPr>
      <w:r>
        <w:t xml:space="preserve">compatibility with the cumulative effects setting that exists in all the different watersheds, etc. </w:t>
      </w:r>
    </w:p>
    <w:p w14:paraId="2D0DFD3D" w14:textId="77777777" w:rsidR="00473C5E" w:rsidRDefault="00473C5E" w:rsidP="00473C5E">
      <w:r>
        <w:t>It's hard to imagine this being done well and thoroughly in a programmatic NEPA analysis. It certainly did not happen here.</w:t>
      </w:r>
    </w:p>
    <w:p w14:paraId="0CB8E175" w14:textId="77777777" w:rsidR="000751E1" w:rsidRDefault="000751E1">
      <w:pPr>
        <w:rPr>
          <w:b/>
        </w:rPr>
      </w:pPr>
    </w:p>
    <w:p w14:paraId="2BAE063E" w14:textId="77777777" w:rsidR="000751E1" w:rsidRPr="00FB2223" w:rsidRDefault="000751E1" w:rsidP="00FB2223">
      <w:pPr>
        <w:pStyle w:val="Heading1"/>
      </w:pPr>
      <w:r w:rsidRPr="00FB2223">
        <w:t xml:space="preserve">Snag prescriptions are arbitrary and </w:t>
      </w:r>
      <w:proofErr w:type="gramStart"/>
      <w:r w:rsidRPr="00FB2223">
        <w:t>capricious</w:t>
      </w:r>
      <w:proofErr w:type="gramEnd"/>
      <w:r w:rsidRPr="00FB2223">
        <w:t xml:space="preserve"> </w:t>
      </w:r>
    </w:p>
    <w:p w14:paraId="4E324FF7" w14:textId="77777777" w:rsidR="00BF6E93" w:rsidRDefault="00BF6E93" w:rsidP="000751E1">
      <w:pPr>
        <w:pStyle w:val="Default"/>
        <w:rPr>
          <w:rFonts w:ascii="Times New Roman" w:hAnsi="Times New Roman" w:cs="Times New Roman"/>
        </w:rPr>
      </w:pPr>
      <w:r>
        <w:rPr>
          <w:rFonts w:ascii="Times New Roman" w:hAnsi="Times New Roman" w:cs="Times New Roman"/>
        </w:rPr>
        <w:t xml:space="preserve">The Forest Service seems to recognize that removing large trees will have an adverse effect on snag </w:t>
      </w:r>
      <w:proofErr w:type="gramStart"/>
      <w:r>
        <w:rPr>
          <w:rFonts w:ascii="Times New Roman" w:hAnsi="Times New Roman" w:cs="Times New Roman"/>
        </w:rPr>
        <w:t>habitat</w:t>
      </w:r>
      <w:proofErr w:type="gramEnd"/>
      <w:r>
        <w:rPr>
          <w:rFonts w:ascii="Times New Roman" w:hAnsi="Times New Roman" w:cs="Times New Roman"/>
        </w:rPr>
        <w:t xml:space="preserve"> but the proposed solution is ineffective and ultimately arbitrary and capricious. </w:t>
      </w:r>
    </w:p>
    <w:p w14:paraId="7B328F98" w14:textId="77777777" w:rsidR="00BF6E93" w:rsidRDefault="00BF6E93" w:rsidP="000751E1">
      <w:pPr>
        <w:pStyle w:val="Default"/>
        <w:rPr>
          <w:rFonts w:ascii="Times New Roman" w:hAnsi="Times New Roman" w:cs="Times New Roman"/>
        </w:rPr>
      </w:pPr>
    </w:p>
    <w:p w14:paraId="5DBBA464" w14:textId="77777777" w:rsidR="00BF6E93" w:rsidRDefault="00BF6E93" w:rsidP="000751E1">
      <w:pPr>
        <w:pStyle w:val="Default"/>
        <w:rPr>
          <w:rFonts w:ascii="Times New Roman" w:hAnsi="Times New Roman" w:cs="Times New Roman"/>
        </w:rPr>
      </w:pPr>
      <w:r>
        <w:rPr>
          <w:rFonts w:ascii="Times New Roman" w:hAnsi="Times New Roman" w:cs="Times New Roman"/>
        </w:rPr>
        <w:t>The EA says o</w:t>
      </w:r>
      <w:r w:rsidR="000751E1" w:rsidRPr="001456D1">
        <w:rPr>
          <w:rFonts w:ascii="Times New Roman" w:hAnsi="Times New Roman" w:cs="Times New Roman"/>
        </w:rPr>
        <w:t xml:space="preserve">utside </w:t>
      </w:r>
      <w:r>
        <w:rPr>
          <w:rFonts w:ascii="Times New Roman" w:hAnsi="Times New Roman" w:cs="Times New Roman"/>
        </w:rPr>
        <w:t xml:space="preserve">of Late Old Structure (LOS) forest </w:t>
      </w:r>
      <w:r w:rsidR="000751E1" w:rsidRPr="001456D1">
        <w:rPr>
          <w:rFonts w:ascii="Times New Roman" w:hAnsi="Times New Roman" w:cs="Times New Roman"/>
        </w:rPr>
        <w:t xml:space="preserve">"A completed implementation checklist (EA Appendix B) will identify those stands </w:t>
      </w:r>
      <w:proofErr w:type="gramStart"/>
      <w:r w:rsidR="000751E1" w:rsidRPr="001456D1">
        <w:rPr>
          <w:rFonts w:ascii="Times New Roman" w:hAnsi="Times New Roman" w:cs="Times New Roman"/>
        </w:rPr>
        <w:t>were</w:t>
      </w:r>
      <w:proofErr w:type="gramEnd"/>
      <w:r w:rsidR="000751E1" w:rsidRPr="001456D1">
        <w:rPr>
          <w:rFonts w:ascii="Times New Roman" w:hAnsi="Times New Roman" w:cs="Times New Roman"/>
        </w:rPr>
        <w:t xml:space="preserve"> large snags are deficient in the surrounding landscape, and large trees will be girdled to create snags."</w:t>
      </w:r>
      <w:r w:rsidR="00A6722B">
        <w:rPr>
          <w:rFonts w:ascii="Times New Roman" w:hAnsi="Times New Roman" w:cs="Times New Roman"/>
        </w:rPr>
        <w:t xml:space="preserve"> This is arbitrary and capricious. </w:t>
      </w:r>
    </w:p>
    <w:p w14:paraId="029E7902" w14:textId="77777777" w:rsidR="00BF6E93" w:rsidRDefault="00BF6E93" w:rsidP="000751E1">
      <w:pPr>
        <w:pStyle w:val="Default"/>
        <w:rPr>
          <w:rFonts w:ascii="Times New Roman" w:hAnsi="Times New Roman" w:cs="Times New Roman"/>
        </w:rPr>
      </w:pPr>
    </w:p>
    <w:p w14:paraId="1494EBB0" w14:textId="77777777" w:rsidR="007B2FFD" w:rsidRDefault="00A6722B" w:rsidP="000751E1">
      <w:pPr>
        <w:pStyle w:val="Default"/>
        <w:rPr>
          <w:rFonts w:ascii="Times New Roman" w:hAnsi="Times New Roman" w:cs="Times New Roman"/>
        </w:rPr>
      </w:pPr>
      <w:r>
        <w:rPr>
          <w:rFonts w:ascii="Times New Roman" w:hAnsi="Times New Roman" w:cs="Times New Roman"/>
        </w:rPr>
        <w:lastRenderedPageBreak/>
        <w:t xml:space="preserve">It is well established that large trees and large snags are deficient across the eastside. See </w:t>
      </w:r>
      <w:r w:rsidR="00FB2223" w:rsidRPr="00FB2223">
        <w:rPr>
          <w:rFonts w:ascii="Times New Roman" w:hAnsi="Times New Roman" w:cs="Times New Roman"/>
        </w:rPr>
        <w:t xml:space="preserve">the ICBEMP Scientific Analysis Group which found that “Across the [interior Columbia River] basin (all lands) large snags have declined more than 30 percent. This was most likely a reflection of the loss of late-seral forests, particularly in the dry and moist PVGs.” Miles A. </w:t>
      </w:r>
      <w:proofErr w:type="spellStart"/>
      <w:r w:rsidR="00FB2223" w:rsidRPr="00FB2223">
        <w:rPr>
          <w:rFonts w:ascii="Times New Roman" w:hAnsi="Times New Roman" w:cs="Times New Roman"/>
        </w:rPr>
        <w:t>Hemstrom</w:t>
      </w:r>
      <w:proofErr w:type="spellEnd"/>
      <w:r w:rsidR="00FB2223" w:rsidRPr="00FB2223">
        <w:rPr>
          <w:rFonts w:ascii="Times New Roman" w:hAnsi="Times New Roman" w:cs="Times New Roman"/>
        </w:rPr>
        <w:t xml:space="preserve">, Wendel J. Hann, Rebecca A. </w:t>
      </w:r>
      <w:proofErr w:type="spellStart"/>
      <w:r w:rsidR="00FB2223" w:rsidRPr="00FB2223">
        <w:rPr>
          <w:rFonts w:ascii="Times New Roman" w:hAnsi="Times New Roman" w:cs="Times New Roman"/>
        </w:rPr>
        <w:t>Gravenmier</w:t>
      </w:r>
      <w:proofErr w:type="spellEnd"/>
      <w:r w:rsidR="00FB2223" w:rsidRPr="00FB2223">
        <w:rPr>
          <w:rFonts w:ascii="Times New Roman" w:hAnsi="Times New Roman" w:cs="Times New Roman"/>
        </w:rPr>
        <w:t xml:space="preserve">, Jerome J. </w:t>
      </w:r>
      <w:proofErr w:type="spellStart"/>
      <w:r w:rsidR="00FB2223" w:rsidRPr="00FB2223">
        <w:rPr>
          <w:rFonts w:ascii="Times New Roman" w:hAnsi="Times New Roman" w:cs="Times New Roman"/>
        </w:rPr>
        <w:t>Korol</w:t>
      </w:r>
      <w:proofErr w:type="spellEnd"/>
      <w:r w:rsidR="00FB2223" w:rsidRPr="00FB2223">
        <w:rPr>
          <w:rFonts w:ascii="Times New Roman" w:hAnsi="Times New Roman" w:cs="Times New Roman"/>
        </w:rPr>
        <w:t xml:space="preserve">. 2000. [SAG] Landscape Effects Analysis of the [ICBEMP] SDEIS Alternatives. USDA/USDI, </w:t>
      </w:r>
      <w:r w:rsidR="00FB2223" w:rsidRPr="00FB2223">
        <w:rPr>
          <w:rFonts w:ascii="Times New Roman" w:hAnsi="Times New Roman" w:cs="Times New Roman"/>
          <w:i/>
        </w:rPr>
        <w:t>draft</w:t>
      </w:r>
      <w:r w:rsidR="00FB2223" w:rsidRPr="00FB2223">
        <w:rPr>
          <w:rFonts w:ascii="Times New Roman" w:hAnsi="Times New Roman" w:cs="Times New Roman"/>
        </w:rPr>
        <w:t xml:space="preserve"> March 2000. </w:t>
      </w:r>
      <w:r w:rsidR="007B2FFD">
        <w:rPr>
          <w:rFonts w:ascii="Times New Roman" w:hAnsi="Times New Roman" w:cs="Times New Roman"/>
        </w:rPr>
        <w:t xml:space="preserve">And see, </w:t>
      </w:r>
      <w:r w:rsidR="007B2FFD" w:rsidRPr="007B2FFD">
        <w:rPr>
          <w:rFonts w:ascii="Times New Roman" w:hAnsi="Times New Roman" w:cs="Times New Roman"/>
        </w:rPr>
        <w:t xml:space="preserve">Tara </w:t>
      </w:r>
      <w:proofErr w:type="spellStart"/>
      <w:r w:rsidR="007B2FFD" w:rsidRPr="007B2FFD">
        <w:rPr>
          <w:rFonts w:ascii="Times New Roman" w:hAnsi="Times New Roman" w:cs="Times New Roman"/>
        </w:rPr>
        <w:t>Hudiburg</w:t>
      </w:r>
      <w:proofErr w:type="spellEnd"/>
      <w:r w:rsidR="007B2FFD" w:rsidRPr="007B2FFD">
        <w:rPr>
          <w:rFonts w:ascii="Times New Roman" w:hAnsi="Times New Roman" w:cs="Times New Roman"/>
        </w:rPr>
        <w:t xml:space="preserve">, Beverly Law, David P. Turner, John Campbell, Dan Donato, And Maureen Duane 2009. Carbon dynamics of Oregon and Northern California forests and potential land-based carbon storage. Ecological Applications, 19(1), 2009, pp. 163–180 </w:t>
      </w:r>
      <w:hyperlink r:id="rId15" w:history="1">
        <w:r w:rsidR="007B2FFD" w:rsidRPr="007B2FFD">
          <w:rPr>
            <w:rStyle w:val="Hyperlink"/>
            <w:rFonts w:ascii="Times New Roman" w:hAnsi="Times New Roman" w:cs="Times New Roman"/>
          </w:rPr>
          <w:t>http://terraweb.forestry.oregonstate.edu/pubs2/Hudiburg2009EA.pdf</w:t>
        </w:r>
      </w:hyperlink>
      <w:r w:rsidR="007B2FFD" w:rsidRPr="007B2FFD">
        <w:rPr>
          <w:rFonts w:ascii="Times New Roman" w:hAnsi="Times New Roman" w:cs="Times New Roman"/>
        </w:rPr>
        <w:t>.</w:t>
      </w:r>
    </w:p>
    <w:p w14:paraId="30228DFE" w14:textId="77777777" w:rsidR="008360A1" w:rsidRDefault="008360A1" w:rsidP="000751E1">
      <w:pPr>
        <w:pStyle w:val="Default"/>
        <w:rPr>
          <w:rFonts w:ascii="Times New Roman" w:hAnsi="Times New Roman" w:cs="Times New Roman"/>
        </w:rPr>
      </w:pPr>
    </w:p>
    <w:p w14:paraId="38AE0597" w14:textId="77777777" w:rsidR="008360A1" w:rsidRPr="008360A1" w:rsidRDefault="008360A1" w:rsidP="000751E1">
      <w:pPr>
        <w:pStyle w:val="Default"/>
        <w:rPr>
          <w:rFonts w:ascii="Times New Roman" w:hAnsi="Times New Roman" w:cs="Times New Roman"/>
        </w:rPr>
      </w:pPr>
      <w:r w:rsidRPr="008360A1">
        <w:rPr>
          <w:rFonts w:ascii="Times New Roman" w:hAnsi="Times New Roman" w:cs="Times New Roman"/>
        </w:rPr>
        <w:t xml:space="preserve">One concerning observation that can be drawn from the limited data presented in the </w:t>
      </w:r>
      <w:r>
        <w:rPr>
          <w:rFonts w:ascii="Times New Roman" w:hAnsi="Times New Roman" w:cs="Times New Roman"/>
        </w:rPr>
        <w:t xml:space="preserve">2020 Screens Amendment </w:t>
      </w:r>
      <w:r w:rsidRPr="008360A1">
        <w:rPr>
          <w:rFonts w:ascii="Times New Roman" w:hAnsi="Times New Roman" w:cs="Times New Roman"/>
        </w:rPr>
        <w:t xml:space="preserve">EA is that snag habitat is not increasing on the same trend as large trees. The EA says that large trees are increasing but snags show little to no improvement. EA (p 74) “Although a slight increase in large snag abundance was observed for each WHT [wildlife habitat type], the degree of change was not significant over the 1995-2017 time period.” This is of concern because abundant large snags and down wood are defining features of old growth forests that the Screens are designed to conserve and restore. See USDA/USDI. ICBEMP SDEIS. Appendix 17a – Definitions of Old Forest. </w:t>
      </w:r>
      <w:hyperlink r:id="rId16" w:history="1">
        <w:r w:rsidRPr="008360A1">
          <w:rPr>
            <w:rStyle w:val="Hyperlink"/>
            <w:rFonts w:ascii="Times New Roman" w:hAnsi="Times New Roman" w:cs="Times New Roman"/>
          </w:rPr>
          <w:t>https://web.archive.org/web/20161221104651/http://www.icbemp.gov/pdfs/sdeis/volume2/appendix17a.pdf</w:t>
        </w:r>
      </w:hyperlink>
      <w:r w:rsidRPr="008360A1">
        <w:rPr>
          <w:rFonts w:ascii="Times New Roman" w:hAnsi="Times New Roman" w:cs="Times New Roman"/>
        </w:rPr>
        <w:t>.</w:t>
      </w:r>
    </w:p>
    <w:p w14:paraId="0719542A" w14:textId="77777777" w:rsidR="007B2FFD" w:rsidRDefault="007B2FFD" w:rsidP="000751E1">
      <w:pPr>
        <w:pStyle w:val="Default"/>
        <w:rPr>
          <w:rFonts w:ascii="Times New Roman" w:hAnsi="Times New Roman" w:cs="Times New Roman"/>
        </w:rPr>
      </w:pPr>
    </w:p>
    <w:p w14:paraId="71BE8EB8" w14:textId="77777777" w:rsidR="000751E1" w:rsidRDefault="00A6722B" w:rsidP="000751E1">
      <w:pPr>
        <w:pStyle w:val="Default"/>
        <w:rPr>
          <w:rFonts w:ascii="Times New Roman" w:hAnsi="Times New Roman" w:cs="Times New Roman"/>
        </w:rPr>
      </w:pPr>
      <w:r>
        <w:rPr>
          <w:rFonts w:ascii="Times New Roman" w:hAnsi="Times New Roman" w:cs="Times New Roman"/>
        </w:rPr>
        <w:t xml:space="preserve">There is no ecological justification for removal of large trees based on there being “too many” in some local area. Any place that may have more than reference levels of large trees and large snags, is just serving as partial mitigation for vast areas that are deficient in large trees and large snags. The EA and implementation checklist fail to account for </w:t>
      </w:r>
      <w:proofErr w:type="gramStart"/>
      <w:r>
        <w:rPr>
          <w:rFonts w:ascii="Times New Roman" w:hAnsi="Times New Roman" w:cs="Times New Roman"/>
        </w:rPr>
        <w:t>this</w:t>
      </w:r>
      <w:r w:rsidR="00C22E55">
        <w:rPr>
          <w:rFonts w:ascii="Times New Roman" w:hAnsi="Times New Roman" w:cs="Times New Roman"/>
        </w:rPr>
        <w:t>, and</w:t>
      </w:r>
      <w:proofErr w:type="gramEnd"/>
      <w:r w:rsidR="00C22E55">
        <w:rPr>
          <w:rFonts w:ascii="Times New Roman" w:hAnsi="Times New Roman" w:cs="Times New Roman"/>
        </w:rPr>
        <w:t xml:space="preserve"> fail to disclose the adverse effects on large tree and large snag habitat and carbon storage from removal of large trees.</w:t>
      </w:r>
    </w:p>
    <w:p w14:paraId="36762347" w14:textId="77777777" w:rsidR="00064B32" w:rsidRDefault="00064B32" w:rsidP="00064B32">
      <w:pPr>
        <w:pStyle w:val="Default"/>
        <w:rPr>
          <w:rFonts w:ascii="Times New Roman" w:hAnsi="Times New Roman" w:cs="Times New Roman"/>
        </w:rPr>
      </w:pPr>
    </w:p>
    <w:p w14:paraId="6D342D23" w14:textId="77777777" w:rsidR="00064B32" w:rsidRDefault="00064B32" w:rsidP="00064B32">
      <w:pPr>
        <w:ind w:left="720"/>
      </w:pPr>
      <w:r>
        <w:t>“In general, wildlife species that use dead wood for nesting, roosting, or foraging prefer larger diameter logs and snags (&gt;20 inches). Although we tallied dead wood in this size class throughout Oregon, the estimated density may not be sufficient for some wildlife species. For example, inventory results show a mean of almost 3 snags per acre in this size class in western Oregon and 1 per acre in eastern Oregon. This may indicate that large-diameter snags are currently uncommon in Oregon habitat and that management may be necessary to produce a greater density of large snags.”</w:t>
      </w:r>
    </w:p>
    <w:p w14:paraId="05B48976" w14:textId="77777777" w:rsidR="00064B32" w:rsidRDefault="00064B32" w:rsidP="00064B32">
      <w:r>
        <w:t xml:space="preserve">Donnegan, Joseph; Campbell, Sally; Azuma, Dave, tech. eds. 2008. Oregon’s forest resources, 2001–2005: five-year Forest Inventory and Analysis report. Gen. Tech. Rep. PNW-GTR-765. Portland, OR: U.S. Forest Service, Pacific Northwest Research Station. 186 p. </w:t>
      </w:r>
      <w:hyperlink r:id="rId17" w:history="1">
        <w:r>
          <w:rPr>
            <w:rStyle w:val="Hyperlink"/>
          </w:rPr>
          <w:t>http://www.fs.fed.us/pnw/publications/gtr765/pnw-gtr765b.pdf</w:t>
        </w:r>
      </w:hyperlink>
      <w:r>
        <w:t>.</w:t>
      </w:r>
    </w:p>
    <w:p w14:paraId="7A0A1D26" w14:textId="77777777" w:rsidR="007B2FFD" w:rsidRDefault="007B2FFD" w:rsidP="007B2FFD">
      <w:pPr>
        <w:autoSpaceDE w:val="0"/>
      </w:pPr>
    </w:p>
    <w:p w14:paraId="710D3E3A" w14:textId="77777777" w:rsidR="00FB2223" w:rsidRDefault="00FB2223" w:rsidP="000751E1">
      <w:pPr>
        <w:pStyle w:val="Default"/>
        <w:rPr>
          <w:rFonts w:ascii="Times New Roman" w:hAnsi="Times New Roman" w:cs="Times New Roman"/>
        </w:rPr>
      </w:pPr>
      <w:r>
        <w:rPr>
          <w:rFonts w:ascii="Times New Roman" w:hAnsi="Times New Roman" w:cs="Times New Roman"/>
        </w:rPr>
        <w:lastRenderedPageBreak/>
        <w:t xml:space="preserve">There is no way for the Forest Service to determine whether and where snags are deficient because the current snag standards are </w:t>
      </w:r>
      <w:proofErr w:type="gramStart"/>
      <w:r>
        <w:rPr>
          <w:rFonts w:ascii="Times New Roman" w:hAnsi="Times New Roman" w:cs="Times New Roman"/>
        </w:rPr>
        <w:t>outdated, and</w:t>
      </w:r>
      <w:proofErr w:type="gramEnd"/>
      <w:r>
        <w:rPr>
          <w:rFonts w:ascii="Times New Roman" w:hAnsi="Times New Roman" w:cs="Times New Roman"/>
        </w:rPr>
        <w:t xml:space="preserve"> have not been replaced with scientifically credible new standards. </w:t>
      </w:r>
    </w:p>
    <w:p w14:paraId="241927FD" w14:textId="77777777" w:rsidR="00FB2223" w:rsidRDefault="00FB2223" w:rsidP="000751E1">
      <w:pPr>
        <w:pStyle w:val="Default"/>
        <w:rPr>
          <w:rFonts w:ascii="Times New Roman" w:hAnsi="Times New Roman" w:cs="Times New Roman"/>
        </w:rPr>
      </w:pPr>
    </w:p>
    <w:p w14:paraId="741FE48E" w14:textId="77777777" w:rsidR="00FB2223" w:rsidRDefault="00FB2223" w:rsidP="00FB2223">
      <w:pPr>
        <w:autoSpaceDE w:val="0"/>
      </w:pPr>
      <w:r>
        <w:t>The Forest Service cannot provide any assurance that its plans and projects will assure viable populations of native wildlife that depend on dead trees. The Forest Service does not know how many snags are necessary to support viable populations of cavity associated species. The Forest Service has provided no credible link between DecAID tolerance levels, potential population levels, and/or viable populations. The Forest Service has also failed to reliably quantify existing and projected habitat for snag associated species.</w:t>
      </w:r>
    </w:p>
    <w:p w14:paraId="06901F04" w14:textId="77777777" w:rsidR="00FB2223" w:rsidRDefault="00FB2223" w:rsidP="00FB2223">
      <w:pPr>
        <w:autoSpaceDE w:val="0"/>
      </w:pPr>
    </w:p>
    <w:p w14:paraId="620280A4" w14:textId="77777777" w:rsidR="00FB2223" w:rsidRDefault="00FB2223" w:rsidP="00FB2223">
      <w:pPr>
        <w:autoSpaceDE w:val="0"/>
      </w:pPr>
      <w:r>
        <w:t xml:space="preserve">The Forest Service cannot provide any assurance that its plans and projects will assure viable populations of native wildlife that depend on dead trees. The recently amended Eastside Screens changed the requirements for snag habitat in a way that offers no assurances of population viability. The new snag standards basically </w:t>
      </w:r>
      <w:proofErr w:type="gramStart"/>
      <w:r>
        <w:t>requires</w:t>
      </w:r>
      <w:proofErr w:type="gramEnd"/>
      <w:r>
        <w:t xml:space="preserve"> </w:t>
      </w:r>
      <w:r w:rsidRPr="003A6CE6">
        <w:rPr>
          <w:i/>
        </w:rPr>
        <w:t>some</w:t>
      </w:r>
      <w:r>
        <w:t xml:space="preserve"> snags for </w:t>
      </w:r>
      <w:r w:rsidRPr="003A6CE6">
        <w:rPr>
          <w:i/>
        </w:rPr>
        <w:t>some</w:t>
      </w:r>
      <w:r>
        <w:t xml:space="preserve"> wildlife, while failing to ensure there are </w:t>
      </w:r>
      <w:r w:rsidRPr="003A6CE6">
        <w:rPr>
          <w:i/>
        </w:rPr>
        <w:t>enough</w:t>
      </w:r>
      <w:r>
        <w:t xml:space="preserve"> snags for wildlife that are </w:t>
      </w:r>
      <w:r w:rsidRPr="003A6CE6">
        <w:rPr>
          <w:i/>
        </w:rPr>
        <w:t>most sensitive</w:t>
      </w:r>
      <w:r>
        <w:t xml:space="preserve"> to logging and the resulting absence of abundant snags.</w:t>
      </w:r>
    </w:p>
    <w:p w14:paraId="150E0985" w14:textId="77777777" w:rsidR="00FB2223" w:rsidRDefault="00FB2223" w:rsidP="00FB2223"/>
    <w:p w14:paraId="568FE30B" w14:textId="77777777" w:rsidR="00FB2223" w:rsidRDefault="00FB2223" w:rsidP="00FB2223">
      <w:r>
        <w:t xml:space="preserve">An unavoidable impact of all commercial logging is to “capture mortality” which reduces valuable snag habitat in the short-term (via hazard tree felling) and in the long-term (via delayed recruitment and reduced overall recruitment). For example, in a thinning project on the Siuslaw National Forest “modeling stand #502073 over a 100-year cycle [using ORGANON] predicts a total stand mortality of 202 trees (&gt;10 inches dbh) for the unthinned stand, while mortality for the thinned stand was two trees. Therefore, thinning will reduce density-dependent mortality within the </w:t>
      </w:r>
      <w:proofErr w:type="gramStart"/>
      <w:r>
        <w:t>stand by</w:t>
      </w:r>
      <w:proofErr w:type="gramEnd"/>
      <w:r>
        <w:t xml:space="preserve"> 99%.” NOAA April 4, </w:t>
      </w:r>
      <w:proofErr w:type="gramStart"/>
      <w:r>
        <w:t>2006</w:t>
      </w:r>
      <w:proofErr w:type="gramEnd"/>
      <w:r>
        <w:t xml:space="preserve"> Magnuson Act consultation on Essential Fish Habitat and Response to Siuslaw NF Lobster Project BA. There is no reason to think that thinning in densely stocked forests elsewhere would be any different.</w:t>
      </w:r>
    </w:p>
    <w:p w14:paraId="690611E2" w14:textId="77777777" w:rsidR="00064B32" w:rsidRDefault="00064B32" w:rsidP="00064B32"/>
    <w:p w14:paraId="28E8F2BB" w14:textId="77777777" w:rsidR="00064B32" w:rsidRDefault="00064B32" w:rsidP="00064B32">
      <w:r>
        <w:t>The authors of DecAID describe some of the limitations of the old methods of managing snag habitat.</w:t>
      </w:r>
    </w:p>
    <w:p w14:paraId="0BB4AB6E" w14:textId="77777777" w:rsidR="00064B32" w:rsidRPr="0034126E" w:rsidRDefault="00064B32" w:rsidP="00064B32">
      <w:pPr>
        <w:pStyle w:val="BodyTextIndent"/>
        <w:rPr>
          <w:rFonts w:ascii="Times New Roman" w:hAnsi="Times New Roman" w:cs="Times New Roman"/>
        </w:rPr>
      </w:pPr>
      <w:r w:rsidRPr="0034126E">
        <w:rPr>
          <w:rFonts w:ascii="Times New Roman" w:hAnsi="Times New Roman" w:cs="Times New Roman"/>
          <w:b/>
        </w:rPr>
        <w:t>Limitations of Existing Approaches for Assessing Wildlife-Dead Wood Relations.</w:t>
      </w:r>
      <w:r w:rsidRPr="0034126E">
        <w:rPr>
          <w:rFonts w:ascii="Times New Roman" w:hAnsi="Times New Roman" w:cs="Times New Roman"/>
        </w:rPr>
        <w:t xml:space="preserve"> </w:t>
      </w:r>
    </w:p>
    <w:p w14:paraId="2D2156FB" w14:textId="77777777" w:rsidR="00064B32" w:rsidRPr="0034126E" w:rsidRDefault="00064B32" w:rsidP="00064B32">
      <w:pPr>
        <w:pStyle w:val="BodyTextIndent"/>
        <w:rPr>
          <w:rFonts w:ascii="Times New Roman" w:hAnsi="Times New Roman" w:cs="Times New Roman"/>
        </w:rPr>
      </w:pPr>
      <w:r w:rsidRPr="0034126E">
        <w:rPr>
          <w:rFonts w:ascii="Times New Roman" w:hAnsi="Times New Roman" w:cs="Times New Roman"/>
        </w:rPr>
        <w:t xml:space="preserve">Models of relationships between wildlife species and snags in the Pacific Northwest typically are based on calculating potential densities of bird species and expected number of snags used per pair. This approach was first used by Thomas et al. (1979). </w:t>
      </w:r>
      <w:proofErr w:type="spellStart"/>
      <w:r w:rsidRPr="0034126E">
        <w:rPr>
          <w:rFonts w:ascii="Times New Roman" w:hAnsi="Times New Roman" w:cs="Times New Roman"/>
        </w:rPr>
        <w:t>Marcot</w:t>
      </w:r>
      <w:proofErr w:type="spellEnd"/>
      <w:r w:rsidRPr="0034126E">
        <w:rPr>
          <w:rFonts w:ascii="Times New Roman" w:hAnsi="Times New Roman" w:cs="Times New Roman"/>
        </w:rPr>
        <w:t xml:space="preserve"> expanded this approach in </w:t>
      </w:r>
      <w:proofErr w:type="spellStart"/>
      <w:r w:rsidRPr="0034126E">
        <w:rPr>
          <w:rFonts w:ascii="Times New Roman" w:hAnsi="Times New Roman" w:cs="Times New Roman"/>
        </w:rPr>
        <w:t>Neitro</w:t>
      </w:r>
      <w:proofErr w:type="spellEnd"/>
      <w:r w:rsidRPr="0034126E">
        <w:rPr>
          <w:rFonts w:ascii="Times New Roman" w:hAnsi="Times New Roman" w:cs="Times New Roman"/>
        </w:rPr>
        <w:t xml:space="preserve"> et al. (1985) and in the Snag Recruitment Simulator (</w:t>
      </w:r>
      <w:proofErr w:type="spellStart"/>
      <w:r w:rsidRPr="0034126E">
        <w:rPr>
          <w:rFonts w:ascii="Times New Roman" w:hAnsi="Times New Roman" w:cs="Times New Roman"/>
        </w:rPr>
        <w:t>Marcot</w:t>
      </w:r>
      <w:proofErr w:type="spellEnd"/>
      <w:r w:rsidRPr="0034126E">
        <w:rPr>
          <w:rFonts w:ascii="Times New Roman" w:hAnsi="Times New Roman" w:cs="Times New Roman"/>
        </w:rPr>
        <w:t xml:space="preserve"> 1992) by using published estimates of bird population densities instead of calculating population densities from pair home range sizes. This approach has been criticized because the numbers of snags suggested by the models seem far lower than are now being observed in field studies (Lundquist and </w:t>
      </w:r>
      <w:proofErr w:type="spellStart"/>
      <w:r w:rsidRPr="0034126E">
        <w:rPr>
          <w:rFonts w:ascii="Times New Roman" w:hAnsi="Times New Roman" w:cs="Times New Roman"/>
        </w:rPr>
        <w:t>Mariani</w:t>
      </w:r>
      <w:proofErr w:type="spellEnd"/>
      <w:r w:rsidRPr="0034126E">
        <w:rPr>
          <w:rFonts w:ascii="Times New Roman" w:hAnsi="Times New Roman" w:cs="Times New Roman"/>
        </w:rPr>
        <w:t xml:space="preserve"> 1991, Bull et al. 1997). In addition, the models provided only deterministic point values of snag sizes or densities and of population response ("population potential") instead of probabilistic estimates that are more amenable to a risk analysis and risk management framework.</w:t>
      </w:r>
    </w:p>
    <w:p w14:paraId="7312A19D" w14:textId="77777777" w:rsidR="00064B32" w:rsidRPr="0034126E" w:rsidRDefault="00064B32" w:rsidP="00064B32">
      <w:pPr>
        <w:pStyle w:val="BodyTextIndent"/>
        <w:rPr>
          <w:rFonts w:ascii="Times New Roman" w:hAnsi="Times New Roman" w:cs="Times New Roman"/>
        </w:rPr>
      </w:pPr>
      <w:r w:rsidRPr="0034126E">
        <w:rPr>
          <w:rFonts w:ascii="Times New Roman" w:hAnsi="Times New Roman" w:cs="Times New Roman"/>
        </w:rPr>
        <w:lastRenderedPageBreak/>
        <w:t xml:space="preserve"> In addition, existing models have focused on terrestrial vertebrate species that are primary cavity excavators. Thomas et al. (1979) and </w:t>
      </w:r>
      <w:proofErr w:type="spellStart"/>
      <w:r w:rsidRPr="0034126E">
        <w:rPr>
          <w:rFonts w:ascii="Times New Roman" w:hAnsi="Times New Roman" w:cs="Times New Roman"/>
        </w:rPr>
        <w:t>Marcot</w:t>
      </w:r>
      <w:proofErr w:type="spellEnd"/>
      <w:r w:rsidRPr="0034126E">
        <w:rPr>
          <w:rFonts w:ascii="Times New Roman" w:hAnsi="Times New Roman" w:cs="Times New Roman"/>
        </w:rPr>
        <w:t xml:space="preserve"> (1992) assumed that secondary snag-using species would be fully provided for if needs of primary snag-excavating species were met. However, </w:t>
      </w:r>
      <w:proofErr w:type="spellStart"/>
      <w:r w:rsidRPr="0034126E">
        <w:rPr>
          <w:rFonts w:ascii="Times New Roman" w:hAnsi="Times New Roman" w:cs="Times New Roman"/>
        </w:rPr>
        <w:t>McComb</w:t>
      </w:r>
      <w:proofErr w:type="spellEnd"/>
      <w:r w:rsidRPr="0034126E">
        <w:rPr>
          <w:rFonts w:ascii="Times New Roman" w:hAnsi="Times New Roman" w:cs="Times New Roman"/>
        </w:rPr>
        <w:t xml:space="preserve"> et al. (1992) and Schreiber (1987) suggested that secondary cavity nesting birds may be even more sensitive to snag density than are primary cavity excavators.</w:t>
      </w:r>
    </w:p>
    <w:p w14:paraId="2CCEFA59" w14:textId="77777777" w:rsidR="00064B32" w:rsidRPr="0034126E" w:rsidRDefault="00064B32" w:rsidP="00064B32">
      <w:pPr>
        <w:pStyle w:val="BodyTextIndent"/>
        <w:rPr>
          <w:rFonts w:ascii="Times New Roman" w:hAnsi="Times New Roman" w:cs="Times New Roman"/>
        </w:rPr>
      </w:pPr>
      <w:r w:rsidRPr="0034126E">
        <w:rPr>
          <w:rFonts w:ascii="Times New Roman" w:hAnsi="Times New Roman" w:cs="Times New Roman"/>
        </w:rPr>
        <w:t xml:space="preserve"> Furthermore, existing models do not address relationships between wildlife and down wood, nor do they account for species that use different types of snags and partially dead trees, such as hollow live and dead trees used by bats (</w:t>
      </w:r>
      <w:proofErr w:type="spellStart"/>
      <w:r w:rsidRPr="0034126E">
        <w:rPr>
          <w:rFonts w:ascii="Times New Roman" w:hAnsi="Times New Roman" w:cs="Times New Roman"/>
        </w:rPr>
        <w:t>Ormsbee</w:t>
      </w:r>
      <w:proofErr w:type="spellEnd"/>
      <w:r w:rsidRPr="0034126E">
        <w:rPr>
          <w:rFonts w:ascii="Times New Roman" w:hAnsi="Times New Roman" w:cs="Times New Roman"/>
        </w:rPr>
        <w:t xml:space="preserve"> and </w:t>
      </w:r>
      <w:proofErr w:type="spellStart"/>
      <w:r w:rsidRPr="0034126E">
        <w:rPr>
          <w:rFonts w:ascii="Times New Roman" w:hAnsi="Times New Roman" w:cs="Times New Roman"/>
        </w:rPr>
        <w:t>McComb</w:t>
      </w:r>
      <w:proofErr w:type="spellEnd"/>
      <w:r w:rsidRPr="0034126E">
        <w:rPr>
          <w:rFonts w:ascii="Times New Roman" w:hAnsi="Times New Roman" w:cs="Times New Roman"/>
        </w:rPr>
        <w:t xml:space="preserve"> 1998, </w:t>
      </w:r>
      <w:proofErr w:type="spellStart"/>
      <w:r w:rsidRPr="0034126E">
        <w:rPr>
          <w:rFonts w:ascii="Times New Roman" w:hAnsi="Times New Roman" w:cs="Times New Roman"/>
        </w:rPr>
        <w:t>Vonhof</w:t>
      </w:r>
      <w:proofErr w:type="spellEnd"/>
      <w:r w:rsidRPr="0034126E">
        <w:rPr>
          <w:rFonts w:ascii="Times New Roman" w:hAnsi="Times New Roman" w:cs="Times New Roman"/>
        </w:rPr>
        <w:t xml:space="preserve"> and </w:t>
      </w:r>
      <w:proofErr w:type="spellStart"/>
      <w:r w:rsidRPr="0034126E">
        <w:rPr>
          <w:rFonts w:ascii="Times New Roman" w:hAnsi="Times New Roman" w:cs="Times New Roman"/>
        </w:rPr>
        <w:t>Gwilliam</w:t>
      </w:r>
      <w:proofErr w:type="spellEnd"/>
      <w:r w:rsidRPr="0034126E">
        <w:rPr>
          <w:rFonts w:ascii="Times New Roman" w:hAnsi="Times New Roman" w:cs="Times New Roman"/>
        </w:rPr>
        <w:t xml:space="preserve"> 2007), Vaux's swift (</w:t>
      </w:r>
      <w:r w:rsidRPr="0034126E">
        <w:rPr>
          <w:rFonts w:ascii="Times New Roman" w:hAnsi="Times New Roman" w:cs="Times New Roman"/>
          <w:i/>
        </w:rPr>
        <w:t xml:space="preserve">Chaetura </w:t>
      </w:r>
      <w:proofErr w:type="spellStart"/>
      <w:r w:rsidRPr="0034126E">
        <w:rPr>
          <w:rFonts w:ascii="Times New Roman" w:hAnsi="Times New Roman" w:cs="Times New Roman"/>
          <w:i/>
        </w:rPr>
        <w:t>vauxi</w:t>
      </w:r>
      <w:proofErr w:type="spellEnd"/>
      <w:r w:rsidRPr="0034126E">
        <w:rPr>
          <w:rFonts w:ascii="Times New Roman" w:hAnsi="Times New Roman" w:cs="Times New Roman"/>
        </w:rPr>
        <w:t>) (Bull and Hohmann 1993), American marten (</w:t>
      </w:r>
      <w:r w:rsidRPr="0034126E">
        <w:rPr>
          <w:rFonts w:ascii="Times New Roman" w:hAnsi="Times New Roman" w:cs="Times New Roman"/>
          <w:i/>
        </w:rPr>
        <w:t>Martes americana</w:t>
      </w:r>
      <w:r w:rsidRPr="0034126E">
        <w:rPr>
          <w:rFonts w:ascii="Times New Roman" w:hAnsi="Times New Roman" w:cs="Times New Roman"/>
        </w:rPr>
        <w:t>) (Bull et al. 2005),</w:t>
      </w:r>
      <w:r>
        <w:rPr>
          <w:rFonts w:ascii="Times New Roman" w:hAnsi="Times New Roman" w:cs="Times New Roman"/>
        </w:rPr>
        <w:t xml:space="preserve"> </w:t>
      </w:r>
      <w:r w:rsidRPr="0034126E">
        <w:rPr>
          <w:rFonts w:ascii="Times New Roman" w:hAnsi="Times New Roman" w:cs="Times New Roman"/>
        </w:rPr>
        <w:t>and fisher (</w:t>
      </w:r>
      <w:r w:rsidRPr="0034126E">
        <w:rPr>
          <w:rFonts w:ascii="Times New Roman" w:hAnsi="Times New Roman" w:cs="Times New Roman"/>
          <w:i/>
        </w:rPr>
        <w:t>Martes pennanti</w:t>
      </w:r>
      <w:r w:rsidRPr="0034126E">
        <w:rPr>
          <w:rFonts w:ascii="Times New Roman" w:hAnsi="Times New Roman" w:cs="Times New Roman"/>
        </w:rPr>
        <w:t>) (Zielinski et al. 2004).</w:t>
      </w:r>
    </w:p>
    <w:p w14:paraId="1B66FAFB" w14:textId="77777777" w:rsidR="00064B32" w:rsidRPr="0034126E" w:rsidRDefault="00064B32" w:rsidP="00064B32">
      <w:r w:rsidRPr="0034126E">
        <w:t xml:space="preserve">Bruce G. </w:t>
      </w:r>
      <w:proofErr w:type="spellStart"/>
      <w:proofErr w:type="gramStart"/>
      <w:r w:rsidRPr="0034126E">
        <w:t>Marcot</w:t>
      </w:r>
      <w:proofErr w:type="spellEnd"/>
      <w:r w:rsidRPr="0034126E">
        <w:t xml:space="preserve"> ,</w:t>
      </w:r>
      <w:proofErr w:type="gramEnd"/>
      <w:r w:rsidRPr="0034126E">
        <w:t xml:space="preserve"> Janet L. </w:t>
      </w:r>
      <w:proofErr w:type="spellStart"/>
      <w:r w:rsidRPr="0034126E">
        <w:t>Ohmann</w:t>
      </w:r>
      <w:proofErr w:type="spellEnd"/>
      <w:r w:rsidRPr="0034126E">
        <w:t xml:space="preserve">, Kim L. </w:t>
      </w:r>
      <w:proofErr w:type="spellStart"/>
      <w:r w:rsidRPr="0034126E">
        <w:t>Mellen</w:t>
      </w:r>
      <w:proofErr w:type="spellEnd"/>
      <w:r w:rsidRPr="0034126E">
        <w:t xml:space="preserve">-McLean, and Karen L. Waddell. Synthesis of Regional Wildlife and Vegetation Field Studies to Guide Management of Standing and Down Dead Trees. Forest Science 56(4) 2010. </w:t>
      </w:r>
      <w:hyperlink r:id="rId18" w:history="1">
        <w:r w:rsidRPr="0034126E">
          <w:rPr>
            <w:rStyle w:val="Hyperlink"/>
          </w:rPr>
          <w:t>http://www.fs.fed.us/pnw/pubs/journals/pnw_2010_marcot002.pdf</w:t>
        </w:r>
      </w:hyperlink>
      <w:r w:rsidRPr="0034126E">
        <w:t xml:space="preserve"> </w:t>
      </w:r>
    </w:p>
    <w:p w14:paraId="58B73012" w14:textId="77777777" w:rsidR="00064B32" w:rsidRPr="0034126E" w:rsidRDefault="00064B32" w:rsidP="00064B32"/>
    <w:p w14:paraId="06BC07EC" w14:textId="77777777" w:rsidR="00064B32" w:rsidRPr="0034126E" w:rsidRDefault="00064B32" w:rsidP="00064B32"/>
    <w:p w14:paraId="768892FE" w14:textId="77777777" w:rsidR="00064B32" w:rsidRPr="0034126E" w:rsidRDefault="00064B32" w:rsidP="00064B32">
      <w:r w:rsidRPr="0034126E">
        <w:t xml:space="preserve">The agencies need to prepare </w:t>
      </w:r>
      <w:proofErr w:type="gramStart"/>
      <w:r w:rsidRPr="0034126E">
        <w:t>a</w:t>
      </w:r>
      <w:proofErr w:type="gramEnd"/>
      <w:r w:rsidRPr="0034126E">
        <w:t xml:space="preserve"> EIS to consider a replacement methodology for maintaining species and other values associated with dead wood. This is especially critical because adequate dead wood is recognized as an essential feature of healthy forests and the Forest Service has identified lots of “management indicator species” associated with dead wood habitat.</w:t>
      </w:r>
    </w:p>
    <w:p w14:paraId="707C0532" w14:textId="77777777" w:rsidR="00064B32" w:rsidRPr="0034126E" w:rsidRDefault="00064B32" w:rsidP="00064B32"/>
    <w:p w14:paraId="60E030CB" w14:textId="77777777" w:rsidR="00064B32" w:rsidRPr="0034126E" w:rsidRDefault="00064B32" w:rsidP="00064B32"/>
    <w:p w14:paraId="13BCCFAA" w14:textId="77777777" w:rsidR="00064B32" w:rsidRPr="0034126E" w:rsidRDefault="00064B32" w:rsidP="00064B32">
      <w:r w:rsidRPr="0034126E">
        <w:t xml:space="preserve">Back in the early 1990s the Forest Service recognized </w:t>
      </w:r>
      <w:proofErr w:type="gramStart"/>
      <w:r w:rsidRPr="0034126E">
        <w:t>the their</w:t>
      </w:r>
      <w:proofErr w:type="gramEnd"/>
      <w:r w:rsidRPr="0034126E">
        <w:t xml:space="preserve"> forest plans were not adequate to maintain populations of spotted owls and they tried to develop plans to conserve spotted owl without following NEPA and NFMA procedures. The courts said they had to stop cutting owl habitat until they had complied with environmental laws. This is the same situation we find ourselves in today with </w:t>
      </w:r>
      <w:proofErr w:type="gramStart"/>
      <w:r w:rsidRPr="0034126E">
        <w:t>dead-wood</w:t>
      </w:r>
      <w:proofErr w:type="gramEnd"/>
      <w:r w:rsidRPr="0034126E">
        <w:t xml:space="preserve"> associated species. The agencies should stop harming dead wood habitat until they have a legal plan to conserve associated species over the long-term. </w:t>
      </w:r>
      <w:r w:rsidRPr="0034126E">
        <w:rPr>
          <w:i/>
        </w:rPr>
        <w:t xml:space="preserve">Seattle Audubon Society v. </w:t>
      </w:r>
      <w:proofErr w:type="spellStart"/>
      <w:r w:rsidRPr="0034126E">
        <w:rPr>
          <w:i/>
        </w:rPr>
        <w:t>Epsy</w:t>
      </w:r>
      <w:proofErr w:type="spellEnd"/>
      <w:r w:rsidRPr="0034126E">
        <w:t>, 998 F.2d 699, 704 (9th Cir. 1998) (an agency must re-examine its decision when the EIS "rests on stale scientific evidence and false assumptions").</w:t>
      </w:r>
    </w:p>
    <w:p w14:paraId="4D776028" w14:textId="77777777" w:rsidR="00064B32" w:rsidRPr="0034126E" w:rsidRDefault="00064B32" w:rsidP="00064B32"/>
    <w:p w14:paraId="77B0CF98" w14:textId="77777777" w:rsidR="00064B32" w:rsidRPr="0034126E" w:rsidRDefault="00064B32" w:rsidP="00064B32">
      <w:pPr>
        <w:autoSpaceDE w:val="0"/>
        <w:ind w:left="720"/>
      </w:pPr>
      <w:r w:rsidRPr="0034126E">
        <w:rPr>
          <w:b/>
        </w:rPr>
        <w:t>Lessons Learned During the Last Fifteen Years</w:t>
      </w:r>
    </w:p>
    <w:p w14:paraId="5518FE17" w14:textId="77777777" w:rsidR="00064B32" w:rsidRPr="0034126E" w:rsidRDefault="00064B32" w:rsidP="00064B32">
      <w:pPr>
        <w:autoSpaceDE w:val="0"/>
        <w:ind w:left="720"/>
        <w:rPr>
          <w:color w:val="292526"/>
        </w:rPr>
      </w:pPr>
      <w:r w:rsidRPr="0034126E">
        <w:t>…</w:t>
      </w:r>
    </w:p>
    <w:p w14:paraId="3AD8AC92" w14:textId="77777777" w:rsidR="00064B32" w:rsidRPr="0034126E" w:rsidRDefault="00064B32" w:rsidP="00064B32">
      <w:pPr>
        <w:autoSpaceDE w:val="0"/>
        <w:ind w:left="720"/>
        <w:rPr>
          <w:b/>
          <w:bCs/>
          <w:color w:val="292526"/>
        </w:rPr>
      </w:pPr>
      <w:r w:rsidRPr="0034126E">
        <w:rPr>
          <w:color w:val="292526"/>
        </w:rPr>
        <w:t>Several major lessons have been learned in the period 1979-1999 that have tested critical assumptions of these earlier management advisory models:</w:t>
      </w:r>
    </w:p>
    <w:p w14:paraId="25612C51" w14:textId="77777777" w:rsidR="00064B32" w:rsidRPr="0034126E" w:rsidRDefault="00064B32" w:rsidP="00064B32">
      <w:pPr>
        <w:numPr>
          <w:ilvl w:val="0"/>
          <w:numId w:val="5"/>
        </w:numPr>
        <w:suppressAutoHyphens/>
        <w:autoSpaceDE w:val="0"/>
        <w:rPr>
          <w:b/>
          <w:bCs/>
          <w:color w:val="292526"/>
        </w:rPr>
      </w:pPr>
      <w:r w:rsidRPr="0034126E">
        <w:rPr>
          <w:color w:val="292526"/>
        </w:rPr>
        <w:t>Calculations of numbers of snags required by woodpeckers based on assessing their ‘biological potential’ (that is, summing numbers of snags used per pair, accounting for unused snags, and extrapolating snag numbers based on population density) is a flawed technique. Empirical studies are suggesting that snag numbers in areas used and selected by some wildlife species are far higher than those calculated by this technique.</w:t>
      </w:r>
      <w:r w:rsidRPr="0034126E">
        <w:rPr>
          <w:color w:val="292526"/>
          <w:vertAlign w:val="superscript"/>
        </w:rPr>
        <w:t>226</w:t>
      </w:r>
      <w:r w:rsidRPr="0034126E">
        <w:rPr>
          <w:color w:val="292526"/>
        </w:rPr>
        <w:t xml:space="preserve"> </w:t>
      </w:r>
    </w:p>
    <w:p w14:paraId="1BEDD9A6" w14:textId="77777777" w:rsidR="00064B32" w:rsidRPr="0034126E" w:rsidRDefault="00064B32" w:rsidP="00064B32">
      <w:pPr>
        <w:numPr>
          <w:ilvl w:val="0"/>
          <w:numId w:val="5"/>
        </w:numPr>
        <w:suppressAutoHyphens/>
        <w:autoSpaceDE w:val="0"/>
        <w:rPr>
          <w:b/>
          <w:bCs/>
          <w:color w:val="292526"/>
        </w:rPr>
      </w:pPr>
      <w:r w:rsidRPr="0034126E">
        <w:rPr>
          <w:color w:val="292526"/>
        </w:rPr>
        <w:lastRenderedPageBreak/>
        <w:t>Setting a goal of 40% of habitat capability for primary excavators, mainly woodpeckers,</w:t>
      </w:r>
      <w:r w:rsidRPr="0034126E">
        <w:rPr>
          <w:color w:val="292526"/>
          <w:vertAlign w:val="superscript"/>
        </w:rPr>
        <w:t>369</w:t>
      </w:r>
      <w:r w:rsidRPr="0034126E">
        <w:rPr>
          <w:color w:val="292526"/>
        </w:rPr>
        <w:t xml:space="preserve"> is likely to be insufficient for maintaining viable populations.</w:t>
      </w:r>
    </w:p>
    <w:p w14:paraId="0EC36DF4" w14:textId="77777777" w:rsidR="00064B32" w:rsidRPr="0034126E" w:rsidRDefault="00064B32" w:rsidP="00064B32">
      <w:pPr>
        <w:numPr>
          <w:ilvl w:val="0"/>
          <w:numId w:val="5"/>
        </w:numPr>
        <w:suppressAutoHyphens/>
        <w:autoSpaceDE w:val="0"/>
        <w:rPr>
          <w:b/>
          <w:bCs/>
          <w:color w:val="292526"/>
        </w:rPr>
      </w:pPr>
      <w:r w:rsidRPr="0034126E">
        <w:rPr>
          <w:color w:val="292526"/>
        </w:rPr>
        <w:t>Numbers and sizes (dbh) of snags used and selected by secondary cavity-nesters often exceed those of primary cavity excavators.</w:t>
      </w:r>
    </w:p>
    <w:p w14:paraId="7A5DE967" w14:textId="77777777" w:rsidR="00064B32" w:rsidRPr="0034126E" w:rsidRDefault="00064B32" w:rsidP="00064B32">
      <w:pPr>
        <w:numPr>
          <w:ilvl w:val="0"/>
          <w:numId w:val="5"/>
        </w:numPr>
        <w:suppressAutoHyphens/>
        <w:autoSpaceDE w:val="0"/>
        <w:rPr>
          <w:b/>
          <w:bCs/>
          <w:color w:val="292526"/>
        </w:rPr>
      </w:pPr>
      <w:r w:rsidRPr="0034126E">
        <w:rPr>
          <w:color w:val="292526"/>
        </w:rPr>
        <w:t>Clumping of snags and down wood may be a natural pattern, and clumps may be selected by some species, so that providing only even distributions may be insufficient to meet all species needs.</w:t>
      </w:r>
    </w:p>
    <w:p w14:paraId="7FD0045B" w14:textId="77777777" w:rsidR="00064B32" w:rsidRPr="0034126E" w:rsidRDefault="00064B32" w:rsidP="00064B32">
      <w:pPr>
        <w:numPr>
          <w:ilvl w:val="0"/>
          <w:numId w:val="5"/>
        </w:numPr>
        <w:suppressAutoHyphens/>
        <w:autoSpaceDE w:val="0"/>
        <w:rPr>
          <w:b/>
          <w:bCs/>
          <w:color w:val="292526"/>
        </w:rPr>
      </w:pPr>
      <w:r w:rsidRPr="0034126E">
        <w:rPr>
          <w:color w:val="292526"/>
        </w:rPr>
        <w:t>Other forms of decaying wood, including hollow trees, natural tree cavities, peeling bark, and dead parts of live trees, as well as fungi and mistletoe associated with wood decay, all provide resources for wildlife, and should be considered along with snags and down wood in management guidelines.</w:t>
      </w:r>
    </w:p>
    <w:p w14:paraId="6A4425A5" w14:textId="77777777" w:rsidR="00064B32" w:rsidRPr="0034126E" w:rsidRDefault="00064B32" w:rsidP="00064B32">
      <w:pPr>
        <w:numPr>
          <w:ilvl w:val="0"/>
          <w:numId w:val="5"/>
        </w:numPr>
        <w:suppressAutoHyphens/>
        <w:autoSpaceDE w:val="0"/>
      </w:pPr>
      <w:r w:rsidRPr="0034126E">
        <w:rPr>
          <w:color w:val="292526"/>
        </w:rPr>
        <w:t xml:space="preserve">The ecological roles played by wildlife associated with decaying wood extend well beyond those structures per </w:t>
      </w:r>
      <w:proofErr w:type="gramStart"/>
      <w:r w:rsidRPr="0034126E">
        <w:rPr>
          <w:color w:val="292526"/>
        </w:rPr>
        <w:t>se, and</w:t>
      </w:r>
      <w:proofErr w:type="gramEnd"/>
      <w:r w:rsidRPr="0034126E">
        <w:rPr>
          <w:color w:val="292526"/>
        </w:rPr>
        <w:t xml:space="preserve"> can be significant factors influencing community diversity and ecosystem processes. </w:t>
      </w:r>
    </w:p>
    <w:p w14:paraId="53651E41" w14:textId="77777777" w:rsidR="00064B32" w:rsidRPr="0034126E" w:rsidRDefault="00064B32" w:rsidP="00064B32">
      <w:r w:rsidRPr="0034126E">
        <w:t xml:space="preserve">Rose, C.L., </w:t>
      </w:r>
      <w:proofErr w:type="spellStart"/>
      <w:r w:rsidRPr="0034126E">
        <w:t>Marcot</w:t>
      </w:r>
      <w:proofErr w:type="spellEnd"/>
      <w:r w:rsidRPr="0034126E">
        <w:t xml:space="preserve">, B.G., </w:t>
      </w:r>
      <w:proofErr w:type="spellStart"/>
      <w:r w:rsidRPr="0034126E">
        <w:t>Mellen</w:t>
      </w:r>
      <w:proofErr w:type="spellEnd"/>
      <w:r w:rsidRPr="0034126E">
        <w:t xml:space="preserve">, T.K., </w:t>
      </w:r>
      <w:proofErr w:type="spellStart"/>
      <w:r w:rsidRPr="0034126E">
        <w:t>Ohmann</w:t>
      </w:r>
      <w:proofErr w:type="spellEnd"/>
      <w:r w:rsidRPr="0034126E">
        <w:t xml:space="preserve">, J.L., Waddell, K.L., </w:t>
      </w:r>
      <w:proofErr w:type="spellStart"/>
      <w:r w:rsidRPr="0034126E">
        <w:t>Lindely</w:t>
      </w:r>
      <w:proofErr w:type="spellEnd"/>
      <w:r w:rsidRPr="0034126E">
        <w:t xml:space="preserve">, D.L., and B. </w:t>
      </w:r>
      <w:proofErr w:type="spellStart"/>
      <w:r w:rsidRPr="0034126E">
        <w:t>Schrieber</w:t>
      </w:r>
      <w:proofErr w:type="spellEnd"/>
      <w:r w:rsidRPr="0034126E">
        <w:t xml:space="preserve">. 2001. Decaying Wood in Pacific Northwest Forests: Concepts and Tools for Habitat Management, Chapter 24 </w:t>
      </w:r>
      <w:r w:rsidRPr="0034126E">
        <w:rPr>
          <w:i/>
        </w:rPr>
        <w:t>in</w:t>
      </w:r>
      <w:r w:rsidRPr="0034126E">
        <w:t xml:space="preserve"> </w:t>
      </w:r>
      <w:r w:rsidRPr="0034126E">
        <w:rPr>
          <w:b/>
          <w:bCs/>
          <w:i/>
          <w:iCs/>
        </w:rPr>
        <w:t xml:space="preserve">Wildlife-Habitat Relationships in </w:t>
      </w:r>
      <w:proofErr w:type="gramStart"/>
      <w:r w:rsidRPr="0034126E">
        <w:rPr>
          <w:b/>
          <w:bCs/>
          <w:i/>
          <w:iCs/>
        </w:rPr>
        <w:t>Oregon</w:t>
      </w:r>
      <w:proofErr w:type="gramEnd"/>
      <w:r w:rsidRPr="0034126E">
        <w:rPr>
          <w:b/>
          <w:bCs/>
          <w:i/>
          <w:iCs/>
        </w:rPr>
        <w:t xml:space="preserve"> and Washington</w:t>
      </w:r>
      <w:r w:rsidRPr="0034126E">
        <w:t xml:space="preserve"> (Johnson, D. H. and T. A. O'Neil. OSU Press. 2001) </w:t>
      </w:r>
      <w:hyperlink r:id="rId19" w:history="1">
        <w:r w:rsidRPr="0034126E">
          <w:rPr>
            <w:rStyle w:val="Hyperlink"/>
          </w:rPr>
          <w:t>http://web.archive.org/web/20060708035905/http://www.nwhi.org/inc/data/GISdata/docs/chapter24.pdf</w:t>
        </w:r>
      </w:hyperlink>
      <w:r w:rsidRPr="0034126E">
        <w:t xml:space="preserve"> </w:t>
      </w:r>
    </w:p>
    <w:p w14:paraId="6946925B" w14:textId="77777777" w:rsidR="00064B32" w:rsidRPr="0034126E" w:rsidRDefault="00064B32" w:rsidP="00064B32"/>
    <w:p w14:paraId="536998BB" w14:textId="77777777" w:rsidR="00064B32" w:rsidRDefault="00064B32" w:rsidP="00064B32">
      <w:r w:rsidRPr="0034126E">
        <w:t xml:space="preserve">The potential population models are based on the number of trees needed for nesting cavity-excavator birds, however, “[t]he high value of large, thick-barked snags in severely burned forests has as much to do with feeding opportunities as it does with nesting </w:t>
      </w:r>
      <w:proofErr w:type="gramStart"/>
      <w:r w:rsidRPr="0034126E">
        <w:t>opportunities</w:t>
      </w:r>
      <w:proofErr w:type="gramEnd"/>
      <w:r w:rsidRPr="0034126E">
        <w:t xml:space="preserve"> they provide birds.” (Hutto. </w:t>
      </w:r>
      <w:proofErr w:type="spellStart"/>
      <w:r w:rsidRPr="0034126E">
        <w:t>ConBio</w:t>
      </w:r>
      <w:proofErr w:type="spellEnd"/>
      <w:r w:rsidRPr="0034126E">
        <w:t xml:space="preserve"> 20(4). 2006. </w:t>
      </w:r>
      <w:hyperlink r:id="rId20" w:history="1">
        <w:r w:rsidRPr="0034126E">
          <w:rPr>
            <w:rStyle w:val="Hyperlink"/>
          </w:rPr>
          <w:t>http://web.archive.org/web/20060904175645/http://avianscience.dbs.umt.edu/documents/hutto_conbio_2006.pdf</w:t>
        </w:r>
      </w:hyperlink>
      <w:r w:rsidRPr="0034126E">
        <w:t>. The number of snags needed to support bird feeding, escape from predators, and other life functions, is different than, and likely higher than, the number of snags needed to support nesting, so the agencies’ existing “potential population” snag standards are arbitrary and capricious.</w:t>
      </w:r>
    </w:p>
    <w:p w14:paraId="15151873" w14:textId="77777777" w:rsidR="00064B32" w:rsidRDefault="00064B32" w:rsidP="00064B32"/>
    <w:p w14:paraId="6557B770" w14:textId="77777777" w:rsidR="00064B32" w:rsidRDefault="00064B32" w:rsidP="00064B32">
      <w:r>
        <w:t xml:space="preserve">New science indicates that meeting the needs of cavity excavators requires retaining far more snags than managers realize. </w:t>
      </w:r>
    </w:p>
    <w:p w14:paraId="71251E59" w14:textId="77777777" w:rsidR="00064B32" w:rsidRDefault="00064B32" w:rsidP="00064B32">
      <w:pPr>
        <w:ind w:left="720"/>
      </w:pPr>
      <w:r>
        <w:t xml:space="preserve">… </w:t>
      </w:r>
      <w:r w:rsidRPr="002A39E9">
        <w:t>at-risk species, namely the</w:t>
      </w:r>
      <w:r>
        <w:t xml:space="preserve"> </w:t>
      </w:r>
      <w:r w:rsidRPr="002A39E9">
        <w:t>black-backed and the white-headed woodpeckers,</w:t>
      </w:r>
      <w:r>
        <w:t xml:space="preserve"> </w:t>
      </w:r>
      <w:r w:rsidRPr="002A39E9">
        <w:t>were nesting within burns that contained</w:t>
      </w:r>
      <w:r>
        <w:t xml:space="preserve"> </w:t>
      </w:r>
      <w:r w:rsidRPr="002A39E9">
        <w:t>86 to 96 percent of trees with unsuitably hard</w:t>
      </w:r>
      <w:r>
        <w:t xml:space="preserve"> </w:t>
      </w:r>
      <w:r w:rsidRPr="002A39E9">
        <w:t>wood. This suggests that past studies that did</w:t>
      </w:r>
      <w:r>
        <w:t xml:space="preserve"> </w:t>
      </w:r>
      <w:r w:rsidRPr="002A39E9">
        <w:t>not measure wood hardness counted many</w:t>
      </w:r>
      <w:r>
        <w:t xml:space="preserve"> </w:t>
      </w:r>
      <w:r w:rsidRPr="002A39E9">
        <w:t>sites as available to cavity-excavating birds</w:t>
      </w:r>
      <w:r>
        <w:t xml:space="preserve"> </w:t>
      </w:r>
      <w:r w:rsidRPr="002A39E9">
        <w:t xml:space="preserve">when </w:t>
      </w:r>
      <w:proofErr w:type="gramStart"/>
      <w:r w:rsidRPr="002A39E9">
        <w:t>actually they</w:t>
      </w:r>
      <w:proofErr w:type="gramEnd"/>
      <w:r w:rsidRPr="002A39E9">
        <w:t xml:space="preserve"> were unsuitable. “By not</w:t>
      </w:r>
      <w:r>
        <w:t xml:space="preserve"> </w:t>
      </w:r>
      <w:r w:rsidRPr="002A39E9">
        <w:t>accounting for wood hardness, managers may</w:t>
      </w:r>
      <w:r>
        <w:t xml:space="preserve"> </w:t>
      </w:r>
      <w:r w:rsidRPr="002A39E9">
        <w:t>be overestimating the amount of suitable habitat</w:t>
      </w:r>
      <w:r>
        <w:t xml:space="preserve"> </w:t>
      </w:r>
      <w:r w:rsidRPr="002A39E9">
        <w:t>for cavity-excavating bird species, some of</w:t>
      </w:r>
      <w:r>
        <w:t xml:space="preserve"> </w:t>
      </w:r>
      <w:r w:rsidRPr="002A39E9">
        <w:t>which are at risk,” Lorenz says.</w:t>
      </w:r>
    </w:p>
    <w:p w14:paraId="380A344B" w14:textId="77777777" w:rsidR="00064B32" w:rsidRPr="002A39E9" w:rsidRDefault="00064B32" w:rsidP="00064B32">
      <w:pPr>
        <w:ind w:left="720"/>
      </w:pPr>
      <w:r>
        <w:t xml:space="preserve">   </w:t>
      </w:r>
      <w:r w:rsidRPr="002A39E9">
        <w:t>In their study plots, the researchers did</w:t>
      </w:r>
      <w:r>
        <w:t xml:space="preserve"> </w:t>
      </w:r>
      <w:r w:rsidRPr="002A39E9">
        <w:t xml:space="preserve">not find reliable visual cues to </w:t>
      </w:r>
      <w:proofErr w:type="gramStart"/>
      <w:r w:rsidRPr="002A39E9">
        <w:t>distinguish</w:t>
      </w:r>
      <w:proofErr w:type="gramEnd"/>
    </w:p>
    <w:p w14:paraId="7A84F3BD" w14:textId="77777777" w:rsidR="00064B32" w:rsidRPr="002A39E9" w:rsidRDefault="00064B32" w:rsidP="00064B32">
      <w:pPr>
        <w:ind w:left="720"/>
      </w:pPr>
      <w:r w:rsidRPr="002A39E9">
        <w:t>between suitable and unsuitable trees. Snag</w:t>
      </w:r>
      <w:r>
        <w:t xml:space="preserve"> </w:t>
      </w:r>
      <w:r w:rsidRPr="002A39E9">
        <w:t>decay class was a poor indicator of internal</w:t>
      </w:r>
      <w:r>
        <w:t xml:space="preserve"> </w:t>
      </w:r>
      <w:r w:rsidRPr="002A39E9">
        <w:t>wood properties—and this was not the first</w:t>
      </w:r>
      <w:r>
        <w:t xml:space="preserve"> </w:t>
      </w:r>
      <w:r w:rsidRPr="002A39E9">
        <w:t>study to demonstrate that fact, although it was</w:t>
      </w:r>
      <w:r>
        <w:t xml:space="preserve"> </w:t>
      </w:r>
      <w:r w:rsidRPr="002A39E9">
        <w:t>the first study to do so in ornithology (past</w:t>
      </w:r>
      <w:r>
        <w:t xml:space="preserve"> </w:t>
      </w:r>
      <w:r w:rsidRPr="002A39E9">
        <w:t>studies had been done by foresters and published</w:t>
      </w:r>
      <w:r>
        <w:t xml:space="preserve"> </w:t>
      </w:r>
      <w:r w:rsidRPr="002A39E9">
        <w:t>in forestry journals).</w:t>
      </w:r>
    </w:p>
    <w:p w14:paraId="59879956" w14:textId="77777777" w:rsidR="00064B32" w:rsidRPr="002A39E9" w:rsidRDefault="00064B32" w:rsidP="00064B32">
      <w:pPr>
        <w:ind w:left="720"/>
      </w:pPr>
      <w:r>
        <w:lastRenderedPageBreak/>
        <w:t xml:space="preserve">   </w:t>
      </w:r>
      <w:r w:rsidRPr="002A39E9">
        <w:t>“Currently, the best solution we can recommend</w:t>
      </w:r>
      <w:r>
        <w:t xml:space="preserve"> </w:t>
      </w:r>
      <w:r w:rsidRPr="002A39E9">
        <w:t>is to provide large numbers of snags for</w:t>
      </w:r>
      <w:r>
        <w:t xml:space="preserve"> </w:t>
      </w:r>
      <w:r w:rsidRPr="002A39E9">
        <w:t>the birds, which can be difficult without fire,”</w:t>
      </w:r>
      <w:r>
        <w:t xml:space="preserve"> </w:t>
      </w:r>
      <w:r w:rsidRPr="002A39E9">
        <w:t>Lorenz says. According to the researchers’</w:t>
      </w:r>
      <w:r>
        <w:t xml:space="preserve"> </w:t>
      </w:r>
      <w:r w:rsidRPr="002A39E9">
        <w:t>calculations, if one of every 20 snags (approximately</w:t>
      </w:r>
      <w:r>
        <w:t xml:space="preserve"> </w:t>
      </w:r>
      <w:r w:rsidRPr="002A39E9">
        <w:t>4 percent) has suitable wood, and</w:t>
      </w:r>
      <w:r>
        <w:t xml:space="preserve"> </w:t>
      </w:r>
      <w:r w:rsidRPr="002A39E9">
        <w:t xml:space="preserve">there are five to seven species of </w:t>
      </w:r>
      <w:proofErr w:type="gramStart"/>
      <w:r w:rsidRPr="002A39E9">
        <w:t>woodpeckers</w:t>
      </w:r>
      <w:proofErr w:type="gramEnd"/>
    </w:p>
    <w:p w14:paraId="421265DD" w14:textId="77777777" w:rsidR="00064B32" w:rsidRPr="002A39E9" w:rsidRDefault="00064B32" w:rsidP="00064B32">
      <w:pPr>
        <w:ind w:left="720"/>
      </w:pPr>
      <w:r w:rsidRPr="002A39E9">
        <w:t>nesting in a given patch, approximately 100</w:t>
      </w:r>
      <w:r>
        <w:t xml:space="preserve"> </w:t>
      </w:r>
      <w:r w:rsidRPr="002A39E9">
        <w:t>snags may be needed each year for nesting</w:t>
      </w:r>
      <w:r>
        <w:t xml:space="preserve"> </w:t>
      </w:r>
      <w:r w:rsidRPr="002A39E9">
        <w:t>sites alone. This does not account for other</w:t>
      </w:r>
      <w:r>
        <w:t xml:space="preserve"> </w:t>
      </w:r>
      <w:r w:rsidRPr="002A39E9">
        <w:t>nuances, like the fact that most species are</w:t>
      </w:r>
      <w:r>
        <w:t xml:space="preserve"> </w:t>
      </w:r>
      <w:r w:rsidRPr="002A39E9">
        <w:t>territorial and will not tolerate close neighbors</w:t>
      </w:r>
      <w:r>
        <w:t xml:space="preserve"> </w:t>
      </w:r>
      <w:r w:rsidRPr="002A39E9">
        <w:t>while nesting, or the fact that species like the</w:t>
      </w:r>
      <w:r>
        <w:t xml:space="preserve"> </w:t>
      </w:r>
      <w:r w:rsidRPr="002A39E9">
        <w:t xml:space="preserve">black-backed woodpecker need more </w:t>
      </w:r>
      <w:proofErr w:type="gramStart"/>
      <w:r w:rsidRPr="002A39E9">
        <w:t>foraging</w:t>
      </w:r>
      <w:proofErr w:type="gramEnd"/>
    </w:p>
    <w:p w14:paraId="56DA9F28" w14:textId="77777777" w:rsidR="00064B32" w:rsidRPr="0034126E" w:rsidRDefault="00064B32" w:rsidP="00064B32">
      <w:pPr>
        <w:ind w:left="720"/>
      </w:pPr>
      <w:r w:rsidRPr="002A39E9">
        <w:t>options. Overall, more snags are needed than</w:t>
      </w:r>
      <w:r>
        <w:t xml:space="preserve"> </w:t>
      </w:r>
      <w:r w:rsidRPr="002A39E9">
        <w:t>other studies have previously recommended.</w:t>
      </w:r>
    </w:p>
    <w:p w14:paraId="1C18B380" w14:textId="77777777" w:rsidR="00064B32" w:rsidRDefault="00064B32" w:rsidP="00064B32">
      <w:proofErr w:type="spellStart"/>
      <w:r w:rsidRPr="002A39E9">
        <w:t>Vizcarra</w:t>
      </w:r>
      <w:proofErr w:type="spellEnd"/>
      <w:r>
        <w:t>,</w:t>
      </w:r>
      <w:r w:rsidRPr="002A39E9">
        <w:t xml:space="preserve"> Natasha </w:t>
      </w:r>
      <w:r>
        <w:t xml:space="preserve">2017. </w:t>
      </w:r>
      <w:r w:rsidRPr="002A39E9">
        <w:t>Woodpecker Woes: The Right Tree Can Be Hard to Find</w:t>
      </w:r>
      <w:r>
        <w:t xml:space="preserve">. PNW Science Findings, Issue 199, August 2017.  </w:t>
      </w:r>
      <w:hyperlink r:id="rId21" w:history="1">
        <w:r w:rsidRPr="009A213C">
          <w:rPr>
            <w:rStyle w:val="Hyperlink"/>
          </w:rPr>
          <w:t>https://www.fs.fed.us/pnw/sciencef/scifi199.pdf</w:t>
        </w:r>
      </w:hyperlink>
      <w:r>
        <w:t xml:space="preserve">. </w:t>
      </w:r>
      <w:r w:rsidRPr="00C340D0">
        <w:rPr>
          <w:i/>
        </w:rPr>
        <w:t>citing</w:t>
      </w:r>
      <w:r>
        <w:t xml:space="preserve"> </w:t>
      </w:r>
      <w:r w:rsidRPr="00C340D0">
        <w:t xml:space="preserve">Lorenz, T.J.; </w:t>
      </w:r>
      <w:proofErr w:type="spellStart"/>
      <w:r w:rsidRPr="00C340D0">
        <w:t>Vierling</w:t>
      </w:r>
      <w:proofErr w:type="spellEnd"/>
      <w:r w:rsidRPr="00C340D0">
        <w:t>, K.T.; Johnson, T.R.;</w:t>
      </w:r>
      <w:r>
        <w:t xml:space="preserve"> </w:t>
      </w:r>
      <w:r w:rsidRPr="00C340D0">
        <w:t>Fischer, P.C. 2015. The role of wood hardness</w:t>
      </w:r>
      <w:r>
        <w:t xml:space="preserve"> </w:t>
      </w:r>
      <w:r w:rsidRPr="00C340D0">
        <w:t>in limiting nest site selection in avian</w:t>
      </w:r>
      <w:r>
        <w:t xml:space="preserve"> </w:t>
      </w:r>
      <w:r w:rsidRPr="00C340D0">
        <w:t>cavity excavators. Ecological Applications.</w:t>
      </w:r>
      <w:r>
        <w:t xml:space="preserve"> </w:t>
      </w:r>
      <w:r w:rsidRPr="00C340D0">
        <w:t xml:space="preserve">25: 1 016–1033. </w:t>
      </w:r>
      <w:hyperlink r:id="rId22" w:history="1">
        <w:r w:rsidRPr="009A213C">
          <w:rPr>
            <w:rStyle w:val="Hyperlink"/>
          </w:rPr>
          <w:t>https://www.treesearch.fs.fed.us/pubs/49102</w:t>
        </w:r>
      </w:hyperlink>
      <w:r w:rsidRPr="00C340D0">
        <w:t>.</w:t>
      </w:r>
    </w:p>
    <w:p w14:paraId="7AAAF38A" w14:textId="77777777" w:rsidR="00802E8A" w:rsidRDefault="00802E8A" w:rsidP="00064B32"/>
    <w:p w14:paraId="0B4DDE43" w14:textId="77777777" w:rsidR="00802E8A" w:rsidRDefault="00802E8A" w:rsidP="00064B32">
      <w:r>
        <w:t xml:space="preserve">The new snag standards in the 2020 Amendment of the Eastside Screens are worse than the outdated standards they replaced. The new snag standards are </w:t>
      </w:r>
      <w:r w:rsidRPr="00BC60E7">
        <w:t xml:space="preserve">merely a procedural requirement with no real substance to it. </w:t>
      </w:r>
      <w:r>
        <w:t xml:space="preserve">It fails to offer any clear guidance on how many snags and green trees should be provided. The new standard does not require use of DecAID or reference any of its “tolerance levels” as a new standard to replace the outdated 100% potential population standard. It does not establish snag recruitment goals that would ensure viability of snag associated wildlife. </w:t>
      </w:r>
      <w:r w:rsidRPr="00BC60E7">
        <w:t xml:space="preserve">At its core, </w:t>
      </w:r>
      <w:r>
        <w:t xml:space="preserve">the new standard </w:t>
      </w:r>
      <w:r w:rsidRPr="00BC60E7">
        <w:t>simply requires managers to “maintain or increase habitat for a diverse composition of wildlife species.” So, it’s not even about snag-associated wildlife. The FS could comply with this standard by providing a small amount of snag habitat, and increasing habitat for some entirely different suite of species that depends on open forest, grasslands, wetlands, talus, etc. As a snag standard, this does not pass the laugh test.</w:t>
      </w:r>
      <w:r>
        <w:t xml:space="preserve"> </w:t>
      </w:r>
    </w:p>
    <w:p w14:paraId="45545DD2" w14:textId="77777777" w:rsidR="00802E8A" w:rsidRDefault="00802E8A" w:rsidP="00064B32"/>
    <w:p w14:paraId="50A024F1" w14:textId="77777777" w:rsidR="00802E8A" w:rsidRDefault="00802E8A" w:rsidP="00802E8A">
      <w:r>
        <w:t>Retaining large trees is important to ensuring long-term snag recruitment because … Large snag habitat will be directly and significantly reduced when large green trees are sent to the mill under this plan amendment. The proposed action explicitly defines large trees</w:t>
      </w:r>
      <w:r w:rsidRPr="00AC2E95">
        <w:t xml:space="preserve"> to exclude shade-tolerate trees 21-30” dbh, even though such trees are defined as large in the scientific literature concerning forest ecology and trees </w:t>
      </w:r>
      <w:r>
        <w:t xml:space="preserve">and snags </w:t>
      </w:r>
      <w:r w:rsidRPr="00AC2E95">
        <w:t xml:space="preserve">21-30” dbh do provide significant ecological values. See </w:t>
      </w:r>
      <w:r>
        <w:t>Rose et al (2001) (“</w:t>
      </w:r>
      <w:r w:rsidRPr="00834863">
        <w:t>Hollow trees larger than 20 inches (51 cm) in diameter at breast height (dbh) are the most valuable for denning, shelter, roosting, and hunting by a wide range of animals</w:t>
      </w:r>
      <w:r>
        <w:t xml:space="preserve">”); </w:t>
      </w:r>
      <w:r w:rsidRPr="00AC2E95">
        <w:t>Bate, Lisa J., Edward O. Garton, and Michael J. Wisdom. 1999. Estimating snag and large tree densities and distributions on a landscape for wildlife management. U. S. Department of Agriculture, Forest</w:t>
      </w:r>
      <w:r>
        <w:t xml:space="preserve"> </w:t>
      </w:r>
      <w:r w:rsidRPr="00AC2E95">
        <w:t xml:space="preserve">Service, Pacific Northwest Research Station, General Technical Report PNW-GTR-425: 1-76 </w:t>
      </w:r>
      <w:hyperlink r:id="rId23" w:history="1">
        <w:r w:rsidRPr="00AC2E95">
          <w:rPr>
            <w:rStyle w:val="Hyperlink"/>
          </w:rPr>
          <w:t>https://www.fs.fed.us/pnw/pubs/pnw_gtr425.pdf</w:t>
        </w:r>
      </w:hyperlink>
      <w:r>
        <w:t xml:space="preserve">; Quigley 1997. ICBEMP Science Assessment. PNW-GTR-405. </w:t>
      </w:r>
      <w:hyperlink r:id="rId24" w:history="1">
        <w:r w:rsidRPr="00041242">
          <w:rPr>
            <w:rStyle w:val="Hyperlink"/>
          </w:rPr>
          <w:t>https://www.fs.fed.us/pnw/pubs/pnw_gtr405.pdf</w:t>
        </w:r>
      </w:hyperlink>
      <w:r>
        <w:t xml:space="preserve"> (“</w:t>
      </w:r>
      <w:proofErr w:type="spellStart"/>
      <w:r w:rsidRPr="0055778D">
        <w:t>LgT</w:t>
      </w:r>
      <w:proofErr w:type="spellEnd"/>
      <w:r w:rsidRPr="0055778D">
        <w:t xml:space="preserve"> - large trees (&gt; 53.2 cm dbh</w:t>
      </w:r>
      <w:r>
        <w:t>”</w:t>
      </w:r>
      <w:proofErr w:type="gramStart"/>
      <w:r>
        <w:t>);</w:t>
      </w:r>
      <w:proofErr w:type="gramEnd"/>
    </w:p>
    <w:p w14:paraId="2AB621B8" w14:textId="77777777" w:rsidR="00802E8A" w:rsidRDefault="00802E8A" w:rsidP="00802E8A"/>
    <w:p w14:paraId="28386676" w14:textId="77777777" w:rsidR="00802E8A" w:rsidRDefault="00802E8A" w:rsidP="00802E8A">
      <w:r>
        <w:lastRenderedPageBreak/>
        <w:t xml:space="preserve">Retaining large trees is important to ensuring long-term snag recruitment because … Snags are a critical part of Late Old Structure (LOS) forests. Large snags play a disproportionate role in maintaining ecosystem health and resiliency because they support populations of birds that prey on insects that can harm trees. Snags also support a wide variety of other wildlife, and provide a rich assortment of ecosystem services, including capture, storage, and release of water, nutrients, sediment, and thermal energy; See William F. </w:t>
      </w:r>
      <w:proofErr w:type="spellStart"/>
      <w:r>
        <w:t>Laudenslayer</w:t>
      </w:r>
      <w:proofErr w:type="spellEnd"/>
      <w:r>
        <w:t xml:space="preserve">, Jr., Patrick J. Shea, Bradley E. Valentine, C. Phillip Weatherspoon, and Thomas E. Lisle </w:t>
      </w:r>
      <w:r w:rsidRPr="00AC6EA3">
        <w:rPr>
          <w:i/>
          <w:iCs/>
        </w:rPr>
        <w:t xml:space="preserve">Technical Coordinators. </w:t>
      </w:r>
      <w:r w:rsidRPr="00AC6EA3">
        <w:rPr>
          <w:u w:val="single"/>
        </w:rPr>
        <w:t>Proceedings of the Symposium on the Ecology and Management of Dead Wood in Western Forests.</w:t>
      </w:r>
      <w:r>
        <w:t xml:space="preserve"> PSW-GTR-181. </w:t>
      </w:r>
      <w:hyperlink r:id="rId25" w:history="1">
        <w:r>
          <w:rPr>
            <w:rStyle w:val="Hyperlink"/>
          </w:rPr>
          <w:t>http://www.fs.fed.us/psw/publications/documents/gtr-181/</w:t>
        </w:r>
      </w:hyperlink>
      <w:r>
        <w:t xml:space="preserve">; </w:t>
      </w:r>
      <w:proofErr w:type="spellStart"/>
      <w:r>
        <w:t>Lofroth</w:t>
      </w:r>
      <w:proofErr w:type="spellEnd"/>
      <w:r>
        <w:t xml:space="preserve">, Eric. 1998. The dead wood cycle. In: Conservation biology principles for forested landscapes. Edited by J. </w:t>
      </w:r>
      <w:proofErr w:type="spellStart"/>
      <w:r>
        <w:t>Voller</w:t>
      </w:r>
      <w:proofErr w:type="spellEnd"/>
      <w:r>
        <w:t xml:space="preserve"> and S. Harrison. UBC Press, Vancouver, B.C. pp. 185-214. 243 p. </w:t>
      </w:r>
      <w:hyperlink r:id="rId26" w:history="1">
        <w:r>
          <w:rPr>
            <w:rStyle w:val="Hyperlink"/>
          </w:rPr>
          <w:t>http://www.for.gov.bc.ca/hre/deadwood/DTrol.htm</w:t>
        </w:r>
      </w:hyperlink>
      <w:r>
        <w:t xml:space="preserve">; </w:t>
      </w:r>
      <w:r w:rsidRPr="005A059B">
        <w:t xml:space="preserve">Rose, C.L., </w:t>
      </w:r>
      <w:r>
        <w:t>et al</w:t>
      </w:r>
      <w:r w:rsidRPr="005A059B">
        <w:t xml:space="preserve">. 2001. Decaying Wood in Pacific Northwest Forests: Concepts and Tools for Habitat Management, Chapter 24 </w:t>
      </w:r>
      <w:r w:rsidRPr="00AC6EA3">
        <w:rPr>
          <w:i/>
        </w:rPr>
        <w:t>in</w:t>
      </w:r>
      <w:r w:rsidRPr="005A059B">
        <w:t xml:space="preserve"> </w:t>
      </w:r>
      <w:r w:rsidRPr="00AC6EA3">
        <w:rPr>
          <w:bCs/>
          <w:i/>
          <w:iCs/>
        </w:rPr>
        <w:t xml:space="preserve">Wildlife-Habitat Relationships in </w:t>
      </w:r>
      <w:proofErr w:type="gramStart"/>
      <w:r w:rsidRPr="00AC6EA3">
        <w:rPr>
          <w:bCs/>
          <w:i/>
          <w:iCs/>
        </w:rPr>
        <w:t>Oregon</w:t>
      </w:r>
      <w:proofErr w:type="gramEnd"/>
      <w:r w:rsidRPr="00AC6EA3">
        <w:rPr>
          <w:bCs/>
          <w:i/>
          <w:iCs/>
        </w:rPr>
        <w:t xml:space="preserve"> and Washington</w:t>
      </w:r>
      <w:r>
        <w:t xml:space="preserve"> (Johnson, D. H. and T. A. O'Neil. OSU Press. 2001)</w:t>
      </w:r>
      <w:r w:rsidRPr="005A059B">
        <w:t xml:space="preserve"> </w:t>
      </w:r>
      <w:hyperlink r:id="rId27" w:history="1">
        <w:r w:rsidRPr="005A059B">
          <w:rPr>
            <w:rStyle w:val="Hyperlink"/>
          </w:rPr>
          <w:t>http://www.fs.fed.us/wildecology/decaid/decaid_background/chapter24cwb.pdf</w:t>
        </w:r>
      </w:hyperlink>
      <w:r>
        <w:t xml:space="preserve">; Hagar, Joan, 2007, Assessment and management of dead-wood habitat: USGS Administrative Report 20071054, pp. 1-32. </w:t>
      </w:r>
      <w:hyperlink r:id="rId28" w:history="1">
        <w:r>
          <w:rPr>
            <w:rStyle w:val="Hyperlink"/>
          </w:rPr>
          <w:t>http://pubs.usgs.gov/of/2007/1054/pdf/ofr20071054.pdf</w:t>
        </w:r>
      </w:hyperlink>
      <w:r>
        <w:t xml:space="preserve">; Bruce G. </w:t>
      </w:r>
      <w:proofErr w:type="spellStart"/>
      <w:r>
        <w:t>Marcot</w:t>
      </w:r>
      <w:proofErr w:type="spellEnd"/>
      <w:r>
        <w:t xml:space="preserve"> 2017. Ecosystem Processes Related to Wood Decay. PNW Research Note 576. </w:t>
      </w:r>
      <w:hyperlink r:id="rId29" w:history="1">
        <w:r w:rsidRPr="0021413C">
          <w:rPr>
            <w:rStyle w:val="Hyperlink"/>
          </w:rPr>
          <w:t>https://www.fs.fed.us/pnw/pubs/pnw_rn576.pdf</w:t>
        </w:r>
      </w:hyperlink>
      <w:r>
        <w:t xml:space="preserve">; and </w:t>
      </w:r>
      <w:r w:rsidRPr="005325D0">
        <w:t xml:space="preserve">Jennie </w:t>
      </w:r>
      <w:proofErr w:type="spellStart"/>
      <w:r w:rsidRPr="005325D0">
        <w:t>Sandström</w:t>
      </w:r>
      <w:proofErr w:type="spellEnd"/>
      <w:r w:rsidRPr="005325D0">
        <w:t xml:space="preserve"> et al. </w:t>
      </w:r>
      <w:r>
        <w:t xml:space="preserve">2019. </w:t>
      </w:r>
      <w:r w:rsidRPr="005325D0">
        <w:t>Impacts of dead wood manipulation on the biodiversity of temperate and boreal forests. A systematic review, Journal of Applied Ecology (2019). DOI: 10.1111/1365-2664.13395</w:t>
      </w:r>
      <w:r>
        <w:t xml:space="preserve">. </w:t>
      </w:r>
      <w:hyperlink r:id="rId30" w:history="1">
        <w:r>
          <w:rPr>
            <w:rStyle w:val="Hyperlink"/>
          </w:rPr>
          <w:t>https://besjournals.onlinelibrary.wiley.com/doi/pdf/10.1111/1365-2664.13395</w:t>
        </w:r>
      </w:hyperlink>
      <w:r>
        <w:t>;</w:t>
      </w:r>
    </w:p>
    <w:p w14:paraId="16BF95CF" w14:textId="77777777" w:rsidR="00802E8A" w:rsidRDefault="00802E8A" w:rsidP="00802E8A"/>
    <w:p w14:paraId="4EE2F0FA" w14:textId="77777777" w:rsidR="00802E8A" w:rsidRDefault="00802E8A" w:rsidP="00802E8A">
      <w:r>
        <w:t xml:space="preserve">Retaining large trees is important to ensuring long-term snag recruitment because … There is a severe shortage of large snags on the eastside because of past clearcutting, high grading, salvage logging, thinning, and fire suppression; Quigley, Thomas M.; </w:t>
      </w:r>
      <w:proofErr w:type="spellStart"/>
      <w:r>
        <w:t>Arbelbide</w:t>
      </w:r>
      <w:proofErr w:type="spellEnd"/>
      <w:r>
        <w:t xml:space="preserve">, Sylvia J., tech. eds. 1997. An assessment of ecosystem components in the interior Columbia basin and portions of the Klamath and Great Basins: volume 1. Gen. Tech. Rep. PNW-GTR-405. Portland, OR: U.S. Department of Agriculture, Forest Service, Pacific Northwest Research Station. 4 vol. </w:t>
      </w:r>
      <w:hyperlink r:id="rId31" w:history="1">
        <w:r w:rsidRPr="00041242">
          <w:rPr>
            <w:rStyle w:val="Hyperlink"/>
          </w:rPr>
          <w:t>https://www.fs.fed.us/pnw/pubs/pnw_gtr405.pdf</w:t>
        </w:r>
      </w:hyperlink>
      <w:r>
        <w:t xml:space="preserve"> (“Disturbances in non-harvested stands favor snag development. In contrast, harvest disturbances resulted in fewer snags, fewer large trees with the potential of being recruited as snags, and likely an increased probability that snags in the surrounding area would be used for firewood.”)</w:t>
      </w:r>
    </w:p>
    <w:p w14:paraId="73438B4C" w14:textId="77777777" w:rsidR="00802E8A" w:rsidRDefault="00802E8A" w:rsidP="00802E8A"/>
    <w:p w14:paraId="0143D2B5" w14:textId="77777777" w:rsidR="00802E8A" w:rsidRDefault="00802E8A" w:rsidP="00802E8A">
      <w:r>
        <w:t>Retaining large trees is important to ensuring long-term snag recruitment because … The green tree standard is as important or more important than the snag standard, because all snags are recruited from the green tree population. Restoring populations of large snags requires retention of large numbers of large trees that die over time due to natural processes such as competition, insects, fire, wind, or active snag recruitment, etc. Harmon (1999) said:</w:t>
      </w:r>
    </w:p>
    <w:p w14:paraId="21F7130B" w14:textId="77777777" w:rsidR="00802E8A" w:rsidRDefault="00802E8A" w:rsidP="00802E8A">
      <w:pPr>
        <w:ind w:left="720"/>
      </w:pPr>
      <w:r w:rsidRPr="00920671">
        <w:rPr>
          <w:b/>
        </w:rPr>
        <w:t>Linking Live and Dead Trees</w:t>
      </w:r>
      <w:r>
        <w:rPr>
          <w:b/>
        </w:rPr>
        <w:t xml:space="preserve"> - </w:t>
      </w:r>
      <w:r>
        <w:t xml:space="preserve">Although developing a viable morticulture will require new knowledge, in many cases it will require that we apply what we </w:t>
      </w:r>
      <w:r>
        <w:lastRenderedPageBreak/>
        <w:t>already know. For example, we already know that live trees eventually form dead trees, but it is amazing that this dynamic is often missing from current forest management thinking. … Forest management in the past century has focused on how to lower mortality rates via thinning, fire protection, etc. Ironically, the next century of forest management may be occupied with how to increase mortality when and where we want it. … [H]ow might this new paradigm of morticulture work? It would probably start by answering the question of which species or processes are to be maintained, restored, or otherwise managed (fig. 5). Then the target levels for these functions should be determined. Before assessing the amount of woody detritus to be maintained or added to meet this functional target, the landscape context for the management action should be assessed. Are there limitations of populations or processes that would limit the desired response? If not, a plan to add wood would be designed to maintain the desired level. But if there are landscape limitations, then these should be addressed before planning at the stand-level proceeds.”)</w:t>
      </w:r>
    </w:p>
    <w:p w14:paraId="1EA243B3" w14:textId="77777777" w:rsidR="00802E8A" w:rsidRDefault="00802E8A" w:rsidP="00802E8A">
      <w:pPr>
        <w:ind w:left="720"/>
      </w:pPr>
      <w:r>
        <w:rPr>
          <w:noProof/>
        </w:rPr>
        <w:drawing>
          <wp:inline distT="0" distB="0" distL="0" distR="0" wp14:anchorId="4E010455" wp14:editId="18101F2D">
            <wp:extent cx="4171950" cy="30375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171950" cy="3037567"/>
                    </a:xfrm>
                    <a:prstGeom prst="rect">
                      <a:avLst/>
                    </a:prstGeom>
                    <a:noFill/>
                    <a:ln>
                      <a:noFill/>
                    </a:ln>
                  </pic:spPr>
                </pic:pic>
              </a:graphicData>
            </a:graphic>
          </wp:inline>
        </w:drawing>
      </w:r>
    </w:p>
    <w:p w14:paraId="520BD992" w14:textId="77777777" w:rsidR="00802E8A" w:rsidRDefault="00802E8A" w:rsidP="00802E8A">
      <w:r>
        <w:t xml:space="preserve">See Harmon, Mark 1999. Moving towards a New Paradigm for Woody Detritus Management. </w:t>
      </w:r>
      <w:r w:rsidRPr="00A4184F">
        <w:rPr>
          <w:i/>
        </w:rPr>
        <w:t>in</w:t>
      </w:r>
      <w:r>
        <w:t xml:space="preserve"> </w:t>
      </w:r>
      <w:r w:rsidRPr="00A4184F">
        <w:t>Proceedings of the Symposium on the Ecology and Management of Dead Wood in Western Forests.</w:t>
      </w:r>
      <w:r>
        <w:t xml:space="preserve"> PSW-GTR-181. </w:t>
      </w:r>
      <w:hyperlink r:id="rId33" w:history="1">
        <w:r>
          <w:rPr>
            <w:rStyle w:val="Hyperlink"/>
          </w:rPr>
          <w:t>http://www.fs.fed.us/psw/publications/documents/gtr-181/</w:t>
        </w:r>
      </w:hyperlink>
      <w:r>
        <w:t xml:space="preserve">, </w:t>
      </w:r>
      <w:hyperlink r:id="rId34" w:history="1">
        <w:r w:rsidRPr="00187B8E">
          <w:rPr>
            <w:rStyle w:val="Hyperlink"/>
          </w:rPr>
          <w:t>https://www.fs.fed.us/psw/publications/documents/gtr-181/071_Harm.pdf</w:t>
        </w:r>
      </w:hyperlink>
      <w:r>
        <w:t>. Using DecAID or other tools, the FS needs to identify appropriate goals for snags and dead wood habitat based on the needs of wildlife that are most sensitive to the absence of such habitat features. The agency needs to analyze how to achieve those snag goals by retaining an adequate population of green trees and maintaining natural mortality processes that can act on those trees.</w:t>
      </w:r>
    </w:p>
    <w:p w14:paraId="2BA68654" w14:textId="77777777" w:rsidR="001456D1" w:rsidRPr="00FB2223" w:rsidRDefault="001456D1" w:rsidP="00FB2223">
      <w:pPr>
        <w:pStyle w:val="Heading1"/>
      </w:pPr>
      <w:r w:rsidRPr="00FB2223">
        <w:t xml:space="preserve">The draft DN relies on an illegal amendment to the </w:t>
      </w:r>
      <w:proofErr w:type="gramStart"/>
      <w:r w:rsidRPr="00FB2223">
        <w:t>LRMP</w:t>
      </w:r>
      <w:proofErr w:type="gramEnd"/>
    </w:p>
    <w:p w14:paraId="2E7BFCDD" w14:textId="77777777" w:rsidR="003B7B64" w:rsidRDefault="000119B2" w:rsidP="003B7B64">
      <w:r>
        <w:t xml:space="preserve">The FS should not reply on the </w:t>
      </w:r>
      <w:r w:rsidR="0007532B">
        <w:t xml:space="preserve">illegal </w:t>
      </w:r>
      <w:r>
        <w:t>2020 Amendment of the Eastside Screens approved in t</w:t>
      </w:r>
      <w:r w:rsidR="0007532B">
        <w:t>he last days of the Trump Admini</w:t>
      </w:r>
      <w:r>
        <w:t xml:space="preserve">stration. </w:t>
      </w:r>
      <w:r w:rsidR="003B7B64">
        <w:t xml:space="preserve">The FS should use a scientific </w:t>
      </w:r>
      <w:r w:rsidR="003B7B64">
        <w:lastRenderedPageBreak/>
        <w:t xml:space="preserve">definition of large trees which is 20” dbh. The NEPA analysis for this </w:t>
      </w:r>
      <w:r w:rsidR="0007532B">
        <w:t xml:space="preserve">aspen </w:t>
      </w:r>
      <w:r w:rsidR="003B7B64">
        <w:t>project failed clearly disclose the effects of removal of large trees 20-30” dbh under the Trump Screens Amendment, as well as large trees removed for safety and operational purposes. The NEPA analysis failed to provide site-specific analysis of proposed removal of large trees, including location, extent, and tree species.</w:t>
      </w:r>
    </w:p>
    <w:p w14:paraId="65A0748A" w14:textId="77777777" w:rsidR="003B7B64" w:rsidRDefault="003B7B64" w:rsidP="003B7B64"/>
    <w:p w14:paraId="57A3AC32" w14:textId="77777777" w:rsidR="003B7B64" w:rsidRDefault="003B7B64" w:rsidP="003B7B64">
      <w:r>
        <w:t>The National Forest Management Act and its implementing regulations require the Forest Service to follow the requirements of the LRMP, as amended. The Eastside Screens adopted in 1994 and 1995 are valid amendments of the LRMP. The Jan 2021 Amendment of the Screens was not adopted pursuant to proper NFMA and NEPA and ESA procedures and so the Forest Service cannot rely on that amendment to authorize the removal of large trees &gt;21” dbh.</w:t>
      </w:r>
    </w:p>
    <w:p w14:paraId="3D11E0BE" w14:textId="77777777" w:rsidR="003B7B64" w:rsidRDefault="003B7B64" w:rsidP="003B7B64"/>
    <w:p w14:paraId="71E7A60C" w14:textId="77777777" w:rsidR="003B7B64" w:rsidRDefault="001456D1" w:rsidP="003B7B64">
      <w:r>
        <w:t xml:space="preserve">We object to the </w:t>
      </w:r>
      <w:r w:rsidR="003B7B64">
        <w:t xml:space="preserve">Forest Service </w:t>
      </w:r>
      <w:r>
        <w:t xml:space="preserve">reliance </w:t>
      </w:r>
      <w:r w:rsidR="003B7B64">
        <w:t xml:space="preserve">on the Trump administration’s last-minute decision to approve the </w:t>
      </w:r>
      <w:hyperlink r:id="rId35" w:history="1">
        <w:r w:rsidR="003B7B64" w:rsidRPr="00BC2349">
          <w:rPr>
            <w:rStyle w:val="Hyperlink"/>
          </w:rPr>
          <w:t>regional Screens Amendment</w:t>
        </w:r>
      </w:hyperlink>
      <w:r w:rsidR="003B7B64">
        <w:t xml:space="preserve"> allowing r</w:t>
      </w:r>
      <w:r>
        <w:t>emoval of large trees</w:t>
      </w:r>
      <w:r w:rsidR="003B7B64">
        <w:t xml:space="preserve">. </w:t>
      </w:r>
      <w:r w:rsidR="003B7B64" w:rsidRPr="00D3204B">
        <w:t>The Trump Screens Amendment is unlawful for a variety of reaso</w:t>
      </w:r>
      <w:r w:rsidR="003B7B64">
        <w:t>n, including but not limited to:</w:t>
      </w:r>
    </w:p>
    <w:p w14:paraId="5EDA1012" w14:textId="77777777" w:rsidR="003B7B64" w:rsidRPr="00CB0C2C" w:rsidRDefault="003B7B64" w:rsidP="003B7B64">
      <w:pPr>
        <w:pStyle w:val="ListParagraph"/>
        <w:numPr>
          <w:ilvl w:val="0"/>
          <w:numId w:val="3"/>
        </w:numPr>
        <w:suppressAutoHyphens w:val="0"/>
        <w:spacing w:line="240" w:lineRule="auto"/>
        <w:contextualSpacing/>
        <w:rPr>
          <w:rFonts w:cs="Times New Roman"/>
          <w:szCs w:val="24"/>
        </w:rPr>
      </w:pPr>
      <w:r w:rsidRPr="00CB0C2C">
        <w:rPr>
          <w:rFonts w:cs="Times New Roman"/>
          <w:szCs w:val="24"/>
        </w:rPr>
        <w:t>The Screens Amendment was a public involvement nightmare. The FS failed to provide a scoping period and failed to provide an objection period even though one was promised from the beginning. The FS failed to meaningfully respond to public comment. The decision was approved at the last minute by a corrupt, lame duck administration.</w:t>
      </w:r>
    </w:p>
    <w:p w14:paraId="6EA76A2A" w14:textId="77777777" w:rsidR="003B7B64" w:rsidRPr="00CB0C2C" w:rsidRDefault="003B7B64" w:rsidP="003B7B64">
      <w:pPr>
        <w:pStyle w:val="ListParagraph"/>
        <w:numPr>
          <w:ilvl w:val="0"/>
          <w:numId w:val="3"/>
        </w:numPr>
        <w:suppressAutoHyphens w:val="0"/>
        <w:spacing w:line="240" w:lineRule="auto"/>
        <w:contextualSpacing/>
        <w:rPr>
          <w:rFonts w:cs="Times New Roman"/>
          <w:szCs w:val="24"/>
        </w:rPr>
      </w:pPr>
      <w:r w:rsidRPr="00CB0C2C">
        <w:rPr>
          <w:rFonts w:cs="Times New Roman"/>
          <w:szCs w:val="24"/>
        </w:rPr>
        <w:t xml:space="preserve">The decision to amend the Screens and allow removal of large numbers of large trees across a large region is likely to have significant effects on the environment and therefore requires </w:t>
      </w:r>
      <w:r>
        <w:rPr>
          <w:rFonts w:cs="Times New Roman"/>
          <w:szCs w:val="24"/>
        </w:rPr>
        <w:t xml:space="preserve">preparation of </w:t>
      </w:r>
      <w:r w:rsidRPr="00CB0C2C">
        <w:rPr>
          <w:rFonts w:cs="Times New Roman"/>
          <w:szCs w:val="24"/>
        </w:rPr>
        <w:t>an Environmental Impact Statement.</w:t>
      </w:r>
    </w:p>
    <w:p w14:paraId="27A0AF1E" w14:textId="77777777" w:rsidR="003B7B64" w:rsidRPr="00CB0C2C" w:rsidRDefault="003B7B64" w:rsidP="003B7B64">
      <w:pPr>
        <w:pStyle w:val="ListParagraph"/>
        <w:numPr>
          <w:ilvl w:val="0"/>
          <w:numId w:val="3"/>
        </w:numPr>
        <w:suppressAutoHyphens w:val="0"/>
        <w:spacing w:line="240" w:lineRule="auto"/>
        <w:contextualSpacing/>
        <w:rPr>
          <w:rFonts w:cs="Times New Roman"/>
          <w:szCs w:val="24"/>
        </w:rPr>
      </w:pPr>
      <w:r w:rsidRPr="00CB0C2C">
        <w:rPr>
          <w:rFonts w:cs="Times New Roman"/>
          <w:szCs w:val="24"/>
        </w:rPr>
        <w:t xml:space="preserve">The Screens EA </w:t>
      </w:r>
      <w:r>
        <w:rPr>
          <w:rFonts w:cs="Times New Roman"/>
          <w:szCs w:val="24"/>
        </w:rPr>
        <w:t xml:space="preserve">violated NEPA in numerous ways, including an inadequate </w:t>
      </w:r>
      <w:r w:rsidRPr="00CB0C2C">
        <w:rPr>
          <w:rFonts w:cs="Times New Roman"/>
          <w:szCs w:val="24"/>
        </w:rPr>
        <w:t>analysis of cumulative effects, failed to take a hard look at effects on carbon and climate, habitat for viable populations of species that depend on large and old trees, dense/unmanaged forest, snags and dead wood, riparian and aquatic habitats, etc.</w:t>
      </w:r>
    </w:p>
    <w:p w14:paraId="5A6ACE11" w14:textId="77777777" w:rsidR="003B7B64" w:rsidRDefault="003B7B64" w:rsidP="003B7B64">
      <w:pPr>
        <w:pStyle w:val="ListParagraph"/>
        <w:numPr>
          <w:ilvl w:val="0"/>
          <w:numId w:val="3"/>
        </w:numPr>
        <w:suppressAutoHyphens w:val="0"/>
        <w:spacing w:line="240" w:lineRule="auto"/>
        <w:contextualSpacing/>
        <w:rPr>
          <w:rFonts w:cs="Times New Roman"/>
          <w:szCs w:val="24"/>
        </w:rPr>
      </w:pPr>
      <w:r w:rsidRPr="00CB0C2C">
        <w:rPr>
          <w:rFonts w:cs="Times New Roman"/>
          <w:szCs w:val="24"/>
        </w:rPr>
        <w:t>The Screens EA failed to consider reasonable alternatives to meet the purpose and need such as retaining old trees regardless of size, and allowing the large-young trees within the dripline of legacy trees to be converted to snags, using prescribed fire to control encroachment of shade-tolerant tree species, and adopting a quantitative, science-based standard for conservation and restoration of large snags and green recruitment trees to meet population goals for snag-associated species.</w:t>
      </w:r>
    </w:p>
    <w:p w14:paraId="4E70368B" w14:textId="77777777" w:rsidR="003B7B64" w:rsidRPr="00CB0C2C" w:rsidRDefault="003B7B64" w:rsidP="003B7B64">
      <w:pPr>
        <w:pStyle w:val="ListParagraph"/>
        <w:numPr>
          <w:ilvl w:val="0"/>
          <w:numId w:val="3"/>
        </w:numPr>
        <w:suppressAutoHyphens w:val="0"/>
        <w:spacing w:line="240" w:lineRule="auto"/>
        <w:contextualSpacing/>
        <w:rPr>
          <w:rFonts w:cs="Times New Roman"/>
          <w:szCs w:val="24"/>
        </w:rPr>
      </w:pPr>
      <w:r>
        <w:rPr>
          <w:rFonts w:cs="Times New Roman"/>
          <w:szCs w:val="24"/>
        </w:rPr>
        <w:t xml:space="preserve">The Screens Amendment also adopted a standardless approach to managing snags and green replacement trees, calling for the provision of </w:t>
      </w:r>
      <w:r w:rsidRPr="00933F87">
        <w:rPr>
          <w:rFonts w:cs="Times New Roman"/>
          <w:i/>
          <w:szCs w:val="24"/>
        </w:rPr>
        <w:t>some</w:t>
      </w:r>
      <w:r>
        <w:rPr>
          <w:rFonts w:cs="Times New Roman"/>
          <w:szCs w:val="24"/>
        </w:rPr>
        <w:t xml:space="preserve"> snags and green trees to meet the needs of </w:t>
      </w:r>
      <w:r w:rsidRPr="00933F87">
        <w:rPr>
          <w:rFonts w:cs="Times New Roman"/>
          <w:i/>
          <w:szCs w:val="24"/>
        </w:rPr>
        <w:t>some</w:t>
      </w:r>
      <w:r>
        <w:rPr>
          <w:rFonts w:cs="Times New Roman"/>
          <w:szCs w:val="24"/>
        </w:rPr>
        <w:t xml:space="preserve"> species, but without any assurances that logging will maintain population viability for the species which are most sensitive to the absence of abundant snags.</w:t>
      </w:r>
    </w:p>
    <w:p w14:paraId="41E96091" w14:textId="77777777" w:rsidR="003B7B64" w:rsidRPr="00CB0C2C" w:rsidRDefault="003B7B64" w:rsidP="003B7B64">
      <w:pPr>
        <w:pStyle w:val="ListParagraph"/>
        <w:numPr>
          <w:ilvl w:val="0"/>
          <w:numId w:val="3"/>
        </w:numPr>
        <w:suppressAutoHyphens w:val="0"/>
        <w:spacing w:line="240" w:lineRule="auto"/>
        <w:contextualSpacing/>
        <w:rPr>
          <w:rFonts w:cs="Times New Roman"/>
          <w:szCs w:val="24"/>
        </w:rPr>
      </w:pPr>
      <w:r w:rsidRPr="00CB0C2C">
        <w:rPr>
          <w:rFonts w:cs="Times New Roman"/>
          <w:szCs w:val="24"/>
        </w:rPr>
        <w:t>Approval of the Screens amendment violates the procedural and substantive requirements of the NFMA and its implementing regulations.</w:t>
      </w:r>
    </w:p>
    <w:p w14:paraId="312A6DFF" w14:textId="77777777" w:rsidR="003B7B64" w:rsidRDefault="003B7B64" w:rsidP="003B7B64">
      <w:pPr>
        <w:pStyle w:val="ListParagraph"/>
        <w:numPr>
          <w:ilvl w:val="0"/>
          <w:numId w:val="3"/>
        </w:numPr>
        <w:suppressAutoHyphens w:val="0"/>
        <w:spacing w:line="240" w:lineRule="auto"/>
        <w:contextualSpacing/>
        <w:rPr>
          <w:rFonts w:cs="Times New Roman"/>
          <w:szCs w:val="24"/>
        </w:rPr>
      </w:pPr>
      <w:r w:rsidRPr="00CB0C2C">
        <w:rPr>
          <w:rFonts w:cs="Times New Roman"/>
          <w:szCs w:val="24"/>
        </w:rPr>
        <w:t>The FS failed to consult with NMFS and FWS regarding ESA-listed species.</w:t>
      </w:r>
    </w:p>
    <w:p w14:paraId="43CAA8E0" w14:textId="77777777" w:rsidR="003B7B64" w:rsidRDefault="003B7B64" w:rsidP="003B7B64">
      <w:pPr>
        <w:pStyle w:val="ListParagraph"/>
        <w:numPr>
          <w:ilvl w:val="0"/>
          <w:numId w:val="3"/>
        </w:numPr>
        <w:suppressAutoHyphens w:val="0"/>
        <w:spacing w:line="240" w:lineRule="auto"/>
        <w:contextualSpacing/>
        <w:rPr>
          <w:rFonts w:cs="Times New Roman"/>
          <w:szCs w:val="24"/>
        </w:rPr>
      </w:pPr>
      <w:r w:rsidRPr="000417D9">
        <w:rPr>
          <w:rFonts w:cs="Times New Roman"/>
          <w:szCs w:val="24"/>
        </w:rPr>
        <w:lastRenderedPageBreak/>
        <w:t>There is significant new information that natural mortality processes are self-correcting the species composition</w:t>
      </w:r>
      <w:r>
        <w:rPr>
          <w:rFonts w:cs="Times New Roman"/>
          <w:szCs w:val="24"/>
        </w:rPr>
        <w:t xml:space="preserve">, and getting the job done better than logging because natural processes </w:t>
      </w:r>
      <w:proofErr w:type="gramStart"/>
      <w:r>
        <w:rPr>
          <w:rFonts w:cs="Times New Roman"/>
          <w:szCs w:val="24"/>
        </w:rPr>
        <w:t>kills</w:t>
      </w:r>
      <w:proofErr w:type="gramEnd"/>
      <w:r>
        <w:rPr>
          <w:rFonts w:cs="Times New Roman"/>
          <w:szCs w:val="24"/>
        </w:rPr>
        <w:t xml:space="preserve"> the trees that are least fit to survive, and natural processes create and retain snags, and dead wood habitat</w:t>
      </w:r>
      <w:r w:rsidRPr="000417D9">
        <w:rPr>
          <w:rFonts w:cs="Times New Roman"/>
          <w:szCs w:val="24"/>
        </w:rPr>
        <w:t>.</w:t>
      </w:r>
      <w:r>
        <w:rPr>
          <w:rFonts w:cs="Times New Roman"/>
          <w:szCs w:val="24"/>
        </w:rPr>
        <w:t xml:space="preserve"> </w:t>
      </w:r>
      <w:r w:rsidRPr="000417D9">
        <w:rPr>
          <w:rFonts w:cs="Times New Roman"/>
          <w:szCs w:val="24"/>
        </w:rPr>
        <w:t>In 2022, forest scientists reported a “</w:t>
      </w:r>
      <w:proofErr w:type="spellStart"/>
      <w:r w:rsidRPr="000417D9">
        <w:rPr>
          <w:rFonts w:cs="Times New Roman"/>
          <w:szCs w:val="24"/>
        </w:rPr>
        <w:t>Firmageddon</w:t>
      </w:r>
      <w:proofErr w:type="spellEnd"/>
      <w:r w:rsidRPr="000417D9">
        <w:rPr>
          <w:rFonts w:cs="Times New Roman"/>
          <w:szCs w:val="24"/>
        </w:rPr>
        <w:t xml:space="preserve">” event, where true firs such as white fir and grand fir and noble fir were dying across large areas of eastern Oregon, apparently from drought stress. See Nathan Gilles 2022. Massive die-off hits fir trees across Pacific Northwest | Columbia Insight (AP) Updated: Nov 27, 2022.  </w:t>
      </w:r>
      <w:hyperlink r:id="rId36" w:history="1">
        <w:r w:rsidRPr="00E42A48">
          <w:rPr>
            <w:rStyle w:val="Hyperlink"/>
            <w:rFonts w:cs="Times New Roman"/>
            <w:szCs w:val="24"/>
          </w:rPr>
          <w:t>https://www.mailtribune.com/top-stories/2022/11/27/massive-die-off-hits-fir-trees-across-pacific-northwest/</w:t>
        </w:r>
      </w:hyperlink>
      <w:r w:rsidRPr="000417D9">
        <w:rPr>
          <w:rFonts w:cs="Times New Roman"/>
          <w:szCs w:val="24"/>
        </w:rPr>
        <w:t xml:space="preserve">. </w:t>
      </w:r>
    </w:p>
    <w:p w14:paraId="50BD8007" w14:textId="77777777" w:rsidR="003B7B64" w:rsidRPr="007263E1" w:rsidRDefault="003B7B64" w:rsidP="003B7B64">
      <w:pPr>
        <w:pStyle w:val="ListParagraph"/>
        <w:numPr>
          <w:ilvl w:val="0"/>
          <w:numId w:val="3"/>
        </w:numPr>
        <w:suppressAutoHyphens w:val="0"/>
        <w:spacing w:after="200" w:line="240" w:lineRule="auto"/>
        <w:contextualSpacing/>
        <w:rPr>
          <w:rFonts w:cs="Times New Roman"/>
          <w:szCs w:val="24"/>
        </w:rPr>
      </w:pPr>
      <w:r w:rsidRPr="007263E1">
        <w:rPr>
          <w:rFonts w:cs="Times New Roman"/>
          <w:szCs w:val="24"/>
        </w:rPr>
        <w:t>The</w:t>
      </w:r>
      <w:r>
        <w:rPr>
          <w:rFonts w:cs="Times New Roman"/>
          <w:szCs w:val="24"/>
        </w:rPr>
        <w:t>re</w:t>
      </w:r>
      <w:r w:rsidRPr="007263E1">
        <w:rPr>
          <w:rFonts w:cs="Times New Roman"/>
          <w:szCs w:val="24"/>
        </w:rPr>
        <w:t xml:space="preserve"> is new information indicating that Grand fir may be more fire resistant than assumed in the NEPA analysis supporting the Screens Amendment. "The grand f</w:t>
      </w:r>
      <w:r>
        <w:rPr>
          <w:rFonts w:cs="Times New Roman"/>
          <w:szCs w:val="24"/>
        </w:rPr>
        <w:t>i</w:t>
      </w:r>
      <w:r w:rsidRPr="007263E1">
        <w:rPr>
          <w:rFonts w:cs="Times New Roman"/>
          <w:szCs w:val="24"/>
        </w:rPr>
        <w:t>r forest type had severity</w:t>
      </w:r>
      <w:r>
        <w:rPr>
          <w:rFonts w:cs="Times New Roman"/>
          <w:szCs w:val="24"/>
        </w:rPr>
        <w:t xml:space="preserve"> </w:t>
      </w:r>
      <w:r w:rsidRPr="007263E1">
        <w:rPr>
          <w:rFonts w:cs="Times New Roman"/>
          <w:szCs w:val="24"/>
        </w:rPr>
        <w:t>values at the same level of forest types dominated by</w:t>
      </w:r>
      <w:r>
        <w:rPr>
          <w:rFonts w:cs="Times New Roman"/>
          <w:szCs w:val="24"/>
        </w:rPr>
        <w:t xml:space="preserve"> </w:t>
      </w:r>
      <w:r w:rsidRPr="007263E1">
        <w:rPr>
          <w:rFonts w:cs="Times New Roman"/>
          <w:szCs w:val="24"/>
        </w:rPr>
        <w:t>fire-resister species despite grand fir was classified as</w:t>
      </w:r>
      <w:r>
        <w:rPr>
          <w:rFonts w:cs="Times New Roman"/>
          <w:szCs w:val="24"/>
        </w:rPr>
        <w:t xml:space="preserve"> </w:t>
      </w:r>
      <w:r w:rsidRPr="007263E1">
        <w:rPr>
          <w:rFonts w:cs="Times New Roman"/>
          <w:szCs w:val="24"/>
        </w:rPr>
        <w:t>a f</w:t>
      </w:r>
      <w:r>
        <w:rPr>
          <w:rFonts w:cs="Times New Roman"/>
          <w:szCs w:val="24"/>
        </w:rPr>
        <w:t>i</w:t>
      </w:r>
      <w:r w:rsidRPr="007263E1">
        <w:rPr>
          <w:rFonts w:cs="Times New Roman"/>
          <w:szCs w:val="24"/>
        </w:rPr>
        <w:t>re-avoider species. … In many ponderosa pine forests maintained historically by a high frequency, low-severity fire regime, the transition towards denser forests dominated by Douglas-fir and grand fir would explain why ponderosa pine and Douglas-fir still compose a signif</w:t>
      </w:r>
      <w:r>
        <w:rPr>
          <w:rFonts w:cs="Times New Roman"/>
          <w:szCs w:val="24"/>
        </w:rPr>
        <w:t>i</w:t>
      </w:r>
      <w:r w:rsidRPr="007263E1">
        <w:rPr>
          <w:rFonts w:cs="Times New Roman"/>
          <w:szCs w:val="24"/>
        </w:rPr>
        <w:t xml:space="preserve">cant proportion of basal area in the grand fir forest type, and many maintain large, old, fire-resistant ponderosa pine trees (Johnston </w:t>
      </w:r>
      <w:proofErr w:type="gramStart"/>
      <w:r w:rsidRPr="007263E1">
        <w:rPr>
          <w:rFonts w:cs="Times New Roman"/>
          <w:szCs w:val="24"/>
        </w:rPr>
        <w:t>et  al.</w:t>
      </w:r>
      <w:proofErr w:type="gramEnd"/>
      <w:r w:rsidRPr="007263E1">
        <w:rPr>
          <w:rFonts w:cs="Times New Roman"/>
          <w:szCs w:val="24"/>
        </w:rPr>
        <w:t xml:space="preserve"> 2021; </w:t>
      </w:r>
      <w:proofErr w:type="spellStart"/>
      <w:r w:rsidRPr="007263E1">
        <w:rPr>
          <w:rFonts w:cs="Times New Roman"/>
          <w:szCs w:val="24"/>
        </w:rPr>
        <w:t>Merschel</w:t>
      </w:r>
      <w:proofErr w:type="spellEnd"/>
      <w:r w:rsidRPr="007263E1">
        <w:rPr>
          <w:rFonts w:cs="Times New Roman"/>
          <w:szCs w:val="24"/>
        </w:rPr>
        <w:t xml:space="preserve"> et  al. 2021). Therefore, the </w:t>
      </w:r>
      <w:proofErr w:type="gramStart"/>
      <w:r w:rsidRPr="007263E1">
        <w:rPr>
          <w:rFonts w:cs="Times New Roman"/>
          <w:szCs w:val="24"/>
        </w:rPr>
        <w:t>particular structure</w:t>
      </w:r>
      <w:proofErr w:type="gramEnd"/>
      <w:r w:rsidRPr="007263E1">
        <w:rPr>
          <w:rFonts w:cs="Times New Roman"/>
          <w:szCs w:val="24"/>
        </w:rPr>
        <w:t xml:space="preserve"> and composition of these “recent” grand fir forests (e.g., </w:t>
      </w:r>
      <w:proofErr w:type="spellStart"/>
      <w:r w:rsidRPr="007263E1">
        <w:rPr>
          <w:rFonts w:cs="Times New Roman"/>
          <w:szCs w:val="24"/>
        </w:rPr>
        <w:t>Merschel</w:t>
      </w:r>
      <w:proofErr w:type="spellEnd"/>
      <w:r w:rsidRPr="007263E1">
        <w:rPr>
          <w:rFonts w:cs="Times New Roman"/>
          <w:szCs w:val="24"/>
        </w:rPr>
        <w:t xml:space="preserve"> et al. 2014), with an important presence of large-diameter trees of fire-resistant species, may provide latent fire resistance (Larson et al. 2013)." Jose V. </w:t>
      </w:r>
      <w:proofErr w:type="spellStart"/>
      <w:r w:rsidRPr="007263E1">
        <w:rPr>
          <w:rFonts w:cs="Times New Roman"/>
          <w:szCs w:val="24"/>
        </w:rPr>
        <w:t>Moris</w:t>
      </w:r>
      <w:proofErr w:type="spellEnd"/>
      <w:r w:rsidRPr="007263E1">
        <w:rPr>
          <w:rFonts w:cs="Times New Roman"/>
          <w:szCs w:val="24"/>
        </w:rPr>
        <w:t xml:space="preserve">, Matthew J. Reilly, </w:t>
      </w:r>
      <w:proofErr w:type="spellStart"/>
      <w:r w:rsidRPr="007263E1">
        <w:rPr>
          <w:rFonts w:cs="Times New Roman"/>
          <w:szCs w:val="24"/>
        </w:rPr>
        <w:t>Zhiqiang</w:t>
      </w:r>
      <w:proofErr w:type="spellEnd"/>
      <w:r w:rsidRPr="007263E1">
        <w:rPr>
          <w:rFonts w:cs="Times New Roman"/>
          <w:szCs w:val="24"/>
        </w:rPr>
        <w:t xml:space="preserve"> Yang, Warren B. Cohen, Re</w:t>
      </w:r>
      <w:r>
        <w:rPr>
          <w:rFonts w:cs="Times New Roman"/>
          <w:szCs w:val="24"/>
        </w:rPr>
        <w:t xml:space="preserve">nzo Motta, </w:t>
      </w:r>
      <w:r w:rsidRPr="002D671B">
        <w:rPr>
          <w:rFonts w:cs="Times New Roman"/>
          <w:szCs w:val="24"/>
        </w:rPr>
        <w:t xml:space="preserve">Davide </w:t>
      </w:r>
      <w:proofErr w:type="gramStart"/>
      <w:r w:rsidRPr="002D671B">
        <w:rPr>
          <w:rFonts w:cs="Times New Roman"/>
          <w:szCs w:val="24"/>
        </w:rPr>
        <w:t>Ascoli  2022</w:t>
      </w:r>
      <w:proofErr w:type="gramEnd"/>
      <w:r w:rsidRPr="002D671B">
        <w:rPr>
          <w:rFonts w:cs="Times New Roman"/>
          <w:szCs w:val="24"/>
        </w:rPr>
        <w:t xml:space="preserve">. Using a trait‑based approach to </w:t>
      </w:r>
      <w:proofErr w:type="gramStart"/>
      <w:r w:rsidRPr="002D671B">
        <w:rPr>
          <w:rFonts w:cs="Times New Roman"/>
          <w:szCs w:val="24"/>
        </w:rPr>
        <w:t>asses</w:t>
      </w:r>
      <w:proofErr w:type="gramEnd"/>
      <w:r w:rsidRPr="002D671B">
        <w:rPr>
          <w:rFonts w:cs="Times New Roman"/>
          <w:szCs w:val="24"/>
        </w:rPr>
        <w:t xml:space="preserve"> fire resistance in forest landscapes of the Inland </w:t>
      </w:r>
      <w:r w:rsidRPr="007263E1">
        <w:rPr>
          <w:rFonts w:cs="Times New Roman"/>
          <w:szCs w:val="24"/>
        </w:rPr>
        <w:t xml:space="preserve">Northwest, USA. </w:t>
      </w:r>
      <w:proofErr w:type="spellStart"/>
      <w:r w:rsidRPr="007263E1">
        <w:rPr>
          <w:rFonts w:cs="Times New Roman"/>
          <w:szCs w:val="24"/>
        </w:rPr>
        <w:t>Landsc</w:t>
      </w:r>
      <w:proofErr w:type="spellEnd"/>
      <w:r w:rsidRPr="007263E1">
        <w:rPr>
          <w:rFonts w:cs="Times New Roman"/>
          <w:szCs w:val="24"/>
        </w:rPr>
        <w:t xml:space="preserve"> </w:t>
      </w:r>
      <w:proofErr w:type="spellStart"/>
      <w:r w:rsidRPr="007263E1">
        <w:rPr>
          <w:rFonts w:cs="Times New Roman"/>
          <w:szCs w:val="24"/>
        </w:rPr>
        <w:t>Ecol</w:t>
      </w:r>
      <w:proofErr w:type="spellEnd"/>
      <w:r w:rsidRPr="007263E1">
        <w:rPr>
          <w:rFonts w:cs="Times New Roman"/>
          <w:szCs w:val="24"/>
        </w:rPr>
        <w:t xml:space="preserve"> (2022) 37:2149–2164. </w:t>
      </w:r>
      <w:r>
        <w:rPr>
          <w:rFonts w:cs="Times New Roman"/>
          <w:szCs w:val="24"/>
        </w:rPr>
        <w:t>energy</w:t>
      </w:r>
      <w:hyperlink r:id="rId37" w:history="1">
        <w:r w:rsidRPr="007263E1">
          <w:rPr>
            <w:rStyle w:val="Hyperlink"/>
            <w:rFonts w:cs="Times New Roman"/>
            <w:szCs w:val="24"/>
          </w:rPr>
          <w:t>https://doi.org/10.1007/s10980-022-01478-w</w:t>
        </w:r>
      </w:hyperlink>
      <w:r>
        <w:rPr>
          <w:rFonts w:cs="Times New Roman"/>
          <w:szCs w:val="24"/>
        </w:rPr>
        <w:t xml:space="preserve">, </w:t>
      </w:r>
      <w:hyperlink r:id="rId38" w:history="1">
        <w:r w:rsidRPr="007263E1">
          <w:rPr>
            <w:rStyle w:val="Hyperlink"/>
            <w:rFonts w:cs="Times New Roman"/>
            <w:szCs w:val="24"/>
          </w:rPr>
          <w:t>https://www.fs.usda.gov/rm/pubs_journals/2022/rmrs_2022_moris_j001.pdf</w:t>
        </w:r>
      </w:hyperlink>
      <w:r w:rsidRPr="007263E1">
        <w:rPr>
          <w:rFonts w:cs="Times New Roman"/>
          <w:szCs w:val="24"/>
        </w:rPr>
        <w:t xml:space="preserve">. </w:t>
      </w:r>
    </w:p>
    <w:p w14:paraId="10E5608A" w14:textId="77777777" w:rsidR="003B7B64" w:rsidRDefault="003B7B64" w:rsidP="003B7B64">
      <w:pPr>
        <w:ind w:left="60"/>
      </w:pPr>
      <w:r>
        <w:t xml:space="preserve">We incorporate by reference our scoping comments and comments on the Large Tree Amendment EA and preserve all legal claims related to the issues raised in our NEPA comments. </w:t>
      </w:r>
      <w:hyperlink r:id="rId39" w:history="1">
        <w:r w:rsidRPr="00761281">
          <w:rPr>
            <w:rStyle w:val="Hyperlink"/>
          </w:rPr>
          <w:t>https://cara.fs2c.usda.gov/Public//ReadingRoom?Project=58050</w:t>
        </w:r>
      </w:hyperlink>
      <w:r w:rsidR="001456D1">
        <w:t>.</w:t>
      </w:r>
      <w:r>
        <w:t xml:space="preserve"> </w:t>
      </w:r>
    </w:p>
    <w:p w14:paraId="4AB5595C" w14:textId="77777777" w:rsidR="003B7B64" w:rsidRDefault="003B7B64" w:rsidP="003B7B64">
      <w:pPr>
        <w:ind w:left="60"/>
      </w:pPr>
    </w:p>
    <w:p w14:paraId="2A320659" w14:textId="77777777" w:rsidR="003B7B64" w:rsidRDefault="003B7B64" w:rsidP="003B7B64">
      <w:pPr>
        <w:ind w:left="60"/>
      </w:pPr>
      <w:r>
        <w:t xml:space="preserve">The Trump Administration’s </w:t>
      </w:r>
      <w:proofErr w:type="gramStart"/>
      <w:r>
        <w:t>last minute</w:t>
      </w:r>
      <w:proofErr w:type="gramEnd"/>
      <w:r>
        <w:t xml:space="preserve"> amendment of the Eastside Screens is now under litigation, and if the plaintiffs prevail, the Screens amendment will likely be set aside, and the FS will be required to modify projects to retain trees &gt;21” dbh. The Forest Service should avoid the complications associated with post-decisional changes to this project, by adopting a 21” dbh limit for this project while the litigation proceeds.</w:t>
      </w:r>
    </w:p>
    <w:p w14:paraId="5C2A5BB2" w14:textId="77777777" w:rsidR="000C4474" w:rsidRDefault="000C4474" w:rsidP="000C4474"/>
    <w:p w14:paraId="600CB3EC" w14:textId="77777777" w:rsidR="000C4474" w:rsidRDefault="000C4474" w:rsidP="000C4474"/>
    <w:p w14:paraId="625F5307" w14:textId="77777777" w:rsidR="000C4474" w:rsidRDefault="000C4474" w:rsidP="000C4474">
      <w:pPr>
        <w:spacing w:before="100" w:beforeAutospacing="1" w:after="100" w:afterAutospacing="1"/>
      </w:pPr>
      <w:r w:rsidRPr="002B52B0">
        <w:t>Sincerely,</w:t>
      </w:r>
    </w:p>
    <w:p w14:paraId="7E011BC4" w14:textId="77777777" w:rsidR="000C4474" w:rsidRDefault="0091254C" w:rsidP="000C4474">
      <w:pPr>
        <w:spacing w:before="100" w:beforeAutospacing="1" w:after="100" w:afterAutospacing="1"/>
      </w:pPr>
      <w:r>
        <w:rPr>
          <w:noProof/>
        </w:rPr>
        <w:drawing>
          <wp:inline distT="0" distB="0" distL="0" distR="0" wp14:anchorId="3D88C336" wp14:editId="42B5BB7E">
            <wp:extent cx="1546860" cy="502920"/>
            <wp:effectExtent l="0" t="0" r="0" b="0"/>
            <wp:docPr id="2" name="Picture 2" descr="Doug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ugSignat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46860" cy="502920"/>
                    </a:xfrm>
                    <a:prstGeom prst="rect">
                      <a:avLst/>
                    </a:prstGeom>
                    <a:noFill/>
                    <a:ln>
                      <a:noFill/>
                    </a:ln>
                  </pic:spPr>
                </pic:pic>
              </a:graphicData>
            </a:graphic>
          </wp:inline>
        </w:drawing>
      </w:r>
    </w:p>
    <w:p w14:paraId="0B932172" w14:textId="77777777" w:rsidR="000C4474" w:rsidRPr="002B52B0" w:rsidRDefault="000C4474" w:rsidP="000C4474">
      <w:pPr>
        <w:spacing w:before="100" w:beforeAutospacing="1" w:after="100" w:afterAutospacing="1"/>
      </w:pPr>
      <w:r w:rsidRPr="002B52B0">
        <w:lastRenderedPageBreak/>
        <w:t>Doug Heiken</w:t>
      </w:r>
    </w:p>
    <w:sectPr w:rsidR="000C4474" w:rsidRPr="002B52B0" w:rsidSect="00772A6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F782" w14:textId="77777777" w:rsidR="00EB7E13" w:rsidRDefault="00EB7E13">
      <w:r>
        <w:separator/>
      </w:r>
    </w:p>
  </w:endnote>
  <w:endnote w:type="continuationSeparator" w:id="0">
    <w:p w14:paraId="2390EB94" w14:textId="77777777" w:rsidR="00EB7E13" w:rsidRDefault="00EB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oz-fixed">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FDC7" w14:textId="77777777" w:rsidR="00E50B5A" w:rsidRPr="006C4D02" w:rsidRDefault="00E50B5A">
    <w:pPr>
      <w:pStyle w:val="Footer"/>
      <w:rPr>
        <w:sz w:val="20"/>
        <w:szCs w:val="20"/>
      </w:rPr>
    </w:pPr>
    <w:r w:rsidRPr="006C4D02">
      <w:rPr>
        <w:sz w:val="20"/>
        <w:szCs w:val="20"/>
      </w:rPr>
      <w:tab/>
    </w:r>
    <w:r w:rsidRPr="006C4D02">
      <w:rPr>
        <w:sz w:val="20"/>
        <w:szCs w:val="20"/>
      </w:rPr>
      <w:tab/>
      <w:t xml:space="preserve">Page </w:t>
    </w:r>
    <w:r w:rsidRPr="006C4D02">
      <w:rPr>
        <w:rStyle w:val="PageNumber"/>
        <w:sz w:val="20"/>
        <w:szCs w:val="20"/>
      </w:rPr>
      <w:fldChar w:fldCharType="begin"/>
    </w:r>
    <w:r w:rsidRPr="006C4D02">
      <w:rPr>
        <w:rStyle w:val="PageNumber"/>
        <w:sz w:val="20"/>
        <w:szCs w:val="20"/>
      </w:rPr>
      <w:instrText xml:space="preserve"> PAGE </w:instrText>
    </w:r>
    <w:r w:rsidRPr="006C4D02">
      <w:rPr>
        <w:rStyle w:val="PageNumber"/>
        <w:sz w:val="20"/>
        <w:szCs w:val="20"/>
      </w:rPr>
      <w:fldChar w:fldCharType="separate"/>
    </w:r>
    <w:r w:rsidR="00936BB6">
      <w:rPr>
        <w:rStyle w:val="PageNumber"/>
        <w:noProof/>
        <w:sz w:val="20"/>
        <w:szCs w:val="20"/>
      </w:rPr>
      <w:t>17</w:t>
    </w:r>
    <w:r w:rsidRPr="006C4D0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19B3" w14:textId="77777777" w:rsidR="00EB7E13" w:rsidRDefault="00EB7E13">
      <w:r>
        <w:separator/>
      </w:r>
    </w:p>
  </w:footnote>
  <w:footnote w:type="continuationSeparator" w:id="0">
    <w:p w14:paraId="7297E39D" w14:textId="77777777" w:rsidR="00EB7E13" w:rsidRDefault="00EB7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105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CB2D06"/>
    <w:multiLevelType w:val="hybridMultilevel"/>
    <w:tmpl w:val="E32A66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F624294"/>
    <w:multiLevelType w:val="hybridMultilevel"/>
    <w:tmpl w:val="F7B2F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5615670"/>
    <w:multiLevelType w:val="hybridMultilevel"/>
    <w:tmpl w:val="C25A8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BB3424"/>
    <w:multiLevelType w:val="hybridMultilevel"/>
    <w:tmpl w:val="F42E4550"/>
    <w:name w:val="WW8Num23222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0890788">
    <w:abstractNumId w:val="0"/>
  </w:num>
  <w:num w:numId="2" w16cid:durableId="846602315">
    <w:abstractNumId w:val="3"/>
  </w:num>
  <w:num w:numId="3" w16cid:durableId="1309167286">
    <w:abstractNumId w:val="2"/>
  </w:num>
  <w:num w:numId="4" w16cid:durableId="318849856">
    <w:abstractNumId w:val="1"/>
  </w:num>
  <w:num w:numId="5" w16cid:durableId="1634947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9A"/>
    <w:rsid w:val="00007F67"/>
    <w:rsid w:val="000119B2"/>
    <w:rsid w:val="00023880"/>
    <w:rsid w:val="00034114"/>
    <w:rsid w:val="00051B05"/>
    <w:rsid w:val="00064B32"/>
    <w:rsid w:val="000751E1"/>
    <w:rsid w:val="0007532B"/>
    <w:rsid w:val="0009228F"/>
    <w:rsid w:val="000B631B"/>
    <w:rsid w:val="000C4474"/>
    <w:rsid w:val="000D4A65"/>
    <w:rsid w:val="000D5012"/>
    <w:rsid w:val="0012291C"/>
    <w:rsid w:val="001456D1"/>
    <w:rsid w:val="001462C5"/>
    <w:rsid w:val="00157089"/>
    <w:rsid w:val="00186393"/>
    <w:rsid w:val="001930A0"/>
    <w:rsid w:val="001E14EB"/>
    <w:rsid w:val="001F0F5C"/>
    <w:rsid w:val="001F5706"/>
    <w:rsid w:val="002120E1"/>
    <w:rsid w:val="002137BE"/>
    <w:rsid w:val="002154D4"/>
    <w:rsid w:val="002C63F3"/>
    <w:rsid w:val="002F41A5"/>
    <w:rsid w:val="00321667"/>
    <w:rsid w:val="00363BEB"/>
    <w:rsid w:val="003A354B"/>
    <w:rsid w:val="003A7354"/>
    <w:rsid w:val="003B7B64"/>
    <w:rsid w:val="00450BAC"/>
    <w:rsid w:val="00473C5E"/>
    <w:rsid w:val="00476CBA"/>
    <w:rsid w:val="004A6BBE"/>
    <w:rsid w:val="004F35E9"/>
    <w:rsid w:val="00504694"/>
    <w:rsid w:val="0053180D"/>
    <w:rsid w:val="005600C5"/>
    <w:rsid w:val="005B36D5"/>
    <w:rsid w:val="005C768F"/>
    <w:rsid w:val="00632CA3"/>
    <w:rsid w:val="006A48AD"/>
    <w:rsid w:val="006B25EA"/>
    <w:rsid w:val="006B3187"/>
    <w:rsid w:val="006C1087"/>
    <w:rsid w:val="006C4D02"/>
    <w:rsid w:val="007324CE"/>
    <w:rsid w:val="00771D0F"/>
    <w:rsid w:val="00772A6D"/>
    <w:rsid w:val="00791EEE"/>
    <w:rsid w:val="007B2FFD"/>
    <w:rsid w:val="00802E8A"/>
    <w:rsid w:val="00813383"/>
    <w:rsid w:val="008360A1"/>
    <w:rsid w:val="0086457F"/>
    <w:rsid w:val="0087592C"/>
    <w:rsid w:val="0091233F"/>
    <w:rsid w:val="0091254C"/>
    <w:rsid w:val="0092069A"/>
    <w:rsid w:val="00936BB6"/>
    <w:rsid w:val="009A4302"/>
    <w:rsid w:val="009F01C5"/>
    <w:rsid w:val="00A37B08"/>
    <w:rsid w:val="00A55E60"/>
    <w:rsid w:val="00A56166"/>
    <w:rsid w:val="00A67125"/>
    <w:rsid w:val="00A6722B"/>
    <w:rsid w:val="00A7424C"/>
    <w:rsid w:val="00AA72C9"/>
    <w:rsid w:val="00AB14CB"/>
    <w:rsid w:val="00AC41DE"/>
    <w:rsid w:val="00BA3B36"/>
    <w:rsid w:val="00BA670C"/>
    <w:rsid w:val="00BF6E93"/>
    <w:rsid w:val="00C22E55"/>
    <w:rsid w:val="00C245C1"/>
    <w:rsid w:val="00C447CA"/>
    <w:rsid w:val="00C90DD2"/>
    <w:rsid w:val="00C957D1"/>
    <w:rsid w:val="00CB703B"/>
    <w:rsid w:val="00CC02CA"/>
    <w:rsid w:val="00CD23A8"/>
    <w:rsid w:val="00D25D4C"/>
    <w:rsid w:val="00D42DE4"/>
    <w:rsid w:val="00D64C11"/>
    <w:rsid w:val="00D70E36"/>
    <w:rsid w:val="00D92A3A"/>
    <w:rsid w:val="00DB6EB0"/>
    <w:rsid w:val="00DC7939"/>
    <w:rsid w:val="00E3789B"/>
    <w:rsid w:val="00E50B5A"/>
    <w:rsid w:val="00E6005A"/>
    <w:rsid w:val="00E66644"/>
    <w:rsid w:val="00E806D5"/>
    <w:rsid w:val="00EB7E13"/>
    <w:rsid w:val="00EC54BC"/>
    <w:rsid w:val="00EE7B91"/>
    <w:rsid w:val="00F17568"/>
    <w:rsid w:val="00F30D9A"/>
    <w:rsid w:val="00FB2223"/>
    <w:rsid w:val="00FF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26BEE"/>
  <w15:chartTrackingRefBased/>
  <w15:docId w15:val="{8A4B0191-B54C-47F0-BC1D-A10A1D79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72A6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7F67"/>
    <w:rPr>
      <w:color w:val="0000FF"/>
      <w:u w:val="single"/>
    </w:rPr>
  </w:style>
  <w:style w:type="paragraph" w:styleId="Date">
    <w:name w:val="Date"/>
    <w:basedOn w:val="Normal"/>
    <w:next w:val="Normal"/>
    <w:rsid w:val="00772A6D"/>
  </w:style>
  <w:style w:type="paragraph" w:styleId="Header">
    <w:name w:val="header"/>
    <w:basedOn w:val="Normal"/>
    <w:rsid w:val="006C4D02"/>
    <w:pPr>
      <w:tabs>
        <w:tab w:val="center" w:pos="4320"/>
        <w:tab w:val="right" w:pos="8640"/>
      </w:tabs>
    </w:pPr>
  </w:style>
  <w:style w:type="paragraph" w:styleId="Footer">
    <w:name w:val="footer"/>
    <w:basedOn w:val="Normal"/>
    <w:rsid w:val="006C4D02"/>
    <w:pPr>
      <w:tabs>
        <w:tab w:val="center" w:pos="4320"/>
        <w:tab w:val="right" w:pos="8640"/>
      </w:tabs>
    </w:pPr>
  </w:style>
  <w:style w:type="character" w:styleId="PageNumber">
    <w:name w:val="page number"/>
    <w:basedOn w:val="DefaultParagraphFont"/>
    <w:rsid w:val="006C4D02"/>
  </w:style>
  <w:style w:type="character" w:customStyle="1" w:styleId="updatebodytest">
    <w:name w:val="updatebodytest"/>
    <w:basedOn w:val="DefaultParagraphFont"/>
    <w:rsid w:val="00D42DE4"/>
  </w:style>
  <w:style w:type="paragraph" w:customStyle="1" w:styleId="Default">
    <w:name w:val="Default"/>
    <w:rsid w:val="009125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B7B64"/>
    <w:pPr>
      <w:suppressAutoHyphens/>
      <w:spacing w:line="276" w:lineRule="auto"/>
      <w:ind w:left="720"/>
    </w:pPr>
    <w:rPr>
      <w:rFonts w:eastAsia="Cambria Math" w:cs="Cambria Math"/>
      <w:szCs w:val="22"/>
      <w:lang w:eastAsia="ar-SA"/>
    </w:rPr>
  </w:style>
  <w:style w:type="paragraph" w:styleId="BodyTextIndent">
    <w:name w:val="Body Text Indent"/>
    <w:basedOn w:val="Normal"/>
    <w:link w:val="BodyTextIndentChar"/>
    <w:rsid w:val="00064B32"/>
    <w:pPr>
      <w:suppressAutoHyphens/>
      <w:ind w:left="720"/>
    </w:pPr>
    <w:rPr>
      <w:rFonts w:ascii="-moz-fixed" w:eastAsia="-moz-fixed" w:hAnsi="-moz-fixed" w:cs="-moz-fixed"/>
      <w:szCs w:val="20"/>
      <w:lang w:eastAsia="ar-SA"/>
    </w:rPr>
  </w:style>
  <w:style w:type="character" w:customStyle="1" w:styleId="BodyTextIndentChar">
    <w:name w:val="Body Text Indent Char"/>
    <w:basedOn w:val="DefaultParagraphFont"/>
    <w:link w:val="BodyTextIndent"/>
    <w:rsid w:val="00064B32"/>
    <w:rPr>
      <w:rFonts w:ascii="-moz-fixed" w:eastAsia="-moz-fixed" w:hAnsi="-moz-fixed" w:cs="-moz-fixed"/>
      <w:sz w:val="24"/>
      <w:lang w:eastAsia="ar-SA"/>
    </w:rPr>
  </w:style>
  <w:style w:type="paragraph" w:styleId="BodyTextIndent2">
    <w:name w:val="Body Text Indent 2"/>
    <w:basedOn w:val="Normal"/>
    <w:link w:val="BodyTextIndent2Char"/>
    <w:rsid w:val="00DC7939"/>
    <w:pPr>
      <w:spacing w:after="120" w:line="480" w:lineRule="auto"/>
      <w:ind w:left="360"/>
    </w:pPr>
  </w:style>
  <w:style w:type="character" w:customStyle="1" w:styleId="BodyTextIndent2Char">
    <w:name w:val="Body Text Indent 2 Char"/>
    <w:basedOn w:val="DefaultParagraphFont"/>
    <w:link w:val="BodyTextIndent2"/>
    <w:rsid w:val="00DC79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supct/pdf/97-16P.ZO" TargetMode="External"/><Relationship Id="rId18" Type="http://schemas.openxmlformats.org/officeDocument/2006/relationships/hyperlink" Target="http://www.fs.fed.us/pnw/pubs/journals/pnw_2010_marcot002.pdf" TargetMode="External"/><Relationship Id="rId26" Type="http://schemas.openxmlformats.org/officeDocument/2006/relationships/hyperlink" Target="http://www.for.gov.bc.ca/hre/deadwood/DTrol.htm" TargetMode="External"/><Relationship Id="rId39" Type="http://schemas.openxmlformats.org/officeDocument/2006/relationships/hyperlink" Target="https://cara.fs2c.usda.gov/Public//ReadingRoom?Project=58050" TargetMode="External"/><Relationship Id="rId21" Type="http://schemas.openxmlformats.org/officeDocument/2006/relationships/hyperlink" Target="https://www.fs.fed.us/pnw/sciencef/scifi199.pdf" TargetMode="External"/><Relationship Id="rId34" Type="http://schemas.openxmlformats.org/officeDocument/2006/relationships/hyperlink" Target="https://www.fs.fed.us/psw/publications/documents/gtr-181/071_Harm.pdf"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eb.archive.org/web/20161221104651/http://www.icbemp.gov/pdfs/sdeis/volume2/appendix17a.pdf" TargetMode="External"/><Relationship Id="rId20" Type="http://schemas.openxmlformats.org/officeDocument/2006/relationships/hyperlink" Target="http://web.archive.org/web/20060904175645/http://avianscience.dbs.umt.edu/documents/hutto_conbio_2006.pdf" TargetMode="External"/><Relationship Id="rId29" Type="http://schemas.openxmlformats.org/officeDocument/2006/relationships/hyperlink" Target="https://www.fs.fed.us/pnw/pubs/pnw_rn576.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jections-pnw-malheur@usda.gov" TargetMode="External"/><Relationship Id="rId24" Type="http://schemas.openxmlformats.org/officeDocument/2006/relationships/hyperlink" Target="https://www.fs.fed.us/pnw/pubs/pnw_gtr405.pdf" TargetMode="External"/><Relationship Id="rId32" Type="http://schemas.openxmlformats.org/officeDocument/2006/relationships/image" Target="media/image2.png"/><Relationship Id="rId37" Type="http://schemas.openxmlformats.org/officeDocument/2006/relationships/hyperlink" Target="https://doi.org/10.1007/s10980-022-01478-w" TargetMode="External"/><Relationship Id="rId40"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terraweb.forestry.oregonstate.edu/pubs2/Hudiburg2009EA.pdf" TargetMode="External"/><Relationship Id="rId23" Type="http://schemas.openxmlformats.org/officeDocument/2006/relationships/hyperlink" Target="https://www.fs.fed.us/pnw/pubs/pnw_gtr425.pdf" TargetMode="External"/><Relationship Id="rId28" Type="http://schemas.openxmlformats.org/officeDocument/2006/relationships/hyperlink" Target="http://pubs.usgs.gov/of/2007/1054/pdf/ofr20071054.pdf" TargetMode="External"/><Relationship Id="rId36" Type="http://schemas.openxmlformats.org/officeDocument/2006/relationships/hyperlink" Target="https://www.mailtribune.com/top-stories/2022/11/27/massive-die-off-hits-fir-trees-across-pacific-northwest/" TargetMode="External"/><Relationship Id="rId10" Type="http://schemas.openxmlformats.org/officeDocument/2006/relationships/footer" Target="footer1.xml"/><Relationship Id="rId19" Type="http://schemas.openxmlformats.org/officeDocument/2006/relationships/hyperlink" Target="http://web.archive.org/web/20060708035905/http://www.nwhi.org/inc/data/GISdata/docs/chapter24.pdf" TargetMode="External"/><Relationship Id="rId31" Type="http://schemas.openxmlformats.org/officeDocument/2006/relationships/hyperlink" Target="https://www.fs.fed.us/pnw/pubs/pnw_gtr405.pdf" TargetMode="External"/><Relationship Id="rId4" Type="http://schemas.openxmlformats.org/officeDocument/2006/relationships/webSettings" Target="webSettings.xml"/><Relationship Id="rId9" Type="http://schemas.openxmlformats.org/officeDocument/2006/relationships/hyperlink" Target="http://www.oregonwild.org/" TargetMode="External"/><Relationship Id="rId14" Type="http://schemas.openxmlformats.org/officeDocument/2006/relationships/hyperlink" Target="https://earthjustice.org/sites/default/files/files/40-order-granting-msj_3-11-20.pdf" TargetMode="External"/><Relationship Id="rId22" Type="http://schemas.openxmlformats.org/officeDocument/2006/relationships/hyperlink" Target="https://www.treesearch.fs.fed.us/pubs/49102" TargetMode="External"/><Relationship Id="rId27" Type="http://schemas.openxmlformats.org/officeDocument/2006/relationships/hyperlink" Target="http://www.fs.fed.us/wildecology/decaid/decaid_background/chapter24cwb.pdf" TargetMode="External"/><Relationship Id="rId30" Type="http://schemas.openxmlformats.org/officeDocument/2006/relationships/hyperlink" Target="https://besjournals.onlinelibrary.wiley.com/doi/pdf/10.1111/1365-2664.13395" TargetMode="External"/><Relationship Id="rId35" Type="http://schemas.openxmlformats.org/officeDocument/2006/relationships/hyperlink" Target="https://www.fs.usda.gov/project/?project=58050" TargetMode="External"/><Relationship Id="rId8" Type="http://schemas.openxmlformats.org/officeDocument/2006/relationships/hyperlink" Target="mailto:dh@oregonwild.org" TargetMode="External"/><Relationship Id="rId3" Type="http://schemas.openxmlformats.org/officeDocument/2006/relationships/settings" Target="settings.xml"/><Relationship Id="rId12" Type="http://schemas.openxmlformats.org/officeDocument/2006/relationships/hyperlink" Target="https://www.fs.usda.gov/project/?project=62352" TargetMode="External"/><Relationship Id="rId17" Type="http://schemas.openxmlformats.org/officeDocument/2006/relationships/hyperlink" Target="http://www.fs.fed.us/pnw/publications/gtr765/pnw-gtr765b.pdf" TargetMode="External"/><Relationship Id="rId25" Type="http://schemas.openxmlformats.org/officeDocument/2006/relationships/hyperlink" Target="http://www.fs.fed.us/psw/publications/documents/gtr-181/" TargetMode="External"/><Relationship Id="rId33" Type="http://schemas.openxmlformats.org/officeDocument/2006/relationships/hyperlink" Target="http://www.fs.fed.us/psw/publications/documents/gtr-181/" TargetMode="External"/><Relationship Id="rId38" Type="http://schemas.openxmlformats.org/officeDocument/2006/relationships/hyperlink" Target="https://www.fs.usda.gov/rm/pubs_journals/2022/rmrs_2022_moris_j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7198</Words>
  <Characters>41034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lpstr>
    </vt:vector>
  </TitlesOfParts>
  <Company>ONRC</Company>
  <LinksUpToDate>false</LinksUpToDate>
  <CharactersWithSpaces>48136</CharactersWithSpaces>
  <SharedDoc>false</SharedDoc>
  <HLinks>
    <vt:vector size="18" baseType="variant">
      <vt:variant>
        <vt:i4>4849710</vt:i4>
      </vt:variant>
      <vt:variant>
        <vt:i4>6</vt:i4>
      </vt:variant>
      <vt:variant>
        <vt:i4>0</vt:i4>
      </vt:variant>
      <vt:variant>
        <vt:i4>5</vt:i4>
      </vt:variant>
      <vt:variant>
        <vt:lpwstr>mailto:objections-pnw-regional-office@usda.gov</vt:lpwstr>
      </vt:variant>
      <vt:variant>
        <vt:lpwstr/>
      </vt:variant>
      <vt:variant>
        <vt:i4>2490414</vt:i4>
      </vt:variant>
      <vt:variant>
        <vt:i4>3</vt:i4>
      </vt:variant>
      <vt:variant>
        <vt:i4>0</vt:i4>
      </vt:variant>
      <vt:variant>
        <vt:i4>5</vt:i4>
      </vt:variant>
      <vt:variant>
        <vt:lpwstr>http://www.oregonwild.org/</vt:lpwstr>
      </vt:variant>
      <vt:variant>
        <vt:lpwstr/>
      </vt:variant>
      <vt:variant>
        <vt:i4>3670016</vt:i4>
      </vt:variant>
      <vt:variant>
        <vt:i4>0</vt:i4>
      </vt:variant>
      <vt:variant>
        <vt:i4>0</vt:i4>
      </vt:variant>
      <vt:variant>
        <vt:i4>5</vt:i4>
      </vt:variant>
      <vt:variant>
        <vt:lpwstr>mailto:dh@oregonwild.org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Doug Heiken</dc:creator>
  <cp:keywords/>
  <cp:lastModifiedBy>Ward, Melissa - FS, OR</cp:lastModifiedBy>
  <cp:revision>2</cp:revision>
  <dcterms:created xsi:type="dcterms:W3CDTF">2023-07-20T22:44:00Z</dcterms:created>
  <dcterms:modified xsi:type="dcterms:W3CDTF">2023-07-20T22:44:00Z</dcterms:modified>
</cp:coreProperties>
</file>