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AE64" w14:textId="5606C8D9" w:rsidR="005C0719" w:rsidRDefault="001F1E5D" w:rsidP="005C0719">
      <w:pPr>
        <w:widowControl w:val="0"/>
        <w:autoSpaceDE w:val="0"/>
        <w:autoSpaceDN w:val="0"/>
        <w:spacing w:after="0"/>
        <w:rPr>
          <w:rFonts w:ascii="Calibri" w:eastAsia="Calibri" w:hAnsi="Calibri" w:cs="Calibri"/>
        </w:rPr>
      </w:pPr>
      <w:r>
        <w:rPr>
          <w:rFonts w:ascii="Calibri" w:eastAsia="Calibri" w:hAnsi="Calibri" w:cs="Calibri"/>
        </w:rPr>
        <w:t xml:space="preserve">                                                                                                                                                                     </w:t>
      </w:r>
      <w:r>
        <w:rPr>
          <w:rFonts w:ascii="Calibri" w:eastAsia="Calibri" w:hAnsi="Calibri" w:cs="Calibri"/>
          <w:noProof/>
          <w14:ligatures w14:val="standardContextual"/>
        </w:rPr>
        <w:drawing>
          <wp:inline distT="0" distB="0" distL="0" distR="0" wp14:anchorId="5D540E76" wp14:editId="093A2E64">
            <wp:extent cx="1366701" cy="1574800"/>
            <wp:effectExtent l="0" t="0" r="5080" b="6350"/>
            <wp:docPr id="2075924091" name="Picture 1" descr="A green and white sign with a person in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924091" name="Picture 1" descr="A green and white sign with a person in a ha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4" cy="1592883"/>
                    </a:xfrm>
                    <a:prstGeom prst="rect">
                      <a:avLst/>
                    </a:prstGeom>
                  </pic:spPr>
                </pic:pic>
              </a:graphicData>
            </a:graphic>
          </wp:inline>
        </w:drawing>
      </w:r>
    </w:p>
    <w:p w14:paraId="0DBD6EEA" w14:textId="77777777" w:rsidR="001F1E5D" w:rsidRDefault="001F1E5D" w:rsidP="005C0719">
      <w:pPr>
        <w:widowControl w:val="0"/>
        <w:autoSpaceDE w:val="0"/>
        <w:autoSpaceDN w:val="0"/>
        <w:spacing w:after="0"/>
        <w:rPr>
          <w:rFonts w:ascii="Calibri" w:eastAsia="Calibri" w:hAnsi="Calibri" w:cs="Calibri"/>
        </w:rPr>
      </w:pPr>
    </w:p>
    <w:p w14:paraId="496EAE1D" w14:textId="77777777" w:rsidR="001F1E5D" w:rsidRDefault="001F1E5D" w:rsidP="005C0719">
      <w:pPr>
        <w:widowControl w:val="0"/>
        <w:autoSpaceDE w:val="0"/>
        <w:autoSpaceDN w:val="0"/>
        <w:spacing w:after="0"/>
        <w:rPr>
          <w:rFonts w:ascii="Calibri" w:eastAsia="Calibri" w:hAnsi="Calibri" w:cs="Calibri"/>
        </w:rPr>
      </w:pPr>
    </w:p>
    <w:p w14:paraId="1D636042" w14:textId="4C94FF80"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July 8, 2023</w:t>
      </w:r>
    </w:p>
    <w:p w14:paraId="61F05D47" w14:textId="77777777" w:rsidR="005C0719" w:rsidRDefault="005C0719" w:rsidP="005C0719">
      <w:pPr>
        <w:widowControl w:val="0"/>
        <w:autoSpaceDE w:val="0"/>
        <w:autoSpaceDN w:val="0"/>
        <w:spacing w:after="0"/>
        <w:rPr>
          <w:rFonts w:ascii="Calibri" w:eastAsia="Calibri" w:hAnsi="Calibri" w:cs="Calibri"/>
        </w:rPr>
      </w:pPr>
    </w:p>
    <w:p w14:paraId="04C68914" w14:textId="08709427"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Amanda Milburn</w:t>
      </w:r>
    </w:p>
    <w:p w14:paraId="4F858A19" w14:textId="77777777"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Plan Revision Team Leader</w:t>
      </w:r>
    </w:p>
    <w:p w14:paraId="510FC602" w14:textId="77777777"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Region 1 Ecosystem Planning</w:t>
      </w:r>
    </w:p>
    <w:p w14:paraId="652C2E44" w14:textId="77777777"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2880 Skyway Dr.</w:t>
      </w:r>
    </w:p>
    <w:p w14:paraId="6AF7C3FD" w14:textId="77777777" w:rsidR="005C0719" w:rsidRDefault="005C0719" w:rsidP="005C0719">
      <w:pPr>
        <w:widowControl w:val="0"/>
        <w:autoSpaceDE w:val="0"/>
        <w:autoSpaceDN w:val="0"/>
        <w:spacing w:after="0"/>
        <w:rPr>
          <w:rFonts w:ascii="Calibri" w:eastAsia="Calibri" w:hAnsi="Calibri" w:cs="Calibri"/>
        </w:rPr>
      </w:pPr>
      <w:r>
        <w:rPr>
          <w:rFonts w:ascii="Calibri" w:eastAsia="Calibri" w:hAnsi="Calibri" w:cs="Calibri"/>
        </w:rPr>
        <w:t>Helena, MT 59602</w:t>
      </w:r>
    </w:p>
    <w:p w14:paraId="3E26A038" w14:textId="77777777" w:rsidR="005C0719" w:rsidRDefault="005C0719" w:rsidP="005C0719">
      <w:pPr>
        <w:widowControl w:val="0"/>
        <w:autoSpaceDE w:val="0"/>
        <w:autoSpaceDN w:val="0"/>
        <w:spacing w:after="0" w:line="240" w:lineRule="auto"/>
        <w:outlineLvl w:val="0"/>
        <w:rPr>
          <w:rFonts w:ascii="Calibri" w:eastAsia="Calibri" w:hAnsi="Calibri" w:cs="Calibri"/>
          <w:b/>
          <w:bCs/>
          <w:smallCaps/>
          <w:color w:val="4471C4"/>
          <w:spacing w:val="-2"/>
        </w:rPr>
      </w:pPr>
    </w:p>
    <w:p w14:paraId="6ADD5FFB" w14:textId="76AD5A24" w:rsidR="005C0719" w:rsidRDefault="005C0719" w:rsidP="005C0719">
      <w:pPr>
        <w:widowControl w:val="0"/>
        <w:autoSpaceDE w:val="0"/>
        <w:autoSpaceDN w:val="0"/>
        <w:spacing w:before="88" w:after="0" w:line="240" w:lineRule="auto"/>
        <w:outlineLvl w:val="0"/>
        <w:rPr>
          <w:rFonts w:ascii="Calibri" w:eastAsia="Calibri" w:hAnsi="Calibri" w:cs="Calibri"/>
          <w:b/>
          <w:bCs/>
          <w:smallCaps/>
          <w:spacing w:val="-2"/>
        </w:rPr>
      </w:pPr>
      <w:r>
        <w:rPr>
          <w:rFonts w:ascii="Calibri" w:eastAsia="Calibri" w:hAnsi="Calibri" w:cs="Calibri"/>
          <w:b/>
          <w:bCs/>
          <w:smallCaps/>
          <w:spacing w:val="-2"/>
        </w:rPr>
        <w:t>RE: Additional Assessment Comments for the Lolo national forest plan revision</w:t>
      </w:r>
    </w:p>
    <w:p w14:paraId="49B7FFA4" w14:textId="64EA2AAC" w:rsidR="005C0719" w:rsidRDefault="005C0719" w:rsidP="005C0719">
      <w:pPr>
        <w:widowControl w:val="0"/>
        <w:autoSpaceDE w:val="0"/>
        <w:autoSpaceDN w:val="0"/>
        <w:spacing w:before="156" w:after="0"/>
        <w:rPr>
          <w:rFonts w:ascii="Calibri" w:eastAsia="Calibri" w:hAnsi="Calibri" w:cs="Calibri"/>
        </w:rPr>
      </w:pPr>
      <w:r>
        <w:rPr>
          <w:rFonts w:ascii="Calibri" w:eastAsia="Calibri" w:hAnsi="Calibri" w:cs="Calibri"/>
        </w:rPr>
        <w:t xml:space="preserve">The Theodore Roosevelt Conservation Partnership (TRCP) is a national conservation organization working to guarantee all Americans quality places to hunt and fish. The TRCP works with </w:t>
      </w:r>
      <w:proofErr w:type="gramStart"/>
      <w:r>
        <w:rPr>
          <w:rFonts w:ascii="Calibri" w:eastAsia="Calibri" w:hAnsi="Calibri" w:cs="Calibri"/>
        </w:rPr>
        <w:t>63</w:t>
      </w:r>
      <w:proofErr w:type="gramEnd"/>
      <w:r>
        <w:rPr>
          <w:rFonts w:ascii="Calibri" w:eastAsia="Calibri" w:hAnsi="Calibri" w:cs="Calibri"/>
        </w:rPr>
        <w:t xml:space="preserve"> formal partners and represents over 139,000 individual members nationally, including more than 3,500 throughout Montana. The conservation of fish and wildlife habitat and public access for outdoor recreation on our public lands are of great interest to us and our members. We appreciate the opportunity to submit </w:t>
      </w:r>
      <w:r w:rsidR="00161722">
        <w:rPr>
          <w:rFonts w:ascii="Calibri" w:eastAsia="Calibri" w:hAnsi="Calibri" w:cs="Calibri"/>
        </w:rPr>
        <w:t xml:space="preserve">additional </w:t>
      </w:r>
      <w:r>
        <w:rPr>
          <w:rFonts w:ascii="Calibri" w:eastAsia="Calibri" w:hAnsi="Calibri" w:cs="Calibri"/>
        </w:rPr>
        <w:t>draft assessment comments for the Lolo NF plan revision.</w:t>
      </w:r>
    </w:p>
    <w:p w14:paraId="7FE3597F" w14:textId="2F144F2C" w:rsidR="005C0719" w:rsidRDefault="005C0719" w:rsidP="005C0719">
      <w:pPr>
        <w:widowControl w:val="0"/>
        <w:autoSpaceDE w:val="0"/>
        <w:autoSpaceDN w:val="0"/>
        <w:spacing w:before="156" w:after="0"/>
        <w:rPr>
          <w:rFonts w:ascii="Calibri" w:eastAsia="Calibri" w:hAnsi="Calibri" w:cs="Calibri"/>
          <w:b/>
          <w:bCs/>
        </w:rPr>
      </w:pPr>
      <w:r>
        <w:rPr>
          <w:rFonts w:ascii="Calibri" w:eastAsia="Calibri" w:hAnsi="Calibri" w:cs="Calibri"/>
          <w:b/>
          <w:bCs/>
        </w:rPr>
        <w:t xml:space="preserve">Elements of the 2012 Planning Rule Not </w:t>
      </w:r>
      <w:r w:rsidR="00161722">
        <w:rPr>
          <w:rFonts w:ascii="Calibri" w:eastAsia="Calibri" w:hAnsi="Calibri" w:cs="Calibri"/>
          <w:b/>
          <w:bCs/>
        </w:rPr>
        <w:t>Re</w:t>
      </w:r>
      <w:r>
        <w:rPr>
          <w:rFonts w:ascii="Calibri" w:eastAsia="Calibri" w:hAnsi="Calibri" w:cs="Calibri"/>
          <w:b/>
          <w:bCs/>
        </w:rPr>
        <w:t>ferenced</w:t>
      </w:r>
    </w:p>
    <w:p w14:paraId="56EE92F5" w14:textId="77777777" w:rsidR="005C0719" w:rsidRDefault="005C0719" w:rsidP="005C0719">
      <w:pPr>
        <w:widowControl w:val="0"/>
        <w:autoSpaceDE w:val="0"/>
        <w:autoSpaceDN w:val="0"/>
        <w:spacing w:before="156" w:after="0"/>
        <w:rPr>
          <w:rFonts w:ascii="Calibri" w:eastAsia="Calibri" w:hAnsi="Calibri" w:cs="Calibri"/>
          <w:b/>
          <w:bCs/>
        </w:rPr>
      </w:pPr>
    </w:p>
    <w:p w14:paraId="65B274EB" w14:textId="050D8D2F" w:rsidR="005C0719" w:rsidRPr="005C0719" w:rsidRDefault="005C0719" w:rsidP="005C0719">
      <w:pPr>
        <w:pStyle w:val="ListParagraph"/>
        <w:numPr>
          <w:ilvl w:val="0"/>
          <w:numId w:val="1"/>
        </w:numPr>
        <w:rPr>
          <w:rFonts w:ascii="Calibri" w:hAnsi="Calibri" w:cs="Calibri"/>
        </w:rPr>
      </w:pPr>
      <w:r>
        <w:rPr>
          <w:rFonts w:ascii="Calibri" w:hAnsi="Calibri" w:cs="Calibri"/>
          <w:iCs/>
        </w:rPr>
        <w:t xml:space="preserve">219.9: </w:t>
      </w:r>
      <w:r w:rsidRPr="0070645A">
        <w:rPr>
          <w:rFonts w:ascii="Calibri" w:hAnsi="Calibri" w:cs="Calibri"/>
          <w:iCs/>
        </w:rPr>
        <w:t xml:space="preserve">The Rule requires that plans maintain the diversity of plant and animal communities and the persistence of native species in the plan area </w:t>
      </w:r>
      <w:r w:rsidRPr="0070645A">
        <w:rPr>
          <w:rFonts w:ascii="Calibri" w:hAnsi="Calibri" w:cs="Calibri"/>
          <w:i/>
          <w:iCs/>
        </w:rPr>
        <w:t xml:space="preserve">(§ 219.9). </w:t>
      </w:r>
      <w:r w:rsidRPr="0070645A">
        <w:rPr>
          <w:rFonts w:ascii="Calibri" w:hAnsi="Calibri" w:cs="Calibri"/>
          <w:iCs/>
        </w:rPr>
        <w:t xml:space="preserve">When the USFS cannot provide the conditions to maintain a viable population of a species of conservation concern within a plan area, the Rule requires contributing to maintaining the species within its range, in coordination with managers of other lands relevant to that population </w:t>
      </w:r>
      <w:r w:rsidRPr="0070645A">
        <w:rPr>
          <w:rFonts w:ascii="Calibri" w:hAnsi="Calibri" w:cs="Calibri"/>
          <w:i/>
          <w:iCs/>
        </w:rPr>
        <w:t>(§ 219.9(b)(2))</w:t>
      </w:r>
      <w:r w:rsidRPr="0070645A">
        <w:rPr>
          <w:rFonts w:ascii="Calibri" w:hAnsi="Calibri" w:cs="Calibri"/>
          <w:iCs/>
        </w:rPr>
        <w:t>.</w:t>
      </w:r>
    </w:p>
    <w:p w14:paraId="1CB0D034" w14:textId="5D9A78D5" w:rsidR="000540CD" w:rsidRPr="0070645A" w:rsidRDefault="000540CD" w:rsidP="000540CD">
      <w:pPr>
        <w:pStyle w:val="ListParagraph"/>
        <w:numPr>
          <w:ilvl w:val="0"/>
          <w:numId w:val="1"/>
        </w:numPr>
        <w:rPr>
          <w:rFonts w:ascii="Calibri" w:hAnsi="Calibri" w:cs="Calibri"/>
        </w:rPr>
      </w:pPr>
      <w:r>
        <w:rPr>
          <w:rFonts w:ascii="Calibri" w:hAnsi="Calibri" w:cs="Calibri"/>
        </w:rPr>
        <w:t xml:space="preserve">219.10: </w:t>
      </w:r>
      <w:r w:rsidRPr="0070645A">
        <w:rPr>
          <w:rFonts w:ascii="Calibri" w:hAnsi="Calibri" w:cs="Calibri"/>
        </w:rPr>
        <w:t>The</w:t>
      </w:r>
      <w:r w:rsidRPr="0070645A">
        <w:rPr>
          <w:rFonts w:ascii="Calibri" w:hAnsi="Calibri" w:cs="Calibri"/>
          <w:spacing w:val="-3"/>
        </w:rPr>
        <w:t xml:space="preserve"> </w:t>
      </w:r>
      <w:r w:rsidRPr="0070645A">
        <w:rPr>
          <w:rFonts w:ascii="Calibri" w:hAnsi="Calibri" w:cs="Calibri"/>
        </w:rPr>
        <w:t>Rule</w:t>
      </w:r>
      <w:r w:rsidRPr="0070645A">
        <w:rPr>
          <w:rFonts w:ascii="Calibri" w:hAnsi="Calibri" w:cs="Calibri"/>
          <w:spacing w:val="-3"/>
        </w:rPr>
        <w:t xml:space="preserve"> </w:t>
      </w:r>
      <w:r w:rsidRPr="0070645A">
        <w:rPr>
          <w:rFonts w:ascii="Calibri" w:hAnsi="Calibri" w:cs="Calibri"/>
        </w:rPr>
        <w:t>requires</w:t>
      </w:r>
      <w:r w:rsidRPr="0070645A">
        <w:rPr>
          <w:rFonts w:ascii="Calibri" w:hAnsi="Calibri" w:cs="Calibri"/>
          <w:spacing w:val="-3"/>
        </w:rPr>
        <w:t xml:space="preserve"> </w:t>
      </w:r>
      <w:r w:rsidRPr="0070645A">
        <w:rPr>
          <w:rFonts w:ascii="Calibri" w:hAnsi="Calibri" w:cs="Calibri"/>
        </w:rPr>
        <w:t>consideration</w:t>
      </w:r>
      <w:r w:rsidRPr="0070645A">
        <w:rPr>
          <w:rFonts w:ascii="Calibri" w:hAnsi="Calibri" w:cs="Calibri"/>
          <w:spacing w:val="-4"/>
        </w:rPr>
        <w:t xml:space="preserve"> </w:t>
      </w:r>
      <w:r w:rsidRPr="0070645A">
        <w:rPr>
          <w:rFonts w:ascii="Calibri" w:hAnsi="Calibri" w:cs="Calibri"/>
        </w:rPr>
        <w:t>of</w:t>
      </w:r>
      <w:r w:rsidRPr="0070645A">
        <w:rPr>
          <w:rFonts w:ascii="Calibri" w:hAnsi="Calibri" w:cs="Calibri"/>
          <w:spacing w:val="-4"/>
        </w:rPr>
        <w:t xml:space="preserve"> </w:t>
      </w:r>
      <w:r w:rsidRPr="0070645A">
        <w:rPr>
          <w:rFonts w:ascii="Calibri" w:hAnsi="Calibri" w:cs="Calibri"/>
        </w:rPr>
        <w:t>habitat conditions</w:t>
      </w:r>
      <w:r w:rsidRPr="0070645A">
        <w:rPr>
          <w:rFonts w:ascii="Calibri" w:hAnsi="Calibri" w:cs="Calibri"/>
          <w:spacing w:val="-3"/>
        </w:rPr>
        <w:t xml:space="preserve"> </w:t>
      </w:r>
      <w:r w:rsidRPr="0070645A">
        <w:rPr>
          <w:rFonts w:ascii="Calibri" w:hAnsi="Calibri" w:cs="Calibri"/>
        </w:rPr>
        <w:t>for</w:t>
      </w:r>
      <w:r w:rsidRPr="0070645A">
        <w:rPr>
          <w:rFonts w:ascii="Calibri" w:hAnsi="Calibri" w:cs="Calibri"/>
          <w:spacing w:val="-3"/>
        </w:rPr>
        <w:t xml:space="preserve"> </w:t>
      </w:r>
      <w:r w:rsidRPr="0070645A">
        <w:rPr>
          <w:rFonts w:ascii="Calibri" w:hAnsi="Calibri" w:cs="Calibri"/>
        </w:rPr>
        <w:t>species</w:t>
      </w:r>
      <w:r w:rsidRPr="0070645A">
        <w:rPr>
          <w:rFonts w:ascii="Calibri" w:hAnsi="Calibri" w:cs="Calibri"/>
          <w:spacing w:val="-3"/>
        </w:rPr>
        <w:t xml:space="preserve"> </w:t>
      </w:r>
      <w:r w:rsidRPr="0070645A">
        <w:rPr>
          <w:rFonts w:ascii="Calibri" w:hAnsi="Calibri" w:cs="Calibri"/>
        </w:rPr>
        <w:t>used</w:t>
      </w:r>
      <w:r w:rsidRPr="0070645A">
        <w:rPr>
          <w:rFonts w:ascii="Calibri" w:hAnsi="Calibri" w:cs="Calibri"/>
          <w:spacing w:val="-4"/>
        </w:rPr>
        <w:t xml:space="preserve"> </w:t>
      </w:r>
      <w:r w:rsidRPr="0070645A">
        <w:rPr>
          <w:rFonts w:ascii="Calibri" w:hAnsi="Calibri" w:cs="Calibri"/>
        </w:rPr>
        <w:t>by</w:t>
      </w:r>
      <w:r w:rsidRPr="0070645A">
        <w:rPr>
          <w:rFonts w:ascii="Calibri" w:hAnsi="Calibri" w:cs="Calibri"/>
          <w:spacing w:val="-2"/>
        </w:rPr>
        <w:t xml:space="preserve"> </w:t>
      </w:r>
      <w:r w:rsidRPr="0070645A">
        <w:rPr>
          <w:rFonts w:ascii="Calibri" w:hAnsi="Calibri" w:cs="Calibri"/>
        </w:rPr>
        <w:t>the</w:t>
      </w:r>
      <w:r w:rsidRPr="0070645A">
        <w:rPr>
          <w:rFonts w:ascii="Calibri" w:hAnsi="Calibri" w:cs="Calibri"/>
          <w:spacing w:val="-3"/>
        </w:rPr>
        <w:t xml:space="preserve"> </w:t>
      </w:r>
      <w:r w:rsidRPr="0070645A">
        <w:rPr>
          <w:rFonts w:ascii="Calibri" w:hAnsi="Calibri" w:cs="Calibri"/>
        </w:rPr>
        <w:t>public</w:t>
      </w:r>
      <w:r w:rsidRPr="0070645A">
        <w:rPr>
          <w:rFonts w:ascii="Calibri" w:hAnsi="Calibri" w:cs="Calibri"/>
          <w:spacing w:val="-5"/>
        </w:rPr>
        <w:t xml:space="preserve"> </w:t>
      </w:r>
      <w:r w:rsidRPr="0070645A">
        <w:rPr>
          <w:rFonts w:ascii="Calibri" w:hAnsi="Calibri" w:cs="Calibri"/>
        </w:rPr>
        <w:t>for</w:t>
      </w:r>
      <w:r w:rsidRPr="0070645A">
        <w:rPr>
          <w:rFonts w:ascii="Calibri" w:hAnsi="Calibri" w:cs="Calibri"/>
          <w:spacing w:val="-3"/>
        </w:rPr>
        <w:t xml:space="preserve"> </w:t>
      </w:r>
      <w:r w:rsidRPr="0070645A">
        <w:rPr>
          <w:rFonts w:ascii="Calibri" w:hAnsi="Calibri" w:cs="Calibri"/>
        </w:rPr>
        <w:t xml:space="preserve">hunting, fishing, trapping, gathering, observing, subsistence, and other activities </w:t>
      </w:r>
      <w:r w:rsidRPr="0070645A">
        <w:rPr>
          <w:rFonts w:ascii="Calibri" w:hAnsi="Calibri" w:cs="Calibri"/>
          <w:i/>
        </w:rPr>
        <w:t>(§ 219.10(a)(5))</w:t>
      </w:r>
      <w:r w:rsidRPr="0070645A">
        <w:rPr>
          <w:rFonts w:ascii="Calibri" w:hAnsi="Calibri" w:cs="Calibri"/>
        </w:rPr>
        <w:t xml:space="preserve">. The Rule directs the USFS to collaborate with federally recognized Tribes, Alaska Native Corporations, other federal agencies, and state and local governments when developing plan components to provide for habitat for species used and enjoyed by the public </w:t>
      </w:r>
      <w:r w:rsidRPr="0070645A">
        <w:rPr>
          <w:rFonts w:ascii="Calibri" w:hAnsi="Calibri" w:cs="Calibri"/>
          <w:i/>
        </w:rPr>
        <w:t>(§ 219.10(a)(5))</w:t>
      </w:r>
      <w:r w:rsidRPr="0070645A">
        <w:rPr>
          <w:rFonts w:ascii="Calibri" w:hAnsi="Calibri" w:cs="Calibri"/>
        </w:rPr>
        <w:t>.</w:t>
      </w:r>
    </w:p>
    <w:p w14:paraId="46302B24" w14:textId="77777777" w:rsidR="000540CD" w:rsidRPr="0070645A" w:rsidRDefault="000540CD" w:rsidP="000540CD">
      <w:pPr>
        <w:pStyle w:val="ListParagraph"/>
        <w:rPr>
          <w:rFonts w:ascii="Calibri" w:hAnsi="Calibri" w:cs="Calibri"/>
        </w:rPr>
      </w:pPr>
    </w:p>
    <w:p w14:paraId="40F3CC29" w14:textId="319D1D65" w:rsidR="000540CD" w:rsidRDefault="000540CD" w:rsidP="000540CD">
      <w:pPr>
        <w:pStyle w:val="ListParagraph"/>
        <w:numPr>
          <w:ilvl w:val="0"/>
          <w:numId w:val="1"/>
        </w:numPr>
        <w:rPr>
          <w:rFonts w:ascii="Calibri" w:hAnsi="Calibri" w:cs="Calibri"/>
        </w:rPr>
      </w:pPr>
      <w:r>
        <w:rPr>
          <w:rFonts w:ascii="Calibri" w:hAnsi="Calibri" w:cs="Calibri"/>
        </w:rPr>
        <w:t xml:space="preserve">219.7: </w:t>
      </w:r>
      <w:r w:rsidRPr="006B3B81">
        <w:rPr>
          <w:rFonts w:ascii="Calibri" w:hAnsi="Calibri" w:cs="Calibri"/>
        </w:rPr>
        <w:t>The USFS is also directed in the Rule to consider the plan area’s role and contribution within a broader</w:t>
      </w:r>
      <w:r w:rsidRPr="006B3B81">
        <w:rPr>
          <w:rFonts w:ascii="Calibri" w:hAnsi="Calibri" w:cs="Calibri"/>
          <w:spacing w:val="-4"/>
        </w:rPr>
        <w:t xml:space="preserve"> </w:t>
      </w:r>
      <w:r w:rsidRPr="006B3B81">
        <w:rPr>
          <w:rFonts w:ascii="Calibri" w:hAnsi="Calibri" w:cs="Calibri"/>
        </w:rPr>
        <w:t>landscape</w:t>
      </w:r>
      <w:r w:rsidRPr="006B3B81">
        <w:rPr>
          <w:rFonts w:ascii="Calibri" w:hAnsi="Calibri" w:cs="Calibri"/>
          <w:spacing w:val="-4"/>
        </w:rPr>
        <w:t xml:space="preserve"> </w:t>
      </w:r>
      <w:r w:rsidRPr="006B3B81">
        <w:rPr>
          <w:rFonts w:ascii="Calibri" w:hAnsi="Calibri" w:cs="Calibri"/>
          <w:i/>
        </w:rPr>
        <w:t>(§</w:t>
      </w:r>
      <w:r w:rsidRPr="006B3B81">
        <w:rPr>
          <w:rFonts w:ascii="Calibri" w:hAnsi="Calibri" w:cs="Calibri"/>
          <w:i/>
          <w:spacing w:val="-4"/>
        </w:rPr>
        <w:t xml:space="preserve"> </w:t>
      </w:r>
      <w:r w:rsidRPr="006B3B81">
        <w:rPr>
          <w:rFonts w:ascii="Calibri" w:hAnsi="Calibri" w:cs="Calibri"/>
          <w:i/>
        </w:rPr>
        <w:t>219.7(f)(1(ii))</w:t>
      </w:r>
      <w:r w:rsidRPr="006B3B81">
        <w:rPr>
          <w:rFonts w:ascii="Calibri" w:hAnsi="Calibri" w:cs="Calibri"/>
        </w:rPr>
        <w:t>,</w:t>
      </w:r>
      <w:r w:rsidRPr="006B3B81">
        <w:rPr>
          <w:rFonts w:ascii="Calibri" w:hAnsi="Calibri" w:cs="Calibri"/>
          <w:spacing w:val="-2"/>
        </w:rPr>
        <w:t xml:space="preserve"> </w:t>
      </w:r>
      <w:r w:rsidRPr="006B3B81">
        <w:rPr>
          <w:rFonts w:ascii="Calibri" w:hAnsi="Calibri" w:cs="Calibri"/>
        </w:rPr>
        <w:t>which</w:t>
      </w:r>
      <w:r w:rsidRPr="006B3B81">
        <w:rPr>
          <w:rFonts w:ascii="Calibri" w:hAnsi="Calibri" w:cs="Calibri"/>
          <w:spacing w:val="-5"/>
        </w:rPr>
        <w:t xml:space="preserve"> </w:t>
      </w:r>
      <w:r w:rsidRPr="006B3B81">
        <w:rPr>
          <w:rFonts w:ascii="Calibri" w:hAnsi="Calibri" w:cs="Calibri"/>
        </w:rPr>
        <w:t>is</w:t>
      </w:r>
      <w:r w:rsidRPr="006B3B81">
        <w:rPr>
          <w:rFonts w:ascii="Calibri" w:hAnsi="Calibri" w:cs="Calibri"/>
          <w:spacing w:val="-4"/>
        </w:rPr>
        <w:t xml:space="preserve"> </w:t>
      </w:r>
      <w:r w:rsidRPr="006B3B81">
        <w:rPr>
          <w:rFonts w:ascii="Calibri" w:hAnsi="Calibri" w:cs="Calibri"/>
        </w:rPr>
        <w:t>relevant</w:t>
      </w:r>
      <w:r w:rsidRPr="006B3B81">
        <w:rPr>
          <w:rFonts w:ascii="Calibri" w:hAnsi="Calibri" w:cs="Calibri"/>
          <w:spacing w:val="-6"/>
        </w:rPr>
        <w:t xml:space="preserve"> </w:t>
      </w:r>
      <w:r w:rsidRPr="006B3B81">
        <w:rPr>
          <w:rFonts w:ascii="Calibri" w:hAnsi="Calibri" w:cs="Calibri"/>
        </w:rPr>
        <w:t>for</w:t>
      </w:r>
      <w:r w:rsidRPr="006B3B81">
        <w:rPr>
          <w:rFonts w:ascii="Calibri" w:hAnsi="Calibri" w:cs="Calibri"/>
          <w:spacing w:val="-4"/>
        </w:rPr>
        <w:t xml:space="preserve"> </w:t>
      </w:r>
      <w:r w:rsidRPr="006B3B81">
        <w:rPr>
          <w:rFonts w:ascii="Calibri" w:hAnsi="Calibri" w:cs="Calibri"/>
        </w:rPr>
        <w:t>forests</w:t>
      </w:r>
      <w:r w:rsidRPr="006B3B81">
        <w:rPr>
          <w:rFonts w:ascii="Calibri" w:hAnsi="Calibri" w:cs="Calibri"/>
          <w:spacing w:val="-4"/>
        </w:rPr>
        <w:t xml:space="preserve"> </w:t>
      </w:r>
      <w:r w:rsidRPr="006B3B81">
        <w:rPr>
          <w:rFonts w:ascii="Calibri" w:hAnsi="Calibri" w:cs="Calibri"/>
        </w:rPr>
        <w:t>where</w:t>
      </w:r>
      <w:r w:rsidRPr="006B3B81">
        <w:rPr>
          <w:rFonts w:ascii="Calibri" w:hAnsi="Calibri" w:cs="Calibri"/>
          <w:spacing w:val="-4"/>
        </w:rPr>
        <w:t xml:space="preserve"> </w:t>
      </w:r>
      <w:r w:rsidRPr="006B3B81">
        <w:rPr>
          <w:rFonts w:ascii="Calibri" w:hAnsi="Calibri" w:cs="Calibri"/>
        </w:rPr>
        <w:t>migration</w:t>
      </w:r>
      <w:r w:rsidRPr="006B3B81">
        <w:rPr>
          <w:rFonts w:ascii="Calibri" w:hAnsi="Calibri" w:cs="Calibri"/>
          <w:spacing w:val="-5"/>
        </w:rPr>
        <w:t xml:space="preserve"> </w:t>
      </w:r>
      <w:r w:rsidRPr="006B3B81">
        <w:rPr>
          <w:rFonts w:ascii="Calibri" w:hAnsi="Calibri" w:cs="Calibri"/>
        </w:rPr>
        <w:lastRenderedPageBreak/>
        <w:t>corridors</w:t>
      </w:r>
      <w:r w:rsidRPr="006B3B81">
        <w:rPr>
          <w:rFonts w:ascii="Calibri" w:hAnsi="Calibri" w:cs="Calibri"/>
          <w:spacing w:val="-4"/>
        </w:rPr>
        <w:t xml:space="preserve"> </w:t>
      </w:r>
      <w:r w:rsidRPr="006B3B81">
        <w:rPr>
          <w:rFonts w:ascii="Calibri" w:hAnsi="Calibri" w:cs="Calibri"/>
        </w:rPr>
        <w:t xml:space="preserve">and seasonal habitats span multiple land ownerships and where the plan area plays </w:t>
      </w:r>
      <w:proofErr w:type="gramStart"/>
      <w:r w:rsidRPr="006B3B81">
        <w:rPr>
          <w:rFonts w:ascii="Calibri" w:hAnsi="Calibri" w:cs="Calibri"/>
        </w:rPr>
        <w:t>an important role</w:t>
      </w:r>
      <w:proofErr w:type="gramEnd"/>
      <w:r w:rsidRPr="006B3B81">
        <w:rPr>
          <w:rFonts w:ascii="Calibri" w:hAnsi="Calibri" w:cs="Calibri"/>
        </w:rPr>
        <w:t xml:space="preserve"> in the context of the broader landscape.</w:t>
      </w:r>
    </w:p>
    <w:p w14:paraId="0A10C49A" w14:textId="77777777" w:rsidR="00983049" w:rsidRPr="00983049" w:rsidRDefault="00983049" w:rsidP="00983049">
      <w:pPr>
        <w:pStyle w:val="ListParagraph"/>
        <w:rPr>
          <w:rFonts w:ascii="Calibri" w:hAnsi="Calibri" w:cs="Calibri"/>
        </w:rPr>
      </w:pPr>
    </w:p>
    <w:p w14:paraId="53518048" w14:textId="77777777" w:rsidR="00983049" w:rsidRDefault="00983049" w:rsidP="00983049">
      <w:pPr>
        <w:pStyle w:val="paragraph"/>
        <w:textAlignment w:val="baseline"/>
        <w:rPr>
          <w:rStyle w:val="normaltextrun"/>
          <w:rFonts w:ascii="Calibri" w:eastAsia="Calibri" w:hAnsi="Calibri" w:cs="Calibri"/>
          <w:b/>
          <w:bCs/>
          <w:sz w:val="22"/>
          <w:szCs w:val="22"/>
        </w:rPr>
      </w:pPr>
      <w:r w:rsidRPr="00F27D98">
        <w:rPr>
          <w:rStyle w:val="normaltextrun"/>
          <w:rFonts w:ascii="Calibri" w:eastAsia="Calibri" w:hAnsi="Calibri" w:cs="Calibri"/>
          <w:b/>
          <w:bCs/>
          <w:sz w:val="22"/>
          <w:szCs w:val="22"/>
        </w:rPr>
        <w:t>Landscape Pattern and Connectivity</w:t>
      </w:r>
    </w:p>
    <w:p w14:paraId="313FF22B" w14:textId="6ED90FD6" w:rsidR="000540CD" w:rsidRPr="00983049" w:rsidRDefault="00983049" w:rsidP="00983049">
      <w:pPr>
        <w:pStyle w:val="paragraph"/>
        <w:textAlignment w:val="baseline"/>
        <w:rPr>
          <w:rFonts w:ascii="Calibri" w:hAnsi="Calibri" w:cs="Calibri"/>
          <w:sz w:val="22"/>
          <w:szCs w:val="22"/>
        </w:rPr>
      </w:pPr>
      <w:r w:rsidRPr="00F27D98">
        <w:rPr>
          <w:rStyle w:val="normaltextrun"/>
          <w:rFonts w:ascii="Calibri" w:eastAsia="Calibri" w:hAnsi="Calibri" w:cs="Calibri"/>
          <w:sz w:val="22"/>
          <w:szCs w:val="22"/>
        </w:rPr>
        <w:t xml:space="preserve">We recommend </w:t>
      </w:r>
      <w:r>
        <w:rPr>
          <w:rStyle w:val="normaltextrun"/>
          <w:rFonts w:ascii="Calibri" w:eastAsia="Calibri" w:hAnsi="Calibri" w:cs="Calibri"/>
          <w:sz w:val="22"/>
          <w:szCs w:val="22"/>
        </w:rPr>
        <w:t xml:space="preserve">a stronger acknowledgement and recognition of the new and best available science that demonstrates the scale of big game migration and movement corridors that exist on the Lolo NF. MTFWP and CSKT have acquired extensive migration data for elk, mule deer and big horn sheep in the lower Clark Fork, Upper </w:t>
      </w:r>
      <w:proofErr w:type="gramStart"/>
      <w:r>
        <w:rPr>
          <w:rStyle w:val="normaltextrun"/>
          <w:rFonts w:ascii="Calibri" w:eastAsia="Calibri" w:hAnsi="Calibri" w:cs="Calibri"/>
          <w:sz w:val="22"/>
          <w:szCs w:val="22"/>
        </w:rPr>
        <w:t>Blackfoot</w:t>
      </w:r>
      <w:proofErr w:type="gramEnd"/>
      <w:r>
        <w:rPr>
          <w:rStyle w:val="normaltextrun"/>
          <w:rFonts w:ascii="Calibri" w:eastAsia="Calibri" w:hAnsi="Calibri" w:cs="Calibri"/>
          <w:sz w:val="22"/>
          <w:szCs w:val="22"/>
        </w:rPr>
        <w:t xml:space="preserve"> and Mission Mountain portions of the Lolo NF. Listed below is an abbreviated list of federal and state policies that point to the importance and priority of migration conservation in land use planning.</w:t>
      </w:r>
    </w:p>
    <w:p w14:paraId="3DE538BF" w14:textId="5F374C64" w:rsidR="000540CD" w:rsidRDefault="00161722" w:rsidP="000540CD">
      <w:pPr>
        <w:rPr>
          <w:rStyle w:val="eop"/>
          <w:rFonts w:ascii="Calibri" w:hAnsi="Calibri" w:cs="Calibri"/>
        </w:rPr>
      </w:pPr>
      <w:r>
        <w:rPr>
          <w:rStyle w:val="normaltextrun"/>
          <w:rFonts w:ascii="Calibri" w:eastAsia="Calibri" w:hAnsi="Calibri" w:cs="Calibri"/>
        </w:rPr>
        <w:t>-</w:t>
      </w:r>
      <w:r w:rsidR="000540CD" w:rsidRPr="0070645A">
        <w:rPr>
          <w:rStyle w:val="normaltextrun"/>
          <w:rFonts w:ascii="Calibri" w:eastAsia="Calibri" w:hAnsi="Calibri" w:cs="Calibri"/>
        </w:rPr>
        <w:t xml:space="preserve">May 2021 </w:t>
      </w:r>
      <w:hyperlink r:id="rId8" w:tgtFrame="_blank" w:history="1">
        <w:r w:rsidR="000540CD" w:rsidRPr="0070645A">
          <w:rPr>
            <w:rStyle w:val="normaltextrun"/>
            <w:rFonts w:ascii="Calibri" w:eastAsia="Calibri" w:hAnsi="Calibri" w:cs="Calibri"/>
            <w:color w:val="0563C1"/>
            <w:u w:val="single"/>
          </w:rPr>
          <w:t>Conserving and Restoring America the Beautiful Report</w:t>
        </w:r>
      </w:hyperlink>
      <w:r w:rsidR="000540CD" w:rsidRPr="0070645A">
        <w:rPr>
          <w:rStyle w:val="normaltextrun"/>
          <w:rFonts w:ascii="Calibri" w:eastAsia="Calibri" w:hAnsi="Calibri" w:cs="Calibri"/>
        </w:rPr>
        <w:t>, where the Biden-Harris Administration committed to “Expand Collaborative Conservation of Fish and Wildlife Habitats and Corridors,” and continuing with the implementation of SO 3362.</w:t>
      </w:r>
      <w:r w:rsidR="000540CD" w:rsidRPr="0070645A">
        <w:rPr>
          <w:rStyle w:val="eop"/>
          <w:rFonts w:ascii="Calibri" w:hAnsi="Calibri" w:cs="Calibri"/>
        </w:rPr>
        <w:t> </w:t>
      </w:r>
    </w:p>
    <w:p w14:paraId="40153706" w14:textId="677A81E6" w:rsidR="00161722" w:rsidRDefault="00161722" w:rsidP="00161722">
      <w:pPr>
        <w:pStyle w:val="paragraph"/>
        <w:spacing w:before="0" w:beforeAutospacing="0" w:after="0" w:afterAutospacing="0"/>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w:t>
      </w:r>
      <w:r w:rsidRPr="0070645A">
        <w:rPr>
          <w:rStyle w:val="normaltextrun"/>
          <w:rFonts w:ascii="Calibri" w:eastAsia="Calibri" w:hAnsi="Calibri" w:cs="Calibri"/>
          <w:sz w:val="22"/>
          <w:szCs w:val="22"/>
        </w:rPr>
        <w:t>Montana FWP has identified multiple migration corridors and other crucial seasonal habitats in</w:t>
      </w:r>
      <w:r>
        <w:rPr>
          <w:rStyle w:val="normaltextrun"/>
          <w:rFonts w:ascii="Calibri" w:eastAsia="Calibri" w:hAnsi="Calibri" w:cs="Calibri"/>
          <w:sz w:val="22"/>
          <w:szCs w:val="22"/>
        </w:rPr>
        <w:t xml:space="preserve"> </w:t>
      </w:r>
      <w:r w:rsidRPr="0070645A">
        <w:rPr>
          <w:rStyle w:val="normaltextrun"/>
          <w:rFonts w:ascii="Calibri" w:eastAsia="Calibri" w:hAnsi="Calibri" w:cs="Calibri"/>
          <w:sz w:val="22"/>
          <w:szCs w:val="22"/>
        </w:rPr>
        <w:t xml:space="preserve">their most recent SO 3362 </w:t>
      </w:r>
      <w:hyperlink r:id="rId9">
        <w:r w:rsidRPr="0070645A">
          <w:rPr>
            <w:rStyle w:val="Hyperlink"/>
            <w:rFonts w:ascii="Calibri" w:hAnsi="Calibri" w:cs="Calibri"/>
            <w:sz w:val="22"/>
            <w:szCs w:val="22"/>
          </w:rPr>
          <w:t>State Action Plan</w:t>
        </w:r>
      </w:hyperlink>
      <w:r w:rsidRPr="0070645A">
        <w:rPr>
          <w:rStyle w:val="normaltextrun"/>
          <w:rFonts w:ascii="Calibri" w:eastAsia="Calibri" w:hAnsi="Calibri" w:cs="Calibri"/>
          <w:sz w:val="22"/>
          <w:szCs w:val="22"/>
        </w:rPr>
        <w:t xml:space="preserve">. These migration routes </w:t>
      </w:r>
      <w:proofErr w:type="gramStart"/>
      <w:r w:rsidRPr="0070645A">
        <w:rPr>
          <w:rStyle w:val="normaltextrun"/>
          <w:rFonts w:ascii="Calibri" w:eastAsia="Calibri" w:hAnsi="Calibri" w:cs="Calibri"/>
          <w:sz w:val="22"/>
          <w:szCs w:val="22"/>
        </w:rPr>
        <w:t>were derived</w:t>
      </w:r>
      <w:proofErr w:type="gramEnd"/>
      <w:r w:rsidRPr="0070645A">
        <w:rPr>
          <w:rStyle w:val="normaltextrun"/>
          <w:rFonts w:ascii="Calibri" w:eastAsia="Calibri" w:hAnsi="Calibri" w:cs="Calibri"/>
          <w:sz w:val="22"/>
          <w:szCs w:val="22"/>
        </w:rPr>
        <w:t xml:space="preserve"> from FWP’s GPS collar data using a regular Brownian Bridge Movement Model which delineates low, medium, and high-use corridors to elucidate specific habitat types</w:t>
      </w:r>
      <w:r>
        <w:rPr>
          <w:rStyle w:val="normaltextrun"/>
          <w:rFonts w:ascii="Calibri" w:eastAsia="Calibri" w:hAnsi="Calibri" w:cs="Calibri"/>
          <w:sz w:val="22"/>
          <w:szCs w:val="22"/>
        </w:rPr>
        <w:t xml:space="preserve">. </w:t>
      </w:r>
      <w:r w:rsidRPr="0070645A">
        <w:rPr>
          <w:rStyle w:val="normaltextrun"/>
          <w:rFonts w:ascii="Calibri" w:eastAsia="Calibri" w:hAnsi="Calibri" w:cs="Calibri"/>
          <w:sz w:val="22"/>
          <w:szCs w:val="22"/>
        </w:rPr>
        <w:t xml:space="preserve">Crucial stopover habitat for example </w:t>
      </w:r>
      <w:proofErr w:type="gramStart"/>
      <w:r w:rsidRPr="0070645A">
        <w:rPr>
          <w:rStyle w:val="normaltextrun"/>
          <w:rFonts w:ascii="Calibri" w:eastAsia="Calibri" w:hAnsi="Calibri" w:cs="Calibri"/>
          <w:sz w:val="22"/>
          <w:szCs w:val="22"/>
        </w:rPr>
        <w:t>is defined</w:t>
      </w:r>
      <w:proofErr w:type="gramEnd"/>
      <w:r w:rsidRPr="0070645A">
        <w:rPr>
          <w:rStyle w:val="normaltextrun"/>
          <w:rFonts w:ascii="Calibri" w:eastAsia="Calibri" w:hAnsi="Calibri" w:cs="Calibri"/>
          <w:sz w:val="22"/>
          <w:szCs w:val="22"/>
        </w:rPr>
        <w:t xml:space="preserve"> as the top 10 percent of the population utilization distribution. This new research indicates that stopovers play a key role in the migration strategy of mule deer by allowing individuals to migrate in concert with plant phenology and maximize energy intake rather than speed</w:t>
      </w:r>
      <w:proofErr w:type="gramStart"/>
      <w:r w:rsidRPr="0070645A">
        <w:rPr>
          <w:rStyle w:val="normaltextrun"/>
          <w:rFonts w:ascii="Calibri" w:eastAsia="Calibri" w:hAnsi="Calibri" w:cs="Calibri"/>
          <w:sz w:val="22"/>
          <w:szCs w:val="22"/>
        </w:rPr>
        <w:t>.</w:t>
      </w:r>
      <w:r>
        <w:rPr>
          <w:rFonts w:ascii="Calibri" w:hAnsi="Calibri" w:cs="Calibri"/>
          <w:sz w:val="22"/>
          <w:szCs w:val="22"/>
        </w:rPr>
        <w:t xml:space="preserve"> </w:t>
      </w:r>
      <w:r w:rsidRPr="0070645A">
        <w:rPr>
          <w:rStyle w:val="normaltextrun"/>
          <w:rFonts w:ascii="Calibri" w:eastAsia="Calibri" w:hAnsi="Calibri" w:cs="Calibri"/>
          <w:sz w:val="22"/>
          <w:szCs w:val="22"/>
        </w:rPr>
        <w:t xml:space="preserve"> </w:t>
      </w:r>
      <w:proofErr w:type="gramEnd"/>
      <w:r w:rsidRPr="0070645A">
        <w:rPr>
          <w:rStyle w:val="normaltextrun"/>
          <w:rFonts w:ascii="Calibri" w:eastAsia="Calibri" w:hAnsi="Calibri" w:cs="Calibri"/>
          <w:sz w:val="22"/>
          <w:szCs w:val="22"/>
        </w:rPr>
        <w:t xml:space="preserve">Additional migratory habitats and winter range that have </w:t>
      </w:r>
      <w:proofErr w:type="gramStart"/>
      <w:r w:rsidRPr="0070645A">
        <w:rPr>
          <w:rStyle w:val="normaltextrun"/>
          <w:rFonts w:ascii="Calibri" w:eastAsia="Calibri" w:hAnsi="Calibri" w:cs="Calibri"/>
          <w:sz w:val="22"/>
          <w:szCs w:val="22"/>
        </w:rPr>
        <w:t>been observed</w:t>
      </w:r>
      <w:proofErr w:type="gramEnd"/>
      <w:r w:rsidRPr="0070645A">
        <w:rPr>
          <w:rStyle w:val="normaltextrun"/>
          <w:rFonts w:ascii="Calibri" w:eastAsia="Calibri" w:hAnsi="Calibri" w:cs="Calibri"/>
          <w:sz w:val="22"/>
          <w:szCs w:val="22"/>
        </w:rPr>
        <w:t xml:space="preserve"> anecdotally by agency biologists are also known and are prioritized for conservation. </w:t>
      </w:r>
    </w:p>
    <w:p w14:paraId="490C9BAA" w14:textId="77777777" w:rsidR="00161722" w:rsidRDefault="00161722" w:rsidP="00161722">
      <w:pPr>
        <w:pStyle w:val="paragraph"/>
        <w:spacing w:before="0" w:beforeAutospacing="0" w:after="0" w:afterAutospacing="0"/>
        <w:textAlignment w:val="baseline"/>
        <w:rPr>
          <w:rStyle w:val="normaltextrun"/>
          <w:rFonts w:ascii="Calibri" w:eastAsia="Calibri" w:hAnsi="Calibri" w:cs="Calibri"/>
          <w:sz w:val="22"/>
          <w:szCs w:val="22"/>
        </w:rPr>
      </w:pPr>
    </w:p>
    <w:p w14:paraId="6FB58C94" w14:textId="61D65222" w:rsidR="00161722" w:rsidRPr="008F7F87" w:rsidRDefault="00161722" w:rsidP="00161722">
      <w:pPr>
        <w:pStyle w:val="paragraph"/>
        <w:textAlignment w:val="baseline"/>
        <w:rPr>
          <w:rFonts w:ascii="Calibri" w:hAnsi="Calibri" w:cs="Calibri"/>
          <w:sz w:val="22"/>
          <w:szCs w:val="22"/>
        </w:rPr>
      </w:pPr>
      <w:r>
        <w:rPr>
          <w:rStyle w:val="normaltextrun"/>
          <w:rFonts w:ascii="Calibri" w:hAnsi="Calibri" w:cs="Calibri"/>
          <w:sz w:val="22"/>
          <w:szCs w:val="22"/>
        </w:rPr>
        <w:t>-</w:t>
      </w:r>
      <w:r w:rsidRPr="008F7F87">
        <w:rPr>
          <w:rStyle w:val="normaltextrun"/>
          <w:rFonts w:ascii="Calibri" w:hAnsi="Calibri" w:cs="Calibri"/>
          <w:sz w:val="22"/>
          <w:szCs w:val="22"/>
        </w:rPr>
        <w:t xml:space="preserve">On June 23, 2022, </w:t>
      </w:r>
      <w:hyperlink r:id="rId10" w:tgtFrame="_blank" w:history="1">
        <w:r w:rsidRPr="008F7F87">
          <w:rPr>
            <w:rStyle w:val="normaltextrun"/>
            <w:rFonts w:ascii="Calibri" w:hAnsi="Calibri" w:cs="Calibri"/>
            <w:color w:val="0563C1"/>
            <w:sz w:val="22"/>
            <w:szCs w:val="22"/>
            <w:u w:val="single"/>
          </w:rPr>
          <w:t>Secretary of Agriculture Tom Vilsack issued Secretarial Memorandum 1077-044</w:t>
        </w:r>
      </w:hyperlink>
      <w:r w:rsidRPr="008F7F87">
        <w:rPr>
          <w:rStyle w:val="normaltextrun"/>
          <w:rFonts w:ascii="Calibri" w:hAnsi="Calibri" w:cs="Calibri"/>
          <w:sz w:val="22"/>
          <w:szCs w:val="22"/>
        </w:rPr>
        <w:t xml:space="preserve">, directing the U.S. Forest Service to, among other things, develop policy recommendations to conserve wildlife migration corridors. </w:t>
      </w:r>
      <w:r w:rsidRPr="008F7F87">
        <w:rPr>
          <w:rStyle w:val="normaltextrun"/>
          <w:rFonts w:ascii="Calibri" w:eastAsia="Calibri" w:hAnsi="Calibri" w:cs="Calibri"/>
          <w:sz w:val="22"/>
          <w:szCs w:val="22"/>
        </w:rPr>
        <w:t> </w:t>
      </w:r>
      <w:r w:rsidRPr="008F7F87">
        <w:rPr>
          <w:rStyle w:val="eop"/>
          <w:rFonts w:ascii="Calibri" w:hAnsi="Calibri" w:cs="Calibri"/>
          <w:sz w:val="22"/>
          <w:szCs w:val="22"/>
        </w:rPr>
        <w:t> </w:t>
      </w:r>
    </w:p>
    <w:p w14:paraId="22DF0360" w14:textId="18416B19" w:rsidR="00161722" w:rsidRDefault="00161722" w:rsidP="00161722">
      <w:pPr>
        <w:pStyle w:val="paragraph"/>
        <w:textAlignment w:val="baseline"/>
        <w:rPr>
          <w:rStyle w:val="normaltextrun"/>
          <w:rFonts w:ascii="Calibri" w:eastAsia="Calibri" w:hAnsi="Calibri" w:cs="Calibri"/>
          <w:sz w:val="22"/>
          <w:szCs w:val="22"/>
        </w:rPr>
      </w:pPr>
      <w:r>
        <w:rPr>
          <w:rFonts w:ascii="Calibri" w:hAnsi="Calibri" w:cs="Calibri"/>
          <w:iCs/>
          <w:sz w:val="22"/>
          <w:szCs w:val="22"/>
        </w:rPr>
        <w:t>-</w:t>
      </w:r>
      <w:r w:rsidRPr="00BE183B">
        <w:rPr>
          <w:rFonts w:ascii="Calibri" w:hAnsi="Calibri" w:cs="Calibri"/>
          <w:iCs/>
          <w:sz w:val="22"/>
          <w:szCs w:val="22"/>
        </w:rPr>
        <w:t xml:space="preserve">Further, a letter signed by the USFS Deputy Chief </w:t>
      </w:r>
      <w:hyperlink r:id="rId11" w:tgtFrame="_blank" w:history="1">
        <w:r w:rsidRPr="00BE183B">
          <w:rPr>
            <w:rStyle w:val="SmartLink"/>
            <w:rFonts w:ascii="Calibri" w:eastAsia="Calibri" w:hAnsi="Calibri" w:cs="Calibri"/>
            <w:sz w:val="22"/>
            <w:szCs w:val="22"/>
          </w:rPr>
          <w:t xml:space="preserve">Deputy Chief’s letter </w:t>
        </w:r>
      </w:hyperlink>
      <w:r w:rsidRPr="00BE183B">
        <w:rPr>
          <w:rStyle w:val="normaltextrun"/>
          <w:rFonts w:ascii="Calibri" w:eastAsia="Calibri" w:hAnsi="Calibri" w:cs="Calibri"/>
          <w:sz w:val="22"/>
          <w:szCs w:val="22"/>
        </w:rPr>
        <w:t>on August 19,</w:t>
      </w:r>
      <w:r>
        <w:rPr>
          <w:rStyle w:val="normaltextrun"/>
          <w:rFonts w:ascii="Calibri" w:eastAsia="Calibri" w:hAnsi="Calibri" w:cs="Calibri"/>
          <w:sz w:val="22"/>
          <w:szCs w:val="22"/>
        </w:rPr>
        <w:t xml:space="preserve"> </w:t>
      </w:r>
      <w:r w:rsidRPr="00BE183B">
        <w:rPr>
          <w:rStyle w:val="normaltextrun"/>
          <w:rFonts w:ascii="Calibri" w:eastAsia="Calibri" w:hAnsi="Calibri" w:cs="Calibri"/>
          <w:sz w:val="22"/>
          <w:szCs w:val="22"/>
        </w:rPr>
        <w:t>2022, specifically focused on big game migration. </w:t>
      </w:r>
      <w:r>
        <w:rPr>
          <w:rStyle w:val="normaltextrun"/>
          <w:rFonts w:ascii="Calibri" w:eastAsia="Calibri" w:hAnsi="Calibri" w:cs="Calibri"/>
          <w:sz w:val="22"/>
          <w:szCs w:val="22"/>
        </w:rPr>
        <w:t xml:space="preserve"> The letter directs Regions to consider “ecological connectivity and wildlife corridors during broad-scale planning associated with the land management planning process and implementation of land management plans through localized project planning and decision making.”</w:t>
      </w:r>
      <w:r w:rsidR="00983049">
        <w:rPr>
          <w:rStyle w:val="normaltextrun"/>
          <w:rFonts w:ascii="Calibri" w:eastAsia="Calibri" w:hAnsi="Calibri" w:cs="Calibri"/>
          <w:sz w:val="22"/>
          <w:szCs w:val="22"/>
        </w:rPr>
        <w:t xml:space="preserve"> </w:t>
      </w:r>
    </w:p>
    <w:p w14:paraId="0E1BA459" w14:textId="35E05272" w:rsidR="00983049" w:rsidRDefault="00983049" w:rsidP="00161722">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While there is mention of wildlife highway crossing opportunities west of St Regis and south of Lolo, there are additional opportunities on I-90 and Hwy 93 both north and south.</w:t>
      </w:r>
    </w:p>
    <w:p w14:paraId="110EECCD" w14:textId="4BF9F5DB" w:rsidR="00F27D98" w:rsidRDefault="00F27D98" w:rsidP="00161722">
      <w:pPr>
        <w:pStyle w:val="paragraph"/>
        <w:textAlignment w:val="baseline"/>
        <w:rPr>
          <w:rStyle w:val="normaltextrun"/>
          <w:rFonts w:ascii="Calibri" w:eastAsia="Calibri" w:hAnsi="Calibri" w:cs="Calibri"/>
          <w:b/>
          <w:bCs/>
          <w:sz w:val="22"/>
          <w:szCs w:val="22"/>
        </w:rPr>
      </w:pPr>
      <w:r w:rsidRPr="00F27D98">
        <w:rPr>
          <w:rStyle w:val="normaltextrun"/>
          <w:rFonts w:ascii="Calibri" w:eastAsia="Calibri" w:hAnsi="Calibri" w:cs="Calibri"/>
          <w:b/>
          <w:bCs/>
          <w:sz w:val="22"/>
          <w:szCs w:val="22"/>
        </w:rPr>
        <w:t>Cooperating Agencies</w:t>
      </w:r>
    </w:p>
    <w:p w14:paraId="4128B4D8" w14:textId="39A9DAFF" w:rsidR="00F27D98" w:rsidRDefault="00F27D98" w:rsidP="00161722">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In the Executive Summary of the Draft Assessment there was a list of Cooperating Agencies. We recommend adding Missoula and Granite Counties to this list.</w:t>
      </w:r>
    </w:p>
    <w:p w14:paraId="7E00E572" w14:textId="41C4885A" w:rsidR="00983049" w:rsidRDefault="001F1E5D" w:rsidP="00161722">
      <w:pPr>
        <w:pStyle w:val="paragraph"/>
        <w:textAlignment w:val="baseline"/>
        <w:rPr>
          <w:rStyle w:val="normaltextrun"/>
          <w:rFonts w:ascii="Calibri" w:eastAsia="Calibri" w:hAnsi="Calibri" w:cs="Calibri"/>
          <w:b/>
          <w:bCs/>
          <w:sz w:val="22"/>
          <w:szCs w:val="22"/>
        </w:rPr>
      </w:pPr>
      <w:r>
        <w:rPr>
          <w:rStyle w:val="normaltextrun"/>
          <w:rFonts w:ascii="Calibri" w:eastAsia="Calibri" w:hAnsi="Calibri" w:cs="Calibri"/>
          <w:b/>
          <w:bCs/>
          <w:sz w:val="22"/>
          <w:szCs w:val="22"/>
        </w:rPr>
        <w:t xml:space="preserve">Public </w:t>
      </w:r>
      <w:r w:rsidR="00983049" w:rsidRPr="00983049">
        <w:rPr>
          <w:rStyle w:val="normaltextrun"/>
          <w:rFonts w:ascii="Calibri" w:eastAsia="Calibri" w:hAnsi="Calibri" w:cs="Calibri"/>
          <w:b/>
          <w:bCs/>
          <w:sz w:val="22"/>
          <w:szCs w:val="22"/>
        </w:rPr>
        <w:t>Engagement Events</w:t>
      </w:r>
    </w:p>
    <w:p w14:paraId="321E658A" w14:textId="258718B7" w:rsidR="00983049" w:rsidRDefault="00983049" w:rsidP="00161722">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lastRenderedPageBreak/>
        <w:t xml:space="preserve">We would like to commend </w:t>
      </w:r>
      <w:proofErr w:type="gramStart"/>
      <w:r>
        <w:rPr>
          <w:rStyle w:val="normaltextrun"/>
          <w:rFonts w:ascii="Calibri" w:eastAsia="Calibri" w:hAnsi="Calibri" w:cs="Calibri"/>
          <w:sz w:val="22"/>
          <w:szCs w:val="22"/>
        </w:rPr>
        <w:t>the Lolo</w:t>
      </w:r>
      <w:proofErr w:type="gramEnd"/>
      <w:r>
        <w:rPr>
          <w:rStyle w:val="normaltextrun"/>
          <w:rFonts w:ascii="Calibri" w:eastAsia="Calibri" w:hAnsi="Calibri" w:cs="Calibri"/>
          <w:sz w:val="22"/>
          <w:szCs w:val="22"/>
        </w:rPr>
        <w:t xml:space="preserve"> NF on its frequent efforts engage with the public</w:t>
      </w:r>
      <w:r w:rsidR="001F1E5D">
        <w:rPr>
          <w:rStyle w:val="normaltextrun"/>
          <w:rFonts w:ascii="Calibri" w:eastAsia="Calibri" w:hAnsi="Calibri" w:cs="Calibri"/>
          <w:sz w:val="22"/>
          <w:szCs w:val="22"/>
        </w:rPr>
        <w:t xml:space="preserve"> during the early months of the plan revision that are outside of the traditional NEPA process. This level of engagement improves transparency and helps clarify the wide array of interests involved in the Lolo plan revision.</w:t>
      </w:r>
    </w:p>
    <w:p w14:paraId="175964AC" w14:textId="77777777" w:rsidR="001F1E5D" w:rsidRDefault="001F1E5D" w:rsidP="00161722">
      <w:pPr>
        <w:pStyle w:val="paragraph"/>
        <w:textAlignment w:val="baseline"/>
        <w:rPr>
          <w:rStyle w:val="normaltextrun"/>
          <w:rFonts w:ascii="Calibri" w:eastAsia="Calibri" w:hAnsi="Calibri" w:cs="Calibri"/>
          <w:sz w:val="22"/>
          <w:szCs w:val="22"/>
        </w:rPr>
      </w:pPr>
    </w:p>
    <w:p w14:paraId="4FFD6772" w14:textId="4B1574A9" w:rsidR="001F1E5D" w:rsidRDefault="001F1E5D" w:rsidP="00525823">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Sincerely,</w:t>
      </w:r>
    </w:p>
    <w:p w14:paraId="5FC6C778" w14:textId="7A50016D" w:rsidR="00525823" w:rsidRDefault="00525823" w:rsidP="00525823">
      <w:pPr>
        <w:pStyle w:val="paragraph"/>
        <w:textAlignment w:val="baseline"/>
        <w:rPr>
          <w:rStyle w:val="normaltextrun"/>
          <w:rFonts w:ascii="Calibri" w:eastAsia="Calibri" w:hAnsi="Calibri" w:cs="Calibri"/>
          <w:sz w:val="22"/>
          <w:szCs w:val="22"/>
        </w:rPr>
      </w:pPr>
      <w:r>
        <w:rPr>
          <w:rFonts w:ascii="Calibri" w:eastAsia="Calibri" w:hAnsi="Calibri" w:cs="Calibri"/>
          <w:noProof/>
          <w:sz w:val="22"/>
          <w:szCs w:val="22"/>
          <w14:ligatures w14:val="standardContextual"/>
        </w:rPr>
        <w:drawing>
          <wp:inline distT="0" distB="0" distL="0" distR="0" wp14:anchorId="6A53B246" wp14:editId="7D5ACDB0">
            <wp:extent cx="1757985" cy="603250"/>
            <wp:effectExtent l="0" t="0" r="0" b="6350"/>
            <wp:docPr id="420612317"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12317" name="Picture 2"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286" cy="614334"/>
                    </a:xfrm>
                    <a:prstGeom prst="rect">
                      <a:avLst/>
                    </a:prstGeom>
                  </pic:spPr>
                </pic:pic>
              </a:graphicData>
            </a:graphic>
          </wp:inline>
        </w:drawing>
      </w:r>
    </w:p>
    <w:p w14:paraId="20C7786A" w14:textId="077F4867" w:rsidR="001F1E5D" w:rsidRDefault="001F1E5D" w:rsidP="00525823">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Scott Laird</w:t>
      </w:r>
    </w:p>
    <w:p w14:paraId="35291DC0" w14:textId="3C75C746" w:rsidR="001F1E5D" w:rsidRPr="00983049" w:rsidRDefault="001F1E5D" w:rsidP="00525823">
      <w:pPr>
        <w:pStyle w:val="paragraph"/>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Theodore Roosevelt Conservation Partnership</w:t>
      </w:r>
    </w:p>
    <w:p w14:paraId="76DBF792" w14:textId="77777777" w:rsidR="00161722" w:rsidRDefault="00161722" w:rsidP="00161722">
      <w:pPr>
        <w:pStyle w:val="paragraph"/>
        <w:spacing w:before="0" w:beforeAutospacing="0" w:after="0" w:afterAutospacing="0"/>
        <w:textAlignment w:val="baseline"/>
        <w:rPr>
          <w:rStyle w:val="normaltextrun"/>
          <w:rFonts w:ascii="Calibri" w:eastAsia="Calibri" w:hAnsi="Calibri" w:cs="Calibri"/>
          <w:sz w:val="22"/>
          <w:szCs w:val="22"/>
        </w:rPr>
      </w:pPr>
    </w:p>
    <w:p w14:paraId="28B3B598" w14:textId="77777777" w:rsidR="00161722" w:rsidRPr="000540CD" w:rsidRDefault="00161722" w:rsidP="000540CD">
      <w:pPr>
        <w:rPr>
          <w:rFonts w:ascii="Calibri" w:hAnsi="Calibri" w:cs="Calibri"/>
          <w:b/>
          <w:bCs/>
        </w:rPr>
      </w:pPr>
    </w:p>
    <w:p w14:paraId="0D9A52BD" w14:textId="77777777" w:rsidR="005C0719" w:rsidRPr="0070645A" w:rsidRDefault="005C0719" w:rsidP="000540CD">
      <w:pPr>
        <w:pStyle w:val="ListParagraph"/>
        <w:rPr>
          <w:rFonts w:ascii="Calibri" w:hAnsi="Calibri" w:cs="Calibri"/>
        </w:rPr>
      </w:pPr>
    </w:p>
    <w:p w14:paraId="00FAA15E" w14:textId="77777777" w:rsidR="005C0719" w:rsidRPr="005C0719" w:rsidRDefault="005C0719" w:rsidP="005C0719">
      <w:pPr>
        <w:widowControl w:val="0"/>
        <w:autoSpaceDE w:val="0"/>
        <w:autoSpaceDN w:val="0"/>
        <w:spacing w:before="156" w:after="0"/>
        <w:rPr>
          <w:rFonts w:ascii="Calibri" w:eastAsia="Calibri" w:hAnsi="Calibri" w:cs="Calibri"/>
        </w:rPr>
      </w:pPr>
    </w:p>
    <w:p w14:paraId="0F043758" w14:textId="77777777" w:rsidR="00000000" w:rsidRDefault="003A0CC7"/>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FE0D" w14:textId="77777777" w:rsidR="00DF33B6" w:rsidRDefault="00DF33B6" w:rsidP="00161722">
      <w:pPr>
        <w:spacing w:after="0" w:line="240" w:lineRule="auto"/>
      </w:pPr>
      <w:r>
        <w:separator/>
      </w:r>
    </w:p>
  </w:endnote>
  <w:endnote w:type="continuationSeparator" w:id="0">
    <w:p w14:paraId="5E7D8013" w14:textId="77777777" w:rsidR="00DF33B6" w:rsidRDefault="00DF33B6" w:rsidP="0016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E82F" w14:textId="77777777" w:rsidR="00DF33B6" w:rsidRDefault="00DF33B6" w:rsidP="00161722">
      <w:pPr>
        <w:spacing w:after="0" w:line="240" w:lineRule="auto"/>
      </w:pPr>
      <w:r>
        <w:separator/>
      </w:r>
    </w:p>
  </w:footnote>
  <w:footnote w:type="continuationSeparator" w:id="0">
    <w:p w14:paraId="6B9EA7BB" w14:textId="77777777" w:rsidR="00DF33B6" w:rsidRDefault="00DF33B6" w:rsidP="0016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DA3"/>
    <w:multiLevelType w:val="multilevel"/>
    <w:tmpl w:val="65C6B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0620F02"/>
    <w:multiLevelType w:val="hybridMultilevel"/>
    <w:tmpl w:val="C7F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22290">
    <w:abstractNumId w:val="1"/>
  </w:num>
  <w:num w:numId="2" w16cid:durableId="12420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19"/>
    <w:rsid w:val="000540CD"/>
    <w:rsid w:val="00131E33"/>
    <w:rsid w:val="00161722"/>
    <w:rsid w:val="001D443D"/>
    <w:rsid w:val="001F1E5D"/>
    <w:rsid w:val="003A0CC7"/>
    <w:rsid w:val="003F1798"/>
    <w:rsid w:val="00525823"/>
    <w:rsid w:val="005927CE"/>
    <w:rsid w:val="005C0719"/>
    <w:rsid w:val="00983049"/>
    <w:rsid w:val="00DF33B6"/>
    <w:rsid w:val="00F2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DEA5F"/>
  <w15:chartTrackingRefBased/>
  <w15:docId w15:val="{AD4821D2-5099-4746-A89C-F703F1B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1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0719"/>
    <w:pPr>
      <w:spacing w:line="259" w:lineRule="auto"/>
      <w:ind w:left="720"/>
      <w:contextualSpacing/>
    </w:pPr>
  </w:style>
  <w:style w:type="character" w:customStyle="1" w:styleId="normaltextrun">
    <w:name w:val="normaltextrun"/>
    <w:basedOn w:val="DefaultParagraphFont"/>
    <w:rsid w:val="000540CD"/>
  </w:style>
  <w:style w:type="character" w:customStyle="1" w:styleId="eop">
    <w:name w:val="eop"/>
    <w:basedOn w:val="DefaultParagraphFont"/>
    <w:rsid w:val="000540CD"/>
  </w:style>
  <w:style w:type="paragraph" w:customStyle="1" w:styleId="paragraph">
    <w:name w:val="paragraph"/>
    <w:basedOn w:val="Normal"/>
    <w:rsid w:val="0016172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1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722"/>
    <w:rPr>
      <w:kern w:val="0"/>
      <w:sz w:val="20"/>
      <w:szCs w:val="20"/>
      <w14:ligatures w14:val="none"/>
    </w:rPr>
  </w:style>
  <w:style w:type="character" w:styleId="FootnoteReference">
    <w:name w:val="footnote reference"/>
    <w:basedOn w:val="DefaultParagraphFont"/>
    <w:uiPriority w:val="99"/>
    <w:semiHidden/>
    <w:unhideWhenUsed/>
    <w:rsid w:val="00161722"/>
    <w:rPr>
      <w:vertAlign w:val="superscript"/>
    </w:rPr>
  </w:style>
  <w:style w:type="character" w:styleId="Hyperlink">
    <w:name w:val="Hyperlink"/>
    <w:basedOn w:val="DefaultParagraphFont"/>
    <w:uiPriority w:val="99"/>
    <w:unhideWhenUsed/>
    <w:rsid w:val="00161722"/>
    <w:rPr>
      <w:color w:val="0563C1" w:themeColor="hyperlink"/>
      <w:u w:val="single"/>
    </w:rPr>
  </w:style>
  <w:style w:type="character" w:styleId="SmartLink">
    <w:name w:val="Smart Link"/>
    <w:basedOn w:val="DefaultParagraphFont"/>
    <w:uiPriority w:val="99"/>
    <w:semiHidden/>
    <w:unhideWhenUsed/>
    <w:rsid w:val="0016172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report-conserving-and-restoring-america-the-beautiful-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cpteddy.sharepoint.com/sites/External/Shared%20Documents/Forms/AllItems.aspx?id=%2Fsites%2FExternal%2FShared%20Documents%2FGrant%20Attachments%2FWestern%20LAnds%2FStorer%2FInterim%20Report%2010%2E14%2E22%2F20220819Habitat%20Connectivity%20and%20Migration%20Corridors%20in%20NFS%20Planning%20and%20Decision%2Epdf&amp;parent=%2Fsites%2FExternal%2FShared%20Documents%2FGrant%20Attachments%2FWestern%20LAnds%2FStorer%2FInterim%20Report%2010%2E14%2E22&amp;p=true&amp;wdLOR=c7272666C%2D23E1%2D4B82%2DABE4%2DDAE820391C4F&amp;ga=1" TargetMode="External"/><Relationship Id="rId5" Type="http://schemas.openxmlformats.org/officeDocument/2006/relationships/footnotes" Target="footnotes.xml"/><Relationship Id="rId10" Type="http://schemas.openxmlformats.org/officeDocument/2006/relationships/hyperlink" Target="https://www.trcp.org/2022/06/23/usda-announcement-forest-management-stands-enhance-habitat-connectivity-restoration/" TargetMode="External"/><Relationship Id="rId4" Type="http://schemas.openxmlformats.org/officeDocument/2006/relationships/webSettings" Target="webSettings.xml"/><Relationship Id="rId9" Type="http://schemas.openxmlformats.org/officeDocument/2006/relationships/hyperlink" Target="https://www.nfwf.org/sites/default/files/2020-09/Montana2020SA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Laird</dc:creator>
  <cp:keywords/>
  <dc:description/>
  <cp:lastModifiedBy>Scott Laird</cp:lastModifiedBy>
  <cp:revision>1</cp:revision>
  <dcterms:created xsi:type="dcterms:W3CDTF">2023-07-07T17:22:00Z</dcterms:created>
  <dcterms:modified xsi:type="dcterms:W3CDTF">2023-07-07T19:18:00Z</dcterms:modified>
</cp:coreProperties>
</file>