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9CF" w:rsidRDefault="00C46CEC" w:rsidP="005629CF">
      <w:r>
        <w:t xml:space="preserve">8 June </w:t>
      </w:r>
      <w:r w:rsidR="003D708B">
        <w:t>2023</w:t>
      </w:r>
    </w:p>
    <w:p w:rsidR="005629CF" w:rsidRDefault="005629CF" w:rsidP="005629CF"/>
    <w:p w:rsidR="000C1D02" w:rsidRDefault="005629CF" w:rsidP="005629CF">
      <w:r>
        <w:t xml:space="preserve">TO: </w:t>
      </w:r>
      <w:r w:rsidR="00C46CEC">
        <w:t xml:space="preserve">Kendall </w:t>
      </w:r>
      <w:proofErr w:type="spellStart"/>
      <w:r w:rsidR="00C46CEC">
        <w:t>Cikanek</w:t>
      </w:r>
      <w:proofErr w:type="spellEnd"/>
      <w:r w:rsidR="00C46CEC">
        <w:t>,(</w:t>
      </w:r>
      <w:hyperlink r:id="rId8" w:history="1">
        <w:r w:rsidR="00C10D57" w:rsidRPr="00FF61DF">
          <w:rPr>
            <w:rStyle w:val="Hyperlink"/>
          </w:rPr>
          <w:t>kendall.cikanek@usda.gov</w:t>
        </w:r>
      </w:hyperlink>
      <w:r w:rsidR="00C46CEC">
        <w:t>), Whitman District Ranger</w:t>
      </w:r>
    </w:p>
    <w:p w:rsidR="005629CF" w:rsidRDefault="00167369" w:rsidP="005629CF">
      <w:r w:rsidRPr="00167369">
        <w:t xml:space="preserve">ATTN: </w:t>
      </w:r>
      <w:r w:rsidR="00C46CEC">
        <w:t xml:space="preserve">Adrian </w:t>
      </w:r>
      <w:proofErr w:type="spellStart"/>
      <w:r w:rsidR="00C46CEC">
        <w:t>Cuzick</w:t>
      </w:r>
      <w:proofErr w:type="spellEnd"/>
      <w:r w:rsidR="00C10D57">
        <w:t xml:space="preserve"> (</w:t>
      </w:r>
      <w:hyperlink r:id="rId9" w:history="1">
        <w:r w:rsidR="00C10D57" w:rsidRPr="00C10D57">
          <w:rPr>
            <w:rStyle w:val="Hyperlink"/>
            <w:shd w:val="clear" w:color="auto" w:fill="FFFFFF"/>
          </w:rPr>
          <w:t>adrian.cuzick@usda.gov</w:t>
        </w:r>
      </w:hyperlink>
      <w:r w:rsidR="00C10D57">
        <w:rPr>
          <w:rFonts w:ascii="Arial" w:hAnsi="Arial" w:cs="Arial"/>
          <w:sz w:val="22"/>
          <w:szCs w:val="22"/>
          <w:shd w:val="clear" w:color="auto" w:fill="FFFFFF"/>
        </w:rPr>
        <w:t>)</w:t>
      </w:r>
    </w:p>
    <w:p w:rsidR="001C4A19" w:rsidRDefault="005629CF" w:rsidP="00C46CEC">
      <w:r>
        <w:t xml:space="preserve">VIA: </w:t>
      </w:r>
      <w:hyperlink r:id="rId10" w:history="1">
        <w:r w:rsidR="001C4A19" w:rsidRPr="00FF61DF">
          <w:rPr>
            <w:rStyle w:val="Hyperlink"/>
          </w:rPr>
          <w:t>https://cara.fs2c.usda.gov/Public//CommentInput?Project=59524</w:t>
        </w:r>
      </w:hyperlink>
      <w:r w:rsidR="001C4A19">
        <w:t xml:space="preserve"> </w:t>
      </w:r>
    </w:p>
    <w:p w:rsidR="001C4A19" w:rsidRDefault="001C4A19" w:rsidP="00C46CEC"/>
    <w:p w:rsidR="005629CF" w:rsidRDefault="005629CF" w:rsidP="00C46CEC">
      <w:pPr>
        <w:rPr>
          <w:b/>
        </w:rPr>
      </w:pPr>
      <w:r>
        <w:rPr>
          <w:b/>
        </w:rPr>
        <w:t xml:space="preserve">Subject: </w:t>
      </w:r>
      <w:proofErr w:type="spellStart"/>
      <w:r w:rsidR="00C46CEC" w:rsidRPr="00C46CEC">
        <w:rPr>
          <w:b/>
        </w:rPr>
        <w:t>Bonnanza</w:t>
      </w:r>
      <w:proofErr w:type="spellEnd"/>
      <w:r w:rsidR="00C46CEC" w:rsidRPr="00C46CEC">
        <w:rPr>
          <w:b/>
        </w:rPr>
        <w:t xml:space="preserve"> Big Hole Placer</w:t>
      </w:r>
      <w:r w:rsidR="00C46CEC">
        <w:rPr>
          <w:b/>
        </w:rPr>
        <w:t xml:space="preserve"> </w:t>
      </w:r>
      <w:r w:rsidR="00C46CEC" w:rsidRPr="00C46CEC">
        <w:rPr>
          <w:b/>
        </w:rPr>
        <w:t>Mining and Reclamation Project</w:t>
      </w:r>
      <w:r w:rsidR="00C46CEC" w:rsidRPr="00C46CEC">
        <w:rPr>
          <w:b/>
        </w:rPr>
        <w:t xml:space="preserve"> </w:t>
      </w:r>
      <w:r>
        <w:rPr>
          <w:b/>
        </w:rPr>
        <w:t>—comments</w:t>
      </w:r>
    </w:p>
    <w:p w:rsidR="00C46CEC" w:rsidRDefault="00C46CEC" w:rsidP="005629CF"/>
    <w:p w:rsidR="00666A20" w:rsidRDefault="005629CF" w:rsidP="005629CF">
      <w:r>
        <w:t>Please accept the following comments from Oregon Wild concerning the</w:t>
      </w:r>
      <w:r w:rsidR="00BB563F">
        <w:t xml:space="preserve"> </w:t>
      </w:r>
      <w:proofErr w:type="spellStart"/>
      <w:r w:rsidR="00C46CEC" w:rsidRPr="00C46CEC">
        <w:t>Bonnanza</w:t>
      </w:r>
      <w:proofErr w:type="spellEnd"/>
      <w:r w:rsidR="00C46CEC" w:rsidRPr="00C46CEC">
        <w:t xml:space="preserve"> Big Hole Placer Mining and Reclamation Project</w:t>
      </w:r>
      <w:r>
        <w:t>,</w:t>
      </w:r>
      <w:r w:rsidR="00C46CEC" w:rsidRPr="00C46CEC">
        <w:t xml:space="preserve"> </w:t>
      </w:r>
      <w:hyperlink r:id="rId11" w:history="1">
        <w:r w:rsidR="00C46CEC" w:rsidRPr="00FF61DF">
          <w:rPr>
            <w:rStyle w:val="Hyperlink"/>
          </w:rPr>
          <w:t>https://www.fs.usda.gov/project/?project=59524</w:t>
        </w:r>
      </w:hyperlink>
      <w:r>
        <w:t xml:space="preserve">. </w:t>
      </w:r>
      <w:r w:rsidR="00625BDA">
        <w:t>Oregon Wild represents 20</w:t>
      </w:r>
      <w:r w:rsidR="00666A20" w:rsidRPr="00A31583">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5D5884" w:rsidRDefault="005D5884" w:rsidP="005629CF"/>
    <w:p w:rsidR="0094662C" w:rsidRDefault="005D5884" w:rsidP="005629CF">
      <w:r>
        <w:t xml:space="preserve">Thank you for working with Rob </w:t>
      </w:r>
      <w:proofErr w:type="spellStart"/>
      <w:r>
        <w:t>Klavins</w:t>
      </w:r>
      <w:proofErr w:type="spellEnd"/>
      <w:r>
        <w:t xml:space="preserve"> to clarify the goals of this project and the anticipated means of accomplishing them. We generally find </w:t>
      </w:r>
      <w:r>
        <w:t xml:space="preserve">mining </w:t>
      </w:r>
      <w:r>
        <w:t xml:space="preserve">on public lands to be contrary to the public interest because of the severe environmental effects and outdated mining laws. </w:t>
      </w:r>
      <w:r w:rsidR="0094662C">
        <w:t>If this proposal involves bringing this kind of extreme disturbance to pubic land adjacent to public streams, we are not going to support it.</w:t>
      </w:r>
    </w:p>
    <w:p w:rsidR="0094662C" w:rsidRDefault="0094662C" w:rsidP="0094662C">
      <w:pPr>
        <w:jc w:val="center"/>
      </w:pPr>
      <w:r w:rsidRPr="0094662C">
        <w:drawing>
          <wp:inline distT="0" distB="0" distL="0" distR="0" wp14:anchorId="18E8DAC3" wp14:editId="69A9690B">
            <wp:extent cx="3621182" cy="249381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44844" cy="2510113"/>
                    </a:xfrm>
                    <a:prstGeom prst="rect">
                      <a:avLst/>
                    </a:prstGeom>
                  </pic:spPr>
                </pic:pic>
              </a:graphicData>
            </a:graphic>
          </wp:inline>
        </w:drawing>
      </w:r>
    </w:p>
    <w:p w:rsidR="0094662C" w:rsidRDefault="0094662C" w:rsidP="005629CF"/>
    <w:p w:rsidR="005D5884" w:rsidRDefault="00746BA9" w:rsidP="005629CF">
      <w:r>
        <w:t xml:space="preserve">We understand that past mining has left the area in an undesirable state, but we are reluctant to accept that the federal government is unable or unwilling to correct that situation without </w:t>
      </w:r>
      <w:r>
        <w:lastRenderedPageBreak/>
        <w:t>allowing a significant expansion of mining activity onto public land.  W</w:t>
      </w:r>
      <w:r w:rsidR="005D5884">
        <w:t xml:space="preserve">e </w:t>
      </w:r>
      <w:r w:rsidR="005D5884">
        <w:t>encourage the agency to be extremely diligent about monitoring and enforcement</w:t>
      </w:r>
      <w:r w:rsidR="005D5884">
        <w:t xml:space="preserve"> of all requirements. </w:t>
      </w:r>
      <w:r w:rsidR="003B17B5">
        <w:t xml:space="preserve">Please make clear in the final NEPA decision </w:t>
      </w:r>
      <w:r w:rsidR="003B17B5">
        <w:t xml:space="preserve">all the </w:t>
      </w:r>
      <w:r w:rsidR="003B17B5">
        <w:t>mitigations</w:t>
      </w:r>
      <w:r w:rsidR="002D0B2C">
        <w:t>, bonding,</w:t>
      </w:r>
      <w:r w:rsidR="003B17B5">
        <w:t xml:space="preserve"> and </w:t>
      </w:r>
      <w:r w:rsidR="002D0B2C">
        <w:t xml:space="preserve">other </w:t>
      </w:r>
      <w:r w:rsidR="003B17B5">
        <w:t xml:space="preserve">assurances </w:t>
      </w:r>
      <w:r w:rsidR="003B17B5">
        <w:t xml:space="preserve">necessary to ensure </w:t>
      </w:r>
      <w:r w:rsidR="003B17B5">
        <w:t xml:space="preserve">this </w:t>
      </w:r>
      <w:r w:rsidR="003B17B5">
        <w:t>project meets reclamation goals</w:t>
      </w:r>
      <w:r w:rsidR="003B17B5">
        <w:t>.</w:t>
      </w:r>
      <w:r w:rsidR="005D5884">
        <w:t xml:space="preserve"> </w:t>
      </w:r>
    </w:p>
    <w:p w:rsidR="003B17B5" w:rsidRDefault="003B17B5" w:rsidP="005629CF"/>
    <w:p w:rsidR="00884B9A" w:rsidRPr="00A31583" w:rsidRDefault="00884B9A" w:rsidP="005629CF">
      <w:r>
        <w:t xml:space="preserve">It was difficult to use the </w:t>
      </w:r>
      <w:r w:rsidR="005D5884">
        <w:t xml:space="preserve">FS-rendered </w:t>
      </w:r>
      <w:r>
        <w:t xml:space="preserve">.pdf of the EA because it was saved in a way that made the text </w:t>
      </w:r>
      <w:r w:rsidR="00A930E6">
        <w:t>difficult to work with</w:t>
      </w:r>
      <w:r>
        <w:t>.</w:t>
      </w:r>
      <w:r w:rsidR="005D5884">
        <w:t xml:space="preserve"> Please use text recognition and save pdfs in a user-friendly form.</w:t>
      </w:r>
    </w:p>
    <w:p w:rsidR="00A31583" w:rsidRDefault="00A31583" w:rsidP="00A31583"/>
    <w:p w:rsidR="00E43B87" w:rsidRDefault="00E43B87" w:rsidP="00884B9A">
      <w:r>
        <w:t xml:space="preserve">It is hard to get a clear picture of the proposed action from reading </w:t>
      </w:r>
      <w:proofErr w:type="spellStart"/>
      <w:r>
        <w:t>the</w:t>
      </w:r>
      <w:proofErr w:type="spellEnd"/>
      <w:r>
        <w:t xml:space="preserve"> EA. The “proposed action” section of the EA should have a clear summary of the mining/reclamation proposal up front. </w:t>
      </w:r>
      <w:r w:rsidR="003D03D6">
        <w:t>The rest of the proposed action section provides a lot of detail but is a bit hard to follow.</w:t>
      </w:r>
    </w:p>
    <w:p w:rsidR="00E43B87" w:rsidRDefault="00E43B87" w:rsidP="00884B9A"/>
    <w:p w:rsidR="00666A20" w:rsidRPr="00A31583" w:rsidRDefault="003D708B" w:rsidP="00181118">
      <w:r>
        <w:t xml:space="preserve">This proposal involves </w:t>
      </w:r>
      <w:r w:rsidR="002D0B2C">
        <w:t xml:space="preserve">expansion onto National Forest land of ongoing mining activity on adjacent private with </w:t>
      </w:r>
      <w:r w:rsidR="00884B9A">
        <w:t xml:space="preserve">total </w:t>
      </w:r>
      <w:r w:rsidR="002D0B2C">
        <w:t xml:space="preserve">NFS </w:t>
      </w:r>
      <w:r w:rsidR="00884B9A">
        <w:t xml:space="preserve">surface disturbance of approximately 37 acres </w:t>
      </w:r>
      <w:r w:rsidR="00884B9A">
        <w:t>in a narrow canyon of Pine Creek</w:t>
      </w:r>
      <w:r w:rsidR="00884B9A">
        <w:t xml:space="preserve">, which includes </w:t>
      </w:r>
      <w:r w:rsidR="00884B9A">
        <w:t xml:space="preserve">21 acres of mining disturbance plus </w:t>
      </w:r>
      <w:r w:rsidR="00884B9A">
        <w:t>approximately one mile of</w:t>
      </w:r>
      <w:r w:rsidR="00884B9A">
        <w:t xml:space="preserve"> </w:t>
      </w:r>
      <w:r w:rsidR="00884B9A">
        <w:t>constructed h</w:t>
      </w:r>
      <w:r w:rsidR="00884B9A">
        <w:t xml:space="preserve">aul road 20 to 35 feet in width. </w:t>
      </w:r>
      <w:r w:rsidR="00E43B87" w:rsidRPr="00E43B87">
        <w:t>Mining would start downstream and move upstream (south to north) in approximately five-acre parcels</w:t>
      </w:r>
      <w:r w:rsidR="00E43B87">
        <w:t xml:space="preserve"> </w:t>
      </w:r>
      <w:r w:rsidR="00E43B87">
        <w:t>with the main haul ramp extending from the pit floor</w:t>
      </w:r>
      <w:r w:rsidR="00E43B87">
        <w:t xml:space="preserve"> </w:t>
      </w:r>
      <w:r w:rsidR="00E43B87">
        <w:t>northward to a one-way haulage road along the west side of the pit</w:t>
      </w:r>
      <w:r w:rsidR="00E43B87">
        <w:t>. S</w:t>
      </w:r>
      <w:r w:rsidR="00E43B87" w:rsidRPr="00E43B87">
        <w:t>ix wetlands and four waters located on NFS land that would be impacted by mining</w:t>
      </w:r>
      <w:r w:rsidR="00E43B87">
        <w:t xml:space="preserve">. </w:t>
      </w:r>
      <w:r w:rsidR="00E43B87">
        <w:t>Greater than 10,000 cubic yards (cy) would be processed annually, therefore, a</w:t>
      </w:r>
      <w:r w:rsidR="00E43B87">
        <w:t>n</w:t>
      </w:r>
      <w:r w:rsidR="00E43B87">
        <w:t xml:space="preserve"> Individual </w:t>
      </w:r>
      <w:r w:rsidR="00E43B87">
        <w:t xml:space="preserve">CWA </w:t>
      </w:r>
      <w:r w:rsidR="00E43B87">
        <w:t>Permit is required.</w:t>
      </w:r>
      <w:r w:rsidR="0094662C">
        <w:t xml:space="preserve"> </w:t>
      </w:r>
      <w:r w:rsidR="0094662C">
        <w:t xml:space="preserve">On-site mineral processing would include using wash water </w:t>
      </w:r>
      <w:r w:rsidR="0094662C">
        <w:t xml:space="preserve">drawn from Pine Creek (and groundwater) </w:t>
      </w:r>
      <w:r w:rsidR="0094662C">
        <w:t>and gravity separation in a closed loop system that does</w:t>
      </w:r>
      <w:r w:rsidR="0094662C">
        <w:t xml:space="preserve"> </w:t>
      </w:r>
      <w:r w:rsidR="0094662C">
        <w:t>not utilize settling ponds. The mobile processing plant would be moved as needed as each panel is mined.</w:t>
      </w:r>
      <w:r w:rsidR="003911C7">
        <w:t xml:space="preserve"> </w:t>
      </w:r>
      <w:r w:rsidR="003911C7">
        <w:t>Most of the</w:t>
      </w:r>
      <w:r w:rsidR="002D0B2C">
        <w:t xml:space="preserve"> </w:t>
      </w:r>
      <w:r w:rsidR="003911C7">
        <w:t>overburden stripped material would be directly hauled and backfilled into mined-out areas. Limited amounts of</w:t>
      </w:r>
      <w:r w:rsidR="003911C7">
        <w:t xml:space="preserve"> </w:t>
      </w:r>
      <w:r w:rsidR="003911C7">
        <w:t>overburden may be temporarily stockpiled on a backfilled cell. Alternate</w:t>
      </w:r>
      <w:r w:rsidR="003911C7">
        <w:t xml:space="preserve"> </w:t>
      </w:r>
      <w:r w:rsidR="003911C7">
        <w:t>temporary storage sites would be along the boundaries of the active five-acre pit as it progresses north.</w:t>
      </w:r>
      <w:r w:rsidR="003911C7">
        <w:t xml:space="preserve"> </w:t>
      </w:r>
      <w:r w:rsidR="003911C7">
        <w:t xml:space="preserve">The </w:t>
      </w:r>
      <w:r w:rsidR="003911C7">
        <w:t xml:space="preserve">reclamation </w:t>
      </w:r>
      <w:r w:rsidR="003911C7">
        <w:t>goal is</w:t>
      </w:r>
      <w:r w:rsidR="003911C7">
        <w:t xml:space="preserve"> </w:t>
      </w:r>
      <w:r w:rsidR="003911C7">
        <w:t xml:space="preserve">for the reclaimed area to match the surrounding topography as much as is possible. Following </w:t>
      </w:r>
      <w:proofErr w:type="spellStart"/>
      <w:r w:rsidR="003911C7">
        <w:t>recontouring</w:t>
      </w:r>
      <w:proofErr w:type="spellEnd"/>
      <w:r w:rsidR="003911C7">
        <w:t>, the</w:t>
      </w:r>
      <w:r w:rsidR="003911C7">
        <w:t xml:space="preserve"> </w:t>
      </w:r>
      <w:r w:rsidR="003911C7">
        <w:t>areas would be reseeded with a USFS approved weed-free seed mix to minimize soil erosion and water runoff</w:t>
      </w:r>
      <w:r w:rsidR="003911C7">
        <w:t xml:space="preserve"> </w:t>
      </w:r>
      <w:r w:rsidR="003911C7">
        <w:t>sediment issues and protect fish and wildlife habitat.</w:t>
      </w:r>
      <w:r w:rsidR="00181118">
        <w:t xml:space="preserve"> </w:t>
      </w:r>
      <w:r w:rsidR="00181118">
        <w:t xml:space="preserve">The historic channel </w:t>
      </w:r>
      <w:r w:rsidR="002D0B2C">
        <w:t xml:space="preserve">and wetland complex </w:t>
      </w:r>
      <w:r w:rsidR="00181118">
        <w:t>would be restored in</w:t>
      </w:r>
      <w:r w:rsidR="00181118">
        <w:t xml:space="preserve"> </w:t>
      </w:r>
      <w:r w:rsidR="00181118">
        <w:t>order to decrease the effects of 100-year flooding. The original Pine Creek drainage would be restored</w:t>
      </w:r>
      <w:r w:rsidR="00181118">
        <w:t xml:space="preserve"> </w:t>
      </w:r>
      <w:r w:rsidR="00181118">
        <w:t>to its natural pre-mining contours.</w:t>
      </w:r>
    </w:p>
    <w:p w:rsidR="00C137D5" w:rsidRDefault="00C137D5" w:rsidP="00A31583"/>
    <w:p w:rsidR="00746BA9" w:rsidRDefault="00746BA9" w:rsidP="00A31583">
      <w:r>
        <w:t xml:space="preserve">The EA should provide a more detailed explanation of how LRMP requirements are met. This analysis leaves a lot to be desired. </w:t>
      </w:r>
    </w:p>
    <w:p w:rsidR="00746BA9" w:rsidRDefault="00746BA9" w:rsidP="00C346B5">
      <w:pPr>
        <w:ind w:left="720"/>
      </w:pPr>
      <w:r w:rsidRPr="00746BA9">
        <w:lastRenderedPageBreak/>
        <w:drawing>
          <wp:inline distT="0" distB="0" distL="0" distR="0" wp14:anchorId="538300F2" wp14:editId="326C4F1A">
            <wp:extent cx="4516582" cy="268099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30072" cy="2689005"/>
                    </a:xfrm>
                    <a:prstGeom prst="rect">
                      <a:avLst/>
                    </a:prstGeom>
                  </pic:spPr>
                </pic:pic>
              </a:graphicData>
            </a:graphic>
          </wp:inline>
        </w:drawing>
      </w:r>
    </w:p>
    <w:p w:rsidR="00746BA9" w:rsidRDefault="00746BA9" w:rsidP="00A31583"/>
    <w:p w:rsidR="00C346B5" w:rsidRDefault="00C346B5" w:rsidP="00C346B5">
      <w:r>
        <w:t>The Forest Service NEPA Handbook also requires that Decision Notices explain complete[</w:t>
      </w:r>
      <w:proofErr w:type="spellStart"/>
      <w:r>
        <w:t>ly</w:t>
      </w:r>
      <w:proofErr w:type="spellEnd"/>
      <w:r>
        <w:t>] and comprehensive[</w:t>
      </w:r>
      <w:proofErr w:type="spellStart"/>
      <w:r>
        <w:t>ly</w:t>
      </w:r>
      <w:proofErr w:type="spellEnd"/>
      <w:r>
        <w:t xml:space="preserve">]” how the NEPA decision complies with applicable legal requirements including the LRMP land allocations and Standards &amp; Guidelines. </w:t>
      </w:r>
    </w:p>
    <w:p w:rsidR="00C346B5" w:rsidRDefault="00C346B5" w:rsidP="00C346B5">
      <w:pPr>
        <w:ind w:left="720"/>
      </w:pPr>
      <w:r>
        <w:t xml:space="preserve">FSH 1909.15 Chapter 40, 43.21 - </w:t>
      </w:r>
      <w:r>
        <w:rPr>
          <w:b/>
        </w:rPr>
        <w:t>Format and Content</w:t>
      </w:r>
      <w:r>
        <w:t xml:space="preserve"> </w:t>
      </w:r>
    </w:p>
    <w:p w:rsidR="00C346B5" w:rsidRDefault="00C346B5" w:rsidP="00C346B5">
      <w:pPr>
        <w:ind w:left="720"/>
      </w:pPr>
      <w:r>
        <w:t xml:space="preserve">Decision notices document the conclusions drawn and the decision(s) made based on the analysis in the EA. Decision notices should conform to the following format and content. While sections may be combined or rearranged in the interest of clarity and brevity, the </w:t>
      </w:r>
      <w:r>
        <w:rPr>
          <w:u w:val="single"/>
        </w:rPr>
        <w:t>information needs to be complete and comprehensive</w:t>
      </w:r>
      <w:r>
        <w:t xml:space="preserve">. </w:t>
      </w:r>
    </w:p>
    <w:p w:rsidR="00C346B5" w:rsidRDefault="00C346B5" w:rsidP="00C346B5">
      <w:pPr>
        <w:ind w:left="720"/>
      </w:pPr>
      <w:r>
        <w:t>…</w:t>
      </w:r>
    </w:p>
    <w:p w:rsidR="00C346B5" w:rsidRDefault="00C346B5" w:rsidP="00C346B5">
      <w:pPr>
        <w:ind w:left="720"/>
      </w:pPr>
      <w:r>
        <w:t xml:space="preserve">6. Findings required by other laws and regulations. Include any findings required by any other laws which apply to the decision being made. Cite the project record or environmental analysis document that contains the information being used to support the findings. </w:t>
      </w:r>
      <w:r>
        <w:rPr>
          <w:u w:val="single"/>
        </w:rPr>
        <w:t>Describe how the decision is consistent with applicable laws and regulations. For example, findings regarding consistency with the forest plan (allocation, and standards and guidelines</w:t>
      </w:r>
      <w:r>
        <w:t>), suitability for timber production, and vegetation management criteria required by the National Forest Management Act and 36 CFR part 219. (emphasis added)</w:t>
      </w:r>
    </w:p>
    <w:p w:rsidR="00C346B5" w:rsidRDefault="00C346B5" w:rsidP="00C346B5">
      <w:hyperlink r:id="rId14" w:history="1">
        <w:r>
          <w:rPr>
            <w:rStyle w:val="Hyperlink"/>
          </w:rPr>
          <w:t>http://web.archive.org/web/20090118192937/http://www.fs.fed.us/im/directives/fsh/1909.15/1909.15_40.doc</w:t>
        </w:r>
      </w:hyperlink>
      <w:r>
        <w:t xml:space="preserve">. See also </w:t>
      </w:r>
      <w:r>
        <w:t xml:space="preserve">Judge Hogan’s ruling in </w:t>
      </w:r>
      <w:r>
        <w:rPr>
          <w:u w:val="single"/>
        </w:rPr>
        <w:t xml:space="preserve">Klamath Siskiyou Wildlands Center v. </w:t>
      </w:r>
      <w:proofErr w:type="spellStart"/>
      <w:r>
        <w:rPr>
          <w:u w:val="single"/>
        </w:rPr>
        <w:t>Boody</w:t>
      </w:r>
      <w:proofErr w:type="spellEnd"/>
      <w:r>
        <w:t xml:space="preserve"> (D. Or. #03-3124-CO. May 18, 2004) where he held “plaintiffs have raised a serious question as to whether BLM violated NEPA in failing to disclose sufficient information in the EA to confirm compliance with … the RMP.” (Order at page 18).</w:t>
      </w:r>
      <w:r>
        <w:t xml:space="preserve"> The EA includes Table 3 showing supporting project documentation. Those documents, especially the specialists reports, watershed analysis and the biological assessment, should be included in the project website to help inform public comments.</w:t>
      </w:r>
      <w:r w:rsidR="00C10D57">
        <w:t xml:space="preserve"> The project website has two of the specialists reports, but many are missing.</w:t>
      </w:r>
    </w:p>
    <w:p w:rsidR="00C346B5" w:rsidRDefault="00C346B5" w:rsidP="00C346B5"/>
    <w:p w:rsidR="003D03D6" w:rsidRDefault="003D03D6" w:rsidP="00C346B5">
      <w:r>
        <w:lastRenderedPageBreak/>
        <w:t xml:space="preserve">Design criteria include following all requirements of the relevant LRMP as amended by IFISH. This is good, but those requirements should be spelled out. It would seem difficult to </w:t>
      </w:r>
      <w:r w:rsidR="00D05030">
        <w:t xml:space="preserve">achieve the goals of </w:t>
      </w:r>
      <w:r>
        <w:t xml:space="preserve">INFISH </w:t>
      </w:r>
      <w:r w:rsidR="00D05030">
        <w:t>if mining includes significant disturbance of RHCAs up to 50 feet from streams.</w:t>
      </w:r>
      <w:r>
        <w:t xml:space="preserve"> </w:t>
      </w:r>
      <w:r w:rsidR="00D05030">
        <w:t>As noted in our scoping comments, those INFISH goals include:</w:t>
      </w:r>
    </w:p>
    <w:p w:rsidR="00D05030" w:rsidRPr="003E668F" w:rsidRDefault="00D05030" w:rsidP="00D05030">
      <w:pPr>
        <w:spacing w:line="240" w:lineRule="auto"/>
        <w:ind w:left="720"/>
        <w:rPr>
          <w:rFonts w:eastAsia="Times New Roman"/>
        </w:rPr>
      </w:pPr>
      <w:r w:rsidRPr="003E668F">
        <w:rPr>
          <w:rFonts w:eastAsia="Times New Roman"/>
        </w:rPr>
        <w:t>RIPARIAN GOALS (GOALS)</w:t>
      </w:r>
      <w:r w:rsidRPr="003E668F">
        <w:rPr>
          <w:rFonts w:eastAsia="Times New Roman"/>
        </w:rPr>
        <w:br/>
        <w:t xml:space="preserve">The goals establish an expectation of the characteristics </w:t>
      </w:r>
      <w:r>
        <w:rPr>
          <w:rFonts w:eastAsia="Times New Roman"/>
        </w:rPr>
        <w:t>of healthy, functioning watersh</w:t>
      </w:r>
      <w:r w:rsidRPr="003E668F">
        <w:rPr>
          <w:rFonts w:eastAsia="Times New Roman"/>
        </w:rPr>
        <w:t>eds, riparian areas, and associated fish habitats. Since the quality of water and fish habitat in aquatic systems is inseparably related to the integrity of upland and riparian areas within the watersheds, Alternatives 3 and 4 articulate several goals for watershed, riparian, and stream channel conditions, The goals are to maintain or restore:</w:t>
      </w:r>
      <w:r w:rsidRPr="003E668F">
        <w:rPr>
          <w:rFonts w:eastAsia="Times New Roman"/>
        </w:rPr>
        <w:br/>
        <w:t xml:space="preserve">(1) water quality to a degree that provides for stable and </w:t>
      </w:r>
      <w:r>
        <w:rPr>
          <w:rFonts w:eastAsia="Times New Roman"/>
        </w:rPr>
        <w:t xml:space="preserve">productive riparian and aquatic </w:t>
      </w:r>
      <w:r w:rsidRPr="003E668F">
        <w:rPr>
          <w:rFonts w:eastAsia="Times New Roman"/>
        </w:rPr>
        <w:t>ecosystems;</w:t>
      </w:r>
      <w:r w:rsidRPr="003E668F">
        <w:rPr>
          <w:rFonts w:eastAsia="Times New Roman"/>
        </w:rPr>
        <w:br/>
        <w:t>(2) stream channel integrity, channel processes, and the sediment regime (including the elements of timing, volume, and character of sediment input and transport) under which the riparian and aquatic ecosystems developed;</w:t>
      </w:r>
      <w:r w:rsidRPr="003E668F">
        <w:rPr>
          <w:rFonts w:eastAsia="Times New Roman"/>
        </w:rPr>
        <w:br/>
        <w:t>(3) instream flows to support healthy riparian and aquatic habitats, the stability and effective function of stream channels, and the ability to route flood discharges;</w:t>
      </w:r>
      <w:r w:rsidRPr="003E668F">
        <w:rPr>
          <w:rFonts w:eastAsia="Times New Roman"/>
        </w:rPr>
        <w:br/>
        <w:t>(4) natural timing and variability of the water table elevation in meadows and wetlands;</w:t>
      </w:r>
      <w:r w:rsidRPr="003E668F">
        <w:rPr>
          <w:rFonts w:eastAsia="Times New Roman"/>
        </w:rPr>
        <w:br/>
        <w:t>(5) diversity and product</w:t>
      </w:r>
      <w:r>
        <w:rPr>
          <w:rFonts w:eastAsia="Times New Roman"/>
        </w:rPr>
        <w:t>ivity of native and desired non-</w:t>
      </w:r>
      <w:r w:rsidRPr="003E668F">
        <w:rPr>
          <w:rFonts w:eastAsia="Times New Roman"/>
        </w:rPr>
        <w:t>native plant communities in riparian zones;</w:t>
      </w:r>
      <w:r w:rsidRPr="003E668F">
        <w:rPr>
          <w:rFonts w:eastAsia="Times New Roman"/>
        </w:rPr>
        <w:br/>
        <w:t>(6) riparian vegetation to:</w:t>
      </w:r>
      <w:r w:rsidRPr="003E668F">
        <w:rPr>
          <w:rFonts w:eastAsia="Times New Roman"/>
        </w:rPr>
        <w:br/>
        <w:t>(a) provide an amount and distribution of large woody debris characteristic of natural aquatic ·and riparian ecosystems;</w:t>
      </w:r>
      <w:r w:rsidRPr="003E668F">
        <w:rPr>
          <w:rFonts w:eastAsia="Times New Roman"/>
        </w:rPr>
        <w:br/>
        <w:t>(b) provide adequate summer and winter thermal regulation within the riparian and aquatic zones; and</w:t>
      </w:r>
      <w:r w:rsidRPr="003E668F">
        <w:rPr>
          <w:rFonts w:eastAsia="Times New Roman"/>
        </w:rPr>
        <w:br/>
        <w:t>(c) help achieve rates of surface erosion, bank erosion, and channel migration characteristic of those under which the communities developed.</w:t>
      </w:r>
      <w:r w:rsidRPr="003E668F">
        <w:rPr>
          <w:rFonts w:eastAsia="Times New Roman"/>
        </w:rPr>
        <w:br/>
        <w:t>(7) riparian and aquatic habitats necessary to foster the unique genetic fish stocks that evolved within the specific geo-climatic region; and</w:t>
      </w:r>
      <w:r w:rsidRPr="003E668F">
        <w:rPr>
          <w:rFonts w:eastAsia="Times New Roman"/>
        </w:rPr>
        <w:br/>
        <w:t>(8) habitat to support populations of well-distributed native and desired non-native plant, vertebrate, and invertebrate populations that contribute to the viability of riparian-dependent communities.</w:t>
      </w:r>
    </w:p>
    <w:p w:rsidR="00D05030" w:rsidRDefault="00D05030" w:rsidP="00A31583"/>
    <w:p w:rsidR="003D03D6" w:rsidRDefault="00D05030" w:rsidP="00A31583">
      <w:r>
        <w:t xml:space="preserve">We urge the reclamation plans include addition of wood, and planting of diverse </w:t>
      </w:r>
      <w:r>
        <w:t>native tree</w:t>
      </w:r>
      <w:r>
        <w:t>s</w:t>
      </w:r>
      <w:r>
        <w:t xml:space="preserve"> </w:t>
      </w:r>
      <w:r>
        <w:t>to ensure long-term recruitment of sufficient woody structure and nutrient inputs.</w:t>
      </w:r>
    </w:p>
    <w:p w:rsidR="00D05030" w:rsidRDefault="00D05030" w:rsidP="00A31583"/>
    <w:p w:rsidR="00D05030" w:rsidRDefault="005A0393" w:rsidP="005A0393">
      <w:r>
        <w:t>The EA basically conducts no meaningful environmental analysis. EA (p 38) says “</w:t>
      </w:r>
      <w:r>
        <w:t>Although a number of concerns were noted during scoping and the analysis, no issues were identified. As</w:t>
      </w:r>
      <w:r>
        <w:t xml:space="preserve"> </w:t>
      </w:r>
      <w:r>
        <w:t>documented in this EA and this Project’s planning record, the Proposed Action would not result in unacceptable</w:t>
      </w:r>
      <w:r>
        <w:t xml:space="preserve"> </w:t>
      </w:r>
      <w:r>
        <w:t>impacts on any given resource and the Proposed Action would be consistent with applicable laws, rules, regulations,</w:t>
      </w:r>
      <w:r>
        <w:t xml:space="preserve"> </w:t>
      </w:r>
      <w:r>
        <w:t>and Forest Plan.</w:t>
      </w:r>
      <w:r>
        <w:t>” We disagree and think a more detailed analysis of INFISH compliance is warranted.</w:t>
      </w:r>
    </w:p>
    <w:p w:rsidR="003D03D6" w:rsidRDefault="003D03D6" w:rsidP="00A31583"/>
    <w:p w:rsidR="00C346B5" w:rsidRDefault="00C346B5" w:rsidP="00A31583">
      <w:r>
        <w:lastRenderedPageBreak/>
        <w:t>The EA should consider alternative</w:t>
      </w:r>
      <w:r w:rsidR="0085192E">
        <w:t>s that better mitigate adverse effects, and an analysis that compares and contrasts the effects of the projects with more or less mitigation.</w:t>
      </w:r>
    </w:p>
    <w:p w:rsidR="003D03D6" w:rsidRDefault="003D03D6" w:rsidP="00A31583"/>
    <w:p w:rsidR="0085192E" w:rsidRDefault="0085192E" w:rsidP="00630ADF">
      <w:r>
        <w:t>The EA says that ESA-threatened bull trout and its critical habitat may be adversely affected, but the EA provides little to no explanation of those effects or how they are mitigated.</w:t>
      </w:r>
      <w:r w:rsidR="00BA0011">
        <w:t xml:space="preserve"> Bull trout are kind of a big deal, but you wouldn’t know it from reading the EA.</w:t>
      </w:r>
      <w:r w:rsidR="00737275">
        <w:t xml:space="preserve"> </w:t>
      </w:r>
      <w:r w:rsidR="00F020A6">
        <w:t>The specialists report says “</w:t>
      </w:r>
      <w:r w:rsidR="00630ADF">
        <w:t>migratory behavior by bull</w:t>
      </w:r>
      <w:r w:rsidR="00630ADF">
        <w:t xml:space="preserve"> </w:t>
      </w:r>
      <w:r w:rsidR="00630ADF">
        <w:t>trout is limited</w:t>
      </w:r>
      <w:r w:rsidR="00630ADF">
        <w:t>” based on evidence from the Pine Creek Basin, but this conclusion may be a product of poor habitat, not the species preferences. The report acknowledges that “</w:t>
      </w:r>
      <w:r w:rsidR="00630ADF">
        <w:t>bull trout populations</w:t>
      </w:r>
      <w:r w:rsidR="00630ADF">
        <w:t xml:space="preserve"> </w:t>
      </w:r>
      <w:r w:rsidR="00630ADF">
        <w:t>display a spectrum of migratory behaviors</w:t>
      </w:r>
      <w:r w:rsidR="00630ADF">
        <w:t>.” There is evidence that b</w:t>
      </w:r>
      <w:r w:rsidR="00737275">
        <w:t xml:space="preserve">ull trout </w:t>
      </w:r>
      <w:r w:rsidR="00F020A6">
        <w:t xml:space="preserve">can be a </w:t>
      </w:r>
      <w:r w:rsidR="00737275">
        <w:t xml:space="preserve">highly mobile species. They often move from headwaters </w:t>
      </w:r>
      <w:r w:rsidR="00F020A6">
        <w:t xml:space="preserve">to larger </w:t>
      </w:r>
      <w:r w:rsidR="00737275">
        <w:t xml:space="preserve">downstream </w:t>
      </w:r>
      <w:r w:rsidR="00F020A6">
        <w:t xml:space="preserve">waters </w:t>
      </w:r>
      <w:r w:rsidR="00737275">
        <w:t>to feed. This project area may be an important migratory route, which is supported by the fact that a bull trout was captured in the project area in 2013.</w:t>
      </w:r>
      <w:r w:rsidR="00F020A6">
        <w:t xml:space="preserve"> Even if the 50 foot buffer between the creek and mining is effective (which is doubtful) there are later stages of reclamation that may have more significant direct impacts on the stream and bull trout. Even if these effects are beneficial overall, they deserve more careful disclosure and consideration in the NEPA analysis.</w:t>
      </w:r>
    </w:p>
    <w:p w:rsidR="0085192E" w:rsidRDefault="0085192E" w:rsidP="00A31583"/>
    <w:p w:rsidR="0085192E" w:rsidRDefault="0085192E" w:rsidP="00A31583">
      <w:r>
        <w:t>In the end it’s kind of amazing that this EA is 62 pages long but provides little in the way of NEPA analysis of alternatives and environmental effects</w:t>
      </w:r>
      <w:r w:rsidR="00C10D57">
        <w:t xml:space="preserve"> that can inform commenters and the decision-maker</w:t>
      </w:r>
      <w:r>
        <w:t>.</w:t>
      </w:r>
      <w:r w:rsidR="00C10D57">
        <w:t xml:space="preserve"> The conversations that the Forest Service had with Oregon Wild staff are appreciated, but they do not replace careful and competent NEPA analysis.</w:t>
      </w:r>
    </w:p>
    <w:p w:rsidR="003D03D6" w:rsidRDefault="003D03D6" w:rsidP="00A31583"/>
    <w:p w:rsidR="00666A20" w:rsidRDefault="00203259" w:rsidP="00A31583">
      <w:r>
        <w:t>Each substantive issue discussed in these comments should be (</w:t>
      </w:r>
      <w:proofErr w:type="spellStart"/>
      <w:r>
        <w:t>i</w:t>
      </w:r>
      <w:proofErr w:type="spellEnd"/>
      <w:r>
        <w:t>) incorporated into the purpose and need for the p</w:t>
      </w:r>
      <w:r w:rsidR="006767B9">
        <w:t xml:space="preserve">roject, (ii) used to develop </w:t>
      </w:r>
      <w:r>
        <w:t>NEPA alternative</w:t>
      </w:r>
      <w:r w:rsidR="006767B9">
        <w:t>s that balance tradeoffs in different ways</w:t>
      </w:r>
      <w:r>
        <w:t xml:space="preserve">, (iii) carefully analyzed </w:t>
      </w:r>
      <w:r w:rsidR="006767B9">
        <w:t xml:space="preserve">and documented </w:t>
      </w:r>
      <w:r>
        <w:t>as part of the effects analysis, and (iv) considered for mitigation.</w:t>
      </w:r>
    </w:p>
    <w:p w:rsidR="00F60B7B" w:rsidRDefault="00F60B7B" w:rsidP="00A31583"/>
    <w:p w:rsidR="00F60B7B" w:rsidRDefault="00F60B7B" w:rsidP="00A31583">
      <w:r>
        <w:t>Please post to the project website, links to all relevant ESA and EFH consultation documents, RMPs, watershed analyses, and other supporting documents relied on in the NEPA analysis.</w:t>
      </w:r>
    </w:p>
    <w:p w:rsidR="00C31F1E" w:rsidRDefault="00C31F1E" w:rsidP="00A31583"/>
    <w:p w:rsidR="00545F30" w:rsidRDefault="00545F30" w:rsidP="00A31583"/>
    <w:p w:rsidR="00666A20" w:rsidRPr="00A31583" w:rsidRDefault="00666A20" w:rsidP="00A31583">
      <w:bookmarkStart w:id="0" w:name="_GoBack"/>
      <w:bookmarkEnd w:id="0"/>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883909" w:rsidP="00A31583">
      <w:hyperlink r:id="rId16" w:history="1">
        <w:r w:rsidR="00690066" w:rsidRPr="00A31583">
          <w:rPr>
            <w:rStyle w:val="Hyperlink"/>
          </w:rPr>
          <w:t>dh@oregonwild.org</w:t>
        </w:r>
      </w:hyperlink>
      <w:r w:rsidR="00690066" w:rsidRPr="00A31583">
        <w:t xml:space="preserve"> </w:t>
      </w:r>
    </w:p>
    <w:sectPr w:rsidR="00690066" w:rsidRPr="00A31583" w:rsidSect="00AE2DD9">
      <w:footerReference w:type="default" r:id="rId17"/>
      <w:headerReference w:type="first" r:id="rId18"/>
      <w:footerReference w:type="first" r:id="rId19"/>
      <w:pgSz w:w="12240" w:h="15840" w:code="1"/>
      <w:pgMar w:top="1440" w:right="1440" w:bottom="1440" w:left="1440" w:header="144"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909" w:rsidRDefault="00883909" w:rsidP="00A31583">
      <w:r>
        <w:separator/>
      </w:r>
    </w:p>
  </w:endnote>
  <w:endnote w:type="continuationSeparator" w:id="0">
    <w:p w:rsidR="00883909" w:rsidRDefault="00883909"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z-fixed">
    <w:altName w:val="Times New Roman"/>
    <w:charset w:val="00"/>
    <w:family w:val="roman"/>
    <w:pitch w:val="default"/>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238440"/>
      <w:docPartObj>
        <w:docPartGallery w:val="Page Numbers (Bottom of Page)"/>
        <w:docPartUnique/>
      </w:docPartObj>
    </w:sdtPr>
    <w:sdtEndPr>
      <w:rPr>
        <w:noProof/>
      </w:rPr>
    </w:sdtEndPr>
    <w:sdtContent>
      <w:p w:rsidR="00C137D5" w:rsidRDefault="00C137D5">
        <w:pPr>
          <w:pStyle w:val="Footer"/>
          <w:jc w:val="right"/>
        </w:pPr>
        <w:r>
          <w:fldChar w:fldCharType="begin"/>
        </w:r>
        <w:r>
          <w:instrText xml:space="preserve"> PAGE   \* MERGEFORMAT </w:instrText>
        </w:r>
        <w:r>
          <w:fldChar w:fldCharType="separate"/>
        </w:r>
        <w:r w:rsidR="00545F30">
          <w:rPr>
            <w:noProof/>
          </w:rPr>
          <w:t>4</w:t>
        </w:r>
        <w:r>
          <w:rPr>
            <w:noProof/>
          </w:rPr>
          <w:fldChar w:fldCharType="end"/>
        </w:r>
      </w:p>
    </w:sdtContent>
  </w:sdt>
  <w:p w:rsidR="00690066" w:rsidRDefault="00690066" w:rsidP="00A31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192377"/>
      <w:docPartObj>
        <w:docPartGallery w:val="Page Numbers (Bottom of Page)"/>
        <w:docPartUnique/>
      </w:docPartObj>
    </w:sdtPr>
    <w:sdtEndPr>
      <w:rPr>
        <w:noProof/>
      </w:rPr>
    </w:sdtEndPr>
    <w:sdtContent>
      <w:p w:rsidR="00FB7E0C" w:rsidRDefault="001A0D13">
        <w:pPr>
          <w:pStyle w:val="Footer"/>
          <w:jc w:val="right"/>
        </w:pPr>
        <w:r w:rsidRPr="0048281C">
          <w:rPr>
            <w:noProof/>
          </w:rPr>
          <w:drawing>
            <wp:anchor distT="0" distB="0" distL="114300" distR="114300" simplePos="0" relativeHeight="251658752" behindDoc="1" locked="0" layoutInCell="1" allowOverlap="1" wp14:anchorId="5B960CC7" wp14:editId="26751CD0">
              <wp:simplePos x="0" y="0"/>
              <wp:positionH relativeFrom="page">
                <wp:posOffset>822960</wp:posOffset>
              </wp:positionH>
              <wp:positionV relativeFrom="page">
                <wp:posOffset>9151620</wp:posOffset>
              </wp:positionV>
              <wp:extent cx="5942520" cy="754380"/>
              <wp:effectExtent l="0" t="0" r="127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a:extLst>
                          <a:ext uri="{28A0092B-C50C-407E-A947-70E740481C1C}">
                            <a14:useLocalDpi xmlns:a14="http://schemas.microsoft.com/office/drawing/2010/main" val="0"/>
                          </a:ext>
                        </a:extLst>
                      </a:blip>
                      <a:stretch>
                        <a:fillRect/>
                      </a:stretch>
                    </pic:blipFill>
                    <pic:spPr>
                      <a:xfrm>
                        <a:off x="0" y="0"/>
                        <a:ext cx="5942520" cy="754380"/>
                      </a:xfrm>
                      <a:prstGeom prst="rect">
                        <a:avLst/>
                      </a:prstGeom>
                    </pic:spPr>
                  </pic:pic>
                </a:graphicData>
              </a:graphic>
              <wp14:sizeRelH relativeFrom="page">
                <wp14:pctWidth>0</wp14:pctWidth>
              </wp14:sizeRelH>
              <wp14:sizeRelV relativeFrom="page">
                <wp14:pctHeight>0</wp14:pctHeight>
              </wp14:sizeRelV>
            </wp:anchor>
          </w:drawing>
        </w:r>
        <w:r w:rsidR="00FB7E0C">
          <w:fldChar w:fldCharType="begin"/>
        </w:r>
        <w:r w:rsidR="00FB7E0C">
          <w:instrText xml:space="preserve"> PAGE   \* MERGEFORMAT </w:instrText>
        </w:r>
        <w:r w:rsidR="00FB7E0C">
          <w:fldChar w:fldCharType="separate"/>
        </w:r>
        <w:r w:rsidR="00545F30">
          <w:rPr>
            <w:noProof/>
          </w:rPr>
          <w:t>1</w:t>
        </w:r>
        <w:r w:rsidR="00FB7E0C">
          <w:rPr>
            <w:noProof/>
          </w:rPr>
          <w:fldChar w:fldCharType="end"/>
        </w:r>
      </w:p>
    </w:sdtContent>
  </w:sdt>
  <w:p w:rsidR="00690066" w:rsidRDefault="00690066" w:rsidP="00A31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909" w:rsidRDefault="00883909" w:rsidP="00A31583">
      <w:r>
        <w:separator/>
      </w:r>
    </w:p>
  </w:footnote>
  <w:footnote w:type="continuationSeparator" w:id="0">
    <w:p w:rsidR="00883909" w:rsidRDefault="00883909" w:rsidP="00A31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DD9" w:rsidRDefault="00AE2DD9" w:rsidP="00AE2DD9">
    <w:pPr>
      <w:pStyle w:val="Header"/>
      <w:jc w:val="center"/>
    </w:pPr>
    <w:r>
      <w:rPr>
        <w:noProof/>
      </w:rPr>
      <w:drawing>
        <wp:inline distT="0" distB="0" distL="0" distR="0">
          <wp:extent cx="1356478" cy="13564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OW logo.png"/>
                  <pic:cNvPicPr/>
                </pic:nvPicPr>
                <pic:blipFill>
                  <a:blip r:embed="rId1">
                    <a:extLst>
                      <a:ext uri="{28A0092B-C50C-407E-A947-70E740481C1C}">
                        <a14:useLocalDpi xmlns:a14="http://schemas.microsoft.com/office/drawing/2010/main" val="0"/>
                      </a:ext>
                    </a:extLst>
                  </a:blip>
                  <a:stretch>
                    <a:fillRect/>
                  </a:stretch>
                </pic:blipFill>
                <pic:spPr>
                  <a:xfrm>
                    <a:off x="0" y="0"/>
                    <a:ext cx="1356478" cy="13564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637AA"/>
    <w:rsid w:val="00073464"/>
    <w:rsid w:val="000B047D"/>
    <w:rsid w:val="000C1D02"/>
    <w:rsid w:val="00167369"/>
    <w:rsid w:val="00176387"/>
    <w:rsid w:val="00181118"/>
    <w:rsid w:val="001A0D13"/>
    <w:rsid w:val="001C153E"/>
    <w:rsid w:val="001C4A19"/>
    <w:rsid w:val="001E1114"/>
    <w:rsid w:val="00203259"/>
    <w:rsid w:val="00285D67"/>
    <w:rsid w:val="002D0B2C"/>
    <w:rsid w:val="00305621"/>
    <w:rsid w:val="003911C7"/>
    <w:rsid w:val="0039371F"/>
    <w:rsid w:val="003B17B5"/>
    <w:rsid w:val="003D03D6"/>
    <w:rsid w:val="003D708B"/>
    <w:rsid w:val="00430027"/>
    <w:rsid w:val="0048281C"/>
    <w:rsid w:val="0049572E"/>
    <w:rsid w:val="004A755D"/>
    <w:rsid w:val="004D118D"/>
    <w:rsid w:val="004F3C37"/>
    <w:rsid w:val="00545F30"/>
    <w:rsid w:val="00556662"/>
    <w:rsid w:val="005629CF"/>
    <w:rsid w:val="005A0393"/>
    <w:rsid w:val="005D5884"/>
    <w:rsid w:val="005F71C7"/>
    <w:rsid w:val="00625BDA"/>
    <w:rsid w:val="00630ADF"/>
    <w:rsid w:val="00666A20"/>
    <w:rsid w:val="006767B9"/>
    <w:rsid w:val="00684E37"/>
    <w:rsid w:val="00690066"/>
    <w:rsid w:val="007067AC"/>
    <w:rsid w:val="0071407F"/>
    <w:rsid w:val="00737275"/>
    <w:rsid w:val="00746BA9"/>
    <w:rsid w:val="007540A7"/>
    <w:rsid w:val="007E7670"/>
    <w:rsid w:val="0085192E"/>
    <w:rsid w:val="00862444"/>
    <w:rsid w:val="00883909"/>
    <w:rsid w:val="00884B9A"/>
    <w:rsid w:val="0089193D"/>
    <w:rsid w:val="008A2BDC"/>
    <w:rsid w:val="008E0C46"/>
    <w:rsid w:val="008E4085"/>
    <w:rsid w:val="00912F74"/>
    <w:rsid w:val="0094662C"/>
    <w:rsid w:val="009915F1"/>
    <w:rsid w:val="009B64DB"/>
    <w:rsid w:val="00A31583"/>
    <w:rsid w:val="00A50DA3"/>
    <w:rsid w:val="00A62D9E"/>
    <w:rsid w:val="00A930E6"/>
    <w:rsid w:val="00AB302C"/>
    <w:rsid w:val="00AB30D9"/>
    <w:rsid w:val="00AE2DD9"/>
    <w:rsid w:val="00AE6349"/>
    <w:rsid w:val="00B13D79"/>
    <w:rsid w:val="00B247CF"/>
    <w:rsid w:val="00BA0011"/>
    <w:rsid w:val="00BB563F"/>
    <w:rsid w:val="00BC1EF1"/>
    <w:rsid w:val="00BD0C7F"/>
    <w:rsid w:val="00BD401F"/>
    <w:rsid w:val="00BD7DDA"/>
    <w:rsid w:val="00C10D57"/>
    <w:rsid w:val="00C137D5"/>
    <w:rsid w:val="00C31F1E"/>
    <w:rsid w:val="00C346B5"/>
    <w:rsid w:val="00C4467F"/>
    <w:rsid w:val="00C46CEC"/>
    <w:rsid w:val="00CE440F"/>
    <w:rsid w:val="00CF61E1"/>
    <w:rsid w:val="00D05030"/>
    <w:rsid w:val="00D21F21"/>
    <w:rsid w:val="00D90D1C"/>
    <w:rsid w:val="00DB018E"/>
    <w:rsid w:val="00DB102D"/>
    <w:rsid w:val="00DE0E01"/>
    <w:rsid w:val="00DE4164"/>
    <w:rsid w:val="00E15B17"/>
    <w:rsid w:val="00E43B87"/>
    <w:rsid w:val="00E53F35"/>
    <w:rsid w:val="00E947C4"/>
    <w:rsid w:val="00EB5DCF"/>
    <w:rsid w:val="00EC6343"/>
    <w:rsid w:val="00EE654C"/>
    <w:rsid w:val="00F020A6"/>
    <w:rsid w:val="00F419B9"/>
    <w:rsid w:val="00F43521"/>
    <w:rsid w:val="00F53531"/>
    <w:rsid w:val="00F60B7B"/>
    <w:rsid w:val="00FB7E0C"/>
    <w:rsid w:val="00FE19A0"/>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BA9E8"/>
  <w15:docId w15:val="{58E716E2-795D-4157-AFE5-E47B2C0D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884"/>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8E4085"/>
    <w:pPr>
      <w:keepNext/>
      <w:numPr>
        <w:numId w:val="2"/>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8E4085"/>
    <w:pPr>
      <w:keepNext/>
      <w:numPr>
        <w:ilvl w:val="1"/>
        <w:numId w:val="2"/>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8E4085"/>
    <w:pPr>
      <w:numPr>
        <w:ilvl w:val="2"/>
        <w:numId w:val="2"/>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8E4085"/>
    <w:pPr>
      <w:keepNext/>
      <w:numPr>
        <w:ilvl w:val="3"/>
        <w:numId w:val="2"/>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8E4085"/>
    <w:pPr>
      <w:keepNext/>
      <w:numPr>
        <w:ilvl w:val="4"/>
        <w:numId w:val="2"/>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8E4085"/>
    <w:pPr>
      <w:keepNext/>
      <w:numPr>
        <w:ilvl w:val="5"/>
        <w:numId w:val="2"/>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8E4085"/>
    <w:pPr>
      <w:keepNext/>
      <w:numPr>
        <w:ilvl w:val="6"/>
        <w:numId w:val="2"/>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8E4085"/>
    <w:pPr>
      <w:keepNext/>
      <w:numPr>
        <w:ilvl w:val="7"/>
        <w:numId w:val="2"/>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8E4085"/>
    <w:pPr>
      <w:keepNext/>
      <w:numPr>
        <w:ilvl w:val="8"/>
        <w:numId w:val="2"/>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rsid w:val="008E4085"/>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8E4085"/>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8E4085"/>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8E4085"/>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8E4085"/>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8E4085"/>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8E4085"/>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8E4085"/>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8E4085"/>
    <w:rPr>
      <w:rFonts w:ascii="-moz-fixed" w:eastAsia="-moz-fixed" w:hAnsi="-moz-fixed" w:cs="-moz-fixed"/>
      <w:b/>
      <w:i/>
      <w:sz w:val="24"/>
      <w:szCs w:val="20"/>
      <w:lang w:eastAsia="ar-SA"/>
    </w:rPr>
  </w:style>
  <w:style w:type="paragraph" w:styleId="ListParagraph">
    <w:name w:val="List Paragraph"/>
    <w:basedOn w:val="Normal"/>
    <w:uiPriority w:val="34"/>
    <w:qFormat/>
    <w:rsid w:val="008E4085"/>
    <w:pPr>
      <w:suppressAutoHyphens/>
      <w:spacing w:after="200"/>
      <w:ind w:left="720"/>
    </w:pPr>
    <w:rPr>
      <w:rFonts w:ascii="Cambria Math" w:eastAsia="Cambria Math" w:hAnsi="Cambria Math" w:cs="Cambria Math"/>
      <w:sz w:val="22"/>
      <w:szCs w:val="22"/>
      <w:lang w:eastAsia="ar-SA"/>
    </w:rPr>
  </w:style>
  <w:style w:type="paragraph" w:styleId="BodyText">
    <w:name w:val="Body Text"/>
    <w:basedOn w:val="Normal"/>
    <w:link w:val="BodyTextChar"/>
    <w:uiPriority w:val="99"/>
    <w:semiHidden/>
    <w:unhideWhenUsed/>
    <w:rsid w:val="008E4085"/>
    <w:pPr>
      <w:spacing w:after="120"/>
    </w:pPr>
  </w:style>
  <w:style w:type="character" w:customStyle="1" w:styleId="BodyTextChar">
    <w:name w:val="Body Text Char"/>
    <w:basedOn w:val="DefaultParagraphFont"/>
    <w:link w:val="BodyText"/>
    <w:uiPriority w:val="99"/>
    <w:semiHidden/>
    <w:rsid w:val="008E40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91466">
      <w:bodyDiv w:val="1"/>
      <w:marLeft w:val="0"/>
      <w:marRight w:val="0"/>
      <w:marTop w:val="0"/>
      <w:marBottom w:val="0"/>
      <w:divBdr>
        <w:top w:val="none" w:sz="0" w:space="0" w:color="auto"/>
        <w:left w:val="none" w:sz="0" w:space="0" w:color="auto"/>
        <w:bottom w:val="none" w:sz="0" w:space="0" w:color="auto"/>
        <w:right w:val="none" w:sz="0" w:space="0" w:color="auto"/>
      </w:divBdr>
    </w:div>
    <w:div w:id="590088174">
      <w:bodyDiv w:val="1"/>
      <w:marLeft w:val="0"/>
      <w:marRight w:val="0"/>
      <w:marTop w:val="0"/>
      <w:marBottom w:val="0"/>
      <w:divBdr>
        <w:top w:val="none" w:sz="0" w:space="0" w:color="auto"/>
        <w:left w:val="none" w:sz="0" w:space="0" w:color="auto"/>
        <w:bottom w:val="none" w:sz="0" w:space="0" w:color="auto"/>
        <w:right w:val="none" w:sz="0" w:space="0" w:color="auto"/>
      </w:divBdr>
    </w:div>
    <w:div w:id="203025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dall.cikanek@usda.gov"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h@oregonwild.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usda.gov/project/?project=59524"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cara.fs2c.usda.gov/Public//CommentInput?Project=5952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drian.cuzick@usda.gov" TargetMode="External"/><Relationship Id="rId14" Type="http://schemas.openxmlformats.org/officeDocument/2006/relationships/hyperlink" Target="http://web.archive.org/web/20090118192937/http://www.fs.fed.us/im/directives/fsh/1909.15/1909.15_40.doc"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6BB64-B21C-4578-94F1-F65AAAFC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1761</Words>
  <Characters>10041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 Heiken</dc:creator>
  <cp:lastModifiedBy>Doug</cp:lastModifiedBy>
  <cp:revision>7</cp:revision>
  <dcterms:created xsi:type="dcterms:W3CDTF">2023-06-08T18:37:00Z</dcterms:created>
  <dcterms:modified xsi:type="dcterms:W3CDTF">2023-06-08T23:27:00Z</dcterms:modified>
</cp:coreProperties>
</file>