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282E" w14:textId="6084C7EF" w:rsidR="00A123F6" w:rsidRPr="00A123F6" w:rsidRDefault="00A123F6" w:rsidP="00A123F6">
      <w:pPr>
        <w:spacing w:after="0"/>
        <w:rPr>
          <w:rFonts w:ascii="Times New Roman" w:hAnsi="Times New Roman" w:cs="Times New Roman"/>
          <w:sz w:val="24"/>
          <w:szCs w:val="24"/>
        </w:rPr>
      </w:pPr>
      <w:r w:rsidRPr="00A123F6">
        <w:rPr>
          <w:rFonts w:ascii="Times New Roman" w:hAnsi="Times New Roman" w:cs="Times New Roman"/>
          <w:sz w:val="24"/>
          <w:szCs w:val="24"/>
        </w:rPr>
        <w:t xml:space="preserve">Matthew Reece </w:t>
      </w:r>
      <w:r>
        <w:rPr>
          <w:rFonts w:ascii="Times New Roman" w:hAnsi="Times New Roman" w:cs="Times New Roman"/>
          <w:sz w:val="24"/>
          <w:szCs w:val="24"/>
        </w:rPr>
        <w:t xml:space="preserve">                                                                                      May </w:t>
      </w:r>
      <w:r w:rsidR="007B4E0E">
        <w:rPr>
          <w:rFonts w:ascii="Times New Roman" w:hAnsi="Times New Roman" w:cs="Times New Roman"/>
          <w:sz w:val="24"/>
          <w:szCs w:val="24"/>
        </w:rPr>
        <w:t>23</w:t>
      </w:r>
      <w:r>
        <w:rPr>
          <w:rFonts w:ascii="Times New Roman" w:hAnsi="Times New Roman" w:cs="Times New Roman"/>
          <w:sz w:val="24"/>
          <w:szCs w:val="24"/>
        </w:rPr>
        <w:t>, 2023</w:t>
      </w:r>
    </w:p>
    <w:p w14:paraId="000FFA1D" w14:textId="77777777" w:rsidR="00A123F6" w:rsidRDefault="00A123F6" w:rsidP="00A123F6">
      <w:pPr>
        <w:spacing w:after="0"/>
        <w:rPr>
          <w:rFonts w:ascii="Times New Roman" w:hAnsi="Times New Roman" w:cs="Times New Roman"/>
          <w:sz w:val="24"/>
          <w:szCs w:val="24"/>
        </w:rPr>
      </w:pPr>
      <w:proofErr w:type="spellStart"/>
      <w:r w:rsidRPr="00A123F6">
        <w:rPr>
          <w:rFonts w:ascii="Times New Roman" w:hAnsi="Times New Roman" w:cs="Times New Roman"/>
          <w:sz w:val="24"/>
          <w:szCs w:val="24"/>
        </w:rPr>
        <w:t>Tongass</w:t>
      </w:r>
      <w:proofErr w:type="spellEnd"/>
      <w:r w:rsidRPr="00A123F6">
        <w:rPr>
          <w:rFonts w:ascii="Times New Roman" w:hAnsi="Times New Roman" w:cs="Times New Roman"/>
          <w:sz w:val="24"/>
          <w:szCs w:val="24"/>
        </w:rPr>
        <w:t xml:space="preserve"> National Forest</w:t>
      </w:r>
    </w:p>
    <w:p w14:paraId="34F87609" w14:textId="7FFAC7D4" w:rsidR="00A123F6" w:rsidRDefault="00A123F6" w:rsidP="00A123F6">
      <w:pPr>
        <w:spacing w:after="0"/>
        <w:rPr>
          <w:rFonts w:ascii="Times New Roman" w:hAnsi="Times New Roman" w:cs="Times New Roman"/>
          <w:sz w:val="24"/>
          <w:szCs w:val="24"/>
        </w:rPr>
      </w:pPr>
      <w:r w:rsidRPr="00A123F6">
        <w:rPr>
          <w:rFonts w:ascii="Times New Roman" w:hAnsi="Times New Roman" w:cs="Times New Roman"/>
          <w:sz w:val="24"/>
          <w:szCs w:val="24"/>
        </w:rPr>
        <w:t>Admiralty Island National Monument</w:t>
      </w:r>
    </w:p>
    <w:p w14:paraId="356B5D39" w14:textId="30B58A79" w:rsidR="00A123F6" w:rsidRPr="00A123F6" w:rsidRDefault="00A123F6" w:rsidP="00A123F6">
      <w:pPr>
        <w:spacing w:after="0"/>
        <w:rPr>
          <w:rFonts w:ascii="Times New Roman" w:hAnsi="Times New Roman" w:cs="Times New Roman"/>
          <w:sz w:val="24"/>
          <w:szCs w:val="24"/>
        </w:rPr>
      </w:pPr>
      <w:r>
        <w:rPr>
          <w:rFonts w:ascii="Times New Roman" w:hAnsi="Times New Roman" w:cs="Times New Roman"/>
          <w:sz w:val="24"/>
          <w:szCs w:val="24"/>
        </w:rPr>
        <w:t>Submitted via web portal</w:t>
      </w:r>
    </w:p>
    <w:p w14:paraId="66D813CF" w14:textId="77777777" w:rsidR="00A123F6" w:rsidRDefault="00A123F6">
      <w:pPr>
        <w:rPr>
          <w:rFonts w:ascii="Times New Roman" w:hAnsi="Times New Roman" w:cs="Times New Roman"/>
          <w:sz w:val="24"/>
          <w:szCs w:val="24"/>
          <w:shd w:val="clear" w:color="auto" w:fill="FFFFFF"/>
        </w:rPr>
      </w:pPr>
    </w:p>
    <w:p w14:paraId="767FF68C" w14:textId="68A9FB16" w:rsidR="00A123F6" w:rsidRDefault="00A123F6">
      <w:pPr>
        <w:rPr>
          <w:rFonts w:ascii="Times New Roman" w:hAnsi="Times New Roman" w:cs="Times New Roman"/>
          <w:b/>
          <w:bCs/>
          <w:sz w:val="24"/>
          <w:szCs w:val="24"/>
          <w:shd w:val="clear" w:color="auto" w:fill="FFFFFF"/>
        </w:rPr>
      </w:pPr>
      <w:r w:rsidRPr="00A123F6">
        <w:rPr>
          <w:rFonts w:ascii="Times New Roman" w:hAnsi="Times New Roman" w:cs="Times New Roman"/>
          <w:b/>
          <w:bCs/>
          <w:sz w:val="24"/>
          <w:szCs w:val="24"/>
          <w:shd w:val="clear" w:color="auto" w:fill="FFFFFF"/>
        </w:rPr>
        <w:t>Re: Comments on No. 20230041, Draft Supplement, Environmental Impact Study Greens Creek Mine North Extension Project</w:t>
      </w:r>
      <w:r w:rsidR="00BE3F82">
        <w:rPr>
          <w:rFonts w:ascii="Times New Roman" w:hAnsi="Times New Roman" w:cs="Times New Roman"/>
          <w:b/>
          <w:bCs/>
          <w:sz w:val="24"/>
          <w:szCs w:val="24"/>
          <w:shd w:val="clear" w:color="auto" w:fill="FFFFFF"/>
        </w:rPr>
        <w:t xml:space="preserve"> (</w:t>
      </w:r>
      <w:r w:rsidR="00BF0E48">
        <w:rPr>
          <w:rFonts w:ascii="Times New Roman" w:hAnsi="Times New Roman" w:cs="Times New Roman"/>
          <w:b/>
          <w:bCs/>
          <w:sz w:val="24"/>
          <w:szCs w:val="24"/>
          <w:shd w:val="clear" w:color="auto" w:fill="FFFFFF"/>
        </w:rPr>
        <w:t xml:space="preserve">2023 </w:t>
      </w:r>
      <w:proofErr w:type="spellStart"/>
      <w:r w:rsidR="00BE3F82">
        <w:rPr>
          <w:rFonts w:ascii="Times New Roman" w:hAnsi="Times New Roman" w:cs="Times New Roman"/>
          <w:b/>
          <w:bCs/>
          <w:sz w:val="24"/>
          <w:szCs w:val="24"/>
          <w:shd w:val="clear" w:color="auto" w:fill="FFFFFF"/>
        </w:rPr>
        <w:t>sDEIS</w:t>
      </w:r>
      <w:proofErr w:type="spellEnd"/>
      <w:r w:rsidR="00BE3F82">
        <w:rPr>
          <w:rFonts w:ascii="Times New Roman" w:hAnsi="Times New Roman" w:cs="Times New Roman"/>
          <w:b/>
          <w:bCs/>
          <w:sz w:val="24"/>
          <w:szCs w:val="24"/>
          <w:shd w:val="clear" w:color="auto" w:fill="FFFFFF"/>
        </w:rPr>
        <w:t>)</w:t>
      </w:r>
      <w:r w:rsidRPr="00A123F6">
        <w:rPr>
          <w:rFonts w:ascii="Times New Roman" w:hAnsi="Times New Roman" w:cs="Times New Roman"/>
          <w:b/>
          <w:bCs/>
          <w:sz w:val="24"/>
          <w:szCs w:val="24"/>
          <w:shd w:val="clear" w:color="auto" w:fill="FFFFFF"/>
        </w:rPr>
        <w:t>.</w:t>
      </w:r>
    </w:p>
    <w:p w14:paraId="45BFCC5F" w14:textId="79F6BE0B" w:rsidR="00A123F6" w:rsidRDefault="00A123F6" w:rsidP="009A17AA">
      <w:pPr>
        <w:spacing w:line="276" w:lineRule="auto"/>
        <w:rPr>
          <w:rFonts w:ascii="Times New Roman" w:hAnsi="Times New Roman" w:cs="Times New Roman"/>
          <w:sz w:val="24"/>
          <w:szCs w:val="24"/>
          <w:shd w:val="clear" w:color="auto" w:fill="FFFFFF"/>
        </w:rPr>
      </w:pPr>
      <w:r w:rsidRPr="00A123F6">
        <w:rPr>
          <w:rFonts w:ascii="Times New Roman" w:hAnsi="Times New Roman" w:cs="Times New Roman"/>
          <w:sz w:val="24"/>
          <w:szCs w:val="24"/>
          <w:shd w:val="clear" w:color="auto" w:fill="FFFFFF"/>
        </w:rPr>
        <w:t>Mr. Reece</w:t>
      </w:r>
      <w:r>
        <w:rPr>
          <w:rFonts w:ascii="Times New Roman" w:hAnsi="Times New Roman" w:cs="Times New Roman"/>
          <w:sz w:val="24"/>
          <w:szCs w:val="24"/>
          <w:shd w:val="clear" w:color="auto" w:fill="FFFFFF"/>
        </w:rPr>
        <w:t>,</w:t>
      </w:r>
    </w:p>
    <w:p w14:paraId="4B650E57" w14:textId="2511E13E" w:rsidR="00A123F6" w:rsidRPr="007C1F25" w:rsidRDefault="00A123F6" w:rsidP="009A17AA">
      <w:pPr>
        <w:spacing w:line="276" w:lineRule="auto"/>
        <w:rPr>
          <w:rFonts w:ascii="Times New Roman" w:hAnsi="Times New Roman" w:cs="Times New Roman"/>
          <w:sz w:val="24"/>
          <w:szCs w:val="24"/>
        </w:rPr>
      </w:pPr>
      <w:r w:rsidRPr="007C1F25">
        <w:rPr>
          <w:rFonts w:ascii="Times New Roman" w:hAnsi="Times New Roman" w:cs="Times New Roman"/>
          <w:sz w:val="24"/>
          <w:szCs w:val="24"/>
          <w:shd w:val="clear" w:color="auto" w:fill="FFFFFF"/>
        </w:rPr>
        <w:t>Please accept these timely comments on behalf of Friends of Admiralty Island (FOA) and their members.</w:t>
      </w:r>
    </w:p>
    <w:p w14:paraId="421C2214" w14:textId="7571B40A" w:rsidR="007C1F25" w:rsidRDefault="00A123F6" w:rsidP="009A17AA">
      <w:pPr>
        <w:spacing w:line="276" w:lineRule="auto"/>
        <w:rPr>
          <w:rFonts w:ascii="Times New Roman" w:hAnsi="Times New Roman" w:cs="Times New Roman"/>
          <w:sz w:val="24"/>
          <w:szCs w:val="24"/>
        </w:rPr>
      </w:pPr>
      <w:r w:rsidRPr="007C1F25">
        <w:rPr>
          <w:rFonts w:ascii="Times New Roman" w:hAnsi="Times New Roman" w:cs="Times New Roman"/>
          <w:sz w:val="24"/>
          <w:szCs w:val="24"/>
        </w:rPr>
        <w:t xml:space="preserve">FOA was established </w:t>
      </w:r>
      <w:r w:rsidRPr="007C1F25">
        <w:rPr>
          <w:rFonts w:ascii="Times New Roman" w:hAnsi="Times New Roman" w:cs="Times New Roman"/>
          <w:sz w:val="24"/>
          <w:szCs w:val="24"/>
          <w:shd w:val="clear" w:color="auto" w:fill="FFFFFF"/>
        </w:rPr>
        <w:t xml:space="preserve">in 1987, and is an all-volunteer, non-profit organization advocating for the continued protection of </w:t>
      </w:r>
      <w:r w:rsidR="007C1F25" w:rsidRPr="007C1F25">
        <w:rPr>
          <w:rFonts w:ascii="Times New Roman" w:hAnsi="Times New Roman" w:cs="Times New Roman"/>
          <w:sz w:val="24"/>
          <w:szCs w:val="24"/>
          <w:shd w:val="clear" w:color="auto" w:fill="FFFFFF"/>
        </w:rPr>
        <w:t xml:space="preserve">Admiralty </w:t>
      </w:r>
      <w:r w:rsidRPr="007C1F25">
        <w:rPr>
          <w:rFonts w:ascii="Times New Roman" w:hAnsi="Times New Roman" w:cs="Times New Roman"/>
          <w:sz w:val="24"/>
          <w:szCs w:val="24"/>
          <w:shd w:val="clear" w:color="auto" w:fill="FFFFFF"/>
        </w:rPr>
        <w:t xml:space="preserve">Island’s </w:t>
      </w:r>
      <w:r w:rsidR="007B4E0E">
        <w:rPr>
          <w:rFonts w:ascii="Times New Roman" w:hAnsi="Times New Roman" w:cs="Times New Roman"/>
          <w:sz w:val="24"/>
          <w:szCs w:val="24"/>
          <w:shd w:val="clear" w:color="auto" w:fill="FFFFFF"/>
        </w:rPr>
        <w:t>unique v</w:t>
      </w:r>
      <w:r w:rsidRPr="007C1F25">
        <w:rPr>
          <w:rFonts w:ascii="Times New Roman" w:hAnsi="Times New Roman" w:cs="Times New Roman"/>
          <w:sz w:val="24"/>
          <w:szCs w:val="24"/>
          <w:shd w:val="clear" w:color="auto" w:fill="FFFFFF"/>
        </w:rPr>
        <w:t xml:space="preserve">alues; and to support Admiralty’s role in providing sustainable, wilderness-based, recreational, educational, and economic </w:t>
      </w:r>
      <w:r w:rsidR="007C1F25" w:rsidRPr="007C1F25">
        <w:rPr>
          <w:rFonts w:ascii="Times New Roman" w:hAnsi="Times New Roman" w:cs="Times New Roman"/>
          <w:sz w:val="24"/>
          <w:szCs w:val="24"/>
          <w:shd w:val="clear" w:color="auto" w:fill="FFFFFF"/>
        </w:rPr>
        <w:t xml:space="preserve">and cultural </w:t>
      </w:r>
      <w:r w:rsidR="00BE08CA" w:rsidRPr="007C1F25">
        <w:rPr>
          <w:rFonts w:ascii="Times New Roman" w:hAnsi="Times New Roman" w:cs="Times New Roman"/>
          <w:sz w:val="24"/>
          <w:szCs w:val="24"/>
          <w:shd w:val="clear" w:color="auto" w:fill="FFFFFF"/>
        </w:rPr>
        <w:t>opportunities</w:t>
      </w:r>
      <w:r w:rsidRPr="007C1F25">
        <w:rPr>
          <w:rFonts w:ascii="Times New Roman" w:hAnsi="Times New Roman" w:cs="Times New Roman"/>
          <w:sz w:val="24"/>
          <w:szCs w:val="24"/>
          <w:shd w:val="clear" w:color="auto" w:fill="FFFFFF"/>
        </w:rPr>
        <w:t>.</w:t>
      </w:r>
      <w:r w:rsidR="00BE08CA" w:rsidRPr="007C1F25">
        <w:rPr>
          <w:rFonts w:ascii="Times New Roman" w:hAnsi="Times New Roman" w:cs="Times New Roman"/>
          <w:sz w:val="24"/>
          <w:szCs w:val="24"/>
          <w:shd w:val="clear" w:color="auto" w:fill="FFFFFF"/>
        </w:rPr>
        <w:t xml:space="preserve"> FOA has</w:t>
      </w:r>
      <w:r w:rsidR="00D46FD3">
        <w:rPr>
          <w:rFonts w:ascii="Times New Roman" w:hAnsi="Times New Roman" w:cs="Times New Roman"/>
          <w:sz w:val="24"/>
          <w:szCs w:val="24"/>
          <w:shd w:val="clear" w:color="auto" w:fill="FFFFFF"/>
        </w:rPr>
        <w:t xml:space="preserve"> been involved in past public actions as well as</w:t>
      </w:r>
      <w:r w:rsidR="00BE08CA" w:rsidRPr="007C1F25">
        <w:rPr>
          <w:rFonts w:ascii="Times New Roman" w:hAnsi="Times New Roman" w:cs="Times New Roman"/>
          <w:sz w:val="24"/>
          <w:szCs w:val="24"/>
          <w:shd w:val="clear" w:color="auto" w:fill="FFFFFF"/>
        </w:rPr>
        <w:t xml:space="preserve"> </w:t>
      </w:r>
      <w:r w:rsidR="007C1F25" w:rsidRPr="007C1F25">
        <w:rPr>
          <w:rFonts w:ascii="Times New Roman" w:hAnsi="Times New Roman" w:cs="Times New Roman"/>
          <w:sz w:val="24"/>
          <w:szCs w:val="24"/>
          <w:shd w:val="clear" w:color="auto" w:fill="FFFFFF"/>
        </w:rPr>
        <w:t xml:space="preserve">provided </w:t>
      </w:r>
      <w:r w:rsidR="00BE08CA" w:rsidRPr="007C1F25">
        <w:rPr>
          <w:rFonts w:ascii="Times New Roman" w:hAnsi="Times New Roman" w:cs="Times New Roman"/>
          <w:sz w:val="24"/>
          <w:szCs w:val="24"/>
          <w:shd w:val="clear" w:color="auto" w:fill="FFFFFF"/>
        </w:rPr>
        <w:t xml:space="preserve">citizens funded science </w:t>
      </w:r>
      <w:r w:rsidR="00D46FD3">
        <w:rPr>
          <w:rFonts w:ascii="Times New Roman" w:hAnsi="Times New Roman" w:cs="Times New Roman"/>
          <w:sz w:val="24"/>
          <w:szCs w:val="24"/>
          <w:shd w:val="clear" w:color="auto" w:fill="FFFFFF"/>
        </w:rPr>
        <w:t xml:space="preserve">to aid in the decision-making process. We support the </w:t>
      </w:r>
      <w:r w:rsidR="007C1F25" w:rsidRPr="007C1F25">
        <w:rPr>
          <w:rFonts w:ascii="Times New Roman" w:hAnsi="Times New Roman" w:cs="Times New Roman"/>
          <w:sz w:val="24"/>
          <w:szCs w:val="24"/>
          <w:shd w:val="clear" w:color="auto" w:fill="FFFFFF"/>
        </w:rPr>
        <w:t>protection of the unique values for which the island was declared a National Monument</w:t>
      </w:r>
      <w:r w:rsidR="00D46FD3">
        <w:rPr>
          <w:rFonts w:ascii="Times New Roman" w:hAnsi="Times New Roman" w:cs="Times New Roman"/>
          <w:sz w:val="24"/>
          <w:szCs w:val="24"/>
          <w:shd w:val="clear" w:color="auto" w:fill="FFFFFF"/>
        </w:rPr>
        <w:t>.</w:t>
      </w:r>
      <w:r w:rsidR="00BE08CA" w:rsidRPr="007C1F25">
        <w:rPr>
          <w:rFonts w:ascii="Times New Roman" w:hAnsi="Times New Roman" w:cs="Times New Roman"/>
          <w:sz w:val="24"/>
          <w:szCs w:val="24"/>
          <w:shd w:val="clear" w:color="auto" w:fill="FFFFFF"/>
        </w:rPr>
        <w:t xml:space="preserve">  Members of FOA include sport and commercial fishers, hunters and guides, citizens of the federally recognized Tribes, outdoor recreation </w:t>
      </w:r>
      <w:r w:rsidR="007C1F25" w:rsidRPr="007C1F25">
        <w:rPr>
          <w:rFonts w:ascii="Times New Roman" w:hAnsi="Times New Roman" w:cs="Times New Roman"/>
          <w:sz w:val="24"/>
          <w:szCs w:val="24"/>
          <w:shd w:val="clear" w:color="auto" w:fill="FFFFFF"/>
        </w:rPr>
        <w:t>enthusiasts</w:t>
      </w:r>
      <w:r w:rsidR="007C1F25" w:rsidRPr="007C1F25">
        <w:rPr>
          <w:rFonts w:ascii="Times New Roman" w:hAnsi="Times New Roman" w:cs="Times New Roman"/>
          <w:sz w:val="24"/>
          <w:szCs w:val="24"/>
        </w:rPr>
        <w:t xml:space="preserve"> </w:t>
      </w:r>
      <w:r w:rsidR="00D46FD3">
        <w:rPr>
          <w:rFonts w:ascii="Times New Roman" w:hAnsi="Times New Roman" w:cs="Times New Roman"/>
          <w:sz w:val="24"/>
          <w:szCs w:val="24"/>
        </w:rPr>
        <w:t xml:space="preserve">and visitors </w:t>
      </w:r>
      <w:r w:rsidR="003B46F6">
        <w:rPr>
          <w:rFonts w:ascii="Times New Roman" w:hAnsi="Times New Roman" w:cs="Times New Roman"/>
          <w:sz w:val="24"/>
          <w:szCs w:val="24"/>
        </w:rPr>
        <w:t>to</w:t>
      </w:r>
      <w:r w:rsidR="007C1F25" w:rsidRPr="007C1F25">
        <w:rPr>
          <w:rFonts w:ascii="Times New Roman" w:hAnsi="Times New Roman" w:cs="Times New Roman"/>
          <w:sz w:val="24"/>
          <w:szCs w:val="24"/>
        </w:rPr>
        <w:t xml:space="preserve"> this national and global treasure</w:t>
      </w:r>
      <w:r w:rsidR="007C1F25">
        <w:rPr>
          <w:rFonts w:ascii="Times New Roman" w:hAnsi="Times New Roman" w:cs="Times New Roman"/>
          <w:sz w:val="24"/>
          <w:szCs w:val="24"/>
        </w:rPr>
        <w:t>.</w:t>
      </w:r>
    </w:p>
    <w:p w14:paraId="37DFAA86" w14:textId="1A70BC55" w:rsidR="00A123F6" w:rsidRDefault="007C1F25" w:rsidP="009A17AA">
      <w:pPr>
        <w:spacing w:line="276" w:lineRule="auto"/>
        <w:rPr>
          <w:rFonts w:ascii="Times New Roman" w:hAnsi="Times New Roman" w:cs="Times New Roman"/>
          <w:sz w:val="24"/>
          <w:szCs w:val="24"/>
        </w:rPr>
      </w:pPr>
      <w:r>
        <w:rPr>
          <w:rFonts w:ascii="Times New Roman" w:hAnsi="Times New Roman" w:cs="Times New Roman"/>
          <w:sz w:val="24"/>
          <w:szCs w:val="24"/>
        </w:rPr>
        <w:t xml:space="preserve">These comments incorporate the 2013 EIS and Record of Decision (ROD) by reference and all other records of actions taken by the Forest Service, </w:t>
      </w:r>
      <w:r w:rsidR="003B46F6">
        <w:rPr>
          <w:rFonts w:ascii="Times New Roman" w:hAnsi="Times New Roman" w:cs="Times New Roman"/>
          <w:sz w:val="24"/>
          <w:szCs w:val="24"/>
        </w:rPr>
        <w:t xml:space="preserve">the </w:t>
      </w:r>
      <w:r>
        <w:rPr>
          <w:rFonts w:ascii="Times New Roman" w:hAnsi="Times New Roman" w:cs="Times New Roman"/>
          <w:sz w:val="24"/>
          <w:szCs w:val="24"/>
        </w:rPr>
        <w:t>mining compan</w:t>
      </w:r>
      <w:r w:rsidR="003B46F6">
        <w:rPr>
          <w:rFonts w:ascii="Times New Roman" w:hAnsi="Times New Roman" w:cs="Times New Roman"/>
          <w:sz w:val="24"/>
          <w:szCs w:val="24"/>
        </w:rPr>
        <w:t>y</w:t>
      </w:r>
      <w:r>
        <w:rPr>
          <w:rFonts w:ascii="Times New Roman" w:hAnsi="Times New Roman" w:cs="Times New Roman"/>
          <w:sz w:val="24"/>
          <w:szCs w:val="24"/>
        </w:rPr>
        <w:t xml:space="preserve">, contractors, State of Alaska </w:t>
      </w:r>
      <w:r w:rsidR="00D46FD3">
        <w:rPr>
          <w:rFonts w:ascii="Times New Roman" w:hAnsi="Times New Roman" w:cs="Times New Roman"/>
          <w:sz w:val="24"/>
          <w:szCs w:val="24"/>
        </w:rPr>
        <w:t>a</w:t>
      </w:r>
      <w:r>
        <w:rPr>
          <w:rFonts w:ascii="Times New Roman" w:hAnsi="Times New Roman" w:cs="Times New Roman"/>
          <w:sz w:val="24"/>
          <w:szCs w:val="24"/>
        </w:rPr>
        <w:t>gencies since the early 1970’s a</w:t>
      </w:r>
      <w:r w:rsidR="00AF1964">
        <w:rPr>
          <w:rFonts w:ascii="Times New Roman" w:hAnsi="Times New Roman" w:cs="Times New Roman"/>
          <w:sz w:val="24"/>
          <w:szCs w:val="24"/>
        </w:rPr>
        <w:t>s</w:t>
      </w:r>
      <w:r>
        <w:rPr>
          <w:rFonts w:ascii="Times New Roman" w:hAnsi="Times New Roman" w:cs="Times New Roman"/>
          <w:sz w:val="24"/>
          <w:szCs w:val="24"/>
        </w:rPr>
        <w:t xml:space="preserve"> well as the Monument Declaration and Congressional record when passing the Alaska National Interest Lands Conservation Act (ANICLA) governing mining in the Admiralty Island National Monument.</w:t>
      </w:r>
      <w:r w:rsidR="007B4E0E">
        <w:rPr>
          <w:rFonts w:ascii="Times New Roman" w:hAnsi="Times New Roman" w:cs="Times New Roman"/>
          <w:sz w:val="24"/>
          <w:szCs w:val="24"/>
        </w:rPr>
        <w:t xml:space="preserve"> We also support the comments of Dave Chambers with the Center for Science and Public Participation and John Shane by reference.</w:t>
      </w:r>
    </w:p>
    <w:p w14:paraId="0C54E208" w14:textId="77777777" w:rsidR="00BB5129" w:rsidRDefault="00BB5129" w:rsidP="009A17AA">
      <w:pPr>
        <w:spacing w:line="276" w:lineRule="auto"/>
        <w:rPr>
          <w:rFonts w:ascii="Times New Roman" w:hAnsi="Times New Roman" w:cs="Times New Roman"/>
          <w:sz w:val="24"/>
          <w:szCs w:val="24"/>
        </w:rPr>
      </w:pPr>
    </w:p>
    <w:p w14:paraId="59688F87" w14:textId="77777777" w:rsidR="00D46FD3" w:rsidRPr="00D46FD3" w:rsidRDefault="007C1F25" w:rsidP="009A17AA">
      <w:pPr>
        <w:pStyle w:val="ListParagraph"/>
        <w:numPr>
          <w:ilvl w:val="0"/>
          <w:numId w:val="2"/>
        </w:numPr>
        <w:spacing w:line="276" w:lineRule="auto"/>
        <w:jc w:val="center"/>
        <w:rPr>
          <w:rFonts w:ascii="Times New Roman" w:hAnsi="Times New Roman" w:cs="Times New Roman"/>
          <w:sz w:val="24"/>
          <w:szCs w:val="24"/>
        </w:rPr>
      </w:pPr>
      <w:r w:rsidRPr="00BB5129">
        <w:rPr>
          <w:rFonts w:ascii="Times New Roman" w:hAnsi="Times New Roman" w:cs="Times New Roman"/>
          <w:b/>
          <w:bCs/>
          <w:sz w:val="24"/>
          <w:szCs w:val="24"/>
        </w:rPr>
        <w:t>General Comments</w:t>
      </w:r>
    </w:p>
    <w:p w14:paraId="773A7F39" w14:textId="77777777" w:rsidR="00D46FD3" w:rsidRPr="00D46FD3" w:rsidRDefault="00D46FD3" w:rsidP="009A17AA">
      <w:pPr>
        <w:spacing w:line="276" w:lineRule="auto"/>
        <w:ind w:left="360"/>
        <w:jc w:val="center"/>
        <w:rPr>
          <w:rFonts w:ascii="Times New Roman" w:hAnsi="Times New Roman" w:cs="Times New Roman"/>
          <w:sz w:val="24"/>
          <w:szCs w:val="24"/>
        </w:rPr>
      </w:pPr>
    </w:p>
    <w:p w14:paraId="7DECEEBA" w14:textId="4782FFD5" w:rsidR="007C1F25" w:rsidRPr="00D14527" w:rsidRDefault="00D46FD3" w:rsidP="009A17AA">
      <w:pPr>
        <w:pStyle w:val="ListParagraph"/>
        <w:numPr>
          <w:ilvl w:val="0"/>
          <w:numId w:val="5"/>
        </w:numPr>
        <w:spacing w:line="276" w:lineRule="auto"/>
        <w:jc w:val="center"/>
        <w:rPr>
          <w:rFonts w:ascii="Times New Roman" w:hAnsi="Times New Roman" w:cs="Times New Roman"/>
          <w:sz w:val="24"/>
          <w:szCs w:val="24"/>
          <w:u w:val="single"/>
        </w:rPr>
      </w:pPr>
      <w:r w:rsidRPr="00D14527">
        <w:rPr>
          <w:rFonts w:ascii="Times New Roman" w:hAnsi="Times New Roman" w:cs="Times New Roman"/>
          <w:sz w:val="24"/>
          <w:szCs w:val="24"/>
          <w:u w:val="single"/>
        </w:rPr>
        <w:t>The Forest Service has failed to elevate ANILCA conditions for mining in the Monument and therefore failed to require a monitoring program able to measure compliance with ANICLA and the protection of the Monument values.</w:t>
      </w:r>
    </w:p>
    <w:p w14:paraId="7943E4D2" w14:textId="77777777" w:rsidR="00BB5129" w:rsidRPr="00BB5129" w:rsidRDefault="00BB5129" w:rsidP="009A17AA">
      <w:pPr>
        <w:spacing w:line="276" w:lineRule="auto"/>
        <w:ind w:left="360"/>
        <w:jc w:val="center"/>
        <w:rPr>
          <w:rFonts w:ascii="Times New Roman" w:hAnsi="Times New Roman" w:cs="Times New Roman"/>
          <w:sz w:val="24"/>
          <w:szCs w:val="24"/>
        </w:rPr>
      </w:pPr>
    </w:p>
    <w:p w14:paraId="54F5EC64" w14:textId="1FAC0356" w:rsidR="00B34027" w:rsidRPr="00DC3BB1" w:rsidRDefault="00B34027" w:rsidP="009A17AA">
      <w:pPr>
        <w:pStyle w:val="Heading1"/>
        <w:shd w:val="clear" w:color="auto" w:fill="FFFFFF"/>
        <w:spacing w:before="0" w:after="240" w:line="276" w:lineRule="auto"/>
        <w:rPr>
          <w:rFonts w:ascii="Times New Roman" w:hAnsi="Times New Roman" w:cs="Times New Roman"/>
          <w:color w:val="111111"/>
          <w:sz w:val="24"/>
          <w:szCs w:val="24"/>
        </w:rPr>
      </w:pPr>
      <w:r w:rsidRPr="00DC3BB1">
        <w:rPr>
          <w:rFonts w:ascii="Times New Roman" w:hAnsi="Times New Roman" w:cs="Times New Roman"/>
          <w:color w:val="111111"/>
          <w:sz w:val="24"/>
          <w:szCs w:val="24"/>
        </w:rPr>
        <w:lastRenderedPageBreak/>
        <w:t>Proclamation 4611 creating the Admiralty Island National Monument cites three main reasons</w:t>
      </w:r>
      <w:r w:rsidR="00CD6726" w:rsidRPr="00DC3BB1">
        <w:rPr>
          <w:rFonts w:ascii="Times New Roman" w:hAnsi="Times New Roman" w:cs="Times New Roman"/>
          <w:color w:val="111111"/>
          <w:sz w:val="24"/>
          <w:szCs w:val="24"/>
        </w:rPr>
        <w:t xml:space="preserve"> for the action</w:t>
      </w:r>
      <w:r w:rsidR="00D46FD3">
        <w:rPr>
          <w:rFonts w:ascii="Times New Roman" w:hAnsi="Times New Roman" w:cs="Times New Roman"/>
          <w:color w:val="111111"/>
          <w:sz w:val="24"/>
          <w:szCs w:val="24"/>
        </w:rPr>
        <w:t>.  These are;</w:t>
      </w:r>
      <w:r w:rsidR="00CD6726" w:rsidRPr="00DC3BB1">
        <w:rPr>
          <w:rFonts w:ascii="Times New Roman" w:hAnsi="Times New Roman" w:cs="Times New Roman"/>
          <w:color w:val="111111"/>
          <w:sz w:val="24"/>
          <w:szCs w:val="24"/>
        </w:rPr>
        <w:t xml:space="preserve"> the numerous </w:t>
      </w:r>
      <w:r w:rsidR="00D46FD3">
        <w:rPr>
          <w:rFonts w:ascii="Times New Roman" w:hAnsi="Times New Roman" w:cs="Times New Roman"/>
          <w:color w:val="111111"/>
          <w:sz w:val="24"/>
          <w:szCs w:val="24"/>
        </w:rPr>
        <w:t xml:space="preserve">individual </w:t>
      </w:r>
      <w:r w:rsidR="00CD6726" w:rsidRPr="00DC3BB1">
        <w:rPr>
          <w:rFonts w:ascii="Times New Roman" w:hAnsi="Times New Roman" w:cs="Times New Roman"/>
          <w:color w:val="111111"/>
          <w:sz w:val="24"/>
          <w:szCs w:val="24"/>
        </w:rPr>
        <w:t xml:space="preserve">values cited in the Proclamation, </w:t>
      </w:r>
      <w:r w:rsidR="00FD03F8" w:rsidRPr="00DC3BB1">
        <w:rPr>
          <w:rFonts w:ascii="Times New Roman" w:hAnsi="Times New Roman" w:cs="Times New Roman"/>
          <w:color w:val="111111"/>
          <w:sz w:val="24"/>
          <w:szCs w:val="24"/>
        </w:rPr>
        <w:t>the</w:t>
      </w:r>
      <w:r w:rsidR="00CD6726" w:rsidRPr="00DC3BB1">
        <w:rPr>
          <w:rFonts w:ascii="Times New Roman" w:hAnsi="Times New Roman" w:cs="Times New Roman"/>
          <w:color w:val="111111"/>
          <w:sz w:val="24"/>
          <w:szCs w:val="24"/>
        </w:rPr>
        <w:t xml:space="preserve"> </w:t>
      </w:r>
      <w:r w:rsidR="00D46FD3">
        <w:rPr>
          <w:rFonts w:ascii="Times New Roman" w:hAnsi="Times New Roman" w:cs="Times New Roman"/>
          <w:color w:val="111111"/>
          <w:sz w:val="24"/>
          <w:szCs w:val="24"/>
        </w:rPr>
        <w:t xml:space="preserve">fact that it is an </w:t>
      </w:r>
      <w:r w:rsidR="00CD6726" w:rsidRPr="00DC3BB1">
        <w:rPr>
          <w:rFonts w:ascii="Times New Roman" w:hAnsi="Times New Roman" w:cs="Times New Roman"/>
          <w:color w:val="111111"/>
          <w:sz w:val="24"/>
          <w:szCs w:val="24"/>
        </w:rPr>
        <w:t>intact natural ecosystem</w:t>
      </w:r>
      <w:r w:rsidR="003B46F6">
        <w:rPr>
          <w:rFonts w:ascii="Times New Roman" w:hAnsi="Times New Roman" w:cs="Times New Roman"/>
          <w:color w:val="111111"/>
          <w:sz w:val="24"/>
          <w:szCs w:val="24"/>
        </w:rPr>
        <w:t>,</w:t>
      </w:r>
      <w:r w:rsidR="00CD6726" w:rsidRPr="00DC3BB1">
        <w:rPr>
          <w:rFonts w:ascii="Times New Roman" w:hAnsi="Times New Roman" w:cs="Times New Roman"/>
          <w:color w:val="111111"/>
          <w:sz w:val="24"/>
          <w:szCs w:val="24"/>
        </w:rPr>
        <w:t xml:space="preserve"> </w:t>
      </w:r>
      <w:r w:rsidR="0003129D" w:rsidRPr="00DC3BB1">
        <w:rPr>
          <w:rFonts w:ascii="Times New Roman" w:hAnsi="Times New Roman" w:cs="Times New Roman"/>
          <w:color w:val="111111"/>
          <w:sz w:val="24"/>
          <w:szCs w:val="24"/>
        </w:rPr>
        <w:t xml:space="preserve">and how </w:t>
      </w:r>
      <w:r w:rsidR="00FD03F8" w:rsidRPr="00DC3BB1">
        <w:rPr>
          <w:rFonts w:ascii="Times New Roman" w:hAnsi="Times New Roman" w:cs="Times New Roman"/>
          <w:color w:val="111111"/>
          <w:sz w:val="24"/>
          <w:szCs w:val="24"/>
        </w:rPr>
        <w:t xml:space="preserve">rare </w:t>
      </w:r>
      <w:r w:rsidR="003B46F6">
        <w:rPr>
          <w:rFonts w:ascii="Times New Roman" w:hAnsi="Times New Roman" w:cs="Times New Roman"/>
          <w:color w:val="111111"/>
          <w:sz w:val="24"/>
          <w:szCs w:val="24"/>
        </w:rPr>
        <w:t xml:space="preserve">such </w:t>
      </w:r>
      <w:r w:rsidR="0003129D" w:rsidRPr="00DC3BB1">
        <w:rPr>
          <w:rFonts w:ascii="Times New Roman" w:hAnsi="Times New Roman" w:cs="Times New Roman"/>
          <w:color w:val="111111"/>
          <w:sz w:val="24"/>
          <w:szCs w:val="24"/>
        </w:rPr>
        <w:t xml:space="preserve">places like Admiralty Island </w:t>
      </w:r>
      <w:r w:rsidR="00D46FD3">
        <w:rPr>
          <w:rFonts w:ascii="Times New Roman" w:hAnsi="Times New Roman" w:cs="Times New Roman"/>
          <w:color w:val="111111"/>
          <w:sz w:val="24"/>
          <w:szCs w:val="24"/>
        </w:rPr>
        <w:t>have become.</w:t>
      </w:r>
    </w:p>
    <w:p w14:paraId="5348F18B" w14:textId="58158A6D" w:rsidR="0003129D" w:rsidRPr="00DC3BB1" w:rsidRDefault="00D46FD3" w:rsidP="009A17AA">
      <w:pPr>
        <w:spacing w:line="276" w:lineRule="auto"/>
        <w:rPr>
          <w:rFonts w:ascii="Times New Roman" w:hAnsi="Times New Roman" w:cs="Times New Roman"/>
          <w:sz w:val="24"/>
          <w:szCs w:val="24"/>
        </w:rPr>
      </w:pPr>
      <w:r>
        <w:rPr>
          <w:rFonts w:ascii="Times New Roman" w:hAnsi="Times New Roman" w:cs="Times New Roman"/>
          <w:sz w:val="24"/>
          <w:szCs w:val="24"/>
        </w:rPr>
        <w:t>The Proclamation further states that th</w:t>
      </w:r>
      <w:r w:rsidR="00FD03F8" w:rsidRPr="00DC3BB1">
        <w:rPr>
          <w:rFonts w:ascii="Times New Roman" w:hAnsi="Times New Roman" w:cs="Times New Roman"/>
          <w:sz w:val="24"/>
          <w:szCs w:val="24"/>
        </w:rPr>
        <w:t>e spatial boundaries</w:t>
      </w:r>
      <w:r w:rsidR="003B46F6">
        <w:rPr>
          <w:rFonts w:ascii="Times New Roman" w:hAnsi="Times New Roman" w:cs="Times New Roman"/>
          <w:sz w:val="24"/>
          <w:szCs w:val="24"/>
        </w:rPr>
        <w:t xml:space="preserve"> described in the Declaration</w:t>
      </w:r>
      <w:r w:rsidR="00FD03F8" w:rsidRPr="00DC3BB1">
        <w:rPr>
          <w:rFonts w:ascii="Times New Roman" w:hAnsi="Times New Roman" w:cs="Times New Roman"/>
          <w:sz w:val="24"/>
          <w:szCs w:val="24"/>
        </w:rPr>
        <w:t>, including submerged lands</w:t>
      </w:r>
      <w:r>
        <w:rPr>
          <w:rFonts w:ascii="Times New Roman" w:hAnsi="Times New Roman" w:cs="Times New Roman"/>
          <w:sz w:val="24"/>
          <w:szCs w:val="24"/>
        </w:rPr>
        <w:t xml:space="preserve">, are </w:t>
      </w:r>
      <w:r w:rsidR="00FD03F8" w:rsidRPr="00DC3BB1">
        <w:rPr>
          <w:rFonts w:ascii="Times New Roman" w:hAnsi="Times New Roman" w:cs="Times New Roman"/>
          <w:sz w:val="24"/>
          <w:szCs w:val="24"/>
        </w:rPr>
        <w:t>t</w:t>
      </w:r>
      <w:r w:rsidR="0003129D" w:rsidRPr="00DC3BB1">
        <w:rPr>
          <w:rFonts w:ascii="Times New Roman" w:hAnsi="Times New Roman" w:cs="Times New Roman"/>
          <w:color w:val="111111"/>
          <w:sz w:val="24"/>
          <w:szCs w:val="24"/>
          <w:shd w:val="clear" w:color="auto" w:fill="FFFFFF"/>
        </w:rPr>
        <w:t xml:space="preserve">he smallest area compatible with the proper management of the </w:t>
      </w:r>
      <w:r w:rsidR="00DC3BB1" w:rsidRPr="00DC3BB1">
        <w:rPr>
          <w:rFonts w:ascii="Times New Roman" w:hAnsi="Times New Roman" w:cs="Times New Roman"/>
          <w:color w:val="111111"/>
          <w:sz w:val="24"/>
          <w:szCs w:val="24"/>
          <w:shd w:val="clear" w:color="auto" w:fill="FFFFFF"/>
        </w:rPr>
        <w:t>monument</w:t>
      </w:r>
      <w:r>
        <w:rPr>
          <w:rFonts w:ascii="Times New Roman" w:hAnsi="Times New Roman" w:cs="Times New Roman"/>
          <w:color w:val="111111"/>
          <w:sz w:val="24"/>
          <w:szCs w:val="24"/>
          <w:shd w:val="clear" w:color="auto" w:fill="FFFFFF"/>
        </w:rPr>
        <w:t xml:space="preserve"> and protection of those three unique characteristics. These boundaries cannot be infringed </w:t>
      </w:r>
      <w:r w:rsidR="003B46F6">
        <w:rPr>
          <w:rFonts w:ascii="Times New Roman" w:hAnsi="Times New Roman" w:cs="Times New Roman"/>
          <w:color w:val="111111"/>
          <w:sz w:val="24"/>
          <w:szCs w:val="24"/>
          <w:shd w:val="clear" w:color="auto" w:fill="FFFFFF"/>
        </w:rPr>
        <w:t>up</w:t>
      </w:r>
      <w:r>
        <w:rPr>
          <w:rFonts w:ascii="Times New Roman" w:hAnsi="Times New Roman" w:cs="Times New Roman"/>
          <w:color w:val="111111"/>
          <w:sz w:val="24"/>
          <w:szCs w:val="24"/>
          <w:shd w:val="clear" w:color="auto" w:fill="FFFFFF"/>
        </w:rPr>
        <w:t>on or reduced without having adverse effects to the Monument.</w:t>
      </w:r>
    </w:p>
    <w:p w14:paraId="4F771A3B" w14:textId="0C750539" w:rsidR="00274B57" w:rsidRPr="00DC3BB1" w:rsidRDefault="0003129D" w:rsidP="009A17AA">
      <w:pPr>
        <w:spacing w:line="276" w:lineRule="auto"/>
        <w:rPr>
          <w:rFonts w:ascii="Times New Roman" w:hAnsi="Times New Roman" w:cs="Times New Roman"/>
          <w:color w:val="111111"/>
          <w:sz w:val="24"/>
          <w:szCs w:val="24"/>
          <w:shd w:val="clear" w:color="auto" w:fill="FFFFFF"/>
        </w:rPr>
      </w:pPr>
      <w:r w:rsidRPr="00DC3BB1">
        <w:rPr>
          <w:rFonts w:ascii="Times New Roman" w:hAnsi="Times New Roman" w:cs="Times New Roman"/>
          <w:color w:val="111111"/>
          <w:sz w:val="24"/>
          <w:szCs w:val="24"/>
          <w:shd w:val="clear" w:color="auto" w:fill="FFFFFF"/>
        </w:rPr>
        <w:t>The Monument</w:t>
      </w:r>
      <w:r w:rsidR="003B46F6">
        <w:rPr>
          <w:rFonts w:ascii="Times New Roman" w:hAnsi="Times New Roman" w:cs="Times New Roman"/>
          <w:color w:val="111111"/>
          <w:sz w:val="24"/>
          <w:szCs w:val="24"/>
          <w:shd w:val="clear" w:color="auto" w:fill="FFFFFF"/>
        </w:rPr>
        <w:t>s</w:t>
      </w:r>
      <w:r w:rsidRPr="00DC3BB1">
        <w:rPr>
          <w:rFonts w:ascii="Times New Roman" w:hAnsi="Times New Roman" w:cs="Times New Roman"/>
          <w:color w:val="111111"/>
          <w:sz w:val="24"/>
          <w:szCs w:val="24"/>
          <w:shd w:val="clear" w:color="auto" w:fill="FFFFFF"/>
        </w:rPr>
        <w:t xml:space="preserve"> </w:t>
      </w:r>
      <w:r w:rsidR="00D46FD3">
        <w:rPr>
          <w:rFonts w:ascii="Times New Roman" w:hAnsi="Times New Roman" w:cs="Times New Roman"/>
          <w:color w:val="111111"/>
          <w:sz w:val="24"/>
          <w:szCs w:val="24"/>
          <w:shd w:val="clear" w:color="auto" w:fill="FFFFFF"/>
        </w:rPr>
        <w:t xml:space="preserve">individual </w:t>
      </w:r>
      <w:r w:rsidRPr="00DC3BB1">
        <w:rPr>
          <w:rFonts w:ascii="Times New Roman" w:hAnsi="Times New Roman" w:cs="Times New Roman"/>
          <w:color w:val="111111"/>
          <w:sz w:val="24"/>
          <w:szCs w:val="24"/>
          <w:shd w:val="clear" w:color="auto" w:fill="FFFFFF"/>
        </w:rPr>
        <w:t xml:space="preserve">values cited </w:t>
      </w:r>
      <w:r w:rsidR="009E2481" w:rsidRPr="00DC3BB1">
        <w:rPr>
          <w:rFonts w:ascii="Times New Roman" w:hAnsi="Times New Roman" w:cs="Times New Roman"/>
          <w:color w:val="111111"/>
          <w:sz w:val="24"/>
          <w:szCs w:val="24"/>
          <w:shd w:val="clear" w:color="auto" w:fill="FFFFFF"/>
        </w:rPr>
        <w:t xml:space="preserve">for protection </w:t>
      </w:r>
      <w:r w:rsidRPr="00DC3BB1">
        <w:rPr>
          <w:rFonts w:ascii="Times New Roman" w:hAnsi="Times New Roman" w:cs="Times New Roman"/>
          <w:color w:val="111111"/>
          <w:sz w:val="24"/>
          <w:szCs w:val="24"/>
          <w:shd w:val="clear" w:color="auto" w:fill="FFFFFF"/>
        </w:rPr>
        <w:t>in the Proclamation</w:t>
      </w:r>
      <w:r w:rsidR="009E2481" w:rsidRPr="00DC3BB1">
        <w:rPr>
          <w:rFonts w:ascii="Times New Roman" w:hAnsi="Times New Roman" w:cs="Times New Roman"/>
          <w:color w:val="111111"/>
          <w:sz w:val="24"/>
          <w:szCs w:val="24"/>
          <w:shd w:val="clear" w:color="auto" w:fill="FFFFFF"/>
        </w:rPr>
        <w:t xml:space="preserve"> are the</w:t>
      </w:r>
      <w:r w:rsidRPr="00DC3BB1">
        <w:rPr>
          <w:rFonts w:ascii="Times New Roman" w:hAnsi="Times New Roman" w:cs="Times New Roman"/>
          <w:color w:val="111111"/>
          <w:sz w:val="24"/>
          <w:szCs w:val="24"/>
          <w:shd w:val="clear" w:color="auto" w:fill="FFFFFF"/>
        </w:rPr>
        <w:t xml:space="preserve"> </w:t>
      </w:r>
      <w:r w:rsidR="00CD6726" w:rsidRPr="00DC3BB1">
        <w:rPr>
          <w:rFonts w:ascii="Times New Roman" w:hAnsi="Times New Roman" w:cs="Times New Roman"/>
          <w:color w:val="111111"/>
          <w:sz w:val="24"/>
          <w:szCs w:val="24"/>
          <w:shd w:val="clear" w:color="auto" w:fill="FFFFFF"/>
        </w:rPr>
        <w:t>scientific</w:t>
      </w:r>
      <w:r w:rsidR="009E2481" w:rsidRPr="00DC3BB1">
        <w:rPr>
          <w:rFonts w:ascii="Times New Roman" w:hAnsi="Times New Roman" w:cs="Times New Roman"/>
          <w:color w:val="111111"/>
          <w:sz w:val="24"/>
          <w:szCs w:val="24"/>
          <w:shd w:val="clear" w:color="auto" w:fill="FFFFFF"/>
        </w:rPr>
        <w:t>,</w:t>
      </w:r>
      <w:r w:rsidR="00CD6726" w:rsidRPr="00DC3BB1">
        <w:rPr>
          <w:rFonts w:ascii="Times New Roman" w:hAnsi="Times New Roman" w:cs="Times New Roman"/>
          <w:color w:val="111111"/>
          <w:sz w:val="24"/>
          <w:szCs w:val="24"/>
          <w:shd w:val="clear" w:color="auto" w:fill="FFFFFF"/>
        </w:rPr>
        <w:t xml:space="preserve"> historic, </w:t>
      </w:r>
      <w:r w:rsidR="009E2481" w:rsidRPr="00DC3BB1">
        <w:rPr>
          <w:rFonts w:ascii="Times New Roman" w:hAnsi="Times New Roman" w:cs="Times New Roman"/>
          <w:color w:val="111111"/>
          <w:sz w:val="24"/>
          <w:szCs w:val="24"/>
          <w:shd w:val="clear" w:color="auto" w:fill="FFFFFF"/>
        </w:rPr>
        <w:t>continuing</w:t>
      </w:r>
      <w:r w:rsidRPr="00DC3BB1">
        <w:rPr>
          <w:rFonts w:ascii="Times New Roman" w:hAnsi="Times New Roman" w:cs="Times New Roman"/>
          <w:color w:val="111111"/>
          <w:sz w:val="24"/>
          <w:szCs w:val="24"/>
          <w:shd w:val="clear" w:color="auto" w:fill="FFFFFF"/>
        </w:rPr>
        <w:t xml:space="preserve"> </w:t>
      </w:r>
      <w:r w:rsidR="00CD6726" w:rsidRPr="00DC3BB1">
        <w:rPr>
          <w:rFonts w:ascii="Times New Roman" w:hAnsi="Times New Roman" w:cs="Times New Roman"/>
          <w:color w:val="111111"/>
          <w:sz w:val="24"/>
          <w:szCs w:val="24"/>
          <w:shd w:val="clear" w:color="auto" w:fill="FFFFFF"/>
        </w:rPr>
        <w:t>cultural</w:t>
      </w:r>
      <w:r w:rsidRPr="00DC3BB1">
        <w:rPr>
          <w:rFonts w:ascii="Times New Roman" w:hAnsi="Times New Roman" w:cs="Times New Roman"/>
          <w:color w:val="111111"/>
          <w:sz w:val="24"/>
          <w:szCs w:val="24"/>
          <w:shd w:val="clear" w:color="auto" w:fill="FFFFFF"/>
        </w:rPr>
        <w:t xml:space="preserve"> opportunit</w:t>
      </w:r>
      <w:r w:rsidR="009E2481" w:rsidRPr="00DC3BB1">
        <w:rPr>
          <w:rFonts w:ascii="Times New Roman" w:hAnsi="Times New Roman" w:cs="Times New Roman"/>
          <w:color w:val="111111"/>
          <w:sz w:val="24"/>
          <w:szCs w:val="24"/>
          <w:shd w:val="clear" w:color="auto" w:fill="FFFFFF"/>
        </w:rPr>
        <w:t xml:space="preserve">ies </w:t>
      </w:r>
      <w:r w:rsidRPr="00DC3BB1">
        <w:rPr>
          <w:rFonts w:ascii="Times New Roman" w:hAnsi="Times New Roman" w:cs="Times New Roman"/>
          <w:color w:val="111111"/>
          <w:sz w:val="24"/>
          <w:szCs w:val="24"/>
          <w:shd w:val="clear" w:color="auto" w:fill="FFFFFF"/>
        </w:rPr>
        <w:t xml:space="preserve">and </w:t>
      </w:r>
      <w:r w:rsidR="003B46F6">
        <w:rPr>
          <w:rFonts w:ascii="Times New Roman" w:hAnsi="Times New Roman" w:cs="Times New Roman"/>
          <w:color w:val="111111"/>
          <w:sz w:val="24"/>
          <w:szCs w:val="24"/>
          <w:shd w:val="clear" w:color="auto" w:fill="FFFFFF"/>
        </w:rPr>
        <w:t xml:space="preserve">natural </w:t>
      </w:r>
      <w:r w:rsidR="009E2481" w:rsidRPr="00DC3BB1">
        <w:rPr>
          <w:rFonts w:ascii="Times New Roman" w:hAnsi="Times New Roman" w:cs="Times New Roman"/>
          <w:color w:val="111111"/>
          <w:sz w:val="24"/>
          <w:szCs w:val="24"/>
          <w:shd w:val="clear" w:color="auto" w:fill="FFFFFF"/>
        </w:rPr>
        <w:t xml:space="preserve">ecology of the island. </w:t>
      </w:r>
    </w:p>
    <w:p w14:paraId="0DE518E0" w14:textId="33CF603E" w:rsidR="00DC3BB1" w:rsidRDefault="00DC3BB1" w:rsidP="009A17AA">
      <w:pPr>
        <w:spacing w:line="276"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Ecology </w:t>
      </w:r>
      <w:r w:rsidR="009E2481" w:rsidRPr="00DC3BB1">
        <w:rPr>
          <w:rFonts w:ascii="Times New Roman" w:hAnsi="Times New Roman" w:cs="Times New Roman"/>
          <w:color w:val="111111"/>
          <w:sz w:val="24"/>
          <w:szCs w:val="24"/>
          <w:shd w:val="clear" w:color="auto" w:fill="FFFFFF"/>
        </w:rPr>
        <w:t xml:space="preserve">stands out </w:t>
      </w:r>
      <w:r w:rsidR="003B46F6">
        <w:rPr>
          <w:rFonts w:ascii="Times New Roman" w:hAnsi="Times New Roman" w:cs="Times New Roman"/>
          <w:color w:val="111111"/>
          <w:sz w:val="24"/>
          <w:szCs w:val="24"/>
          <w:shd w:val="clear" w:color="auto" w:fill="FFFFFF"/>
        </w:rPr>
        <w:t xml:space="preserve">among the values </w:t>
      </w:r>
      <w:r w:rsidR="009E2481" w:rsidRPr="00DC3BB1">
        <w:rPr>
          <w:rFonts w:ascii="Times New Roman" w:hAnsi="Times New Roman" w:cs="Times New Roman"/>
          <w:color w:val="111111"/>
          <w:sz w:val="24"/>
          <w:szCs w:val="24"/>
          <w:shd w:val="clear" w:color="auto" w:fill="FFFFFF"/>
        </w:rPr>
        <w:t xml:space="preserve">because it </w:t>
      </w:r>
      <w:r w:rsidR="00D46FD3">
        <w:rPr>
          <w:rFonts w:ascii="Times New Roman" w:hAnsi="Times New Roman" w:cs="Times New Roman"/>
          <w:color w:val="111111"/>
          <w:sz w:val="24"/>
          <w:szCs w:val="24"/>
          <w:shd w:val="clear" w:color="auto" w:fill="FFFFFF"/>
        </w:rPr>
        <w:t xml:space="preserve">forms the </w:t>
      </w:r>
      <w:r w:rsidR="009E2481" w:rsidRPr="00DC3BB1">
        <w:rPr>
          <w:rFonts w:ascii="Times New Roman" w:hAnsi="Times New Roman" w:cs="Times New Roman"/>
          <w:color w:val="111111"/>
          <w:sz w:val="24"/>
          <w:szCs w:val="24"/>
          <w:shd w:val="clear" w:color="auto" w:fill="FFFFFF"/>
        </w:rPr>
        <w:t>foundation of the other</w:t>
      </w:r>
      <w:r w:rsidR="003B46F6">
        <w:rPr>
          <w:rFonts w:ascii="Times New Roman" w:hAnsi="Times New Roman" w:cs="Times New Roman"/>
          <w:color w:val="111111"/>
          <w:sz w:val="24"/>
          <w:szCs w:val="24"/>
          <w:shd w:val="clear" w:color="auto" w:fill="FFFFFF"/>
        </w:rPr>
        <w:t>s</w:t>
      </w:r>
      <w:r w:rsidR="009E2481" w:rsidRPr="00DC3BB1">
        <w:rPr>
          <w:rFonts w:ascii="Times New Roman" w:hAnsi="Times New Roman" w:cs="Times New Roman"/>
          <w:color w:val="111111"/>
          <w:sz w:val="24"/>
          <w:szCs w:val="24"/>
          <w:shd w:val="clear" w:color="auto" w:fill="FFFFFF"/>
        </w:rPr>
        <w:t>.</w:t>
      </w:r>
      <w:r w:rsidR="00274B57" w:rsidRPr="00DC3BB1">
        <w:rPr>
          <w:rFonts w:ascii="Times New Roman" w:hAnsi="Times New Roman" w:cs="Times New Roman"/>
          <w:color w:val="111111"/>
          <w:sz w:val="24"/>
          <w:szCs w:val="24"/>
          <w:shd w:val="clear" w:color="auto" w:fill="FFFFFF"/>
        </w:rPr>
        <w:t xml:space="preserve">  </w:t>
      </w:r>
      <w:r w:rsidR="00D46FD3">
        <w:rPr>
          <w:rFonts w:ascii="Times New Roman" w:hAnsi="Times New Roman" w:cs="Times New Roman"/>
          <w:color w:val="111111"/>
          <w:sz w:val="24"/>
          <w:szCs w:val="24"/>
          <w:shd w:val="clear" w:color="auto" w:fill="FFFFFF"/>
        </w:rPr>
        <w:t>Ecologically speaking, t</w:t>
      </w:r>
      <w:r w:rsidR="00274B57" w:rsidRPr="00DC3BB1">
        <w:rPr>
          <w:rFonts w:ascii="Times New Roman" w:hAnsi="Times New Roman" w:cs="Times New Roman"/>
          <w:color w:val="111111"/>
          <w:sz w:val="24"/>
          <w:szCs w:val="24"/>
          <w:shd w:val="clear" w:color="auto" w:fill="FFFFFF"/>
        </w:rPr>
        <w:t>he island is described as being a unique</w:t>
      </w:r>
      <w:r w:rsidR="00D46FD3">
        <w:rPr>
          <w:rFonts w:ascii="Times New Roman" w:hAnsi="Times New Roman" w:cs="Times New Roman"/>
          <w:color w:val="111111"/>
          <w:sz w:val="24"/>
          <w:szCs w:val="24"/>
          <w:shd w:val="clear" w:color="auto" w:fill="FFFFFF"/>
        </w:rPr>
        <w:t xml:space="preserve">, </w:t>
      </w:r>
      <w:r w:rsidR="00662A33">
        <w:rPr>
          <w:rFonts w:ascii="Times New Roman" w:hAnsi="Times New Roman" w:cs="Times New Roman"/>
          <w:color w:val="111111"/>
          <w:sz w:val="24"/>
          <w:szCs w:val="24"/>
          <w:shd w:val="clear" w:color="auto" w:fill="FFFFFF"/>
        </w:rPr>
        <w:t xml:space="preserve">diverse, </w:t>
      </w:r>
      <w:r w:rsidR="00D46FD3">
        <w:rPr>
          <w:rFonts w:ascii="Times New Roman" w:hAnsi="Times New Roman" w:cs="Times New Roman"/>
          <w:color w:val="111111"/>
          <w:sz w:val="24"/>
          <w:szCs w:val="24"/>
          <w:shd w:val="clear" w:color="auto" w:fill="FFFFFF"/>
        </w:rPr>
        <w:t xml:space="preserve">entire and </w:t>
      </w:r>
      <w:r w:rsidR="00274B57" w:rsidRPr="00DC3BB1">
        <w:rPr>
          <w:rFonts w:ascii="Times New Roman" w:hAnsi="Times New Roman" w:cs="Times New Roman"/>
          <w:color w:val="111111"/>
          <w:sz w:val="24"/>
          <w:szCs w:val="24"/>
          <w:shd w:val="clear" w:color="auto" w:fill="FFFFFF"/>
        </w:rPr>
        <w:t xml:space="preserve">relatively unspoiled ecosystem.  It </w:t>
      </w:r>
      <w:r w:rsidR="00D46FD3">
        <w:rPr>
          <w:rFonts w:ascii="Times New Roman" w:hAnsi="Times New Roman" w:cs="Times New Roman"/>
          <w:color w:val="111111"/>
          <w:sz w:val="24"/>
          <w:szCs w:val="24"/>
          <w:shd w:val="clear" w:color="auto" w:fill="FFFFFF"/>
        </w:rPr>
        <w:t xml:space="preserve">was set aside </w:t>
      </w:r>
      <w:r w:rsidR="00274B57" w:rsidRPr="00DC3BB1">
        <w:rPr>
          <w:rFonts w:ascii="Times New Roman" w:hAnsi="Times New Roman" w:cs="Times New Roman"/>
          <w:color w:val="111111"/>
          <w:sz w:val="24"/>
          <w:szCs w:val="24"/>
          <w:shd w:val="clear" w:color="auto" w:fill="FFFFFF"/>
        </w:rPr>
        <w:t xml:space="preserve">45 years ago </w:t>
      </w:r>
      <w:r w:rsidR="00D46FD3">
        <w:rPr>
          <w:rFonts w:ascii="Times New Roman" w:hAnsi="Times New Roman" w:cs="Times New Roman"/>
          <w:color w:val="111111"/>
          <w:sz w:val="24"/>
          <w:szCs w:val="24"/>
          <w:shd w:val="clear" w:color="auto" w:fill="FFFFFF"/>
        </w:rPr>
        <w:t>because places like this were becoming increasingly rare.</w:t>
      </w:r>
    </w:p>
    <w:p w14:paraId="4B9F9D85" w14:textId="776F737C" w:rsidR="00FD03F8" w:rsidRDefault="00FD03F8" w:rsidP="009A17AA">
      <w:pPr>
        <w:spacing w:line="276" w:lineRule="auto"/>
        <w:rPr>
          <w:rFonts w:ascii="Times New Roman" w:hAnsi="Times New Roman" w:cs="Times New Roman"/>
          <w:color w:val="111111"/>
          <w:sz w:val="24"/>
          <w:szCs w:val="24"/>
          <w:shd w:val="clear" w:color="auto" w:fill="FFFFFF"/>
        </w:rPr>
      </w:pPr>
      <w:r w:rsidRPr="00DC3BB1">
        <w:rPr>
          <w:rFonts w:ascii="Times New Roman" w:hAnsi="Times New Roman" w:cs="Times New Roman"/>
          <w:color w:val="111111"/>
          <w:sz w:val="24"/>
          <w:szCs w:val="24"/>
          <w:shd w:val="clear" w:color="auto" w:fill="FFFFFF"/>
        </w:rPr>
        <w:t xml:space="preserve">In the intervening years it has become known that intact ecosystems such as Admiralty </w:t>
      </w:r>
      <w:r w:rsidR="003B46F6">
        <w:rPr>
          <w:rFonts w:ascii="Times New Roman" w:hAnsi="Times New Roman" w:cs="Times New Roman"/>
          <w:color w:val="111111"/>
          <w:sz w:val="24"/>
          <w:szCs w:val="24"/>
          <w:shd w:val="clear" w:color="auto" w:fill="FFFFFF"/>
        </w:rPr>
        <w:t xml:space="preserve">Island </w:t>
      </w:r>
      <w:r w:rsidRPr="00DC3BB1">
        <w:rPr>
          <w:rFonts w:ascii="Times New Roman" w:hAnsi="Times New Roman" w:cs="Times New Roman"/>
          <w:color w:val="111111"/>
          <w:sz w:val="24"/>
          <w:szCs w:val="24"/>
          <w:shd w:val="clear" w:color="auto" w:fill="FFFFFF"/>
        </w:rPr>
        <w:t xml:space="preserve">function less like isolated ecosystems and more like a </w:t>
      </w:r>
      <w:r w:rsidR="00DC3BB1" w:rsidRPr="00DC3BB1">
        <w:rPr>
          <w:rFonts w:ascii="Times New Roman" w:hAnsi="Times New Roman" w:cs="Times New Roman"/>
          <w:color w:val="111111"/>
          <w:sz w:val="24"/>
          <w:szCs w:val="24"/>
          <w:shd w:val="clear" w:color="auto" w:fill="FFFFFF"/>
        </w:rPr>
        <w:t>global storehouse</w:t>
      </w:r>
      <w:r w:rsidRPr="00DC3BB1">
        <w:rPr>
          <w:rFonts w:ascii="Times New Roman" w:hAnsi="Times New Roman" w:cs="Times New Roman"/>
          <w:color w:val="111111"/>
          <w:sz w:val="24"/>
          <w:szCs w:val="24"/>
          <w:shd w:val="clear" w:color="auto" w:fill="FFFFFF"/>
        </w:rPr>
        <w:t xml:space="preserve"> of carbon and genetic diversity. Admiralty Island does both and both are necessary to buffer </w:t>
      </w:r>
      <w:r w:rsidR="003B46F6">
        <w:rPr>
          <w:rFonts w:ascii="Times New Roman" w:hAnsi="Times New Roman" w:cs="Times New Roman"/>
          <w:color w:val="111111"/>
          <w:sz w:val="24"/>
          <w:szCs w:val="24"/>
          <w:shd w:val="clear" w:color="auto" w:fill="FFFFFF"/>
        </w:rPr>
        <w:t xml:space="preserve">the </w:t>
      </w:r>
      <w:r w:rsidR="00DC3BB1" w:rsidRPr="00DC3BB1">
        <w:rPr>
          <w:rFonts w:ascii="Times New Roman" w:hAnsi="Times New Roman" w:cs="Times New Roman"/>
          <w:color w:val="111111"/>
          <w:sz w:val="24"/>
          <w:szCs w:val="24"/>
          <w:shd w:val="clear" w:color="auto" w:fill="FFFFFF"/>
        </w:rPr>
        <w:t xml:space="preserve">adverse impacts of </w:t>
      </w:r>
      <w:r w:rsidRPr="00DC3BB1">
        <w:rPr>
          <w:rFonts w:ascii="Times New Roman" w:hAnsi="Times New Roman" w:cs="Times New Roman"/>
          <w:color w:val="111111"/>
          <w:sz w:val="24"/>
          <w:szCs w:val="24"/>
          <w:shd w:val="clear" w:color="auto" w:fill="FFFFFF"/>
        </w:rPr>
        <w:t>climate change.</w:t>
      </w:r>
      <w:r w:rsidR="00D46FD3">
        <w:rPr>
          <w:rFonts w:ascii="Times New Roman" w:hAnsi="Times New Roman" w:cs="Times New Roman"/>
          <w:color w:val="111111"/>
          <w:sz w:val="24"/>
          <w:szCs w:val="24"/>
          <w:shd w:val="clear" w:color="auto" w:fill="FFFFFF"/>
        </w:rPr>
        <w:t xml:space="preserve"> The Monument is of global significance.</w:t>
      </w:r>
    </w:p>
    <w:p w14:paraId="708F0353" w14:textId="10111D2B" w:rsidR="00B410DA" w:rsidRDefault="00DC3BB1" w:rsidP="009A17AA">
      <w:pPr>
        <w:spacing w:line="276"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Congress recognized th</w:t>
      </w:r>
      <w:r w:rsidR="00D46FD3">
        <w:rPr>
          <w:rFonts w:ascii="Times New Roman" w:hAnsi="Times New Roman" w:cs="Times New Roman"/>
          <w:color w:val="111111"/>
          <w:sz w:val="24"/>
          <w:szCs w:val="24"/>
          <w:shd w:val="clear" w:color="auto" w:fill="FFFFFF"/>
        </w:rPr>
        <w:t>is w</w:t>
      </w:r>
      <w:r w:rsidR="00ED00B7">
        <w:rPr>
          <w:rFonts w:ascii="Times New Roman" w:hAnsi="Times New Roman" w:cs="Times New Roman"/>
          <w:color w:val="111111"/>
          <w:sz w:val="24"/>
          <w:szCs w:val="24"/>
          <w:shd w:val="clear" w:color="auto" w:fill="FFFFFF"/>
        </w:rPr>
        <w:t xml:space="preserve">hen it debated the Alaska National Interest Lands Conservation Act (ANICLA) two years later. Congress </w:t>
      </w:r>
      <w:r w:rsidR="00D46FD3">
        <w:rPr>
          <w:rFonts w:ascii="Times New Roman" w:hAnsi="Times New Roman" w:cs="Times New Roman"/>
          <w:color w:val="111111"/>
          <w:sz w:val="24"/>
          <w:szCs w:val="24"/>
          <w:shd w:val="clear" w:color="auto" w:fill="FFFFFF"/>
        </w:rPr>
        <w:t xml:space="preserve">thoughtfully </w:t>
      </w:r>
      <w:r w:rsidR="00ED00B7">
        <w:rPr>
          <w:rFonts w:ascii="Times New Roman" w:hAnsi="Times New Roman" w:cs="Times New Roman"/>
          <w:color w:val="111111"/>
          <w:sz w:val="24"/>
          <w:szCs w:val="24"/>
          <w:shd w:val="clear" w:color="auto" w:fill="FFFFFF"/>
        </w:rPr>
        <w:t xml:space="preserve">balanced the competing interests of allowing development of existing mining claims </w:t>
      </w:r>
      <w:r w:rsidR="00D46FD3">
        <w:rPr>
          <w:rFonts w:ascii="Times New Roman" w:hAnsi="Times New Roman" w:cs="Times New Roman"/>
          <w:color w:val="111111"/>
          <w:sz w:val="24"/>
          <w:szCs w:val="24"/>
          <w:shd w:val="clear" w:color="auto" w:fill="FFFFFF"/>
        </w:rPr>
        <w:t xml:space="preserve">with </w:t>
      </w:r>
      <w:r w:rsidR="00ED00B7">
        <w:rPr>
          <w:rFonts w:ascii="Times New Roman" w:hAnsi="Times New Roman" w:cs="Times New Roman"/>
          <w:color w:val="111111"/>
          <w:sz w:val="24"/>
          <w:szCs w:val="24"/>
          <w:shd w:val="clear" w:color="auto" w:fill="FFFFFF"/>
        </w:rPr>
        <w:t>the protection of the Monument.</w:t>
      </w:r>
      <w:r>
        <w:rPr>
          <w:rFonts w:ascii="Times New Roman" w:hAnsi="Times New Roman" w:cs="Times New Roman"/>
          <w:color w:val="111111"/>
          <w:sz w:val="24"/>
          <w:szCs w:val="24"/>
          <w:shd w:val="clear" w:color="auto" w:fill="FFFFFF"/>
        </w:rPr>
        <w:t xml:space="preserve"> </w:t>
      </w:r>
      <w:r w:rsidR="00ED00B7">
        <w:rPr>
          <w:rFonts w:ascii="Times New Roman" w:hAnsi="Times New Roman" w:cs="Times New Roman"/>
          <w:color w:val="111111"/>
          <w:sz w:val="24"/>
          <w:szCs w:val="24"/>
          <w:shd w:val="clear" w:color="auto" w:fill="FFFFFF"/>
        </w:rPr>
        <w:t xml:space="preserve">Congress conditioned mine development </w:t>
      </w:r>
      <w:r w:rsidR="00D46FD3">
        <w:rPr>
          <w:rFonts w:ascii="Times New Roman" w:hAnsi="Times New Roman" w:cs="Times New Roman"/>
          <w:color w:val="111111"/>
          <w:sz w:val="24"/>
          <w:szCs w:val="24"/>
          <w:shd w:val="clear" w:color="auto" w:fill="FFFFFF"/>
        </w:rPr>
        <w:t>under</w:t>
      </w:r>
      <w:r w:rsidR="00ED00B7">
        <w:rPr>
          <w:rFonts w:ascii="Times New Roman" w:hAnsi="Times New Roman" w:cs="Times New Roman"/>
          <w:color w:val="111111"/>
          <w:sz w:val="24"/>
          <w:szCs w:val="24"/>
          <w:shd w:val="clear" w:color="auto" w:fill="FFFFFF"/>
        </w:rPr>
        <w:t xml:space="preserve"> additional protections </w:t>
      </w:r>
      <w:r w:rsidR="00D46FD3">
        <w:rPr>
          <w:rFonts w:ascii="Times New Roman" w:hAnsi="Times New Roman" w:cs="Times New Roman"/>
          <w:color w:val="111111"/>
          <w:sz w:val="24"/>
          <w:szCs w:val="24"/>
          <w:shd w:val="clear" w:color="auto" w:fill="FFFFFF"/>
        </w:rPr>
        <w:t xml:space="preserve">to safeguard </w:t>
      </w:r>
      <w:r w:rsidR="00ED00B7">
        <w:rPr>
          <w:rFonts w:ascii="Times New Roman" w:hAnsi="Times New Roman" w:cs="Times New Roman"/>
          <w:color w:val="111111"/>
          <w:sz w:val="24"/>
          <w:szCs w:val="24"/>
          <w:shd w:val="clear" w:color="auto" w:fill="FFFFFF"/>
        </w:rPr>
        <w:t xml:space="preserve">the Monument. These protections </w:t>
      </w:r>
      <w:r w:rsidR="00D46FD3">
        <w:rPr>
          <w:rFonts w:ascii="Times New Roman" w:hAnsi="Times New Roman" w:cs="Times New Roman"/>
          <w:color w:val="111111"/>
          <w:sz w:val="24"/>
          <w:szCs w:val="24"/>
          <w:shd w:val="clear" w:color="auto" w:fill="FFFFFF"/>
        </w:rPr>
        <w:t>are unique to the Greens Creek Mine</w:t>
      </w:r>
      <w:r w:rsidR="00ED00B7">
        <w:rPr>
          <w:rFonts w:ascii="Times New Roman" w:hAnsi="Times New Roman" w:cs="Times New Roman"/>
          <w:color w:val="111111"/>
          <w:sz w:val="24"/>
          <w:szCs w:val="24"/>
          <w:shd w:val="clear" w:color="auto" w:fill="FFFFFF"/>
        </w:rPr>
        <w:t>.</w:t>
      </w:r>
      <w:r w:rsidR="00B410DA">
        <w:rPr>
          <w:rFonts w:ascii="Times New Roman" w:hAnsi="Times New Roman" w:cs="Times New Roman"/>
          <w:color w:val="111111"/>
          <w:sz w:val="24"/>
          <w:szCs w:val="24"/>
          <w:shd w:val="clear" w:color="auto" w:fill="FFFFFF"/>
        </w:rPr>
        <w:t xml:space="preserve"> </w:t>
      </w:r>
      <w:r w:rsidR="00B410DA">
        <w:rPr>
          <w:rFonts w:ascii="Times New Roman" w:hAnsi="Times New Roman" w:cs="Times New Roman"/>
          <w:sz w:val="24"/>
          <w:szCs w:val="24"/>
        </w:rPr>
        <w:t xml:space="preserve">The Greens Creek mine is the only mine allowed to operate in a National Monument because </w:t>
      </w:r>
      <w:r w:rsidR="00D46FD3">
        <w:rPr>
          <w:rFonts w:ascii="Times New Roman" w:hAnsi="Times New Roman" w:cs="Times New Roman"/>
          <w:sz w:val="24"/>
          <w:szCs w:val="24"/>
        </w:rPr>
        <w:t>the claims preexisted the Declaration and it was predicated on not harming the Monument.  I</w:t>
      </w:r>
      <w:r w:rsidR="00B410DA">
        <w:rPr>
          <w:rFonts w:ascii="Times New Roman" w:hAnsi="Times New Roman" w:cs="Times New Roman"/>
          <w:sz w:val="24"/>
          <w:szCs w:val="24"/>
        </w:rPr>
        <w:t>t was to be a model mine.</w:t>
      </w:r>
    </w:p>
    <w:p w14:paraId="6930C907" w14:textId="211EB64C" w:rsidR="00D46FD3" w:rsidRDefault="00D46FD3" w:rsidP="009A17AA">
      <w:pPr>
        <w:spacing w:line="276"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Alarmingly, the Forest Service has f</w:t>
      </w:r>
      <w:r w:rsidR="00ED00B7">
        <w:rPr>
          <w:rFonts w:ascii="Times New Roman" w:hAnsi="Times New Roman" w:cs="Times New Roman"/>
          <w:color w:val="111111"/>
          <w:sz w:val="24"/>
          <w:szCs w:val="24"/>
          <w:shd w:val="clear" w:color="auto" w:fill="FFFFFF"/>
        </w:rPr>
        <w:t>or 35 years and now three expansions</w:t>
      </w:r>
      <w:r w:rsidR="00F27445">
        <w:rPr>
          <w:rFonts w:ascii="Times New Roman" w:hAnsi="Times New Roman" w:cs="Times New Roman"/>
          <w:color w:val="111111"/>
          <w:sz w:val="24"/>
          <w:szCs w:val="24"/>
          <w:shd w:val="clear" w:color="auto" w:fill="FFFFFF"/>
        </w:rPr>
        <w:t>,</w:t>
      </w:r>
      <w:r w:rsidR="00ED00B7">
        <w:rPr>
          <w:rFonts w:ascii="Times New Roman" w:hAnsi="Times New Roman" w:cs="Times New Roman"/>
          <w:color w:val="111111"/>
          <w:sz w:val="24"/>
          <w:szCs w:val="24"/>
          <w:shd w:val="clear" w:color="auto" w:fill="FFFFFF"/>
        </w:rPr>
        <w:t xml:space="preserve"> acted as i</w:t>
      </w:r>
      <w:r w:rsidR="00B410DA">
        <w:rPr>
          <w:rFonts w:ascii="Times New Roman" w:hAnsi="Times New Roman" w:cs="Times New Roman"/>
          <w:color w:val="111111"/>
          <w:sz w:val="24"/>
          <w:szCs w:val="24"/>
          <w:shd w:val="clear" w:color="auto" w:fill="FFFFFF"/>
        </w:rPr>
        <w:t>f ANICLA</w:t>
      </w:r>
      <w:r>
        <w:rPr>
          <w:rFonts w:ascii="Times New Roman" w:hAnsi="Times New Roman" w:cs="Times New Roman"/>
          <w:color w:val="111111"/>
          <w:sz w:val="24"/>
          <w:szCs w:val="24"/>
          <w:shd w:val="clear" w:color="auto" w:fill="FFFFFF"/>
        </w:rPr>
        <w:t>’s</w:t>
      </w:r>
      <w:r w:rsidR="00B410DA">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extra conditions are secondary to the right to mine and use </w:t>
      </w:r>
      <w:r w:rsidR="00662A33">
        <w:rPr>
          <w:rFonts w:ascii="Times New Roman" w:hAnsi="Times New Roman" w:cs="Times New Roman"/>
          <w:color w:val="111111"/>
          <w:sz w:val="24"/>
          <w:szCs w:val="24"/>
          <w:shd w:val="clear" w:color="auto" w:fill="FFFFFF"/>
        </w:rPr>
        <w:t xml:space="preserve">federal lands </w:t>
      </w:r>
      <w:r>
        <w:rPr>
          <w:rFonts w:ascii="Times New Roman" w:hAnsi="Times New Roman" w:cs="Times New Roman"/>
          <w:color w:val="111111"/>
          <w:sz w:val="24"/>
          <w:szCs w:val="24"/>
          <w:shd w:val="clear" w:color="auto" w:fill="FFFFFF"/>
        </w:rPr>
        <w:t>for tailing disposal.</w:t>
      </w:r>
    </w:p>
    <w:p w14:paraId="2F48E39C" w14:textId="6142D25D" w:rsidR="00662A33" w:rsidRDefault="00662A33" w:rsidP="00662A33">
      <w:pPr>
        <w:spacing w:line="276" w:lineRule="auto"/>
        <w:rPr>
          <w:rFonts w:ascii="Times New Roman" w:hAnsi="Times New Roman" w:cs="Times New Roman"/>
          <w:sz w:val="24"/>
          <w:szCs w:val="24"/>
        </w:rPr>
      </w:pPr>
      <w:r w:rsidRPr="009D4DE0">
        <w:rPr>
          <w:rFonts w:ascii="Times New Roman" w:hAnsi="Times New Roman" w:cs="Times New Roman"/>
          <w:sz w:val="24"/>
          <w:szCs w:val="24"/>
        </w:rPr>
        <w:t xml:space="preserve">36 CFR 228.2 </w:t>
      </w:r>
      <w:r>
        <w:rPr>
          <w:rFonts w:ascii="Times New Roman" w:hAnsi="Times New Roman" w:cs="Times New Roman"/>
          <w:sz w:val="24"/>
          <w:szCs w:val="24"/>
        </w:rPr>
        <w:t xml:space="preserve">notes that where </w:t>
      </w:r>
      <w:r w:rsidRPr="009D4DE0">
        <w:rPr>
          <w:rFonts w:ascii="Times New Roman" w:hAnsi="Times New Roman" w:cs="Times New Roman"/>
          <w:sz w:val="24"/>
          <w:szCs w:val="24"/>
        </w:rPr>
        <w:t xml:space="preserve">United States Mining Laws of May 10, 1872 </w:t>
      </w:r>
      <w:r>
        <w:rPr>
          <w:rFonts w:ascii="Times New Roman" w:hAnsi="Times New Roman" w:cs="Times New Roman"/>
          <w:sz w:val="24"/>
          <w:szCs w:val="24"/>
        </w:rPr>
        <w:t xml:space="preserve">may </w:t>
      </w:r>
      <w:r>
        <w:rPr>
          <w:rFonts w:ascii="Times New Roman" w:hAnsi="Times New Roman" w:cs="Times New Roman"/>
          <w:sz w:val="24"/>
          <w:szCs w:val="24"/>
        </w:rPr>
        <w:t>conflict with a special act of congress</w:t>
      </w:r>
      <w:r>
        <w:rPr>
          <w:rFonts w:ascii="Times New Roman" w:hAnsi="Times New Roman" w:cs="Times New Roman"/>
          <w:sz w:val="24"/>
          <w:szCs w:val="24"/>
        </w:rPr>
        <w:t>,</w:t>
      </w:r>
      <w:r>
        <w:rPr>
          <w:rFonts w:ascii="Times New Roman" w:hAnsi="Times New Roman" w:cs="Times New Roman"/>
          <w:sz w:val="24"/>
          <w:szCs w:val="24"/>
        </w:rPr>
        <w:t xml:space="preserve"> the provisions of the special act shall apply (16 U.S.C. 482a-482q).  </w:t>
      </w:r>
    </w:p>
    <w:p w14:paraId="667D3861" w14:textId="001F62DD" w:rsidR="007A0FBF" w:rsidRDefault="007A0FBF" w:rsidP="007A0FBF">
      <w:pPr>
        <w:spacing w:line="276" w:lineRule="auto"/>
        <w:rPr>
          <w:rFonts w:ascii="Times New Roman" w:hAnsi="Times New Roman" w:cs="Times New Roman"/>
          <w:sz w:val="24"/>
          <w:szCs w:val="24"/>
        </w:rPr>
      </w:pPr>
      <w:r w:rsidRPr="007A0FBF">
        <w:rPr>
          <w:rFonts w:ascii="Times New Roman" w:hAnsi="Times New Roman" w:cs="Times New Roman"/>
          <w:color w:val="333333"/>
          <w:sz w:val="24"/>
          <w:szCs w:val="24"/>
          <w:shd w:val="clear" w:color="auto" w:fill="FFFFFF"/>
        </w:rPr>
        <w:t xml:space="preserve">43 CFR 3802.0 5(l) defines </w:t>
      </w:r>
      <w:r w:rsidRPr="007A0FBF">
        <w:rPr>
          <w:rStyle w:val="Emphasis"/>
          <w:rFonts w:ascii="Times New Roman" w:hAnsi="Times New Roman" w:cs="Times New Roman"/>
          <w:b/>
          <w:bCs/>
          <w:sz w:val="24"/>
          <w:szCs w:val="24"/>
        </w:rPr>
        <w:t>Undue and unnecessary degradation</w:t>
      </w:r>
      <w:r w:rsidRPr="007A0FBF">
        <w:rPr>
          <w:rFonts w:ascii="Times New Roman" w:hAnsi="Times New Roman" w:cs="Times New Roman"/>
          <w:sz w:val="24"/>
          <w:szCs w:val="24"/>
        </w:rPr>
        <w:t xml:space="preserve"> as </w:t>
      </w:r>
      <w:r w:rsidR="00662A33">
        <w:rPr>
          <w:rFonts w:ascii="Times New Roman" w:hAnsi="Times New Roman" w:cs="Times New Roman"/>
          <w:sz w:val="24"/>
          <w:szCs w:val="24"/>
        </w:rPr>
        <w:t>degradation</w:t>
      </w:r>
      <w:r w:rsidRPr="007A0FBF">
        <w:rPr>
          <w:rFonts w:ascii="Times New Roman" w:hAnsi="Times New Roman" w:cs="Times New Roman"/>
          <w:sz w:val="24"/>
          <w:szCs w:val="24"/>
        </w:rPr>
        <w:t xml:space="preserve"> greater than those </w:t>
      </w:r>
      <w:r w:rsidR="006176A4">
        <w:rPr>
          <w:rFonts w:ascii="Times New Roman" w:hAnsi="Times New Roman" w:cs="Times New Roman"/>
          <w:sz w:val="24"/>
          <w:szCs w:val="24"/>
        </w:rPr>
        <w:t>described in the plan of operations.</w:t>
      </w:r>
      <w:r w:rsidRPr="007A0FBF">
        <w:rPr>
          <w:rFonts w:ascii="Times New Roman" w:hAnsi="Times New Roman" w:cs="Times New Roman"/>
          <w:sz w:val="24"/>
          <w:szCs w:val="24"/>
        </w:rPr>
        <w:t xml:space="preserve">  </w:t>
      </w:r>
      <w:r w:rsidRPr="007A0FBF">
        <w:rPr>
          <w:rFonts w:ascii="Times New Roman" w:hAnsi="Times New Roman" w:cs="Times New Roman"/>
          <w:i/>
          <w:iCs/>
          <w:sz w:val="24"/>
          <w:szCs w:val="24"/>
        </w:rPr>
        <w:t>See also</w:t>
      </w:r>
      <w:r w:rsidRPr="007A0FBF">
        <w:rPr>
          <w:rFonts w:ascii="Times New Roman" w:hAnsi="Times New Roman" w:cs="Times New Roman"/>
          <w:sz w:val="24"/>
          <w:szCs w:val="24"/>
        </w:rPr>
        <w:t xml:space="preserve">, </w:t>
      </w:r>
      <w:r w:rsidRPr="007A0FBF">
        <w:rPr>
          <w:rFonts w:ascii="Times New Roman" w:hAnsi="Times New Roman" w:cs="Times New Roman"/>
          <w:color w:val="333333"/>
          <w:sz w:val="24"/>
          <w:szCs w:val="24"/>
          <w:shd w:val="clear" w:color="auto" w:fill="FFFFFF"/>
        </w:rPr>
        <w:t xml:space="preserve">43 CFR 3802.1 5(b)(2). </w:t>
      </w:r>
      <w:r w:rsidRPr="007A0FBF">
        <w:rPr>
          <w:rFonts w:ascii="Times New Roman" w:hAnsi="Times New Roman" w:cs="Times New Roman"/>
          <w:sz w:val="24"/>
          <w:szCs w:val="24"/>
        </w:rPr>
        <w:t>Plans covering operations on a claim with a valid existing right are approved subject to measures that will prevent undue and unnecessary degradation of the area.</w:t>
      </w:r>
      <w:r>
        <w:rPr>
          <w:rFonts w:ascii="Times New Roman" w:hAnsi="Times New Roman" w:cs="Times New Roman"/>
          <w:sz w:val="24"/>
          <w:szCs w:val="24"/>
        </w:rPr>
        <w:t xml:space="preserve">  This is the minimum standard applicable </w:t>
      </w:r>
      <w:r w:rsidR="006176A4">
        <w:rPr>
          <w:rFonts w:ascii="Times New Roman" w:hAnsi="Times New Roman" w:cs="Times New Roman"/>
          <w:sz w:val="24"/>
          <w:szCs w:val="24"/>
        </w:rPr>
        <w:t xml:space="preserve">under 1872 General Mining Act. </w:t>
      </w:r>
      <w:r>
        <w:rPr>
          <w:rFonts w:ascii="Times New Roman" w:hAnsi="Times New Roman" w:cs="Times New Roman"/>
          <w:sz w:val="24"/>
          <w:szCs w:val="24"/>
        </w:rPr>
        <w:t xml:space="preserve"> ANICLA505(a) amends this requirement to the ‘no irreparable harm’ </w:t>
      </w:r>
      <w:r w:rsidR="006176A4">
        <w:rPr>
          <w:rFonts w:ascii="Times New Roman" w:hAnsi="Times New Roman" w:cs="Times New Roman"/>
          <w:sz w:val="24"/>
          <w:szCs w:val="24"/>
        </w:rPr>
        <w:t xml:space="preserve">and ‘maintain and protect’ </w:t>
      </w:r>
      <w:r>
        <w:rPr>
          <w:rFonts w:ascii="Times New Roman" w:hAnsi="Times New Roman" w:cs="Times New Roman"/>
          <w:sz w:val="24"/>
          <w:szCs w:val="24"/>
        </w:rPr>
        <w:t xml:space="preserve">standard regardless if the degradation was necessary to carry out the mining operation. </w:t>
      </w:r>
      <w:r w:rsidR="006176A4">
        <w:rPr>
          <w:rFonts w:ascii="Times New Roman" w:hAnsi="Times New Roman" w:cs="Times New Roman"/>
          <w:sz w:val="24"/>
          <w:szCs w:val="24"/>
        </w:rPr>
        <w:t xml:space="preserve">Plans of Operation cannot describe due and necessary degradation that harms any Monument value. </w:t>
      </w:r>
    </w:p>
    <w:p w14:paraId="4AD626F4" w14:textId="77777777" w:rsidR="00662A33" w:rsidRDefault="00662A33" w:rsidP="00662A33">
      <w:pPr>
        <w:spacing w:line="276" w:lineRule="auto"/>
        <w:rPr>
          <w:rFonts w:ascii="Times New Roman" w:hAnsi="Times New Roman" w:cs="Times New Roman"/>
          <w:sz w:val="24"/>
          <w:szCs w:val="24"/>
        </w:rPr>
      </w:pPr>
      <w:r>
        <w:rPr>
          <w:rFonts w:ascii="Times New Roman" w:hAnsi="Times New Roman" w:cs="Times New Roman"/>
          <w:sz w:val="24"/>
          <w:szCs w:val="24"/>
        </w:rPr>
        <w:t xml:space="preserve">The Forest Service in this </w:t>
      </w:r>
      <w:proofErr w:type="spellStart"/>
      <w:r>
        <w:rPr>
          <w:rFonts w:ascii="Times New Roman" w:hAnsi="Times New Roman" w:cs="Times New Roman"/>
          <w:sz w:val="24"/>
          <w:szCs w:val="24"/>
        </w:rPr>
        <w:t>dSEIS</w:t>
      </w:r>
      <w:proofErr w:type="spellEnd"/>
      <w:r>
        <w:rPr>
          <w:rFonts w:ascii="Times New Roman" w:hAnsi="Times New Roman" w:cs="Times New Roman"/>
          <w:sz w:val="24"/>
          <w:szCs w:val="24"/>
        </w:rPr>
        <w:t xml:space="preserve"> continues to fail in its duty under 36 CFR 228.2 to elevate Monument protections over its duty to implement 1872 Mining Law.</w:t>
      </w:r>
    </w:p>
    <w:p w14:paraId="6B9808C6" w14:textId="6D05D98F" w:rsidR="00B410DA" w:rsidRDefault="00FB65B9" w:rsidP="009A17AA">
      <w:pPr>
        <w:spacing w:line="276" w:lineRule="auto"/>
        <w:rPr>
          <w:rFonts w:ascii="Times New Roman" w:hAnsi="Times New Roman" w:cs="Times New Roman"/>
          <w:sz w:val="24"/>
          <w:szCs w:val="24"/>
        </w:rPr>
      </w:pPr>
      <w:r>
        <w:rPr>
          <w:rFonts w:ascii="Times New Roman" w:hAnsi="Times New Roman" w:cs="Times New Roman"/>
          <w:color w:val="111111"/>
          <w:sz w:val="24"/>
          <w:szCs w:val="24"/>
          <w:shd w:val="clear" w:color="auto" w:fill="FFFFFF"/>
        </w:rPr>
        <w:lastRenderedPageBreak/>
        <w:t>Such an interpretation was clearly not what Congress intended.</w:t>
      </w:r>
      <w:r w:rsidR="00F27445">
        <w:rPr>
          <w:rFonts w:ascii="Times New Roman" w:hAnsi="Times New Roman" w:cs="Times New Roman"/>
          <w:color w:val="111111"/>
          <w:sz w:val="24"/>
          <w:szCs w:val="24"/>
          <w:shd w:val="clear" w:color="auto" w:fill="FFFFFF"/>
        </w:rPr>
        <w:t xml:space="preserve"> </w:t>
      </w:r>
      <w:r w:rsidR="00F27445" w:rsidRPr="00F27445">
        <w:rPr>
          <w:rFonts w:ascii="Times New Roman" w:hAnsi="Times New Roman" w:cs="Times New Roman"/>
          <w:sz w:val="24"/>
          <w:szCs w:val="24"/>
        </w:rPr>
        <w:t>The no irreparable harm standard under ANILCA is a strict requirement, not aspirational.</w:t>
      </w:r>
      <w:r w:rsidR="00D46FD3">
        <w:rPr>
          <w:rFonts w:ascii="Times New Roman" w:hAnsi="Times New Roman" w:cs="Times New Roman"/>
          <w:sz w:val="24"/>
          <w:szCs w:val="24"/>
        </w:rPr>
        <w:t xml:space="preserve"> It is neither subordinate nor equal to the right to mine.  It is </w:t>
      </w:r>
      <w:r w:rsidR="00D46FD3" w:rsidRPr="00D46FD3">
        <w:rPr>
          <w:rFonts w:ascii="Times New Roman" w:hAnsi="Times New Roman" w:cs="Times New Roman"/>
          <w:color w:val="212529"/>
          <w:spacing w:val="6"/>
          <w:sz w:val="24"/>
          <w:szCs w:val="24"/>
          <w:shd w:val="clear" w:color="auto" w:fill="FFFFFF"/>
        </w:rPr>
        <w:t>superordinate</w:t>
      </w:r>
      <w:r w:rsidR="00D46FD3">
        <w:rPr>
          <w:rFonts w:ascii="Times New Roman" w:hAnsi="Times New Roman" w:cs="Times New Roman"/>
          <w:color w:val="212529"/>
          <w:spacing w:val="6"/>
          <w:sz w:val="24"/>
          <w:szCs w:val="24"/>
          <w:shd w:val="clear" w:color="auto" w:fill="FFFFFF"/>
        </w:rPr>
        <w:t xml:space="preserve"> to the right to mine, a </w:t>
      </w:r>
      <w:r w:rsidR="003B46F6">
        <w:rPr>
          <w:rFonts w:ascii="Times New Roman" w:hAnsi="Times New Roman" w:cs="Times New Roman"/>
          <w:color w:val="212529"/>
          <w:spacing w:val="6"/>
          <w:sz w:val="24"/>
          <w:szCs w:val="24"/>
          <w:shd w:val="clear" w:color="auto" w:fill="FFFFFF"/>
        </w:rPr>
        <w:t xml:space="preserve">strict </w:t>
      </w:r>
      <w:r w:rsidR="00D46FD3">
        <w:rPr>
          <w:rFonts w:ascii="Times New Roman" w:hAnsi="Times New Roman" w:cs="Times New Roman"/>
          <w:color w:val="212529"/>
          <w:spacing w:val="6"/>
          <w:sz w:val="24"/>
          <w:szCs w:val="24"/>
          <w:shd w:val="clear" w:color="auto" w:fill="FFFFFF"/>
        </w:rPr>
        <w:t>condition imposed to allow development.</w:t>
      </w:r>
      <w:r w:rsidR="00821E95">
        <w:rPr>
          <w:rFonts w:ascii="Times New Roman" w:hAnsi="Times New Roman" w:cs="Times New Roman"/>
          <w:sz w:val="24"/>
          <w:szCs w:val="24"/>
        </w:rPr>
        <w:t xml:space="preserve"> </w:t>
      </w:r>
    </w:p>
    <w:p w14:paraId="34024CCC" w14:textId="33EF3CF8" w:rsidR="00A91085" w:rsidRDefault="00A91085" w:rsidP="009A17AA">
      <w:pPr>
        <w:spacing w:line="276" w:lineRule="auto"/>
        <w:rPr>
          <w:rFonts w:ascii="Times New Roman" w:hAnsi="Times New Roman" w:cs="Times New Roman"/>
          <w:color w:val="111111"/>
          <w:sz w:val="24"/>
          <w:szCs w:val="24"/>
          <w:shd w:val="clear" w:color="auto" w:fill="FFFFFF"/>
        </w:rPr>
      </w:pPr>
      <w:r>
        <w:rPr>
          <w:rFonts w:ascii="Times New Roman" w:hAnsi="Times New Roman" w:cs="Times New Roman"/>
          <w:sz w:val="24"/>
          <w:szCs w:val="24"/>
        </w:rPr>
        <w:t>Background.</w:t>
      </w:r>
    </w:p>
    <w:p w14:paraId="4AD4ACC3" w14:textId="25D4F990" w:rsidR="00FB65B9" w:rsidRDefault="00D46FD3" w:rsidP="009A17AA">
      <w:pPr>
        <w:spacing w:line="276"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At the beginning, ANICLA protections guided the </w:t>
      </w:r>
      <w:r w:rsidR="00FB65B9">
        <w:rPr>
          <w:rFonts w:ascii="Times New Roman" w:hAnsi="Times New Roman" w:cs="Times New Roman"/>
          <w:color w:val="111111"/>
          <w:sz w:val="24"/>
          <w:szCs w:val="24"/>
          <w:shd w:val="clear" w:color="auto" w:fill="FFFFFF"/>
        </w:rPr>
        <w:t xml:space="preserve">first ten years of exploration </w:t>
      </w:r>
      <w:r w:rsidR="00F27445">
        <w:rPr>
          <w:rFonts w:ascii="Times New Roman" w:hAnsi="Times New Roman" w:cs="Times New Roman"/>
          <w:color w:val="111111"/>
          <w:sz w:val="24"/>
          <w:szCs w:val="24"/>
          <w:shd w:val="clear" w:color="auto" w:fill="FFFFFF"/>
        </w:rPr>
        <w:t xml:space="preserve">and planning </w:t>
      </w:r>
      <w:r w:rsidR="00FB65B9">
        <w:rPr>
          <w:rFonts w:ascii="Times New Roman" w:hAnsi="Times New Roman" w:cs="Times New Roman"/>
          <w:color w:val="111111"/>
          <w:sz w:val="24"/>
          <w:szCs w:val="24"/>
          <w:shd w:val="clear" w:color="auto" w:fill="FFFFFF"/>
        </w:rPr>
        <w:t xml:space="preserve">through </w:t>
      </w:r>
      <w:r w:rsidR="00A91085">
        <w:rPr>
          <w:rFonts w:ascii="Times New Roman" w:hAnsi="Times New Roman" w:cs="Times New Roman"/>
          <w:color w:val="111111"/>
          <w:sz w:val="24"/>
          <w:szCs w:val="24"/>
          <w:shd w:val="clear" w:color="auto" w:fill="FFFFFF"/>
        </w:rPr>
        <w:t xml:space="preserve">and including </w:t>
      </w:r>
      <w:r w:rsidR="00FB65B9">
        <w:rPr>
          <w:rFonts w:ascii="Times New Roman" w:hAnsi="Times New Roman" w:cs="Times New Roman"/>
          <w:color w:val="111111"/>
          <w:sz w:val="24"/>
          <w:szCs w:val="24"/>
          <w:shd w:val="clear" w:color="auto" w:fill="FFFFFF"/>
        </w:rPr>
        <w:t>the 1984 EIS and ROD</w:t>
      </w:r>
      <w:r>
        <w:rPr>
          <w:rFonts w:ascii="Times New Roman" w:hAnsi="Times New Roman" w:cs="Times New Roman"/>
          <w:color w:val="111111"/>
          <w:sz w:val="24"/>
          <w:szCs w:val="24"/>
          <w:shd w:val="clear" w:color="auto" w:fill="FFFFFF"/>
        </w:rPr>
        <w:t>.  T</w:t>
      </w:r>
      <w:r w:rsidR="00FB65B9">
        <w:rPr>
          <w:rFonts w:ascii="Times New Roman" w:hAnsi="Times New Roman" w:cs="Times New Roman"/>
          <w:color w:val="111111"/>
          <w:sz w:val="24"/>
          <w:szCs w:val="24"/>
          <w:shd w:val="clear" w:color="auto" w:fill="FFFFFF"/>
        </w:rPr>
        <w:t>he unique, diverse ecological system was the focus</w:t>
      </w:r>
      <w:r>
        <w:rPr>
          <w:rFonts w:ascii="Times New Roman" w:hAnsi="Times New Roman" w:cs="Times New Roman"/>
          <w:color w:val="111111"/>
          <w:sz w:val="24"/>
          <w:szCs w:val="24"/>
          <w:shd w:val="clear" w:color="auto" w:fill="FFFFFF"/>
        </w:rPr>
        <w:t xml:space="preserve"> of the baseline documentation and description of the existing conditions.  Baseline data collection as stated in the objectives</w:t>
      </w:r>
      <w:r w:rsidR="003B46F6">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 was based on ecosystem-level thresholds, species diversity and populations </w:t>
      </w:r>
      <w:r w:rsidR="003B46F6">
        <w:rPr>
          <w:rFonts w:ascii="Times New Roman" w:hAnsi="Times New Roman" w:cs="Times New Roman"/>
          <w:color w:val="111111"/>
          <w:sz w:val="24"/>
          <w:szCs w:val="24"/>
          <w:shd w:val="clear" w:color="auto" w:fill="FFFFFF"/>
        </w:rPr>
        <w:t xml:space="preserve">designed to measure </w:t>
      </w:r>
      <w:r>
        <w:rPr>
          <w:rFonts w:ascii="Times New Roman" w:hAnsi="Times New Roman" w:cs="Times New Roman"/>
          <w:color w:val="111111"/>
          <w:sz w:val="24"/>
          <w:szCs w:val="24"/>
          <w:shd w:val="clear" w:color="auto" w:fill="FFFFFF"/>
        </w:rPr>
        <w:t>long terms changes to the ecosystem.</w:t>
      </w:r>
      <w:r w:rsidR="00FB65B9">
        <w:rPr>
          <w:rFonts w:ascii="Times New Roman" w:hAnsi="Times New Roman" w:cs="Times New Roman"/>
          <w:color w:val="111111"/>
          <w:sz w:val="24"/>
          <w:szCs w:val="24"/>
          <w:shd w:val="clear" w:color="auto" w:fill="FFFFFF"/>
        </w:rPr>
        <w:t xml:space="preserve"> This </w:t>
      </w:r>
      <w:r w:rsidR="00B410DA">
        <w:rPr>
          <w:rFonts w:ascii="Times New Roman" w:hAnsi="Times New Roman" w:cs="Times New Roman"/>
          <w:color w:val="111111"/>
          <w:sz w:val="24"/>
          <w:szCs w:val="24"/>
          <w:shd w:val="clear" w:color="auto" w:fill="FFFFFF"/>
        </w:rPr>
        <w:t xml:space="preserve">baseline </w:t>
      </w:r>
      <w:r w:rsidR="00FB65B9">
        <w:rPr>
          <w:rFonts w:ascii="Times New Roman" w:hAnsi="Times New Roman" w:cs="Times New Roman"/>
          <w:color w:val="111111"/>
          <w:sz w:val="24"/>
          <w:szCs w:val="24"/>
          <w:shd w:val="clear" w:color="auto" w:fill="FFFFFF"/>
        </w:rPr>
        <w:t>analysis was to be used to measure</w:t>
      </w:r>
      <w:r w:rsidR="00F27445">
        <w:rPr>
          <w:rFonts w:ascii="Times New Roman" w:hAnsi="Times New Roman" w:cs="Times New Roman"/>
          <w:color w:val="111111"/>
          <w:sz w:val="24"/>
          <w:szCs w:val="24"/>
          <w:shd w:val="clear" w:color="auto" w:fill="FFFFFF"/>
        </w:rPr>
        <w:t xml:space="preserve"> the effects of the mine </w:t>
      </w:r>
      <w:r w:rsidR="002921AC">
        <w:rPr>
          <w:rFonts w:ascii="Times New Roman" w:hAnsi="Times New Roman" w:cs="Times New Roman"/>
          <w:color w:val="111111"/>
          <w:sz w:val="24"/>
          <w:szCs w:val="24"/>
          <w:shd w:val="clear" w:color="auto" w:fill="FFFFFF"/>
        </w:rPr>
        <w:t xml:space="preserve">on Hawk Inlet </w:t>
      </w:r>
      <w:r w:rsidR="00F27445">
        <w:rPr>
          <w:rFonts w:ascii="Times New Roman" w:hAnsi="Times New Roman" w:cs="Times New Roman"/>
          <w:color w:val="111111"/>
          <w:sz w:val="24"/>
          <w:szCs w:val="24"/>
          <w:shd w:val="clear" w:color="auto" w:fill="FFFFFF"/>
        </w:rPr>
        <w:t xml:space="preserve">in subsequent years. </w:t>
      </w:r>
      <w:r w:rsidR="003B46F6" w:rsidRPr="00C0509A">
        <w:rPr>
          <w:rFonts w:ascii="Times New Roman" w:hAnsi="Times New Roman" w:cs="Times New Roman"/>
          <w:i/>
          <w:iCs/>
          <w:color w:val="111111"/>
          <w:sz w:val="24"/>
          <w:szCs w:val="24"/>
          <w:shd w:val="clear" w:color="auto" w:fill="FFFFFF"/>
        </w:rPr>
        <w:t>See,</w:t>
      </w:r>
      <w:r w:rsidR="003B46F6">
        <w:rPr>
          <w:rFonts w:ascii="Times New Roman" w:hAnsi="Times New Roman" w:cs="Times New Roman"/>
          <w:color w:val="111111"/>
          <w:sz w:val="24"/>
          <w:szCs w:val="24"/>
          <w:shd w:val="clear" w:color="auto" w:fill="FFFFFF"/>
        </w:rPr>
        <w:t xml:space="preserve"> Record of Decision Greens Creek Mining Project Final Environmental Impact Statement </w:t>
      </w:r>
      <w:r w:rsidR="00C0509A">
        <w:rPr>
          <w:rFonts w:ascii="Times New Roman" w:hAnsi="Times New Roman" w:cs="Times New Roman"/>
          <w:color w:val="111111"/>
          <w:sz w:val="24"/>
          <w:szCs w:val="24"/>
          <w:shd w:val="clear" w:color="auto" w:fill="FFFFFF"/>
        </w:rPr>
        <w:t>Admiralty</w:t>
      </w:r>
      <w:r w:rsidR="003B46F6">
        <w:rPr>
          <w:rFonts w:ascii="Times New Roman" w:hAnsi="Times New Roman" w:cs="Times New Roman"/>
          <w:color w:val="111111"/>
          <w:sz w:val="24"/>
          <w:szCs w:val="24"/>
          <w:shd w:val="clear" w:color="auto" w:fill="FFFFFF"/>
        </w:rPr>
        <w:t xml:space="preserve"> Island National Monument 1983.</w:t>
      </w:r>
    </w:p>
    <w:p w14:paraId="754532F4" w14:textId="41FC6952" w:rsidR="00D46FD3" w:rsidRDefault="00D46FD3" w:rsidP="00A77708">
      <w:pPr>
        <w:spacing w:line="276"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Instead, t</w:t>
      </w:r>
      <w:r w:rsidR="002921AC">
        <w:rPr>
          <w:rFonts w:ascii="Times New Roman" w:hAnsi="Times New Roman" w:cs="Times New Roman"/>
          <w:color w:val="111111"/>
          <w:sz w:val="24"/>
          <w:szCs w:val="24"/>
          <w:shd w:val="clear" w:color="auto" w:fill="FFFFFF"/>
        </w:rPr>
        <w:t>he direct measurement of ecosystem</w:t>
      </w:r>
      <w:r>
        <w:rPr>
          <w:rFonts w:ascii="Times New Roman" w:hAnsi="Times New Roman" w:cs="Times New Roman"/>
          <w:color w:val="111111"/>
          <w:sz w:val="24"/>
          <w:szCs w:val="24"/>
          <w:shd w:val="clear" w:color="auto" w:fill="FFFFFF"/>
        </w:rPr>
        <w:t xml:space="preserve"> diversity and population dynamics</w:t>
      </w:r>
      <w:r w:rsidR="002921AC">
        <w:rPr>
          <w:rFonts w:ascii="Times New Roman" w:hAnsi="Times New Roman" w:cs="Times New Roman"/>
          <w:color w:val="111111"/>
          <w:sz w:val="24"/>
          <w:szCs w:val="24"/>
          <w:shd w:val="clear" w:color="auto" w:fill="FFFFFF"/>
        </w:rPr>
        <w:t xml:space="preserve"> was replaced by a state waste water discharge permit </w:t>
      </w:r>
      <w:r w:rsidR="00B410DA">
        <w:rPr>
          <w:rFonts w:ascii="Times New Roman" w:hAnsi="Times New Roman" w:cs="Times New Roman"/>
          <w:color w:val="111111"/>
          <w:sz w:val="24"/>
          <w:szCs w:val="24"/>
          <w:shd w:val="clear" w:color="auto" w:fill="FFFFFF"/>
        </w:rPr>
        <w:t>in 1988</w:t>
      </w:r>
      <w:r>
        <w:rPr>
          <w:rFonts w:ascii="Times New Roman" w:hAnsi="Times New Roman" w:cs="Times New Roman"/>
          <w:color w:val="111111"/>
          <w:sz w:val="24"/>
          <w:szCs w:val="24"/>
          <w:shd w:val="clear" w:color="auto" w:fill="FFFFFF"/>
        </w:rPr>
        <w:t xml:space="preserve">.  </w:t>
      </w:r>
      <w:r w:rsidR="00A77708">
        <w:rPr>
          <w:rFonts w:ascii="Times New Roman" w:hAnsi="Times New Roman" w:cs="Times New Roman"/>
          <w:color w:val="111111"/>
          <w:sz w:val="24"/>
          <w:szCs w:val="24"/>
          <w:shd w:val="clear" w:color="auto" w:fill="FFFFFF"/>
        </w:rPr>
        <w:t>Protection of the Monument values is now defined in terms of c</w:t>
      </w:r>
      <w:r>
        <w:rPr>
          <w:rFonts w:ascii="Times New Roman" w:hAnsi="Times New Roman" w:cs="Times New Roman"/>
          <w:color w:val="111111"/>
          <w:sz w:val="24"/>
          <w:szCs w:val="24"/>
          <w:shd w:val="clear" w:color="auto" w:fill="FFFFFF"/>
        </w:rPr>
        <w:t xml:space="preserve">ompliance and </w:t>
      </w:r>
      <w:r w:rsidR="007D0C4E">
        <w:rPr>
          <w:rFonts w:ascii="Times New Roman" w:hAnsi="Times New Roman" w:cs="Times New Roman"/>
          <w:color w:val="111111"/>
          <w:sz w:val="24"/>
          <w:szCs w:val="24"/>
          <w:shd w:val="clear" w:color="auto" w:fill="FFFFFF"/>
        </w:rPr>
        <w:t xml:space="preserve">monitoring </w:t>
      </w:r>
      <w:r>
        <w:rPr>
          <w:rFonts w:ascii="Times New Roman" w:hAnsi="Times New Roman" w:cs="Times New Roman"/>
          <w:color w:val="111111"/>
          <w:sz w:val="24"/>
          <w:szCs w:val="24"/>
          <w:shd w:val="clear" w:color="auto" w:fill="FFFFFF"/>
        </w:rPr>
        <w:t>a</w:t>
      </w:r>
      <w:r w:rsidR="00A77708">
        <w:rPr>
          <w:rFonts w:ascii="Times New Roman" w:hAnsi="Times New Roman" w:cs="Times New Roman"/>
          <w:color w:val="111111"/>
          <w:sz w:val="24"/>
          <w:szCs w:val="24"/>
          <w:shd w:val="clear" w:color="auto" w:fill="FFFFFF"/>
        </w:rPr>
        <w:t xml:space="preserve">nd </w:t>
      </w:r>
      <w:r>
        <w:rPr>
          <w:rFonts w:ascii="Times New Roman" w:hAnsi="Times New Roman" w:cs="Times New Roman"/>
          <w:color w:val="111111"/>
          <w:sz w:val="24"/>
          <w:szCs w:val="24"/>
          <w:shd w:val="clear" w:color="auto" w:fill="FFFFFF"/>
        </w:rPr>
        <w:t xml:space="preserve">effluent quality limits on </w:t>
      </w:r>
      <w:r w:rsidR="002921AC">
        <w:rPr>
          <w:rFonts w:ascii="Times New Roman" w:hAnsi="Times New Roman" w:cs="Times New Roman"/>
          <w:color w:val="111111"/>
          <w:sz w:val="24"/>
          <w:szCs w:val="24"/>
          <w:shd w:val="clear" w:color="auto" w:fill="FFFFFF"/>
        </w:rPr>
        <w:t>single point-source outfall</w:t>
      </w:r>
      <w:r>
        <w:rPr>
          <w:rStyle w:val="FootnoteReference"/>
          <w:rFonts w:ascii="Times New Roman" w:hAnsi="Times New Roman" w:cs="Times New Roman"/>
          <w:color w:val="111111"/>
          <w:sz w:val="24"/>
          <w:szCs w:val="24"/>
          <w:shd w:val="clear" w:color="auto" w:fill="FFFFFF"/>
        </w:rPr>
        <w:footnoteReference w:id="1"/>
      </w:r>
      <w:r w:rsidR="002921AC">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along with several </w:t>
      </w:r>
      <w:r w:rsidR="002921AC">
        <w:rPr>
          <w:rFonts w:ascii="Times New Roman" w:hAnsi="Times New Roman" w:cs="Times New Roman"/>
          <w:color w:val="111111"/>
          <w:sz w:val="24"/>
          <w:szCs w:val="24"/>
          <w:shd w:val="clear" w:color="auto" w:fill="FFFFFF"/>
        </w:rPr>
        <w:t>non-point sources of waste water</w:t>
      </w:r>
      <w:r w:rsidR="006A3D23">
        <w:rPr>
          <w:rFonts w:ascii="Times New Roman" w:hAnsi="Times New Roman" w:cs="Times New Roman"/>
          <w:color w:val="111111"/>
          <w:sz w:val="24"/>
          <w:szCs w:val="24"/>
          <w:shd w:val="clear" w:color="auto" w:fill="FFFFFF"/>
        </w:rPr>
        <w:t xml:space="preserve"> into Hawk Inlet</w:t>
      </w:r>
      <w:r>
        <w:rPr>
          <w:rFonts w:ascii="Times New Roman" w:hAnsi="Times New Roman" w:cs="Times New Roman"/>
          <w:color w:val="111111"/>
          <w:sz w:val="24"/>
          <w:szCs w:val="24"/>
          <w:shd w:val="clear" w:color="auto" w:fill="FFFFFF"/>
        </w:rPr>
        <w:t>. The current monitoring measure</w:t>
      </w:r>
      <w:r w:rsidR="00C0509A">
        <w:rPr>
          <w:rFonts w:ascii="Times New Roman" w:hAnsi="Times New Roman" w:cs="Times New Roman"/>
          <w:color w:val="111111"/>
          <w:sz w:val="24"/>
          <w:szCs w:val="24"/>
          <w:shd w:val="clear" w:color="auto" w:fill="FFFFFF"/>
        </w:rPr>
        <w:t>s</w:t>
      </w:r>
      <w:r w:rsidR="00A77708">
        <w:rPr>
          <w:rFonts w:ascii="Times New Roman" w:hAnsi="Times New Roman" w:cs="Times New Roman"/>
          <w:color w:val="111111"/>
          <w:sz w:val="24"/>
          <w:szCs w:val="24"/>
          <w:shd w:val="clear" w:color="auto" w:fill="FFFFFF"/>
        </w:rPr>
        <w:t xml:space="preserve"> the levels and trends </w:t>
      </w:r>
      <w:r w:rsidR="00C0509A">
        <w:rPr>
          <w:rFonts w:ascii="Times New Roman" w:hAnsi="Times New Roman" w:cs="Times New Roman"/>
          <w:color w:val="111111"/>
          <w:sz w:val="24"/>
          <w:szCs w:val="24"/>
          <w:shd w:val="clear" w:color="auto" w:fill="FFFFFF"/>
        </w:rPr>
        <w:t xml:space="preserve">of five metals </w:t>
      </w:r>
      <w:r w:rsidR="00A91085">
        <w:rPr>
          <w:rFonts w:ascii="Times New Roman" w:hAnsi="Times New Roman" w:cs="Times New Roman"/>
          <w:color w:val="111111"/>
          <w:sz w:val="24"/>
          <w:szCs w:val="24"/>
          <w:shd w:val="clear" w:color="auto" w:fill="FFFFFF"/>
        </w:rPr>
        <w:t xml:space="preserve">in </w:t>
      </w:r>
      <w:r>
        <w:rPr>
          <w:rFonts w:ascii="Times New Roman" w:hAnsi="Times New Roman" w:cs="Times New Roman"/>
          <w:color w:val="111111"/>
          <w:sz w:val="24"/>
          <w:szCs w:val="24"/>
          <w:shd w:val="clear" w:color="auto" w:fill="FFFFFF"/>
        </w:rPr>
        <w:t xml:space="preserve">water, sediment and the tissues of 2 </w:t>
      </w:r>
      <w:r w:rsidR="00A91085">
        <w:rPr>
          <w:rFonts w:ascii="Times New Roman" w:hAnsi="Times New Roman" w:cs="Times New Roman"/>
          <w:color w:val="111111"/>
          <w:sz w:val="24"/>
          <w:szCs w:val="24"/>
          <w:shd w:val="clear" w:color="auto" w:fill="FFFFFF"/>
        </w:rPr>
        <w:t xml:space="preserve">species of </w:t>
      </w:r>
      <w:r>
        <w:rPr>
          <w:rFonts w:ascii="Times New Roman" w:hAnsi="Times New Roman" w:cs="Times New Roman"/>
          <w:color w:val="111111"/>
          <w:sz w:val="24"/>
          <w:szCs w:val="24"/>
          <w:shd w:val="clear" w:color="auto" w:fill="FFFFFF"/>
        </w:rPr>
        <w:t xml:space="preserve">lower-order </w:t>
      </w:r>
      <w:r w:rsidR="00A91085">
        <w:rPr>
          <w:rFonts w:ascii="Times New Roman" w:hAnsi="Times New Roman" w:cs="Times New Roman"/>
          <w:color w:val="111111"/>
          <w:sz w:val="24"/>
          <w:szCs w:val="24"/>
          <w:shd w:val="clear" w:color="auto" w:fill="FFFFFF"/>
        </w:rPr>
        <w:t xml:space="preserve">benthic </w:t>
      </w:r>
      <w:r>
        <w:rPr>
          <w:rFonts w:ascii="Times New Roman" w:hAnsi="Times New Roman" w:cs="Times New Roman"/>
          <w:color w:val="111111"/>
          <w:sz w:val="24"/>
          <w:szCs w:val="24"/>
          <w:shd w:val="clear" w:color="auto" w:fill="FFFFFF"/>
        </w:rPr>
        <w:t>consumers.</w:t>
      </w:r>
      <w:r w:rsidR="002921AC">
        <w:rPr>
          <w:rFonts w:ascii="Times New Roman" w:hAnsi="Times New Roman" w:cs="Times New Roman"/>
          <w:color w:val="111111"/>
          <w:sz w:val="24"/>
          <w:szCs w:val="24"/>
          <w:shd w:val="clear" w:color="auto" w:fill="FFFFFF"/>
        </w:rPr>
        <w:t xml:space="preserve"> </w:t>
      </w:r>
      <w:r w:rsidR="00A91085">
        <w:rPr>
          <w:rFonts w:ascii="Times New Roman" w:hAnsi="Times New Roman" w:cs="Times New Roman"/>
          <w:color w:val="111111"/>
          <w:sz w:val="24"/>
          <w:szCs w:val="24"/>
          <w:shd w:val="clear" w:color="auto" w:fill="FFFFFF"/>
        </w:rPr>
        <w:t xml:space="preserve">These species are chosen as </w:t>
      </w:r>
      <w:r w:rsidR="00A91085" w:rsidRPr="00383035">
        <w:rPr>
          <w:rFonts w:ascii="Times New Roman" w:hAnsi="Times New Roman" w:cs="Times New Roman"/>
          <w:i/>
          <w:iCs/>
          <w:color w:val="111111"/>
          <w:sz w:val="24"/>
          <w:szCs w:val="24"/>
          <w:shd w:val="clear" w:color="auto" w:fill="FFFFFF"/>
        </w:rPr>
        <w:t>indicators</w:t>
      </w:r>
      <w:r w:rsidR="00A91085">
        <w:rPr>
          <w:rFonts w:ascii="Times New Roman" w:hAnsi="Times New Roman" w:cs="Times New Roman"/>
          <w:color w:val="111111"/>
          <w:sz w:val="24"/>
          <w:szCs w:val="24"/>
          <w:shd w:val="clear" w:color="auto" w:fill="FFFFFF"/>
        </w:rPr>
        <w:t xml:space="preserve"> of p</w:t>
      </w:r>
      <w:r w:rsidR="00A77708">
        <w:rPr>
          <w:rFonts w:ascii="Times New Roman" w:hAnsi="Times New Roman" w:cs="Times New Roman"/>
          <w:color w:val="111111"/>
          <w:sz w:val="24"/>
          <w:szCs w:val="24"/>
          <w:shd w:val="clear" w:color="auto" w:fill="FFFFFF"/>
        </w:rPr>
        <w:t xml:space="preserve">rotection for the entire Hawk Inlet ecosystem because they may be exposed and </w:t>
      </w:r>
      <w:r w:rsidR="00383035">
        <w:rPr>
          <w:rFonts w:ascii="Times New Roman" w:hAnsi="Times New Roman" w:cs="Times New Roman"/>
          <w:color w:val="111111"/>
          <w:sz w:val="24"/>
          <w:szCs w:val="24"/>
          <w:shd w:val="clear" w:color="auto" w:fill="FFFFFF"/>
        </w:rPr>
        <w:t>many animals eat them</w:t>
      </w:r>
      <w:r w:rsidR="00A91085">
        <w:rPr>
          <w:rFonts w:ascii="Times New Roman" w:hAnsi="Times New Roman" w:cs="Times New Roman"/>
          <w:color w:val="111111"/>
          <w:sz w:val="24"/>
          <w:szCs w:val="24"/>
          <w:shd w:val="clear" w:color="auto" w:fill="FFFFFF"/>
        </w:rPr>
        <w:t xml:space="preserve">.  </w:t>
      </w:r>
      <w:r w:rsidR="00A77708">
        <w:rPr>
          <w:rFonts w:ascii="Times New Roman" w:hAnsi="Times New Roman" w:cs="Times New Roman"/>
          <w:color w:val="111111"/>
          <w:sz w:val="24"/>
          <w:szCs w:val="24"/>
          <w:shd w:val="clear" w:color="auto" w:fill="FFFFFF"/>
        </w:rPr>
        <w:t xml:space="preserve">They are a stand-in for all species that call Hawk Inlet home including humans. The monitoring collects no </w:t>
      </w:r>
      <w:r w:rsidR="00A91085">
        <w:rPr>
          <w:rFonts w:ascii="Times New Roman" w:hAnsi="Times New Roman" w:cs="Times New Roman"/>
          <w:color w:val="111111"/>
          <w:sz w:val="24"/>
          <w:szCs w:val="24"/>
          <w:shd w:val="clear" w:color="auto" w:fill="FFFFFF"/>
        </w:rPr>
        <w:t xml:space="preserve">direct evidence of what the metals </w:t>
      </w:r>
      <w:r w:rsidR="00A77708">
        <w:rPr>
          <w:rFonts w:ascii="Times New Roman" w:hAnsi="Times New Roman" w:cs="Times New Roman"/>
          <w:color w:val="111111"/>
          <w:sz w:val="24"/>
          <w:szCs w:val="24"/>
          <w:shd w:val="clear" w:color="auto" w:fill="FFFFFF"/>
        </w:rPr>
        <w:t xml:space="preserve">and other impacts </w:t>
      </w:r>
      <w:r w:rsidR="00A91085">
        <w:rPr>
          <w:rFonts w:ascii="Times New Roman" w:hAnsi="Times New Roman" w:cs="Times New Roman"/>
          <w:color w:val="111111"/>
          <w:sz w:val="24"/>
          <w:szCs w:val="24"/>
          <w:shd w:val="clear" w:color="auto" w:fill="FFFFFF"/>
        </w:rPr>
        <w:t xml:space="preserve">are doing to the </w:t>
      </w:r>
      <w:r w:rsidR="00383035">
        <w:rPr>
          <w:rFonts w:ascii="Times New Roman" w:hAnsi="Times New Roman" w:cs="Times New Roman"/>
          <w:color w:val="111111"/>
          <w:sz w:val="24"/>
          <w:szCs w:val="24"/>
          <w:shd w:val="clear" w:color="auto" w:fill="FFFFFF"/>
        </w:rPr>
        <w:t xml:space="preserve">health of the population </w:t>
      </w:r>
      <w:r w:rsidR="00A77708">
        <w:rPr>
          <w:rFonts w:ascii="Times New Roman" w:hAnsi="Times New Roman" w:cs="Times New Roman"/>
          <w:color w:val="111111"/>
          <w:sz w:val="24"/>
          <w:szCs w:val="24"/>
          <w:shd w:val="clear" w:color="auto" w:fill="FFFFFF"/>
        </w:rPr>
        <w:t xml:space="preserve">of target species </w:t>
      </w:r>
      <w:r w:rsidR="00383035">
        <w:rPr>
          <w:rFonts w:ascii="Times New Roman" w:hAnsi="Times New Roman" w:cs="Times New Roman"/>
          <w:color w:val="111111"/>
          <w:sz w:val="24"/>
          <w:szCs w:val="24"/>
          <w:shd w:val="clear" w:color="auto" w:fill="FFFFFF"/>
        </w:rPr>
        <w:t xml:space="preserve">or the health of ecosystem </w:t>
      </w:r>
      <w:r w:rsidR="00A77708">
        <w:rPr>
          <w:rFonts w:ascii="Times New Roman" w:hAnsi="Times New Roman" w:cs="Times New Roman"/>
          <w:color w:val="111111"/>
          <w:sz w:val="24"/>
          <w:szCs w:val="24"/>
          <w:shd w:val="clear" w:color="auto" w:fill="FFFFFF"/>
        </w:rPr>
        <w:t xml:space="preserve">as a whole.  For an ecosystem the </w:t>
      </w:r>
      <w:r w:rsidR="00383035">
        <w:rPr>
          <w:rFonts w:ascii="Times New Roman" w:hAnsi="Times New Roman" w:cs="Times New Roman"/>
          <w:color w:val="111111"/>
          <w:sz w:val="24"/>
          <w:szCs w:val="24"/>
          <w:shd w:val="clear" w:color="auto" w:fill="FFFFFF"/>
        </w:rPr>
        <w:t xml:space="preserve">rests on diversity, the </w:t>
      </w:r>
      <w:r w:rsidR="00A77708">
        <w:rPr>
          <w:rFonts w:ascii="Times New Roman" w:hAnsi="Times New Roman" w:cs="Times New Roman"/>
          <w:color w:val="111111"/>
          <w:sz w:val="24"/>
          <w:szCs w:val="24"/>
          <w:shd w:val="clear" w:color="auto" w:fill="FFFFFF"/>
        </w:rPr>
        <w:t xml:space="preserve">monitoring </w:t>
      </w:r>
      <w:r w:rsidR="00383035">
        <w:rPr>
          <w:rFonts w:ascii="Times New Roman" w:hAnsi="Times New Roman" w:cs="Times New Roman"/>
          <w:color w:val="111111"/>
          <w:sz w:val="24"/>
          <w:szCs w:val="24"/>
          <w:shd w:val="clear" w:color="auto" w:fill="FFFFFF"/>
        </w:rPr>
        <w:t>program can only record trends of these</w:t>
      </w:r>
      <w:r w:rsidR="00A77708">
        <w:rPr>
          <w:rFonts w:ascii="Times New Roman" w:hAnsi="Times New Roman" w:cs="Times New Roman"/>
          <w:color w:val="111111"/>
          <w:sz w:val="24"/>
          <w:szCs w:val="24"/>
          <w:shd w:val="clear" w:color="auto" w:fill="FFFFFF"/>
        </w:rPr>
        <w:t xml:space="preserve"> five </w:t>
      </w:r>
      <w:proofErr w:type="gramStart"/>
      <w:r w:rsidR="00A77708">
        <w:rPr>
          <w:rFonts w:ascii="Times New Roman" w:hAnsi="Times New Roman" w:cs="Times New Roman"/>
          <w:color w:val="111111"/>
          <w:sz w:val="24"/>
          <w:szCs w:val="24"/>
          <w:shd w:val="clear" w:color="auto" w:fill="FFFFFF"/>
        </w:rPr>
        <w:t xml:space="preserve">metals </w:t>
      </w:r>
      <w:r w:rsidR="00383035">
        <w:rPr>
          <w:rFonts w:ascii="Times New Roman" w:hAnsi="Times New Roman" w:cs="Times New Roman"/>
          <w:color w:val="111111"/>
          <w:sz w:val="24"/>
          <w:szCs w:val="24"/>
          <w:shd w:val="clear" w:color="auto" w:fill="FFFFFF"/>
        </w:rPr>
        <w:t xml:space="preserve"> </w:t>
      </w:r>
      <w:proofErr w:type="spellStart"/>
      <w:r w:rsidR="00383035">
        <w:rPr>
          <w:rFonts w:ascii="Times New Roman" w:hAnsi="Times New Roman" w:cs="Times New Roman"/>
          <w:color w:val="111111"/>
          <w:sz w:val="24"/>
          <w:szCs w:val="24"/>
          <w:shd w:val="clear" w:color="auto" w:fill="FFFFFF"/>
        </w:rPr>
        <w:t>metals</w:t>
      </w:r>
      <w:proofErr w:type="spellEnd"/>
      <w:proofErr w:type="gramEnd"/>
      <w:r w:rsidR="00383035">
        <w:rPr>
          <w:rFonts w:ascii="Times New Roman" w:hAnsi="Times New Roman" w:cs="Times New Roman"/>
          <w:color w:val="111111"/>
          <w:sz w:val="24"/>
          <w:szCs w:val="24"/>
          <w:shd w:val="clear" w:color="auto" w:fill="FFFFFF"/>
        </w:rPr>
        <w:t xml:space="preserve"> over time.</w:t>
      </w:r>
      <w:r w:rsidR="00A91085">
        <w:rPr>
          <w:rFonts w:ascii="Times New Roman" w:hAnsi="Times New Roman" w:cs="Times New Roman"/>
          <w:color w:val="111111"/>
          <w:sz w:val="24"/>
          <w:szCs w:val="24"/>
          <w:shd w:val="clear" w:color="auto" w:fill="FFFFFF"/>
        </w:rPr>
        <w:t xml:space="preserve"> </w:t>
      </w:r>
    </w:p>
    <w:p w14:paraId="6FDB1773" w14:textId="703BAE3D" w:rsidR="00383035" w:rsidRDefault="00383035" w:rsidP="009A17AA">
      <w:pPr>
        <w:spacing w:line="276"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More recently t</w:t>
      </w:r>
      <w:r w:rsidR="00D46FD3">
        <w:rPr>
          <w:rFonts w:ascii="Times New Roman" w:hAnsi="Times New Roman" w:cs="Times New Roman"/>
          <w:color w:val="111111"/>
          <w:sz w:val="24"/>
          <w:szCs w:val="24"/>
          <w:shd w:val="clear" w:color="auto" w:fill="FFFFFF"/>
        </w:rPr>
        <w:t xml:space="preserve">his limited data set (limited in scope, not quantity) </w:t>
      </w:r>
      <w:r w:rsidR="00A77708">
        <w:rPr>
          <w:rFonts w:ascii="Times New Roman" w:hAnsi="Times New Roman" w:cs="Times New Roman"/>
          <w:color w:val="111111"/>
          <w:sz w:val="24"/>
          <w:szCs w:val="24"/>
          <w:shd w:val="clear" w:color="auto" w:fill="FFFFFF"/>
        </w:rPr>
        <w:t xml:space="preserve">of </w:t>
      </w:r>
      <w:r>
        <w:rPr>
          <w:rFonts w:ascii="Times New Roman" w:hAnsi="Times New Roman" w:cs="Times New Roman"/>
          <w:color w:val="111111"/>
          <w:sz w:val="24"/>
          <w:szCs w:val="24"/>
          <w:shd w:val="clear" w:color="auto" w:fill="FFFFFF"/>
        </w:rPr>
        <w:t xml:space="preserve">tissue concentrations </w:t>
      </w:r>
      <w:r w:rsidR="00D46FD3">
        <w:rPr>
          <w:rFonts w:ascii="Times New Roman" w:hAnsi="Times New Roman" w:cs="Times New Roman"/>
          <w:color w:val="111111"/>
          <w:sz w:val="24"/>
          <w:szCs w:val="24"/>
          <w:shd w:val="clear" w:color="auto" w:fill="FFFFFF"/>
        </w:rPr>
        <w:t xml:space="preserve">was </w:t>
      </w:r>
      <w:r>
        <w:rPr>
          <w:rFonts w:ascii="Times New Roman" w:hAnsi="Times New Roman" w:cs="Times New Roman"/>
          <w:color w:val="111111"/>
          <w:sz w:val="24"/>
          <w:szCs w:val="24"/>
          <w:shd w:val="clear" w:color="auto" w:fill="FFFFFF"/>
        </w:rPr>
        <w:t xml:space="preserve">plugged into a risk assessment model for each metal individually and assessed </w:t>
      </w:r>
      <w:r w:rsidR="00A77708">
        <w:rPr>
          <w:rFonts w:ascii="Times New Roman" w:hAnsi="Times New Roman" w:cs="Times New Roman"/>
          <w:color w:val="111111"/>
          <w:sz w:val="24"/>
          <w:szCs w:val="24"/>
          <w:shd w:val="clear" w:color="auto" w:fill="FFFFFF"/>
        </w:rPr>
        <w:t xml:space="preserve">against </w:t>
      </w:r>
      <w:r>
        <w:rPr>
          <w:rFonts w:ascii="Times New Roman" w:hAnsi="Times New Roman" w:cs="Times New Roman"/>
          <w:color w:val="111111"/>
          <w:sz w:val="24"/>
          <w:szCs w:val="24"/>
          <w:shd w:val="clear" w:color="auto" w:fill="FFFFFF"/>
        </w:rPr>
        <w:t>the known ERL level at which biological effects are rarely observed or predicted.  This model too, cannot inform land managers as to changes in the overall ecosystem dynamics of Hawk Inlet. Ecosystems</w:t>
      </w:r>
      <w:r w:rsidR="00A77708">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 as any complex system </w:t>
      </w:r>
      <w:r w:rsidR="00F940E0">
        <w:rPr>
          <w:rFonts w:ascii="Times New Roman" w:hAnsi="Times New Roman" w:cs="Times New Roman"/>
          <w:color w:val="111111"/>
          <w:sz w:val="24"/>
          <w:szCs w:val="24"/>
          <w:shd w:val="clear" w:color="auto" w:fill="FFFFFF"/>
        </w:rPr>
        <w:t>will do, have a tendency to collapse catastrophically (and unpredictably) when perturbed.</w:t>
      </w:r>
      <w:r w:rsidR="00F940E0">
        <w:rPr>
          <w:rStyle w:val="FootnoteReference"/>
          <w:rFonts w:ascii="Times New Roman" w:hAnsi="Times New Roman" w:cs="Times New Roman"/>
          <w:color w:val="111111"/>
          <w:sz w:val="24"/>
          <w:szCs w:val="24"/>
          <w:shd w:val="clear" w:color="auto" w:fill="FFFFFF"/>
        </w:rPr>
        <w:footnoteReference w:id="2"/>
      </w:r>
      <w:r w:rsidR="00A77708">
        <w:rPr>
          <w:rFonts w:ascii="Times New Roman" w:hAnsi="Times New Roman" w:cs="Times New Roman"/>
          <w:color w:val="111111"/>
          <w:sz w:val="24"/>
          <w:szCs w:val="24"/>
          <w:shd w:val="clear" w:color="auto" w:fill="FFFFFF"/>
        </w:rPr>
        <w:t xml:space="preserve"> </w:t>
      </w:r>
    </w:p>
    <w:p w14:paraId="56170400" w14:textId="77777777" w:rsidR="00B55D66" w:rsidRDefault="00D46FD3" w:rsidP="009A17AA">
      <w:pPr>
        <w:spacing w:line="276"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The </w:t>
      </w:r>
      <w:r w:rsidR="00B55D66">
        <w:rPr>
          <w:rFonts w:ascii="Times New Roman" w:hAnsi="Times New Roman" w:cs="Times New Roman"/>
          <w:color w:val="111111"/>
          <w:sz w:val="24"/>
          <w:szCs w:val="24"/>
          <w:shd w:val="clear" w:color="auto" w:fill="FFFFFF"/>
        </w:rPr>
        <w:t>wastewater permit-driven</w:t>
      </w:r>
      <w:r>
        <w:rPr>
          <w:rFonts w:ascii="Times New Roman" w:hAnsi="Times New Roman" w:cs="Times New Roman"/>
          <w:color w:val="111111"/>
          <w:sz w:val="24"/>
          <w:szCs w:val="24"/>
          <w:shd w:val="clear" w:color="auto" w:fill="FFFFFF"/>
        </w:rPr>
        <w:t xml:space="preserve"> monitoring plan</w:t>
      </w:r>
      <w:r w:rsidR="002921AC">
        <w:rPr>
          <w:rFonts w:ascii="Times New Roman" w:hAnsi="Times New Roman" w:cs="Times New Roman"/>
          <w:color w:val="111111"/>
          <w:sz w:val="24"/>
          <w:szCs w:val="24"/>
          <w:shd w:val="clear" w:color="auto" w:fill="FFFFFF"/>
        </w:rPr>
        <w:t xml:space="preserve"> was quickly expanded to </w:t>
      </w:r>
      <w:r w:rsidR="00B55D66">
        <w:rPr>
          <w:rFonts w:ascii="Times New Roman" w:hAnsi="Times New Roman" w:cs="Times New Roman"/>
          <w:color w:val="111111"/>
          <w:sz w:val="24"/>
          <w:szCs w:val="24"/>
          <w:shd w:val="clear" w:color="auto" w:fill="FFFFFF"/>
        </w:rPr>
        <w:t>cover</w:t>
      </w:r>
      <w:r w:rsidR="002921AC">
        <w:rPr>
          <w:rFonts w:ascii="Times New Roman" w:hAnsi="Times New Roman" w:cs="Times New Roman"/>
          <w:color w:val="111111"/>
          <w:sz w:val="24"/>
          <w:szCs w:val="24"/>
          <w:shd w:val="clear" w:color="auto" w:fill="FFFFFF"/>
        </w:rPr>
        <w:t xml:space="preserve"> a second non-point source of waste, the </w:t>
      </w:r>
      <w:r w:rsidR="007D0C4E">
        <w:rPr>
          <w:rFonts w:ascii="Times New Roman" w:hAnsi="Times New Roman" w:cs="Times New Roman"/>
          <w:color w:val="111111"/>
          <w:sz w:val="24"/>
          <w:szCs w:val="24"/>
          <w:shd w:val="clear" w:color="auto" w:fill="FFFFFF"/>
        </w:rPr>
        <w:t>19</w:t>
      </w:r>
      <w:r w:rsidR="00B55D66">
        <w:rPr>
          <w:rFonts w:ascii="Times New Roman" w:hAnsi="Times New Roman" w:cs="Times New Roman"/>
          <w:color w:val="111111"/>
          <w:sz w:val="24"/>
          <w:szCs w:val="24"/>
          <w:shd w:val="clear" w:color="auto" w:fill="FFFFFF"/>
        </w:rPr>
        <w:t>89</w:t>
      </w:r>
      <w:r w:rsidR="007D0C4E">
        <w:rPr>
          <w:rFonts w:ascii="Times New Roman" w:hAnsi="Times New Roman" w:cs="Times New Roman"/>
          <w:color w:val="111111"/>
          <w:sz w:val="24"/>
          <w:szCs w:val="24"/>
          <w:shd w:val="clear" w:color="auto" w:fill="FFFFFF"/>
        </w:rPr>
        <w:t xml:space="preserve"> </w:t>
      </w:r>
      <w:r w:rsidR="002921AC">
        <w:rPr>
          <w:rFonts w:ascii="Times New Roman" w:hAnsi="Times New Roman" w:cs="Times New Roman"/>
          <w:color w:val="111111"/>
          <w:sz w:val="24"/>
          <w:szCs w:val="24"/>
          <w:shd w:val="clear" w:color="auto" w:fill="FFFFFF"/>
        </w:rPr>
        <w:t xml:space="preserve">concentrate spilled into the marine </w:t>
      </w:r>
      <w:r w:rsidR="00227EB8">
        <w:rPr>
          <w:rFonts w:ascii="Times New Roman" w:hAnsi="Times New Roman" w:cs="Times New Roman"/>
          <w:color w:val="111111"/>
          <w:sz w:val="24"/>
          <w:szCs w:val="24"/>
          <w:shd w:val="clear" w:color="auto" w:fill="FFFFFF"/>
        </w:rPr>
        <w:t>sediments</w:t>
      </w:r>
      <w:r w:rsidR="00C0509A">
        <w:rPr>
          <w:rFonts w:ascii="Times New Roman" w:hAnsi="Times New Roman" w:cs="Times New Roman"/>
          <w:color w:val="111111"/>
          <w:sz w:val="24"/>
          <w:szCs w:val="24"/>
          <w:shd w:val="clear" w:color="auto" w:fill="FFFFFF"/>
        </w:rPr>
        <w:t xml:space="preserve"> of Hawk Inlet</w:t>
      </w:r>
      <w:r w:rsidR="007D0C4E">
        <w:rPr>
          <w:rFonts w:ascii="Times New Roman" w:hAnsi="Times New Roman" w:cs="Times New Roman"/>
          <w:color w:val="111111"/>
          <w:sz w:val="24"/>
          <w:szCs w:val="24"/>
          <w:shd w:val="clear" w:color="auto" w:fill="FFFFFF"/>
        </w:rPr>
        <w:t>.</w:t>
      </w:r>
      <w:r w:rsidR="00227EB8">
        <w:rPr>
          <w:rFonts w:ascii="Times New Roman" w:hAnsi="Times New Roman" w:cs="Times New Roman"/>
          <w:color w:val="111111"/>
          <w:sz w:val="24"/>
          <w:szCs w:val="24"/>
          <w:shd w:val="clear" w:color="auto" w:fill="FFFFFF"/>
        </w:rPr>
        <w:t xml:space="preserve"> </w:t>
      </w:r>
    </w:p>
    <w:p w14:paraId="2AE0B5DF" w14:textId="27DC89BB" w:rsidR="002921AC" w:rsidRDefault="00D46FD3" w:rsidP="009A17AA">
      <w:pPr>
        <w:spacing w:line="276" w:lineRule="auto"/>
        <w:rPr>
          <w:rFonts w:ascii="Times New Roman" w:hAnsi="Times New Roman" w:cs="Times New Roman"/>
          <w:sz w:val="24"/>
          <w:szCs w:val="24"/>
        </w:rPr>
      </w:pPr>
      <w:r>
        <w:rPr>
          <w:rFonts w:ascii="Times New Roman" w:hAnsi="Times New Roman" w:cs="Times New Roman"/>
          <w:color w:val="111111"/>
          <w:sz w:val="24"/>
          <w:szCs w:val="24"/>
          <w:shd w:val="clear" w:color="auto" w:fill="FFFFFF"/>
        </w:rPr>
        <w:lastRenderedPageBreak/>
        <w:t>Since mining began, fugitive dust was predicted to be a major non-point source of pollution,</w:t>
      </w:r>
      <w:r w:rsidR="00C0509A">
        <w:rPr>
          <w:rFonts w:ascii="Times New Roman" w:hAnsi="Times New Roman" w:cs="Times New Roman"/>
          <w:color w:val="111111"/>
          <w:sz w:val="24"/>
          <w:szCs w:val="24"/>
          <w:shd w:val="clear" w:color="auto" w:fill="FFFFFF"/>
        </w:rPr>
        <w:t xml:space="preserve"> contributing</w:t>
      </w:r>
      <w:r>
        <w:rPr>
          <w:rFonts w:ascii="Times New Roman" w:hAnsi="Times New Roman" w:cs="Times New Roman"/>
          <w:color w:val="111111"/>
          <w:sz w:val="24"/>
          <w:szCs w:val="24"/>
          <w:shd w:val="clear" w:color="auto" w:fill="FFFFFF"/>
        </w:rPr>
        <w:t xml:space="preserve"> primarily lead, into the Monument.  Yet, fugitive dust discharges into Hawk Inlet</w:t>
      </w:r>
      <w:r w:rsidR="00B55D66">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remain neither </w:t>
      </w:r>
      <w:r w:rsidR="00B55D66">
        <w:rPr>
          <w:rFonts w:ascii="Times New Roman" w:hAnsi="Times New Roman" w:cs="Times New Roman"/>
          <w:color w:val="111111"/>
          <w:sz w:val="24"/>
          <w:szCs w:val="24"/>
          <w:shd w:val="clear" w:color="auto" w:fill="FFFFFF"/>
        </w:rPr>
        <w:t xml:space="preserve">accurately measured </w:t>
      </w:r>
      <w:r w:rsidR="00A77708">
        <w:rPr>
          <w:rFonts w:ascii="Times New Roman" w:hAnsi="Times New Roman" w:cs="Times New Roman"/>
          <w:color w:val="111111"/>
          <w:sz w:val="24"/>
          <w:szCs w:val="24"/>
          <w:shd w:val="clear" w:color="auto" w:fill="FFFFFF"/>
        </w:rPr>
        <w:t>n</w:t>
      </w:r>
      <w:r w:rsidR="00B55D66">
        <w:rPr>
          <w:rFonts w:ascii="Times New Roman" w:hAnsi="Times New Roman" w:cs="Times New Roman"/>
          <w:color w:val="111111"/>
          <w:sz w:val="24"/>
          <w:szCs w:val="24"/>
          <w:shd w:val="clear" w:color="auto" w:fill="FFFFFF"/>
        </w:rPr>
        <w:t>or regulated.</w:t>
      </w:r>
    </w:p>
    <w:p w14:paraId="15AA432A" w14:textId="11CB8DCE" w:rsidR="00C0509A" w:rsidRDefault="00D46FD3" w:rsidP="009A17AA">
      <w:pPr>
        <w:spacing w:line="276" w:lineRule="auto"/>
        <w:rPr>
          <w:rFonts w:ascii="Times New Roman" w:hAnsi="Times New Roman" w:cs="Times New Roman"/>
          <w:sz w:val="24"/>
          <w:szCs w:val="24"/>
        </w:rPr>
      </w:pPr>
      <w:r>
        <w:rPr>
          <w:rFonts w:ascii="Times New Roman" w:hAnsi="Times New Roman" w:cs="Times New Roman"/>
          <w:sz w:val="24"/>
          <w:szCs w:val="24"/>
        </w:rPr>
        <w:t xml:space="preserve">The directive from Congress in ANICLA 505(a) to avoid irreparable harm is now replaced with a state permit under </w:t>
      </w:r>
      <w:r w:rsidR="00C0509A">
        <w:rPr>
          <w:rFonts w:ascii="Times New Roman" w:hAnsi="Times New Roman" w:cs="Times New Roman"/>
          <w:sz w:val="24"/>
          <w:szCs w:val="24"/>
        </w:rPr>
        <w:t>the Alaska Pollution Discharge Elimination System (APDES)</w:t>
      </w:r>
      <w:r>
        <w:rPr>
          <w:rFonts w:ascii="Times New Roman" w:hAnsi="Times New Roman" w:cs="Times New Roman"/>
          <w:sz w:val="24"/>
          <w:szCs w:val="24"/>
        </w:rPr>
        <w:t xml:space="preserve"> program and </w:t>
      </w:r>
      <w:r w:rsidR="00C0509A">
        <w:rPr>
          <w:rFonts w:ascii="Times New Roman" w:hAnsi="Times New Roman" w:cs="Times New Roman"/>
          <w:sz w:val="24"/>
          <w:szCs w:val="24"/>
        </w:rPr>
        <w:t xml:space="preserve">an Alaska </w:t>
      </w:r>
      <w:r w:rsidR="00A77708">
        <w:rPr>
          <w:rFonts w:ascii="Times New Roman" w:hAnsi="Times New Roman" w:cs="Times New Roman"/>
          <w:sz w:val="24"/>
          <w:szCs w:val="24"/>
        </w:rPr>
        <w:t>S</w:t>
      </w:r>
      <w:r>
        <w:rPr>
          <w:rFonts w:ascii="Times New Roman" w:hAnsi="Times New Roman" w:cs="Times New Roman"/>
          <w:sz w:val="24"/>
          <w:szCs w:val="24"/>
        </w:rPr>
        <w:t xml:space="preserve">olid </w:t>
      </w:r>
      <w:r w:rsidR="00A77708">
        <w:rPr>
          <w:rFonts w:ascii="Times New Roman" w:hAnsi="Times New Roman" w:cs="Times New Roman"/>
          <w:sz w:val="24"/>
          <w:szCs w:val="24"/>
        </w:rPr>
        <w:t>W</w:t>
      </w:r>
      <w:r>
        <w:rPr>
          <w:rFonts w:ascii="Times New Roman" w:hAnsi="Times New Roman" w:cs="Times New Roman"/>
          <w:sz w:val="24"/>
          <w:szCs w:val="24"/>
        </w:rPr>
        <w:t xml:space="preserve">aste </w:t>
      </w:r>
      <w:r w:rsidR="00A77708">
        <w:rPr>
          <w:rFonts w:ascii="Times New Roman" w:hAnsi="Times New Roman" w:cs="Times New Roman"/>
          <w:sz w:val="24"/>
          <w:szCs w:val="24"/>
        </w:rPr>
        <w:t>P</w:t>
      </w:r>
      <w:r w:rsidR="00C0509A">
        <w:rPr>
          <w:rFonts w:ascii="Times New Roman" w:hAnsi="Times New Roman" w:cs="Times New Roman"/>
          <w:sz w:val="24"/>
          <w:szCs w:val="24"/>
        </w:rPr>
        <w:t>ermit.  Neither permit or associated monitoring are designed to measure the degree of harm min</w:t>
      </w:r>
      <w:r w:rsidR="00A77708">
        <w:rPr>
          <w:rFonts w:ascii="Times New Roman" w:hAnsi="Times New Roman" w:cs="Times New Roman"/>
          <w:sz w:val="24"/>
          <w:szCs w:val="24"/>
        </w:rPr>
        <w:t xml:space="preserve">e development </w:t>
      </w:r>
      <w:r w:rsidR="00C0509A">
        <w:rPr>
          <w:rFonts w:ascii="Times New Roman" w:hAnsi="Times New Roman" w:cs="Times New Roman"/>
          <w:sz w:val="24"/>
          <w:szCs w:val="24"/>
        </w:rPr>
        <w:t>may be causing to the Monument’s biological ecosystem</w:t>
      </w:r>
      <w:r>
        <w:rPr>
          <w:rFonts w:ascii="Times New Roman" w:hAnsi="Times New Roman" w:cs="Times New Roman"/>
          <w:sz w:val="24"/>
          <w:szCs w:val="24"/>
        </w:rPr>
        <w:t xml:space="preserve">.  </w:t>
      </w:r>
    </w:p>
    <w:p w14:paraId="386DD1DE" w14:textId="6BD57DEE" w:rsidR="007D0C4E" w:rsidRDefault="00D46FD3" w:rsidP="009A17AA">
      <w:pPr>
        <w:spacing w:line="276" w:lineRule="auto"/>
        <w:rPr>
          <w:rFonts w:ascii="Times New Roman" w:hAnsi="Times New Roman" w:cs="Times New Roman"/>
          <w:sz w:val="24"/>
          <w:szCs w:val="24"/>
        </w:rPr>
      </w:pPr>
      <w:r>
        <w:rPr>
          <w:rFonts w:ascii="Times New Roman" w:hAnsi="Times New Roman" w:cs="Times New Roman"/>
          <w:sz w:val="24"/>
          <w:szCs w:val="24"/>
        </w:rPr>
        <w:t>In addition, i</w:t>
      </w:r>
      <w:r w:rsidR="007D0C4E">
        <w:rPr>
          <w:rFonts w:ascii="Times New Roman" w:hAnsi="Times New Roman" w:cs="Times New Roman"/>
          <w:sz w:val="24"/>
          <w:szCs w:val="24"/>
        </w:rPr>
        <w:t xml:space="preserve">t </w:t>
      </w:r>
      <w:r w:rsidR="00B410DA">
        <w:rPr>
          <w:rFonts w:ascii="Times New Roman" w:hAnsi="Times New Roman" w:cs="Times New Roman"/>
          <w:sz w:val="24"/>
          <w:szCs w:val="24"/>
        </w:rPr>
        <w:t>gives</w:t>
      </w:r>
      <w:r w:rsidR="007D0C4E">
        <w:rPr>
          <w:rFonts w:ascii="Times New Roman" w:hAnsi="Times New Roman" w:cs="Times New Roman"/>
          <w:sz w:val="24"/>
          <w:szCs w:val="24"/>
        </w:rPr>
        <w:t xml:space="preserve"> no direct information as to how these metals may be migrating within the ecosystem</w:t>
      </w:r>
      <w:r>
        <w:rPr>
          <w:rFonts w:ascii="Times New Roman" w:hAnsi="Times New Roman" w:cs="Times New Roman"/>
          <w:sz w:val="24"/>
          <w:szCs w:val="24"/>
        </w:rPr>
        <w:t xml:space="preserve"> to the top consumers including the human users of Hawk Inlet.</w:t>
      </w:r>
    </w:p>
    <w:p w14:paraId="48D50780" w14:textId="5BA2DEB0" w:rsidR="008B5841" w:rsidRPr="00CB4C00" w:rsidRDefault="006A3D23" w:rsidP="008B5841">
      <w:pPr>
        <w:rPr>
          <w:rFonts w:ascii="Times New Roman" w:hAnsi="Times New Roman" w:cs="Times New Roman"/>
          <w:sz w:val="24"/>
          <w:szCs w:val="24"/>
        </w:rPr>
      </w:pPr>
      <w:r>
        <w:rPr>
          <w:rFonts w:ascii="Times New Roman" w:hAnsi="Times New Roman" w:cs="Times New Roman"/>
          <w:sz w:val="24"/>
          <w:szCs w:val="24"/>
        </w:rPr>
        <w:t xml:space="preserve">In the 2013 ROD, the Forest Supervisor struggled with this issue. </w:t>
      </w:r>
      <w:r w:rsidR="008B5841" w:rsidRPr="00CB4C00">
        <w:rPr>
          <w:rFonts w:ascii="Times New Roman" w:hAnsi="Times New Roman" w:cs="Times New Roman"/>
          <w:color w:val="333333"/>
          <w:sz w:val="24"/>
          <w:szCs w:val="24"/>
          <w:shd w:val="clear" w:color="auto" w:fill="FFFFFF"/>
        </w:rPr>
        <w:t>43 CFR 3802.0 2(b)</w:t>
      </w:r>
      <w:r w:rsidR="00CB4C00">
        <w:rPr>
          <w:rFonts w:ascii="Times New Roman" w:hAnsi="Times New Roman" w:cs="Times New Roman"/>
          <w:color w:val="333333"/>
          <w:sz w:val="24"/>
          <w:szCs w:val="24"/>
          <w:shd w:val="clear" w:color="auto" w:fill="FFFFFF"/>
        </w:rPr>
        <w:t xml:space="preserve"> assures</w:t>
      </w:r>
      <w:r w:rsidR="00CB4C00" w:rsidRPr="00CB4C00">
        <w:rPr>
          <w:rFonts w:ascii="Times New Roman" w:hAnsi="Times New Roman" w:cs="Times New Roman"/>
          <w:color w:val="333333"/>
          <w:sz w:val="24"/>
          <w:szCs w:val="24"/>
          <w:shd w:val="clear" w:color="auto" w:fill="FFFFFF"/>
        </w:rPr>
        <w:t xml:space="preserve"> that management programs reflect consistency </w:t>
      </w:r>
      <w:r w:rsidR="008B5841" w:rsidRPr="00CB4C00">
        <w:rPr>
          <w:rFonts w:ascii="Times New Roman" w:hAnsi="Times New Roman" w:cs="Times New Roman"/>
          <w:sz w:val="24"/>
          <w:szCs w:val="24"/>
        </w:rPr>
        <w:t>between the U.S. Mining Laws</w:t>
      </w:r>
      <w:r w:rsidR="00CB4C00" w:rsidRPr="00CB4C00">
        <w:rPr>
          <w:rFonts w:ascii="Times New Roman" w:hAnsi="Times New Roman" w:cs="Times New Roman"/>
          <w:sz w:val="24"/>
          <w:szCs w:val="24"/>
        </w:rPr>
        <w:t xml:space="preserve"> of 1872</w:t>
      </w:r>
      <w:r w:rsidR="008B5841" w:rsidRPr="00CB4C00">
        <w:rPr>
          <w:rFonts w:ascii="Times New Roman" w:hAnsi="Times New Roman" w:cs="Times New Roman"/>
          <w:sz w:val="24"/>
          <w:szCs w:val="24"/>
        </w:rPr>
        <w:t>, and other appropriate statutes.</w:t>
      </w:r>
    </w:p>
    <w:p w14:paraId="7EDD745A" w14:textId="4172D547" w:rsidR="006A3D23" w:rsidRDefault="00CB4C00" w:rsidP="009A17AA">
      <w:pPr>
        <w:spacing w:line="276" w:lineRule="auto"/>
        <w:rPr>
          <w:rFonts w:ascii="Times New Roman" w:hAnsi="Times New Roman" w:cs="Times New Roman"/>
          <w:bCs/>
          <w:sz w:val="24"/>
          <w:szCs w:val="24"/>
        </w:rPr>
      </w:pPr>
      <w:r>
        <w:rPr>
          <w:rFonts w:ascii="Times New Roman" w:hAnsi="Times New Roman" w:cs="Times New Roman"/>
          <w:sz w:val="24"/>
          <w:szCs w:val="24"/>
        </w:rPr>
        <w:t>I</w:t>
      </w:r>
      <w:r w:rsidR="00D46FD3">
        <w:rPr>
          <w:rFonts w:ascii="Times New Roman" w:hAnsi="Times New Roman" w:cs="Times New Roman"/>
          <w:sz w:val="24"/>
          <w:szCs w:val="24"/>
        </w:rPr>
        <w:t>nformation</w:t>
      </w:r>
      <w:r w:rsidR="006A3D23">
        <w:rPr>
          <w:rFonts w:ascii="Times New Roman" w:hAnsi="Times New Roman" w:cs="Times New Roman"/>
          <w:sz w:val="24"/>
          <w:szCs w:val="24"/>
        </w:rPr>
        <w:t xml:space="preserve"> submitted </w:t>
      </w:r>
      <w:r w:rsidR="00C0509A">
        <w:rPr>
          <w:rFonts w:ascii="Times New Roman" w:hAnsi="Times New Roman" w:cs="Times New Roman"/>
          <w:sz w:val="24"/>
          <w:szCs w:val="24"/>
        </w:rPr>
        <w:t xml:space="preserve">by the public </w:t>
      </w:r>
      <w:r w:rsidR="006A3D23">
        <w:rPr>
          <w:rFonts w:ascii="Times New Roman" w:hAnsi="Times New Roman" w:cs="Times New Roman"/>
          <w:sz w:val="24"/>
          <w:szCs w:val="24"/>
        </w:rPr>
        <w:t xml:space="preserve">raised significant </w:t>
      </w:r>
      <w:r w:rsidR="00C0509A">
        <w:rPr>
          <w:rFonts w:ascii="Times New Roman" w:hAnsi="Times New Roman" w:cs="Times New Roman"/>
          <w:sz w:val="24"/>
          <w:szCs w:val="24"/>
        </w:rPr>
        <w:t xml:space="preserve">concerns </w:t>
      </w:r>
      <w:r w:rsidR="006A3D23">
        <w:rPr>
          <w:rFonts w:ascii="Times New Roman" w:hAnsi="Times New Roman" w:cs="Times New Roman"/>
          <w:sz w:val="24"/>
          <w:szCs w:val="24"/>
        </w:rPr>
        <w:t xml:space="preserve">about whether mining operations at the Greens Creek Mine “are compatible, to the maximum extent feasible,” with preventing or minimizing potential adverse impacts to monument values.   </w:t>
      </w:r>
      <w:r w:rsidR="00D46FD3">
        <w:rPr>
          <w:rFonts w:ascii="Times New Roman" w:hAnsi="Times New Roman" w:cs="Times New Roman"/>
          <w:sz w:val="24"/>
          <w:szCs w:val="24"/>
        </w:rPr>
        <w:t>He noted that t</w:t>
      </w:r>
      <w:r w:rsidR="006A3D23">
        <w:rPr>
          <w:rFonts w:ascii="Times New Roman" w:hAnsi="Times New Roman" w:cs="Times New Roman"/>
          <w:bCs/>
          <w:sz w:val="24"/>
          <w:szCs w:val="24"/>
        </w:rPr>
        <w:t xml:space="preserve">his is particularly important here, where “unforeseen [environmental impacts] may result in the incompatibility of the operations with the protection of [monument] values </w:t>
      </w:r>
      <w:proofErr w:type="gramStart"/>
      <w:r w:rsidR="006A3D23">
        <w:rPr>
          <w:rFonts w:ascii="Times New Roman" w:hAnsi="Times New Roman" w:cs="Times New Roman"/>
          <w:bCs/>
          <w:sz w:val="24"/>
          <w:szCs w:val="24"/>
        </w:rPr>
        <w:t>. . . .</w:t>
      </w:r>
      <w:proofErr w:type="gramEnd"/>
      <w:r w:rsidR="006A3D23">
        <w:rPr>
          <w:rFonts w:ascii="Times New Roman" w:hAnsi="Times New Roman" w:cs="Times New Roman"/>
          <w:bCs/>
          <w:sz w:val="24"/>
          <w:szCs w:val="24"/>
        </w:rPr>
        <w:t xml:space="preserve">”  </w:t>
      </w:r>
      <w:r w:rsidR="006A3D23">
        <w:rPr>
          <w:rFonts w:ascii="Times New Roman" w:hAnsi="Times New Roman" w:cs="Times New Roman"/>
          <w:bCs/>
          <w:i/>
          <w:sz w:val="24"/>
          <w:szCs w:val="24"/>
        </w:rPr>
        <w:t xml:space="preserve">See </w:t>
      </w:r>
      <w:r w:rsidR="006A3D23">
        <w:rPr>
          <w:rFonts w:ascii="Times New Roman" w:hAnsi="Times New Roman" w:cs="Times New Roman"/>
          <w:bCs/>
          <w:sz w:val="24"/>
          <w:szCs w:val="24"/>
        </w:rPr>
        <w:t xml:space="preserve">36 C.F.R. §228.80(d)(1).  </w:t>
      </w:r>
      <w:r w:rsidR="00F42DFA">
        <w:rPr>
          <w:rFonts w:ascii="Times New Roman" w:hAnsi="Times New Roman" w:cs="Times New Roman"/>
          <w:bCs/>
          <w:sz w:val="24"/>
          <w:szCs w:val="24"/>
        </w:rPr>
        <w:t>In the 2013 decision, t</w:t>
      </w:r>
      <w:r w:rsidR="006A3D23">
        <w:rPr>
          <w:rFonts w:ascii="Times New Roman" w:hAnsi="Times New Roman" w:cs="Times New Roman"/>
          <w:bCs/>
          <w:sz w:val="24"/>
          <w:szCs w:val="24"/>
        </w:rPr>
        <w:t xml:space="preserve">he original expansion request from Hecla was </w:t>
      </w:r>
      <w:r w:rsidR="00C0509A">
        <w:rPr>
          <w:rFonts w:ascii="Times New Roman" w:hAnsi="Times New Roman" w:cs="Times New Roman"/>
          <w:bCs/>
          <w:sz w:val="24"/>
          <w:szCs w:val="24"/>
        </w:rPr>
        <w:t xml:space="preserve">for </w:t>
      </w:r>
      <w:r w:rsidR="006A3D23">
        <w:rPr>
          <w:rFonts w:ascii="Times New Roman" w:hAnsi="Times New Roman" w:cs="Times New Roman"/>
          <w:bCs/>
          <w:sz w:val="24"/>
          <w:szCs w:val="24"/>
        </w:rPr>
        <w:t xml:space="preserve">enough </w:t>
      </w:r>
      <w:r w:rsidR="00145C76">
        <w:rPr>
          <w:rFonts w:ascii="Times New Roman" w:hAnsi="Times New Roman" w:cs="Times New Roman"/>
          <w:bCs/>
          <w:sz w:val="24"/>
          <w:szCs w:val="24"/>
        </w:rPr>
        <w:t>tailing’s</w:t>
      </w:r>
      <w:r w:rsidR="006A3D23">
        <w:rPr>
          <w:rFonts w:ascii="Times New Roman" w:hAnsi="Times New Roman" w:cs="Times New Roman"/>
          <w:bCs/>
          <w:sz w:val="24"/>
          <w:szCs w:val="24"/>
        </w:rPr>
        <w:t xml:space="preserve"> storage for 30 to 50 years of continued mining.  Based on the issues raised</w:t>
      </w:r>
      <w:r w:rsidR="00F42DFA">
        <w:rPr>
          <w:rFonts w:ascii="Times New Roman" w:hAnsi="Times New Roman" w:cs="Times New Roman"/>
          <w:bCs/>
          <w:sz w:val="24"/>
          <w:szCs w:val="24"/>
        </w:rPr>
        <w:t>,</w:t>
      </w:r>
      <w:r w:rsidR="006A3D23">
        <w:rPr>
          <w:rFonts w:ascii="Times New Roman" w:hAnsi="Times New Roman" w:cs="Times New Roman"/>
          <w:bCs/>
          <w:sz w:val="24"/>
          <w:szCs w:val="24"/>
        </w:rPr>
        <w:t xml:space="preserve"> the Forest Supervisor only authorized a 10-year expansion and requested more information be developed</w:t>
      </w:r>
      <w:r w:rsidR="00D46FD3">
        <w:rPr>
          <w:rFonts w:ascii="Times New Roman" w:hAnsi="Times New Roman" w:cs="Times New Roman"/>
          <w:bCs/>
          <w:sz w:val="24"/>
          <w:szCs w:val="24"/>
        </w:rPr>
        <w:t xml:space="preserve"> to guide the land manager in the next decision</w:t>
      </w:r>
      <w:r w:rsidR="006A3D23">
        <w:rPr>
          <w:rFonts w:ascii="Times New Roman" w:hAnsi="Times New Roman" w:cs="Times New Roman"/>
          <w:bCs/>
          <w:sz w:val="24"/>
          <w:szCs w:val="24"/>
        </w:rPr>
        <w:t>.</w:t>
      </w:r>
    </w:p>
    <w:p w14:paraId="53A2BDEA" w14:textId="72378269" w:rsidR="00BF0E48" w:rsidRPr="008B5841" w:rsidRDefault="00145C76" w:rsidP="00145C76">
      <w:pPr>
        <w:spacing w:line="276" w:lineRule="auto"/>
        <w:rPr>
          <w:rFonts w:ascii="Times New Roman" w:hAnsi="Times New Roman" w:cs="Times New Roman"/>
          <w:sz w:val="24"/>
          <w:szCs w:val="24"/>
        </w:rPr>
      </w:pPr>
      <w:r>
        <w:rPr>
          <w:rFonts w:ascii="Times New Roman" w:hAnsi="Times New Roman" w:cs="Times New Roman"/>
          <w:sz w:val="24"/>
          <w:szCs w:val="24"/>
        </w:rPr>
        <w:t xml:space="preserve">The 2023 </w:t>
      </w:r>
      <w:proofErr w:type="spellStart"/>
      <w:r>
        <w:rPr>
          <w:rFonts w:ascii="Times New Roman" w:hAnsi="Times New Roman" w:cs="Times New Roman"/>
          <w:sz w:val="24"/>
          <w:szCs w:val="24"/>
        </w:rPr>
        <w:t>dSEIS</w:t>
      </w:r>
      <w:proofErr w:type="spellEnd"/>
      <w:r>
        <w:rPr>
          <w:rFonts w:ascii="Times New Roman" w:hAnsi="Times New Roman" w:cs="Times New Roman"/>
          <w:sz w:val="24"/>
          <w:szCs w:val="24"/>
        </w:rPr>
        <w:t xml:space="preserve"> does not reflect the primacy of ANICLA conditions over 1872 mining Law. </w:t>
      </w:r>
      <w:r w:rsidR="00BF0E48" w:rsidRPr="008B5841">
        <w:rPr>
          <w:rFonts w:ascii="Times New Roman" w:hAnsi="Times New Roman" w:cs="Times New Roman"/>
          <w:sz w:val="24"/>
          <w:szCs w:val="24"/>
        </w:rPr>
        <w:t xml:space="preserve">Agency discretion </w:t>
      </w:r>
      <w:r>
        <w:rPr>
          <w:rFonts w:ascii="Times New Roman" w:hAnsi="Times New Roman" w:cs="Times New Roman"/>
          <w:sz w:val="24"/>
          <w:szCs w:val="24"/>
        </w:rPr>
        <w:t xml:space="preserve">consistently </w:t>
      </w:r>
      <w:r w:rsidR="00BF0E48" w:rsidRPr="008B5841">
        <w:rPr>
          <w:rFonts w:ascii="Times New Roman" w:hAnsi="Times New Roman" w:cs="Times New Roman"/>
          <w:sz w:val="24"/>
          <w:szCs w:val="24"/>
        </w:rPr>
        <w:t xml:space="preserve">weighted too often toward approval and expediency </w:t>
      </w:r>
      <w:r>
        <w:rPr>
          <w:rFonts w:ascii="Times New Roman" w:hAnsi="Times New Roman" w:cs="Times New Roman"/>
          <w:sz w:val="24"/>
          <w:szCs w:val="24"/>
        </w:rPr>
        <w:t xml:space="preserve">over environmental protections </w:t>
      </w:r>
      <w:r w:rsidR="00BF0E48" w:rsidRPr="008B5841">
        <w:rPr>
          <w:rFonts w:ascii="Times New Roman" w:hAnsi="Times New Roman" w:cs="Times New Roman"/>
          <w:sz w:val="24"/>
          <w:szCs w:val="24"/>
        </w:rPr>
        <w:t xml:space="preserve">or </w:t>
      </w:r>
      <w:r w:rsidR="008B5841">
        <w:rPr>
          <w:rFonts w:ascii="Times New Roman" w:hAnsi="Times New Roman" w:cs="Times New Roman"/>
          <w:sz w:val="24"/>
          <w:szCs w:val="24"/>
        </w:rPr>
        <w:t>un</w:t>
      </w:r>
      <w:r w:rsidR="00BF0E48" w:rsidRPr="008B5841">
        <w:rPr>
          <w:rFonts w:ascii="Times New Roman" w:hAnsi="Times New Roman" w:cs="Times New Roman"/>
          <w:sz w:val="24"/>
          <w:szCs w:val="24"/>
        </w:rPr>
        <w:t xml:space="preserve">equally weighing the law becomes a bias.  Decisions cannot be </w:t>
      </w:r>
      <w:r w:rsidR="00BF0E48" w:rsidRPr="008B5841">
        <w:rPr>
          <w:rFonts w:ascii="Times New Roman" w:hAnsi="Times New Roman" w:cs="Times New Roman"/>
          <w:sz w:val="24"/>
          <w:szCs w:val="24"/>
        </w:rPr>
        <w:t xml:space="preserve">arbitrary, lack a reasonable basis, not </w:t>
      </w:r>
      <w:r w:rsidR="00CB4C00">
        <w:rPr>
          <w:rFonts w:ascii="Times New Roman" w:hAnsi="Times New Roman" w:cs="Times New Roman"/>
          <w:sz w:val="24"/>
          <w:szCs w:val="24"/>
        </w:rPr>
        <w:t>be s</w:t>
      </w:r>
      <w:r w:rsidR="00BF0E48" w:rsidRPr="008B5841">
        <w:rPr>
          <w:rFonts w:ascii="Times New Roman" w:hAnsi="Times New Roman" w:cs="Times New Roman"/>
          <w:sz w:val="24"/>
          <w:szCs w:val="24"/>
        </w:rPr>
        <w:t>upported by substantial evidence,</w:t>
      </w:r>
      <w:r w:rsidR="00BF0E48" w:rsidRPr="008B5841">
        <w:rPr>
          <w:rFonts w:ascii="Times New Roman" w:hAnsi="Times New Roman" w:cs="Times New Roman"/>
          <w:sz w:val="24"/>
          <w:szCs w:val="24"/>
        </w:rPr>
        <w:t xml:space="preserve"> or be an abuse of </w:t>
      </w:r>
      <w:r w:rsidR="008B5841" w:rsidRPr="008B5841">
        <w:rPr>
          <w:rFonts w:ascii="Times New Roman" w:hAnsi="Times New Roman" w:cs="Times New Roman"/>
          <w:sz w:val="24"/>
          <w:szCs w:val="24"/>
        </w:rPr>
        <w:t>discretion.</w:t>
      </w:r>
      <w:r w:rsidR="00BF0E48" w:rsidRPr="008B5841">
        <w:rPr>
          <w:rFonts w:ascii="Times New Roman" w:hAnsi="Times New Roman" w:cs="Times New Roman"/>
          <w:sz w:val="24"/>
          <w:szCs w:val="24"/>
        </w:rPr>
        <w:t xml:space="preserve">  </w:t>
      </w:r>
      <w:r w:rsidR="00BF0E48" w:rsidRPr="008B5841">
        <w:rPr>
          <w:rFonts w:ascii="Times New Roman" w:hAnsi="Times New Roman" w:cs="Times New Roman"/>
          <w:i/>
          <w:sz w:val="24"/>
          <w:szCs w:val="24"/>
        </w:rPr>
        <w:t>E.g.</w:t>
      </w:r>
      <w:r w:rsidR="00BF0E48" w:rsidRPr="008B5841">
        <w:rPr>
          <w:rFonts w:ascii="Times New Roman" w:hAnsi="Times New Roman" w:cs="Times New Roman"/>
          <w:sz w:val="24"/>
          <w:szCs w:val="24"/>
        </w:rPr>
        <w:t xml:space="preserve">, </w:t>
      </w:r>
      <w:r w:rsidR="00BF0E48" w:rsidRPr="008B5841">
        <w:rPr>
          <w:rFonts w:ascii="Times New Roman" w:hAnsi="Times New Roman" w:cs="Times New Roman"/>
          <w:i/>
          <w:sz w:val="24"/>
          <w:szCs w:val="24"/>
        </w:rPr>
        <w:t>Alaska State Comm’n for Human Rights v. United Physical Therapy</w:t>
      </w:r>
      <w:r w:rsidR="00BF0E48" w:rsidRPr="008B5841">
        <w:rPr>
          <w:rFonts w:ascii="Times New Roman" w:hAnsi="Times New Roman" w:cs="Times New Roman"/>
          <w:sz w:val="24"/>
          <w:szCs w:val="24"/>
        </w:rPr>
        <w:t xml:space="preserve">, 484 P.3d 599, 605 &amp; n. 19 (Alaska 2021) (citing </w:t>
      </w:r>
      <w:r w:rsidR="00BF0E48" w:rsidRPr="008B5841">
        <w:rPr>
          <w:rFonts w:ascii="Times New Roman" w:hAnsi="Times New Roman" w:cs="Times New Roman"/>
          <w:i/>
          <w:sz w:val="24"/>
          <w:szCs w:val="24"/>
        </w:rPr>
        <w:t>Hodges v. Alaska Constructors, Inc.</w:t>
      </w:r>
      <w:r w:rsidR="00BF0E48" w:rsidRPr="008B5841">
        <w:rPr>
          <w:rFonts w:ascii="Times New Roman" w:hAnsi="Times New Roman" w:cs="Times New Roman"/>
          <w:sz w:val="24"/>
          <w:szCs w:val="24"/>
        </w:rPr>
        <w:t xml:space="preserve">, 957 P.2d 957, 960 (Alaska 1998)); </w:t>
      </w:r>
      <w:r w:rsidR="00BF0E48" w:rsidRPr="008B5841">
        <w:rPr>
          <w:rFonts w:ascii="Times New Roman" w:hAnsi="Times New Roman" w:cs="Times New Roman"/>
          <w:i/>
          <w:sz w:val="24"/>
          <w:szCs w:val="24"/>
        </w:rPr>
        <w:t xml:space="preserve">Miners Advocacy Council v. State, </w:t>
      </w:r>
      <w:proofErr w:type="spellStart"/>
      <w:r w:rsidR="00BF0E48" w:rsidRPr="008B5841">
        <w:rPr>
          <w:rFonts w:ascii="Times New Roman" w:hAnsi="Times New Roman" w:cs="Times New Roman"/>
          <w:i/>
          <w:sz w:val="24"/>
          <w:szCs w:val="24"/>
        </w:rPr>
        <w:t>Dep’t</w:t>
      </w:r>
      <w:proofErr w:type="spellEnd"/>
      <w:r w:rsidR="00BF0E48" w:rsidRPr="008B5841">
        <w:rPr>
          <w:rFonts w:ascii="Times New Roman" w:hAnsi="Times New Roman" w:cs="Times New Roman"/>
          <w:i/>
          <w:sz w:val="24"/>
          <w:szCs w:val="24"/>
        </w:rPr>
        <w:t xml:space="preserve"> of Env’t Conservation</w:t>
      </w:r>
      <w:r w:rsidR="00BF0E48" w:rsidRPr="008B5841">
        <w:rPr>
          <w:rFonts w:ascii="Times New Roman" w:hAnsi="Times New Roman" w:cs="Times New Roman"/>
          <w:sz w:val="24"/>
          <w:szCs w:val="24"/>
        </w:rPr>
        <w:t xml:space="preserve">, 778 P.2d 1126, 1137 (Alaska 1989).  </w:t>
      </w:r>
    </w:p>
    <w:p w14:paraId="636B62FB" w14:textId="2D93E695" w:rsidR="00F42DFA" w:rsidRDefault="00F42DFA" w:rsidP="009A17AA">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The Forest Service </w:t>
      </w:r>
      <w:r w:rsidR="00237641">
        <w:rPr>
          <w:rFonts w:ascii="Times New Roman" w:hAnsi="Times New Roman" w:cs="Times New Roman"/>
          <w:bCs/>
          <w:sz w:val="24"/>
          <w:szCs w:val="24"/>
        </w:rPr>
        <w:t xml:space="preserve">is required </w:t>
      </w:r>
      <w:r>
        <w:rPr>
          <w:rFonts w:ascii="Times New Roman" w:hAnsi="Times New Roman" w:cs="Times New Roman"/>
          <w:bCs/>
          <w:sz w:val="24"/>
          <w:szCs w:val="24"/>
        </w:rPr>
        <w:t xml:space="preserve">to honor the intent of Congress and apply the protections under which mining is </w:t>
      </w:r>
      <w:r w:rsidR="008B5841">
        <w:rPr>
          <w:rFonts w:ascii="Times New Roman" w:hAnsi="Times New Roman" w:cs="Times New Roman"/>
          <w:bCs/>
          <w:sz w:val="24"/>
          <w:szCs w:val="24"/>
        </w:rPr>
        <w:t>allowed including</w:t>
      </w:r>
      <w:r>
        <w:rPr>
          <w:rFonts w:ascii="Times New Roman" w:hAnsi="Times New Roman" w:cs="Times New Roman"/>
          <w:bCs/>
          <w:sz w:val="24"/>
          <w:szCs w:val="24"/>
        </w:rPr>
        <w:t xml:space="preserve"> protection of Admiralty Island Ecosystem</w:t>
      </w:r>
      <w:r w:rsidR="00145C76">
        <w:rPr>
          <w:rFonts w:ascii="Times New Roman" w:hAnsi="Times New Roman" w:cs="Times New Roman"/>
          <w:bCs/>
          <w:sz w:val="24"/>
          <w:szCs w:val="24"/>
        </w:rPr>
        <w:t>; its keystone value</w:t>
      </w:r>
      <w:r w:rsidR="008B5841">
        <w:rPr>
          <w:rFonts w:ascii="Times New Roman" w:hAnsi="Times New Roman" w:cs="Times New Roman"/>
          <w:bCs/>
          <w:sz w:val="24"/>
          <w:szCs w:val="24"/>
        </w:rPr>
        <w:t xml:space="preserve">. To accomplish that goal </w:t>
      </w:r>
      <w:r w:rsidR="002B7289">
        <w:rPr>
          <w:rFonts w:ascii="Times New Roman" w:hAnsi="Times New Roman" w:cs="Times New Roman"/>
          <w:bCs/>
          <w:sz w:val="24"/>
          <w:szCs w:val="24"/>
        </w:rPr>
        <w:t>require</w:t>
      </w:r>
      <w:r w:rsidR="008B5841">
        <w:rPr>
          <w:rFonts w:ascii="Times New Roman" w:hAnsi="Times New Roman" w:cs="Times New Roman"/>
          <w:bCs/>
          <w:sz w:val="24"/>
          <w:szCs w:val="24"/>
        </w:rPr>
        <w:t>s</w:t>
      </w:r>
      <w:r w:rsidR="002B7289">
        <w:rPr>
          <w:rFonts w:ascii="Times New Roman" w:hAnsi="Times New Roman" w:cs="Times New Roman"/>
          <w:bCs/>
          <w:sz w:val="24"/>
          <w:szCs w:val="24"/>
        </w:rPr>
        <w:t xml:space="preserve"> a monitoring program able to discern the </w:t>
      </w:r>
      <w:r w:rsidR="008B5841">
        <w:rPr>
          <w:rFonts w:ascii="Times New Roman" w:hAnsi="Times New Roman" w:cs="Times New Roman"/>
          <w:bCs/>
          <w:sz w:val="24"/>
          <w:szCs w:val="24"/>
        </w:rPr>
        <w:t xml:space="preserve">nature and </w:t>
      </w:r>
      <w:r w:rsidR="002B7289">
        <w:rPr>
          <w:rFonts w:ascii="Times New Roman" w:hAnsi="Times New Roman" w:cs="Times New Roman"/>
          <w:bCs/>
          <w:sz w:val="24"/>
          <w:szCs w:val="24"/>
        </w:rPr>
        <w:t>degree, if any, of harm to these values</w:t>
      </w:r>
      <w:r w:rsidR="008B5841">
        <w:rPr>
          <w:rFonts w:ascii="Times New Roman" w:hAnsi="Times New Roman" w:cs="Times New Roman"/>
          <w:bCs/>
          <w:sz w:val="24"/>
          <w:szCs w:val="24"/>
        </w:rPr>
        <w:t xml:space="preserve"> </w:t>
      </w:r>
      <w:r w:rsidR="00145C76">
        <w:rPr>
          <w:rFonts w:ascii="Times New Roman" w:hAnsi="Times New Roman" w:cs="Times New Roman"/>
          <w:bCs/>
          <w:sz w:val="24"/>
          <w:szCs w:val="24"/>
        </w:rPr>
        <w:t>from t</w:t>
      </w:r>
      <w:r w:rsidR="008B5841">
        <w:rPr>
          <w:rFonts w:ascii="Times New Roman" w:hAnsi="Times New Roman" w:cs="Times New Roman"/>
          <w:bCs/>
          <w:sz w:val="24"/>
          <w:szCs w:val="24"/>
        </w:rPr>
        <w:t>he mining operation</w:t>
      </w:r>
      <w:r w:rsidR="002B7289">
        <w:rPr>
          <w:rFonts w:ascii="Times New Roman" w:hAnsi="Times New Roman" w:cs="Times New Roman"/>
          <w:bCs/>
          <w:sz w:val="24"/>
          <w:szCs w:val="24"/>
        </w:rPr>
        <w:t>.</w:t>
      </w:r>
      <w:r w:rsidR="00CB4C00">
        <w:rPr>
          <w:rFonts w:ascii="Times New Roman" w:hAnsi="Times New Roman" w:cs="Times New Roman"/>
          <w:bCs/>
          <w:sz w:val="24"/>
          <w:szCs w:val="24"/>
        </w:rPr>
        <w:t xml:space="preserve"> That includes Hawk Inlet.</w:t>
      </w:r>
    </w:p>
    <w:p w14:paraId="27BEBF48" w14:textId="4C342E88" w:rsidR="00D46FD3" w:rsidRDefault="00D46FD3" w:rsidP="009A17AA">
      <w:pPr>
        <w:spacing w:line="276" w:lineRule="auto"/>
        <w:rPr>
          <w:rFonts w:ascii="Times New Roman" w:hAnsi="Times New Roman" w:cs="Times New Roman"/>
          <w:bCs/>
          <w:sz w:val="24"/>
          <w:szCs w:val="24"/>
        </w:rPr>
      </w:pPr>
      <w:r>
        <w:rPr>
          <w:rFonts w:ascii="Times New Roman" w:hAnsi="Times New Roman" w:cs="Times New Roman"/>
          <w:bCs/>
          <w:sz w:val="24"/>
          <w:szCs w:val="24"/>
        </w:rPr>
        <w:t>We request that the Forest Service</w:t>
      </w:r>
      <w:r w:rsidR="006C3813">
        <w:rPr>
          <w:rFonts w:ascii="Times New Roman" w:hAnsi="Times New Roman" w:cs="Times New Roman"/>
          <w:bCs/>
          <w:sz w:val="24"/>
          <w:szCs w:val="24"/>
        </w:rPr>
        <w:t xml:space="preserve"> prioritize the requirements of ANICLA over and in addition to the requirements of 1872 mining law as Congress clearly intended.</w:t>
      </w:r>
    </w:p>
    <w:p w14:paraId="100164C5" w14:textId="77777777" w:rsidR="006C3813" w:rsidRDefault="006C3813" w:rsidP="009A17AA">
      <w:pPr>
        <w:spacing w:line="276" w:lineRule="auto"/>
        <w:jc w:val="center"/>
        <w:rPr>
          <w:rFonts w:ascii="Times New Roman" w:hAnsi="Times New Roman" w:cs="Times New Roman"/>
          <w:bCs/>
          <w:sz w:val="24"/>
          <w:szCs w:val="24"/>
        </w:rPr>
      </w:pPr>
    </w:p>
    <w:p w14:paraId="787F1FC1" w14:textId="31C23230" w:rsidR="00D46FD3" w:rsidRPr="00D14527" w:rsidRDefault="00D46FD3" w:rsidP="009A17AA">
      <w:pPr>
        <w:pStyle w:val="ListParagraph"/>
        <w:numPr>
          <w:ilvl w:val="0"/>
          <w:numId w:val="5"/>
        </w:numPr>
        <w:spacing w:line="276" w:lineRule="auto"/>
        <w:jc w:val="center"/>
        <w:rPr>
          <w:rFonts w:ascii="Times New Roman" w:hAnsi="Times New Roman" w:cs="Times New Roman"/>
          <w:bCs/>
          <w:sz w:val="24"/>
          <w:szCs w:val="24"/>
          <w:u w:val="single"/>
        </w:rPr>
      </w:pPr>
      <w:r w:rsidRPr="00D14527">
        <w:rPr>
          <w:rFonts w:ascii="Times New Roman" w:hAnsi="Times New Roman" w:cs="Times New Roman"/>
          <w:bCs/>
          <w:sz w:val="24"/>
          <w:szCs w:val="24"/>
          <w:u w:val="single"/>
        </w:rPr>
        <w:lastRenderedPageBreak/>
        <w:t xml:space="preserve">The 2013 ROD and the current </w:t>
      </w:r>
      <w:r w:rsidR="00145C76">
        <w:rPr>
          <w:rFonts w:ascii="Times New Roman" w:hAnsi="Times New Roman" w:cs="Times New Roman"/>
          <w:bCs/>
          <w:sz w:val="24"/>
          <w:szCs w:val="24"/>
          <w:u w:val="single"/>
        </w:rPr>
        <w:t xml:space="preserve">2023 </w:t>
      </w:r>
      <w:proofErr w:type="spellStart"/>
      <w:r w:rsidRPr="00D14527">
        <w:rPr>
          <w:rFonts w:ascii="Times New Roman" w:hAnsi="Times New Roman" w:cs="Times New Roman"/>
          <w:bCs/>
          <w:sz w:val="24"/>
          <w:szCs w:val="24"/>
          <w:u w:val="single"/>
        </w:rPr>
        <w:t>dSEIS</w:t>
      </w:r>
      <w:proofErr w:type="spellEnd"/>
      <w:r w:rsidRPr="00D14527">
        <w:rPr>
          <w:rFonts w:ascii="Times New Roman" w:hAnsi="Times New Roman" w:cs="Times New Roman"/>
          <w:bCs/>
          <w:sz w:val="24"/>
          <w:szCs w:val="24"/>
          <w:u w:val="single"/>
        </w:rPr>
        <w:t xml:space="preserve"> fail</w:t>
      </w:r>
      <w:r w:rsidR="007A0FBF">
        <w:rPr>
          <w:rFonts w:ascii="Times New Roman" w:hAnsi="Times New Roman" w:cs="Times New Roman"/>
          <w:bCs/>
          <w:sz w:val="24"/>
          <w:szCs w:val="24"/>
          <w:u w:val="single"/>
        </w:rPr>
        <w:t>s</w:t>
      </w:r>
      <w:r w:rsidRPr="00D14527">
        <w:rPr>
          <w:rFonts w:ascii="Times New Roman" w:hAnsi="Times New Roman" w:cs="Times New Roman"/>
          <w:bCs/>
          <w:sz w:val="24"/>
          <w:szCs w:val="24"/>
          <w:u w:val="single"/>
        </w:rPr>
        <w:t xml:space="preserve"> to take into consideration </w:t>
      </w:r>
      <w:r w:rsidR="00CB1680" w:rsidRPr="00D14527">
        <w:rPr>
          <w:rFonts w:ascii="Times New Roman" w:hAnsi="Times New Roman" w:cs="Times New Roman"/>
          <w:bCs/>
          <w:sz w:val="24"/>
          <w:szCs w:val="24"/>
          <w:u w:val="single"/>
        </w:rPr>
        <w:t xml:space="preserve">the </w:t>
      </w:r>
      <w:r w:rsidR="009D4DE0" w:rsidRPr="00D14527">
        <w:rPr>
          <w:rFonts w:ascii="Times New Roman" w:hAnsi="Times New Roman" w:cs="Times New Roman"/>
          <w:bCs/>
          <w:sz w:val="24"/>
          <w:szCs w:val="24"/>
          <w:u w:val="single"/>
        </w:rPr>
        <w:t>apparent degradation</w:t>
      </w:r>
      <w:r w:rsidRPr="00D14527">
        <w:rPr>
          <w:rFonts w:ascii="Times New Roman" w:hAnsi="Times New Roman" w:cs="Times New Roman"/>
          <w:bCs/>
          <w:sz w:val="24"/>
          <w:szCs w:val="24"/>
          <w:u w:val="single"/>
        </w:rPr>
        <w:t xml:space="preserve"> of the Ha</w:t>
      </w:r>
      <w:r w:rsidR="006C3813" w:rsidRPr="00D14527">
        <w:rPr>
          <w:rFonts w:ascii="Times New Roman" w:hAnsi="Times New Roman" w:cs="Times New Roman"/>
          <w:bCs/>
          <w:sz w:val="24"/>
          <w:szCs w:val="24"/>
          <w:u w:val="single"/>
        </w:rPr>
        <w:t>w</w:t>
      </w:r>
      <w:r w:rsidRPr="00D14527">
        <w:rPr>
          <w:rFonts w:ascii="Times New Roman" w:hAnsi="Times New Roman" w:cs="Times New Roman"/>
          <w:bCs/>
          <w:sz w:val="24"/>
          <w:szCs w:val="24"/>
          <w:u w:val="single"/>
        </w:rPr>
        <w:t>k Inlet</w:t>
      </w:r>
      <w:r w:rsidR="006C3813" w:rsidRPr="00D14527">
        <w:rPr>
          <w:rFonts w:ascii="Times New Roman" w:hAnsi="Times New Roman" w:cs="Times New Roman"/>
          <w:bCs/>
          <w:sz w:val="24"/>
          <w:szCs w:val="24"/>
          <w:u w:val="single"/>
        </w:rPr>
        <w:t>’s</w:t>
      </w:r>
      <w:r w:rsidRPr="00D14527">
        <w:rPr>
          <w:rFonts w:ascii="Times New Roman" w:hAnsi="Times New Roman" w:cs="Times New Roman"/>
          <w:bCs/>
          <w:sz w:val="24"/>
          <w:szCs w:val="24"/>
          <w:u w:val="single"/>
        </w:rPr>
        <w:t xml:space="preserve"> ecosystem </w:t>
      </w:r>
      <w:r w:rsidR="006C3813" w:rsidRPr="00D14527">
        <w:rPr>
          <w:rFonts w:ascii="Times New Roman" w:hAnsi="Times New Roman" w:cs="Times New Roman"/>
          <w:bCs/>
          <w:sz w:val="24"/>
          <w:szCs w:val="24"/>
          <w:u w:val="single"/>
        </w:rPr>
        <w:t xml:space="preserve">as </w:t>
      </w:r>
      <w:r w:rsidRPr="00D14527">
        <w:rPr>
          <w:rFonts w:ascii="Times New Roman" w:hAnsi="Times New Roman" w:cs="Times New Roman"/>
          <w:bCs/>
          <w:sz w:val="24"/>
          <w:szCs w:val="24"/>
          <w:u w:val="single"/>
        </w:rPr>
        <w:t>documented in the repeated expansion and monitoring reports since mining began.</w:t>
      </w:r>
    </w:p>
    <w:p w14:paraId="379A8E7D" w14:textId="020C288B" w:rsidR="00D46FD3" w:rsidRDefault="00D46FD3" w:rsidP="009A17AA">
      <w:pPr>
        <w:spacing w:line="276" w:lineRule="auto"/>
        <w:rPr>
          <w:rFonts w:ascii="Times New Roman" w:hAnsi="Times New Roman" w:cs="Times New Roman"/>
          <w:sz w:val="24"/>
          <w:szCs w:val="24"/>
        </w:rPr>
      </w:pPr>
      <w:r w:rsidRPr="00D46FD3">
        <w:rPr>
          <w:rFonts w:ascii="Times New Roman" w:hAnsi="Times New Roman" w:cs="Times New Roman"/>
          <w:sz w:val="24"/>
          <w:szCs w:val="24"/>
        </w:rPr>
        <w:t>NEPA requires agencies to “take a hard look at environmental consequences” of their proposed actions, consider alternatives, and publicly disseminate such information before taking final action.</w:t>
      </w:r>
      <w:r w:rsidRPr="00D46FD3">
        <w:rPr>
          <w:rStyle w:val="FootnoteReference"/>
          <w:rFonts w:ascii="Times New Roman" w:hAnsi="Times New Roman" w:cs="Times New Roman"/>
          <w:sz w:val="24"/>
          <w:szCs w:val="24"/>
        </w:rPr>
        <w:footnoteReference w:id="3"/>
      </w:r>
      <w:r w:rsidRPr="00D46FD3">
        <w:rPr>
          <w:rFonts w:ascii="Times New Roman" w:hAnsi="Times New Roman" w:cs="Times New Roman"/>
          <w:sz w:val="24"/>
          <w:szCs w:val="24"/>
        </w:rPr>
        <w:t xml:space="preserve"> A NEPA analyses also must assess cumulative effects, which are the </w:t>
      </w:r>
      <w:r w:rsidR="00BE3F82">
        <w:rPr>
          <w:rFonts w:ascii="Times New Roman" w:hAnsi="Times New Roman" w:cs="Times New Roman"/>
          <w:sz w:val="24"/>
          <w:szCs w:val="24"/>
        </w:rPr>
        <w:t xml:space="preserve">effects </w:t>
      </w:r>
      <w:r w:rsidRPr="00D46FD3">
        <w:rPr>
          <w:rFonts w:ascii="Times New Roman" w:hAnsi="Times New Roman" w:cs="Times New Roman"/>
          <w:sz w:val="24"/>
          <w:szCs w:val="24"/>
        </w:rPr>
        <w:t>on the environment resulting from the incremental impact of the action when added to other past, present, and reasonably foreseeable future actions</w:t>
      </w:r>
      <w:r>
        <w:rPr>
          <w:rFonts w:ascii="Times New Roman" w:hAnsi="Times New Roman" w:cs="Times New Roman"/>
          <w:sz w:val="24"/>
          <w:szCs w:val="24"/>
        </w:rPr>
        <w:t xml:space="preserve">.  </w:t>
      </w:r>
      <w:r w:rsidRPr="00D46FD3">
        <w:rPr>
          <w:rFonts w:ascii="Times New Roman" w:hAnsi="Times New Roman" w:cs="Times New Roman"/>
          <w:i/>
          <w:iCs/>
          <w:sz w:val="24"/>
          <w:szCs w:val="24"/>
        </w:rPr>
        <w:t>See</w:t>
      </w:r>
      <w:r w:rsidR="00145C76">
        <w:rPr>
          <w:rFonts w:ascii="Times New Roman" w:hAnsi="Times New Roman" w:cs="Times New Roman"/>
          <w:i/>
          <w:iCs/>
          <w:sz w:val="24"/>
          <w:szCs w:val="24"/>
        </w:rPr>
        <w:t>,</w:t>
      </w:r>
      <w:r>
        <w:rPr>
          <w:rFonts w:ascii="Times New Roman" w:hAnsi="Times New Roman" w:cs="Times New Roman"/>
          <w:sz w:val="24"/>
          <w:szCs w:val="24"/>
        </w:rPr>
        <w:t xml:space="preserve"> 40 CFR 1508.7.</w:t>
      </w:r>
    </w:p>
    <w:p w14:paraId="1B5E81E8" w14:textId="144716E2" w:rsidR="00CB1680" w:rsidRPr="00145C76" w:rsidRDefault="00D81F35" w:rsidP="009A17AA">
      <w:pPr>
        <w:spacing w:line="276" w:lineRule="auto"/>
        <w:rPr>
          <w:rFonts w:ascii="Times New Roman" w:hAnsi="Times New Roman" w:cs="Times New Roman"/>
          <w:sz w:val="24"/>
          <w:szCs w:val="24"/>
          <w:shd w:val="clear" w:color="auto" w:fill="FFFFFF"/>
        </w:rPr>
      </w:pPr>
      <w:r w:rsidRPr="00145C76">
        <w:rPr>
          <w:rFonts w:ascii="Times New Roman" w:hAnsi="Times New Roman" w:cs="Times New Roman"/>
          <w:sz w:val="24"/>
          <w:szCs w:val="24"/>
        </w:rPr>
        <w:t>The</w:t>
      </w:r>
      <w:r w:rsidR="00D46FD3" w:rsidRPr="00145C76">
        <w:rPr>
          <w:rFonts w:ascii="Times New Roman" w:hAnsi="Times New Roman" w:cs="Times New Roman"/>
          <w:sz w:val="24"/>
          <w:szCs w:val="24"/>
        </w:rPr>
        <w:t xml:space="preserve"> goal of an EIS is to </w:t>
      </w:r>
      <w:r w:rsidRPr="00145C76">
        <w:rPr>
          <w:rFonts w:ascii="Times New Roman" w:hAnsi="Times New Roman" w:cs="Times New Roman"/>
          <w:sz w:val="24"/>
          <w:szCs w:val="24"/>
        </w:rPr>
        <w:t xml:space="preserve">describe the current conditions of the area </w:t>
      </w:r>
      <w:r w:rsidR="00145C76" w:rsidRPr="00145C76">
        <w:rPr>
          <w:rFonts w:ascii="Times New Roman" w:hAnsi="Times New Roman" w:cs="Times New Roman"/>
          <w:sz w:val="24"/>
          <w:szCs w:val="24"/>
        </w:rPr>
        <w:t>(No-Action Alternative),</w:t>
      </w:r>
      <w:r w:rsidRPr="00145C76">
        <w:rPr>
          <w:rFonts w:ascii="Times New Roman" w:hAnsi="Times New Roman" w:cs="Times New Roman"/>
          <w:sz w:val="24"/>
          <w:szCs w:val="24"/>
        </w:rPr>
        <w:t xml:space="preserve"> identify and predict the potential impacts of alternative </w:t>
      </w:r>
      <w:r w:rsidR="00145C76" w:rsidRPr="00145C76">
        <w:rPr>
          <w:rFonts w:ascii="Times New Roman" w:hAnsi="Times New Roman" w:cs="Times New Roman"/>
          <w:sz w:val="24"/>
          <w:szCs w:val="24"/>
        </w:rPr>
        <w:t xml:space="preserve">methods of implementing the Plan of operation and </w:t>
      </w:r>
      <w:r w:rsidRPr="00145C76">
        <w:rPr>
          <w:rFonts w:ascii="Times New Roman" w:hAnsi="Times New Roman" w:cs="Times New Roman"/>
          <w:sz w:val="24"/>
          <w:szCs w:val="24"/>
        </w:rPr>
        <w:t xml:space="preserve">give enough information for the public to make an informed decision. </w:t>
      </w:r>
      <w:r w:rsidR="00CB1680" w:rsidRPr="00145C76">
        <w:rPr>
          <w:rFonts w:ascii="Times New Roman" w:hAnsi="Times New Roman" w:cs="Times New Roman"/>
          <w:sz w:val="24"/>
          <w:szCs w:val="24"/>
        </w:rPr>
        <w:t xml:space="preserve">The Greens Creek Mine has been the subject of three such analysis plus the current supplement.  Each of these actions </w:t>
      </w:r>
      <w:r w:rsidR="00510721" w:rsidRPr="00145C76">
        <w:rPr>
          <w:rFonts w:ascii="Times New Roman" w:hAnsi="Times New Roman" w:cs="Times New Roman"/>
          <w:sz w:val="24"/>
          <w:szCs w:val="24"/>
          <w:shd w:val="clear" w:color="auto" w:fill="FFFFFF"/>
        </w:rPr>
        <w:t xml:space="preserve">document existing conditions at the time they were written. </w:t>
      </w:r>
      <w:r w:rsidR="00CB1680" w:rsidRPr="00145C76">
        <w:rPr>
          <w:rFonts w:ascii="Times New Roman" w:hAnsi="Times New Roman" w:cs="Times New Roman"/>
          <w:sz w:val="24"/>
          <w:szCs w:val="24"/>
          <w:shd w:val="clear" w:color="auto" w:fill="FFFFFF"/>
        </w:rPr>
        <w:t xml:space="preserve">When </w:t>
      </w:r>
      <w:r w:rsidR="009F106E" w:rsidRPr="00145C76">
        <w:rPr>
          <w:rFonts w:ascii="Times New Roman" w:hAnsi="Times New Roman" w:cs="Times New Roman"/>
          <w:sz w:val="24"/>
          <w:szCs w:val="24"/>
          <w:shd w:val="clear" w:color="auto" w:fill="FFFFFF"/>
        </w:rPr>
        <w:t>these analyses are compared</w:t>
      </w:r>
      <w:r w:rsidR="00145C76">
        <w:rPr>
          <w:rFonts w:ascii="Times New Roman" w:hAnsi="Times New Roman" w:cs="Times New Roman"/>
          <w:sz w:val="24"/>
          <w:szCs w:val="24"/>
          <w:shd w:val="clear" w:color="auto" w:fill="FFFFFF"/>
        </w:rPr>
        <w:t xml:space="preserve"> over time</w:t>
      </w:r>
      <w:r w:rsidR="009F106E" w:rsidRPr="00145C76">
        <w:rPr>
          <w:rFonts w:ascii="Times New Roman" w:hAnsi="Times New Roman" w:cs="Times New Roman"/>
          <w:sz w:val="24"/>
          <w:szCs w:val="24"/>
          <w:shd w:val="clear" w:color="auto" w:fill="FFFFFF"/>
        </w:rPr>
        <w:t xml:space="preserve">, they </w:t>
      </w:r>
      <w:r w:rsidR="00145C76">
        <w:rPr>
          <w:rFonts w:ascii="Times New Roman" w:hAnsi="Times New Roman" w:cs="Times New Roman"/>
          <w:sz w:val="24"/>
          <w:szCs w:val="24"/>
          <w:shd w:val="clear" w:color="auto" w:fill="FFFFFF"/>
        </w:rPr>
        <w:t>record evidence</w:t>
      </w:r>
      <w:r w:rsidR="009F106E" w:rsidRPr="00145C76">
        <w:rPr>
          <w:rFonts w:ascii="Times New Roman" w:hAnsi="Times New Roman" w:cs="Times New Roman"/>
          <w:sz w:val="24"/>
          <w:szCs w:val="24"/>
          <w:shd w:val="clear" w:color="auto" w:fill="FFFFFF"/>
        </w:rPr>
        <w:t xml:space="preserve"> that degradation of the Hawk Inlet environment has occurred.  It is critical that consecutive actions by the federal government are not based </w:t>
      </w:r>
      <w:r w:rsidR="00145C76">
        <w:rPr>
          <w:rFonts w:ascii="Times New Roman" w:hAnsi="Times New Roman" w:cs="Times New Roman"/>
          <w:sz w:val="24"/>
          <w:szCs w:val="24"/>
          <w:shd w:val="clear" w:color="auto" w:fill="FFFFFF"/>
        </w:rPr>
        <w:t xml:space="preserve">against </w:t>
      </w:r>
      <w:r w:rsidR="009F106E" w:rsidRPr="00145C76">
        <w:rPr>
          <w:rFonts w:ascii="Times New Roman" w:hAnsi="Times New Roman" w:cs="Times New Roman"/>
          <w:sz w:val="24"/>
          <w:szCs w:val="24"/>
          <w:shd w:val="clear" w:color="auto" w:fill="FFFFFF"/>
        </w:rPr>
        <w:t>a sliding baseline of incremental harm.</w:t>
      </w:r>
    </w:p>
    <w:p w14:paraId="2A8D281B" w14:textId="385072B1" w:rsidR="00BE3F82" w:rsidRPr="00145C76" w:rsidRDefault="009F106E" w:rsidP="009A17AA">
      <w:pPr>
        <w:spacing w:line="276" w:lineRule="auto"/>
        <w:rPr>
          <w:rFonts w:ascii="Times New Roman" w:hAnsi="Times New Roman" w:cs="Times New Roman"/>
          <w:sz w:val="24"/>
          <w:szCs w:val="24"/>
        </w:rPr>
      </w:pPr>
      <w:r w:rsidRPr="00145C76">
        <w:rPr>
          <w:rFonts w:ascii="Times New Roman" w:hAnsi="Times New Roman" w:cs="Times New Roman"/>
          <w:sz w:val="24"/>
          <w:szCs w:val="24"/>
          <w:shd w:val="clear" w:color="auto" w:fill="FFFFFF"/>
        </w:rPr>
        <w:t xml:space="preserve">The record </w:t>
      </w:r>
      <w:r w:rsidR="00BE3F82" w:rsidRPr="00145C76">
        <w:rPr>
          <w:rFonts w:ascii="Times New Roman" w:hAnsi="Times New Roman" w:cs="Times New Roman"/>
          <w:sz w:val="24"/>
          <w:szCs w:val="24"/>
          <w:shd w:val="clear" w:color="auto" w:fill="FFFFFF"/>
        </w:rPr>
        <w:t xml:space="preserve">in the </w:t>
      </w:r>
      <w:r w:rsidR="00145C76" w:rsidRPr="00145C76">
        <w:rPr>
          <w:rFonts w:ascii="Times New Roman" w:hAnsi="Times New Roman" w:cs="Times New Roman"/>
          <w:sz w:val="24"/>
          <w:szCs w:val="24"/>
          <w:shd w:val="clear" w:color="auto" w:fill="FFFFFF"/>
        </w:rPr>
        <w:t xml:space="preserve">2023 </w:t>
      </w:r>
      <w:proofErr w:type="spellStart"/>
      <w:r w:rsidR="00BE3F82" w:rsidRPr="00145C76">
        <w:rPr>
          <w:rFonts w:ascii="Times New Roman" w:hAnsi="Times New Roman" w:cs="Times New Roman"/>
          <w:sz w:val="24"/>
          <w:szCs w:val="24"/>
          <w:shd w:val="clear" w:color="auto" w:fill="FFFFFF"/>
        </w:rPr>
        <w:t>sDEIS</w:t>
      </w:r>
      <w:proofErr w:type="spellEnd"/>
      <w:r w:rsidR="00BE3F82" w:rsidRPr="00145C76">
        <w:rPr>
          <w:rFonts w:ascii="Times New Roman" w:hAnsi="Times New Roman" w:cs="Times New Roman"/>
          <w:sz w:val="24"/>
          <w:szCs w:val="24"/>
          <w:shd w:val="clear" w:color="auto" w:fill="FFFFFF"/>
        </w:rPr>
        <w:t xml:space="preserve"> </w:t>
      </w:r>
      <w:r w:rsidRPr="00145C76">
        <w:rPr>
          <w:rFonts w:ascii="Times New Roman" w:hAnsi="Times New Roman" w:cs="Times New Roman"/>
          <w:sz w:val="24"/>
          <w:szCs w:val="24"/>
          <w:shd w:val="clear" w:color="auto" w:fill="FFFFFF"/>
        </w:rPr>
        <w:t xml:space="preserve">contains no such analysis.  The information is available and yet remains unanalyzed. Thirty-plus years </w:t>
      </w:r>
      <w:r w:rsidR="00D27ADE" w:rsidRPr="00145C76">
        <w:rPr>
          <w:rFonts w:ascii="Times New Roman" w:hAnsi="Times New Roman" w:cs="Times New Roman"/>
          <w:sz w:val="24"/>
          <w:szCs w:val="24"/>
          <w:shd w:val="clear" w:color="auto" w:fill="FFFFFF"/>
        </w:rPr>
        <w:t>of monitoring</w:t>
      </w:r>
      <w:r w:rsidRPr="00145C76">
        <w:rPr>
          <w:rFonts w:ascii="Times New Roman" w:hAnsi="Times New Roman" w:cs="Times New Roman"/>
          <w:sz w:val="24"/>
          <w:szCs w:val="24"/>
          <w:shd w:val="clear" w:color="auto" w:fill="FFFFFF"/>
        </w:rPr>
        <w:t xml:space="preserve"> data is examined a</w:t>
      </w:r>
      <w:r w:rsidR="00D27ADE" w:rsidRPr="00145C76">
        <w:rPr>
          <w:rFonts w:ascii="Times New Roman" w:hAnsi="Times New Roman" w:cs="Times New Roman"/>
          <w:sz w:val="24"/>
          <w:szCs w:val="24"/>
          <w:shd w:val="clear" w:color="auto" w:fill="FFFFFF"/>
        </w:rPr>
        <w:t>s</w:t>
      </w:r>
      <w:r w:rsidRPr="00145C76">
        <w:rPr>
          <w:rFonts w:ascii="Times New Roman" w:hAnsi="Times New Roman" w:cs="Times New Roman"/>
          <w:sz w:val="24"/>
          <w:szCs w:val="24"/>
          <w:shd w:val="clear" w:color="auto" w:fill="FFFFFF"/>
        </w:rPr>
        <w:t xml:space="preserve"> a trend analysis (not as an effect</w:t>
      </w:r>
      <w:r w:rsidR="00D27ADE" w:rsidRPr="00145C76">
        <w:rPr>
          <w:rFonts w:ascii="Times New Roman" w:hAnsi="Times New Roman" w:cs="Times New Roman"/>
          <w:sz w:val="24"/>
          <w:szCs w:val="24"/>
          <w:shd w:val="clear" w:color="auto" w:fill="FFFFFF"/>
        </w:rPr>
        <w:t>s</w:t>
      </w:r>
      <w:r w:rsidRPr="00145C76">
        <w:rPr>
          <w:rFonts w:ascii="Times New Roman" w:hAnsi="Times New Roman" w:cs="Times New Roman"/>
          <w:sz w:val="24"/>
          <w:szCs w:val="24"/>
          <w:shd w:val="clear" w:color="auto" w:fill="FFFFFF"/>
        </w:rPr>
        <w:t xml:space="preserve"> analysis), but </w:t>
      </w:r>
      <w:r w:rsidR="00BE3F82" w:rsidRPr="00145C76">
        <w:rPr>
          <w:rFonts w:ascii="Times New Roman" w:hAnsi="Times New Roman" w:cs="Times New Roman"/>
          <w:sz w:val="24"/>
          <w:szCs w:val="24"/>
          <w:shd w:val="clear" w:color="auto" w:fill="FFFFFF"/>
        </w:rPr>
        <w:t xml:space="preserve">still documents disturbing trends </w:t>
      </w:r>
      <w:r w:rsidR="00D27ADE" w:rsidRPr="00145C76">
        <w:rPr>
          <w:rFonts w:ascii="Times New Roman" w:hAnsi="Times New Roman" w:cs="Times New Roman"/>
          <w:sz w:val="24"/>
          <w:szCs w:val="24"/>
          <w:shd w:val="clear" w:color="auto" w:fill="FFFFFF"/>
        </w:rPr>
        <w:t xml:space="preserve">apparent in </w:t>
      </w:r>
      <w:r w:rsidR="00FF0E19">
        <w:rPr>
          <w:rFonts w:ascii="Times New Roman" w:hAnsi="Times New Roman" w:cs="Times New Roman"/>
          <w:sz w:val="24"/>
          <w:szCs w:val="24"/>
          <w:shd w:val="clear" w:color="auto" w:fill="FFFFFF"/>
        </w:rPr>
        <w:t xml:space="preserve">successive descriptions in the No-Action Alternatives </w:t>
      </w:r>
      <w:r w:rsidRPr="00145C76">
        <w:rPr>
          <w:rFonts w:ascii="Times New Roman" w:hAnsi="Times New Roman" w:cs="Times New Roman"/>
          <w:sz w:val="24"/>
          <w:szCs w:val="24"/>
          <w:shd w:val="clear" w:color="auto" w:fill="FFFFFF"/>
        </w:rPr>
        <w:t xml:space="preserve">over </w:t>
      </w:r>
      <w:r w:rsidR="00D27ADE" w:rsidRPr="00145C76">
        <w:rPr>
          <w:rFonts w:ascii="Times New Roman" w:hAnsi="Times New Roman" w:cs="Times New Roman"/>
          <w:sz w:val="24"/>
          <w:szCs w:val="24"/>
          <w:shd w:val="clear" w:color="auto" w:fill="FFFFFF"/>
        </w:rPr>
        <w:t>thirty</w:t>
      </w:r>
      <w:r w:rsidRPr="00145C76">
        <w:rPr>
          <w:rFonts w:ascii="Times New Roman" w:hAnsi="Times New Roman" w:cs="Times New Roman"/>
          <w:sz w:val="24"/>
          <w:szCs w:val="24"/>
          <w:shd w:val="clear" w:color="auto" w:fill="FFFFFF"/>
        </w:rPr>
        <w:t xml:space="preserve"> years and now four</w:t>
      </w:r>
      <w:r w:rsidR="00D27ADE" w:rsidRPr="00145C76">
        <w:rPr>
          <w:rFonts w:ascii="Times New Roman" w:hAnsi="Times New Roman" w:cs="Times New Roman"/>
          <w:sz w:val="24"/>
          <w:szCs w:val="24"/>
          <w:shd w:val="clear" w:color="auto" w:fill="FFFFFF"/>
        </w:rPr>
        <w:t xml:space="preserve"> federal actions</w:t>
      </w:r>
      <w:r w:rsidR="00BE3F82" w:rsidRPr="00145C76">
        <w:rPr>
          <w:rFonts w:ascii="Times New Roman" w:hAnsi="Times New Roman" w:cs="Times New Roman"/>
          <w:sz w:val="24"/>
          <w:szCs w:val="24"/>
          <w:shd w:val="clear" w:color="auto" w:fill="FFFFFF"/>
        </w:rPr>
        <w:t>.</w:t>
      </w:r>
      <w:r w:rsidR="00D27ADE" w:rsidRPr="00145C76">
        <w:rPr>
          <w:rFonts w:ascii="Times New Roman" w:hAnsi="Times New Roman" w:cs="Times New Roman"/>
          <w:sz w:val="24"/>
          <w:szCs w:val="24"/>
          <w:shd w:val="clear" w:color="auto" w:fill="FFFFFF"/>
        </w:rPr>
        <w:t xml:space="preserve"> </w:t>
      </w:r>
      <w:r w:rsidR="006C3813" w:rsidRPr="00145C76">
        <w:rPr>
          <w:rFonts w:ascii="Times New Roman" w:hAnsi="Times New Roman" w:cs="Times New Roman"/>
          <w:sz w:val="24"/>
          <w:szCs w:val="24"/>
        </w:rPr>
        <w:t>This ‘meta’ analysis of the record is lacking.</w:t>
      </w:r>
      <w:r w:rsidR="00BE3F82" w:rsidRPr="00145C76">
        <w:rPr>
          <w:rFonts w:ascii="Times New Roman" w:hAnsi="Times New Roman" w:cs="Times New Roman"/>
          <w:sz w:val="24"/>
          <w:szCs w:val="24"/>
        </w:rPr>
        <w:t xml:space="preserve"> We recommend that t</w:t>
      </w:r>
      <w:r w:rsidR="00D27ADE" w:rsidRPr="00145C76">
        <w:rPr>
          <w:rFonts w:ascii="Times New Roman" w:hAnsi="Times New Roman" w:cs="Times New Roman"/>
          <w:sz w:val="24"/>
          <w:szCs w:val="24"/>
        </w:rPr>
        <w:t xml:space="preserve">his analysis is </w:t>
      </w:r>
      <w:r w:rsidR="00BE3F82" w:rsidRPr="00145C76">
        <w:rPr>
          <w:rFonts w:ascii="Times New Roman" w:hAnsi="Times New Roman" w:cs="Times New Roman"/>
          <w:sz w:val="24"/>
          <w:szCs w:val="24"/>
        </w:rPr>
        <w:t>be conducted.</w:t>
      </w:r>
      <w:r w:rsidR="00D27ADE" w:rsidRPr="00145C76">
        <w:rPr>
          <w:rFonts w:ascii="Times New Roman" w:hAnsi="Times New Roman" w:cs="Times New Roman"/>
          <w:sz w:val="24"/>
          <w:szCs w:val="24"/>
        </w:rPr>
        <w:t xml:space="preserve"> </w:t>
      </w:r>
    </w:p>
    <w:p w14:paraId="154DAB79" w14:textId="04484B2F" w:rsidR="00D46FD3" w:rsidRDefault="00D27ADE" w:rsidP="009A17AA">
      <w:pPr>
        <w:spacing w:line="276" w:lineRule="auto"/>
        <w:rPr>
          <w:rFonts w:ascii="Times New Roman" w:hAnsi="Times New Roman" w:cs="Times New Roman"/>
          <w:sz w:val="24"/>
          <w:szCs w:val="24"/>
        </w:rPr>
      </w:pPr>
      <w:r>
        <w:rPr>
          <w:rFonts w:ascii="Times New Roman" w:hAnsi="Times New Roman" w:cs="Times New Roman"/>
          <w:sz w:val="24"/>
          <w:szCs w:val="24"/>
        </w:rPr>
        <w:t xml:space="preserve">A cursory </w:t>
      </w:r>
      <w:r w:rsidR="00D46FD3">
        <w:rPr>
          <w:rFonts w:ascii="Times New Roman" w:hAnsi="Times New Roman" w:cs="Times New Roman"/>
          <w:sz w:val="24"/>
          <w:szCs w:val="24"/>
        </w:rPr>
        <w:t xml:space="preserve">examination </w:t>
      </w:r>
      <w:r w:rsidR="006C3813">
        <w:rPr>
          <w:rFonts w:ascii="Times New Roman" w:hAnsi="Times New Roman" w:cs="Times New Roman"/>
          <w:sz w:val="24"/>
          <w:szCs w:val="24"/>
        </w:rPr>
        <w:t xml:space="preserve">of the documents </w:t>
      </w:r>
      <w:r w:rsidR="00D46FD3">
        <w:rPr>
          <w:rFonts w:ascii="Times New Roman" w:hAnsi="Times New Roman" w:cs="Times New Roman"/>
          <w:sz w:val="24"/>
          <w:szCs w:val="24"/>
        </w:rPr>
        <w:t>gives s</w:t>
      </w:r>
      <w:r w:rsidR="004D3796">
        <w:rPr>
          <w:rFonts w:ascii="Times New Roman" w:hAnsi="Times New Roman" w:cs="Times New Roman"/>
          <w:sz w:val="24"/>
          <w:szCs w:val="24"/>
        </w:rPr>
        <w:t>ome</w:t>
      </w:r>
      <w:r w:rsidR="00D46FD3">
        <w:rPr>
          <w:rFonts w:ascii="Times New Roman" w:hAnsi="Times New Roman" w:cs="Times New Roman"/>
          <w:sz w:val="24"/>
          <w:szCs w:val="24"/>
        </w:rPr>
        <w:t xml:space="preserve"> examples.</w:t>
      </w:r>
    </w:p>
    <w:p w14:paraId="44C8B8A9" w14:textId="7414645A" w:rsidR="00B5237A" w:rsidRPr="00B5237A" w:rsidRDefault="004A208F" w:rsidP="009A17AA">
      <w:pPr>
        <w:spacing w:line="276" w:lineRule="auto"/>
        <w:rPr>
          <w:rFonts w:ascii="Times New Roman" w:hAnsi="Times New Roman" w:cs="Times New Roman"/>
          <w:sz w:val="24"/>
          <w:szCs w:val="24"/>
        </w:rPr>
      </w:pPr>
      <w:r>
        <w:rPr>
          <w:rFonts w:ascii="Times New Roman" w:hAnsi="Times New Roman" w:cs="Times New Roman"/>
          <w:color w:val="353535"/>
          <w:sz w:val="24"/>
          <w:szCs w:val="24"/>
          <w:shd w:val="clear" w:color="auto" w:fill="FFFFFF"/>
        </w:rPr>
        <w:t>Pacific Herring</w:t>
      </w:r>
      <w:r w:rsidR="00B5237A" w:rsidRPr="00B5237A">
        <w:rPr>
          <w:rFonts w:ascii="Times New Roman" w:hAnsi="Times New Roman" w:cs="Times New Roman"/>
          <w:color w:val="353535"/>
          <w:sz w:val="24"/>
          <w:szCs w:val="24"/>
          <w:shd w:val="clear" w:color="auto" w:fill="FFFFFF"/>
        </w:rPr>
        <w:t xml:space="preserve"> is a keystone species </w:t>
      </w:r>
      <w:r w:rsidR="00BE3F82">
        <w:rPr>
          <w:rFonts w:ascii="Times New Roman" w:hAnsi="Times New Roman" w:cs="Times New Roman"/>
          <w:color w:val="353535"/>
          <w:sz w:val="24"/>
          <w:szCs w:val="24"/>
          <w:shd w:val="clear" w:color="auto" w:fill="FFFFFF"/>
        </w:rPr>
        <w:t>because</w:t>
      </w:r>
      <w:r w:rsidR="00B5237A">
        <w:rPr>
          <w:rFonts w:ascii="Times New Roman" w:hAnsi="Times New Roman" w:cs="Times New Roman"/>
          <w:color w:val="353535"/>
          <w:sz w:val="24"/>
          <w:szCs w:val="24"/>
          <w:shd w:val="clear" w:color="auto" w:fill="FFFFFF"/>
        </w:rPr>
        <w:t xml:space="preserve"> </w:t>
      </w:r>
      <w:r w:rsidR="00B5237A" w:rsidRPr="00B5237A">
        <w:rPr>
          <w:rFonts w:ascii="Times New Roman" w:hAnsi="Times New Roman" w:cs="Times New Roman"/>
          <w:color w:val="353535"/>
          <w:sz w:val="24"/>
          <w:szCs w:val="24"/>
          <w:shd w:val="clear" w:color="auto" w:fill="FFFFFF"/>
        </w:rPr>
        <w:t>several other species in the food web rely on herring to sustain their diets</w:t>
      </w:r>
      <w:r w:rsidR="00FF0E19">
        <w:rPr>
          <w:rFonts w:ascii="Times New Roman" w:hAnsi="Times New Roman" w:cs="Times New Roman"/>
          <w:color w:val="353535"/>
          <w:sz w:val="24"/>
          <w:szCs w:val="24"/>
          <w:shd w:val="clear" w:color="auto" w:fill="FFFFFF"/>
        </w:rPr>
        <w:t xml:space="preserve"> (more so than mussels and benthic worms).</w:t>
      </w:r>
      <w:r w:rsidR="00B5237A" w:rsidRPr="00B5237A">
        <w:rPr>
          <w:rFonts w:ascii="Times New Roman" w:hAnsi="Times New Roman" w:cs="Times New Roman"/>
          <w:color w:val="353535"/>
          <w:sz w:val="24"/>
          <w:szCs w:val="24"/>
          <w:shd w:val="clear" w:color="auto" w:fill="FFFFFF"/>
        </w:rPr>
        <w:t xml:space="preserve">  Changes in herring populations can have a ripple effect on the entire ecosystem.</w:t>
      </w:r>
      <w:r w:rsidR="00B5237A" w:rsidRPr="00B5237A">
        <w:rPr>
          <w:rStyle w:val="FootnoteReference"/>
          <w:rFonts w:ascii="Times New Roman" w:hAnsi="Times New Roman" w:cs="Times New Roman"/>
          <w:color w:val="353535"/>
          <w:sz w:val="24"/>
          <w:szCs w:val="24"/>
          <w:shd w:val="clear" w:color="auto" w:fill="FFFFFF"/>
        </w:rPr>
        <w:footnoteReference w:id="4"/>
      </w:r>
    </w:p>
    <w:p w14:paraId="4C73AE41" w14:textId="23F0A60A" w:rsidR="002B247B" w:rsidRDefault="002B247B" w:rsidP="009A17AA">
      <w:pPr>
        <w:spacing w:line="276"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In the 1983 EIS and ROD herring are observed in </w:t>
      </w:r>
      <w:r w:rsidRPr="00FF0E19">
        <w:rPr>
          <w:rFonts w:ascii="Times New Roman" w:hAnsi="Times New Roman" w:cs="Times New Roman"/>
          <w:i/>
          <w:iCs/>
          <w:sz w:val="24"/>
          <w:szCs w:val="24"/>
        </w:rPr>
        <w:t>spawning</w:t>
      </w:r>
      <w:r>
        <w:rPr>
          <w:rFonts w:ascii="Times New Roman" w:hAnsi="Times New Roman" w:cs="Times New Roman"/>
          <w:sz w:val="24"/>
          <w:szCs w:val="24"/>
        </w:rPr>
        <w:t xml:space="preserve"> condition in Hawk Inlet. </w:t>
      </w:r>
      <w:r w:rsidRPr="002B247B">
        <w:rPr>
          <w:rFonts w:ascii="Times New Roman" w:hAnsi="Times New Roman" w:cs="Times New Roman"/>
          <w:i/>
          <w:iCs/>
          <w:sz w:val="24"/>
          <w:szCs w:val="24"/>
        </w:rPr>
        <w:t>See,</w:t>
      </w:r>
      <w:r>
        <w:rPr>
          <w:rFonts w:ascii="Times New Roman" w:hAnsi="Times New Roman" w:cs="Times New Roman"/>
          <w:sz w:val="24"/>
          <w:szCs w:val="24"/>
        </w:rPr>
        <w:t xml:space="preserve"> 1983 EIS at 3-35.</w:t>
      </w:r>
      <w:r w:rsidR="00D46FD3" w:rsidRPr="00D46FD3">
        <w:rPr>
          <w:rFonts w:ascii="Times New Roman" w:hAnsi="Times New Roman" w:cs="Times New Roman"/>
          <w:sz w:val="24"/>
          <w:szCs w:val="24"/>
        </w:rPr>
        <w:t xml:space="preserve"> </w:t>
      </w:r>
      <w:r w:rsidR="00F74FD7">
        <w:rPr>
          <w:rFonts w:ascii="Times New Roman" w:hAnsi="Times New Roman" w:cs="Times New Roman"/>
          <w:sz w:val="24"/>
          <w:szCs w:val="24"/>
        </w:rPr>
        <w:t>Twenty years later, t</w:t>
      </w:r>
      <w:r w:rsidR="00F74FD7" w:rsidRPr="00F74FD7">
        <w:rPr>
          <w:rFonts w:ascii="Times New Roman" w:hAnsi="Times New Roman" w:cs="Times New Roman"/>
          <w:sz w:val="24"/>
          <w:szCs w:val="24"/>
        </w:rPr>
        <w:t>he 2003 EIS states that “t</w:t>
      </w:r>
      <w:r w:rsidR="00F74FD7" w:rsidRPr="00F74FD7">
        <w:rPr>
          <w:rFonts w:ascii="Times New Roman" w:hAnsi="Times New Roman" w:cs="Times New Roman"/>
          <w:sz w:val="24"/>
          <w:szCs w:val="24"/>
          <w:shd w:val="clear" w:color="auto" w:fill="FFFFFF"/>
        </w:rPr>
        <w:t xml:space="preserve">hough there is no formal documentation of </w:t>
      </w:r>
      <w:r w:rsidR="00F74FD7" w:rsidRPr="00F74FD7">
        <w:rPr>
          <w:rStyle w:val="highlight"/>
          <w:rFonts w:ascii="Times New Roman" w:hAnsi="Times New Roman" w:cs="Times New Roman"/>
          <w:sz w:val="24"/>
          <w:szCs w:val="24"/>
          <w:shd w:val="clear" w:color="auto" w:fill="FFFFFF"/>
        </w:rPr>
        <w:t>herring</w:t>
      </w:r>
      <w:r w:rsidR="00F74FD7" w:rsidRPr="00F74FD7">
        <w:rPr>
          <w:rFonts w:ascii="Times New Roman" w:hAnsi="Times New Roman" w:cs="Times New Roman"/>
          <w:sz w:val="24"/>
          <w:szCs w:val="24"/>
          <w:shd w:val="clear" w:color="auto" w:fill="FFFFFF"/>
        </w:rPr>
        <w:t xml:space="preserve"> in Hawk Inlet, it is highly probable that </w:t>
      </w:r>
      <w:r w:rsidR="00F74FD7" w:rsidRPr="00F74FD7">
        <w:rPr>
          <w:rStyle w:val="highlight"/>
          <w:rFonts w:ascii="Times New Roman" w:hAnsi="Times New Roman" w:cs="Times New Roman"/>
          <w:sz w:val="24"/>
          <w:szCs w:val="24"/>
          <w:shd w:val="clear" w:color="auto" w:fill="FFFFFF"/>
        </w:rPr>
        <w:t>herring</w:t>
      </w:r>
      <w:r w:rsidR="00F74FD7" w:rsidRPr="00F74FD7">
        <w:rPr>
          <w:rFonts w:ascii="Times New Roman" w:hAnsi="Times New Roman" w:cs="Times New Roman"/>
          <w:sz w:val="24"/>
          <w:szCs w:val="24"/>
          <w:shd w:val="clear" w:color="auto" w:fill="FFFFFF"/>
        </w:rPr>
        <w:t xml:space="preserve"> and eulachon </w:t>
      </w:r>
      <w:r w:rsidR="00F74FD7" w:rsidRPr="00FF0E19">
        <w:rPr>
          <w:rFonts w:ascii="Times New Roman" w:hAnsi="Times New Roman" w:cs="Times New Roman"/>
          <w:i/>
          <w:iCs/>
          <w:sz w:val="24"/>
          <w:szCs w:val="24"/>
          <w:shd w:val="clear" w:color="auto" w:fill="FFFFFF"/>
        </w:rPr>
        <w:t xml:space="preserve">occur </w:t>
      </w:r>
      <w:r w:rsidR="00F74FD7" w:rsidRPr="00F74FD7">
        <w:rPr>
          <w:rFonts w:ascii="Times New Roman" w:hAnsi="Times New Roman" w:cs="Times New Roman"/>
          <w:sz w:val="24"/>
          <w:szCs w:val="24"/>
          <w:shd w:val="clear" w:color="auto" w:fill="FFFFFF"/>
        </w:rPr>
        <w:t>in Hawk Inlet in the winter and the spring</w:t>
      </w:r>
      <w:r w:rsidR="00F74FD7">
        <w:rPr>
          <w:rFonts w:ascii="Times New Roman" w:hAnsi="Times New Roman" w:cs="Times New Roman"/>
          <w:sz w:val="24"/>
          <w:szCs w:val="24"/>
          <w:shd w:val="clear" w:color="auto" w:fill="FFFFFF"/>
        </w:rPr>
        <w:t xml:space="preserve">.”  </w:t>
      </w:r>
      <w:r w:rsidR="00F74FD7" w:rsidRPr="00F74FD7">
        <w:rPr>
          <w:rFonts w:ascii="Times New Roman" w:hAnsi="Times New Roman" w:cs="Times New Roman"/>
          <w:i/>
          <w:iCs/>
          <w:sz w:val="24"/>
          <w:szCs w:val="24"/>
          <w:shd w:val="clear" w:color="auto" w:fill="FFFFFF"/>
        </w:rPr>
        <w:t>See</w:t>
      </w:r>
      <w:r w:rsidR="00F74FD7">
        <w:rPr>
          <w:rFonts w:ascii="Times New Roman" w:hAnsi="Times New Roman" w:cs="Times New Roman"/>
          <w:i/>
          <w:iCs/>
          <w:sz w:val="24"/>
          <w:szCs w:val="24"/>
          <w:shd w:val="clear" w:color="auto" w:fill="FFFFFF"/>
        </w:rPr>
        <w:t>,</w:t>
      </w:r>
      <w:r w:rsidR="00F74FD7">
        <w:rPr>
          <w:rFonts w:ascii="Times New Roman" w:hAnsi="Times New Roman" w:cs="Times New Roman"/>
          <w:sz w:val="24"/>
          <w:szCs w:val="24"/>
          <w:shd w:val="clear" w:color="auto" w:fill="FFFFFF"/>
        </w:rPr>
        <w:t xml:space="preserve"> </w:t>
      </w:r>
      <w:r w:rsidR="00F74FD7" w:rsidRPr="00F74FD7">
        <w:rPr>
          <w:rFonts w:ascii="Times New Roman" w:hAnsi="Times New Roman" w:cs="Times New Roman"/>
          <w:color w:val="000000"/>
          <w:spacing w:val="5"/>
          <w:sz w:val="24"/>
          <w:szCs w:val="24"/>
          <w:shd w:val="clear" w:color="auto" w:fill="FFFFFF"/>
        </w:rPr>
        <w:t>2003 Greens Creek EIS Volume I at 3-85</w:t>
      </w:r>
      <w:r w:rsidR="00F74FD7">
        <w:rPr>
          <w:rFonts w:ascii="Times New Roman" w:hAnsi="Times New Roman" w:cs="Times New Roman"/>
          <w:color w:val="000000"/>
          <w:spacing w:val="5"/>
          <w:sz w:val="24"/>
          <w:szCs w:val="24"/>
          <w:shd w:val="clear" w:color="auto" w:fill="FFFFFF"/>
        </w:rPr>
        <w:t>.</w:t>
      </w:r>
      <w:r w:rsidR="00D27ADE">
        <w:rPr>
          <w:rFonts w:ascii="Times New Roman" w:hAnsi="Times New Roman" w:cs="Times New Roman"/>
          <w:color w:val="000000"/>
          <w:spacing w:val="5"/>
          <w:sz w:val="24"/>
          <w:szCs w:val="24"/>
          <w:shd w:val="clear" w:color="auto" w:fill="FFFFFF"/>
        </w:rPr>
        <w:t xml:space="preserve"> </w:t>
      </w:r>
      <w:r w:rsidR="00B5237A" w:rsidRPr="00B5237A">
        <w:rPr>
          <w:rFonts w:ascii="Times New Roman" w:hAnsi="Times New Roman" w:cs="Times New Roman"/>
          <w:sz w:val="24"/>
          <w:szCs w:val="24"/>
          <w:shd w:val="clear" w:color="auto" w:fill="FFFFFF"/>
        </w:rPr>
        <w:t>By the 20</w:t>
      </w:r>
      <w:r w:rsidR="00F74FD7">
        <w:rPr>
          <w:rFonts w:ascii="Times New Roman" w:hAnsi="Times New Roman" w:cs="Times New Roman"/>
          <w:sz w:val="24"/>
          <w:szCs w:val="24"/>
          <w:shd w:val="clear" w:color="auto" w:fill="FFFFFF"/>
        </w:rPr>
        <w:t xml:space="preserve">13 EIS and 2023 </w:t>
      </w:r>
      <w:proofErr w:type="spellStart"/>
      <w:r w:rsidR="00BE3F82">
        <w:rPr>
          <w:rFonts w:ascii="Times New Roman" w:hAnsi="Times New Roman" w:cs="Times New Roman"/>
          <w:sz w:val="24"/>
          <w:szCs w:val="24"/>
          <w:shd w:val="clear" w:color="auto" w:fill="FFFFFF"/>
        </w:rPr>
        <w:t>d</w:t>
      </w:r>
      <w:r w:rsidR="00B5237A" w:rsidRPr="00B5237A">
        <w:rPr>
          <w:rFonts w:ascii="Times New Roman" w:hAnsi="Times New Roman" w:cs="Times New Roman"/>
          <w:sz w:val="24"/>
          <w:szCs w:val="24"/>
          <w:shd w:val="clear" w:color="auto" w:fill="FFFFFF"/>
        </w:rPr>
        <w:t>SEIS</w:t>
      </w:r>
      <w:proofErr w:type="spellEnd"/>
      <w:r w:rsidRPr="00B5237A">
        <w:rPr>
          <w:rFonts w:ascii="Times New Roman" w:hAnsi="Times New Roman" w:cs="Times New Roman"/>
          <w:sz w:val="24"/>
          <w:szCs w:val="24"/>
          <w:shd w:val="clear" w:color="auto" w:fill="FFFFFF"/>
        </w:rPr>
        <w:t xml:space="preserve"> </w:t>
      </w:r>
      <w:r w:rsidRPr="00B5237A">
        <w:rPr>
          <w:rStyle w:val="highlight"/>
          <w:rFonts w:ascii="Times New Roman" w:hAnsi="Times New Roman" w:cs="Times New Roman"/>
          <w:sz w:val="24"/>
          <w:szCs w:val="24"/>
          <w:shd w:val="clear" w:color="auto" w:fill="FFFFFF"/>
        </w:rPr>
        <w:t>herring</w:t>
      </w:r>
      <w:r w:rsidRPr="00B5237A">
        <w:rPr>
          <w:rFonts w:ascii="Times New Roman" w:hAnsi="Times New Roman" w:cs="Times New Roman"/>
          <w:sz w:val="24"/>
          <w:szCs w:val="24"/>
          <w:shd w:val="clear" w:color="auto" w:fill="FFFFFF"/>
        </w:rPr>
        <w:t xml:space="preserve"> </w:t>
      </w:r>
      <w:r w:rsidR="00B5237A" w:rsidRPr="00B5237A">
        <w:rPr>
          <w:rFonts w:ascii="Times New Roman" w:hAnsi="Times New Roman" w:cs="Times New Roman"/>
          <w:sz w:val="24"/>
          <w:szCs w:val="24"/>
          <w:shd w:val="clear" w:color="auto" w:fill="FFFFFF"/>
        </w:rPr>
        <w:t>“</w:t>
      </w:r>
      <w:r w:rsidRPr="00B5237A">
        <w:rPr>
          <w:rFonts w:ascii="Times New Roman" w:hAnsi="Times New Roman" w:cs="Times New Roman"/>
          <w:sz w:val="24"/>
          <w:szCs w:val="24"/>
          <w:shd w:val="clear" w:color="auto" w:fill="FFFFFF"/>
        </w:rPr>
        <w:t>had been reported spawning near</w:t>
      </w:r>
      <w:r w:rsidR="00B5237A">
        <w:rPr>
          <w:rFonts w:ascii="Times New Roman" w:hAnsi="Times New Roman" w:cs="Times New Roman"/>
          <w:sz w:val="24"/>
          <w:szCs w:val="24"/>
          <w:shd w:val="clear" w:color="auto" w:fill="FFFFFF"/>
        </w:rPr>
        <w:t xml:space="preserve"> </w:t>
      </w:r>
      <w:r w:rsidRPr="00B5237A">
        <w:rPr>
          <w:rFonts w:ascii="Times New Roman" w:hAnsi="Times New Roman" w:cs="Times New Roman"/>
          <w:sz w:val="24"/>
          <w:szCs w:val="24"/>
          <w:shd w:val="clear" w:color="auto" w:fill="FFFFFF"/>
        </w:rPr>
        <w:t>the inlet entrance</w:t>
      </w:r>
      <w:r w:rsidR="00B5237A" w:rsidRPr="00B5237A">
        <w:rPr>
          <w:rFonts w:ascii="Times New Roman" w:hAnsi="Times New Roman" w:cs="Times New Roman"/>
          <w:sz w:val="24"/>
          <w:szCs w:val="24"/>
          <w:shd w:val="clear" w:color="auto" w:fill="FFFFFF"/>
        </w:rPr>
        <w:t>. . .</w:t>
      </w:r>
      <w:r w:rsidR="004D3796">
        <w:rPr>
          <w:rFonts w:ascii="Times New Roman" w:hAnsi="Times New Roman" w:cs="Times New Roman"/>
          <w:sz w:val="24"/>
          <w:szCs w:val="24"/>
          <w:shd w:val="clear" w:color="auto" w:fill="FFFFFF"/>
        </w:rPr>
        <w:t>”.</w:t>
      </w:r>
      <w:r w:rsidRPr="00B5237A">
        <w:rPr>
          <w:rFonts w:ascii="Times New Roman" w:hAnsi="Times New Roman" w:cs="Times New Roman"/>
          <w:sz w:val="24"/>
          <w:szCs w:val="24"/>
          <w:shd w:val="clear" w:color="auto" w:fill="FFFFFF"/>
        </w:rPr>
        <w:t xml:space="preserve"> </w:t>
      </w:r>
      <w:r w:rsidRPr="00E800F0">
        <w:rPr>
          <w:rFonts w:ascii="Times New Roman" w:hAnsi="Times New Roman" w:cs="Times New Roman"/>
          <w:i/>
          <w:iCs/>
          <w:sz w:val="24"/>
          <w:szCs w:val="24"/>
          <w:shd w:val="clear" w:color="auto" w:fill="FFFFFF"/>
        </w:rPr>
        <w:t>See</w:t>
      </w:r>
      <w:r w:rsidR="00E800F0">
        <w:rPr>
          <w:rFonts w:ascii="Times New Roman" w:hAnsi="Times New Roman" w:cs="Times New Roman"/>
          <w:i/>
          <w:iCs/>
          <w:sz w:val="24"/>
          <w:szCs w:val="24"/>
          <w:shd w:val="clear" w:color="auto" w:fill="FFFFFF"/>
        </w:rPr>
        <w:t>,</w:t>
      </w:r>
      <w:r w:rsidRPr="00B5237A">
        <w:rPr>
          <w:rFonts w:ascii="Times New Roman" w:hAnsi="Times New Roman" w:cs="Times New Roman"/>
          <w:sz w:val="24"/>
          <w:szCs w:val="24"/>
          <w:shd w:val="clear" w:color="auto" w:fill="FFFFFF"/>
        </w:rPr>
        <w:t xml:space="preserve"> </w:t>
      </w:r>
      <w:r w:rsidR="00E800F0">
        <w:rPr>
          <w:rFonts w:ascii="Times New Roman" w:hAnsi="Times New Roman" w:cs="Times New Roman"/>
          <w:sz w:val="24"/>
          <w:szCs w:val="24"/>
          <w:shd w:val="clear" w:color="auto" w:fill="FFFFFF"/>
        </w:rPr>
        <w:t xml:space="preserve">2013 EIS at 3-90 and the 2023 </w:t>
      </w:r>
      <w:r w:rsidRPr="00B5237A">
        <w:rPr>
          <w:rFonts w:ascii="Times New Roman" w:hAnsi="Times New Roman" w:cs="Times New Roman"/>
          <w:sz w:val="24"/>
          <w:szCs w:val="24"/>
          <w:shd w:val="clear" w:color="auto" w:fill="FFFFFF"/>
        </w:rPr>
        <w:t>DSEIS at 3-117</w:t>
      </w:r>
      <w:r w:rsidR="00E800F0">
        <w:rPr>
          <w:rFonts w:ascii="Times New Roman" w:hAnsi="Times New Roman" w:cs="Times New Roman"/>
          <w:sz w:val="24"/>
          <w:szCs w:val="24"/>
          <w:shd w:val="clear" w:color="auto" w:fill="FFFFFF"/>
        </w:rPr>
        <w:t>.</w:t>
      </w:r>
      <w:r w:rsidR="00D27ADE">
        <w:rPr>
          <w:rFonts w:ascii="Times New Roman" w:hAnsi="Times New Roman" w:cs="Times New Roman"/>
          <w:sz w:val="24"/>
          <w:szCs w:val="24"/>
          <w:shd w:val="clear" w:color="auto" w:fill="FFFFFF"/>
        </w:rPr>
        <w:t xml:space="preserve"> This indicates that herring no longer spawn inside Hawk Inlet representing a loss of this critical component of the food chain.</w:t>
      </w:r>
    </w:p>
    <w:p w14:paraId="1B28A282" w14:textId="6385684E" w:rsidR="00E800F0" w:rsidRDefault="00D27ADE" w:rsidP="009A17AA">
      <w:pPr>
        <w:spacing w:line="276" w:lineRule="auto"/>
        <w:rPr>
          <w:rFonts w:ascii="Times New Roman" w:hAnsi="Times New Roman" w:cs="Times New Roman"/>
          <w:sz w:val="24"/>
          <w:szCs w:val="24"/>
        </w:rPr>
      </w:pPr>
      <w:r>
        <w:rPr>
          <w:rFonts w:ascii="Times New Roman" w:hAnsi="Times New Roman" w:cs="Times New Roman"/>
          <w:sz w:val="24"/>
          <w:szCs w:val="24"/>
          <w:shd w:val="clear" w:color="auto" w:fill="FFFFFF"/>
        </w:rPr>
        <w:t>The presence of e</w:t>
      </w:r>
      <w:r w:rsidR="00E800F0">
        <w:rPr>
          <w:rFonts w:ascii="Times New Roman" w:hAnsi="Times New Roman" w:cs="Times New Roman"/>
          <w:sz w:val="24"/>
          <w:szCs w:val="24"/>
          <w:shd w:val="clear" w:color="auto" w:fill="FFFFFF"/>
        </w:rPr>
        <w:t xml:space="preserve">agles </w:t>
      </w:r>
      <w:r>
        <w:rPr>
          <w:rFonts w:ascii="Times New Roman" w:hAnsi="Times New Roman" w:cs="Times New Roman"/>
          <w:sz w:val="24"/>
          <w:szCs w:val="24"/>
          <w:shd w:val="clear" w:color="auto" w:fill="FFFFFF"/>
        </w:rPr>
        <w:t xml:space="preserve">too seems to be declining. </w:t>
      </w:r>
      <w:r w:rsidR="00ED3BDF">
        <w:rPr>
          <w:rFonts w:ascii="Times New Roman" w:hAnsi="Times New Roman" w:cs="Times New Roman"/>
          <w:sz w:val="24"/>
          <w:szCs w:val="24"/>
          <w:shd w:val="clear" w:color="auto" w:fill="FFFFFF"/>
        </w:rPr>
        <w:t>The 1983 documents show 23 identified eagle nests in and around Hawk Inlet</w:t>
      </w:r>
      <w:r w:rsidR="00BE3F82">
        <w:rPr>
          <w:rFonts w:ascii="Times New Roman" w:hAnsi="Times New Roman" w:cs="Times New Roman"/>
          <w:sz w:val="24"/>
          <w:szCs w:val="24"/>
          <w:shd w:val="clear" w:color="auto" w:fill="FFFFFF"/>
        </w:rPr>
        <w:t>.  T</w:t>
      </w:r>
      <w:r w:rsidR="00ED3BDF">
        <w:rPr>
          <w:rFonts w:ascii="Times New Roman" w:hAnsi="Times New Roman" w:cs="Times New Roman"/>
          <w:sz w:val="24"/>
          <w:szCs w:val="24"/>
          <w:shd w:val="clear" w:color="auto" w:fill="FFFFFF"/>
        </w:rPr>
        <w:t xml:space="preserve">he documents give no indication if they are occupied or unoccupied.  </w:t>
      </w:r>
      <w:r w:rsidR="00ED3BDF" w:rsidRPr="00ED3BDF">
        <w:rPr>
          <w:rFonts w:ascii="Times New Roman" w:hAnsi="Times New Roman" w:cs="Times New Roman"/>
          <w:i/>
          <w:iCs/>
          <w:sz w:val="24"/>
          <w:szCs w:val="24"/>
          <w:shd w:val="clear" w:color="auto" w:fill="FFFFFF"/>
        </w:rPr>
        <w:t>See</w:t>
      </w:r>
      <w:r w:rsidR="00ED3BDF">
        <w:rPr>
          <w:rFonts w:ascii="Times New Roman" w:hAnsi="Times New Roman" w:cs="Times New Roman"/>
          <w:i/>
          <w:iCs/>
          <w:sz w:val="24"/>
          <w:szCs w:val="24"/>
          <w:shd w:val="clear" w:color="auto" w:fill="FFFFFF"/>
        </w:rPr>
        <w:t>,</w:t>
      </w:r>
      <w:r w:rsidR="00ED3BDF" w:rsidRPr="00ED3BDF">
        <w:rPr>
          <w:rFonts w:ascii="Times New Roman" w:hAnsi="Times New Roman" w:cs="Times New Roman"/>
          <w:i/>
          <w:iCs/>
          <w:sz w:val="24"/>
          <w:szCs w:val="24"/>
          <w:shd w:val="clear" w:color="auto" w:fill="FFFFFF"/>
        </w:rPr>
        <w:t xml:space="preserve"> </w:t>
      </w:r>
      <w:r w:rsidR="00ED3BDF">
        <w:rPr>
          <w:rFonts w:ascii="Times New Roman" w:hAnsi="Times New Roman" w:cs="Times New Roman"/>
          <w:sz w:val="24"/>
          <w:szCs w:val="24"/>
          <w:shd w:val="clear" w:color="auto" w:fill="FFFFFF"/>
        </w:rPr>
        <w:t>1983 EIS Figure 3-4 at 3-19.</w:t>
      </w:r>
      <w:r w:rsidR="004A208F">
        <w:rPr>
          <w:rFonts w:ascii="Times New Roman" w:hAnsi="Times New Roman" w:cs="Times New Roman"/>
          <w:sz w:val="24"/>
          <w:szCs w:val="24"/>
          <w:shd w:val="clear" w:color="auto" w:fill="FFFFFF"/>
        </w:rPr>
        <w:t xml:space="preserve"> The 2003 EIS has roughly the same map</w:t>
      </w:r>
      <w:r w:rsidR="004A208F" w:rsidRPr="004D3796">
        <w:rPr>
          <w:rFonts w:ascii="Times New Roman" w:hAnsi="Times New Roman" w:cs="Times New Roman"/>
          <w:i/>
          <w:iCs/>
          <w:sz w:val="24"/>
          <w:szCs w:val="24"/>
          <w:shd w:val="clear" w:color="auto" w:fill="FFFFFF"/>
        </w:rPr>
        <w:t>.  See</w:t>
      </w:r>
      <w:r w:rsidR="004A208F">
        <w:rPr>
          <w:rFonts w:ascii="Times New Roman" w:hAnsi="Times New Roman" w:cs="Times New Roman"/>
          <w:sz w:val="24"/>
          <w:szCs w:val="24"/>
          <w:shd w:val="clear" w:color="auto" w:fill="FFFFFF"/>
        </w:rPr>
        <w:t>, 2003</w:t>
      </w:r>
      <w:r w:rsidR="004D3796">
        <w:rPr>
          <w:rFonts w:ascii="Times New Roman" w:hAnsi="Times New Roman" w:cs="Times New Roman"/>
          <w:sz w:val="24"/>
          <w:szCs w:val="24"/>
          <w:shd w:val="clear" w:color="auto" w:fill="FFFFFF"/>
        </w:rPr>
        <w:t xml:space="preserve"> </w:t>
      </w:r>
      <w:r w:rsidR="004A208F">
        <w:rPr>
          <w:rFonts w:ascii="Times New Roman" w:hAnsi="Times New Roman" w:cs="Times New Roman"/>
          <w:sz w:val="24"/>
          <w:szCs w:val="24"/>
          <w:shd w:val="clear" w:color="auto" w:fill="FFFFFF"/>
        </w:rPr>
        <w:t>EIS figure 3-26 at 3-</w:t>
      </w:r>
      <w:r w:rsidR="004A208F">
        <w:rPr>
          <w:rFonts w:ascii="Times New Roman" w:hAnsi="Times New Roman" w:cs="Times New Roman"/>
          <w:sz w:val="24"/>
          <w:szCs w:val="24"/>
          <w:shd w:val="clear" w:color="auto" w:fill="FFFFFF"/>
        </w:rPr>
        <w:lastRenderedPageBreak/>
        <w:t>77</w:t>
      </w:r>
      <w:r>
        <w:rPr>
          <w:rFonts w:ascii="Times New Roman" w:hAnsi="Times New Roman" w:cs="Times New Roman"/>
          <w:sz w:val="24"/>
          <w:szCs w:val="24"/>
          <w:shd w:val="clear" w:color="auto" w:fill="FFFFFF"/>
        </w:rPr>
        <w:t xml:space="preserve">. </w:t>
      </w:r>
      <w:r w:rsidR="004D3796" w:rsidRPr="004D3796">
        <w:rPr>
          <w:rFonts w:ascii="Times New Roman" w:hAnsi="Times New Roman" w:cs="Times New Roman"/>
          <w:sz w:val="24"/>
          <w:szCs w:val="24"/>
        </w:rPr>
        <w:t xml:space="preserve">In 2019, an aerial survey for eagle nests located 16 nests, of which </w:t>
      </w:r>
      <w:r>
        <w:rPr>
          <w:rFonts w:ascii="Times New Roman" w:hAnsi="Times New Roman" w:cs="Times New Roman"/>
          <w:sz w:val="24"/>
          <w:szCs w:val="24"/>
        </w:rPr>
        <w:t xml:space="preserve">only </w:t>
      </w:r>
      <w:r w:rsidR="004D3796" w:rsidRPr="004D3796">
        <w:rPr>
          <w:rFonts w:ascii="Times New Roman" w:hAnsi="Times New Roman" w:cs="Times New Roman"/>
          <w:sz w:val="24"/>
          <w:szCs w:val="24"/>
        </w:rPr>
        <w:t>six were occupied by bald eagles. See, 2023 DSEIS at 3-205</w:t>
      </w:r>
      <w:r w:rsidR="004D3796">
        <w:rPr>
          <w:rFonts w:ascii="Times New Roman" w:hAnsi="Times New Roman" w:cs="Times New Roman"/>
          <w:sz w:val="24"/>
          <w:szCs w:val="24"/>
        </w:rPr>
        <w:t>.</w:t>
      </w:r>
    </w:p>
    <w:p w14:paraId="762D96E3" w14:textId="287049C8" w:rsidR="0012005C" w:rsidRPr="00BE3F82" w:rsidRDefault="004D3796" w:rsidP="009A17AA">
      <w:pPr>
        <w:spacing w:line="276" w:lineRule="auto"/>
        <w:rPr>
          <w:rFonts w:ascii="Times New Roman" w:hAnsi="Times New Roman" w:cs="Times New Roman"/>
          <w:sz w:val="24"/>
          <w:szCs w:val="24"/>
        </w:rPr>
      </w:pPr>
      <w:r>
        <w:rPr>
          <w:rFonts w:ascii="Times New Roman" w:hAnsi="Times New Roman" w:cs="Times New Roman"/>
          <w:sz w:val="24"/>
          <w:szCs w:val="24"/>
        </w:rPr>
        <w:t>It remains to be seen if these changes to populations of eagles and herring are due to natural va</w:t>
      </w:r>
      <w:r w:rsidR="00CB6D21">
        <w:rPr>
          <w:rFonts w:ascii="Times New Roman" w:hAnsi="Times New Roman" w:cs="Times New Roman"/>
          <w:sz w:val="24"/>
          <w:szCs w:val="24"/>
        </w:rPr>
        <w:t xml:space="preserve">riation or the effects of the Greens Creek Mine or what other </w:t>
      </w:r>
      <w:r w:rsidR="0012005C">
        <w:rPr>
          <w:rFonts w:ascii="Times New Roman" w:hAnsi="Times New Roman" w:cs="Times New Roman"/>
          <w:sz w:val="24"/>
          <w:szCs w:val="24"/>
        </w:rPr>
        <w:t>species may be affected after</w:t>
      </w:r>
      <w:r w:rsidR="00CB6D21">
        <w:rPr>
          <w:rFonts w:ascii="Times New Roman" w:hAnsi="Times New Roman" w:cs="Times New Roman"/>
          <w:sz w:val="24"/>
          <w:szCs w:val="24"/>
        </w:rPr>
        <w:t xml:space="preserve"> a thorough examination of the available data</w:t>
      </w:r>
      <w:r w:rsidR="0012005C">
        <w:rPr>
          <w:rFonts w:ascii="Times New Roman" w:hAnsi="Times New Roman" w:cs="Times New Roman"/>
          <w:sz w:val="24"/>
          <w:szCs w:val="24"/>
        </w:rPr>
        <w:t>. The</w:t>
      </w:r>
      <w:r w:rsidR="00FF0E19">
        <w:rPr>
          <w:rFonts w:ascii="Times New Roman" w:hAnsi="Times New Roman" w:cs="Times New Roman"/>
          <w:sz w:val="24"/>
          <w:szCs w:val="24"/>
        </w:rPr>
        <w:t>2023</w:t>
      </w:r>
      <w:r w:rsidR="0012005C">
        <w:rPr>
          <w:rFonts w:ascii="Times New Roman" w:hAnsi="Times New Roman" w:cs="Times New Roman"/>
          <w:sz w:val="24"/>
          <w:szCs w:val="24"/>
        </w:rPr>
        <w:t xml:space="preserve"> sDEI</w:t>
      </w:r>
      <w:proofErr w:type="spellStart"/>
      <w:r w:rsidR="0012005C">
        <w:rPr>
          <w:rFonts w:ascii="Times New Roman" w:hAnsi="Times New Roman" w:cs="Times New Roman"/>
          <w:sz w:val="24"/>
          <w:szCs w:val="24"/>
        </w:rPr>
        <w:t>S</w:t>
      </w:r>
      <w:proofErr w:type="spellEnd"/>
      <w:r w:rsidR="0012005C">
        <w:rPr>
          <w:rFonts w:ascii="Times New Roman" w:hAnsi="Times New Roman" w:cs="Times New Roman"/>
          <w:sz w:val="24"/>
          <w:szCs w:val="24"/>
        </w:rPr>
        <w:t xml:space="preserve"> is incomplete </w:t>
      </w:r>
      <w:r w:rsidR="0012005C" w:rsidRPr="00BE3F82">
        <w:rPr>
          <w:rFonts w:ascii="Times New Roman" w:hAnsi="Times New Roman" w:cs="Times New Roman"/>
          <w:sz w:val="24"/>
          <w:szCs w:val="24"/>
        </w:rPr>
        <w:t xml:space="preserve">without </w:t>
      </w:r>
      <w:r w:rsidR="00BE3F82" w:rsidRPr="00BE3F82">
        <w:rPr>
          <w:rFonts w:ascii="Times New Roman" w:hAnsi="Times New Roman" w:cs="Times New Roman"/>
          <w:sz w:val="24"/>
          <w:szCs w:val="24"/>
        </w:rPr>
        <w:t xml:space="preserve">such an examination of the </w:t>
      </w:r>
      <w:r w:rsidR="00FF0E19">
        <w:rPr>
          <w:rFonts w:ascii="Times New Roman" w:hAnsi="Times New Roman" w:cs="Times New Roman"/>
          <w:sz w:val="24"/>
          <w:szCs w:val="24"/>
        </w:rPr>
        <w:t xml:space="preserve">existing </w:t>
      </w:r>
      <w:r w:rsidR="00BE3F82" w:rsidRPr="00BE3F82">
        <w:rPr>
          <w:rFonts w:ascii="Times New Roman" w:hAnsi="Times New Roman" w:cs="Times New Roman"/>
          <w:sz w:val="24"/>
          <w:szCs w:val="24"/>
        </w:rPr>
        <w:t>record</w:t>
      </w:r>
      <w:r w:rsidR="0012005C" w:rsidRPr="00BE3F82">
        <w:rPr>
          <w:rFonts w:ascii="Times New Roman" w:hAnsi="Times New Roman" w:cs="Times New Roman"/>
          <w:sz w:val="24"/>
          <w:szCs w:val="24"/>
        </w:rPr>
        <w:t xml:space="preserve">. </w:t>
      </w:r>
      <w:r w:rsidR="00D27ADE" w:rsidRPr="00BE3F82">
        <w:rPr>
          <w:rFonts w:ascii="Times New Roman" w:hAnsi="Times New Roman" w:cs="Times New Roman"/>
          <w:sz w:val="24"/>
          <w:szCs w:val="24"/>
        </w:rPr>
        <w:t xml:space="preserve"> </w:t>
      </w:r>
    </w:p>
    <w:p w14:paraId="23043DF4" w14:textId="62430B59" w:rsidR="00CB6D21" w:rsidRDefault="0012005C" w:rsidP="009A17AA">
      <w:pPr>
        <w:spacing w:line="276" w:lineRule="auto"/>
        <w:rPr>
          <w:rFonts w:ascii="Times New Roman" w:hAnsi="Times New Roman" w:cs="Times New Roman"/>
          <w:sz w:val="24"/>
          <w:szCs w:val="24"/>
        </w:rPr>
      </w:pPr>
      <w:r>
        <w:rPr>
          <w:rFonts w:ascii="Times New Roman" w:hAnsi="Times New Roman" w:cs="Times New Roman"/>
          <w:sz w:val="24"/>
          <w:szCs w:val="24"/>
        </w:rPr>
        <w:t>Adding to the lack of direct measurements is the Forest Service’s deference to the State of Alaska for everything water and solid waste (fugitive dust). The state takes a much narrower view of ecological protection as they authorize permits to discharge waste water and dump solid waste into public water</w:t>
      </w:r>
      <w:r w:rsidR="00FF0E19">
        <w:rPr>
          <w:rFonts w:ascii="Times New Roman" w:hAnsi="Times New Roman" w:cs="Times New Roman"/>
          <w:sz w:val="24"/>
          <w:szCs w:val="24"/>
        </w:rPr>
        <w:t>s</w:t>
      </w:r>
      <w:r>
        <w:rPr>
          <w:rFonts w:ascii="Times New Roman" w:hAnsi="Times New Roman" w:cs="Times New Roman"/>
          <w:sz w:val="24"/>
          <w:szCs w:val="24"/>
        </w:rPr>
        <w:t xml:space="preserve"> and land. </w:t>
      </w:r>
      <w:r w:rsidR="00BE3F82">
        <w:rPr>
          <w:rFonts w:ascii="Times New Roman" w:hAnsi="Times New Roman" w:cs="Times New Roman"/>
          <w:sz w:val="24"/>
          <w:szCs w:val="24"/>
        </w:rPr>
        <w:t xml:space="preserve">Both State permit require some form of monitoring.  These </w:t>
      </w:r>
      <w:r w:rsidR="00FF0E19">
        <w:rPr>
          <w:rFonts w:ascii="Times New Roman" w:hAnsi="Times New Roman" w:cs="Times New Roman"/>
          <w:sz w:val="24"/>
          <w:szCs w:val="24"/>
        </w:rPr>
        <w:t xml:space="preserve">monitoring </w:t>
      </w:r>
      <w:r w:rsidR="00BE3F82">
        <w:rPr>
          <w:rFonts w:ascii="Times New Roman" w:hAnsi="Times New Roman" w:cs="Times New Roman"/>
          <w:sz w:val="24"/>
          <w:szCs w:val="24"/>
        </w:rPr>
        <w:t xml:space="preserve">reports also indicate degradation of the Admiralty Island ecosystem. </w:t>
      </w:r>
    </w:p>
    <w:p w14:paraId="7FD664E3" w14:textId="61C97056" w:rsidR="000435F5" w:rsidRDefault="000435F5" w:rsidP="009A17AA">
      <w:pPr>
        <w:spacing w:line="276" w:lineRule="auto"/>
        <w:rPr>
          <w:rFonts w:ascii="Times New Roman" w:hAnsi="Times New Roman" w:cs="Times New Roman"/>
          <w:sz w:val="24"/>
          <w:szCs w:val="24"/>
        </w:rPr>
      </w:pPr>
      <w:r w:rsidRPr="000D613A">
        <w:rPr>
          <w:rFonts w:ascii="Times New Roman" w:hAnsi="Times New Roman" w:cs="Times New Roman"/>
          <w:sz w:val="24"/>
          <w:szCs w:val="24"/>
        </w:rPr>
        <w:t>Over the lifetime of the mine</w:t>
      </w:r>
      <w:r w:rsidR="00FF0E19">
        <w:rPr>
          <w:rFonts w:ascii="Times New Roman" w:hAnsi="Times New Roman" w:cs="Times New Roman"/>
          <w:sz w:val="24"/>
          <w:szCs w:val="24"/>
        </w:rPr>
        <w:t>,</w:t>
      </w:r>
      <w:r w:rsidRPr="000D613A">
        <w:rPr>
          <w:rFonts w:ascii="Times New Roman" w:hAnsi="Times New Roman" w:cs="Times New Roman"/>
          <w:sz w:val="24"/>
          <w:szCs w:val="24"/>
        </w:rPr>
        <w:t xml:space="preserve"> monitoring indicates that populations of organisms have declined. As pointed out elsewhere, i</w:t>
      </w:r>
      <w:r w:rsidR="00C57BED" w:rsidRPr="000D613A">
        <w:rPr>
          <w:rFonts w:ascii="Times New Roman" w:hAnsi="Times New Roman" w:cs="Times New Roman"/>
          <w:sz w:val="24"/>
          <w:szCs w:val="24"/>
        </w:rPr>
        <w:t>n anticipation of the Greens Creek Mine development, government agencies, scientists and biological consultants carried out surveys of marine life</w:t>
      </w:r>
      <w:r w:rsidRPr="000D613A">
        <w:rPr>
          <w:rFonts w:ascii="Times New Roman" w:hAnsi="Times New Roman" w:cs="Times New Roman"/>
          <w:sz w:val="24"/>
          <w:szCs w:val="24"/>
        </w:rPr>
        <w:t xml:space="preserve"> population and species diversity</w:t>
      </w:r>
      <w:r w:rsidR="00C57BED" w:rsidRPr="000D613A">
        <w:rPr>
          <w:rFonts w:ascii="Times New Roman" w:hAnsi="Times New Roman" w:cs="Times New Roman"/>
          <w:sz w:val="24"/>
          <w:szCs w:val="24"/>
        </w:rPr>
        <w:t xml:space="preserve"> baseline studies </w:t>
      </w:r>
      <w:r w:rsidRPr="000D613A">
        <w:rPr>
          <w:rFonts w:ascii="Times New Roman" w:hAnsi="Times New Roman" w:cs="Times New Roman"/>
          <w:sz w:val="24"/>
          <w:szCs w:val="24"/>
        </w:rPr>
        <w:t xml:space="preserve">and levels of </w:t>
      </w:r>
      <w:r w:rsidR="00C57BED" w:rsidRPr="000D613A">
        <w:rPr>
          <w:rFonts w:ascii="Times New Roman" w:hAnsi="Times New Roman" w:cs="Times New Roman"/>
          <w:sz w:val="24"/>
          <w:szCs w:val="24"/>
        </w:rPr>
        <w:t xml:space="preserve">heavy metals in the environment beginning in the early 1980s. </w:t>
      </w:r>
      <w:r w:rsidRPr="000D613A">
        <w:rPr>
          <w:rFonts w:ascii="Times New Roman" w:hAnsi="Times New Roman" w:cs="Times New Roman"/>
          <w:sz w:val="24"/>
          <w:szCs w:val="24"/>
        </w:rPr>
        <w:t>Since that time, no examination of the population and diversity of Hawk Inlet benthic has occurred</w:t>
      </w:r>
      <w:r w:rsidR="00FF0E19">
        <w:rPr>
          <w:rFonts w:ascii="Times New Roman" w:hAnsi="Times New Roman" w:cs="Times New Roman"/>
          <w:sz w:val="24"/>
          <w:szCs w:val="24"/>
        </w:rPr>
        <w:t>.</w:t>
      </w:r>
    </w:p>
    <w:p w14:paraId="0A9C9C0A" w14:textId="2E58F202" w:rsidR="000D613A" w:rsidRDefault="000D613A" w:rsidP="009A17AA">
      <w:pPr>
        <w:spacing w:line="276" w:lineRule="auto"/>
      </w:pPr>
      <w:r w:rsidRPr="000D613A">
        <w:rPr>
          <w:rFonts w:ascii="Times New Roman" w:hAnsi="Times New Roman" w:cs="Times New Roman"/>
          <w:sz w:val="24"/>
          <w:szCs w:val="24"/>
        </w:rPr>
        <w:t xml:space="preserve">The </w:t>
      </w:r>
      <w:r w:rsidR="00FF0E19">
        <w:rPr>
          <w:rFonts w:ascii="Times New Roman" w:hAnsi="Times New Roman" w:cs="Times New Roman"/>
          <w:sz w:val="24"/>
          <w:szCs w:val="24"/>
        </w:rPr>
        <w:t xml:space="preserve">current monitoring </w:t>
      </w:r>
      <w:r w:rsidRPr="000D613A">
        <w:rPr>
          <w:rFonts w:ascii="Times New Roman" w:hAnsi="Times New Roman" w:cs="Times New Roman"/>
          <w:sz w:val="24"/>
          <w:szCs w:val="24"/>
        </w:rPr>
        <w:t>program collect</w:t>
      </w:r>
      <w:r w:rsidR="00FF0E19">
        <w:rPr>
          <w:rFonts w:ascii="Times New Roman" w:hAnsi="Times New Roman" w:cs="Times New Roman"/>
          <w:sz w:val="24"/>
          <w:szCs w:val="24"/>
        </w:rPr>
        <w:t>s</w:t>
      </w:r>
      <w:r w:rsidRPr="000D613A">
        <w:rPr>
          <w:rFonts w:ascii="Times New Roman" w:hAnsi="Times New Roman" w:cs="Times New Roman"/>
          <w:sz w:val="24"/>
          <w:szCs w:val="24"/>
        </w:rPr>
        <w:t xml:space="preserve"> tissue </w:t>
      </w:r>
      <w:r w:rsidR="00C57BED" w:rsidRPr="000D613A">
        <w:rPr>
          <w:rFonts w:ascii="Times New Roman" w:hAnsi="Times New Roman" w:cs="Times New Roman"/>
          <w:sz w:val="24"/>
          <w:szCs w:val="24"/>
        </w:rPr>
        <w:t xml:space="preserve">samples of sediment dwelling </w:t>
      </w:r>
      <w:proofErr w:type="spellStart"/>
      <w:r w:rsidR="00C57BED" w:rsidRPr="000D613A">
        <w:rPr>
          <w:rFonts w:ascii="Times New Roman" w:hAnsi="Times New Roman" w:cs="Times New Roman"/>
          <w:sz w:val="24"/>
          <w:szCs w:val="24"/>
        </w:rPr>
        <w:t>polychaete</w:t>
      </w:r>
      <w:proofErr w:type="spellEnd"/>
      <w:r w:rsidR="00C57BED" w:rsidRPr="000D613A">
        <w:rPr>
          <w:rFonts w:ascii="Times New Roman" w:hAnsi="Times New Roman" w:cs="Times New Roman"/>
          <w:sz w:val="24"/>
          <w:szCs w:val="24"/>
        </w:rPr>
        <w:t xml:space="preserve"> worms (</w:t>
      </w:r>
      <w:proofErr w:type="spellStart"/>
      <w:r w:rsidR="00C57BED" w:rsidRPr="000D613A">
        <w:rPr>
          <w:rFonts w:ascii="Times New Roman" w:hAnsi="Times New Roman" w:cs="Times New Roman"/>
          <w:i/>
          <w:iCs/>
          <w:sz w:val="24"/>
          <w:szCs w:val="24"/>
        </w:rPr>
        <w:t>Nephtys</w:t>
      </w:r>
      <w:proofErr w:type="spellEnd"/>
      <w:r w:rsidR="00C57BED" w:rsidRPr="000D613A">
        <w:rPr>
          <w:rFonts w:ascii="Times New Roman" w:hAnsi="Times New Roman" w:cs="Times New Roman"/>
          <w:i/>
          <w:iCs/>
          <w:sz w:val="24"/>
          <w:szCs w:val="24"/>
        </w:rPr>
        <w:t xml:space="preserve"> </w:t>
      </w:r>
      <w:proofErr w:type="spellStart"/>
      <w:r w:rsidR="00C57BED" w:rsidRPr="000D613A">
        <w:rPr>
          <w:rFonts w:ascii="Times New Roman" w:hAnsi="Times New Roman" w:cs="Times New Roman"/>
          <w:i/>
          <w:iCs/>
          <w:sz w:val="24"/>
          <w:szCs w:val="24"/>
        </w:rPr>
        <w:t>procera</w:t>
      </w:r>
      <w:proofErr w:type="spellEnd"/>
      <w:r w:rsidR="00C57BED" w:rsidRPr="000D613A">
        <w:rPr>
          <w:rFonts w:ascii="Times New Roman" w:hAnsi="Times New Roman" w:cs="Times New Roman"/>
          <w:sz w:val="24"/>
          <w:szCs w:val="24"/>
        </w:rPr>
        <w:t xml:space="preserve">), and </w:t>
      </w:r>
      <w:r w:rsidR="00C57BED" w:rsidRPr="000D613A">
        <w:rPr>
          <w:rFonts w:ascii="Times New Roman" w:hAnsi="Times New Roman" w:cs="Times New Roman"/>
          <w:i/>
          <w:iCs/>
          <w:sz w:val="24"/>
          <w:szCs w:val="24"/>
        </w:rPr>
        <w:t>when available</w:t>
      </w:r>
      <w:r w:rsidR="00C57BED" w:rsidRPr="000D613A">
        <w:rPr>
          <w:rFonts w:ascii="Times New Roman" w:hAnsi="Times New Roman" w:cs="Times New Roman"/>
          <w:sz w:val="24"/>
          <w:szCs w:val="24"/>
        </w:rPr>
        <w:t xml:space="preserve"> Cockles and Littleneck Clams</w:t>
      </w:r>
      <w:r w:rsidRPr="000D613A">
        <w:rPr>
          <w:rFonts w:ascii="Times New Roman" w:hAnsi="Times New Roman" w:cs="Times New Roman"/>
          <w:sz w:val="24"/>
          <w:szCs w:val="24"/>
        </w:rPr>
        <w:t>.</w:t>
      </w:r>
      <w:r w:rsidR="008E6916" w:rsidRPr="000D613A">
        <w:rPr>
          <w:rFonts w:ascii="Times New Roman" w:hAnsi="Times New Roman" w:cs="Times New Roman"/>
          <w:sz w:val="24"/>
          <w:szCs w:val="24"/>
        </w:rPr>
        <w:t xml:space="preserve">  To measure precision </w:t>
      </w:r>
      <w:r w:rsidRPr="000D613A">
        <w:rPr>
          <w:rFonts w:ascii="Times New Roman" w:hAnsi="Times New Roman" w:cs="Times New Roman"/>
          <w:sz w:val="24"/>
          <w:szCs w:val="24"/>
        </w:rPr>
        <w:t>and to check for analytical inter</w:t>
      </w:r>
      <w:r w:rsidR="0012005C">
        <w:rPr>
          <w:rFonts w:ascii="Times New Roman" w:hAnsi="Times New Roman" w:cs="Times New Roman"/>
          <w:sz w:val="24"/>
          <w:szCs w:val="24"/>
        </w:rPr>
        <w:t>f</w:t>
      </w:r>
      <w:r w:rsidRPr="000D613A">
        <w:rPr>
          <w:rFonts w:ascii="Times New Roman" w:hAnsi="Times New Roman" w:cs="Times New Roman"/>
          <w:sz w:val="24"/>
          <w:szCs w:val="24"/>
        </w:rPr>
        <w:t>erences</w:t>
      </w:r>
      <w:r w:rsidR="0012005C">
        <w:rPr>
          <w:rFonts w:ascii="Times New Roman" w:hAnsi="Times New Roman" w:cs="Times New Roman"/>
          <w:sz w:val="24"/>
          <w:szCs w:val="24"/>
        </w:rPr>
        <w:t>,</w:t>
      </w:r>
      <w:r w:rsidRPr="000D613A">
        <w:rPr>
          <w:rFonts w:ascii="Times New Roman" w:hAnsi="Times New Roman" w:cs="Times New Roman"/>
          <w:sz w:val="24"/>
          <w:szCs w:val="24"/>
        </w:rPr>
        <w:t xml:space="preserve"> additional samples were collected for </w:t>
      </w:r>
      <w:r w:rsidR="008E6916" w:rsidRPr="000D613A">
        <w:rPr>
          <w:rFonts w:ascii="Times New Roman" w:hAnsi="Times New Roman" w:cs="Times New Roman"/>
          <w:sz w:val="24"/>
          <w:szCs w:val="24"/>
        </w:rPr>
        <w:t>duplicate</w:t>
      </w:r>
      <w:r w:rsidRPr="000D613A">
        <w:rPr>
          <w:rFonts w:ascii="Times New Roman" w:hAnsi="Times New Roman" w:cs="Times New Roman"/>
          <w:sz w:val="24"/>
          <w:szCs w:val="24"/>
        </w:rPr>
        <w:t xml:space="preserve"> and spike duplicate analysis. </w:t>
      </w:r>
      <w:r w:rsidRPr="0012005C">
        <w:rPr>
          <w:rFonts w:ascii="Times New Roman" w:hAnsi="Times New Roman" w:cs="Times New Roman"/>
          <w:i/>
          <w:iCs/>
          <w:sz w:val="24"/>
          <w:szCs w:val="24"/>
        </w:rPr>
        <w:t xml:space="preserve">See </w:t>
      </w:r>
      <w:r w:rsidRPr="000D613A">
        <w:rPr>
          <w:rFonts w:ascii="Times New Roman" w:hAnsi="Times New Roman" w:cs="Times New Roman"/>
          <w:sz w:val="24"/>
          <w:szCs w:val="24"/>
        </w:rPr>
        <w:t>2006 Hawk Inlet monitoring Report (HIMR) at 4.0</w:t>
      </w:r>
      <w:r w:rsidR="000C354D">
        <w:rPr>
          <w:rFonts w:ascii="Times New Roman" w:hAnsi="Times New Roman" w:cs="Times New Roman"/>
          <w:sz w:val="24"/>
          <w:szCs w:val="24"/>
        </w:rPr>
        <w:t xml:space="preserve"> (italics added)</w:t>
      </w:r>
      <w:r w:rsidRPr="000D613A">
        <w:rPr>
          <w:rFonts w:ascii="Times New Roman" w:hAnsi="Times New Roman" w:cs="Times New Roman"/>
          <w:sz w:val="24"/>
          <w:szCs w:val="24"/>
        </w:rPr>
        <w:t>.</w:t>
      </w:r>
      <w:r>
        <w:rPr>
          <w:rStyle w:val="FootnoteReference"/>
        </w:rPr>
        <w:footnoteReference w:id="5"/>
      </w:r>
      <w:r>
        <w:t xml:space="preserve">  </w:t>
      </w:r>
    </w:p>
    <w:p w14:paraId="3EB5B556" w14:textId="114BECC9" w:rsidR="0012005C" w:rsidRPr="0012005C" w:rsidRDefault="0012005C" w:rsidP="009A17AA">
      <w:pPr>
        <w:spacing w:line="276" w:lineRule="auto"/>
        <w:rPr>
          <w:rFonts w:ascii="Times New Roman" w:hAnsi="Times New Roman" w:cs="Times New Roman"/>
          <w:sz w:val="24"/>
          <w:szCs w:val="24"/>
        </w:rPr>
      </w:pPr>
      <w:r w:rsidRPr="0012005C">
        <w:rPr>
          <w:rFonts w:ascii="Times New Roman" w:hAnsi="Times New Roman" w:cs="Times New Roman"/>
          <w:sz w:val="24"/>
          <w:szCs w:val="24"/>
        </w:rPr>
        <w:t xml:space="preserve">The baseline population </w:t>
      </w:r>
      <w:r w:rsidR="00FF0E19">
        <w:rPr>
          <w:rFonts w:ascii="Times New Roman" w:hAnsi="Times New Roman" w:cs="Times New Roman"/>
          <w:sz w:val="24"/>
          <w:szCs w:val="24"/>
        </w:rPr>
        <w:t xml:space="preserve">as documented </w:t>
      </w:r>
      <w:r w:rsidR="000C354D">
        <w:rPr>
          <w:rFonts w:ascii="Times New Roman" w:hAnsi="Times New Roman" w:cs="Times New Roman"/>
          <w:sz w:val="24"/>
          <w:szCs w:val="24"/>
        </w:rPr>
        <w:t xml:space="preserve">in the 1981 report estimates the population of </w:t>
      </w:r>
      <w:r w:rsidRPr="0012005C">
        <w:rPr>
          <w:rFonts w:ascii="Times New Roman" w:hAnsi="Times New Roman" w:cs="Times New Roman"/>
          <w:sz w:val="24"/>
          <w:szCs w:val="24"/>
        </w:rPr>
        <w:t>Littleneck clams (</w:t>
      </w:r>
      <w:proofErr w:type="spellStart"/>
      <w:r w:rsidRPr="000C354D">
        <w:rPr>
          <w:rFonts w:ascii="Times New Roman" w:hAnsi="Times New Roman" w:cs="Times New Roman"/>
          <w:i/>
          <w:iCs/>
          <w:sz w:val="24"/>
          <w:szCs w:val="24"/>
        </w:rPr>
        <w:t>Protothaca</w:t>
      </w:r>
      <w:proofErr w:type="spellEnd"/>
      <w:r w:rsidRPr="000C354D">
        <w:rPr>
          <w:rFonts w:ascii="Times New Roman" w:hAnsi="Times New Roman" w:cs="Times New Roman"/>
          <w:i/>
          <w:iCs/>
          <w:sz w:val="24"/>
          <w:szCs w:val="24"/>
        </w:rPr>
        <w:t xml:space="preserve"> </w:t>
      </w:r>
      <w:proofErr w:type="spellStart"/>
      <w:r w:rsidRPr="000C354D">
        <w:rPr>
          <w:rFonts w:ascii="Times New Roman" w:hAnsi="Times New Roman" w:cs="Times New Roman"/>
          <w:i/>
          <w:iCs/>
          <w:sz w:val="24"/>
          <w:szCs w:val="24"/>
        </w:rPr>
        <w:t>steaminia</w:t>
      </w:r>
      <w:proofErr w:type="spellEnd"/>
      <w:r w:rsidRPr="0012005C">
        <w:rPr>
          <w:rFonts w:ascii="Times New Roman" w:hAnsi="Times New Roman" w:cs="Times New Roman"/>
          <w:sz w:val="24"/>
          <w:szCs w:val="24"/>
        </w:rPr>
        <w:t xml:space="preserve">) at the Greens </w:t>
      </w:r>
      <w:r>
        <w:rPr>
          <w:rFonts w:ascii="Times New Roman" w:hAnsi="Times New Roman" w:cs="Times New Roman"/>
          <w:sz w:val="24"/>
          <w:szCs w:val="24"/>
        </w:rPr>
        <w:t>C</w:t>
      </w:r>
      <w:r w:rsidRPr="0012005C">
        <w:rPr>
          <w:rFonts w:ascii="Times New Roman" w:hAnsi="Times New Roman" w:cs="Times New Roman"/>
          <w:sz w:val="24"/>
          <w:szCs w:val="24"/>
        </w:rPr>
        <w:t xml:space="preserve">reek Delta </w:t>
      </w:r>
      <w:r w:rsidR="000C354D">
        <w:rPr>
          <w:rFonts w:ascii="Times New Roman" w:hAnsi="Times New Roman" w:cs="Times New Roman"/>
          <w:sz w:val="24"/>
          <w:szCs w:val="24"/>
        </w:rPr>
        <w:t>at</w:t>
      </w:r>
      <w:r w:rsidRPr="0012005C">
        <w:rPr>
          <w:rFonts w:ascii="Times New Roman" w:hAnsi="Times New Roman" w:cs="Times New Roman"/>
          <w:sz w:val="24"/>
          <w:szCs w:val="24"/>
        </w:rPr>
        <w:t xml:space="preserve"> 58 individuals per square meter (M</w:t>
      </w:r>
      <w:r w:rsidRPr="000C354D">
        <w:rPr>
          <w:rFonts w:ascii="Times New Roman" w:hAnsi="Times New Roman" w:cs="Times New Roman"/>
          <w:sz w:val="24"/>
          <w:szCs w:val="24"/>
          <w:vertAlign w:val="superscript"/>
        </w:rPr>
        <w:t>2</w:t>
      </w:r>
      <w:r w:rsidRPr="0012005C">
        <w:rPr>
          <w:rFonts w:ascii="Times New Roman" w:hAnsi="Times New Roman" w:cs="Times New Roman"/>
          <w:sz w:val="24"/>
          <w:szCs w:val="24"/>
        </w:rPr>
        <w:t xml:space="preserve">) in the intertidal region </w:t>
      </w:r>
      <w:r w:rsidR="00FF0E19">
        <w:rPr>
          <w:rFonts w:ascii="Times New Roman" w:hAnsi="Times New Roman" w:cs="Times New Roman"/>
          <w:sz w:val="24"/>
          <w:szCs w:val="24"/>
        </w:rPr>
        <w:t xml:space="preserve">and </w:t>
      </w:r>
      <w:r w:rsidRPr="0012005C">
        <w:rPr>
          <w:rFonts w:ascii="Times New Roman" w:hAnsi="Times New Roman" w:cs="Times New Roman"/>
          <w:sz w:val="24"/>
          <w:szCs w:val="24"/>
        </w:rPr>
        <w:t>137</w:t>
      </w:r>
      <w:r w:rsidR="000C354D">
        <w:rPr>
          <w:rFonts w:ascii="Times New Roman" w:hAnsi="Times New Roman" w:cs="Times New Roman"/>
          <w:sz w:val="24"/>
          <w:szCs w:val="24"/>
        </w:rPr>
        <w:t xml:space="preserve"> </w:t>
      </w:r>
      <w:r w:rsidR="00FF0E19">
        <w:rPr>
          <w:rFonts w:ascii="Times New Roman" w:hAnsi="Times New Roman" w:cs="Times New Roman"/>
          <w:sz w:val="24"/>
          <w:szCs w:val="24"/>
        </w:rPr>
        <w:t>individuals/</w:t>
      </w:r>
      <w:r w:rsidR="000C354D">
        <w:rPr>
          <w:rFonts w:ascii="Times New Roman" w:hAnsi="Times New Roman" w:cs="Times New Roman"/>
          <w:sz w:val="24"/>
          <w:szCs w:val="24"/>
        </w:rPr>
        <w:t>M</w:t>
      </w:r>
      <w:r w:rsidR="000C354D" w:rsidRPr="000C354D">
        <w:rPr>
          <w:rFonts w:ascii="Times New Roman" w:hAnsi="Times New Roman" w:cs="Times New Roman"/>
          <w:sz w:val="24"/>
          <w:szCs w:val="24"/>
          <w:vertAlign w:val="superscript"/>
        </w:rPr>
        <w:t>2</w:t>
      </w:r>
      <w:r w:rsidRPr="0012005C">
        <w:rPr>
          <w:rFonts w:ascii="Times New Roman" w:hAnsi="Times New Roman" w:cs="Times New Roman"/>
          <w:sz w:val="24"/>
          <w:szCs w:val="24"/>
        </w:rPr>
        <w:t xml:space="preserve"> in the subtidal region.</w:t>
      </w:r>
      <w:r>
        <w:rPr>
          <w:rFonts w:ascii="Times New Roman" w:hAnsi="Times New Roman" w:cs="Times New Roman"/>
          <w:sz w:val="24"/>
          <w:szCs w:val="24"/>
        </w:rPr>
        <w:t xml:space="preserve">   </w:t>
      </w:r>
      <w:r w:rsidR="00FF0E19">
        <w:rPr>
          <w:rFonts w:ascii="Times New Roman" w:hAnsi="Times New Roman" w:cs="Times New Roman"/>
          <w:sz w:val="24"/>
          <w:szCs w:val="24"/>
        </w:rPr>
        <w:t xml:space="preserve">The 1981 </w:t>
      </w:r>
      <w:r>
        <w:rPr>
          <w:rFonts w:ascii="Times New Roman" w:hAnsi="Times New Roman" w:cs="Times New Roman"/>
          <w:sz w:val="24"/>
          <w:szCs w:val="24"/>
        </w:rPr>
        <w:t xml:space="preserve">sample </w:t>
      </w:r>
      <w:r w:rsidR="00FF0E19">
        <w:rPr>
          <w:rFonts w:ascii="Times New Roman" w:hAnsi="Times New Roman" w:cs="Times New Roman"/>
          <w:sz w:val="24"/>
          <w:szCs w:val="24"/>
        </w:rPr>
        <w:t xml:space="preserve">sites </w:t>
      </w:r>
      <w:r>
        <w:rPr>
          <w:rFonts w:ascii="Times New Roman" w:hAnsi="Times New Roman" w:cs="Times New Roman"/>
          <w:sz w:val="24"/>
          <w:szCs w:val="24"/>
        </w:rPr>
        <w:t xml:space="preserve">correspond </w:t>
      </w:r>
      <w:r w:rsidRPr="000C354D">
        <w:rPr>
          <w:rFonts w:ascii="Times New Roman" w:hAnsi="Times New Roman" w:cs="Times New Roman"/>
          <w:sz w:val="24"/>
          <w:szCs w:val="24"/>
        </w:rPr>
        <w:t xml:space="preserve">to </w:t>
      </w:r>
      <w:r w:rsidR="000C354D" w:rsidRPr="000C354D">
        <w:rPr>
          <w:rFonts w:ascii="Times New Roman" w:hAnsi="Times New Roman" w:cs="Times New Roman"/>
          <w:sz w:val="24"/>
          <w:szCs w:val="24"/>
        </w:rPr>
        <w:t xml:space="preserve">the current </w:t>
      </w:r>
      <w:r w:rsidR="00FF0E19" w:rsidRPr="000C354D">
        <w:rPr>
          <w:rFonts w:ascii="Times New Roman" w:hAnsi="Times New Roman" w:cs="Times New Roman"/>
          <w:sz w:val="24"/>
          <w:szCs w:val="24"/>
        </w:rPr>
        <w:t>sampling</w:t>
      </w:r>
      <w:r w:rsidR="000C354D" w:rsidRPr="000C354D">
        <w:rPr>
          <w:rFonts w:ascii="Times New Roman" w:hAnsi="Times New Roman" w:cs="Times New Roman"/>
          <w:sz w:val="24"/>
          <w:szCs w:val="24"/>
        </w:rPr>
        <w:t xml:space="preserve"> sites </w:t>
      </w:r>
      <w:r w:rsidR="00FF0E19">
        <w:rPr>
          <w:rFonts w:ascii="Times New Roman" w:hAnsi="Times New Roman" w:cs="Times New Roman"/>
          <w:sz w:val="24"/>
          <w:szCs w:val="24"/>
        </w:rPr>
        <w:t xml:space="preserve">at </w:t>
      </w:r>
      <w:r w:rsidR="000C354D" w:rsidRPr="000C354D">
        <w:rPr>
          <w:rFonts w:ascii="Times New Roman" w:hAnsi="Times New Roman" w:cs="Times New Roman"/>
          <w:sz w:val="24"/>
          <w:szCs w:val="24"/>
        </w:rPr>
        <w:t>STN1, STN</w:t>
      </w:r>
      <w:r w:rsidR="00DB7422">
        <w:rPr>
          <w:rFonts w:ascii="Times New Roman" w:hAnsi="Times New Roman" w:cs="Times New Roman"/>
          <w:sz w:val="24"/>
          <w:szCs w:val="24"/>
        </w:rPr>
        <w:t>2</w:t>
      </w:r>
      <w:r w:rsidR="000C354D" w:rsidRPr="000C354D">
        <w:rPr>
          <w:rFonts w:ascii="Times New Roman" w:hAnsi="Times New Roman" w:cs="Times New Roman"/>
          <w:sz w:val="24"/>
          <w:szCs w:val="24"/>
        </w:rPr>
        <w:t xml:space="preserve"> and the ESL</w:t>
      </w:r>
      <w:r w:rsidR="000C354D">
        <w:rPr>
          <w:rFonts w:ascii="Times New Roman" w:hAnsi="Times New Roman" w:cs="Times New Roman"/>
          <w:sz w:val="24"/>
          <w:szCs w:val="24"/>
        </w:rPr>
        <w:t xml:space="preserve"> </w:t>
      </w:r>
      <w:r>
        <w:rPr>
          <w:rFonts w:ascii="Times New Roman" w:hAnsi="Times New Roman" w:cs="Times New Roman"/>
          <w:sz w:val="24"/>
          <w:szCs w:val="24"/>
        </w:rPr>
        <w:t>being monitored for metals.</w:t>
      </w:r>
    </w:p>
    <w:p w14:paraId="5314709E" w14:textId="31FA655D" w:rsidR="0012005C" w:rsidRDefault="00DB7422" w:rsidP="009A17AA">
      <w:pPr>
        <w:spacing w:line="276" w:lineRule="auto"/>
        <w:rPr>
          <w:rFonts w:ascii="Times New Roman" w:hAnsi="Times New Roman" w:cs="Times New Roman"/>
          <w:sz w:val="24"/>
          <w:szCs w:val="24"/>
        </w:rPr>
      </w:pPr>
      <w:r>
        <w:rPr>
          <w:rFonts w:ascii="Times New Roman" w:hAnsi="Times New Roman" w:cs="Times New Roman"/>
          <w:sz w:val="24"/>
          <w:szCs w:val="24"/>
        </w:rPr>
        <w:t>In 1981, t</w:t>
      </w:r>
      <w:r w:rsidR="0012005C" w:rsidRPr="0012005C">
        <w:rPr>
          <w:rFonts w:ascii="Times New Roman" w:hAnsi="Times New Roman" w:cs="Times New Roman"/>
          <w:sz w:val="24"/>
          <w:szCs w:val="24"/>
        </w:rPr>
        <w:t xml:space="preserve">he intertidal region at the cannery </w:t>
      </w:r>
      <w:r>
        <w:rPr>
          <w:rFonts w:ascii="Times New Roman" w:hAnsi="Times New Roman" w:cs="Times New Roman"/>
          <w:sz w:val="24"/>
          <w:szCs w:val="24"/>
        </w:rPr>
        <w:t xml:space="preserve">had an </w:t>
      </w:r>
      <w:r w:rsidR="0012005C" w:rsidRPr="0012005C">
        <w:rPr>
          <w:rFonts w:ascii="Times New Roman" w:hAnsi="Times New Roman" w:cs="Times New Roman"/>
          <w:sz w:val="24"/>
          <w:szCs w:val="24"/>
        </w:rPr>
        <w:t>estimated 157</w:t>
      </w:r>
      <w:r>
        <w:rPr>
          <w:rFonts w:ascii="Times New Roman" w:hAnsi="Times New Roman" w:cs="Times New Roman"/>
          <w:sz w:val="24"/>
          <w:szCs w:val="24"/>
        </w:rPr>
        <w:t>individual/</w:t>
      </w:r>
      <w:r w:rsidR="0012005C" w:rsidRPr="0012005C">
        <w:rPr>
          <w:rFonts w:ascii="Times New Roman" w:hAnsi="Times New Roman" w:cs="Times New Roman"/>
          <w:sz w:val="24"/>
          <w:szCs w:val="24"/>
        </w:rPr>
        <w:t xml:space="preserve"> M</w:t>
      </w:r>
      <w:r w:rsidR="0012005C" w:rsidRPr="000C354D">
        <w:rPr>
          <w:rFonts w:ascii="Times New Roman" w:hAnsi="Times New Roman" w:cs="Times New Roman"/>
          <w:sz w:val="24"/>
          <w:szCs w:val="24"/>
          <w:vertAlign w:val="superscript"/>
        </w:rPr>
        <w:t>2</w:t>
      </w:r>
      <w:r w:rsidR="0012005C" w:rsidRPr="0012005C">
        <w:rPr>
          <w:rFonts w:ascii="Times New Roman" w:hAnsi="Times New Roman" w:cs="Times New Roman"/>
          <w:sz w:val="24"/>
          <w:szCs w:val="24"/>
        </w:rPr>
        <w:t xml:space="preserve"> Littleneck clams</w:t>
      </w:r>
      <w:r w:rsidR="0012005C">
        <w:rPr>
          <w:rStyle w:val="FootnoteReference"/>
          <w:rFonts w:ascii="Times New Roman" w:hAnsi="Times New Roman" w:cs="Times New Roman"/>
          <w:sz w:val="24"/>
          <w:szCs w:val="24"/>
        </w:rPr>
        <w:footnoteReference w:id="6"/>
      </w:r>
      <w:r w:rsidR="0012005C" w:rsidRPr="0012005C">
        <w:rPr>
          <w:rFonts w:ascii="Times New Roman" w:hAnsi="Times New Roman" w:cs="Times New Roman"/>
          <w:sz w:val="24"/>
          <w:szCs w:val="24"/>
        </w:rPr>
        <w:t xml:space="preserve">.  This is roughly the location of Site </w:t>
      </w:r>
      <w:r w:rsidR="000C354D">
        <w:rPr>
          <w:rFonts w:ascii="Times New Roman" w:hAnsi="Times New Roman" w:cs="Times New Roman"/>
          <w:sz w:val="24"/>
          <w:szCs w:val="24"/>
        </w:rPr>
        <w:t>S-4</w:t>
      </w:r>
      <w:r w:rsidR="0012005C" w:rsidRPr="0012005C">
        <w:rPr>
          <w:rFonts w:ascii="Times New Roman" w:hAnsi="Times New Roman" w:cs="Times New Roman"/>
          <w:sz w:val="24"/>
          <w:szCs w:val="24"/>
        </w:rPr>
        <w:t xml:space="preserve"> and S</w:t>
      </w:r>
      <w:r w:rsidR="000C354D">
        <w:rPr>
          <w:rFonts w:ascii="Times New Roman" w:hAnsi="Times New Roman" w:cs="Times New Roman"/>
          <w:sz w:val="24"/>
          <w:szCs w:val="24"/>
        </w:rPr>
        <w:t xml:space="preserve">ites S-5N and S-5S </w:t>
      </w:r>
      <w:r w:rsidR="0012005C" w:rsidRPr="0012005C">
        <w:rPr>
          <w:rFonts w:ascii="Times New Roman" w:hAnsi="Times New Roman" w:cs="Times New Roman"/>
          <w:sz w:val="24"/>
          <w:szCs w:val="24"/>
        </w:rPr>
        <w:t xml:space="preserve">currently monitored. </w:t>
      </w:r>
    </w:p>
    <w:p w14:paraId="72FADC44" w14:textId="20A18749" w:rsidR="0012005C" w:rsidRDefault="0012005C" w:rsidP="009A17AA">
      <w:pPr>
        <w:spacing w:line="276" w:lineRule="auto"/>
        <w:rPr>
          <w:rFonts w:ascii="Times New Roman" w:hAnsi="Times New Roman" w:cs="Times New Roman"/>
          <w:sz w:val="24"/>
          <w:szCs w:val="24"/>
        </w:rPr>
      </w:pPr>
      <w:r>
        <w:rPr>
          <w:rFonts w:ascii="Times New Roman" w:hAnsi="Times New Roman" w:cs="Times New Roman"/>
          <w:sz w:val="24"/>
          <w:szCs w:val="24"/>
        </w:rPr>
        <w:t>The Southern Reference Area in Pile Driver Cove estimated populations at 1750</w:t>
      </w:r>
      <w:r w:rsidR="00DB7422">
        <w:rPr>
          <w:rFonts w:ascii="Times New Roman" w:hAnsi="Times New Roman" w:cs="Times New Roman"/>
          <w:sz w:val="24"/>
          <w:szCs w:val="24"/>
        </w:rPr>
        <w:t xml:space="preserve"> individuals/</w:t>
      </w:r>
      <w:r>
        <w:rPr>
          <w:rFonts w:ascii="Times New Roman" w:hAnsi="Times New Roman" w:cs="Times New Roman"/>
          <w:sz w:val="24"/>
          <w:szCs w:val="24"/>
        </w:rPr>
        <w:t>M</w:t>
      </w:r>
      <w:r w:rsidRPr="000C354D">
        <w:rPr>
          <w:rFonts w:ascii="Times New Roman" w:hAnsi="Times New Roman" w:cs="Times New Roman"/>
          <w:sz w:val="24"/>
          <w:szCs w:val="24"/>
          <w:vertAlign w:val="superscript"/>
        </w:rPr>
        <w:t>2</w:t>
      </w:r>
      <w:r>
        <w:rPr>
          <w:rFonts w:ascii="Times New Roman" w:hAnsi="Times New Roman" w:cs="Times New Roman"/>
          <w:sz w:val="24"/>
          <w:szCs w:val="24"/>
        </w:rPr>
        <w:t xml:space="preserve"> in the intertidal and 2078 </w:t>
      </w:r>
      <w:r w:rsidR="00DB7422">
        <w:rPr>
          <w:rFonts w:ascii="Times New Roman" w:hAnsi="Times New Roman" w:cs="Times New Roman"/>
          <w:sz w:val="24"/>
          <w:szCs w:val="24"/>
        </w:rPr>
        <w:t>individuals/</w:t>
      </w:r>
      <w:r>
        <w:rPr>
          <w:rFonts w:ascii="Times New Roman" w:hAnsi="Times New Roman" w:cs="Times New Roman"/>
          <w:sz w:val="24"/>
          <w:szCs w:val="24"/>
        </w:rPr>
        <w:t>M</w:t>
      </w:r>
      <w:r w:rsidRPr="000C354D">
        <w:rPr>
          <w:rFonts w:ascii="Times New Roman" w:hAnsi="Times New Roman" w:cs="Times New Roman"/>
          <w:sz w:val="24"/>
          <w:szCs w:val="24"/>
          <w:vertAlign w:val="superscript"/>
        </w:rPr>
        <w:t>2</w:t>
      </w:r>
      <w:r>
        <w:rPr>
          <w:rFonts w:ascii="Times New Roman" w:hAnsi="Times New Roman" w:cs="Times New Roman"/>
          <w:sz w:val="24"/>
          <w:szCs w:val="24"/>
        </w:rPr>
        <w:t xml:space="preserve"> subtidal.  This sample site is near the current monitoring site</w:t>
      </w:r>
      <w:r w:rsidR="000C354D">
        <w:rPr>
          <w:rFonts w:ascii="Times New Roman" w:hAnsi="Times New Roman" w:cs="Times New Roman"/>
          <w:sz w:val="24"/>
          <w:szCs w:val="24"/>
        </w:rPr>
        <w:t xml:space="preserve"> S-2</w:t>
      </w:r>
      <w:r>
        <w:rPr>
          <w:rFonts w:ascii="Times New Roman" w:hAnsi="Times New Roman" w:cs="Times New Roman"/>
          <w:sz w:val="24"/>
          <w:szCs w:val="24"/>
        </w:rPr>
        <w:t xml:space="preserve">. </w:t>
      </w:r>
    </w:p>
    <w:p w14:paraId="3E1EE78F" w14:textId="50FB4594" w:rsidR="009373DF" w:rsidRPr="0052638F" w:rsidRDefault="0012005C" w:rsidP="009A17AA">
      <w:pPr>
        <w:spacing w:line="276" w:lineRule="auto"/>
        <w:rPr>
          <w:rFonts w:ascii="Times New Roman" w:hAnsi="Times New Roman" w:cs="Times New Roman"/>
          <w:sz w:val="24"/>
          <w:szCs w:val="24"/>
        </w:rPr>
      </w:pPr>
      <w:r>
        <w:rPr>
          <w:rFonts w:ascii="Times New Roman" w:hAnsi="Times New Roman" w:cs="Times New Roman"/>
          <w:sz w:val="24"/>
          <w:szCs w:val="24"/>
        </w:rPr>
        <w:t xml:space="preserve">Twenty-seven years later, 21 of which were during the construction and operation of the Greens Creek Mine, Littleneck clams seem scarce.  The 2007 Hawk Inlet Monitoring Reports notes that </w:t>
      </w:r>
      <w:r w:rsidR="0052638F" w:rsidRPr="0052638F">
        <w:rPr>
          <w:rFonts w:ascii="Times New Roman" w:hAnsi="Times New Roman" w:cs="Times New Roman"/>
          <w:sz w:val="24"/>
          <w:szCs w:val="24"/>
        </w:rPr>
        <w:t>“d</w:t>
      </w:r>
      <w:r w:rsidR="009373DF" w:rsidRPr="0052638F">
        <w:rPr>
          <w:rFonts w:ascii="Times New Roman" w:hAnsi="Times New Roman" w:cs="Times New Roman"/>
          <w:sz w:val="24"/>
          <w:szCs w:val="24"/>
        </w:rPr>
        <w:t>uplicate samples are not taken for all species due to the negative impact such removal would have on the relatively sparse populations present on the Hawk Inlet bioassay monitoring sample sites</w:t>
      </w:r>
      <w:r w:rsidR="009373DF" w:rsidRPr="000C354D">
        <w:rPr>
          <w:rFonts w:ascii="Times New Roman" w:hAnsi="Times New Roman" w:cs="Times New Roman"/>
          <w:sz w:val="24"/>
          <w:szCs w:val="24"/>
        </w:rPr>
        <w:t>.</w:t>
      </w:r>
      <w:r w:rsidR="0052638F" w:rsidRPr="000C354D">
        <w:rPr>
          <w:rFonts w:ascii="Times New Roman" w:hAnsi="Times New Roman" w:cs="Times New Roman"/>
          <w:sz w:val="24"/>
          <w:szCs w:val="24"/>
        </w:rPr>
        <w:t xml:space="preserve">”  </w:t>
      </w:r>
      <w:r w:rsidR="000C354D" w:rsidRPr="00DB7422">
        <w:rPr>
          <w:rFonts w:ascii="Times New Roman" w:hAnsi="Times New Roman" w:cs="Times New Roman"/>
          <w:i/>
          <w:iCs/>
          <w:sz w:val="24"/>
          <w:szCs w:val="24"/>
        </w:rPr>
        <w:t>See</w:t>
      </w:r>
      <w:r w:rsidR="000C354D">
        <w:rPr>
          <w:rFonts w:ascii="Times New Roman" w:hAnsi="Times New Roman" w:cs="Times New Roman"/>
          <w:sz w:val="24"/>
          <w:szCs w:val="24"/>
        </w:rPr>
        <w:t>, 2007 Hawk Inlet Monitoring Report at 4.1.</w:t>
      </w:r>
      <w:r w:rsidR="000C354D">
        <w:rPr>
          <w:rStyle w:val="FootnoteReference"/>
          <w:rFonts w:ascii="Times New Roman" w:hAnsi="Times New Roman" w:cs="Times New Roman"/>
          <w:sz w:val="24"/>
          <w:szCs w:val="24"/>
        </w:rPr>
        <w:footnoteReference w:id="7"/>
      </w:r>
      <w:r w:rsidR="0052638F" w:rsidRPr="0052638F">
        <w:rPr>
          <w:rFonts w:ascii="Times New Roman" w:hAnsi="Times New Roman" w:cs="Times New Roman"/>
          <w:sz w:val="24"/>
          <w:szCs w:val="24"/>
        </w:rPr>
        <w:t xml:space="preserve"> </w:t>
      </w:r>
      <w:r w:rsidR="009373DF" w:rsidRPr="0052638F">
        <w:rPr>
          <w:rFonts w:ascii="Times New Roman" w:hAnsi="Times New Roman" w:cs="Times New Roman"/>
          <w:sz w:val="24"/>
          <w:szCs w:val="24"/>
        </w:rPr>
        <w:t xml:space="preserve"> </w:t>
      </w:r>
      <w:r>
        <w:rPr>
          <w:rFonts w:ascii="Times New Roman" w:hAnsi="Times New Roman" w:cs="Times New Roman"/>
          <w:sz w:val="24"/>
          <w:szCs w:val="24"/>
        </w:rPr>
        <w:t xml:space="preserve">There remined enough mussels and </w:t>
      </w:r>
      <w:proofErr w:type="spellStart"/>
      <w:r>
        <w:rPr>
          <w:rFonts w:ascii="Times New Roman" w:hAnsi="Times New Roman" w:cs="Times New Roman"/>
          <w:sz w:val="24"/>
          <w:szCs w:val="24"/>
        </w:rPr>
        <w:t>polychaet</w:t>
      </w:r>
      <w:r w:rsidR="009A17AA">
        <w:rPr>
          <w:rFonts w:ascii="Times New Roman" w:hAnsi="Times New Roman" w:cs="Times New Roman"/>
          <w:sz w:val="24"/>
          <w:szCs w:val="24"/>
        </w:rPr>
        <w:t>e</w:t>
      </w:r>
      <w:proofErr w:type="spellEnd"/>
      <w:r>
        <w:rPr>
          <w:rFonts w:ascii="Times New Roman" w:hAnsi="Times New Roman" w:cs="Times New Roman"/>
          <w:sz w:val="24"/>
          <w:szCs w:val="24"/>
        </w:rPr>
        <w:t xml:space="preserve"> worms to sample.</w:t>
      </w:r>
    </w:p>
    <w:p w14:paraId="082E26EA" w14:textId="574D9D30" w:rsidR="0052638F" w:rsidRDefault="0052638F" w:rsidP="009A17AA">
      <w:pPr>
        <w:spacing w:line="276" w:lineRule="auto"/>
        <w:rPr>
          <w:rFonts w:ascii="Times New Roman" w:hAnsi="Times New Roman" w:cs="Times New Roman"/>
          <w:sz w:val="24"/>
          <w:szCs w:val="24"/>
        </w:rPr>
      </w:pPr>
      <w:r w:rsidRPr="0052638F">
        <w:rPr>
          <w:rFonts w:ascii="Times New Roman" w:hAnsi="Times New Roman" w:cs="Times New Roman"/>
          <w:sz w:val="24"/>
          <w:szCs w:val="24"/>
        </w:rPr>
        <w:lastRenderedPageBreak/>
        <w:t>By 2016</w:t>
      </w:r>
      <w:r w:rsidR="0012005C">
        <w:rPr>
          <w:rFonts w:ascii="Times New Roman" w:hAnsi="Times New Roman" w:cs="Times New Roman"/>
          <w:sz w:val="24"/>
          <w:szCs w:val="24"/>
        </w:rPr>
        <w:t>,</w:t>
      </w:r>
      <w:r w:rsidRPr="0052638F">
        <w:rPr>
          <w:rFonts w:ascii="Times New Roman" w:hAnsi="Times New Roman" w:cs="Times New Roman"/>
          <w:sz w:val="24"/>
          <w:szCs w:val="24"/>
        </w:rPr>
        <w:t xml:space="preserve"> </w:t>
      </w:r>
      <w:r w:rsidR="0012005C">
        <w:rPr>
          <w:rFonts w:ascii="Times New Roman" w:hAnsi="Times New Roman" w:cs="Times New Roman"/>
          <w:sz w:val="24"/>
          <w:szCs w:val="24"/>
        </w:rPr>
        <w:t xml:space="preserve">Littleneck </w:t>
      </w:r>
      <w:r w:rsidRPr="0052638F">
        <w:rPr>
          <w:rFonts w:ascii="Times New Roman" w:hAnsi="Times New Roman" w:cs="Times New Roman"/>
          <w:sz w:val="24"/>
          <w:szCs w:val="24"/>
        </w:rPr>
        <w:t>clams and Cockles are no longer collected at all</w:t>
      </w:r>
      <w:r w:rsidR="0012005C">
        <w:rPr>
          <w:rFonts w:ascii="Times New Roman" w:hAnsi="Times New Roman" w:cs="Times New Roman"/>
          <w:sz w:val="24"/>
          <w:szCs w:val="24"/>
        </w:rPr>
        <w:t xml:space="preserve"> and are dropped from </w:t>
      </w:r>
      <w:r w:rsidR="00DB7422">
        <w:rPr>
          <w:rFonts w:ascii="Times New Roman" w:hAnsi="Times New Roman" w:cs="Times New Roman"/>
          <w:sz w:val="24"/>
          <w:szCs w:val="24"/>
        </w:rPr>
        <w:t xml:space="preserve">the </w:t>
      </w:r>
      <w:r w:rsidR="0012005C">
        <w:rPr>
          <w:rFonts w:ascii="Times New Roman" w:hAnsi="Times New Roman" w:cs="Times New Roman"/>
          <w:sz w:val="24"/>
          <w:szCs w:val="24"/>
        </w:rPr>
        <w:t>monitoring</w:t>
      </w:r>
      <w:r w:rsidR="00DB7422">
        <w:rPr>
          <w:rFonts w:ascii="Times New Roman" w:hAnsi="Times New Roman" w:cs="Times New Roman"/>
          <w:sz w:val="24"/>
          <w:szCs w:val="24"/>
        </w:rPr>
        <w:t xml:space="preserve"> program</w:t>
      </w:r>
      <w:r w:rsidRPr="0052638F">
        <w:rPr>
          <w:rFonts w:ascii="Times New Roman" w:hAnsi="Times New Roman" w:cs="Times New Roman"/>
          <w:sz w:val="24"/>
          <w:szCs w:val="24"/>
        </w:rPr>
        <w:t>. Th</w:t>
      </w:r>
      <w:r w:rsidR="0012005C">
        <w:rPr>
          <w:rFonts w:ascii="Times New Roman" w:hAnsi="Times New Roman" w:cs="Times New Roman"/>
          <w:sz w:val="24"/>
          <w:szCs w:val="24"/>
        </w:rPr>
        <w:t>e</w:t>
      </w:r>
      <w:r w:rsidRPr="0052638F">
        <w:rPr>
          <w:rFonts w:ascii="Times New Roman" w:hAnsi="Times New Roman" w:cs="Times New Roman"/>
          <w:sz w:val="24"/>
          <w:szCs w:val="24"/>
        </w:rPr>
        <w:t xml:space="preserve"> </w:t>
      </w:r>
      <w:r w:rsidR="0012005C">
        <w:rPr>
          <w:rFonts w:ascii="Times New Roman" w:hAnsi="Times New Roman" w:cs="Times New Roman"/>
          <w:sz w:val="24"/>
          <w:szCs w:val="24"/>
        </w:rPr>
        <w:t xml:space="preserve">disappearance of Littleneck clams is confirmed by </w:t>
      </w:r>
      <w:r w:rsidRPr="0052638F">
        <w:rPr>
          <w:rFonts w:ascii="Times New Roman" w:hAnsi="Times New Roman" w:cs="Times New Roman"/>
          <w:sz w:val="24"/>
          <w:szCs w:val="24"/>
        </w:rPr>
        <w:t xml:space="preserve">ADF&amp;G </w:t>
      </w:r>
      <w:r w:rsidR="0012005C">
        <w:rPr>
          <w:rFonts w:ascii="Times New Roman" w:hAnsi="Times New Roman" w:cs="Times New Roman"/>
          <w:sz w:val="24"/>
          <w:szCs w:val="24"/>
        </w:rPr>
        <w:t xml:space="preserve">the same year </w:t>
      </w:r>
      <w:r w:rsidRPr="0052638F">
        <w:rPr>
          <w:rFonts w:ascii="Times New Roman" w:hAnsi="Times New Roman" w:cs="Times New Roman"/>
          <w:sz w:val="24"/>
          <w:szCs w:val="24"/>
        </w:rPr>
        <w:t>whe</w:t>
      </w:r>
      <w:r w:rsidR="000977A8">
        <w:rPr>
          <w:rFonts w:ascii="Times New Roman" w:hAnsi="Times New Roman" w:cs="Times New Roman"/>
          <w:sz w:val="24"/>
          <w:szCs w:val="24"/>
        </w:rPr>
        <w:t>n</w:t>
      </w:r>
      <w:r w:rsidRPr="0052638F">
        <w:rPr>
          <w:rFonts w:ascii="Times New Roman" w:hAnsi="Times New Roman" w:cs="Times New Roman"/>
          <w:sz w:val="24"/>
          <w:szCs w:val="24"/>
        </w:rPr>
        <w:t xml:space="preserve"> researchers could not fine a single living </w:t>
      </w:r>
      <w:r w:rsidR="0012005C">
        <w:rPr>
          <w:rFonts w:ascii="Times New Roman" w:hAnsi="Times New Roman" w:cs="Times New Roman"/>
          <w:sz w:val="24"/>
          <w:szCs w:val="24"/>
        </w:rPr>
        <w:t xml:space="preserve">Littleneck </w:t>
      </w:r>
      <w:r w:rsidRPr="0052638F">
        <w:rPr>
          <w:rFonts w:ascii="Times New Roman" w:hAnsi="Times New Roman" w:cs="Times New Roman"/>
          <w:sz w:val="24"/>
          <w:szCs w:val="24"/>
        </w:rPr>
        <w:t xml:space="preserve">clam on the Greens Creek Delta </w:t>
      </w:r>
      <w:r w:rsidR="00DB7422" w:rsidRPr="00DB7422">
        <w:rPr>
          <w:rFonts w:ascii="Times New Roman" w:hAnsi="Times New Roman" w:cs="Times New Roman"/>
          <w:i/>
          <w:iCs/>
          <w:sz w:val="24"/>
          <w:szCs w:val="24"/>
        </w:rPr>
        <w:t>See,</w:t>
      </w:r>
      <w:r w:rsidR="00DB7422">
        <w:rPr>
          <w:rFonts w:ascii="Times New Roman" w:hAnsi="Times New Roman" w:cs="Times New Roman"/>
          <w:sz w:val="24"/>
          <w:szCs w:val="24"/>
        </w:rPr>
        <w:t xml:space="preserve"> Memorandum to file: State of Alaska Department of Fish and Game Kyle Herbert, Dec 15, 2016. </w:t>
      </w:r>
      <w:r w:rsidR="0012005C">
        <w:rPr>
          <w:rFonts w:ascii="Times New Roman" w:hAnsi="Times New Roman" w:cs="Times New Roman"/>
          <w:sz w:val="24"/>
          <w:szCs w:val="24"/>
        </w:rPr>
        <w:t xml:space="preserve"> This limited field examination of populations living </w:t>
      </w:r>
      <w:r w:rsidR="000977A8">
        <w:rPr>
          <w:rFonts w:ascii="Times New Roman" w:hAnsi="Times New Roman" w:cs="Times New Roman"/>
          <w:sz w:val="24"/>
          <w:szCs w:val="24"/>
        </w:rPr>
        <w:t>i</w:t>
      </w:r>
      <w:r w:rsidR="0012005C">
        <w:rPr>
          <w:rFonts w:ascii="Times New Roman" w:hAnsi="Times New Roman" w:cs="Times New Roman"/>
          <w:sz w:val="24"/>
          <w:szCs w:val="24"/>
        </w:rPr>
        <w:t xml:space="preserve">n the </w:t>
      </w:r>
      <w:r w:rsidR="000977A8">
        <w:rPr>
          <w:rFonts w:ascii="Times New Roman" w:hAnsi="Times New Roman" w:cs="Times New Roman"/>
          <w:sz w:val="24"/>
          <w:szCs w:val="24"/>
        </w:rPr>
        <w:t>Hawk Inlet</w:t>
      </w:r>
      <w:r w:rsidR="0012005C">
        <w:rPr>
          <w:rFonts w:ascii="Times New Roman" w:hAnsi="Times New Roman" w:cs="Times New Roman"/>
          <w:sz w:val="24"/>
          <w:szCs w:val="24"/>
        </w:rPr>
        <w:t xml:space="preserve"> remains the only direct measurement of how the ecosystem in Hawk Inlet is responding to the Mine.</w:t>
      </w:r>
    </w:p>
    <w:p w14:paraId="02C53034" w14:textId="579411E1" w:rsidR="0012005C" w:rsidRDefault="0012005C" w:rsidP="009A17AA">
      <w:pPr>
        <w:spacing w:line="276" w:lineRule="auto"/>
        <w:rPr>
          <w:rFonts w:ascii="Times New Roman" w:hAnsi="Times New Roman" w:cs="Times New Roman"/>
          <w:sz w:val="24"/>
          <w:szCs w:val="24"/>
        </w:rPr>
      </w:pPr>
      <w:r>
        <w:rPr>
          <w:rFonts w:ascii="Times New Roman" w:hAnsi="Times New Roman" w:cs="Times New Roman"/>
          <w:sz w:val="24"/>
          <w:szCs w:val="24"/>
        </w:rPr>
        <w:t xml:space="preserve">The narrow model of effects monitoring required by the State of Alaska may not be as protective of the overall ecosystem in general and throughout the food chain.  Bioaccumulation of heavy metals </w:t>
      </w:r>
      <w:r w:rsidR="000977A8">
        <w:rPr>
          <w:rFonts w:ascii="Times New Roman" w:hAnsi="Times New Roman" w:cs="Times New Roman"/>
          <w:sz w:val="24"/>
          <w:szCs w:val="24"/>
        </w:rPr>
        <w:t xml:space="preserve">in higher order consumers </w:t>
      </w:r>
      <w:r>
        <w:rPr>
          <w:rFonts w:ascii="Times New Roman" w:hAnsi="Times New Roman" w:cs="Times New Roman"/>
          <w:sz w:val="24"/>
          <w:szCs w:val="24"/>
        </w:rPr>
        <w:t>is still un</w:t>
      </w:r>
      <w:r w:rsidR="000977A8">
        <w:rPr>
          <w:rFonts w:ascii="Times New Roman" w:hAnsi="Times New Roman" w:cs="Times New Roman"/>
          <w:sz w:val="24"/>
          <w:szCs w:val="24"/>
        </w:rPr>
        <w:t>measured</w:t>
      </w:r>
      <w:r>
        <w:rPr>
          <w:rFonts w:ascii="Times New Roman" w:hAnsi="Times New Roman" w:cs="Times New Roman"/>
          <w:sz w:val="24"/>
          <w:szCs w:val="24"/>
        </w:rPr>
        <w:t xml:space="preserve"> and there is no information as to possible changes to the species make up and population</w:t>
      </w:r>
      <w:r w:rsidR="00DB7422">
        <w:rPr>
          <w:rFonts w:ascii="Times New Roman" w:hAnsi="Times New Roman" w:cs="Times New Roman"/>
          <w:sz w:val="24"/>
          <w:szCs w:val="24"/>
        </w:rPr>
        <w:t>s</w:t>
      </w:r>
      <w:r>
        <w:rPr>
          <w:rFonts w:ascii="Times New Roman" w:hAnsi="Times New Roman" w:cs="Times New Roman"/>
          <w:sz w:val="24"/>
          <w:szCs w:val="24"/>
        </w:rPr>
        <w:t xml:space="preserve"> in the </w:t>
      </w:r>
      <w:r w:rsidR="000977A8">
        <w:rPr>
          <w:rFonts w:ascii="Times New Roman" w:hAnsi="Times New Roman" w:cs="Times New Roman"/>
          <w:sz w:val="24"/>
          <w:szCs w:val="24"/>
        </w:rPr>
        <w:t xml:space="preserve">Monument’s </w:t>
      </w:r>
      <w:r>
        <w:rPr>
          <w:rFonts w:ascii="Times New Roman" w:hAnsi="Times New Roman" w:cs="Times New Roman"/>
          <w:sz w:val="24"/>
          <w:szCs w:val="24"/>
        </w:rPr>
        <w:t>ecosystem.</w:t>
      </w:r>
    </w:p>
    <w:p w14:paraId="146B90A3" w14:textId="01ADA201" w:rsidR="00CB2672" w:rsidRDefault="00CB2672" w:rsidP="009A17AA">
      <w:pPr>
        <w:spacing w:line="276" w:lineRule="auto"/>
        <w:rPr>
          <w:rFonts w:ascii="Times New Roman" w:hAnsi="Times New Roman" w:cs="Times New Roman"/>
          <w:color w:val="202124"/>
          <w:sz w:val="24"/>
          <w:szCs w:val="24"/>
          <w:shd w:val="clear" w:color="auto" w:fill="FFFFFF"/>
        </w:rPr>
      </w:pPr>
      <w:r>
        <w:rPr>
          <w:rFonts w:ascii="Times New Roman" w:hAnsi="Times New Roman" w:cs="Times New Roman"/>
          <w:sz w:val="24"/>
          <w:szCs w:val="24"/>
        </w:rPr>
        <w:t xml:space="preserve">It is </w:t>
      </w:r>
      <w:r w:rsidR="000977A8">
        <w:rPr>
          <w:rFonts w:ascii="Times New Roman" w:hAnsi="Times New Roman" w:cs="Times New Roman"/>
          <w:sz w:val="24"/>
          <w:szCs w:val="24"/>
        </w:rPr>
        <w:t>obvious</w:t>
      </w:r>
      <w:r>
        <w:rPr>
          <w:rFonts w:ascii="Times New Roman" w:hAnsi="Times New Roman" w:cs="Times New Roman"/>
          <w:sz w:val="24"/>
          <w:szCs w:val="24"/>
        </w:rPr>
        <w:t xml:space="preserve"> through the sequence of baseline conditions as described in the series of federal actions and in the monitoring reports that the population and diversity of species in Hawk Inlet may have been negatively impacted by the mine’s activities.  Yet the Forest Service still refuses to conduct repeats of the population and diversity studies designed to measure harm to the ecology of the Monument. The unwillingness to conduct the very studies designed to measure such harm constitute a w</w:t>
      </w:r>
      <w:r w:rsidRPr="00CB2672">
        <w:rPr>
          <w:rFonts w:ascii="Times New Roman" w:hAnsi="Times New Roman" w:cs="Times New Roman"/>
          <w:color w:val="202124"/>
          <w:sz w:val="24"/>
          <w:szCs w:val="24"/>
          <w:shd w:val="clear" w:color="auto" w:fill="FFFFFF"/>
        </w:rPr>
        <w:t>illful blindness</w:t>
      </w:r>
      <w:r>
        <w:rPr>
          <w:rFonts w:ascii="Times New Roman" w:hAnsi="Times New Roman" w:cs="Times New Roman"/>
          <w:color w:val="202124"/>
          <w:sz w:val="24"/>
          <w:szCs w:val="24"/>
          <w:shd w:val="clear" w:color="auto" w:fill="FFFFFF"/>
        </w:rPr>
        <w:t xml:space="preserve"> or </w:t>
      </w:r>
      <w:r w:rsidRPr="00CB2672">
        <w:rPr>
          <w:rFonts w:ascii="Times New Roman" w:hAnsi="Times New Roman" w:cs="Times New Roman"/>
          <w:color w:val="040C28"/>
          <w:sz w:val="24"/>
          <w:szCs w:val="24"/>
        </w:rPr>
        <w:t>conscious avoidance</w:t>
      </w:r>
      <w:r>
        <w:rPr>
          <w:rFonts w:ascii="Times New Roman" w:hAnsi="Times New Roman" w:cs="Times New Roman"/>
          <w:color w:val="040C28"/>
          <w:sz w:val="24"/>
          <w:szCs w:val="24"/>
        </w:rPr>
        <w:t xml:space="preserve"> on behalf of the federal government to close their eyes to </w:t>
      </w:r>
      <w:r w:rsidRPr="00CB2672">
        <w:rPr>
          <w:rFonts w:ascii="Times New Roman" w:hAnsi="Times New Roman" w:cs="Times New Roman"/>
          <w:color w:val="202124"/>
          <w:sz w:val="24"/>
          <w:szCs w:val="24"/>
          <w:shd w:val="clear" w:color="auto" w:fill="FFFFFF"/>
        </w:rPr>
        <w:t xml:space="preserve">the high probability </w:t>
      </w:r>
      <w:r>
        <w:rPr>
          <w:rFonts w:ascii="Times New Roman" w:hAnsi="Times New Roman" w:cs="Times New Roman"/>
          <w:color w:val="202124"/>
          <w:sz w:val="24"/>
          <w:szCs w:val="24"/>
          <w:shd w:val="clear" w:color="auto" w:fill="FFFFFF"/>
        </w:rPr>
        <w:t xml:space="preserve">that harm </w:t>
      </w:r>
      <w:r w:rsidR="000977A8">
        <w:rPr>
          <w:rFonts w:ascii="Times New Roman" w:hAnsi="Times New Roman" w:cs="Times New Roman"/>
          <w:color w:val="202124"/>
          <w:sz w:val="24"/>
          <w:szCs w:val="24"/>
          <w:shd w:val="clear" w:color="auto" w:fill="FFFFFF"/>
        </w:rPr>
        <w:t xml:space="preserve">may have </w:t>
      </w:r>
      <w:r>
        <w:rPr>
          <w:rFonts w:ascii="Times New Roman" w:hAnsi="Times New Roman" w:cs="Times New Roman"/>
          <w:color w:val="202124"/>
          <w:sz w:val="24"/>
          <w:szCs w:val="24"/>
          <w:shd w:val="clear" w:color="auto" w:fill="FFFFFF"/>
        </w:rPr>
        <w:t>occurred.</w:t>
      </w:r>
    </w:p>
    <w:p w14:paraId="0C2F78E5" w14:textId="77777777" w:rsidR="009D4DE0" w:rsidRDefault="009D4DE0" w:rsidP="009A17AA">
      <w:pPr>
        <w:spacing w:line="276" w:lineRule="auto"/>
        <w:rPr>
          <w:rFonts w:ascii="Times New Roman" w:hAnsi="Times New Roman" w:cs="Times New Roman"/>
          <w:sz w:val="24"/>
          <w:szCs w:val="24"/>
        </w:rPr>
      </w:pPr>
    </w:p>
    <w:p w14:paraId="1E0017A5" w14:textId="1C840B24" w:rsidR="009D4DE0" w:rsidRPr="00D14527" w:rsidRDefault="009D4DE0" w:rsidP="00D14527">
      <w:pPr>
        <w:pStyle w:val="ListParagraph"/>
        <w:numPr>
          <w:ilvl w:val="0"/>
          <w:numId w:val="2"/>
        </w:numPr>
        <w:spacing w:line="276" w:lineRule="auto"/>
        <w:rPr>
          <w:rFonts w:ascii="Times New Roman" w:hAnsi="Times New Roman" w:cs="Times New Roman"/>
          <w:b/>
          <w:bCs/>
          <w:sz w:val="24"/>
          <w:szCs w:val="24"/>
        </w:rPr>
      </w:pPr>
      <w:r w:rsidRPr="00D14527">
        <w:rPr>
          <w:rFonts w:ascii="Times New Roman" w:hAnsi="Times New Roman" w:cs="Times New Roman"/>
          <w:b/>
          <w:bCs/>
          <w:sz w:val="24"/>
          <w:szCs w:val="24"/>
        </w:rPr>
        <w:t>The Forest Service Erred in the 1988 Decision on the Proposed Changes to the General Plan of Operation by not Analyzing the Possible Impact of Those Changes to Hawk Inlet.</w:t>
      </w:r>
    </w:p>
    <w:p w14:paraId="7FC4232C" w14:textId="17AD1B9A" w:rsidR="009B783F" w:rsidRPr="009B783F" w:rsidRDefault="009B783F" w:rsidP="009A17AA">
      <w:pPr>
        <w:spacing w:line="276" w:lineRule="auto"/>
        <w:rPr>
          <w:rFonts w:ascii="Times New Roman" w:hAnsi="Times New Roman" w:cs="Times New Roman"/>
          <w:sz w:val="24"/>
          <w:szCs w:val="24"/>
        </w:rPr>
      </w:pPr>
      <w:r w:rsidRPr="009B783F">
        <w:rPr>
          <w:rFonts w:ascii="Times New Roman" w:hAnsi="Times New Roman" w:cs="Times New Roman"/>
          <w:sz w:val="24"/>
          <w:szCs w:val="24"/>
        </w:rPr>
        <w:t>As stated above,</w:t>
      </w:r>
      <w:r>
        <w:rPr>
          <w:rFonts w:ascii="Times New Roman" w:hAnsi="Times New Roman" w:cs="Times New Roman"/>
          <w:sz w:val="24"/>
          <w:szCs w:val="24"/>
        </w:rPr>
        <w:t xml:space="preserve"> t</w:t>
      </w:r>
      <w:r w:rsidRPr="009B783F">
        <w:rPr>
          <w:rFonts w:ascii="Times New Roman" w:hAnsi="Times New Roman" w:cs="Times New Roman"/>
          <w:sz w:val="24"/>
          <w:szCs w:val="24"/>
        </w:rPr>
        <w:t>he Intent of Congress when passing ANICLA</w:t>
      </w:r>
      <w:r>
        <w:rPr>
          <w:rFonts w:ascii="Times New Roman" w:hAnsi="Times New Roman" w:cs="Times New Roman"/>
          <w:sz w:val="24"/>
          <w:szCs w:val="24"/>
        </w:rPr>
        <w:t xml:space="preserve"> was clear.  Mining on the Monument was conditioned on meeting a higher standard as set out in </w:t>
      </w:r>
      <w:r w:rsidRPr="009B783F">
        <w:rPr>
          <w:rFonts w:ascii="Times New Roman" w:hAnsi="Times New Roman" w:cs="Times New Roman"/>
          <w:sz w:val="24"/>
          <w:szCs w:val="24"/>
        </w:rPr>
        <w:t>section 503(</w:t>
      </w:r>
      <w:proofErr w:type="spellStart"/>
      <w:r w:rsidRPr="009B783F">
        <w:rPr>
          <w:rFonts w:ascii="Times New Roman" w:hAnsi="Times New Roman" w:cs="Times New Roman"/>
          <w:sz w:val="24"/>
          <w:szCs w:val="24"/>
        </w:rPr>
        <w:t>i</w:t>
      </w:r>
      <w:proofErr w:type="spellEnd"/>
      <w:r w:rsidRPr="009B783F">
        <w:rPr>
          <w:rFonts w:ascii="Times New Roman" w:hAnsi="Times New Roman" w:cs="Times New Roman"/>
          <w:sz w:val="24"/>
          <w:szCs w:val="24"/>
        </w:rPr>
        <w:t>)(1)(B) of ANILCA, which entitles Greens Creek Mine to a lease for mining and milling purposes only if it      would not cause irreparable harm to the Monument.</w:t>
      </w:r>
    </w:p>
    <w:p w14:paraId="669F9618" w14:textId="7D9153B8" w:rsidR="009B783F" w:rsidRPr="009B783F" w:rsidRDefault="009B783F" w:rsidP="009A17AA">
      <w:pPr>
        <w:spacing w:line="276" w:lineRule="auto"/>
        <w:rPr>
          <w:rFonts w:ascii="Times New Roman" w:hAnsi="Times New Roman" w:cs="Times New Roman"/>
          <w:sz w:val="24"/>
          <w:szCs w:val="24"/>
        </w:rPr>
      </w:pPr>
      <w:r w:rsidRPr="009B783F">
        <w:rPr>
          <w:rFonts w:ascii="Times New Roman" w:hAnsi="Times New Roman" w:cs="Times New Roman"/>
          <w:sz w:val="24"/>
          <w:szCs w:val="24"/>
        </w:rPr>
        <w:t xml:space="preserve">Congress chose the term irreparable harm to focus on the nature of the harm to Monument values, not </w:t>
      </w:r>
      <w:r w:rsidR="0012005C">
        <w:rPr>
          <w:rFonts w:ascii="Times New Roman" w:hAnsi="Times New Roman" w:cs="Times New Roman"/>
          <w:sz w:val="24"/>
          <w:szCs w:val="24"/>
        </w:rPr>
        <w:t xml:space="preserve">necessarily the </w:t>
      </w:r>
      <w:r w:rsidRPr="009B783F">
        <w:rPr>
          <w:rFonts w:ascii="Times New Roman" w:hAnsi="Times New Roman" w:cs="Times New Roman"/>
          <w:sz w:val="24"/>
          <w:szCs w:val="24"/>
        </w:rPr>
        <w:t>intensity</w:t>
      </w:r>
      <w:r w:rsidR="0012005C">
        <w:rPr>
          <w:rFonts w:ascii="Times New Roman" w:hAnsi="Times New Roman" w:cs="Times New Roman"/>
          <w:sz w:val="24"/>
          <w:szCs w:val="24"/>
        </w:rPr>
        <w:t xml:space="preserve"> of the harm</w:t>
      </w:r>
      <w:r w:rsidRPr="009B783F">
        <w:rPr>
          <w:rFonts w:ascii="Times New Roman" w:hAnsi="Times New Roman" w:cs="Times New Roman"/>
          <w:sz w:val="24"/>
          <w:szCs w:val="24"/>
        </w:rPr>
        <w:t xml:space="preserve">. 5th Edition of Black’s Law Dictionary (1979) which defines irreparable harm “as an injury, great or small, which ought not to be submitted to.” </w:t>
      </w:r>
    </w:p>
    <w:p w14:paraId="4EF8816D" w14:textId="5690A5EF" w:rsidR="009B783F" w:rsidRDefault="00A036F8" w:rsidP="009A17AA">
      <w:pPr>
        <w:spacing w:line="276" w:lineRule="auto"/>
        <w:rPr>
          <w:rFonts w:ascii="Times New Roman" w:hAnsi="Times New Roman" w:cs="Times New Roman"/>
          <w:sz w:val="24"/>
          <w:szCs w:val="24"/>
        </w:rPr>
      </w:pPr>
      <w:r>
        <w:rPr>
          <w:rFonts w:ascii="Times New Roman" w:hAnsi="Times New Roman" w:cs="Times New Roman"/>
          <w:sz w:val="24"/>
          <w:szCs w:val="24"/>
        </w:rPr>
        <w:t xml:space="preserve">Yet somewhere between the original 1983 ROD and the 1988 </w:t>
      </w:r>
      <w:r w:rsidR="000977A8">
        <w:rPr>
          <w:rFonts w:ascii="Times New Roman" w:hAnsi="Times New Roman" w:cs="Times New Roman"/>
          <w:sz w:val="24"/>
          <w:szCs w:val="24"/>
        </w:rPr>
        <w:t>Plan of operation Modification</w:t>
      </w:r>
      <w:r>
        <w:rPr>
          <w:rFonts w:ascii="Times New Roman" w:hAnsi="Times New Roman" w:cs="Times New Roman"/>
          <w:sz w:val="24"/>
          <w:szCs w:val="24"/>
        </w:rPr>
        <w:t xml:space="preserve">, </w:t>
      </w:r>
      <w:r w:rsidR="0012005C">
        <w:rPr>
          <w:rFonts w:ascii="Times New Roman" w:hAnsi="Times New Roman" w:cs="Times New Roman"/>
          <w:sz w:val="24"/>
          <w:szCs w:val="24"/>
        </w:rPr>
        <w:t xml:space="preserve">the standard of no </w:t>
      </w:r>
      <w:r>
        <w:rPr>
          <w:rFonts w:ascii="Times New Roman" w:hAnsi="Times New Roman" w:cs="Times New Roman"/>
          <w:sz w:val="24"/>
          <w:szCs w:val="24"/>
        </w:rPr>
        <w:t>harm to the aquatic community was substituted for</w:t>
      </w:r>
      <w:r w:rsidR="0012005C">
        <w:rPr>
          <w:rFonts w:ascii="Times New Roman" w:hAnsi="Times New Roman" w:cs="Times New Roman"/>
          <w:sz w:val="24"/>
          <w:szCs w:val="24"/>
        </w:rPr>
        <w:t xml:space="preserve"> a much narrow</w:t>
      </w:r>
      <w:r w:rsidR="000977A8">
        <w:rPr>
          <w:rFonts w:ascii="Times New Roman" w:hAnsi="Times New Roman" w:cs="Times New Roman"/>
          <w:sz w:val="24"/>
          <w:szCs w:val="24"/>
        </w:rPr>
        <w:t>er</w:t>
      </w:r>
      <w:r w:rsidR="0012005C">
        <w:rPr>
          <w:rFonts w:ascii="Times New Roman" w:hAnsi="Times New Roman" w:cs="Times New Roman"/>
          <w:sz w:val="24"/>
          <w:szCs w:val="24"/>
        </w:rPr>
        <w:t xml:space="preserve"> look by the State of Alaska specific</w:t>
      </w:r>
      <w:r w:rsidR="000977A8">
        <w:rPr>
          <w:rFonts w:ascii="Times New Roman" w:hAnsi="Times New Roman" w:cs="Times New Roman"/>
          <w:sz w:val="24"/>
          <w:szCs w:val="24"/>
        </w:rPr>
        <w:t xml:space="preserve"> only</w:t>
      </w:r>
      <w:r w:rsidR="0012005C">
        <w:rPr>
          <w:rFonts w:ascii="Times New Roman" w:hAnsi="Times New Roman" w:cs="Times New Roman"/>
          <w:sz w:val="24"/>
          <w:szCs w:val="24"/>
        </w:rPr>
        <w:t xml:space="preserve"> to the effects of a wastewater outfall. The state sets regulatory restriction</w:t>
      </w:r>
      <w:r w:rsidR="000977A8">
        <w:rPr>
          <w:rFonts w:ascii="Times New Roman" w:hAnsi="Times New Roman" w:cs="Times New Roman"/>
          <w:sz w:val="24"/>
          <w:szCs w:val="24"/>
        </w:rPr>
        <w:t>s</w:t>
      </w:r>
      <w:r w:rsidR="0012005C">
        <w:rPr>
          <w:rFonts w:ascii="Times New Roman" w:hAnsi="Times New Roman" w:cs="Times New Roman"/>
          <w:sz w:val="24"/>
          <w:szCs w:val="24"/>
        </w:rPr>
        <w:t xml:space="preserve"> on the effluent quality allowed to be release</w:t>
      </w:r>
      <w:r w:rsidR="000977A8">
        <w:rPr>
          <w:rFonts w:ascii="Times New Roman" w:hAnsi="Times New Roman" w:cs="Times New Roman"/>
          <w:sz w:val="24"/>
          <w:szCs w:val="24"/>
        </w:rPr>
        <w:t>d</w:t>
      </w:r>
      <w:r w:rsidR="0012005C">
        <w:rPr>
          <w:rFonts w:ascii="Times New Roman" w:hAnsi="Times New Roman" w:cs="Times New Roman"/>
          <w:sz w:val="24"/>
          <w:szCs w:val="24"/>
        </w:rPr>
        <w:t xml:space="preserve"> and then defines a non-regulatory monitoring program </w:t>
      </w:r>
      <w:r w:rsidR="000977A8">
        <w:rPr>
          <w:rFonts w:ascii="Times New Roman" w:hAnsi="Times New Roman" w:cs="Times New Roman"/>
          <w:sz w:val="24"/>
          <w:szCs w:val="24"/>
        </w:rPr>
        <w:t>(</w:t>
      </w:r>
      <w:r w:rsidR="0012005C">
        <w:rPr>
          <w:rFonts w:ascii="Times New Roman" w:hAnsi="Times New Roman" w:cs="Times New Roman"/>
          <w:sz w:val="24"/>
          <w:szCs w:val="24"/>
        </w:rPr>
        <w:t>with the exception of edge of mixing zone water quality monitoring</w:t>
      </w:r>
      <w:r w:rsidR="000977A8">
        <w:rPr>
          <w:rFonts w:ascii="Times New Roman" w:hAnsi="Times New Roman" w:cs="Times New Roman"/>
          <w:sz w:val="24"/>
          <w:szCs w:val="24"/>
        </w:rPr>
        <w:t>) to measure the effects of that single outfall</w:t>
      </w:r>
      <w:r w:rsidR="0012005C">
        <w:rPr>
          <w:rFonts w:ascii="Times New Roman" w:hAnsi="Times New Roman" w:cs="Times New Roman"/>
          <w:sz w:val="24"/>
          <w:szCs w:val="24"/>
        </w:rPr>
        <w:t xml:space="preserve">. </w:t>
      </w:r>
    </w:p>
    <w:p w14:paraId="76E20BA7" w14:textId="3B6558B6" w:rsidR="00A036F8" w:rsidRPr="00E3696C" w:rsidRDefault="00A036F8" w:rsidP="009A17AA">
      <w:pPr>
        <w:spacing w:line="276" w:lineRule="auto"/>
        <w:rPr>
          <w:rFonts w:ascii="Times New Roman" w:hAnsi="Times New Roman" w:cs="Times New Roman"/>
          <w:color w:val="111111"/>
          <w:sz w:val="24"/>
          <w:szCs w:val="24"/>
          <w:shd w:val="clear" w:color="auto" w:fill="FFFFFF"/>
        </w:rPr>
      </w:pPr>
      <w:r>
        <w:rPr>
          <w:rFonts w:ascii="Times New Roman" w:hAnsi="Times New Roman" w:cs="Times New Roman"/>
          <w:sz w:val="24"/>
          <w:szCs w:val="24"/>
        </w:rPr>
        <w:t>As covered in General Comments at I.</w:t>
      </w:r>
      <w:r w:rsidR="00E3696C">
        <w:rPr>
          <w:rFonts w:ascii="Times New Roman" w:hAnsi="Times New Roman" w:cs="Times New Roman"/>
          <w:sz w:val="24"/>
          <w:szCs w:val="24"/>
        </w:rPr>
        <w:t>,</w:t>
      </w:r>
      <w:r>
        <w:rPr>
          <w:rFonts w:ascii="Times New Roman" w:hAnsi="Times New Roman" w:cs="Times New Roman"/>
          <w:sz w:val="24"/>
          <w:szCs w:val="24"/>
        </w:rPr>
        <w:t xml:space="preserve"> Admiralty Island National Monument was set aside due to the outstanding ecology.</w:t>
      </w:r>
      <w:r w:rsidR="00E3696C">
        <w:rPr>
          <w:rFonts w:ascii="Times New Roman" w:hAnsi="Times New Roman" w:cs="Times New Roman"/>
          <w:sz w:val="24"/>
          <w:szCs w:val="24"/>
        </w:rPr>
        <w:t xml:space="preserve">  </w:t>
      </w:r>
      <w:r w:rsidR="00E3696C" w:rsidRPr="00E3696C">
        <w:rPr>
          <w:rFonts w:ascii="Times New Roman" w:hAnsi="Times New Roman" w:cs="Times New Roman"/>
          <w:sz w:val="24"/>
          <w:szCs w:val="24"/>
        </w:rPr>
        <w:t xml:space="preserve">Ecology is commonly understood to mean the </w:t>
      </w:r>
      <w:r w:rsidR="00E3696C" w:rsidRPr="00E3696C">
        <w:rPr>
          <w:rFonts w:ascii="Times New Roman" w:hAnsi="Times New Roman" w:cs="Times New Roman"/>
          <w:color w:val="040C28"/>
          <w:sz w:val="24"/>
          <w:szCs w:val="24"/>
        </w:rPr>
        <w:t xml:space="preserve">relationships between living organisms, including humans, and their physical environment.  The relationship between living </w:t>
      </w:r>
      <w:r w:rsidR="00E3696C" w:rsidRPr="00E3696C">
        <w:rPr>
          <w:rFonts w:ascii="Times New Roman" w:hAnsi="Times New Roman" w:cs="Times New Roman"/>
          <w:color w:val="040C28"/>
          <w:sz w:val="24"/>
          <w:szCs w:val="24"/>
        </w:rPr>
        <w:lastRenderedPageBreak/>
        <w:t xml:space="preserve">organisms in Hawk Inlet </w:t>
      </w:r>
      <w:r w:rsidR="000977A8">
        <w:rPr>
          <w:rFonts w:ascii="Times New Roman" w:hAnsi="Times New Roman" w:cs="Times New Roman"/>
          <w:color w:val="040C28"/>
          <w:sz w:val="24"/>
          <w:szCs w:val="24"/>
        </w:rPr>
        <w:t>was</w:t>
      </w:r>
      <w:r w:rsidR="00E3696C" w:rsidRPr="00E3696C">
        <w:rPr>
          <w:rFonts w:ascii="Times New Roman" w:hAnsi="Times New Roman" w:cs="Times New Roman"/>
          <w:color w:val="040C28"/>
          <w:sz w:val="24"/>
          <w:szCs w:val="24"/>
        </w:rPr>
        <w:t xml:space="preserve"> characterized by the original biological community.</w:t>
      </w:r>
      <w:r w:rsidR="0012005C">
        <w:rPr>
          <w:rFonts w:ascii="Times New Roman" w:hAnsi="Times New Roman" w:cs="Times New Roman"/>
          <w:color w:val="040C28"/>
          <w:sz w:val="24"/>
          <w:szCs w:val="24"/>
        </w:rPr>
        <w:t xml:space="preserve"> The standard the Forest Service is held to is the protection of the biological community of </w:t>
      </w:r>
      <w:r w:rsidR="000977A8">
        <w:rPr>
          <w:rFonts w:ascii="Times New Roman" w:hAnsi="Times New Roman" w:cs="Times New Roman"/>
          <w:color w:val="040C28"/>
          <w:sz w:val="24"/>
          <w:szCs w:val="24"/>
        </w:rPr>
        <w:t>Admiralty</w:t>
      </w:r>
      <w:r w:rsidR="0012005C">
        <w:rPr>
          <w:rFonts w:ascii="Times New Roman" w:hAnsi="Times New Roman" w:cs="Times New Roman"/>
          <w:color w:val="040C28"/>
          <w:sz w:val="24"/>
          <w:szCs w:val="24"/>
        </w:rPr>
        <w:t xml:space="preserve"> Island</w:t>
      </w:r>
      <w:r w:rsidR="00CF440D">
        <w:rPr>
          <w:rFonts w:ascii="Times New Roman" w:hAnsi="Times New Roman" w:cs="Times New Roman"/>
          <w:color w:val="040C28"/>
          <w:sz w:val="24"/>
          <w:szCs w:val="24"/>
        </w:rPr>
        <w:t>.</w:t>
      </w:r>
    </w:p>
    <w:p w14:paraId="3CBDF6C1" w14:textId="2485078D" w:rsidR="00E3696C" w:rsidRDefault="00A036F8" w:rsidP="009A17AA">
      <w:pPr>
        <w:spacing w:line="276" w:lineRule="auto"/>
        <w:rPr>
          <w:rFonts w:ascii="Times New Roman" w:hAnsi="Times New Roman" w:cs="Times New Roman"/>
          <w:sz w:val="24"/>
          <w:szCs w:val="24"/>
        </w:rPr>
      </w:pPr>
      <w:r w:rsidRPr="00A036F8">
        <w:rPr>
          <w:rFonts w:ascii="Times New Roman" w:hAnsi="Times New Roman" w:cs="Times New Roman"/>
          <w:sz w:val="24"/>
          <w:szCs w:val="24"/>
        </w:rPr>
        <w:t xml:space="preserve">Prior to </w:t>
      </w:r>
      <w:r>
        <w:rPr>
          <w:rFonts w:ascii="Times New Roman" w:hAnsi="Times New Roman" w:cs="Times New Roman"/>
          <w:sz w:val="24"/>
          <w:szCs w:val="24"/>
        </w:rPr>
        <w:t xml:space="preserve">the first application to mine, the mining company at the time </w:t>
      </w:r>
      <w:r w:rsidR="00E3696C">
        <w:rPr>
          <w:rFonts w:ascii="Times New Roman" w:hAnsi="Times New Roman" w:cs="Times New Roman"/>
          <w:sz w:val="24"/>
          <w:szCs w:val="24"/>
        </w:rPr>
        <w:t>undertook s</w:t>
      </w:r>
      <w:r w:rsidR="00E3696C" w:rsidRPr="00E3696C">
        <w:rPr>
          <w:rFonts w:ascii="Times New Roman" w:hAnsi="Times New Roman" w:cs="Times New Roman"/>
          <w:sz w:val="24"/>
          <w:szCs w:val="24"/>
        </w:rPr>
        <w:t xml:space="preserve">tudies of the aquatic biology of Hawk Inlet </w:t>
      </w:r>
      <w:r w:rsidR="00E3696C">
        <w:rPr>
          <w:rFonts w:ascii="Times New Roman" w:hAnsi="Times New Roman" w:cs="Times New Roman"/>
          <w:sz w:val="24"/>
          <w:szCs w:val="24"/>
        </w:rPr>
        <w:t>over a period of three years</w:t>
      </w:r>
      <w:r w:rsidR="00E3696C" w:rsidRPr="00E3696C">
        <w:rPr>
          <w:rFonts w:ascii="Times New Roman" w:hAnsi="Times New Roman" w:cs="Times New Roman"/>
          <w:sz w:val="24"/>
          <w:szCs w:val="24"/>
        </w:rPr>
        <w:t xml:space="preserve"> to assess potential impacts of the mining operation</w:t>
      </w:r>
      <w:r w:rsidR="00E3696C">
        <w:rPr>
          <w:rFonts w:ascii="Times New Roman" w:hAnsi="Times New Roman" w:cs="Times New Roman"/>
          <w:sz w:val="24"/>
          <w:szCs w:val="24"/>
        </w:rPr>
        <w:t xml:space="preserve"> and t</w:t>
      </w:r>
      <w:r w:rsidR="00E3696C" w:rsidRPr="00E3696C">
        <w:rPr>
          <w:rFonts w:ascii="Times New Roman" w:hAnsi="Times New Roman" w:cs="Times New Roman"/>
          <w:sz w:val="24"/>
          <w:szCs w:val="24"/>
        </w:rPr>
        <w:t>o provide a basis for establishing preoperational and baseline conditions</w:t>
      </w:r>
      <w:r w:rsidR="00E3696C">
        <w:rPr>
          <w:rFonts w:ascii="Times New Roman" w:hAnsi="Times New Roman" w:cs="Times New Roman"/>
          <w:sz w:val="24"/>
          <w:szCs w:val="24"/>
        </w:rPr>
        <w:t>.</w:t>
      </w:r>
      <w:r w:rsidR="00E3696C">
        <w:rPr>
          <w:rStyle w:val="FootnoteReference"/>
          <w:rFonts w:ascii="Times New Roman" w:hAnsi="Times New Roman" w:cs="Times New Roman"/>
          <w:sz w:val="24"/>
          <w:szCs w:val="24"/>
        </w:rPr>
        <w:footnoteReference w:id="8"/>
      </w:r>
      <w:r w:rsidR="00AF5393">
        <w:rPr>
          <w:rFonts w:ascii="Times New Roman" w:hAnsi="Times New Roman" w:cs="Times New Roman"/>
          <w:sz w:val="24"/>
          <w:szCs w:val="24"/>
        </w:rPr>
        <w:t xml:space="preserve">  These studies included an inventory of </w:t>
      </w:r>
      <w:r w:rsidR="000977A8">
        <w:rPr>
          <w:rFonts w:ascii="Times New Roman" w:hAnsi="Times New Roman" w:cs="Times New Roman"/>
          <w:sz w:val="24"/>
          <w:szCs w:val="24"/>
        </w:rPr>
        <w:t xml:space="preserve">the </w:t>
      </w:r>
      <w:r w:rsidR="00AF5393">
        <w:rPr>
          <w:rFonts w:ascii="Times New Roman" w:hAnsi="Times New Roman" w:cs="Times New Roman"/>
          <w:sz w:val="24"/>
          <w:szCs w:val="24"/>
        </w:rPr>
        <w:t xml:space="preserve">macro-invertebrate biological community within the </w:t>
      </w:r>
      <w:r w:rsidR="00CF440D">
        <w:rPr>
          <w:rFonts w:ascii="Times New Roman" w:hAnsi="Times New Roman" w:cs="Times New Roman"/>
          <w:sz w:val="24"/>
          <w:szCs w:val="24"/>
        </w:rPr>
        <w:t xml:space="preserve">tidal and </w:t>
      </w:r>
      <w:r w:rsidR="00AF5393">
        <w:rPr>
          <w:rFonts w:ascii="Times New Roman" w:hAnsi="Times New Roman" w:cs="Times New Roman"/>
          <w:sz w:val="24"/>
          <w:szCs w:val="24"/>
        </w:rPr>
        <w:t xml:space="preserve">intertidal area of Hawk Inlet </w:t>
      </w:r>
      <w:r w:rsidR="00CF440D">
        <w:rPr>
          <w:rFonts w:ascii="Times New Roman" w:hAnsi="Times New Roman" w:cs="Times New Roman"/>
          <w:sz w:val="24"/>
          <w:szCs w:val="24"/>
        </w:rPr>
        <w:t xml:space="preserve">and near-by Young Bay chosen as a reference area. </w:t>
      </w:r>
      <w:r w:rsidR="00AF5393">
        <w:rPr>
          <w:rFonts w:ascii="Times New Roman" w:hAnsi="Times New Roman" w:cs="Times New Roman"/>
          <w:sz w:val="24"/>
          <w:szCs w:val="24"/>
        </w:rPr>
        <w:t>This study was for “use in monitoring to ensure the detection of any effects of mine operation.”</w:t>
      </w:r>
      <w:r w:rsidR="00771780">
        <w:rPr>
          <w:rFonts w:ascii="Times New Roman" w:hAnsi="Times New Roman" w:cs="Times New Roman"/>
          <w:sz w:val="24"/>
          <w:szCs w:val="24"/>
        </w:rPr>
        <w:t xml:space="preserve"> </w:t>
      </w:r>
      <w:r w:rsidR="00AF5393">
        <w:rPr>
          <w:rStyle w:val="FootnoteReference"/>
          <w:rFonts w:ascii="Times New Roman" w:hAnsi="Times New Roman" w:cs="Times New Roman"/>
          <w:sz w:val="24"/>
          <w:szCs w:val="24"/>
        </w:rPr>
        <w:footnoteReference w:id="9"/>
      </w:r>
      <w:r w:rsidR="00AF5393">
        <w:rPr>
          <w:rFonts w:ascii="Times New Roman" w:hAnsi="Times New Roman" w:cs="Times New Roman"/>
          <w:sz w:val="24"/>
          <w:szCs w:val="24"/>
        </w:rPr>
        <w:t xml:space="preserve">  This monitoring was to be conducted annually during construction and operation</w:t>
      </w:r>
      <w:r w:rsidR="000977A8">
        <w:rPr>
          <w:rFonts w:ascii="Times New Roman" w:hAnsi="Times New Roman" w:cs="Times New Roman"/>
          <w:sz w:val="24"/>
          <w:szCs w:val="24"/>
        </w:rPr>
        <w:t xml:space="preserve"> of the mine</w:t>
      </w:r>
      <w:r w:rsidR="00AF5393">
        <w:rPr>
          <w:rFonts w:ascii="Times New Roman" w:hAnsi="Times New Roman" w:cs="Times New Roman"/>
          <w:sz w:val="24"/>
          <w:szCs w:val="24"/>
        </w:rPr>
        <w:t xml:space="preserve">. </w:t>
      </w:r>
    </w:p>
    <w:p w14:paraId="7149602A" w14:textId="4CBD925F" w:rsidR="00771780" w:rsidRDefault="00AF5393" w:rsidP="009A17AA">
      <w:pPr>
        <w:spacing w:line="276" w:lineRule="auto"/>
        <w:rPr>
          <w:rFonts w:ascii="Times New Roman" w:hAnsi="Times New Roman" w:cs="Times New Roman"/>
          <w:sz w:val="24"/>
          <w:szCs w:val="24"/>
        </w:rPr>
      </w:pPr>
      <w:r>
        <w:rPr>
          <w:rFonts w:ascii="Times New Roman" w:hAnsi="Times New Roman" w:cs="Times New Roman"/>
          <w:sz w:val="24"/>
          <w:szCs w:val="24"/>
        </w:rPr>
        <w:t xml:space="preserve">Fully aware of the requirements under ANILCA and the baseline studies conducted prior to the first application to mine, the Forest </w:t>
      </w:r>
      <w:r w:rsidR="00771780" w:rsidRPr="00771780">
        <w:rPr>
          <w:rFonts w:ascii="Times New Roman" w:hAnsi="Times New Roman" w:cs="Times New Roman"/>
          <w:sz w:val="24"/>
          <w:szCs w:val="24"/>
        </w:rPr>
        <w:t>Supervisor adopted Alternative 6</w:t>
      </w:r>
      <w:r w:rsidR="000977A8">
        <w:rPr>
          <w:rFonts w:ascii="Times New Roman" w:hAnsi="Times New Roman" w:cs="Times New Roman"/>
          <w:sz w:val="24"/>
          <w:szCs w:val="24"/>
        </w:rPr>
        <w:t xml:space="preserve"> in 1983</w:t>
      </w:r>
      <w:r w:rsidR="00771780" w:rsidRPr="00771780">
        <w:rPr>
          <w:rFonts w:ascii="Times New Roman" w:hAnsi="Times New Roman" w:cs="Times New Roman"/>
          <w:sz w:val="24"/>
          <w:szCs w:val="24"/>
        </w:rPr>
        <w:t>, a wastewater discharge into Chatham Straits</w:t>
      </w:r>
      <w:r w:rsidR="00CF440D">
        <w:rPr>
          <w:rFonts w:ascii="Times New Roman" w:hAnsi="Times New Roman" w:cs="Times New Roman"/>
          <w:sz w:val="24"/>
          <w:szCs w:val="24"/>
        </w:rPr>
        <w:t xml:space="preserve"> rejecting a Hawk Inlet discharge</w:t>
      </w:r>
      <w:r w:rsidR="00771780" w:rsidRPr="00771780">
        <w:rPr>
          <w:rFonts w:ascii="Times New Roman" w:hAnsi="Times New Roman" w:cs="Times New Roman"/>
          <w:sz w:val="24"/>
          <w:szCs w:val="24"/>
        </w:rPr>
        <w:t xml:space="preserve"> “because the lack of definitive data about regarding the potential biological effects within Hawk Inlet and the lack of discharge standards from ADEC.”</w:t>
      </w:r>
      <w:r w:rsidR="00771780">
        <w:rPr>
          <w:rFonts w:ascii="Times New Roman" w:hAnsi="Times New Roman" w:cs="Times New Roman"/>
          <w:sz w:val="24"/>
          <w:szCs w:val="24"/>
        </w:rPr>
        <w:t xml:space="preserve"> </w:t>
      </w:r>
      <w:r w:rsidR="00771780">
        <w:rPr>
          <w:rStyle w:val="FootnoteReference"/>
          <w:rFonts w:ascii="Times New Roman" w:hAnsi="Times New Roman" w:cs="Times New Roman"/>
          <w:sz w:val="24"/>
          <w:szCs w:val="24"/>
        </w:rPr>
        <w:footnoteReference w:id="10"/>
      </w:r>
      <w:r w:rsidR="00771780" w:rsidRPr="00771780">
        <w:rPr>
          <w:rFonts w:ascii="Times New Roman" w:hAnsi="Times New Roman" w:cs="Times New Roman"/>
          <w:sz w:val="24"/>
          <w:szCs w:val="24"/>
        </w:rPr>
        <w:t xml:space="preserve">  This decision was supported by ADEC.</w:t>
      </w:r>
    </w:p>
    <w:p w14:paraId="11013383" w14:textId="446BF60E" w:rsidR="00771780" w:rsidRDefault="00771780" w:rsidP="009A17AA">
      <w:pPr>
        <w:spacing w:line="276" w:lineRule="auto"/>
        <w:rPr>
          <w:rFonts w:ascii="Times New Roman" w:hAnsi="Times New Roman" w:cs="Times New Roman"/>
          <w:sz w:val="24"/>
          <w:szCs w:val="24"/>
        </w:rPr>
      </w:pPr>
      <w:r>
        <w:rPr>
          <w:rFonts w:ascii="Times New Roman" w:hAnsi="Times New Roman" w:cs="Times New Roman"/>
          <w:sz w:val="24"/>
          <w:szCs w:val="24"/>
        </w:rPr>
        <w:t>It was noted in the 1983 ROD that “if at a future date</w:t>
      </w:r>
      <w:r w:rsidRPr="00771780">
        <w:rPr>
          <w:rFonts w:ascii="Times New Roman" w:hAnsi="Times New Roman" w:cs="Times New Roman"/>
          <w:sz w:val="24"/>
          <w:szCs w:val="24"/>
        </w:rPr>
        <w:t xml:space="preserve"> at a future date, the permitting agencies are satisfied that potential biological effects have been identified and/or that no significant deterioration of the biological community will occur, the Forest Service will not oppose effluent discharge into Hawk Inlet.”</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1"/>
      </w:r>
    </w:p>
    <w:p w14:paraId="6AAC7801" w14:textId="341118A6" w:rsidR="00771780" w:rsidRDefault="00771780" w:rsidP="009A17AA">
      <w:pPr>
        <w:spacing w:line="276" w:lineRule="auto"/>
        <w:rPr>
          <w:rFonts w:ascii="Times New Roman" w:hAnsi="Times New Roman" w:cs="Times New Roman"/>
          <w:sz w:val="24"/>
          <w:szCs w:val="24"/>
        </w:rPr>
      </w:pPr>
      <w:r>
        <w:rPr>
          <w:rFonts w:ascii="Times New Roman" w:hAnsi="Times New Roman" w:cs="Times New Roman"/>
          <w:sz w:val="24"/>
          <w:szCs w:val="24"/>
        </w:rPr>
        <w:t>Five years later</w:t>
      </w:r>
      <w:r w:rsidR="00E71938">
        <w:rPr>
          <w:rFonts w:ascii="Times New Roman" w:hAnsi="Times New Roman" w:cs="Times New Roman"/>
          <w:sz w:val="24"/>
          <w:szCs w:val="24"/>
        </w:rPr>
        <w:t>,</w:t>
      </w:r>
      <w:r>
        <w:rPr>
          <w:rFonts w:ascii="Times New Roman" w:hAnsi="Times New Roman" w:cs="Times New Roman"/>
          <w:sz w:val="24"/>
          <w:szCs w:val="24"/>
        </w:rPr>
        <w:t xml:space="preserve"> the m</w:t>
      </w:r>
      <w:r w:rsidRPr="00771780">
        <w:rPr>
          <w:rFonts w:ascii="Times New Roman" w:hAnsi="Times New Roman" w:cs="Times New Roman"/>
          <w:sz w:val="24"/>
          <w:szCs w:val="24"/>
        </w:rPr>
        <w:t>ine plan was changed from tailings pond to dry stack</w:t>
      </w:r>
      <w:r>
        <w:rPr>
          <w:rFonts w:ascii="Times New Roman" w:hAnsi="Times New Roman" w:cs="Times New Roman"/>
          <w:sz w:val="24"/>
          <w:szCs w:val="24"/>
        </w:rPr>
        <w:t xml:space="preserve"> tailings facility and the applicant applied for a</w:t>
      </w:r>
      <w:r w:rsidR="00E71938">
        <w:rPr>
          <w:rFonts w:ascii="Times New Roman" w:hAnsi="Times New Roman" w:cs="Times New Roman"/>
          <w:sz w:val="24"/>
          <w:szCs w:val="24"/>
        </w:rPr>
        <w:t>n</w:t>
      </w:r>
      <w:r>
        <w:rPr>
          <w:rFonts w:ascii="Times New Roman" w:hAnsi="Times New Roman" w:cs="Times New Roman"/>
          <w:sz w:val="24"/>
          <w:szCs w:val="24"/>
        </w:rPr>
        <w:t xml:space="preserve"> amended Plan of Operations.  It was then the waste water discharge was moved from </w:t>
      </w:r>
      <w:r w:rsidR="00E71938" w:rsidRPr="00E71938">
        <w:rPr>
          <w:rFonts w:ascii="Times New Roman" w:hAnsi="Times New Roman" w:cs="Times New Roman"/>
          <w:sz w:val="24"/>
          <w:szCs w:val="24"/>
        </w:rPr>
        <w:t xml:space="preserve">Chatham Strait </w:t>
      </w:r>
      <w:r w:rsidR="00E71938">
        <w:rPr>
          <w:rFonts w:ascii="Times New Roman" w:hAnsi="Times New Roman" w:cs="Times New Roman"/>
          <w:sz w:val="24"/>
          <w:szCs w:val="24"/>
        </w:rPr>
        <w:t xml:space="preserve">into Hawk Inlet. </w:t>
      </w:r>
      <w:r w:rsidRPr="00771780">
        <w:rPr>
          <w:rFonts w:ascii="Times New Roman" w:hAnsi="Times New Roman" w:cs="Times New Roman"/>
          <w:sz w:val="24"/>
          <w:szCs w:val="24"/>
        </w:rPr>
        <w:t xml:space="preserve">ADEC established receiving water quality standards </w:t>
      </w:r>
      <w:r w:rsidR="00E71938">
        <w:rPr>
          <w:rFonts w:ascii="Times New Roman" w:hAnsi="Times New Roman" w:cs="Times New Roman"/>
          <w:sz w:val="24"/>
          <w:szCs w:val="24"/>
        </w:rPr>
        <w:t xml:space="preserve">and effluent limits </w:t>
      </w:r>
      <w:r w:rsidRPr="00771780">
        <w:rPr>
          <w:rFonts w:ascii="Times New Roman" w:hAnsi="Times New Roman" w:cs="Times New Roman"/>
          <w:sz w:val="24"/>
          <w:szCs w:val="24"/>
        </w:rPr>
        <w:t>to allow discharge into a mixing zone in Hawk Inlet</w:t>
      </w:r>
      <w:r w:rsidR="00CF440D">
        <w:rPr>
          <w:rFonts w:ascii="Times New Roman" w:hAnsi="Times New Roman" w:cs="Times New Roman"/>
          <w:sz w:val="24"/>
          <w:szCs w:val="24"/>
        </w:rPr>
        <w:t>.  The permit is unauthorized degradation of a Tier 2 allowed to support a public benefit, the mine. A</w:t>
      </w:r>
      <w:r w:rsidRPr="00771780">
        <w:rPr>
          <w:rFonts w:ascii="Times New Roman" w:hAnsi="Times New Roman" w:cs="Times New Roman"/>
          <w:sz w:val="24"/>
          <w:szCs w:val="24"/>
        </w:rPr>
        <w:t xml:space="preserve"> monitoring program</w:t>
      </w:r>
      <w:r w:rsidR="00E71938">
        <w:rPr>
          <w:rFonts w:ascii="Times New Roman" w:hAnsi="Times New Roman" w:cs="Times New Roman"/>
          <w:sz w:val="24"/>
          <w:szCs w:val="24"/>
        </w:rPr>
        <w:t xml:space="preserve"> based on monitoring the trends of certain heavy metals in water, sediment and tissue of two types of benthic organisms, </w:t>
      </w:r>
      <w:r w:rsidR="00CF440D">
        <w:rPr>
          <w:rFonts w:ascii="Times New Roman" w:hAnsi="Times New Roman" w:cs="Times New Roman"/>
          <w:sz w:val="24"/>
          <w:szCs w:val="24"/>
        </w:rPr>
        <w:t xml:space="preserve">replaced the tidal and intertidal species population and diversity monitoring. </w:t>
      </w:r>
      <w:r w:rsidR="00E71938">
        <w:rPr>
          <w:rFonts w:ascii="Times New Roman" w:hAnsi="Times New Roman" w:cs="Times New Roman"/>
          <w:sz w:val="24"/>
          <w:szCs w:val="24"/>
        </w:rPr>
        <w:t xml:space="preserve">The </w:t>
      </w:r>
      <w:r w:rsidR="00CF440D">
        <w:rPr>
          <w:rFonts w:ascii="Times New Roman" w:hAnsi="Times New Roman" w:cs="Times New Roman"/>
          <w:sz w:val="24"/>
          <w:szCs w:val="24"/>
        </w:rPr>
        <w:t xml:space="preserve">objective </w:t>
      </w:r>
      <w:r w:rsidR="00E71938">
        <w:rPr>
          <w:rFonts w:ascii="Times New Roman" w:hAnsi="Times New Roman" w:cs="Times New Roman"/>
          <w:sz w:val="24"/>
          <w:szCs w:val="24"/>
        </w:rPr>
        <w:t>of t</w:t>
      </w:r>
      <w:r w:rsidRPr="00771780">
        <w:rPr>
          <w:rFonts w:ascii="Times New Roman" w:hAnsi="Times New Roman" w:cs="Times New Roman"/>
          <w:sz w:val="24"/>
          <w:szCs w:val="24"/>
        </w:rPr>
        <w:t>he monitoring program was established to determine compliance with effluent limits under AS 46.03.110(d).</w:t>
      </w:r>
      <w:r w:rsidR="00E71938">
        <w:rPr>
          <w:rFonts w:ascii="Times New Roman" w:hAnsi="Times New Roman" w:cs="Times New Roman"/>
          <w:sz w:val="24"/>
          <w:szCs w:val="24"/>
        </w:rPr>
        <w:t xml:space="preserve"> </w:t>
      </w:r>
      <w:r w:rsidR="00E71938">
        <w:rPr>
          <w:rStyle w:val="FootnoteReference"/>
          <w:rFonts w:ascii="Times New Roman" w:hAnsi="Times New Roman" w:cs="Times New Roman"/>
          <w:sz w:val="24"/>
          <w:szCs w:val="24"/>
        </w:rPr>
        <w:footnoteReference w:id="12"/>
      </w:r>
    </w:p>
    <w:p w14:paraId="58EE0991" w14:textId="47F41EEA" w:rsidR="0012005C" w:rsidRDefault="009441A9" w:rsidP="00365009">
      <w:pPr>
        <w:rPr>
          <w:rFonts w:ascii="Times New Roman" w:hAnsi="Times New Roman" w:cs="Times New Roman"/>
          <w:sz w:val="24"/>
          <w:szCs w:val="24"/>
        </w:rPr>
      </w:pPr>
      <w:r>
        <w:rPr>
          <w:rFonts w:ascii="Times New Roman" w:hAnsi="Times New Roman" w:cs="Times New Roman"/>
          <w:sz w:val="24"/>
          <w:szCs w:val="24"/>
        </w:rPr>
        <w:t xml:space="preserve">There was no description of possible effects of the discharge to the biological community.  </w:t>
      </w:r>
      <w:r w:rsidR="00E71938">
        <w:rPr>
          <w:rFonts w:ascii="Times New Roman" w:hAnsi="Times New Roman" w:cs="Times New Roman"/>
          <w:sz w:val="24"/>
          <w:szCs w:val="24"/>
        </w:rPr>
        <w:t xml:space="preserve">It was then that the Forest Service abandoned any responsibility for the protection of the </w:t>
      </w:r>
      <w:r>
        <w:rPr>
          <w:rFonts w:ascii="Times New Roman" w:hAnsi="Times New Roman" w:cs="Times New Roman"/>
          <w:sz w:val="24"/>
          <w:szCs w:val="24"/>
        </w:rPr>
        <w:t xml:space="preserve">ecology of Admiralty Island National Monument and any commitment for </w:t>
      </w:r>
      <w:r w:rsidR="00001CE7">
        <w:rPr>
          <w:rFonts w:ascii="Times New Roman" w:hAnsi="Times New Roman" w:cs="Times New Roman"/>
          <w:sz w:val="24"/>
          <w:szCs w:val="24"/>
        </w:rPr>
        <w:t xml:space="preserve">monitoring </w:t>
      </w:r>
      <w:r w:rsidR="0012005C">
        <w:rPr>
          <w:rFonts w:ascii="Times New Roman" w:hAnsi="Times New Roman" w:cs="Times New Roman"/>
          <w:sz w:val="24"/>
          <w:szCs w:val="24"/>
        </w:rPr>
        <w:t>designed to detect</w:t>
      </w:r>
      <w:r w:rsidR="00E71938">
        <w:rPr>
          <w:rFonts w:ascii="Times New Roman" w:hAnsi="Times New Roman" w:cs="Times New Roman"/>
          <w:sz w:val="24"/>
          <w:szCs w:val="24"/>
        </w:rPr>
        <w:t xml:space="preserve"> the nature</w:t>
      </w:r>
      <w:r w:rsidR="00CF440D">
        <w:rPr>
          <w:rFonts w:ascii="Times New Roman" w:hAnsi="Times New Roman" w:cs="Times New Roman"/>
          <w:sz w:val="24"/>
          <w:szCs w:val="24"/>
        </w:rPr>
        <w:t xml:space="preserve"> and intensity </w:t>
      </w:r>
      <w:r w:rsidR="00E71938">
        <w:rPr>
          <w:rFonts w:ascii="Times New Roman" w:hAnsi="Times New Roman" w:cs="Times New Roman"/>
          <w:sz w:val="24"/>
          <w:szCs w:val="24"/>
        </w:rPr>
        <w:t>of harm</w:t>
      </w:r>
      <w:r w:rsidR="00CF440D">
        <w:rPr>
          <w:rFonts w:ascii="Times New Roman" w:hAnsi="Times New Roman" w:cs="Times New Roman"/>
          <w:sz w:val="24"/>
          <w:szCs w:val="24"/>
        </w:rPr>
        <w:t xml:space="preserve">, if harm were to occur. </w:t>
      </w:r>
      <w:r w:rsidR="00E71938">
        <w:rPr>
          <w:rFonts w:ascii="Times New Roman" w:hAnsi="Times New Roman" w:cs="Times New Roman"/>
          <w:sz w:val="24"/>
          <w:szCs w:val="24"/>
        </w:rPr>
        <w:t xml:space="preserve"> </w:t>
      </w:r>
      <w:r w:rsidR="00E71938" w:rsidRPr="0012005C">
        <w:rPr>
          <w:rFonts w:ascii="Times New Roman" w:hAnsi="Times New Roman" w:cs="Times New Roman"/>
          <w:sz w:val="24"/>
          <w:szCs w:val="24"/>
        </w:rPr>
        <w:t xml:space="preserve">No effects analysis or risk analysis </w:t>
      </w:r>
      <w:r w:rsidR="0012005C">
        <w:rPr>
          <w:rFonts w:ascii="Times New Roman" w:hAnsi="Times New Roman" w:cs="Times New Roman"/>
          <w:sz w:val="24"/>
          <w:szCs w:val="24"/>
        </w:rPr>
        <w:t xml:space="preserve">at the ecosystem level </w:t>
      </w:r>
      <w:r w:rsidR="00E71938" w:rsidRPr="0012005C">
        <w:rPr>
          <w:rFonts w:ascii="Times New Roman" w:hAnsi="Times New Roman" w:cs="Times New Roman"/>
          <w:sz w:val="24"/>
          <w:szCs w:val="24"/>
        </w:rPr>
        <w:t>was conducted</w:t>
      </w:r>
      <w:r w:rsidR="0012005C">
        <w:rPr>
          <w:rFonts w:ascii="Times New Roman" w:hAnsi="Times New Roman" w:cs="Times New Roman"/>
          <w:sz w:val="24"/>
          <w:szCs w:val="24"/>
        </w:rPr>
        <w:t xml:space="preserve"> in the EA.</w:t>
      </w:r>
      <w:r w:rsidR="00E71938">
        <w:rPr>
          <w:rFonts w:ascii="Times New Roman" w:hAnsi="Times New Roman" w:cs="Times New Roman"/>
          <w:sz w:val="24"/>
          <w:szCs w:val="24"/>
        </w:rPr>
        <w:t xml:space="preserve"> </w:t>
      </w:r>
      <w:r w:rsidR="007A0FBF" w:rsidRPr="007A0FBF">
        <w:rPr>
          <w:rFonts w:ascii="Times New Roman" w:hAnsi="Times New Roman" w:cs="Times New Roman"/>
          <w:color w:val="333333"/>
          <w:sz w:val="24"/>
          <w:szCs w:val="24"/>
          <w:shd w:val="clear" w:color="auto" w:fill="FFFFFF"/>
        </w:rPr>
        <w:t>43 CFR 3802.1 6(b)(1) Modifications of a to Plan</w:t>
      </w:r>
      <w:r w:rsidR="00365009">
        <w:rPr>
          <w:rFonts w:ascii="Times New Roman" w:hAnsi="Times New Roman" w:cs="Times New Roman"/>
          <w:color w:val="333333"/>
          <w:sz w:val="24"/>
          <w:szCs w:val="24"/>
          <w:shd w:val="clear" w:color="auto" w:fill="FFFFFF"/>
        </w:rPr>
        <w:t xml:space="preserve"> require </w:t>
      </w:r>
      <w:r w:rsidR="007A0FBF" w:rsidRPr="007A0FBF">
        <w:rPr>
          <w:rFonts w:ascii="Times New Roman" w:hAnsi="Times New Roman" w:cs="Times New Roman"/>
          <w:sz w:val="24"/>
          <w:szCs w:val="24"/>
        </w:rPr>
        <w:t xml:space="preserve">all reasonable measures </w:t>
      </w:r>
      <w:r w:rsidR="007A0FBF" w:rsidRPr="007A0FBF">
        <w:rPr>
          <w:rFonts w:ascii="Times New Roman" w:hAnsi="Times New Roman" w:cs="Times New Roman"/>
          <w:sz w:val="24"/>
          <w:szCs w:val="24"/>
        </w:rPr>
        <w:lastRenderedPageBreak/>
        <w:t>were taken by the authorized officer to predict the environmental impacts of the proposed operations.</w:t>
      </w:r>
      <w:r w:rsidR="00365009">
        <w:rPr>
          <w:rFonts w:ascii="Times New Roman" w:hAnsi="Times New Roman" w:cs="Times New Roman"/>
          <w:sz w:val="24"/>
          <w:szCs w:val="24"/>
        </w:rPr>
        <w:t xml:space="preserve">  This was not done in 1988.</w:t>
      </w:r>
    </w:p>
    <w:p w14:paraId="11D75AA6" w14:textId="3C1DE3D9" w:rsidR="0012005C" w:rsidRDefault="0012005C" w:rsidP="009A17AA">
      <w:pPr>
        <w:spacing w:line="276" w:lineRule="auto"/>
        <w:jc w:val="both"/>
        <w:rPr>
          <w:rFonts w:ascii="Times New Roman" w:hAnsi="Times New Roman" w:cs="Times New Roman"/>
        </w:rPr>
      </w:pPr>
      <w:r>
        <w:rPr>
          <w:rFonts w:ascii="Times New Roman" w:hAnsi="Times New Roman" w:cs="Times New Roman"/>
          <w:sz w:val="24"/>
          <w:szCs w:val="24"/>
        </w:rPr>
        <w:t xml:space="preserve">The Forest Service failed its duty to </w:t>
      </w:r>
      <w:r>
        <w:rPr>
          <w:rFonts w:ascii="Times New Roman" w:hAnsi="Times New Roman" w:cs="Times New Roman"/>
        </w:rPr>
        <w:t>determine if all reasonable measures were taken to predict environmental impacts of the proposed operation prior to approval.</w:t>
      </w:r>
      <w:r>
        <w:rPr>
          <w:rStyle w:val="FootnoteReference"/>
          <w:rFonts w:ascii="Times New Roman" w:hAnsi="Times New Roman" w:cs="Times New Roman"/>
        </w:rPr>
        <w:footnoteReference w:id="13"/>
      </w:r>
      <w:r>
        <w:rPr>
          <w:rFonts w:ascii="Times New Roman" w:hAnsi="Times New Roman" w:cs="Times New Roman"/>
        </w:rPr>
        <w:t xml:space="preserve"> </w:t>
      </w:r>
      <w:r>
        <w:rPr>
          <w:rFonts w:ascii="Times New Roman" w:hAnsi="Times New Roman" w:cs="Times New Roman"/>
          <w:sz w:val="24"/>
          <w:szCs w:val="24"/>
        </w:rPr>
        <w:t xml:space="preserve">Even the </w:t>
      </w:r>
      <w:r w:rsidRPr="00771780">
        <w:rPr>
          <w:rFonts w:ascii="Times New Roman" w:hAnsi="Times New Roman" w:cs="Times New Roman"/>
          <w:sz w:val="24"/>
          <w:szCs w:val="24"/>
        </w:rPr>
        <w:t xml:space="preserve">possibility of fugitive dust emission </w:t>
      </w:r>
      <w:r>
        <w:rPr>
          <w:rFonts w:ascii="Times New Roman" w:hAnsi="Times New Roman" w:cs="Times New Roman"/>
          <w:sz w:val="24"/>
          <w:szCs w:val="24"/>
        </w:rPr>
        <w:t xml:space="preserve">from the new dry stack </w:t>
      </w:r>
      <w:r w:rsidR="009441A9">
        <w:rPr>
          <w:rFonts w:ascii="Times New Roman" w:hAnsi="Times New Roman" w:cs="Times New Roman"/>
          <w:sz w:val="24"/>
          <w:szCs w:val="24"/>
        </w:rPr>
        <w:t xml:space="preserve">was </w:t>
      </w:r>
      <w:r w:rsidRPr="00771780">
        <w:rPr>
          <w:rFonts w:ascii="Times New Roman" w:hAnsi="Times New Roman" w:cs="Times New Roman"/>
          <w:sz w:val="24"/>
          <w:szCs w:val="24"/>
        </w:rPr>
        <w:t xml:space="preserve">not </w:t>
      </w:r>
      <w:r w:rsidR="009441A9">
        <w:rPr>
          <w:rFonts w:ascii="Times New Roman" w:hAnsi="Times New Roman" w:cs="Times New Roman"/>
          <w:sz w:val="24"/>
          <w:szCs w:val="24"/>
        </w:rPr>
        <w:t xml:space="preserve">mentioned or </w:t>
      </w:r>
      <w:r>
        <w:rPr>
          <w:rFonts w:ascii="Times New Roman" w:hAnsi="Times New Roman" w:cs="Times New Roman"/>
          <w:sz w:val="24"/>
          <w:szCs w:val="24"/>
        </w:rPr>
        <w:t xml:space="preserve">considered.  </w:t>
      </w:r>
    </w:p>
    <w:p w14:paraId="34EAA506" w14:textId="2202F45F" w:rsidR="0012005C" w:rsidRDefault="00E71938" w:rsidP="009A17A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Monitoring for potential harm to Monument values </w:t>
      </w:r>
      <w:r w:rsidR="0012005C">
        <w:rPr>
          <w:rFonts w:ascii="Times New Roman" w:hAnsi="Times New Roman" w:cs="Times New Roman"/>
          <w:sz w:val="24"/>
          <w:szCs w:val="24"/>
        </w:rPr>
        <w:t xml:space="preserve">has been </w:t>
      </w:r>
      <w:r>
        <w:rPr>
          <w:rFonts w:ascii="Times New Roman" w:hAnsi="Times New Roman" w:cs="Times New Roman"/>
          <w:sz w:val="24"/>
          <w:szCs w:val="24"/>
        </w:rPr>
        <w:t>replaced by monitoring the effects of waste water discharges by the State of Alaska.</w:t>
      </w:r>
      <w:r w:rsidR="0012005C">
        <w:rPr>
          <w:rFonts w:ascii="Times New Roman" w:hAnsi="Times New Roman" w:cs="Times New Roman"/>
          <w:sz w:val="24"/>
          <w:szCs w:val="24"/>
        </w:rPr>
        <w:t xml:space="preserve"> The higher standard set by Congress to protect the ecosystem from irreparable harm is not reflected in the objective of the monitoring programs. The Forest Service remains blind to the possible larger effects the mine could be having on </w:t>
      </w:r>
      <w:r w:rsidR="009441A9">
        <w:rPr>
          <w:rFonts w:ascii="Times New Roman" w:hAnsi="Times New Roman" w:cs="Times New Roman"/>
          <w:sz w:val="24"/>
          <w:szCs w:val="24"/>
        </w:rPr>
        <w:t>the Monument</w:t>
      </w:r>
      <w:r w:rsidR="0012005C">
        <w:rPr>
          <w:rFonts w:ascii="Times New Roman" w:hAnsi="Times New Roman" w:cs="Times New Roman"/>
          <w:sz w:val="24"/>
          <w:szCs w:val="24"/>
        </w:rPr>
        <w:t>.</w:t>
      </w:r>
    </w:p>
    <w:p w14:paraId="21C3FF7E" w14:textId="43ADD7D2" w:rsidR="00001CE7" w:rsidRDefault="0012005C" w:rsidP="009A17AA">
      <w:pPr>
        <w:spacing w:line="276" w:lineRule="auto"/>
        <w:jc w:val="both"/>
        <w:rPr>
          <w:rFonts w:ascii="Times New Roman" w:hAnsi="Times New Roman" w:cs="Times New Roman"/>
          <w:sz w:val="24"/>
          <w:szCs w:val="24"/>
        </w:rPr>
      </w:pPr>
      <w:r>
        <w:rPr>
          <w:rFonts w:ascii="Times New Roman" w:hAnsi="Times New Roman" w:cs="Times New Roman"/>
          <w:sz w:val="24"/>
          <w:szCs w:val="24"/>
        </w:rPr>
        <w:t>It</w:t>
      </w:r>
      <w:r w:rsidR="00001CE7">
        <w:rPr>
          <w:rFonts w:ascii="Times New Roman" w:hAnsi="Times New Roman" w:cs="Times New Roman"/>
          <w:sz w:val="24"/>
          <w:szCs w:val="24"/>
        </w:rPr>
        <w:t xml:space="preserve"> was then that the 1981 species diversity and populations studies disappeared </w:t>
      </w:r>
      <w:r w:rsidR="009441A9">
        <w:rPr>
          <w:rFonts w:ascii="Times New Roman" w:hAnsi="Times New Roman" w:cs="Times New Roman"/>
          <w:sz w:val="24"/>
          <w:szCs w:val="24"/>
        </w:rPr>
        <w:t xml:space="preserve">from the public </w:t>
      </w:r>
      <w:r w:rsidR="00001CE7">
        <w:rPr>
          <w:rFonts w:ascii="Times New Roman" w:hAnsi="Times New Roman" w:cs="Times New Roman"/>
          <w:sz w:val="24"/>
          <w:szCs w:val="24"/>
        </w:rPr>
        <w:t xml:space="preserve">for almost 24 years despite showing up in references and in the supporting documents for the next two expansions and </w:t>
      </w:r>
      <w:r w:rsidR="009441A9">
        <w:rPr>
          <w:rFonts w:ascii="Times New Roman" w:hAnsi="Times New Roman" w:cs="Times New Roman"/>
          <w:sz w:val="24"/>
          <w:szCs w:val="24"/>
        </w:rPr>
        <w:t xml:space="preserve">despite </w:t>
      </w:r>
      <w:r w:rsidR="00001CE7">
        <w:rPr>
          <w:rFonts w:ascii="Times New Roman" w:hAnsi="Times New Roman" w:cs="Times New Roman"/>
          <w:sz w:val="24"/>
          <w:szCs w:val="24"/>
        </w:rPr>
        <w:t>numerous requests</w:t>
      </w:r>
      <w:r>
        <w:rPr>
          <w:rFonts w:ascii="Times New Roman" w:hAnsi="Times New Roman" w:cs="Times New Roman"/>
          <w:sz w:val="24"/>
          <w:szCs w:val="24"/>
        </w:rPr>
        <w:t xml:space="preserve"> by the public</w:t>
      </w:r>
      <w:r w:rsidR="00001CE7">
        <w:rPr>
          <w:rFonts w:ascii="Times New Roman" w:hAnsi="Times New Roman" w:cs="Times New Roman"/>
          <w:sz w:val="24"/>
          <w:szCs w:val="24"/>
        </w:rPr>
        <w:t>.</w:t>
      </w:r>
    </w:p>
    <w:p w14:paraId="07A69031" w14:textId="77777777" w:rsidR="00237641" w:rsidRDefault="00237641" w:rsidP="009A17AA">
      <w:pPr>
        <w:spacing w:line="276" w:lineRule="auto"/>
        <w:jc w:val="both"/>
        <w:rPr>
          <w:rFonts w:ascii="Times New Roman" w:hAnsi="Times New Roman" w:cs="Times New Roman"/>
          <w:sz w:val="24"/>
          <w:szCs w:val="24"/>
        </w:rPr>
      </w:pPr>
    </w:p>
    <w:p w14:paraId="75F3E7B9" w14:textId="3AE8C49F" w:rsidR="009D4DE0" w:rsidRDefault="009D4DE0" w:rsidP="00D14527">
      <w:pPr>
        <w:pStyle w:val="ListParagraph"/>
        <w:numPr>
          <w:ilvl w:val="0"/>
          <w:numId w:val="2"/>
        </w:numPr>
        <w:spacing w:line="276" w:lineRule="auto"/>
        <w:rPr>
          <w:rFonts w:ascii="Times New Roman" w:hAnsi="Times New Roman" w:cs="Times New Roman"/>
          <w:b/>
          <w:bCs/>
          <w:sz w:val="24"/>
          <w:szCs w:val="24"/>
        </w:rPr>
      </w:pPr>
      <w:r w:rsidRPr="00237641">
        <w:rPr>
          <w:rFonts w:ascii="Times New Roman" w:hAnsi="Times New Roman" w:cs="Times New Roman"/>
          <w:b/>
          <w:bCs/>
          <w:sz w:val="24"/>
          <w:szCs w:val="24"/>
        </w:rPr>
        <w:t xml:space="preserve">The Hawk Inlet Monitoring program has shifted its objective and thresholds </w:t>
      </w:r>
      <w:r w:rsidR="0012005C">
        <w:rPr>
          <w:rFonts w:ascii="Times New Roman" w:hAnsi="Times New Roman" w:cs="Times New Roman"/>
          <w:b/>
          <w:bCs/>
          <w:sz w:val="24"/>
          <w:szCs w:val="24"/>
        </w:rPr>
        <w:t>and still does not measure effects to ecosystem-wide species divers</w:t>
      </w:r>
      <w:r w:rsidRPr="00237641">
        <w:rPr>
          <w:rFonts w:ascii="Times New Roman" w:hAnsi="Times New Roman" w:cs="Times New Roman"/>
          <w:b/>
          <w:bCs/>
          <w:sz w:val="24"/>
          <w:szCs w:val="24"/>
        </w:rPr>
        <w:t>i</w:t>
      </w:r>
      <w:r w:rsidR="0012005C">
        <w:rPr>
          <w:rFonts w:ascii="Times New Roman" w:hAnsi="Times New Roman" w:cs="Times New Roman"/>
          <w:b/>
          <w:bCs/>
          <w:sz w:val="24"/>
          <w:szCs w:val="24"/>
        </w:rPr>
        <w:t xml:space="preserve">ty and populations </w:t>
      </w:r>
      <w:r w:rsidR="00D14527">
        <w:rPr>
          <w:rFonts w:ascii="Times New Roman" w:hAnsi="Times New Roman" w:cs="Times New Roman"/>
          <w:b/>
          <w:bCs/>
          <w:sz w:val="24"/>
          <w:szCs w:val="24"/>
        </w:rPr>
        <w:t>of</w:t>
      </w:r>
      <w:r w:rsidR="0012005C">
        <w:rPr>
          <w:rFonts w:ascii="Times New Roman" w:hAnsi="Times New Roman" w:cs="Times New Roman"/>
          <w:b/>
          <w:bCs/>
          <w:sz w:val="24"/>
          <w:szCs w:val="24"/>
        </w:rPr>
        <w:t xml:space="preserve"> aquatic life in Hawk Inlet.</w:t>
      </w:r>
    </w:p>
    <w:p w14:paraId="300E47A6" w14:textId="08336C13" w:rsidR="0012005C" w:rsidRDefault="009D4DE0" w:rsidP="009A17AA">
      <w:pPr>
        <w:spacing w:line="276" w:lineRule="auto"/>
        <w:rPr>
          <w:rFonts w:ascii="Times New Roman" w:hAnsi="Times New Roman" w:cs="Times New Roman"/>
          <w:sz w:val="24"/>
          <w:szCs w:val="24"/>
        </w:rPr>
      </w:pPr>
      <w:r w:rsidRPr="000A558C">
        <w:rPr>
          <w:rFonts w:ascii="Times New Roman" w:hAnsi="Times New Roman" w:cs="Times New Roman"/>
          <w:sz w:val="24"/>
          <w:szCs w:val="24"/>
        </w:rPr>
        <w:t xml:space="preserve">The determination of </w:t>
      </w:r>
      <w:r w:rsidR="009441A9">
        <w:rPr>
          <w:rFonts w:ascii="Times New Roman" w:hAnsi="Times New Roman" w:cs="Times New Roman"/>
          <w:sz w:val="24"/>
          <w:szCs w:val="24"/>
        </w:rPr>
        <w:t>e</w:t>
      </w:r>
      <w:r w:rsidR="0012005C">
        <w:rPr>
          <w:rFonts w:ascii="Times New Roman" w:hAnsi="Times New Roman" w:cs="Times New Roman"/>
          <w:sz w:val="24"/>
          <w:szCs w:val="24"/>
        </w:rPr>
        <w:t>ffects</w:t>
      </w:r>
      <w:r w:rsidRPr="000A558C">
        <w:rPr>
          <w:rFonts w:ascii="Times New Roman" w:hAnsi="Times New Roman" w:cs="Times New Roman"/>
          <w:sz w:val="24"/>
          <w:szCs w:val="24"/>
        </w:rPr>
        <w:t xml:space="preserve"> using quantitative thresholds, based on field and laboratory studies </w:t>
      </w:r>
      <w:r>
        <w:rPr>
          <w:rFonts w:ascii="Times New Roman" w:hAnsi="Times New Roman" w:cs="Times New Roman"/>
          <w:sz w:val="24"/>
          <w:szCs w:val="24"/>
        </w:rPr>
        <w:t xml:space="preserve">must </w:t>
      </w:r>
      <w:r w:rsidRPr="000A558C">
        <w:rPr>
          <w:rFonts w:ascii="Times New Roman" w:hAnsi="Times New Roman" w:cs="Times New Roman"/>
          <w:sz w:val="24"/>
          <w:szCs w:val="24"/>
        </w:rPr>
        <w:t>provide a measurable and repeatable evaluation approach. Quantitative thresholds</w:t>
      </w:r>
      <w:r>
        <w:rPr>
          <w:rFonts w:ascii="Times New Roman" w:hAnsi="Times New Roman" w:cs="Times New Roman"/>
          <w:sz w:val="24"/>
          <w:szCs w:val="24"/>
        </w:rPr>
        <w:t xml:space="preserve"> are supposed to</w:t>
      </w:r>
      <w:r w:rsidRPr="000A558C">
        <w:rPr>
          <w:rFonts w:ascii="Times New Roman" w:hAnsi="Times New Roman" w:cs="Times New Roman"/>
          <w:sz w:val="24"/>
          <w:szCs w:val="24"/>
        </w:rPr>
        <w:t xml:space="preserve"> specify a clear delineation between acceptable and unacceptable levels of impact; a decision point at which action must be taken to prevent unacceptable negative outcomes. For </w:t>
      </w:r>
      <w:r>
        <w:rPr>
          <w:rFonts w:ascii="Times New Roman" w:hAnsi="Times New Roman" w:cs="Times New Roman"/>
          <w:sz w:val="24"/>
          <w:szCs w:val="24"/>
        </w:rPr>
        <w:t xml:space="preserve">a monitoring program </w:t>
      </w:r>
      <w:r w:rsidRPr="000A558C">
        <w:rPr>
          <w:rFonts w:ascii="Times New Roman" w:hAnsi="Times New Roman" w:cs="Times New Roman"/>
          <w:sz w:val="24"/>
          <w:szCs w:val="24"/>
        </w:rPr>
        <w:t>to fulfil that promise, it is essential that the determination of impact significance is transparent and systematic</w:t>
      </w:r>
      <w:r w:rsidR="0012005C">
        <w:rPr>
          <w:rFonts w:ascii="Times New Roman" w:hAnsi="Times New Roman" w:cs="Times New Roman"/>
          <w:sz w:val="24"/>
          <w:szCs w:val="24"/>
        </w:rPr>
        <w:t>.</w:t>
      </w:r>
      <w:r w:rsidR="009441A9">
        <w:rPr>
          <w:rFonts w:ascii="Times New Roman" w:hAnsi="Times New Roman" w:cs="Times New Roman"/>
          <w:sz w:val="24"/>
          <w:szCs w:val="24"/>
        </w:rPr>
        <w:t xml:space="preserve"> The current monitoring program offers no clear thresholds or a measurable evaluation of </w:t>
      </w:r>
      <w:r w:rsidR="005409B1">
        <w:rPr>
          <w:rFonts w:ascii="Times New Roman" w:hAnsi="Times New Roman" w:cs="Times New Roman"/>
          <w:sz w:val="24"/>
          <w:szCs w:val="24"/>
        </w:rPr>
        <w:t xml:space="preserve">potential </w:t>
      </w:r>
      <w:r w:rsidR="009441A9">
        <w:rPr>
          <w:rFonts w:ascii="Times New Roman" w:hAnsi="Times New Roman" w:cs="Times New Roman"/>
          <w:sz w:val="24"/>
          <w:szCs w:val="24"/>
        </w:rPr>
        <w:t>harm to the Monument.</w:t>
      </w:r>
    </w:p>
    <w:p w14:paraId="0FDA6A64" w14:textId="7909D83D" w:rsidR="00BA17A2" w:rsidRDefault="009441A9" w:rsidP="009A17AA">
      <w:pPr>
        <w:spacing w:line="276" w:lineRule="auto"/>
        <w:rPr>
          <w:rFonts w:ascii="Times New Roman" w:hAnsi="Times New Roman" w:cs="Times New Roman"/>
          <w:sz w:val="24"/>
          <w:szCs w:val="24"/>
        </w:rPr>
      </w:pPr>
      <w:r>
        <w:rPr>
          <w:rFonts w:ascii="Times New Roman" w:hAnsi="Times New Roman" w:cs="Times New Roman"/>
          <w:sz w:val="24"/>
          <w:szCs w:val="24"/>
        </w:rPr>
        <w:t>Ironically, i</w:t>
      </w:r>
      <w:r w:rsidR="00855DD8">
        <w:rPr>
          <w:rFonts w:ascii="Times New Roman" w:hAnsi="Times New Roman" w:cs="Times New Roman"/>
          <w:sz w:val="24"/>
          <w:szCs w:val="24"/>
        </w:rPr>
        <w:t>n</w:t>
      </w:r>
      <w:r w:rsidR="00237641">
        <w:rPr>
          <w:rFonts w:ascii="Times New Roman" w:hAnsi="Times New Roman" w:cs="Times New Roman"/>
          <w:sz w:val="24"/>
          <w:szCs w:val="24"/>
        </w:rPr>
        <w:t xml:space="preserve"> full knowledge of the requirements of ANILCA and the fact that the baseline species diversity and populations studies were somehow missing (until they weren’t)</w:t>
      </w:r>
      <w:r w:rsidR="008B1363">
        <w:rPr>
          <w:rFonts w:ascii="Times New Roman" w:hAnsi="Times New Roman" w:cs="Times New Roman"/>
          <w:sz w:val="24"/>
          <w:szCs w:val="24"/>
        </w:rPr>
        <w:t xml:space="preserve">.  The first nine </w:t>
      </w:r>
      <w:r w:rsidR="005409B1">
        <w:rPr>
          <w:rFonts w:ascii="Times New Roman" w:hAnsi="Times New Roman" w:cs="Times New Roman"/>
          <w:sz w:val="24"/>
          <w:szCs w:val="24"/>
        </w:rPr>
        <w:t xml:space="preserve">years of </w:t>
      </w:r>
      <w:r w:rsidR="008B1363">
        <w:rPr>
          <w:rFonts w:ascii="Times New Roman" w:hAnsi="Times New Roman" w:cs="Times New Roman"/>
          <w:sz w:val="24"/>
          <w:szCs w:val="24"/>
        </w:rPr>
        <w:t>Hawk Inlet Monitoring Report</w:t>
      </w:r>
      <w:r w:rsidR="005409B1">
        <w:rPr>
          <w:rFonts w:ascii="Times New Roman" w:hAnsi="Times New Roman" w:cs="Times New Roman"/>
          <w:sz w:val="24"/>
          <w:szCs w:val="24"/>
        </w:rPr>
        <w:t>s</w:t>
      </w:r>
      <w:r w:rsidR="00237641">
        <w:rPr>
          <w:rFonts w:ascii="Times New Roman" w:hAnsi="Times New Roman" w:cs="Times New Roman"/>
          <w:sz w:val="24"/>
          <w:szCs w:val="24"/>
        </w:rPr>
        <w:t xml:space="preserve"> reviewed by the Forest Service contained the quote: </w:t>
      </w:r>
      <w:r w:rsidR="00855DD8">
        <w:rPr>
          <w:rFonts w:ascii="Times New Roman" w:hAnsi="Times New Roman" w:cs="Times New Roman"/>
          <w:sz w:val="24"/>
          <w:szCs w:val="24"/>
        </w:rPr>
        <w:t>“The current status of the health of the marin</w:t>
      </w:r>
      <w:r w:rsidR="00BA17A2">
        <w:rPr>
          <w:rFonts w:ascii="Times New Roman" w:hAnsi="Times New Roman" w:cs="Times New Roman"/>
          <w:sz w:val="24"/>
          <w:szCs w:val="24"/>
        </w:rPr>
        <w:t xml:space="preserve">e diversity, </w:t>
      </w:r>
      <w:r w:rsidR="00855DD8">
        <w:rPr>
          <w:rFonts w:ascii="Times New Roman" w:hAnsi="Times New Roman" w:cs="Times New Roman"/>
          <w:sz w:val="24"/>
          <w:szCs w:val="24"/>
        </w:rPr>
        <w:t xml:space="preserve">and aquatic ecosystem can be viewed based on the </w:t>
      </w:r>
      <w:r w:rsidR="00BA17A2">
        <w:rPr>
          <w:rFonts w:ascii="Times New Roman" w:hAnsi="Times New Roman" w:cs="Times New Roman"/>
          <w:sz w:val="24"/>
          <w:szCs w:val="24"/>
        </w:rPr>
        <w:t>n</w:t>
      </w:r>
      <w:r w:rsidR="00855DD8">
        <w:rPr>
          <w:rFonts w:ascii="Times New Roman" w:hAnsi="Times New Roman" w:cs="Times New Roman"/>
          <w:sz w:val="24"/>
          <w:szCs w:val="24"/>
        </w:rPr>
        <w:t>umber of types of species in an area (</w:t>
      </w:r>
      <w:r w:rsidR="00BA17A2">
        <w:rPr>
          <w:rFonts w:ascii="Times New Roman" w:hAnsi="Times New Roman" w:cs="Times New Roman"/>
          <w:sz w:val="24"/>
          <w:szCs w:val="24"/>
        </w:rPr>
        <w:t xml:space="preserve">species diversity, or “biodiversity’), the number of individuals from each species in an area (species abundance), and the quality of the environment (habitat integrity relative to pristine conditions).” This was the original intent of the 1983 ROD and is in compliance with </w:t>
      </w:r>
      <w:r w:rsidR="008B1363">
        <w:rPr>
          <w:rFonts w:ascii="Times New Roman" w:hAnsi="Times New Roman" w:cs="Times New Roman"/>
          <w:sz w:val="24"/>
          <w:szCs w:val="24"/>
        </w:rPr>
        <w:t xml:space="preserve">intent of </w:t>
      </w:r>
      <w:r w:rsidR="00BA17A2">
        <w:rPr>
          <w:rFonts w:ascii="Times New Roman" w:hAnsi="Times New Roman" w:cs="Times New Roman"/>
          <w:sz w:val="24"/>
          <w:szCs w:val="24"/>
        </w:rPr>
        <w:t xml:space="preserve">ANICLA </w:t>
      </w:r>
      <w:r w:rsidR="008B1363">
        <w:rPr>
          <w:rFonts w:ascii="Times New Roman" w:hAnsi="Times New Roman" w:cs="Times New Roman"/>
          <w:sz w:val="24"/>
          <w:szCs w:val="24"/>
        </w:rPr>
        <w:t xml:space="preserve">to avoid </w:t>
      </w:r>
      <w:r w:rsidR="00BA17A2">
        <w:rPr>
          <w:rFonts w:ascii="Times New Roman" w:hAnsi="Times New Roman" w:cs="Times New Roman"/>
          <w:sz w:val="24"/>
          <w:szCs w:val="24"/>
        </w:rPr>
        <w:t>irreparable harm to the ecology of the Monument.</w:t>
      </w:r>
    </w:p>
    <w:p w14:paraId="05EC5279" w14:textId="20478C90" w:rsidR="008B1363" w:rsidRDefault="009441A9" w:rsidP="009A17AA">
      <w:pPr>
        <w:spacing w:line="276" w:lineRule="auto"/>
        <w:rPr>
          <w:rFonts w:ascii="Times New Roman" w:hAnsi="Times New Roman" w:cs="Times New Roman"/>
          <w:sz w:val="24"/>
          <w:szCs w:val="24"/>
        </w:rPr>
      </w:pPr>
      <w:r>
        <w:rPr>
          <w:rFonts w:ascii="Times New Roman" w:hAnsi="Times New Roman" w:cs="Times New Roman"/>
          <w:sz w:val="24"/>
          <w:szCs w:val="24"/>
        </w:rPr>
        <w:t>However, t</w:t>
      </w:r>
      <w:r w:rsidR="00BA17A2">
        <w:rPr>
          <w:rFonts w:ascii="Times New Roman" w:hAnsi="Times New Roman" w:cs="Times New Roman"/>
          <w:sz w:val="24"/>
          <w:szCs w:val="24"/>
        </w:rPr>
        <w:t>he very next sentence states, “For the marine environment, there are no data available to numerically compare diversity or abundance of organisms between pre-mining and post-mining years</w:t>
      </w:r>
      <w:r w:rsidR="008B1363">
        <w:rPr>
          <w:rFonts w:ascii="Times New Roman" w:hAnsi="Times New Roman" w:cs="Times New Roman"/>
          <w:sz w:val="24"/>
          <w:szCs w:val="24"/>
        </w:rPr>
        <w:t>.</w:t>
      </w:r>
      <w:r w:rsidR="00BA17A2">
        <w:rPr>
          <w:rFonts w:ascii="Times New Roman" w:hAnsi="Times New Roman" w:cs="Times New Roman"/>
          <w:sz w:val="24"/>
          <w:szCs w:val="24"/>
        </w:rPr>
        <w:t xml:space="preserve">” </w:t>
      </w:r>
      <w:r w:rsidR="00BA17A2">
        <w:rPr>
          <w:rStyle w:val="FootnoteReference"/>
          <w:rFonts w:ascii="Times New Roman" w:hAnsi="Times New Roman" w:cs="Times New Roman"/>
          <w:sz w:val="24"/>
          <w:szCs w:val="24"/>
        </w:rPr>
        <w:footnoteReference w:id="14"/>
      </w:r>
      <w:r w:rsidR="00BA17A2">
        <w:rPr>
          <w:rFonts w:ascii="Times New Roman" w:hAnsi="Times New Roman" w:cs="Times New Roman"/>
          <w:sz w:val="24"/>
          <w:szCs w:val="24"/>
        </w:rPr>
        <w:t xml:space="preserve">  Since </w:t>
      </w:r>
      <w:r w:rsidR="008B1363">
        <w:rPr>
          <w:rFonts w:ascii="Times New Roman" w:hAnsi="Times New Roman" w:cs="Times New Roman"/>
          <w:sz w:val="24"/>
          <w:szCs w:val="24"/>
        </w:rPr>
        <w:t>the original available data was missing or did not exist, the health of the biological community</w:t>
      </w:r>
      <w:r w:rsidR="00B02051">
        <w:rPr>
          <w:rFonts w:ascii="Times New Roman" w:hAnsi="Times New Roman" w:cs="Times New Roman"/>
          <w:sz w:val="24"/>
          <w:szCs w:val="24"/>
        </w:rPr>
        <w:t>,</w:t>
      </w:r>
      <w:r w:rsidR="008B1363">
        <w:rPr>
          <w:rFonts w:ascii="Times New Roman" w:hAnsi="Times New Roman" w:cs="Times New Roman"/>
          <w:sz w:val="24"/>
          <w:szCs w:val="24"/>
        </w:rPr>
        <w:t xml:space="preserve"> </w:t>
      </w:r>
      <w:r w:rsidR="00B02051">
        <w:rPr>
          <w:rFonts w:ascii="Times New Roman" w:hAnsi="Times New Roman" w:cs="Times New Roman"/>
          <w:sz w:val="24"/>
          <w:szCs w:val="24"/>
        </w:rPr>
        <w:lastRenderedPageBreak/>
        <w:t xml:space="preserve">as an indicator of harm, could not be measured. </w:t>
      </w:r>
      <w:r w:rsidR="00B02051" w:rsidRPr="00B02051">
        <w:rPr>
          <w:rFonts w:ascii="Times New Roman" w:hAnsi="Times New Roman" w:cs="Times New Roman"/>
          <w:i/>
          <w:iCs/>
          <w:sz w:val="24"/>
          <w:szCs w:val="24"/>
        </w:rPr>
        <w:t>See</w:t>
      </w:r>
      <w:r w:rsidR="00BA38F7">
        <w:rPr>
          <w:rFonts w:ascii="Times New Roman" w:hAnsi="Times New Roman" w:cs="Times New Roman"/>
          <w:i/>
          <w:iCs/>
          <w:sz w:val="24"/>
          <w:szCs w:val="24"/>
        </w:rPr>
        <w:t>,</w:t>
      </w:r>
      <w:r w:rsidR="00B02051">
        <w:rPr>
          <w:rFonts w:ascii="Times New Roman" w:hAnsi="Times New Roman" w:cs="Times New Roman"/>
          <w:sz w:val="24"/>
          <w:szCs w:val="24"/>
        </w:rPr>
        <w:t xml:space="preserve"> Comments on repeating the 1981 Intertidal Study at </w:t>
      </w:r>
      <w:r>
        <w:rPr>
          <w:rFonts w:ascii="Times New Roman" w:hAnsi="Times New Roman" w:cs="Times New Roman"/>
          <w:sz w:val="24"/>
          <w:szCs w:val="24"/>
        </w:rPr>
        <w:t xml:space="preserve">VI.  This statement was misleading and </w:t>
      </w:r>
      <w:r w:rsidR="00182BE6">
        <w:rPr>
          <w:rFonts w:ascii="Times New Roman" w:hAnsi="Times New Roman" w:cs="Times New Roman"/>
          <w:sz w:val="24"/>
          <w:szCs w:val="24"/>
        </w:rPr>
        <w:t xml:space="preserve">its </w:t>
      </w:r>
      <w:r w:rsidR="005409B1">
        <w:rPr>
          <w:rFonts w:ascii="Times New Roman" w:hAnsi="Times New Roman" w:cs="Times New Roman"/>
          <w:sz w:val="24"/>
          <w:szCs w:val="24"/>
        </w:rPr>
        <w:t xml:space="preserve">continued </w:t>
      </w:r>
      <w:r w:rsidR="00182BE6">
        <w:rPr>
          <w:rFonts w:ascii="Times New Roman" w:hAnsi="Times New Roman" w:cs="Times New Roman"/>
          <w:sz w:val="24"/>
          <w:szCs w:val="24"/>
        </w:rPr>
        <w:t xml:space="preserve">acceptance by the Forest Service after the baseline was “re-discovered” </w:t>
      </w:r>
      <w:r>
        <w:rPr>
          <w:rFonts w:ascii="Times New Roman" w:hAnsi="Times New Roman" w:cs="Times New Roman"/>
          <w:sz w:val="24"/>
          <w:szCs w:val="24"/>
        </w:rPr>
        <w:t>has never been addressed</w:t>
      </w:r>
      <w:r w:rsidR="00182BE6">
        <w:rPr>
          <w:rFonts w:ascii="Times New Roman" w:hAnsi="Times New Roman" w:cs="Times New Roman"/>
          <w:sz w:val="24"/>
          <w:szCs w:val="24"/>
        </w:rPr>
        <w:t>.</w:t>
      </w:r>
    </w:p>
    <w:p w14:paraId="4326B4EE" w14:textId="749FB00E" w:rsidR="00BA38F7" w:rsidRPr="00BE704C" w:rsidRDefault="00182BE6" w:rsidP="009A17AA">
      <w:pPr>
        <w:spacing w:line="276" w:lineRule="auto"/>
        <w:rPr>
          <w:rFonts w:ascii="Times New Roman" w:hAnsi="Times New Roman" w:cs="Times New Roman"/>
          <w:sz w:val="24"/>
          <w:szCs w:val="24"/>
        </w:rPr>
      </w:pPr>
      <w:r>
        <w:rPr>
          <w:rFonts w:ascii="Times New Roman" w:hAnsi="Times New Roman" w:cs="Times New Roman"/>
          <w:sz w:val="24"/>
          <w:szCs w:val="24"/>
        </w:rPr>
        <w:t>The monitoring by the State of Alaska is very narrow</w:t>
      </w:r>
      <w:r w:rsidR="005409B1">
        <w:rPr>
          <w:rFonts w:ascii="Times New Roman" w:hAnsi="Times New Roman" w:cs="Times New Roman"/>
          <w:sz w:val="24"/>
          <w:szCs w:val="24"/>
        </w:rPr>
        <w:t xml:space="preserve"> in scope</w:t>
      </w:r>
      <w:r>
        <w:rPr>
          <w:rFonts w:ascii="Times New Roman" w:hAnsi="Times New Roman" w:cs="Times New Roman"/>
          <w:sz w:val="24"/>
          <w:szCs w:val="24"/>
        </w:rPr>
        <w:t xml:space="preserve">. </w:t>
      </w:r>
      <w:r w:rsidR="00BE704C" w:rsidRPr="00BE704C">
        <w:rPr>
          <w:rFonts w:ascii="Times New Roman" w:hAnsi="Times New Roman" w:cs="Times New Roman"/>
          <w:sz w:val="24"/>
          <w:szCs w:val="24"/>
        </w:rPr>
        <w:t xml:space="preserve">The monitoring </w:t>
      </w:r>
      <w:r>
        <w:rPr>
          <w:rFonts w:ascii="Times New Roman" w:hAnsi="Times New Roman" w:cs="Times New Roman"/>
          <w:sz w:val="24"/>
          <w:szCs w:val="24"/>
        </w:rPr>
        <w:t xml:space="preserve">objective </w:t>
      </w:r>
      <w:r w:rsidR="00BE704C" w:rsidRPr="00BE704C">
        <w:rPr>
          <w:rFonts w:ascii="Times New Roman" w:hAnsi="Times New Roman" w:cs="Times New Roman"/>
          <w:sz w:val="24"/>
          <w:szCs w:val="24"/>
        </w:rPr>
        <w:t xml:space="preserve">under </w:t>
      </w:r>
      <w:r w:rsidR="00BA38F7" w:rsidRPr="00BE704C">
        <w:rPr>
          <w:rFonts w:ascii="Times New Roman" w:hAnsi="Times New Roman" w:cs="Times New Roman"/>
          <w:sz w:val="24"/>
          <w:szCs w:val="24"/>
        </w:rPr>
        <w:t>the</w:t>
      </w:r>
      <w:r>
        <w:rPr>
          <w:rFonts w:ascii="Times New Roman" w:hAnsi="Times New Roman" w:cs="Times New Roman"/>
          <w:sz w:val="24"/>
          <w:szCs w:val="24"/>
        </w:rPr>
        <w:t xml:space="preserve"> </w:t>
      </w:r>
      <w:r w:rsidR="00BA38F7" w:rsidRPr="00BE704C">
        <w:rPr>
          <w:rFonts w:ascii="Times New Roman" w:hAnsi="Times New Roman" w:cs="Times New Roman"/>
          <w:sz w:val="24"/>
          <w:szCs w:val="24"/>
        </w:rPr>
        <w:t>APDES permit</w:t>
      </w:r>
      <w:r w:rsidR="00BE704C">
        <w:rPr>
          <w:rFonts w:ascii="Times New Roman" w:hAnsi="Times New Roman" w:cs="Times New Roman"/>
          <w:sz w:val="24"/>
          <w:szCs w:val="24"/>
        </w:rPr>
        <w:t xml:space="preserve"> </w:t>
      </w:r>
      <w:r w:rsidR="00BA38F7" w:rsidRPr="00BE704C">
        <w:rPr>
          <w:rFonts w:ascii="Times New Roman" w:hAnsi="Times New Roman" w:cs="Times New Roman"/>
          <w:sz w:val="24"/>
          <w:szCs w:val="24"/>
        </w:rPr>
        <w:t xml:space="preserve">is “to gather effluent and receiving water data to determine if additional effluent limits are required or to monitor </w:t>
      </w:r>
      <w:r w:rsidR="00BA38F7" w:rsidRPr="00BE704C">
        <w:rPr>
          <w:rFonts w:ascii="Times New Roman" w:hAnsi="Times New Roman" w:cs="Times New Roman"/>
          <w:i/>
          <w:iCs/>
          <w:sz w:val="24"/>
          <w:szCs w:val="24"/>
        </w:rPr>
        <w:t>effluent impact</w:t>
      </w:r>
      <w:r w:rsidR="00BA38F7" w:rsidRPr="00BE704C">
        <w:rPr>
          <w:rFonts w:ascii="Times New Roman" w:hAnsi="Times New Roman" w:cs="Times New Roman"/>
          <w:sz w:val="24"/>
          <w:szCs w:val="24"/>
        </w:rPr>
        <w:t xml:space="preserve"> on the receiving waterbody quality.</w:t>
      </w:r>
      <w:r w:rsidR="00BE704C">
        <w:rPr>
          <w:rFonts w:ascii="Times New Roman" w:hAnsi="Times New Roman" w:cs="Times New Roman"/>
          <w:sz w:val="24"/>
          <w:szCs w:val="24"/>
        </w:rPr>
        <w:t>”</w:t>
      </w:r>
      <w:r w:rsidR="00122CD9">
        <w:rPr>
          <w:rFonts w:ascii="Times New Roman" w:hAnsi="Times New Roman" w:cs="Times New Roman"/>
          <w:sz w:val="24"/>
          <w:szCs w:val="24"/>
        </w:rPr>
        <w:t xml:space="preserve"> </w:t>
      </w:r>
      <w:r w:rsidR="00122CD9">
        <w:rPr>
          <w:rStyle w:val="FootnoteReference"/>
          <w:rFonts w:ascii="Times New Roman" w:hAnsi="Times New Roman" w:cs="Times New Roman"/>
          <w:sz w:val="24"/>
          <w:szCs w:val="24"/>
        </w:rPr>
        <w:footnoteReference w:id="15"/>
      </w:r>
      <w:r w:rsidR="00BA38F7" w:rsidRPr="00BE704C">
        <w:rPr>
          <w:rFonts w:ascii="Times New Roman" w:hAnsi="Times New Roman" w:cs="Times New Roman"/>
          <w:sz w:val="24"/>
          <w:szCs w:val="24"/>
        </w:rPr>
        <w:t xml:space="preserve"> </w:t>
      </w:r>
    </w:p>
    <w:p w14:paraId="1960A742" w14:textId="4C82024D" w:rsidR="00DE30B8" w:rsidRDefault="00BA38F7" w:rsidP="009A17AA">
      <w:pPr>
        <w:spacing w:line="276" w:lineRule="auto"/>
        <w:rPr>
          <w:rFonts w:ascii="Times New Roman" w:hAnsi="Times New Roman" w:cs="Times New Roman"/>
          <w:sz w:val="24"/>
          <w:szCs w:val="24"/>
        </w:rPr>
      </w:pPr>
      <w:r w:rsidRPr="00BE704C">
        <w:rPr>
          <w:rFonts w:ascii="Times New Roman" w:hAnsi="Times New Roman" w:cs="Times New Roman"/>
          <w:sz w:val="24"/>
          <w:szCs w:val="24"/>
        </w:rPr>
        <w:t xml:space="preserve">The </w:t>
      </w:r>
      <w:r w:rsidR="00182BE6">
        <w:rPr>
          <w:rFonts w:ascii="Times New Roman" w:hAnsi="Times New Roman" w:cs="Times New Roman"/>
          <w:sz w:val="24"/>
          <w:szCs w:val="24"/>
        </w:rPr>
        <w:t xml:space="preserve">APDES </w:t>
      </w:r>
      <w:r w:rsidRPr="00BE704C">
        <w:rPr>
          <w:rFonts w:ascii="Times New Roman" w:hAnsi="Times New Roman" w:cs="Times New Roman"/>
          <w:sz w:val="24"/>
          <w:szCs w:val="24"/>
        </w:rPr>
        <w:t xml:space="preserve">permit also requires </w:t>
      </w:r>
      <w:r w:rsidR="00BE704C">
        <w:rPr>
          <w:rFonts w:ascii="Times New Roman" w:hAnsi="Times New Roman" w:cs="Times New Roman"/>
          <w:sz w:val="24"/>
          <w:szCs w:val="24"/>
        </w:rPr>
        <w:t xml:space="preserve">the mining company </w:t>
      </w:r>
      <w:r w:rsidRPr="00BE704C">
        <w:rPr>
          <w:rFonts w:ascii="Times New Roman" w:hAnsi="Times New Roman" w:cs="Times New Roman"/>
          <w:sz w:val="24"/>
          <w:szCs w:val="24"/>
        </w:rPr>
        <w:t>to monitor seawater, sediments, and toxicity in Hawk Inlet</w:t>
      </w:r>
      <w:r w:rsidR="00BE704C" w:rsidRPr="00BE704C">
        <w:rPr>
          <w:rFonts w:ascii="Times New Roman" w:hAnsi="Times New Roman" w:cs="Times New Roman"/>
          <w:sz w:val="24"/>
          <w:szCs w:val="24"/>
        </w:rPr>
        <w:t xml:space="preserve"> to assess whether sediments or aquatic organisms may be affected by the facility’s discharges.</w:t>
      </w:r>
      <w:r w:rsidR="00BE704C">
        <w:rPr>
          <w:rFonts w:ascii="Times New Roman" w:hAnsi="Times New Roman" w:cs="Times New Roman"/>
          <w:sz w:val="24"/>
          <w:szCs w:val="24"/>
        </w:rPr>
        <w:t xml:space="preserve"> </w:t>
      </w:r>
      <w:r w:rsidR="00BE704C">
        <w:rPr>
          <w:rStyle w:val="FootnoteReference"/>
          <w:rFonts w:ascii="Times New Roman" w:hAnsi="Times New Roman" w:cs="Times New Roman"/>
          <w:sz w:val="24"/>
          <w:szCs w:val="24"/>
        </w:rPr>
        <w:footnoteReference w:id="16"/>
      </w:r>
      <w:r w:rsidR="00BE704C">
        <w:rPr>
          <w:rFonts w:ascii="Times New Roman" w:hAnsi="Times New Roman" w:cs="Times New Roman"/>
          <w:sz w:val="24"/>
          <w:szCs w:val="24"/>
        </w:rPr>
        <w:t xml:space="preserve"> </w:t>
      </w:r>
      <w:r w:rsidR="00BE704C" w:rsidRPr="00BE704C">
        <w:rPr>
          <w:rFonts w:ascii="Times New Roman" w:hAnsi="Times New Roman" w:cs="Times New Roman"/>
          <w:sz w:val="24"/>
          <w:szCs w:val="24"/>
        </w:rPr>
        <w:t xml:space="preserve">The aquatic organisms </w:t>
      </w:r>
      <w:r w:rsidR="00122CD9">
        <w:rPr>
          <w:rFonts w:ascii="Times New Roman" w:hAnsi="Times New Roman" w:cs="Times New Roman"/>
          <w:sz w:val="24"/>
          <w:szCs w:val="24"/>
        </w:rPr>
        <w:t xml:space="preserve">named </w:t>
      </w:r>
      <w:r w:rsidR="00BE704C" w:rsidRPr="00BE704C">
        <w:rPr>
          <w:rFonts w:ascii="Times New Roman" w:hAnsi="Times New Roman" w:cs="Times New Roman"/>
          <w:sz w:val="24"/>
          <w:szCs w:val="24"/>
        </w:rPr>
        <w:t>include flatfishes (</w:t>
      </w:r>
      <w:proofErr w:type="gramStart"/>
      <w:r w:rsidR="00BE704C" w:rsidRPr="00BE704C">
        <w:rPr>
          <w:rFonts w:ascii="Times New Roman" w:hAnsi="Times New Roman" w:cs="Times New Roman"/>
          <w:sz w:val="24"/>
          <w:szCs w:val="24"/>
        </w:rPr>
        <w:t>e.g.</w:t>
      </w:r>
      <w:proofErr w:type="gramEnd"/>
      <w:r w:rsidR="00BE704C" w:rsidRPr="00BE704C">
        <w:rPr>
          <w:rFonts w:ascii="Times New Roman" w:hAnsi="Times New Roman" w:cs="Times New Roman"/>
          <w:sz w:val="24"/>
          <w:szCs w:val="24"/>
        </w:rPr>
        <w:t xml:space="preserve"> yellowfin sole, arrowtooth flounder, flathead sole, and rock sole), cod, halibut, sculpin</w:t>
      </w:r>
      <w:r w:rsidR="00277280">
        <w:rPr>
          <w:rFonts w:ascii="Times New Roman" w:hAnsi="Times New Roman" w:cs="Times New Roman"/>
          <w:sz w:val="24"/>
          <w:szCs w:val="24"/>
        </w:rPr>
        <w:t xml:space="preserve">, </w:t>
      </w:r>
      <w:r w:rsidR="00BE704C" w:rsidRPr="00BE704C">
        <w:rPr>
          <w:rFonts w:ascii="Times New Roman" w:hAnsi="Times New Roman" w:cs="Times New Roman"/>
          <w:sz w:val="24"/>
          <w:szCs w:val="24"/>
        </w:rPr>
        <w:t>crab species</w:t>
      </w:r>
      <w:r w:rsidR="00277280" w:rsidRPr="00277280">
        <w:rPr>
          <w:rFonts w:ascii="Times New Roman" w:hAnsi="Times New Roman" w:cs="Times New Roman"/>
          <w:sz w:val="24"/>
          <w:szCs w:val="24"/>
        </w:rPr>
        <w:t>, migratory and resident fish, mammals, and birds which consume seafloor-dwelling organisms</w:t>
      </w:r>
      <w:r w:rsidR="00BE704C" w:rsidRPr="00277280">
        <w:rPr>
          <w:rFonts w:ascii="Times New Roman" w:hAnsi="Times New Roman" w:cs="Times New Roman"/>
          <w:sz w:val="24"/>
          <w:szCs w:val="24"/>
        </w:rPr>
        <w:t>.</w:t>
      </w:r>
      <w:r w:rsidR="00BE704C">
        <w:t xml:space="preserve"> </w:t>
      </w:r>
      <w:r w:rsidR="00BE704C" w:rsidRPr="00506C76">
        <w:rPr>
          <w:rStyle w:val="FootnoteReference"/>
          <w:rFonts w:ascii="Times New Roman" w:hAnsi="Times New Roman" w:cs="Times New Roman"/>
          <w:sz w:val="24"/>
          <w:szCs w:val="24"/>
        </w:rPr>
        <w:footnoteReference w:id="17"/>
      </w:r>
      <w:r w:rsidR="00277280" w:rsidRPr="00506C76">
        <w:rPr>
          <w:rFonts w:ascii="Times New Roman" w:hAnsi="Times New Roman" w:cs="Times New Roman"/>
          <w:sz w:val="24"/>
          <w:szCs w:val="24"/>
        </w:rPr>
        <w:t xml:space="preserve"> </w:t>
      </w:r>
    </w:p>
    <w:p w14:paraId="05E2CF58" w14:textId="2560E9BA" w:rsidR="00506C76" w:rsidRDefault="00506C76" w:rsidP="009A17AA">
      <w:pPr>
        <w:spacing w:line="276" w:lineRule="auto"/>
        <w:rPr>
          <w:rFonts w:ascii="Times New Roman" w:hAnsi="Times New Roman" w:cs="Times New Roman"/>
          <w:sz w:val="24"/>
          <w:szCs w:val="24"/>
        </w:rPr>
      </w:pPr>
      <w:r>
        <w:rPr>
          <w:rFonts w:ascii="Times New Roman" w:hAnsi="Times New Roman" w:cs="Times New Roman"/>
          <w:sz w:val="24"/>
          <w:szCs w:val="24"/>
        </w:rPr>
        <w:t>Possible i</w:t>
      </w:r>
      <w:r w:rsidRPr="00506C76">
        <w:rPr>
          <w:rFonts w:ascii="Times New Roman" w:hAnsi="Times New Roman" w:cs="Times New Roman"/>
          <w:sz w:val="24"/>
          <w:szCs w:val="24"/>
        </w:rPr>
        <w:t>mpacts t</w:t>
      </w:r>
      <w:r>
        <w:rPr>
          <w:rFonts w:ascii="Times New Roman" w:hAnsi="Times New Roman" w:cs="Times New Roman"/>
          <w:sz w:val="24"/>
          <w:szCs w:val="24"/>
        </w:rPr>
        <w:t xml:space="preserve">o these </w:t>
      </w:r>
      <w:r w:rsidRPr="00506C76">
        <w:rPr>
          <w:rFonts w:ascii="Times New Roman" w:hAnsi="Times New Roman" w:cs="Times New Roman"/>
          <w:sz w:val="24"/>
          <w:szCs w:val="24"/>
        </w:rPr>
        <w:t xml:space="preserve">species are assessed </w:t>
      </w:r>
      <w:r w:rsidR="00182BE6">
        <w:rPr>
          <w:rFonts w:ascii="Times New Roman" w:hAnsi="Times New Roman" w:cs="Times New Roman"/>
          <w:sz w:val="24"/>
          <w:szCs w:val="24"/>
        </w:rPr>
        <w:t xml:space="preserve">through </w:t>
      </w:r>
      <w:r w:rsidR="0012005C">
        <w:rPr>
          <w:rFonts w:ascii="Times New Roman" w:hAnsi="Times New Roman" w:cs="Times New Roman"/>
          <w:sz w:val="24"/>
          <w:szCs w:val="24"/>
        </w:rPr>
        <w:t>trends or changes in the concentration of 5 metals</w:t>
      </w:r>
      <w:r w:rsidR="00182BE6">
        <w:rPr>
          <w:rFonts w:ascii="Times New Roman" w:hAnsi="Times New Roman" w:cs="Times New Roman"/>
          <w:sz w:val="24"/>
          <w:szCs w:val="24"/>
        </w:rPr>
        <w:t xml:space="preserve"> (</w:t>
      </w:r>
      <w:r w:rsidR="0012005C">
        <w:rPr>
          <w:rFonts w:ascii="Times New Roman" w:hAnsi="Times New Roman" w:cs="Times New Roman"/>
          <w:sz w:val="24"/>
          <w:szCs w:val="24"/>
        </w:rPr>
        <w:t>down from the original 11</w:t>
      </w:r>
      <w:r w:rsidR="00182BE6">
        <w:rPr>
          <w:rFonts w:ascii="Times New Roman" w:hAnsi="Times New Roman" w:cs="Times New Roman"/>
          <w:sz w:val="24"/>
          <w:szCs w:val="24"/>
        </w:rPr>
        <w:t>)</w:t>
      </w:r>
      <w:r w:rsidR="0012005C">
        <w:rPr>
          <w:rFonts w:ascii="Times New Roman" w:hAnsi="Times New Roman" w:cs="Times New Roman"/>
          <w:sz w:val="24"/>
          <w:szCs w:val="24"/>
        </w:rPr>
        <w:t xml:space="preserve"> as measured in t</w:t>
      </w:r>
      <w:r w:rsidR="00277280" w:rsidRPr="00506C76">
        <w:rPr>
          <w:rFonts w:ascii="Times New Roman" w:hAnsi="Times New Roman" w:cs="Times New Roman"/>
          <w:sz w:val="24"/>
          <w:szCs w:val="24"/>
        </w:rPr>
        <w:t xml:space="preserve">he tissues </w:t>
      </w:r>
      <w:r w:rsidR="00122CD9" w:rsidRPr="00506C76">
        <w:rPr>
          <w:rFonts w:ascii="Times New Roman" w:hAnsi="Times New Roman" w:cs="Times New Roman"/>
          <w:sz w:val="24"/>
          <w:szCs w:val="24"/>
        </w:rPr>
        <w:t xml:space="preserve">of one species of </w:t>
      </w:r>
      <w:r w:rsidR="0012005C">
        <w:rPr>
          <w:rFonts w:ascii="Times New Roman" w:hAnsi="Times New Roman" w:cs="Times New Roman"/>
          <w:sz w:val="24"/>
          <w:szCs w:val="24"/>
        </w:rPr>
        <w:t xml:space="preserve">benthic </w:t>
      </w:r>
      <w:r w:rsidR="00122CD9" w:rsidRPr="00506C76">
        <w:rPr>
          <w:rFonts w:ascii="Times New Roman" w:hAnsi="Times New Roman" w:cs="Times New Roman"/>
          <w:sz w:val="24"/>
          <w:szCs w:val="24"/>
        </w:rPr>
        <w:t>worm and (now) one species of bivalve</w:t>
      </w:r>
      <w:r w:rsidR="0012005C">
        <w:rPr>
          <w:rFonts w:ascii="Times New Roman" w:hAnsi="Times New Roman" w:cs="Times New Roman"/>
          <w:sz w:val="24"/>
          <w:szCs w:val="24"/>
        </w:rPr>
        <w:t xml:space="preserve"> at </w:t>
      </w:r>
      <w:r w:rsidR="00182BE6">
        <w:rPr>
          <w:rFonts w:ascii="Times New Roman" w:hAnsi="Times New Roman" w:cs="Times New Roman"/>
          <w:sz w:val="24"/>
          <w:szCs w:val="24"/>
        </w:rPr>
        <w:t xml:space="preserve">various </w:t>
      </w:r>
      <w:r w:rsidR="0012005C">
        <w:rPr>
          <w:rFonts w:ascii="Times New Roman" w:hAnsi="Times New Roman" w:cs="Times New Roman"/>
          <w:sz w:val="24"/>
          <w:szCs w:val="24"/>
        </w:rPr>
        <w:t>sites in Hawk Inlet</w:t>
      </w:r>
      <w:r w:rsidRPr="00506C76">
        <w:rPr>
          <w:rFonts w:ascii="Times New Roman" w:hAnsi="Times New Roman" w:cs="Times New Roman"/>
          <w:sz w:val="24"/>
          <w:szCs w:val="24"/>
        </w:rPr>
        <w:t xml:space="preserve">. The assumption is </w:t>
      </w:r>
      <w:r>
        <w:rPr>
          <w:rFonts w:ascii="Times New Roman" w:hAnsi="Times New Roman" w:cs="Times New Roman"/>
          <w:sz w:val="24"/>
          <w:szCs w:val="24"/>
        </w:rPr>
        <w:t xml:space="preserve">sediment dwelling organisms are the most exposed to metals and all the listed species eat them as part of their diet. Therefore, if the metals </w:t>
      </w:r>
      <w:r w:rsidR="00DE30B8">
        <w:rPr>
          <w:rFonts w:ascii="Times New Roman" w:hAnsi="Times New Roman" w:cs="Times New Roman"/>
          <w:sz w:val="24"/>
          <w:szCs w:val="24"/>
        </w:rPr>
        <w:t xml:space="preserve">in those few species </w:t>
      </w:r>
      <w:r>
        <w:rPr>
          <w:rFonts w:ascii="Times New Roman" w:hAnsi="Times New Roman" w:cs="Times New Roman"/>
          <w:sz w:val="24"/>
          <w:szCs w:val="24"/>
        </w:rPr>
        <w:t xml:space="preserve">are not trending upward or not significantly higher than </w:t>
      </w:r>
      <w:r w:rsidR="00DE30B8">
        <w:rPr>
          <w:rFonts w:ascii="Times New Roman" w:hAnsi="Times New Roman" w:cs="Times New Roman"/>
          <w:sz w:val="24"/>
          <w:szCs w:val="24"/>
        </w:rPr>
        <w:t xml:space="preserve">data from </w:t>
      </w:r>
      <w:r>
        <w:rPr>
          <w:rFonts w:ascii="Times New Roman" w:hAnsi="Times New Roman" w:cs="Times New Roman"/>
          <w:sz w:val="24"/>
          <w:szCs w:val="24"/>
        </w:rPr>
        <w:t>sample sites remove</w:t>
      </w:r>
      <w:r w:rsidR="00DE30B8">
        <w:rPr>
          <w:rFonts w:ascii="Times New Roman" w:hAnsi="Times New Roman" w:cs="Times New Roman"/>
          <w:sz w:val="24"/>
          <w:szCs w:val="24"/>
        </w:rPr>
        <w:t>d</w:t>
      </w:r>
      <w:r>
        <w:rPr>
          <w:rFonts w:ascii="Times New Roman" w:hAnsi="Times New Roman" w:cs="Times New Roman"/>
          <w:sz w:val="24"/>
          <w:szCs w:val="24"/>
        </w:rPr>
        <w:t xml:space="preserve"> from the outfall</w:t>
      </w:r>
      <w:r w:rsidR="00DE30B8">
        <w:rPr>
          <w:rFonts w:ascii="Times New Roman" w:hAnsi="Times New Roman" w:cs="Times New Roman"/>
          <w:sz w:val="24"/>
          <w:szCs w:val="24"/>
        </w:rPr>
        <w:t xml:space="preserve">, all the listed species </w:t>
      </w:r>
      <w:r w:rsidR="005409B1">
        <w:rPr>
          <w:rFonts w:ascii="Times New Roman" w:hAnsi="Times New Roman" w:cs="Times New Roman"/>
          <w:sz w:val="24"/>
          <w:szCs w:val="24"/>
        </w:rPr>
        <w:t xml:space="preserve">listed </w:t>
      </w:r>
      <w:r w:rsidR="00DE30B8">
        <w:rPr>
          <w:rFonts w:ascii="Times New Roman" w:hAnsi="Times New Roman" w:cs="Times New Roman"/>
          <w:sz w:val="24"/>
          <w:szCs w:val="24"/>
        </w:rPr>
        <w:t>are not affected.</w:t>
      </w:r>
      <w:r w:rsidR="00182BE6">
        <w:rPr>
          <w:rFonts w:ascii="Times New Roman" w:hAnsi="Times New Roman" w:cs="Times New Roman"/>
          <w:sz w:val="24"/>
          <w:szCs w:val="24"/>
        </w:rPr>
        <w:t xml:space="preserve"> This assumption has never been tested.</w:t>
      </w:r>
    </w:p>
    <w:p w14:paraId="452DE8C0" w14:textId="018EA294" w:rsidR="00DE30B8" w:rsidRDefault="00DE30B8" w:rsidP="009A17AA">
      <w:pPr>
        <w:spacing w:line="276" w:lineRule="auto"/>
        <w:rPr>
          <w:rFonts w:ascii="Times New Roman" w:hAnsi="Times New Roman" w:cs="Times New Roman"/>
          <w:sz w:val="24"/>
          <w:szCs w:val="24"/>
        </w:rPr>
      </w:pPr>
      <w:r w:rsidRPr="00DE30B8">
        <w:rPr>
          <w:rFonts w:ascii="Times New Roman" w:hAnsi="Times New Roman" w:cs="Times New Roman"/>
          <w:sz w:val="24"/>
          <w:szCs w:val="24"/>
        </w:rPr>
        <w:t xml:space="preserve">But, as the Hawk Inlet Monitoring Reports note “[t]here are no data available to evaluate whether metals are increasing through trophic transfer, or biomagnification at higher trophic levels in Hawk Inlet marine species such as fish, crab and mammals.” </w:t>
      </w:r>
      <w:r w:rsidRPr="00DE30B8">
        <w:rPr>
          <w:rStyle w:val="FootnoteReference"/>
          <w:rFonts w:ascii="Times New Roman" w:hAnsi="Times New Roman" w:cs="Times New Roman"/>
          <w:sz w:val="24"/>
          <w:szCs w:val="24"/>
        </w:rPr>
        <w:footnoteReference w:id="18"/>
      </w:r>
      <w:r w:rsidR="0012005C">
        <w:rPr>
          <w:rFonts w:ascii="Times New Roman" w:hAnsi="Times New Roman" w:cs="Times New Roman"/>
          <w:sz w:val="24"/>
          <w:szCs w:val="24"/>
        </w:rPr>
        <w:t xml:space="preserve">  These data </w:t>
      </w:r>
      <w:r w:rsidR="00182BE6">
        <w:rPr>
          <w:rFonts w:ascii="Times New Roman" w:hAnsi="Times New Roman" w:cs="Times New Roman"/>
          <w:sz w:val="24"/>
          <w:szCs w:val="24"/>
        </w:rPr>
        <w:t xml:space="preserve">also </w:t>
      </w:r>
      <w:r w:rsidR="0012005C">
        <w:rPr>
          <w:rFonts w:ascii="Times New Roman" w:hAnsi="Times New Roman" w:cs="Times New Roman"/>
          <w:sz w:val="24"/>
          <w:szCs w:val="24"/>
        </w:rPr>
        <w:t xml:space="preserve">give no information on changes or trends in species diversity or populations on the aquatic life in </w:t>
      </w:r>
      <w:r w:rsidR="00182BE6">
        <w:rPr>
          <w:rFonts w:ascii="Times New Roman" w:hAnsi="Times New Roman" w:cs="Times New Roman"/>
          <w:sz w:val="24"/>
          <w:szCs w:val="24"/>
        </w:rPr>
        <w:t xml:space="preserve">the </w:t>
      </w:r>
      <w:r w:rsidR="0012005C">
        <w:rPr>
          <w:rFonts w:ascii="Times New Roman" w:hAnsi="Times New Roman" w:cs="Times New Roman"/>
          <w:sz w:val="24"/>
          <w:szCs w:val="24"/>
        </w:rPr>
        <w:t>Hawk</w:t>
      </w:r>
      <w:r w:rsidR="00B01EF4">
        <w:rPr>
          <w:rFonts w:ascii="Times New Roman" w:hAnsi="Times New Roman" w:cs="Times New Roman"/>
          <w:sz w:val="24"/>
          <w:szCs w:val="24"/>
        </w:rPr>
        <w:t xml:space="preserve"> </w:t>
      </w:r>
      <w:r w:rsidR="0012005C">
        <w:rPr>
          <w:rFonts w:ascii="Times New Roman" w:hAnsi="Times New Roman" w:cs="Times New Roman"/>
          <w:sz w:val="24"/>
          <w:szCs w:val="24"/>
        </w:rPr>
        <w:t>Inlet</w:t>
      </w:r>
      <w:r w:rsidR="00182BE6">
        <w:rPr>
          <w:rFonts w:ascii="Times New Roman" w:hAnsi="Times New Roman" w:cs="Times New Roman"/>
          <w:sz w:val="24"/>
          <w:szCs w:val="24"/>
        </w:rPr>
        <w:t xml:space="preserve"> ecosystem</w:t>
      </w:r>
      <w:r w:rsidR="0012005C">
        <w:rPr>
          <w:rFonts w:ascii="Times New Roman" w:hAnsi="Times New Roman" w:cs="Times New Roman"/>
          <w:sz w:val="24"/>
          <w:szCs w:val="24"/>
        </w:rPr>
        <w:t>.</w:t>
      </w:r>
    </w:p>
    <w:p w14:paraId="5A429638" w14:textId="375BE1D9" w:rsidR="0012005C" w:rsidRPr="0012005C" w:rsidRDefault="0012005C" w:rsidP="009A17AA">
      <w:pPr>
        <w:spacing w:line="276" w:lineRule="auto"/>
        <w:rPr>
          <w:rFonts w:ascii="Times New Roman" w:hAnsi="Times New Roman" w:cs="Times New Roman"/>
          <w:sz w:val="24"/>
          <w:szCs w:val="24"/>
        </w:rPr>
      </w:pPr>
      <w:r>
        <w:rPr>
          <w:rFonts w:ascii="Times New Roman" w:hAnsi="Times New Roman" w:cs="Times New Roman"/>
          <w:sz w:val="24"/>
          <w:szCs w:val="24"/>
        </w:rPr>
        <w:t>The Hawk Inlet Monitoring reports however have fuzzy and sometimes changing</w:t>
      </w:r>
      <w:r w:rsidR="00182BE6">
        <w:rPr>
          <w:rFonts w:ascii="Times New Roman" w:hAnsi="Times New Roman" w:cs="Times New Roman"/>
          <w:sz w:val="24"/>
          <w:szCs w:val="24"/>
        </w:rPr>
        <w:t xml:space="preserve"> significance  </w:t>
      </w:r>
      <w:r>
        <w:rPr>
          <w:rFonts w:ascii="Times New Roman" w:hAnsi="Times New Roman" w:cs="Times New Roman"/>
          <w:sz w:val="24"/>
          <w:szCs w:val="24"/>
        </w:rPr>
        <w:t xml:space="preserve"> thresholds</w:t>
      </w:r>
      <w:r w:rsidR="005409B1">
        <w:rPr>
          <w:rFonts w:ascii="Times New Roman" w:hAnsi="Times New Roman" w:cs="Times New Roman"/>
          <w:sz w:val="24"/>
          <w:szCs w:val="24"/>
        </w:rPr>
        <w:t>.  Also,</w:t>
      </w:r>
      <w:r w:rsidR="00182BE6">
        <w:rPr>
          <w:rFonts w:ascii="Times New Roman" w:hAnsi="Times New Roman" w:cs="Times New Roman"/>
          <w:sz w:val="24"/>
          <w:szCs w:val="24"/>
        </w:rPr>
        <w:t xml:space="preserve"> d</w:t>
      </w:r>
      <w:r>
        <w:rPr>
          <w:rFonts w:ascii="Times New Roman" w:hAnsi="Times New Roman" w:cs="Times New Roman"/>
          <w:sz w:val="24"/>
          <w:szCs w:val="24"/>
        </w:rPr>
        <w:t>ifferences in benthic habitats and salinity between sampling sites is unaccounted for.  “</w:t>
      </w:r>
      <w:r w:rsidRPr="0012005C">
        <w:rPr>
          <w:rFonts w:ascii="Times New Roman" w:hAnsi="Times New Roman" w:cs="Times New Roman"/>
          <w:sz w:val="24"/>
          <w:szCs w:val="24"/>
        </w:rPr>
        <w:t>Bottom areas are varied, including muddy, sandy, cobble, and bedrock conditions, depending on location, depth, and flow within the inlet.</w:t>
      </w:r>
      <w:r>
        <w:rPr>
          <w:rFonts w:ascii="Times New Roman" w:hAnsi="Times New Roman" w:cs="Times New Roman"/>
          <w:sz w:val="24"/>
          <w:szCs w:val="24"/>
        </w:rPr>
        <w:t xml:space="preserve">” </w:t>
      </w:r>
      <w:r w:rsidRPr="00182BE6">
        <w:rPr>
          <w:rFonts w:ascii="Times New Roman" w:hAnsi="Times New Roman" w:cs="Times New Roman"/>
          <w:i/>
          <w:iCs/>
          <w:sz w:val="24"/>
          <w:szCs w:val="24"/>
        </w:rPr>
        <w:t>See</w:t>
      </w:r>
      <w:r w:rsidR="00182BE6">
        <w:rPr>
          <w:rFonts w:ascii="Times New Roman" w:hAnsi="Times New Roman" w:cs="Times New Roman"/>
          <w:i/>
          <w:iCs/>
          <w:sz w:val="24"/>
          <w:szCs w:val="24"/>
        </w:rPr>
        <w:t>,</w:t>
      </w:r>
      <w:r w:rsidR="00182BE6">
        <w:rPr>
          <w:rFonts w:ascii="Times New Roman" w:hAnsi="Times New Roman" w:cs="Times New Roman"/>
          <w:sz w:val="24"/>
          <w:szCs w:val="24"/>
        </w:rPr>
        <w:t>2023</w:t>
      </w:r>
      <w:r>
        <w:rPr>
          <w:rFonts w:ascii="Times New Roman" w:hAnsi="Times New Roman" w:cs="Times New Roman"/>
          <w:sz w:val="24"/>
          <w:szCs w:val="24"/>
        </w:rPr>
        <w:t xml:space="preserve"> </w:t>
      </w:r>
      <w:proofErr w:type="spellStart"/>
      <w:r>
        <w:rPr>
          <w:rFonts w:ascii="Times New Roman" w:hAnsi="Times New Roman" w:cs="Times New Roman"/>
          <w:sz w:val="24"/>
          <w:szCs w:val="24"/>
        </w:rPr>
        <w:t>sDEIS</w:t>
      </w:r>
      <w:proofErr w:type="spellEnd"/>
      <w:r>
        <w:rPr>
          <w:rFonts w:ascii="Times New Roman" w:hAnsi="Times New Roman" w:cs="Times New Roman"/>
          <w:sz w:val="24"/>
          <w:szCs w:val="24"/>
        </w:rPr>
        <w:t xml:space="preserve"> at 3-115.  Concentration</w:t>
      </w:r>
      <w:r w:rsidR="00182BE6">
        <w:rPr>
          <w:rFonts w:ascii="Times New Roman" w:hAnsi="Times New Roman" w:cs="Times New Roman"/>
          <w:sz w:val="24"/>
          <w:szCs w:val="24"/>
        </w:rPr>
        <w:t>s</w:t>
      </w:r>
      <w:r>
        <w:rPr>
          <w:rFonts w:ascii="Times New Roman" w:hAnsi="Times New Roman" w:cs="Times New Roman"/>
          <w:sz w:val="24"/>
          <w:szCs w:val="24"/>
        </w:rPr>
        <w:t xml:space="preserve"> in sediment and </w:t>
      </w:r>
      <w:r w:rsidR="00182BE6">
        <w:rPr>
          <w:rFonts w:ascii="Times New Roman" w:hAnsi="Times New Roman" w:cs="Times New Roman"/>
          <w:sz w:val="24"/>
          <w:szCs w:val="24"/>
        </w:rPr>
        <w:t>tissues</w:t>
      </w:r>
      <w:r>
        <w:rPr>
          <w:rFonts w:ascii="Times New Roman" w:hAnsi="Times New Roman" w:cs="Times New Roman"/>
          <w:sz w:val="24"/>
          <w:szCs w:val="24"/>
        </w:rPr>
        <w:t xml:space="preserve"> are compared between sites without consideration of the differing benthic habitats. For instance</w:t>
      </w:r>
      <w:r w:rsidR="00182BE6">
        <w:rPr>
          <w:rFonts w:ascii="Times New Roman" w:hAnsi="Times New Roman" w:cs="Times New Roman"/>
          <w:sz w:val="24"/>
          <w:szCs w:val="24"/>
        </w:rPr>
        <w:t>,</w:t>
      </w:r>
      <w:r>
        <w:rPr>
          <w:rFonts w:ascii="Times New Roman" w:hAnsi="Times New Roman" w:cs="Times New Roman"/>
          <w:sz w:val="24"/>
          <w:szCs w:val="24"/>
        </w:rPr>
        <w:t xml:space="preserve"> Site S-3 at the head of the inlet is characterized as a muddy-sand tidal flat of low salinity </w:t>
      </w:r>
      <w:r w:rsidR="005409B1">
        <w:rPr>
          <w:rFonts w:ascii="Times New Roman" w:hAnsi="Times New Roman" w:cs="Times New Roman"/>
          <w:sz w:val="24"/>
          <w:szCs w:val="24"/>
        </w:rPr>
        <w:t xml:space="preserve">yet is used to </w:t>
      </w:r>
      <w:r>
        <w:rPr>
          <w:rFonts w:ascii="Times New Roman" w:hAnsi="Times New Roman" w:cs="Times New Roman"/>
          <w:sz w:val="24"/>
          <w:szCs w:val="24"/>
        </w:rPr>
        <w:t xml:space="preserve">compare with samples taken in high salinity gravel </w:t>
      </w:r>
      <w:r w:rsidR="005409B1">
        <w:rPr>
          <w:rFonts w:ascii="Times New Roman" w:hAnsi="Times New Roman" w:cs="Times New Roman"/>
          <w:sz w:val="24"/>
          <w:szCs w:val="24"/>
        </w:rPr>
        <w:t xml:space="preserve">and </w:t>
      </w:r>
      <w:r>
        <w:rPr>
          <w:rFonts w:ascii="Times New Roman" w:hAnsi="Times New Roman" w:cs="Times New Roman"/>
          <w:sz w:val="24"/>
          <w:szCs w:val="24"/>
        </w:rPr>
        <w:t xml:space="preserve">sand subtidal bottom at the Greens Creek Delta. </w:t>
      </w:r>
      <w:r w:rsidRPr="005409B1">
        <w:rPr>
          <w:rFonts w:ascii="Times New Roman" w:hAnsi="Times New Roman" w:cs="Times New Roman"/>
          <w:i/>
          <w:iCs/>
          <w:sz w:val="24"/>
          <w:szCs w:val="24"/>
        </w:rPr>
        <w:t>See,</w:t>
      </w:r>
      <w:r>
        <w:rPr>
          <w:rFonts w:ascii="Times New Roman" w:hAnsi="Times New Roman" w:cs="Times New Roman"/>
          <w:sz w:val="24"/>
          <w:szCs w:val="24"/>
        </w:rPr>
        <w:t xml:space="preserve"> Final Results of the 1981 Field Study. </w:t>
      </w:r>
    </w:p>
    <w:p w14:paraId="58A8B89A" w14:textId="6BBB16A4" w:rsidR="008B1363" w:rsidRDefault="00B02051" w:rsidP="009A17AA">
      <w:pPr>
        <w:spacing w:line="276" w:lineRule="auto"/>
        <w:rPr>
          <w:rFonts w:ascii="Times New Roman" w:hAnsi="Times New Roman" w:cs="Times New Roman"/>
          <w:sz w:val="24"/>
          <w:szCs w:val="24"/>
        </w:rPr>
      </w:pPr>
      <w:r>
        <w:rPr>
          <w:rFonts w:ascii="Times New Roman" w:hAnsi="Times New Roman" w:cs="Times New Roman"/>
          <w:sz w:val="24"/>
          <w:szCs w:val="24"/>
        </w:rPr>
        <w:t xml:space="preserve">The outfall 002 monitoring required in the APDES Permit </w:t>
      </w:r>
      <w:r w:rsidR="00182BE6">
        <w:rPr>
          <w:rFonts w:ascii="Times New Roman" w:hAnsi="Times New Roman" w:cs="Times New Roman"/>
          <w:sz w:val="24"/>
          <w:szCs w:val="24"/>
        </w:rPr>
        <w:t xml:space="preserve">for </w:t>
      </w:r>
      <w:r>
        <w:rPr>
          <w:rFonts w:ascii="Times New Roman" w:hAnsi="Times New Roman" w:cs="Times New Roman"/>
          <w:sz w:val="24"/>
          <w:szCs w:val="24"/>
        </w:rPr>
        <w:t xml:space="preserve">water column chemistry </w:t>
      </w:r>
      <w:r w:rsidR="00182BE6">
        <w:rPr>
          <w:rFonts w:ascii="Times New Roman" w:hAnsi="Times New Roman" w:cs="Times New Roman"/>
          <w:sz w:val="24"/>
          <w:szCs w:val="24"/>
        </w:rPr>
        <w:t xml:space="preserve">is </w:t>
      </w:r>
      <w:r>
        <w:rPr>
          <w:rFonts w:ascii="Times New Roman" w:hAnsi="Times New Roman" w:cs="Times New Roman"/>
          <w:sz w:val="24"/>
          <w:szCs w:val="24"/>
        </w:rPr>
        <w:t xml:space="preserve">for mixing zone compliance. Sediments and tissues are monitored near the terminus of the Greens Creek Delta near </w:t>
      </w:r>
      <w:r>
        <w:rPr>
          <w:rFonts w:ascii="Times New Roman" w:hAnsi="Times New Roman" w:cs="Times New Roman"/>
          <w:sz w:val="24"/>
          <w:szCs w:val="24"/>
        </w:rPr>
        <w:lastRenderedPageBreak/>
        <w:t xml:space="preserve">the outfall </w:t>
      </w:r>
      <w:proofErr w:type="spellStart"/>
      <w:r w:rsidR="005409B1">
        <w:rPr>
          <w:rFonts w:ascii="Times New Roman" w:hAnsi="Times New Roman" w:cs="Times New Roman"/>
          <w:sz w:val="24"/>
          <w:szCs w:val="24"/>
        </w:rPr>
        <w:t>miyxing</w:t>
      </w:r>
      <w:proofErr w:type="spellEnd"/>
      <w:r w:rsidR="005409B1">
        <w:rPr>
          <w:rFonts w:ascii="Times New Roman" w:hAnsi="Times New Roman" w:cs="Times New Roman"/>
          <w:sz w:val="24"/>
          <w:szCs w:val="24"/>
        </w:rPr>
        <w:t xml:space="preserve"> zone </w:t>
      </w:r>
      <w:r>
        <w:rPr>
          <w:rFonts w:ascii="Times New Roman" w:hAnsi="Times New Roman" w:cs="Times New Roman"/>
          <w:sz w:val="24"/>
          <w:szCs w:val="24"/>
        </w:rPr>
        <w:t>and the 19</w:t>
      </w:r>
      <w:r w:rsidR="005409B1">
        <w:rPr>
          <w:rFonts w:ascii="Times New Roman" w:hAnsi="Times New Roman" w:cs="Times New Roman"/>
          <w:sz w:val="24"/>
          <w:szCs w:val="24"/>
        </w:rPr>
        <w:t>89</w:t>
      </w:r>
      <w:r>
        <w:rPr>
          <w:rFonts w:ascii="Times New Roman" w:hAnsi="Times New Roman" w:cs="Times New Roman"/>
          <w:sz w:val="24"/>
          <w:szCs w:val="24"/>
        </w:rPr>
        <w:t xml:space="preserve"> spill area.  Natural areas are Chatham Strait for </w:t>
      </w:r>
      <w:r w:rsidR="00872BD3">
        <w:rPr>
          <w:rFonts w:ascii="Times New Roman" w:hAnsi="Times New Roman" w:cs="Times New Roman"/>
          <w:sz w:val="24"/>
          <w:szCs w:val="24"/>
        </w:rPr>
        <w:t>water</w:t>
      </w:r>
      <w:r>
        <w:rPr>
          <w:rFonts w:ascii="Times New Roman" w:hAnsi="Times New Roman" w:cs="Times New Roman"/>
          <w:sz w:val="24"/>
          <w:szCs w:val="24"/>
        </w:rPr>
        <w:t xml:space="preserve"> </w:t>
      </w:r>
      <w:r w:rsidR="005409B1">
        <w:rPr>
          <w:rFonts w:ascii="Times New Roman" w:hAnsi="Times New Roman" w:cs="Times New Roman"/>
          <w:sz w:val="24"/>
          <w:szCs w:val="24"/>
        </w:rPr>
        <w:t>chemistry a</w:t>
      </w:r>
      <w:r w:rsidRPr="00182BE6">
        <w:rPr>
          <w:rFonts w:ascii="Times New Roman" w:hAnsi="Times New Roman" w:cs="Times New Roman"/>
          <w:sz w:val="24"/>
          <w:szCs w:val="24"/>
        </w:rPr>
        <w:t xml:space="preserve">nd Site </w:t>
      </w:r>
      <w:r w:rsidR="00182BE6">
        <w:rPr>
          <w:rFonts w:ascii="Times New Roman" w:hAnsi="Times New Roman" w:cs="Times New Roman"/>
          <w:sz w:val="24"/>
          <w:szCs w:val="24"/>
        </w:rPr>
        <w:t>2 in Pile Driver Cove</w:t>
      </w:r>
      <w:r>
        <w:rPr>
          <w:rFonts w:ascii="Times New Roman" w:hAnsi="Times New Roman" w:cs="Times New Roman"/>
          <w:sz w:val="24"/>
          <w:szCs w:val="24"/>
        </w:rPr>
        <w:t xml:space="preserve"> for sediments and tissues.  </w:t>
      </w:r>
    </w:p>
    <w:p w14:paraId="3E211ACA" w14:textId="0C34990E" w:rsidR="001259B7" w:rsidRDefault="0012005C" w:rsidP="009A17AA">
      <w:pPr>
        <w:spacing w:line="276" w:lineRule="auto"/>
        <w:rPr>
          <w:rFonts w:ascii="Times New Roman" w:hAnsi="Times New Roman" w:cs="Times New Roman"/>
          <w:sz w:val="24"/>
          <w:szCs w:val="24"/>
        </w:rPr>
      </w:pPr>
      <w:r>
        <w:rPr>
          <w:rFonts w:ascii="Times New Roman" w:hAnsi="Times New Roman" w:cs="Times New Roman"/>
          <w:sz w:val="24"/>
          <w:szCs w:val="24"/>
        </w:rPr>
        <w:t xml:space="preserve">After the existence of the 1981 baseline population and diversity studies was re-discovered in 2012, the conclusion of the 2021 Hawk Inlet report changed but basically echoed the 1981 baseline parameters.   </w:t>
      </w:r>
      <w:r w:rsidRPr="0012005C">
        <w:rPr>
          <w:rFonts w:ascii="Times New Roman" w:hAnsi="Times New Roman" w:cs="Times New Roman"/>
          <w:sz w:val="24"/>
          <w:szCs w:val="24"/>
        </w:rPr>
        <w:t>“The current status of the health of marine and aquatic ecosystems can be viewed in a number of ways; 1) based on the number of types of species present in an area (species diversity, or “biodiversity”), 2) the number of individuals from each species in an area (species abundance), and 3) quality of the environment (habitat integrity relative to pristine conditions).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p>
    <w:p w14:paraId="5FF1940E" w14:textId="03608978" w:rsidR="001259B7" w:rsidRDefault="00182BE6" w:rsidP="009A17AA">
      <w:pPr>
        <w:spacing w:line="276" w:lineRule="auto"/>
        <w:rPr>
          <w:rFonts w:ascii="Times New Roman" w:hAnsi="Times New Roman" w:cs="Times New Roman"/>
          <w:sz w:val="24"/>
          <w:szCs w:val="24"/>
        </w:rPr>
      </w:pPr>
      <w:r>
        <w:rPr>
          <w:rFonts w:ascii="Times New Roman" w:hAnsi="Times New Roman" w:cs="Times New Roman"/>
          <w:sz w:val="24"/>
          <w:szCs w:val="24"/>
        </w:rPr>
        <w:t>The significance threshold is a comparison between</w:t>
      </w:r>
      <w:r w:rsidR="0012005C" w:rsidRPr="0012005C">
        <w:rPr>
          <w:rFonts w:ascii="Times New Roman" w:hAnsi="Times New Roman" w:cs="Times New Roman"/>
          <w:sz w:val="24"/>
          <w:szCs w:val="24"/>
        </w:rPr>
        <w:t xml:space="preserve"> Site S-1 near the outfall with a background site </w:t>
      </w:r>
      <w:r w:rsidR="001259B7" w:rsidRPr="0012005C">
        <w:rPr>
          <w:rFonts w:ascii="Times New Roman" w:hAnsi="Times New Roman" w:cs="Times New Roman"/>
          <w:sz w:val="24"/>
          <w:szCs w:val="24"/>
        </w:rPr>
        <w:t>S-2 located over 1.5 miles to the south</w:t>
      </w:r>
      <w:r w:rsidR="0012005C" w:rsidRPr="0012005C">
        <w:rPr>
          <w:rFonts w:ascii="Times New Roman" w:hAnsi="Times New Roman" w:cs="Times New Roman"/>
          <w:sz w:val="24"/>
          <w:szCs w:val="24"/>
        </w:rPr>
        <w:t>.  The report concludes that “</w:t>
      </w:r>
      <w:r w:rsidR="001259B7" w:rsidRPr="0012005C">
        <w:rPr>
          <w:rFonts w:ascii="Times New Roman" w:hAnsi="Times New Roman" w:cs="Times New Roman"/>
          <w:sz w:val="24"/>
          <w:szCs w:val="24"/>
        </w:rPr>
        <w:t>it is evident that metal concentrations at the two sites exhibit similar concentration ranges. Furthermore, the yearly variability is similar between the two sites. Given the spatial distance but similar concentrations and the temporal similarity</w:t>
      </w:r>
      <w:r w:rsidR="0012005C" w:rsidRPr="0012005C">
        <w:rPr>
          <w:rFonts w:ascii="Times New Roman" w:hAnsi="Times New Roman" w:cs="Times New Roman"/>
          <w:sz w:val="24"/>
          <w:szCs w:val="24"/>
        </w:rPr>
        <w:t xml:space="preserve"> (trends)</w:t>
      </w:r>
      <w:r w:rsidR="001259B7" w:rsidRPr="0012005C">
        <w:rPr>
          <w:rFonts w:ascii="Times New Roman" w:hAnsi="Times New Roman" w:cs="Times New Roman"/>
          <w:sz w:val="24"/>
          <w:szCs w:val="24"/>
        </w:rPr>
        <w:t xml:space="preserve"> between the sites, the sediment metals concentrations at S-1 appear within the range of natural conditions.</w:t>
      </w:r>
      <w:r w:rsidR="0012005C" w:rsidRPr="0012005C">
        <w:rPr>
          <w:rFonts w:ascii="Times New Roman" w:hAnsi="Times New Roman" w:cs="Times New Roman"/>
          <w:sz w:val="24"/>
          <w:szCs w:val="24"/>
        </w:rPr>
        <w:t xml:space="preserve">” </w:t>
      </w:r>
      <w:r w:rsidR="0012005C" w:rsidRPr="00182BE6">
        <w:rPr>
          <w:rFonts w:ascii="Times New Roman" w:hAnsi="Times New Roman" w:cs="Times New Roman"/>
          <w:i/>
          <w:iCs/>
          <w:sz w:val="24"/>
          <w:szCs w:val="24"/>
        </w:rPr>
        <w:t>Id</w:t>
      </w:r>
      <w:r w:rsidR="0012005C" w:rsidRPr="0012005C">
        <w:rPr>
          <w:rFonts w:ascii="Times New Roman" w:hAnsi="Times New Roman" w:cs="Times New Roman"/>
          <w:sz w:val="24"/>
          <w:szCs w:val="24"/>
        </w:rPr>
        <w:t>.</w:t>
      </w:r>
    </w:p>
    <w:p w14:paraId="6F49B89B" w14:textId="74146C81" w:rsidR="0012005C" w:rsidRDefault="0012005C" w:rsidP="009A17AA">
      <w:pPr>
        <w:spacing w:line="276" w:lineRule="auto"/>
        <w:rPr>
          <w:rFonts w:ascii="Times New Roman" w:hAnsi="Times New Roman" w:cs="Times New Roman"/>
          <w:sz w:val="24"/>
          <w:szCs w:val="24"/>
        </w:rPr>
      </w:pPr>
      <w:r>
        <w:rPr>
          <w:rFonts w:ascii="Times New Roman" w:hAnsi="Times New Roman" w:cs="Times New Roman"/>
          <w:sz w:val="24"/>
          <w:szCs w:val="24"/>
        </w:rPr>
        <w:t>This is fine except Outfall 002 is not the only source of metals to the Inlet.  Fugitive dust could be affecting both S-1 and S-2 resulting in the same correlation between the sites and masking any effect of the Outfall.</w:t>
      </w:r>
    </w:p>
    <w:p w14:paraId="5935BA2C" w14:textId="6D1E8964" w:rsidR="00711D68" w:rsidRDefault="00711D68" w:rsidP="009A17AA">
      <w:pPr>
        <w:spacing w:line="276" w:lineRule="auto"/>
        <w:rPr>
          <w:rFonts w:ascii="Times New Roman" w:hAnsi="Times New Roman" w:cs="Times New Roman"/>
          <w:sz w:val="24"/>
          <w:szCs w:val="24"/>
        </w:rPr>
      </w:pPr>
      <w:r>
        <w:rPr>
          <w:rFonts w:ascii="Times New Roman" w:hAnsi="Times New Roman" w:cs="Times New Roman"/>
          <w:sz w:val="24"/>
          <w:szCs w:val="24"/>
        </w:rPr>
        <w:t>In t</w:t>
      </w:r>
      <w:r w:rsidR="005E19AA">
        <w:rPr>
          <w:rFonts w:ascii="Times New Roman" w:hAnsi="Times New Roman" w:cs="Times New Roman"/>
          <w:sz w:val="24"/>
          <w:szCs w:val="24"/>
        </w:rPr>
        <w:t xml:space="preserve">he 2011 </w:t>
      </w:r>
      <w:r w:rsidR="005409B1">
        <w:rPr>
          <w:rFonts w:ascii="Times New Roman" w:hAnsi="Times New Roman" w:cs="Times New Roman"/>
          <w:sz w:val="24"/>
          <w:szCs w:val="24"/>
        </w:rPr>
        <w:t xml:space="preserve">Hawk Inlet </w:t>
      </w:r>
      <w:r w:rsidR="00106F8B">
        <w:rPr>
          <w:rFonts w:ascii="Times New Roman" w:hAnsi="Times New Roman" w:cs="Times New Roman"/>
          <w:sz w:val="24"/>
          <w:szCs w:val="24"/>
        </w:rPr>
        <w:t xml:space="preserve">Monitoring </w:t>
      </w:r>
      <w:r w:rsidR="005409B1">
        <w:rPr>
          <w:rFonts w:ascii="Times New Roman" w:hAnsi="Times New Roman" w:cs="Times New Roman"/>
          <w:sz w:val="24"/>
          <w:szCs w:val="24"/>
        </w:rPr>
        <w:t>Report</w:t>
      </w:r>
      <w:r w:rsidR="00106F8B">
        <w:rPr>
          <w:rFonts w:ascii="Times New Roman" w:hAnsi="Times New Roman" w:cs="Times New Roman"/>
          <w:sz w:val="24"/>
          <w:szCs w:val="24"/>
        </w:rPr>
        <w:t xml:space="preserve"> (HIMR)</w:t>
      </w:r>
      <w:r w:rsidR="005409B1">
        <w:rPr>
          <w:rFonts w:ascii="Times New Roman" w:hAnsi="Times New Roman" w:cs="Times New Roman"/>
          <w:sz w:val="24"/>
          <w:szCs w:val="24"/>
        </w:rPr>
        <w:t xml:space="preserve">, </w:t>
      </w:r>
      <w:r w:rsidR="00106F8B">
        <w:rPr>
          <w:rFonts w:ascii="Times New Roman" w:hAnsi="Times New Roman" w:cs="Times New Roman"/>
          <w:sz w:val="24"/>
          <w:szCs w:val="24"/>
        </w:rPr>
        <w:t>T</w:t>
      </w:r>
      <w:r>
        <w:rPr>
          <w:rFonts w:ascii="Times New Roman" w:hAnsi="Times New Roman" w:cs="Times New Roman"/>
          <w:sz w:val="24"/>
          <w:szCs w:val="24"/>
        </w:rPr>
        <w:t xml:space="preserve">he significance threshold </w:t>
      </w:r>
      <w:r w:rsidR="00106F8B">
        <w:rPr>
          <w:rFonts w:ascii="Times New Roman" w:hAnsi="Times New Roman" w:cs="Times New Roman"/>
          <w:sz w:val="24"/>
          <w:szCs w:val="24"/>
        </w:rPr>
        <w:t xml:space="preserve">changes </w:t>
      </w:r>
      <w:r>
        <w:rPr>
          <w:rFonts w:ascii="Times New Roman" w:hAnsi="Times New Roman" w:cs="Times New Roman"/>
          <w:sz w:val="24"/>
          <w:szCs w:val="24"/>
        </w:rPr>
        <w:t xml:space="preserve">to become a </w:t>
      </w:r>
      <w:r w:rsidR="00106F8B">
        <w:rPr>
          <w:rFonts w:ascii="Times New Roman" w:hAnsi="Times New Roman" w:cs="Times New Roman"/>
          <w:sz w:val="24"/>
          <w:szCs w:val="24"/>
        </w:rPr>
        <w:t>comparison</w:t>
      </w:r>
      <w:r>
        <w:rPr>
          <w:rFonts w:ascii="Times New Roman" w:hAnsi="Times New Roman" w:cs="Times New Roman"/>
          <w:sz w:val="24"/>
          <w:szCs w:val="24"/>
        </w:rPr>
        <w:t xml:space="preserve"> between pre-mining and productions eras. The 2011 </w:t>
      </w:r>
      <w:r w:rsidR="005E19AA">
        <w:rPr>
          <w:rFonts w:ascii="Times New Roman" w:hAnsi="Times New Roman" w:cs="Times New Roman"/>
          <w:sz w:val="24"/>
          <w:szCs w:val="24"/>
        </w:rPr>
        <w:t>Hawk Inlet Monitoring Report states that “[s]</w:t>
      </w:r>
      <w:proofErr w:type="spellStart"/>
      <w:r w:rsidR="005E19AA">
        <w:rPr>
          <w:rFonts w:ascii="Times New Roman" w:hAnsi="Times New Roman" w:cs="Times New Roman"/>
          <w:sz w:val="24"/>
          <w:szCs w:val="24"/>
        </w:rPr>
        <w:t>ampling</w:t>
      </w:r>
      <w:proofErr w:type="spellEnd"/>
      <w:r w:rsidR="005E19AA">
        <w:rPr>
          <w:rFonts w:ascii="Times New Roman" w:hAnsi="Times New Roman" w:cs="Times New Roman"/>
          <w:sz w:val="24"/>
          <w:szCs w:val="24"/>
        </w:rPr>
        <w:t xml:space="preserve"> sites S-1 and S-2 were chosen to represent natural conditions; therefore, results from these sites from June of 1984 until August of 1989 were used to calculate baseline, pre-production values.” </w:t>
      </w:r>
      <w:r w:rsidR="005E19AA">
        <w:rPr>
          <w:rFonts w:ascii="Times New Roman" w:hAnsi="Times New Roman" w:cs="Times New Roman"/>
          <w:i/>
          <w:sz w:val="24"/>
          <w:szCs w:val="24"/>
        </w:rPr>
        <w:t>See</w:t>
      </w:r>
      <w:r w:rsidR="00106F8B">
        <w:rPr>
          <w:rFonts w:ascii="Times New Roman" w:hAnsi="Times New Roman" w:cs="Times New Roman"/>
          <w:i/>
          <w:sz w:val="24"/>
          <w:szCs w:val="24"/>
        </w:rPr>
        <w:t>,</w:t>
      </w:r>
      <w:r w:rsidR="005E19AA">
        <w:rPr>
          <w:rFonts w:ascii="Times New Roman" w:hAnsi="Times New Roman" w:cs="Times New Roman"/>
          <w:sz w:val="24"/>
          <w:szCs w:val="24"/>
        </w:rPr>
        <w:t xml:space="preserve"> 2011 HIMR 2011 at 3.2.</w:t>
      </w:r>
    </w:p>
    <w:p w14:paraId="4C7AE6F0" w14:textId="4AFF6E53" w:rsidR="005E19AA" w:rsidRPr="0012005C" w:rsidRDefault="00711D68" w:rsidP="009A17AA">
      <w:pPr>
        <w:spacing w:line="276" w:lineRule="auto"/>
        <w:rPr>
          <w:rFonts w:ascii="Times New Roman" w:hAnsi="Times New Roman" w:cs="Times New Roman"/>
          <w:sz w:val="24"/>
          <w:szCs w:val="24"/>
        </w:rPr>
      </w:pPr>
      <w:r>
        <w:rPr>
          <w:rFonts w:ascii="Times New Roman" w:hAnsi="Times New Roman" w:cs="Times New Roman"/>
          <w:sz w:val="24"/>
          <w:szCs w:val="24"/>
        </w:rPr>
        <w:t>In 2019, the threshold changes again to include a third site.  T</w:t>
      </w:r>
      <w:r w:rsidR="005E19AA">
        <w:rPr>
          <w:rFonts w:ascii="Times New Roman" w:hAnsi="Times New Roman" w:cs="Times New Roman"/>
          <w:sz w:val="24"/>
          <w:szCs w:val="24"/>
        </w:rPr>
        <w:t xml:space="preserve">he 2019 HIMR states that sample sites “S-1, S-2, </w:t>
      </w:r>
      <w:r w:rsidR="005E19AA">
        <w:rPr>
          <w:rFonts w:ascii="Times New Roman" w:hAnsi="Times New Roman" w:cs="Times New Roman"/>
          <w:i/>
          <w:sz w:val="24"/>
          <w:szCs w:val="24"/>
        </w:rPr>
        <w:t>and S-3</w:t>
      </w:r>
      <w:r w:rsidR="005E19AA">
        <w:rPr>
          <w:rFonts w:ascii="Times New Roman" w:hAnsi="Times New Roman" w:cs="Times New Roman"/>
          <w:sz w:val="24"/>
          <w:szCs w:val="24"/>
        </w:rPr>
        <w:t xml:space="preserve"> were chosen to represent natural conditions; therefore, results from these sites from September of 1984 until January of 1989 were used to calculate baseline, pre-production values” (emphasis added). </w:t>
      </w:r>
      <w:r w:rsidR="005E19AA">
        <w:rPr>
          <w:rFonts w:ascii="Times New Roman" w:hAnsi="Times New Roman" w:cs="Times New Roman"/>
          <w:i/>
          <w:sz w:val="24"/>
          <w:szCs w:val="24"/>
        </w:rPr>
        <w:t>See</w:t>
      </w:r>
      <w:r w:rsidR="005E19AA">
        <w:rPr>
          <w:rFonts w:ascii="Times New Roman" w:hAnsi="Times New Roman" w:cs="Times New Roman"/>
          <w:sz w:val="24"/>
          <w:szCs w:val="24"/>
        </w:rPr>
        <w:t xml:space="preserve"> 2019 HIMR at 3.2.  </w:t>
      </w:r>
    </w:p>
    <w:p w14:paraId="714615E4" w14:textId="6358B5C7" w:rsidR="002C01E9" w:rsidRDefault="00711D68" w:rsidP="009A17AA">
      <w:pPr>
        <w:spacing w:line="276" w:lineRule="auto"/>
      </w:pPr>
      <w:r>
        <w:rPr>
          <w:rFonts w:ascii="Times New Roman" w:hAnsi="Times New Roman" w:cs="Times New Roman"/>
          <w:color w:val="111111"/>
          <w:sz w:val="24"/>
          <w:szCs w:val="24"/>
          <w:shd w:val="clear" w:color="auto" w:fill="FFFFFF"/>
        </w:rPr>
        <w:t>The significance test</w:t>
      </w:r>
      <w:r w:rsidR="00106F8B">
        <w:rPr>
          <w:rFonts w:ascii="Times New Roman" w:hAnsi="Times New Roman" w:cs="Times New Roman"/>
          <w:color w:val="111111"/>
          <w:sz w:val="24"/>
          <w:szCs w:val="24"/>
          <w:shd w:val="clear" w:color="auto" w:fill="FFFFFF"/>
        </w:rPr>
        <w:t xml:space="preserve"> in 2019 as stated in the report </w:t>
      </w:r>
      <w:r>
        <w:rPr>
          <w:rFonts w:ascii="Times New Roman" w:hAnsi="Times New Roman" w:cs="Times New Roman"/>
          <w:color w:val="111111"/>
          <w:sz w:val="24"/>
          <w:szCs w:val="24"/>
          <w:shd w:val="clear" w:color="auto" w:fill="FFFFFF"/>
        </w:rPr>
        <w:t xml:space="preserve">becomes a geographical comparison in sediment values between </w:t>
      </w:r>
      <w:r w:rsidR="0012005C" w:rsidRPr="0012005C">
        <w:rPr>
          <w:rFonts w:ascii="Times New Roman" w:hAnsi="Times New Roman" w:cs="Times New Roman"/>
          <w:color w:val="111111"/>
          <w:sz w:val="24"/>
          <w:szCs w:val="24"/>
          <w:shd w:val="clear" w:color="auto" w:fill="FFFFFF"/>
        </w:rPr>
        <w:t>three different locations.  Results at S-1 near the Outfall are compared with S-3 six miles north as well as S-2 1.5 miles to the south in Pile Driver Cove.  The report concludes that given that concentrations at S-1 were lower than S-3 and higher than S-2 the lowest, and that “</w:t>
      </w:r>
      <w:r w:rsidR="00184D7E" w:rsidRPr="0012005C">
        <w:rPr>
          <w:rFonts w:ascii="Times New Roman" w:hAnsi="Times New Roman" w:cs="Times New Roman"/>
          <w:sz w:val="24"/>
          <w:szCs w:val="24"/>
        </w:rPr>
        <w:t>S-1 is geographically located between the two sites, it is evident that metals concentrations at S-1 are within the range of natural conditions.</w:t>
      </w:r>
      <w:r w:rsidR="0012005C" w:rsidRPr="0012005C">
        <w:rPr>
          <w:rFonts w:ascii="Times New Roman" w:hAnsi="Times New Roman" w:cs="Times New Roman"/>
          <w:sz w:val="24"/>
          <w:szCs w:val="24"/>
        </w:rPr>
        <w:t>”</w:t>
      </w:r>
      <w:r w:rsidR="00184D7E" w:rsidRPr="0012005C">
        <w:rPr>
          <w:rFonts w:ascii="Times New Roman" w:hAnsi="Times New Roman" w:cs="Times New Roman"/>
          <w:sz w:val="24"/>
          <w:szCs w:val="24"/>
        </w:rPr>
        <w:t xml:space="preserve"> </w:t>
      </w:r>
      <w:r w:rsidR="0012005C" w:rsidRPr="0012005C">
        <w:rPr>
          <w:rFonts w:ascii="Times New Roman" w:hAnsi="Times New Roman" w:cs="Times New Roman"/>
          <w:sz w:val="24"/>
          <w:szCs w:val="24"/>
        </w:rPr>
        <w:t xml:space="preserve"> </w:t>
      </w:r>
      <w:r w:rsidR="00106F8B">
        <w:rPr>
          <w:rFonts w:ascii="Times New Roman" w:hAnsi="Times New Roman" w:cs="Times New Roman"/>
          <w:sz w:val="24"/>
          <w:szCs w:val="24"/>
        </w:rPr>
        <w:t xml:space="preserve">If bye natural conditions one means the rough mean between two sample sites. </w:t>
      </w:r>
      <w:r w:rsidR="0012005C" w:rsidRPr="0012005C">
        <w:rPr>
          <w:rFonts w:ascii="Times New Roman" w:hAnsi="Times New Roman" w:cs="Times New Roman"/>
          <w:i/>
          <w:iCs/>
          <w:sz w:val="24"/>
          <w:szCs w:val="24"/>
        </w:rPr>
        <w:t>See,</w:t>
      </w:r>
      <w:r w:rsidR="0012005C" w:rsidRPr="0012005C">
        <w:rPr>
          <w:rFonts w:ascii="Times New Roman" w:hAnsi="Times New Roman" w:cs="Times New Roman"/>
          <w:sz w:val="24"/>
          <w:szCs w:val="24"/>
        </w:rPr>
        <w:t xml:space="preserve"> 2018 HIMR a</w:t>
      </w:r>
      <w:r w:rsidR="00184D7E" w:rsidRPr="0012005C">
        <w:rPr>
          <w:rFonts w:ascii="Times New Roman" w:hAnsi="Times New Roman" w:cs="Times New Roman"/>
          <w:sz w:val="24"/>
          <w:szCs w:val="24"/>
        </w:rPr>
        <w:t>t 24</w:t>
      </w:r>
      <w:r w:rsidR="0012005C">
        <w:rPr>
          <w:rFonts w:ascii="Times New Roman" w:hAnsi="Times New Roman" w:cs="Times New Roman"/>
          <w:sz w:val="24"/>
          <w:szCs w:val="24"/>
        </w:rPr>
        <w:t>.</w:t>
      </w:r>
      <w:r w:rsidR="0012005C">
        <w:t xml:space="preserve"> </w:t>
      </w:r>
    </w:p>
    <w:p w14:paraId="662B558E" w14:textId="77777777" w:rsidR="00711D68" w:rsidRDefault="00E9546A" w:rsidP="009A17AA">
      <w:pPr>
        <w:spacing w:line="276" w:lineRule="auto"/>
        <w:rPr>
          <w:rFonts w:ascii="Times New Roman" w:hAnsi="Times New Roman" w:cs="Times New Roman"/>
          <w:sz w:val="24"/>
          <w:szCs w:val="24"/>
        </w:rPr>
      </w:pPr>
      <w:r w:rsidRPr="0012005C">
        <w:rPr>
          <w:rFonts w:ascii="Times New Roman" w:hAnsi="Times New Roman" w:cs="Times New Roman"/>
          <w:sz w:val="24"/>
          <w:szCs w:val="24"/>
        </w:rPr>
        <w:t xml:space="preserve">S-3 is </w:t>
      </w:r>
      <w:r w:rsidR="0012005C" w:rsidRPr="0012005C">
        <w:rPr>
          <w:rFonts w:ascii="Times New Roman" w:hAnsi="Times New Roman" w:cs="Times New Roman"/>
          <w:sz w:val="24"/>
          <w:szCs w:val="24"/>
        </w:rPr>
        <w:t xml:space="preserve">a curious location for comparison to S-1.  Not only does it represent a completely different benthic substrate as found at S-1 but it is known to be influenced by sources of metals at Hawk Inlet's </w:t>
      </w:r>
      <w:r w:rsidR="0012005C" w:rsidRPr="0012005C">
        <w:rPr>
          <w:rFonts w:ascii="Times New Roman" w:hAnsi="Times New Roman" w:cs="Times New Roman"/>
          <w:sz w:val="24"/>
          <w:szCs w:val="24"/>
        </w:rPr>
        <w:lastRenderedPageBreak/>
        <w:t xml:space="preserve">head that are not associated with the Greens Creek Mine.  </w:t>
      </w:r>
      <w:r w:rsidR="0012005C" w:rsidRPr="0012005C">
        <w:rPr>
          <w:rFonts w:ascii="Times New Roman" w:hAnsi="Times New Roman" w:cs="Times New Roman"/>
          <w:i/>
          <w:iCs/>
          <w:sz w:val="24"/>
          <w:szCs w:val="24"/>
        </w:rPr>
        <w:t>See</w:t>
      </w:r>
      <w:r w:rsidR="0012005C">
        <w:rPr>
          <w:rFonts w:ascii="Times New Roman" w:hAnsi="Times New Roman" w:cs="Times New Roman"/>
          <w:i/>
          <w:iCs/>
          <w:sz w:val="24"/>
          <w:szCs w:val="24"/>
        </w:rPr>
        <w:t>,</w:t>
      </w:r>
      <w:r w:rsidR="0012005C" w:rsidRPr="0012005C">
        <w:rPr>
          <w:rFonts w:ascii="Times New Roman" w:hAnsi="Times New Roman" w:cs="Times New Roman"/>
          <w:i/>
          <w:iCs/>
          <w:sz w:val="24"/>
          <w:szCs w:val="24"/>
        </w:rPr>
        <w:t xml:space="preserve"> Id</w:t>
      </w:r>
      <w:r w:rsidR="0012005C" w:rsidRPr="0012005C">
        <w:rPr>
          <w:rFonts w:ascii="Times New Roman" w:hAnsi="Times New Roman" w:cs="Times New Roman"/>
          <w:sz w:val="24"/>
          <w:szCs w:val="24"/>
        </w:rPr>
        <w:t>., at 20.</w:t>
      </w:r>
      <w:r w:rsidR="00711D68">
        <w:rPr>
          <w:rFonts w:ascii="Times New Roman" w:hAnsi="Times New Roman" w:cs="Times New Roman"/>
          <w:sz w:val="24"/>
          <w:szCs w:val="24"/>
        </w:rPr>
        <w:t xml:space="preserve">  S-3 is known to be contaminated but as long as S-1 remains lower, then effects at S-1 are not significant.</w:t>
      </w:r>
    </w:p>
    <w:p w14:paraId="13F058A6" w14:textId="643D34E5" w:rsidR="0012005C" w:rsidRPr="0012005C" w:rsidRDefault="0012005C" w:rsidP="009A17AA">
      <w:pPr>
        <w:spacing w:line="276" w:lineRule="auto"/>
        <w:rPr>
          <w:rFonts w:ascii="Times New Roman" w:hAnsi="Times New Roman" w:cs="Times New Roman"/>
          <w:sz w:val="24"/>
          <w:szCs w:val="24"/>
        </w:rPr>
      </w:pPr>
      <w:r w:rsidRPr="0012005C">
        <w:rPr>
          <w:rFonts w:ascii="Times New Roman" w:hAnsi="Times New Roman" w:cs="Times New Roman"/>
          <w:sz w:val="24"/>
          <w:szCs w:val="24"/>
        </w:rPr>
        <w:t xml:space="preserve">The </w:t>
      </w:r>
      <w:r>
        <w:rPr>
          <w:rFonts w:ascii="Times New Roman" w:hAnsi="Times New Roman" w:cs="Times New Roman"/>
          <w:sz w:val="24"/>
          <w:szCs w:val="24"/>
        </w:rPr>
        <w:t>e</w:t>
      </w:r>
      <w:r w:rsidRPr="0012005C">
        <w:rPr>
          <w:rFonts w:ascii="Times New Roman" w:hAnsi="Times New Roman" w:cs="Times New Roman"/>
          <w:sz w:val="24"/>
          <w:szCs w:val="24"/>
        </w:rPr>
        <w:t>xact sources contributing to the metal’s concentrations at station S-3 are unknown, but potential sources include fugitive ore dust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Geographical proximity cannot be relied on for comparison between sites exhibiting such a variety of </w:t>
      </w:r>
      <w:r w:rsidR="00106F8B">
        <w:rPr>
          <w:rFonts w:ascii="Times New Roman" w:hAnsi="Times New Roman" w:cs="Times New Roman"/>
          <w:sz w:val="24"/>
          <w:szCs w:val="24"/>
        </w:rPr>
        <w:t xml:space="preserve">morphological </w:t>
      </w:r>
      <w:r>
        <w:rPr>
          <w:rFonts w:ascii="Times New Roman" w:hAnsi="Times New Roman" w:cs="Times New Roman"/>
          <w:sz w:val="24"/>
          <w:szCs w:val="24"/>
        </w:rPr>
        <w:t>characteristics.</w:t>
      </w:r>
      <w:r w:rsidR="005E19AA">
        <w:rPr>
          <w:rFonts w:ascii="Times New Roman" w:hAnsi="Times New Roman" w:cs="Times New Roman"/>
          <w:sz w:val="24"/>
          <w:szCs w:val="24"/>
        </w:rPr>
        <w:t xml:space="preserve"> S-3 i</w:t>
      </w:r>
      <w:r w:rsidR="00106F8B">
        <w:rPr>
          <w:rFonts w:ascii="Times New Roman" w:hAnsi="Times New Roman" w:cs="Times New Roman"/>
          <w:sz w:val="24"/>
          <w:szCs w:val="24"/>
        </w:rPr>
        <w:t>s</w:t>
      </w:r>
      <w:r w:rsidR="005E19AA">
        <w:rPr>
          <w:rFonts w:ascii="Times New Roman" w:hAnsi="Times New Roman" w:cs="Times New Roman"/>
          <w:sz w:val="24"/>
          <w:szCs w:val="24"/>
        </w:rPr>
        <w:t xml:space="preserve"> not an appropriate natural condition site for comparison.</w:t>
      </w:r>
    </w:p>
    <w:p w14:paraId="72EB171A" w14:textId="1B232A02" w:rsidR="0012005C" w:rsidRDefault="0012005C" w:rsidP="009A17AA">
      <w:pPr>
        <w:autoSpaceDE w:val="0"/>
        <w:autoSpaceDN w:val="0"/>
        <w:adjustRightInd w:val="0"/>
        <w:spacing w:after="0" w:line="276" w:lineRule="auto"/>
        <w:rPr>
          <w:rFonts w:ascii="Times New Roman" w:hAnsi="Times New Roman" w:cs="Times New Roman"/>
          <w:sz w:val="24"/>
          <w:szCs w:val="24"/>
          <w:shd w:val="clear" w:color="auto" w:fill="FFFFFF"/>
        </w:rPr>
      </w:pPr>
      <w:r w:rsidRPr="0012005C">
        <w:rPr>
          <w:rFonts w:ascii="Times New Roman" w:hAnsi="Times New Roman" w:cs="Times New Roman"/>
          <w:sz w:val="24"/>
          <w:szCs w:val="24"/>
        </w:rPr>
        <w:t xml:space="preserve">More recently, the mine has used yet another method to measure </w:t>
      </w:r>
      <w:r w:rsidR="00711D68">
        <w:rPr>
          <w:rFonts w:ascii="Times New Roman" w:hAnsi="Times New Roman" w:cs="Times New Roman"/>
          <w:sz w:val="24"/>
          <w:szCs w:val="24"/>
        </w:rPr>
        <w:t xml:space="preserve">threshold significance and </w:t>
      </w:r>
      <w:r w:rsidRPr="0012005C">
        <w:rPr>
          <w:rFonts w:ascii="Times New Roman" w:hAnsi="Times New Roman" w:cs="Times New Roman"/>
          <w:sz w:val="24"/>
          <w:szCs w:val="24"/>
        </w:rPr>
        <w:t xml:space="preserve">possible impacts to Hawk Inlet.  The current risk characterization is based on comparison of measured levels of metals </w:t>
      </w:r>
      <w:r>
        <w:rPr>
          <w:rFonts w:ascii="Times New Roman" w:hAnsi="Times New Roman" w:cs="Times New Roman"/>
          <w:sz w:val="24"/>
          <w:szCs w:val="24"/>
        </w:rPr>
        <w:t xml:space="preserve">in tissues </w:t>
      </w:r>
      <w:r w:rsidRPr="0012005C">
        <w:rPr>
          <w:rFonts w:ascii="Times New Roman" w:hAnsi="Times New Roman" w:cs="Times New Roman"/>
          <w:sz w:val="24"/>
          <w:szCs w:val="24"/>
        </w:rPr>
        <w:t xml:space="preserve">to the published </w:t>
      </w:r>
      <w:r w:rsidRPr="0012005C">
        <w:rPr>
          <w:rStyle w:val="Emphasis"/>
          <w:rFonts w:ascii="Times New Roman" w:hAnsi="Times New Roman" w:cs="Times New Roman"/>
          <w:i w:val="0"/>
          <w:iCs w:val="0"/>
          <w:sz w:val="24"/>
          <w:szCs w:val="24"/>
          <w:shd w:val="clear" w:color="auto" w:fill="FFFFFF"/>
        </w:rPr>
        <w:t>concentrations</w:t>
      </w:r>
      <w:r w:rsidRPr="0012005C">
        <w:rPr>
          <w:rFonts w:ascii="Times New Roman" w:hAnsi="Times New Roman" w:cs="Times New Roman"/>
          <w:sz w:val="24"/>
          <w:szCs w:val="24"/>
          <w:shd w:val="clear" w:color="auto" w:fill="FFFFFF"/>
        </w:rPr>
        <w:t> below which </w:t>
      </w:r>
      <w:r w:rsidRPr="0012005C">
        <w:rPr>
          <w:rStyle w:val="Emphasis"/>
          <w:rFonts w:ascii="Times New Roman" w:hAnsi="Times New Roman" w:cs="Times New Roman"/>
          <w:i w:val="0"/>
          <w:iCs w:val="0"/>
          <w:sz w:val="24"/>
          <w:szCs w:val="24"/>
          <w:shd w:val="clear" w:color="auto" w:fill="FFFFFF"/>
        </w:rPr>
        <w:t>toxic effects</w:t>
      </w:r>
      <w:r w:rsidRPr="0012005C">
        <w:rPr>
          <w:rFonts w:ascii="Times New Roman" w:hAnsi="Times New Roman" w:cs="Times New Roman"/>
          <w:sz w:val="24"/>
          <w:szCs w:val="24"/>
          <w:shd w:val="clear" w:color="auto" w:fill="FFFFFF"/>
        </w:rPr>
        <w:t> are scarcely observed or predicted</w:t>
      </w:r>
      <w:r w:rsidRPr="0012005C">
        <w:rPr>
          <w:rFonts w:ascii="Times New Roman" w:hAnsi="Times New Roman" w:cs="Times New Roman"/>
          <w:sz w:val="24"/>
          <w:szCs w:val="24"/>
        </w:rPr>
        <w:t xml:space="preserve"> for th</w:t>
      </w:r>
      <w:r>
        <w:rPr>
          <w:rFonts w:ascii="Times New Roman" w:hAnsi="Times New Roman" w:cs="Times New Roman"/>
          <w:sz w:val="24"/>
          <w:szCs w:val="24"/>
        </w:rPr>
        <w:t>ose</w:t>
      </w:r>
      <w:r w:rsidRPr="0012005C">
        <w:rPr>
          <w:rFonts w:ascii="Times New Roman" w:hAnsi="Times New Roman" w:cs="Times New Roman"/>
          <w:sz w:val="24"/>
          <w:szCs w:val="24"/>
        </w:rPr>
        <w:t xml:space="preserve"> species </w:t>
      </w:r>
      <w:r w:rsidRPr="0012005C">
        <w:rPr>
          <w:rFonts w:ascii="Times New Roman" w:hAnsi="Times New Roman" w:cs="Times New Roman"/>
          <w:sz w:val="24"/>
          <w:szCs w:val="24"/>
          <w:shd w:val="clear" w:color="auto" w:fill="FFFFFF"/>
        </w:rPr>
        <w:t>(ERL levels).</w:t>
      </w:r>
      <w:r>
        <w:rPr>
          <w:rFonts w:ascii="Times New Roman" w:hAnsi="Times New Roman" w:cs="Times New Roman"/>
          <w:sz w:val="24"/>
          <w:szCs w:val="24"/>
          <w:shd w:val="clear" w:color="auto" w:fill="FFFFFF"/>
        </w:rPr>
        <w:t xml:space="preserve"> The report finds little to no risk.</w:t>
      </w:r>
    </w:p>
    <w:p w14:paraId="14BDCC8C" w14:textId="77777777" w:rsidR="00711D68" w:rsidRDefault="00711D68" w:rsidP="009A17AA">
      <w:pPr>
        <w:autoSpaceDE w:val="0"/>
        <w:autoSpaceDN w:val="0"/>
        <w:adjustRightInd w:val="0"/>
        <w:spacing w:after="0" w:line="276" w:lineRule="auto"/>
        <w:rPr>
          <w:rFonts w:ascii="Times New Roman" w:hAnsi="Times New Roman" w:cs="Times New Roman"/>
          <w:sz w:val="24"/>
          <w:szCs w:val="24"/>
          <w:shd w:val="clear" w:color="auto" w:fill="FFFFFF"/>
        </w:rPr>
      </w:pPr>
    </w:p>
    <w:p w14:paraId="7BEC6432" w14:textId="1ED54FCE" w:rsidR="0012005C" w:rsidRDefault="00711D68" w:rsidP="009A17AA">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Although this method </w:t>
      </w:r>
      <w:r w:rsidR="0012005C" w:rsidRPr="0012005C">
        <w:rPr>
          <w:rFonts w:ascii="Times New Roman" w:hAnsi="Times New Roman" w:cs="Times New Roman"/>
          <w:sz w:val="24"/>
          <w:szCs w:val="24"/>
        </w:rPr>
        <w:t>can provide information into long-term trends in tissue concentrations, it cannot be used to reliably predict effects to aquatic organisms. “There are no effects threshold or regulatory criteria for metals in mussel tissues that are considered protective of aquatic biota. As discussed above, tissue concentrations are not useful predictors of adverse effects to aquatic communities.”</w:t>
      </w:r>
      <w:r w:rsidR="0012005C" w:rsidRPr="0012005C">
        <w:rPr>
          <w:rStyle w:val="FootnoteReference"/>
          <w:rFonts w:ascii="Times New Roman" w:hAnsi="Times New Roman" w:cs="Times New Roman"/>
          <w:sz w:val="24"/>
          <w:szCs w:val="24"/>
        </w:rPr>
        <w:footnoteReference w:id="21"/>
      </w:r>
      <w:r w:rsidR="0012005C">
        <w:rPr>
          <w:rFonts w:ascii="Times New Roman" w:hAnsi="Times New Roman" w:cs="Times New Roman"/>
          <w:sz w:val="24"/>
          <w:szCs w:val="24"/>
        </w:rPr>
        <w:t xml:space="preserve">  Therefore, </w:t>
      </w:r>
      <w:r>
        <w:rPr>
          <w:rFonts w:ascii="Times New Roman" w:hAnsi="Times New Roman" w:cs="Times New Roman"/>
          <w:sz w:val="24"/>
          <w:szCs w:val="24"/>
        </w:rPr>
        <w:t xml:space="preserve">the new </w:t>
      </w:r>
      <w:r w:rsidR="0012005C">
        <w:rPr>
          <w:rFonts w:ascii="Times New Roman" w:hAnsi="Times New Roman" w:cs="Times New Roman"/>
          <w:sz w:val="24"/>
          <w:szCs w:val="24"/>
        </w:rPr>
        <w:t xml:space="preserve">risk characterization still gives no information as to </w:t>
      </w:r>
      <w:r>
        <w:rPr>
          <w:rFonts w:ascii="Times New Roman" w:hAnsi="Times New Roman" w:cs="Times New Roman"/>
          <w:sz w:val="24"/>
          <w:szCs w:val="24"/>
        </w:rPr>
        <w:t xml:space="preserve">harm to the ecology of the monument or </w:t>
      </w:r>
      <w:r w:rsidR="0012005C">
        <w:rPr>
          <w:rFonts w:ascii="Times New Roman" w:hAnsi="Times New Roman" w:cs="Times New Roman"/>
          <w:sz w:val="24"/>
          <w:szCs w:val="24"/>
        </w:rPr>
        <w:t>changes in species diversity or population dynamics of the aquatic life in Hawk Inlet due to the mine’s activities.</w:t>
      </w:r>
    </w:p>
    <w:p w14:paraId="4289A57B" w14:textId="77777777" w:rsidR="00B01EF4" w:rsidRDefault="00B01EF4" w:rsidP="009A17AA">
      <w:pPr>
        <w:autoSpaceDE w:val="0"/>
        <w:autoSpaceDN w:val="0"/>
        <w:adjustRightInd w:val="0"/>
        <w:spacing w:after="0" w:line="276" w:lineRule="auto"/>
        <w:rPr>
          <w:rFonts w:ascii="Times New Roman" w:hAnsi="Times New Roman" w:cs="Times New Roman"/>
          <w:sz w:val="24"/>
          <w:szCs w:val="24"/>
        </w:rPr>
      </w:pPr>
    </w:p>
    <w:p w14:paraId="3A40DEA0" w14:textId="11ED6D3A" w:rsidR="0012005C" w:rsidRPr="0012005C" w:rsidRDefault="0012005C" w:rsidP="009A17AA">
      <w:pPr>
        <w:spacing w:line="276" w:lineRule="auto"/>
        <w:rPr>
          <w:rFonts w:ascii="Times New Roman" w:hAnsi="Times New Roman" w:cs="Times New Roman"/>
          <w:sz w:val="24"/>
          <w:szCs w:val="24"/>
        </w:rPr>
      </w:pPr>
      <w:r w:rsidRPr="0012005C">
        <w:rPr>
          <w:rFonts w:ascii="Times New Roman" w:hAnsi="Times New Roman" w:cs="Times New Roman"/>
          <w:sz w:val="24"/>
          <w:szCs w:val="24"/>
        </w:rPr>
        <w:t xml:space="preserve">The </w:t>
      </w:r>
      <w:r w:rsidR="00711D68">
        <w:rPr>
          <w:rFonts w:ascii="Times New Roman" w:hAnsi="Times New Roman" w:cs="Times New Roman"/>
          <w:sz w:val="24"/>
          <w:szCs w:val="24"/>
        </w:rPr>
        <w:t xml:space="preserve">2023 </w:t>
      </w:r>
      <w:proofErr w:type="spellStart"/>
      <w:r w:rsidRPr="0012005C">
        <w:rPr>
          <w:rFonts w:ascii="Times New Roman" w:hAnsi="Times New Roman" w:cs="Times New Roman"/>
          <w:sz w:val="24"/>
          <w:szCs w:val="24"/>
        </w:rPr>
        <w:t>dSEIS</w:t>
      </w:r>
      <w:proofErr w:type="spellEnd"/>
      <w:r w:rsidR="00711D68">
        <w:rPr>
          <w:rFonts w:ascii="Times New Roman" w:hAnsi="Times New Roman" w:cs="Times New Roman"/>
          <w:sz w:val="24"/>
          <w:szCs w:val="24"/>
        </w:rPr>
        <w:t xml:space="preserve"> also </w:t>
      </w:r>
      <w:r w:rsidRPr="0012005C">
        <w:rPr>
          <w:rFonts w:ascii="Times New Roman" w:hAnsi="Times New Roman" w:cs="Times New Roman"/>
          <w:sz w:val="24"/>
          <w:szCs w:val="24"/>
        </w:rPr>
        <w:t xml:space="preserve">relies on comparisons to other bays and estuaries in Alaska to set </w:t>
      </w:r>
      <w:r w:rsidR="00711D68">
        <w:rPr>
          <w:rFonts w:ascii="Times New Roman" w:hAnsi="Times New Roman" w:cs="Times New Roman"/>
          <w:sz w:val="24"/>
          <w:szCs w:val="24"/>
        </w:rPr>
        <w:t xml:space="preserve">significance </w:t>
      </w:r>
      <w:r w:rsidRPr="0012005C">
        <w:rPr>
          <w:rFonts w:ascii="Times New Roman" w:hAnsi="Times New Roman" w:cs="Times New Roman"/>
          <w:sz w:val="24"/>
          <w:szCs w:val="24"/>
        </w:rPr>
        <w:t xml:space="preserve">thresholds concluding “seawater, sediments, and invertebrate tissues in Hawk Inlet were generally consistent with or lower than other local, regional, and national values, indicating that the Mine is not significantly affecting the Hawk Inlet ecosystem” </w:t>
      </w:r>
      <w:r w:rsidRPr="0012005C">
        <w:rPr>
          <w:rFonts w:ascii="Times New Roman" w:hAnsi="Times New Roman" w:cs="Times New Roman"/>
          <w:i/>
          <w:iCs/>
          <w:sz w:val="24"/>
          <w:szCs w:val="24"/>
        </w:rPr>
        <w:t>See,</w:t>
      </w:r>
      <w:r w:rsidRPr="0012005C">
        <w:rPr>
          <w:rFonts w:ascii="Times New Roman" w:hAnsi="Times New Roman" w:cs="Times New Roman"/>
          <w:sz w:val="24"/>
          <w:szCs w:val="24"/>
        </w:rPr>
        <w:t xml:space="preserve"> </w:t>
      </w:r>
      <w:r w:rsidR="001010F0">
        <w:rPr>
          <w:rFonts w:ascii="Times New Roman" w:hAnsi="Times New Roman" w:cs="Times New Roman"/>
          <w:sz w:val="24"/>
          <w:szCs w:val="24"/>
        </w:rPr>
        <w:t xml:space="preserve">2023 </w:t>
      </w:r>
      <w:proofErr w:type="spellStart"/>
      <w:r w:rsidRPr="0012005C">
        <w:rPr>
          <w:rFonts w:ascii="Times New Roman" w:hAnsi="Times New Roman" w:cs="Times New Roman"/>
          <w:sz w:val="24"/>
          <w:szCs w:val="24"/>
        </w:rPr>
        <w:t>dSEIS</w:t>
      </w:r>
      <w:proofErr w:type="spellEnd"/>
      <w:r w:rsidRPr="0012005C">
        <w:rPr>
          <w:rFonts w:ascii="Times New Roman" w:hAnsi="Times New Roman" w:cs="Times New Roman"/>
          <w:sz w:val="24"/>
          <w:szCs w:val="24"/>
        </w:rPr>
        <w:t xml:space="preserve"> at 3-260.</w:t>
      </w:r>
    </w:p>
    <w:p w14:paraId="303EA4FF" w14:textId="2F0F4906" w:rsidR="0012005C" w:rsidRDefault="0012005C" w:rsidP="009A17AA">
      <w:pPr>
        <w:spacing w:line="276" w:lineRule="auto"/>
        <w:rPr>
          <w:rFonts w:ascii="Times New Roman" w:hAnsi="Times New Roman" w:cs="Times New Roman"/>
          <w:sz w:val="24"/>
          <w:szCs w:val="24"/>
        </w:rPr>
      </w:pPr>
      <w:r w:rsidRPr="0012005C">
        <w:rPr>
          <w:rFonts w:ascii="Times New Roman" w:hAnsi="Times New Roman" w:cs="Times New Roman"/>
          <w:sz w:val="24"/>
          <w:szCs w:val="24"/>
        </w:rPr>
        <w:t xml:space="preserve">Although the Hawk Inlet monitoring program has been collecting data for a long period of time, shifting quantitative thresholds, various methods of comparison employed and questionable correlations between morphologically different sites, the monitoring lacks a clear delineation between acceptable and unacceptable levels of impact. </w:t>
      </w:r>
    </w:p>
    <w:p w14:paraId="73B35B76" w14:textId="67FAEB60" w:rsidR="0012005C" w:rsidRDefault="0012005C" w:rsidP="009A17AA">
      <w:pPr>
        <w:spacing w:line="276" w:lineRule="auto"/>
        <w:rPr>
          <w:rFonts w:ascii="Times New Roman" w:hAnsi="Times New Roman" w:cs="Times New Roman"/>
          <w:sz w:val="24"/>
          <w:szCs w:val="24"/>
        </w:rPr>
      </w:pPr>
      <w:r>
        <w:rPr>
          <w:rFonts w:ascii="Times New Roman" w:hAnsi="Times New Roman" w:cs="Times New Roman"/>
          <w:sz w:val="24"/>
          <w:szCs w:val="24"/>
        </w:rPr>
        <w:t>The NOAA office of National Marine Fisheries Service concluded in 2003 that “a lack of data due to sampling design does not equate to a negligible impact.” Since at least 2004, the Alaska Dept. of Environmental Conservation has regularly concluded, “[d]</w:t>
      </w:r>
      <w:proofErr w:type="spellStart"/>
      <w:r>
        <w:rPr>
          <w:rFonts w:ascii="Times New Roman" w:hAnsi="Times New Roman" w:cs="Times New Roman"/>
          <w:sz w:val="24"/>
          <w:szCs w:val="24"/>
        </w:rPr>
        <w:t>ata</w:t>
      </w:r>
      <w:proofErr w:type="spellEnd"/>
      <w:r>
        <w:rPr>
          <w:rFonts w:ascii="Times New Roman" w:hAnsi="Times New Roman" w:cs="Times New Roman"/>
          <w:sz w:val="24"/>
          <w:szCs w:val="24"/>
        </w:rPr>
        <w:t xml:space="preserve"> or information [for Hawk Inlet] is insufficient to determine whether the WQS [water quality standards] for any designated uses are attained.” </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This includes WQS specifically set to protect aquatic life and habitat. This conclusion is in contrast to the monitoring reports produced by Hecla concluding that uses are protected.</w:t>
      </w:r>
      <w:r w:rsidR="001010F0">
        <w:rPr>
          <w:rFonts w:ascii="Times New Roman" w:hAnsi="Times New Roman" w:cs="Times New Roman"/>
          <w:sz w:val="24"/>
          <w:szCs w:val="24"/>
        </w:rPr>
        <w:t xml:space="preserve"> Not having </w:t>
      </w:r>
      <w:r w:rsidR="001010F0">
        <w:rPr>
          <w:rFonts w:ascii="Times New Roman" w:hAnsi="Times New Roman" w:cs="Times New Roman"/>
          <w:sz w:val="24"/>
          <w:szCs w:val="24"/>
        </w:rPr>
        <w:lastRenderedPageBreak/>
        <w:t xml:space="preserve">clearly defined significance thresholds allows for differing interpretations </w:t>
      </w:r>
      <w:r w:rsidR="00106F8B">
        <w:rPr>
          <w:rFonts w:ascii="Times New Roman" w:hAnsi="Times New Roman" w:cs="Times New Roman"/>
          <w:sz w:val="24"/>
          <w:szCs w:val="24"/>
        </w:rPr>
        <w:t xml:space="preserve">of the same data set </w:t>
      </w:r>
      <w:r w:rsidR="001010F0">
        <w:rPr>
          <w:rFonts w:ascii="Times New Roman" w:hAnsi="Times New Roman" w:cs="Times New Roman"/>
          <w:sz w:val="24"/>
          <w:szCs w:val="24"/>
        </w:rPr>
        <w:t xml:space="preserve">and is not sound science. </w:t>
      </w:r>
    </w:p>
    <w:p w14:paraId="6864879C" w14:textId="57BB70BE" w:rsidR="0012005C" w:rsidRDefault="0012005C" w:rsidP="009A17AA">
      <w:pPr>
        <w:spacing w:line="276" w:lineRule="auto"/>
        <w:rPr>
          <w:rFonts w:ascii="Times New Roman" w:hAnsi="Times New Roman" w:cs="Times New Roman"/>
          <w:sz w:val="24"/>
          <w:szCs w:val="24"/>
        </w:rPr>
      </w:pPr>
      <w:r>
        <w:rPr>
          <w:rFonts w:ascii="Times New Roman" w:hAnsi="Times New Roman" w:cs="Times New Roman"/>
          <w:sz w:val="24"/>
          <w:szCs w:val="24"/>
        </w:rPr>
        <w:t>To make matters worse</w:t>
      </w:r>
      <w:r w:rsidR="001010F0">
        <w:rPr>
          <w:rFonts w:ascii="Times New Roman" w:hAnsi="Times New Roman" w:cs="Times New Roman"/>
          <w:sz w:val="24"/>
          <w:szCs w:val="24"/>
        </w:rPr>
        <w:t>,</w:t>
      </w:r>
      <w:r>
        <w:rPr>
          <w:rFonts w:ascii="Times New Roman" w:hAnsi="Times New Roman" w:cs="Times New Roman"/>
          <w:sz w:val="24"/>
          <w:szCs w:val="24"/>
        </w:rPr>
        <w:t xml:space="preserve"> the reports </w:t>
      </w:r>
      <w:r w:rsidR="00F30935">
        <w:rPr>
          <w:rFonts w:ascii="Times New Roman" w:hAnsi="Times New Roman" w:cs="Times New Roman"/>
          <w:sz w:val="24"/>
          <w:szCs w:val="24"/>
        </w:rPr>
        <w:t xml:space="preserve">have not been </w:t>
      </w:r>
      <w:r>
        <w:rPr>
          <w:rFonts w:ascii="Times New Roman" w:hAnsi="Times New Roman" w:cs="Times New Roman"/>
          <w:sz w:val="24"/>
          <w:szCs w:val="24"/>
        </w:rPr>
        <w:t>reviewed or questioned</w:t>
      </w:r>
      <w:r w:rsidR="001010F0">
        <w:rPr>
          <w:rFonts w:ascii="Times New Roman" w:hAnsi="Times New Roman" w:cs="Times New Roman"/>
          <w:sz w:val="24"/>
          <w:szCs w:val="24"/>
        </w:rPr>
        <w:t xml:space="preserve"> by any regulating agency</w:t>
      </w:r>
      <w:r w:rsidR="00F30935">
        <w:rPr>
          <w:rFonts w:ascii="Times New Roman" w:hAnsi="Times New Roman" w:cs="Times New Roman"/>
          <w:sz w:val="24"/>
          <w:szCs w:val="24"/>
        </w:rPr>
        <w:t xml:space="preserve"> including the Forest Service</w:t>
      </w:r>
      <w:r>
        <w:rPr>
          <w:rFonts w:ascii="Times New Roman" w:hAnsi="Times New Roman" w:cs="Times New Roman"/>
          <w:sz w:val="24"/>
          <w:szCs w:val="24"/>
        </w:rPr>
        <w:t xml:space="preserve">.  An audit conducted by SRK Consulting in 2009 found that none the reports required under the permits issued by the State of Alaska had been reviewed or commented on. “There have been no documented comments or interpretations of the results from EPA, ADEC, and the USFS (the reviewing agencies) regarding data presented in the HGCMC annual reports.”  Parenthetical in original. </w:t>
      </w:r>
    </w:p>
    <w:p w14:paraId="0C397995" w14:textId="4CE11CB6" w:rsidR="003278E1" w:rsidRDefault="003278E1" w:rsidP="009A17AA">
      <w:pPr>
        <w:spacing w:line="276" w:lineRule="auto"/>
        <w:rPr>
          <w:rFonts w:ascii="Times New Roman" w:hAnsi="Times New Roman" w:cs="Times New Roman"/>
          <w:sz w:val="24"/>
          <w:szCs w:val="24"/>
        </w:rPr>
      </w:pPr>
      <w:r w:rsidRPr="003278E1">
        <w:rPr>
          <w:rFonts w:ascii="Times New Roman" w:hAnsi="Times New Roman" w:cs="Times New Roman"/>
          <w:sz w:val="24"/>
          <w:szCs w:val="24"/>
        </w:rPr>
        <w:t>A review of the monitoring reports revels</w:t>
      </w:r>
      <w:r>
        <w:rPr>
          <w:rFonts w:ascii="Times New Roman" w:hAnsi="Times New Roman" w:cs="Times New Roman"/>
          <w:sz w:val="24"/>
          <w:szCs w:val="24"/>
        </w:rPr>
        <w:t xml:space="preserve"> that e</w:t>
      </w:r>
      <w:r w:rsidRPr="003278E1">
        <w:rPr>
          <w:rFonts w:ascii="Times New Roman" w:hAnsi="Times New Roman" w:cs="Times New Roman"/>
          <w:sz w:val="24"/>
          <w:szCs w:val="24"/>
        </w:rPr>
        <w:t xml:space="preserve">ven where </w:t>
      </w:r>
      <w:r>
        <w:rPr>
          <w:rFonts w:ascii="Times New Roman" w:hAnsi="Times New Roman" w:cs="Times New Roman"/>
          <w:sz w:val="24"/>
          <w:szCs w:val="24"/>
        </w:rPr>
        <w:t xml:space="preserve">metals in sediment and tissue increase over the baseline, the authors of the monitoring reports </w:t>
      </w:r>
      <w:r w:rsidRPr="003278E1">
        <w:rPr>
          <w:rFonts w:ascii="Times New Roman" w:hAnsi="Times New Roman" w:cs="Times New Roman"/>
          <w:sz w:val="24"/>
          <w:szCs w:val="24"/>
        </w:rPr>
        <w:t>used a variety of rationales to demote negative impacts to non-significance. These reasons include combinations of scale (temporal and spatial) of impacts, an already exceeded baseline</w:t>
      </w:r>
      <w:r>
        <w:rPr>
          <w:rFonts w:ascii="Times New Roman" w:hAnsi="Times New Roman" w:cs="Times New Roman"/>
          <w:sz w:val="24"/>
          <w:szCs w:val="24"/>
        </w:rPr>
        <w:t>, changing the data objectives</w:t>
      </w:r>
      <w:r w:rsidRPr="003278E1">
        <w:rPr>
          <w:rFonts w:ascii="Times New Roman" w:hAnsi="Times New Roman" w:cs="Times New Roman"/>
          <w:sz w:val="24"/>
          <w:szCs w:val="24"/>
        </w:rPr>
        <w:t xml:space="preserve"> and/or substituting less stringent thresholds.</w:t>
      </w:r>
    </w:p>
    <w:p w14:paraId="51CF6B1D" w14:textId="703DEAD2" w:rsidR="003278E1" w:rsidRDefault="003278E1" w:rsidP="00F30935">
      <w:r w:rsidRPr="003278E1">
        <w:rPr>
          <w:rFonts w:ascii="Times New Roman" w:hAnsi="Times New Roman" w:cs="Times New Roman"/>
          <w:sz w:val="24"/>
          <w:szCs w:val="24"/>
        </w:rPr>
        <w:t xml:space="preserve">The thresholds defined in the monitoring reports with the exception of effluent limits at Outfall 002 and Alaska Water </w:t>
      </w:r>
      <w:r w:rsidR="00F30935">
        <w:rPr>
          <w:rFonts w:ascii="Times New Roman" w:hAnsi="Times New Roman" w:cs="Times New Roman"/>
          <w:sz w:val="24"/>
          <w:szCs w:val="24"/>
        </w:rPr>
        <w:t>Q</w:t>
      </w:r>
      <w:r w:rsidRPr="003278E1">
        <w:rPr>
          <w:rFonts w:ascii="Times New Roman" w:hAnsi="Times New Roman" w:cs="Times New Roman"/>
          <w:sz w:val="24"/>
          <w:szCs w:val="24"/>
        </w:rPr>
        <w:t xml:space="preserve">uality </w:t>
      </w:r>
      <w:r w:rsidR="00F30935">
        <w:rPr>
          <w:rFonts w:ascii="Times New Roman" w:hAnsi="Times New Roman" w:cs="Times New Roman"/>
          <w:sz w:val="24"/>
          <w:szCs w:val="24"/>
        </w:rPr>
        <w:t>C</w:t>
      </w:r>
      <w:r w:rsidRPr="003278E1">
        <w:rPr>
          <w:rFonts w:ascii="Times New Roman" w:hAnsi="Times New Roman" w:cs="Times New Roman"/>
          <w:sz w:val="24"/>
          <w:szCs w:val="24"/>
        </w:rPr>
        <w:t xml:space="preserve">riteria at the edge of the mixing zone are all </w:t>
      </w:r>
      <w:r w:rsidR="001010F0">
        <w:rPr>
          <w:rFonts w:ascii="Times New Roman" w:hAnsi="Times New Roman" w:cs="Times New Roman"/>
          <w:sz w:val="24"/>
          <w:szCs w:val="24"/>
        </w:rPr>
        <w:t>non-</w:t>
      </w:r>
      <w:r w:rsidRPr="003278E1">
        <w:rPr>
          <w:rFonts w:ascii="Times New Roman" w:hAnsi="Times New Roman" w:cs="Times New Roman"/>
          <w:sz w:val="24"/>
          <w:szCs w:val="24"/>
        </w:rPr>
        <w:t xml:space="preserve">regulatory objectives or voluntary guidelines and generally not legally enforceable. </w:t>
      </w:r>
      <w:r>
        <w:rPr>
          <w:rFonts w:ascii="Times New Roman" w:hAnsi="Times New Roman" w:cs="Times New Roman"/>
          <w:sz w:val="24"/>
          <w:szCs w:val="24"/>
        </w:rPr>
        <w:t>All are completely silent on ANICLA requirements</w:t>
      </w:r>
      <w:r w:rsidR="001010F0">
        <w:rPr>
          <w:rFonts w:ascii="Times New Roman" w:hAnsi="Times New Roman" w:cs="Times New Roman"/>
          <w:sz w:val="24"/>
          <w:szCs w:val="24"/>
        </w:rPr>
        <w:t xml:space="preserve"> to measure harm</w:t>
      </w:r>
      <w:r>
        <w:rPr>
          <w:rFonts w:ascii="Times New Roman" w:hAnsi="Times New Roman" w:cs="Times New Roman"/>
          <w:sz w:val="24"/>
          <w:szCs w:val="24"/>
        </w:rPr>
        <w:t xml:space="preserve">. </w:t>
      </w:r>
      <w:r w:rsidRPr="003278E1">
        <w:rPr>
          <w:rFonts w:ascii="Times New Roman" w:hAnsi="Times New Roman" w:cs="Times New Roman"/>
          <w:sz w:val="24"/>
          <w:szCs w:val="24"/>
        </w:rPr>
        <w:t xml:space="preserve">Legal repercussions for exceeding thresholds would help reduce subjective justifications and </w:t>
      </w:r>
      <w:r w:rsidR="008D3365">
        <w:rPr>
          <w:rFonts w:ascii="Times New Roman" w:hAnsi="Times New Roman" w:cs="Times New Roman"/>
          <w:sz w:val="24"/>
          <w:szCs w:val="24"/>
        </w:rPr>
        <w:t xml:space="preserve">requiring thresholds capable of measuring harm to the biological community of Hawk Inlet </w:t>
      </w:r>
      <w:r w:rsidR="00F30935">
        <w:rPr>
          <w:rFonts w:ascii="Times New Roman" w:hAnsi="Times New Roman" w:cs="Times New Roman"/>
          <w:sz w:val="24"/>
          <w:szCs w:val="24"/>
        </w:rPr>
        <w:t>would add much needed clarity</w:t>
      </w:r>
      <w:r w:rsidR="008D3365">
        <w:rPr>
          <w:rFonts w:ascii="Times New Roman" w:hAnsi="Times New Roman" w:cs="Times New Roman"/>
          <w:sz w:val="24"/>
          <w:szCs w:val="24"/>
        </w:rPr>
        <w:t xml:space="preserve"> in the current </w:t>
      </w:r>
      <w:r w:rsidRPr="003278E1">
        <w:rPr>
          <w:rFonts w:ascii="Times New Roman" w:hAnsi="Times New Roman" w:cs="Times New Roman"/>
          <w:sz w:val="24"/>
          <w:szCs w:val="24"/>
        </w:rPr>
        <w:t>environmental assessment</w:t>
      </w:r>
      <w:r w:rsidR="001010F0">
        <w:rPr>
          <w:rFonts w:ascii="Times New Roman" w:hAnsi="Times New Roman" w:cs="Times New Roman"/>
          <w:sz w:val="24"/>
          <w:szCs w:val="24"/>
        </w:rPr>
        <w:t>.</w:t>
      </w:r>
    </w:p>
    <w:p w14:paraId="1289A35D" w14:textId="5CEEFFBD" w:rsidR="0012005C" w:rsidRPr="0012005C" w:rsidRDefault="008D3365" w:rsidP="009A17AA">
      <w:pPr>
        <w:spacing w:line="276" w:lineRule="auto"/>
        <w:rPr>
          <w:rFonts w:ascii="Times New Roman" w:hAnsi="Times New Roman" w:cs="Times New Roman"/>
          <w:b/>
          <w:bCs/>
          <w:sz w:val="24"/>
          <w:szCs w:val="24"/>
        </w:rPr>
      </w:pPr>
      <w:r>
        <w:rPr>
          <w:rFonts w:ascii="Times New Roman" w:hAnsi="Times New Roman" w:cs="Times New Roman"/>
          <w:sz w:val="24"/>
          <w:szCs w:val="24"/>
        </w:rPr>
        <w:t xml:space="preserve">A monitoring program that lost </w:t>
      </w:r>
      <w:r w:rsidR="0012005C">
        <w:rPr>
          <w:rFonts w:ascii="Times New Roman" w:hAnsi="Times New Roman" w:cs="Times New Roman"/>
          <w:sz w:val="24"/>
          <w:szCs w:val="24"/>
        </w:rPr>
        <w:t>data</w:t>
      </w:r>
      <w:r>
        <w:rPr>
          <w:rFonts w:ascii="Times New Roman" w:hAnsi="Times New Roman" w:cs="Times New Roman"/>
          <w:sz w:val="24"/>
          <w:szCs w:val="24"/>
        </w:rPr>
        <w:t xml:space="preserve"> and then </w:t>
      </w:r>
      <w:r w:rsidR="0012005C">
        <w:rPr>
          <w:rFonts w:ascii="Times New Roman" w:hAnsi="Times New Roman" w:cs="Times New Roman"/>
          <w:sz w:val="24"/>
          <w:szCs w:val="24"/>
        </w:rPr>
        <w:t>mischaracteriz</w:t>
      </w:r>
      <w:r>
        <w:rPr>
          <w:rFonts w:ascii="Times New Roman" w:hAnsi="Times New Roman" w:cs="Times New Roman"/>
          <w:sz w:val="24"/>
          <w:szCs w:val="24"/>
        </w:rPr>
        <w:t xml:space="preserve">ed the lack of that </w:t>
      </w:r>
      <w:r w:rsidR="0012005C">
        <w:rPr>
          <w:rFonts w:ascii="Times New Roman" w:hAnsi="Times New Roman" w:cs="Times New Roman"/>
          <w:sz w:val="24"/>
          <w:szCs w:val="24"/>
        </w:rPr>
        <w:t>data as an excuse for not repeating the original diversity and populations studies</w:t>
      </w:r>
      <w:r>
        <w:rPr>
          <w:rFonts w:ascii="Times New Roman" w:hAnsi="Times New Roman" w:cs="Times New Roman"/>
          <w:sz w:val="24"/>
          <w:szCs w:val="24"/>
        </w:rPr>
        <w:t xml:space="preserve">, combined with the </w:t>
      </w:r>
      <w:r w:rsidR="0012005C">
        <w:rPr>
          <w:rFonts w:ascii="Times New Roman" w:hAnsi="Times New Roman" w:cs="Times New Roman"/>
          <w:sz w:val="24"/>
          <w:szCs w:val="24"/>
        </w:rPr>
        <w:t>changing thresholds</w:t>
      </w:r>
      <w:r>
        <w:rPr>
          <w:rFonts w:ascii="Times New Roman" w:hAnsi="Times New Roman" w:cs="Times New Roman"/>
          <w:sz w:val="24"/>
          <w:szCs w:val="24"/>
        </w:rPr>
        <w:t xml:space="preserve"> to avoid finding of significant effects </w:t>
      </w:r>
      <w:r w:rsidR="0012005C">
        <w:rPr>
          <w:rFonts w:ascii="Times New Roman" w:hAnsi="Times New Roman" w:cs="Times New Roman"/>
          <w:sz w:val="24"/>
          <w:szCs w:val="24"/>
        </w:rPr>
        <w:t xml:space="preserve">is neither </w:t>
      </w:r>
      <w:r w:rsidR="0012005C" w:rsidRPr="0012005C">
        <w:rPr>
          <w:rFonts w:ascii="Times New Roman" w:hAnsi="Times New Roman" w:cs="Times New Roman"/>
          <w:sz w:val="24"/>
          <w:szCs w:val="24"/>
        </w:rPr>
        <w:t xml:space="preserve">transparent </w:t>
      </w:r>
      <w:r w:rsidR="0012005C">
        <w:rPr>
          <w:rFonts w:ascii="Times New Roman" w:hAnsi="Times New Roman" w:cs="Times New Roman"/>
          <w:sz w:val="24"/>
          <w:szCs w:val="24"/>
        </w:rPr>
        <w:t xml:space="preserve">or </w:t>
      </w:r>
      <w:r w:rsidR="0012005C" w:rsidRPr="0012005C">
        <w:rPr>
          <w:rFonts w:ascii="Times New Roman" w:hAnsi="Times New Roman" w:cs="Times New Roman"/>
          <w:sz w:val="24"/>
          <w:szCs w:val="24"/>
        </w:rPr>
        <w:t>systematic.</w:t>
      </w:r>
    </w:p>
    <w:p w14:paraId="05B329D4" w14:textId="0363DC82" w:rsidR="00A036F8" w:rsidRDefault="0012005C" w:rsidP="009A17AA">
      <w:pPr>
        <w:spacing w:line="276" w:lineRule="auto"/>
        <w:rPr>
          <w:rFonts w:ascii="Times New Roman" w:hAnsi="Times New Roman" w:cs="Times New Roman"/>
          <w:sz w:val="24"/>
          <w:szCs w:val="24"/>
        </w:rPr>
      </w:pPr>
      <w:r>
        <w:rPr>
          <w:rFonts w:ascii="Times New Roman" w:hAnsi="Times New Roman" w:cs="Times New Roman"/>
          <w:sz w:val="24"/>
          <w:szCs w:val="24"/>
        </w:rPr>
        <w:t>The Forest Service has the responsibility to assure Monument values s</w:t>
      </w:r>
      <w:r w:rsidR="00F30935">
        <w:rPr>
          <w:rFonts w:ascii="Times New Roman" w:hAnsi="Times New Roman" w:cs="Times New Roman"/>
          <w:sz w:val="24"/>
          <w:szCs w:val="24"/>
        </w:rPr>
        <w:t xml:space="preserve">o that </w:t>
      </w:r>
      <w:r>
        <w:rPr>
          <w:rFonts w:ascii="Times New Roman" w:hAnsi="Times New Roman" w:cs="Times New Roman"/>
          <w:sz w:val="24"/>
          <w:szCs w:val="24"/>
        </w:rPr>
        <w:t xml:space="preserve">the pristine and diverse ecosystem are protected in </w:t>
      </w:r>
      <w:r w:rsidR="00F30935">
        <w:rPr>
          <w:rFonts w:ascii="Times New Roman" w:hAnsi="Times New Roman" w:cs="Times New Roman"/>
          <w:sz w:val="24"/>
          <w:szCs w:val="24"/>
        </w:rPr>
        <w:t xml:space="preserve">its </w:t>
      </w:r>
      <w:r>
        <w:rPr>
          <w:rFonts w:ascii="Times New Roman" w:hAnsi="Times New Roman" w:cs="Times New Roman"/>
          <w:sz w:val="24"/>
          <w:szCs w:val="24"/>
        </w:rPr>
        <w:t xml:space="preserve">entirety. </w:t>
      </w:r>
      <w:r w:rsidR="00A036F8" w:rsidRPr="009B783F">
        <w:rPr>
          <w:rFonts w:ascii="Times New Roman" w:hAnsi="Times New Roman" w:cs="Times New Roman"/>
          <w:sz w:val="24"/>
          <w:szCs w:val="24"/>
        </w:rPr>
        <w:t xml:space="preserve">The Forest Service must simply apply the language of the </w:t>
      </w:r>
      <w:r w:rsidR="00F30935" w:rsidRPr="009B783F">
        <w:rPr>
          <w:rFonts w:ascii="Times New Roman" w:hAnsi="Times New Roman" w:cs="Times New Roman"/>
          <w:sz w:val="24"/>
          <w:szCs w:val="24"/>
        </w:rPr>
        <w:t>st</w:t>
      </w:r>
      <w:r w:rsidR="00F30935">
        <w:rPr>
          <w:rFonts w:ascii="Times New Roman" w:hAnsi="Times New Roman" w:cs="Times New Roman"/>
          <w:sz w:val="24"/>
          <w:szCs w:val="24"/>
        </w:rPr>
        <w:t>andard</w:t>
      </w:r>
      <w:r w:rsidR="00A036F8" w:rsidRPr="009B783F">
        <w:rPr>
          <w:rFonts w:ascii="Times New Roman" w:hAnsi="Times New Roman" w:cs="Times New Roman"/>
          <w:sz w:val="24"/>
          <w:szCs w:val="24"/>
        </w:rPr>
        <w:t xml:space="preserve"> as written </w:t>
      </w:r>
      <w:r w:rsidR="00F30935">
        <w:rPr>
          <w:rFonts w:ascii="Times New Roman" w:hAnsi="Times New Roman" w:cs="Times New Roman"/>
          <w:sz w:val="24"/>
          <w:szCs w:val="24"/>
        </w:rPr>
        <w:t xml:space="preserve">in ANICLA </w:t>
      </w:r>
      <w:r w:rsidR="00A036F8" w:rsidRPr="009B783F">
        <w:rPr>
          <w:rFonts w:ascii="Times New Roman" w:hAnsi="Times New Roman" w:cs="Times New Roman"/>
          <w:sz w:val="24"/>
          <w:szCs w:val="24"/>
        </w:rPr>
        <w:t>and require H</w:t>
      </w:r>
      <w:r w:rsidR="00F30935">
        <w:rPr>
          <w:rFonts w:ascii="Times New Roman" w:hAnsi="Times New Roman" w:cs="Times New Roman"/>
          <w:sz w:val="24"/>
          <w:szCs w:val="24"/>
        </w:rPr>
        <w:t>ecla’s</w:t>
      </w:r>
      <w:r w:rsidR="00A036F8" w:rsidRPr="009B783F">
        <w:rPr>
          <w:rFonts w:ascii="Times New Roman" w:hAnsi="Times New Roman" w:cs="Times New Roman"/>
          <w:sz w:val="24"/>
          <w:szCs w:val="24"/>
        </w:rPr>
        <w:t xml:space="preserve"> use of public lands for tailings disposal to demonstrate that this use will not cause irreparable harm to the Monument lands</w:t>
      </w:r>
      <w:r w:rsidR="001010F0">
        <w:rPr>
          <w:rFonts w:ascii="Times New Roman" w:hAnsi="Times New Roman" w:cs="Times New Roman"/>
          <w:sz w:val="24"/>
          <w:szCs w:val="24"/>
        </w:rPr>
        <w:t xml:space="preserve"> and waters</w:t>
      </w:r>
      <w:r w:rsidR="00A036F8" w:rsidRPr="009B783F">
        <w:rPr>
          <w:rFonts w:ascii="Times New Roman" w:hAnsi="Times New Roman" w:cs="Times New Roman"/>
          <w:sz w:val="24"/>
          <w:szCs w:val="24"/>
        </w:rPr>
        <w:t>.</w:t>
      </w:r>
      <w:r>
        <w:rPr>
          <w:rFonts w:ascii="Times New Roman" w:hAnsi="Times New Roman" w:cs="Times New Roman"/>
          <w:sz w:val="24"/>
          <w:szCs w:val="24"/>
        </w:rPr>
        <w:t xml:space="preserve"> This can be done by repeating the original diversity and populations studies and direct measurements of metal loadings in upper trophic level consumers.</w:t>
      </w:r>
    </w:p>
    <w:p w14:paraId="497B4BFB" w14:textId="77777777" w:rsidR="0012005C" w:rsidRPr="009B783F" w:rsidRDefault="0012005C" w:rsidP="009A17AA">
      <w:pPr>
        <w:spacing w:line="276" w:lineRule="auto"/>
        <w:rPr>
          <w:rFonts w:ascii="Times New Roman" w:hAnsi="Times New Roman" w:cs="Times New Roman"/>
          <w:sz w:val="24"/>
          <w:szCs w:val="24"/>
        </w:rPr>
      </w:pPr>
    </w:p>
    <w:p w14:paraId="72E8C57A" w14:textId="4F92B341" w:rsidR="00FB65B9" w:rsidRPr="00D14527" w:rsidRDefault="00D14527" w:rsidP="00D14527">
      <w:pPr>
        <w:spacing w:line="276" w:lineRule="auto"/>
        <w:ind w:left="360"/>
        <w:rPr>
          <w:rFonts w:ascii="Times New Roman" w:hAnsi="Times New Roman" w:cs="Times New Roman"/>
          <w:b/>
          <w:bCs/>
          <w:color w:val="111111"/>
          <w:sz w:val="24"/>
          <w:szCs w:val="24"/>
          <w:shd w:val="clear" w:color="auto" w:fill="FFFFFF"/>
        </w:rPr>
      </w:pPr>
      <w:r w:rsidRPr="00D14527">
        <w:rPr>
          <w:rFonts w:ascii="Times New Roman" w:hAnsi="Times New Roman" w:cs="Times New Roman"/>
          <w:b/>
          <w:bCs/>
          <w:color w:val="111111"/>
          <w:sz w:val="24"/>
          <w:szCs w:val="24"/>
          <w:shd w:val="clear" w:color="auto" w:fill="FFFFFF"/>
        </w:rPr>
        <w:t xml:space="preserve">A. </w:t>
      </w:r>
      <w:r w:rsidR="0012005C" w:rsidRPr="00D14527">
        <w:rPr>
          <w:rFonts w:ascii="Times New Roman" w:hAnsi="Times New Roman" w:cs="Times New Roman"/>
          <w:color w:val="111111"/>
          <w:sz w:val="24"/>
          <w:szCs w:val="24"/>
          <w:u w:val="single"/>
          <w:shd w:val="clear" w:color="auto" w:fill="FFFFFF"/>
        </w:rPr>
        <w:t xml:space="preserve">These Issues came to the forefront in the </w:t>
      </w:r>
      <w:r w:rsidR="00A036F8" w:rsidRPr="00D14527">
        <w:rPr>
          <w:rFonts w:ascii="Times New Roman" w:hAnsi="Times New Roman" w:cs="Times New Roman"/>
          <w:color w:val="111111"/>
          <w:sz w:val="24"/>
          <w:szCs w:val="24"/>
          <w:u w:val="single"/>
          <w:shd w:val="clear" w:color="auto" w:fill="FFFFFF"/>
        </w:rPr>
        <w:t>2013 decision</w:t>
      </w:r>
      <w:r w:rsidR="0012005C" w:rsidRPr="00D14527">
        <w:rPr>
          <w:rFonts w:ascii="Times New Roman" w:hAnsi="Times New Roman" w:cs="Times New Roman"/>
          <w:color w:val="111111"/>
          <w:sz w:val="24"/>
          <w:szCs w:val="24"/>
          <w:u w:val="single"/>
          <w:shd w:val="clear" w:color="auto" w:fill="FFFFFF"/>
        </w:rPr>
        <w:t xml:space="preserve"> and have not been reconciled</w:t>
      </w:r>
      <w:r w:rsidR="0012005C" w:rsidRPr="00D14527">
        <w:rPr>
          <w:rFonts w:ascii="Times New Roman" w:hAnsi="Times New Roman" w:cs="Times New Roman"/>
          <w:b/>
          <w:bCs/>
          <w:color w:val="111111"/>
          <w:sz w:val="24"/>
          <w:szCs w:val="24"/>
          <w:shd w:val="clear" w:color="auto" w:fill="FFFFFF"/>
        </w:rPr>
        <w:t>.</w:t>
      </w:r>
    </w:p>
    <w:p w14:paraId="65AF4C22" w14:textId="1C42ED3D" w:rsidR="00AF1964" w:rsidRDefault="00AF1964" w:rsidP="009A17AA">
      <w:pPr>
        <w:spacing w:line="276" w:lineRule="auto"/>
        <w:rPr>
          <w:rFonts w:ascii="Times New Roman" w:hAnsi="Times New Roman" w:cs="Times New Roman"/>
          <w:sz w:val="24"/>
          <w:szCs w:val="24"/>
        </w:rPr>
      </w:pPr>
      <w:r w:rsidRPr="00AF1964">
        <w:rPr>
          <w:rFonts w:ascii="Times New Roman" w:hAnsi="Times New Roman" w:cs="Times New Roman"/>
          <w:bCs/>
          <w:sz w:val="24"/>
          <w:szCs w:val="24"/>
        </w:rPr>
        <w:t xml:space="preserve">The issues around </w:t>
      </w:r>
      <w:r>
        <w:rPr>
          <w:rFonts w:ascii="Times New Roman" w:hAnsi="Times New Roman" w:cs="Times New Roman"/>
          <w:bCs/>
          <w:sz w:val="24"/>
          <w:szCs w:val="24"/>
        </w:rPr>
        <w:t xml:space="preserve">the Forest Services’ management of the Monument under both ANICLA and the laws stemming the 1872 General Mining Act have never been resolved. This is due to </w:t>
      </w:r>
      <w:r w:rsidR="00A453E0">
        <w:rPr>
          <w:rFonts w:ascii="Times New Roman" w:hAnsi="Times New Roman" w:cs="Times New Roman"/>
          <w:bCs/>
          <w:sz w:val="24"/>
          <w:szCs w:val="24"/>
        </w:rPr>
        <w:t xml:space="preserve">the </w:t>
      </w:r>
      <w:r>
        <w:rPr>
          <w:rFonts w:ascii="Times New Roman" w:hAnsi="Times New Roman" w:cs="Times New Roman"/>
          <w:bCs/>
          <w:sz w:val="24"/>
          <w:szCs w:val="24"/>
        </w:rPr>
        <w:t>greater extent by the Forest Services</w:t>
      </w:r>
      <w:r w:rsidR="00A453E0">
        <w:rPr>
          <w:rFonts w:ascii="Times New Roman" w:hAnsi="Times New Roman" w:cs="Times New Roman"/>
          <w:bCs/>
          <w:sz w:val="24"/>
          <w:szCs w:val="24"/>
        </w:rPr>
        <w:t>’</w:t>
      </w:r>
      <w:r>
        <w:rPr>
          <w:rFonts w:ascii="Times New Roman" w:hAnsi="Times New Roman" w:cs="Times New Roman"/>
          <w:bCs/>
          <w:sz w:val="24"/>
          <w:szCs w:val="24"/>
        </w:rPr>
        <w:t xml:space="preserve"> continued refusal to clearly define what is meant by the cultural, ecological, historic, prehistoric and scientific values of the Monument protected under the declaration in a manner </w:t>
      </w:r>
      <w:r>
        <w:rPr>
          <w:rFonts w:ascii="Times New Roman" w:hAnsi="Times New Roman" w:cs="Times New Roman"/>
          <w:bCs/>
          <w:sz w:val="24"/>
          <w:szCs w:val="24"/>
        </w:rPr>
        <w:lastRenderedPageBreak/>
        <w:t xml:space="preserve">clear and discreate enough to aid land managers and the public in decision-making under </w:t>
      </w:r>
      <w:r w:rsidRPr="00A453E0">
        <w:rPr>
          <w:rFonts w:ascii="Times New Roman" w:hAnsi="Times New Roman" w:cs="Times New Roman"/>
          <w:bCs/>
          <w:sz w:val="24"/>
          <w:szCs w:val="24"/>
        </w:rPr>
        <w:t xml:space="preserve">the </w:t>
      </w:r>
      <w:r w:rsidRPr="00A453E0">
        <w:rPr>
          <w:rFonts w:ascii="Times New Roman" w:hAnsi="Times New Roman" w:cs="Times New Roman"/>
          <w:sz w:val="24"/>
          <w:szCs w:val="24"/>
        </w:rPr>
        <w:t>Multiple-Use Sustained-Yield Act of June 12, 1960</w:t>
      </w:r>
      <w:r w:rsidR="001010F0">
        <w:rPr>
          <w:rFonts w:ascii="Times New Roman" w:hAnsi="Times New Roman" w:cs="Times New Roman"/>
          <w:sz w:val="24"/>
          <w:szCs w:val="24"/>
        </w:rPr>
        <w:t>,</w:t>
      </w:r>
      <w:r w:rsidR="000016DC" w:rsidRPr="00A453E0">
        <w:rPr>
          <w:rStyle w:val="FootnoteReference"/>
          <w:rFonts w:ascii="Times New Roman" w:hAnsi="Times New Roman" w:cs="Times New Roman"/>
          <w:sz w:val="24"/>
          <w:szCs w:val="24"/>
        </w:rPr>
        <w:footnoteReference w:id="23"/>
      </w:r>
      <w:r w:rsidR="00A453E0" w:rsidRPr="00A453E0">
        <w:rPr>
          <w:rFonts w:ascii="Times New Roman" w:hAnsi="Times New Roman" w:cs="Times New Roman"/>
          <w:sz w:val="24"/>
          <w:szCs w:val="24"/>
        </w:rPr>
        <w:t xml:space="preserve"> General Mining Act of 1872</w:t>
      </w:r>
      <w:r w:rsidR="00A453E0" w:rsidRPr="00A453E0">
        <w:rPr>
          <w:rStyle w:val="FootnoteReference"/>
          <w:rFonts w:ascii="Times New Roman" w:hAnsi="Times New Roman" w:cs="Times New Roman"/>
          <w:sz w:val="24"/>
          <w:szCs w:val="24"/>
        </w:rPr>
        <w:footnoteReference w:id="24"/>
      </w:r>
      <w:r w:rsidR="00A453E0" w:rsidRPr="00A453E0">
        <w:rPr>
          <w:rFonts w:ascii="Times New Roman" w:hAnsi="Times New Roman" w:cs="Times New Roman"/>
          <w:sz w:val="24"/>
          <w:szCs w:val="24"/>
        </w:rPr>
        <w:t xml:space="preserve"> and ANICLA</w:t>
      </w:r>
      <w:r w:rsidR="00A453E0" w:rsidRPr="00A453E0">
        <w:rPr>
          <w:rStyle w:val="FootnoteReference"/>
          <w:rFonts w:ascii="Times New Roman" w:hAnsi="Times New Roman" w:cs="Times New Roman"/>
          <w:sz w:val="24"/>
          <w:szCs w:val="24"/>
        </w:rPr>
        <w:footnoteReference w:id="25"/>
      </w:r>
      <w:r w:rsidR="00A453E0" w:rsidRPr="00A453E0">
        <w:rPr>
          <w:rFonts w:ascii="Times New Roman" w:hAnsi="Times New Roman" w:cs="Times New Roman"/>
          <w:sz w:val="24"/>
          <w:szCs w:val="24"/>
        </w:rPr>
        <w:t>.</w:t>
      </w:r>
    </w:p>
    <w:p w14:paraId="2B92DB03" w14:textId="0116BBF4" w:rsidR="00A453E0" w:rsidRDefault="00A453E0" w:rsidP="009A17AA">
      <w:pPr>
        <w:spacing w:line="276" w:lineRule="auto"/>
        <w:rPr>
          <w:rFonts w:ascii="Times New Roman" w:hAnsi="Times New Roman" w:cs="Times New Roman"/>
          <w:sz w:val="24"/>
          <w:szCs w:val="24"/>
        </w:rPr>
      </w:pPr>
      <w:r>
        <w:rPr>
          <w:rFonts w:ascii="Times New Roman" w:hAnsi="Times New Roman" w:cs="Times New Roman"/>
          <w:sz w:val="24"/>
          <w:szCs w:val="24"/>
        </w:rPr>
        <w:t xml:space="preserve">Congress was clear when debating ANICLA that mining in the Monument was only to be conducted under a higher standard to assure the values that made Admiralty Island </w:t>
      </w:r>
      <w:r w:rsidR="000D0354">
        <w:rPr>
          <w:rFonts w:ascii="Times New Roman" w:hAnsi="Times New Roman" w:cs="Times New Roman"/>
          <w:sz w:val="24"/>
          <w:szCs w:val="24"/>
        </w:rPr>
        <w:t>eligible</w:t>
      </w:r>
      <w:r>
        <w:rPr>
          <w:rFonts w:ascii="Times New Roman" w:hAnsi="Times New Roman" w:cs="Times New Roman"/>
          <w:sz w:val="24"/>
          <w:szCs w:val="24"/>
        </w:rPr>
        <w:t xml:space="preserve"> for monument status</w:t>
      </w:r>
      <w:r w:rsidR="000D0354">
        <w:rPr>
          <w:rFonts w:ascii="Times New Roman" w:hAnsi="Times New Roman" w:cs="Times New Roman"/>
          <w:sz w:val="24"/>
          <w:szCs w:val="24"/>
        </w:rPr>
        <w:t xml:space="preserve"> were protected.</w:t>
      </w:r>
      <w:r>
        <w:rPr>
          <w:rFonts w:ascii="Times New Roman" w:hAnsi="Times New Roman" w:cs="Times New Roman"/>
          <w:sz w:val="24"/>
          <w:szCs w:val="24"/>
        </w:rPr>
        <w:t xml:space="preserve"> Section 504(f) of ANILCA states that the Secretary may issue a lease to conduct mining activities in Admiralty Island National Monument only if the Secretary determines that the use of the site “will not cause irreparable harm to the monument.”</w:t>
      </w:r>
    </w:p>
    <w:p w14:paraId="4B9DFED9" w14:textId="32B5C19D" w:rsidR="00BB5129" w:rsidRDefault="000D0354" w:rsidP="009A17AA">
      <w:pPr>
        <w:spacing w:line="276" w:lineRule="auto"/>
        <w:rPr>
          <w:rFonts w:ascii="Times New Roman" w:hAnsi="Times New Roman" w:cs="Times New Roman"/>
          <w:sz w:val="24"/>
          <w:szCs w:val="24"/>
        </w:rPr>
      </w:pPr>
      <w:r>
        <w:rPr>
          <w:rFonts w:ascii="Times New Roman" w:hAnsi="Times New Roman" w:cs="Times New Roman"/>
          <w:sz w:val="24"/>
          <w:szCs w:val="24"/>
        </w:rPr>
        <w:t xml:space="preserve">Yet the Forest Service has handicapped itself </w:t>
      </w:r>
      <w:r w:rsidR="00BB5129">
        <w:rPr>
          <w:rFonts w:ascii="Times New Roman" w:hAnsi="Times New Roman" w:cs="Times New Roman"/>
          <w:sz w:val="24"/>
          <w:szCs w:val="24"/>
        </w:rPr>
        <w:t xml:space="preserve">from adequately </w:t>
      </w:r>
      <w:r w:rsidR="00F30935">
        <w:rPr>
          <w:rFonts w:ascii="Times New Roman" w:hAnsi="Times New Roman" w:cs="Times New Roman"/>
          <w:sz w:val="24"/>
          <w:szCs w:val="24"/>
        </w:rPr>
        <w:t xml:space="preserve">implementing </w:t>
      </w:r>
      <w:r w:rsidR="00BB5129">
        <w:rPr>
          <w:rFonts w:ascii="Times New Roman" w:hAnsi="Times New Roman" w:cs="Times New Roman"/>
          <w:sz w:val="24"/>
          <w:szCs w:val="24"/>
        </w:rPr>
        <w:t xml:space="preserve">the relevant laws </w:t>
      </w:r>
      <w:r>
        <w:rPr>
          <w:rFonts w:ascii="Times New Roman" w:hAnsi="Times New Roman" w:cs="Times New Roman"/>
          <w:sz w:val="24"/>
          <w:szCs w:val="24"/>
        </w:rPr>
        <w:t xml:space="preserve">by refusing to accurately define what is meant by the educational or scientific values of the Monument and by extension, how protection from harm should be determined.  In short, the Forest Service has defined no thresholds as to how mining on the Monument is or is not in compliance with what Congress </w:t>
      </w:r>
      <w:r w:rsidR="00BB5129">
        <w:rPr>
          <w:rFonts w:ascii="Times New Roman" w:hAnsi="Times New Roman" w:cs="Times New Roman"/>
          <w:sz w:val="24"/>
          <w:szCs w:val="24"/>
        </w:rPr>
        <w:t>intended for allowing a mine to operate in a National Monument.</w:t>
      </w:r>
      <w:r w:rsidR="001010F0">
        <w:rPr>
          <w:rFonts w:ascii="Times New Roman" w:hAnsi="Times New Roman" w:cs="Times New Roman"/>
          <w:sz w:val="24"/>
          <w:szCs w:val="24"/>
        </w:rPr>
        <w:t xml:space="preserve"> This failure must be rectified in this latest decision.</w:t>
      </w:r>
    </w:p>
    <w:p w14:paraId="034F22BF" w14:textId="7EFDC33A" w:rsidR="0012005C" w:rsidRDefault="0012005C" w:rsidP="009A17AA">
      <w:pPr>
        <w:spacing w:line="276" w:lineRule="auto"/>
        <w:rPr>
          <w:rFonts w:ascii="Times New Roman" w:hAnsi="Times New Roman" w:cs="Times New Roman"/>
          <w:sz w:val="24"/>
          <w:szCs w:val="24"/>
        </w:rPr>
      </w:pPr>
      <w:r>
        <w:rPr>
          <w:rFonts w:ascii="Times New Roman" w:hAnsi="Times New Roman" w:cs="Times New Roman"/>
          <w:sz w:val="24"/>
          <w:szCs w:val="24"/>
        </w:rPr>
        <w:t>Comment</w:t>
      </w:r>
      <w:r w:rsidR="001010F0">
        <w:rPr>
          <w:rFonts w:ascii="Times New Roman" w:hAnsi="Times New Roman" w:cs="Times New Roman"/>
          <w:sz w:val="24"/>
          <w:szCs w:val="24"/>
        </w:rPr>
        <w:t>s</w:t>
      </w:r>
      <w:r>
        <w:rPr>
          <w:rFonts w:ascii="Times New Roman" w:hAnsi="Times New Roman" w:cs="Times New Roman"/>
          <w:sz w:val="24"/>
          <w:szCs w:val="24"/>
        </w:rPr>
        <w:t xml:space="preserve"> submitted during the 2013 expansion request raised significant questions about whether mining operations at the Greens Creek Mine “are compatible, to the maximum extent feasible,” with preventing or minimizing potential adverse impacts to monument values.  </w:t>
      </w:r>
      <w:r>
        <w:rPr>
          <w:rFonts w:ascii="Times New Roman" w:hAnsi="Times New Roman" w:cs="Times New Roman"/>
          <w:i/>
          <w:sz w:val="24"/>
          <w:szCs w:val="24"/>
        </w:rPr>
        <w:t xml:space="preserve">See </w:t>
      </w:r>
      <w:r>
        <w:rPr>
          <w:rFonts w:ascii="Times New Roman" w:hAnsi="Times New Roman" w:cs="Times New Roman"/>
          <w:sz w:val="24"/>
          <w:szCs w:val="24"/>
        </w:rPr>
        <w:t>ANILCA, Pub. L. No. 96-487, § 503(f)(2)(A), 94 Stat. 2371, 2400 (Dec. 2, 1980); 36 C.F.R. 228.80(c)(2)(</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bCs/>
          <w:sz w:val="24"/>
          <w:szCs w:val="24"/>
        </w:rPr>
        <w:t xml:space="preserve">This is particularly important here, where “unforeseen [environmental impacts] may result in the incompatibility of the operations with the protection of [monument] values </w:t>
      </w:r>
      <w:proofErr w:type="gramStart"/>
      <w:r>
        <w:rPr>
          <w:rFonts w:ascii="Times New Roman" w:hAnsi="Times New Roman" w:cs="Times New Roman"/>
          <w:bCs/>
          <w:sz w:val="24"/>
          <w:szCs w:val="24"/>
        </w:rPr>
        <w:t>. . . .</w:t>
      </w:r>
      <w:proofErr w:type="gramEnd"/>
      <w:r>
        <w:rPr>
          <w:rFonts w:ascii="Times New Roman" w:hAnsi="Times New Roman" w:cs="Times New Roman"/>
          <w:bCs/>
          <w:sz w:val="24"/>
          <w:szCs w:val="24"/>
        </w:rPr>
        <w:t xml:space="preserve">”  </w:t>
      </w:r>
      <w:r>
        <w:rPr>
          <w:rFonts w:ascii="Times New Roman" w:hAnsi="Times New Roman" w:cs="Times New Roman"/>
          <w:bCs/>
          <w:i/>
          <w:sz w:val="24"/>
          <w:szCs w:val="24"/>
        </w:rPr>
        <w:t xml:space="preserve">See </w:t>
      </w:r>
      <w:r>
        <w:rPr>
          <w:rFonts w:ascii="Times New Roman" w:hAnsi="Times New Roman" w:cs="Times New Roman"/>
          <w:bCs/>
          <w:sz w:val="24"/>
          <w:szCs w:val="24"/>
        </w:rPr>
        <w:t>36 C.F.R. §228.80(d)(1).  The expansion request from Hecla was enough tailings storage for 30 to 50 years of continued mining.  Based on the issues raised in the comments concerning the applicability of ANILCA, the Forest Supervisor only authorized a 10-year expansion and requested more information be developed.</w:t>
      </w:r>
    </w:p>
    <w:p w14:paraId="624F6599" w14:textId="17990E46" w:rsidR="00EE03CF" w:rsidRDefault="00BB5129" w:rsidP="009A17AA">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was the primary issue behind the decision choosing a modified Alternative other than </w:t>
      </w:r>
      <w:r w:rsidR="001010F0">
        <w:rPr>
          <w:rFonts w:ascii="Times New Roman" w:hAnsi="Times New Roman" w:cs="Times New Roman"/>
          <w:sz w:val="24"/>
          <w:szCs w:val="24"/>
        </w:rPr>
        <w:t xml:space="preserve">those </w:t>
      </w:r>
      <w:r w:rsidR="00BF0E48">
        <w:rPr>
          <w:rFonts w:ascii="Times New Roman" w:hAnsi="Times New Roman" w:cs="Times New Roman"/>
          <w:sz w:val="24"/>
          <w:szCs w:val="24"/>
        </w:rPr>
        <w:t>d</w:t>
      </w:r>
      <w:r>
        <w:rPr>
          <w:rFonts w:ascii="Times New Roman" w:hAnsi="Times New Roman" w:cs="Times New Roman"/>
          <w:sz w:val="24"/>
          <w:szCs w:val="24"/>
        </w:rPr>
        <w:t>escribed in the draft 2013 EIS.  In the 2013 ROD</w:t>
      </w:r>
      <w:r w:rsidR="001010F0">
        <w:rPr>
          <w:rFonts w:ascii="Times New Roman" w:hAnsi="Times New Roman" w:cs="Times New Roman"/>
          <w:sz w:val="24"/>
          <w:szCs w:val="24"/>
        </w:rPr>
        <w:t>,</w:t>
      </w:r>
      <w:r>
        <w:rPr>
          <w:rFonts w:ascii="Times New Roman" w:hAnsi="Times New Roman" w:cs="Times New Roman"/>
          <w:sz w:val="24"/>
          <w:szCs w:val="24"/>
        </w:rPr>
        <w:t xml:space="preserve"> the Forest Supervisor identified the problem of how to </w:t>
      </w:r>
      <w:r w:rsidR="00B92911">
        <w:rPr>
          <w:rFonts w:ascii="Times New Roman" w:hAnsi="Times New Roman" w:cs="Times New Roman"/>
          <w:sz w:val="24"/>
          <w:szCs w:val="24"/>
        </w:rPr>
        <w:t xml:space="preserve">reconcile a </w:t>
      </w:r>
      <w:r>
        <w:rPr>
          <w:rFonts w:ascii="Times New Roman" w:hAnsi="Times New Roman" w:cs="Times New Roman"/>
          <w:sz w:val="24"/>
          <w:szCs w:val="24"/>
        </w:rPr>
        <w:t>permanent tailing</w:t>
      </w:r>
      <w:r w:rsidR="00B92911">
        <w:rPr>
          <w:rFonts w:ascii="Times New Roman" w:hAnsi="Times New Roman" w:cs="Times New Roman"/>
          <w:sz w:val="24"/>
          <w:szCs w:val="24"/>
        </w:rPr>
        <w:t xml:space="preserve"> dump in the Monument with the requirement prohibiting irreparable harm to the Monument mandated by Congress in the ANILCA</w:t>
      </w:r>
      <w:r w:rsidR="00FE0565">
        <w:rPr>
          <w:rFonts w:ascii="Times New Roman" w:hAnsi="Times New Roman" w:cs="Times New Roman"/>
          <w:sz w:val="24"/>
          <w:szCs w:val="24"/>
        </w:rPr>
        <w:t xml:space="preserve"> as key to the next (this) decision</w:t>
      </w:r>
      <w:r w:rsidR="00B92911">
        <w:rPr>
          <w:rFonts w:ascii="Times New Roman" w:hAnsi="Times New Roman" w:cs="Times New Roman"/>
          <w:sz w:val="24"/>
          <w:szCs w:val="24"/>
        </w:rPr>
        <w:t xml:space="preserve">. In the Record of Decision in 2013, the Forest Service declared that “the </w:t>
      </w:r>
      <w:proofErr w:type="spellStart"/>
      <w:r w:rsidR="00B92911">
        <w:rPr>
          <w:rFonts w:ascii="Times New Roman" w:hAnsi="Times New Roman" w:cs="Times New Roman"/>
          <w:sz w:val="24"/>
          <w:szCs w:val="24"/>
        </w:rPr>
        <w:t>Tongass</w:t>
      </w:r>
      <w:proofErr w:type="spellEnd"/>
      <w:r w:rsidR="00B92911">
        <w:rPr>
          <w:rFonts w:ascii="Times New Roman" w:hAnsi="Times New Roman" w:cs="Times New Roman"/>
          <w:sz w:val="24"/>
          <w:szCs w:val="24"/>
        </w:rPr>
        <w:t xml:space="preserve"> National Forest will work with other appropriate </w:t>
      </w:r>
      <w:proofErr w:type="gramStart"/>
      <w:r w:rsidR="00B92911">
        <w:rPr>
          <w:rFonts w:ascii="Times New Roman" w:hAnsi="Times New Roman" w:cs="Times New Roman"/>
          <w:sz w:val="24"/>
          <w:szCs w:val="24"/>
        </w:rPr>
        <w:t>parties  . . .</w:t>
      </w:r>
      <w:proofErr w:type="gramEnd"/>
      <w:r w:rsidR="00B92911">
        <w:rPr>
          <w:rFonts w:ascii="Times New Roman" w:hAnsi="Times New Roman" w:cs="Times New Roman"/>
          <w:sz w:val="24"/>
          <w:szCs w:val="24"/>
        </w:rPr>
        <w:t xml:space="preserve"> to clarify how to apply the complex set of legal requirements . . . specific to Admiralty Island National Monument</w:t>
      </w:r>
      <w:r w:rsidR="00FE0565">
        <w:rPr>
          <w:rFonts w:ascii="Times New Roman" w:hAnsi="Times New Roman" w:cs="Times New Roman"/>
          <w:sz w:val="24"/>
          <w:szCs w:val="24"/>
        </w:rPr>
        <w:t>.</w:t>
      </w:r>
      <w:r w:rsidR="00B92911">
        <w:rPr>
          <w:rFonts w:ascii="Times New Roman" w:hAnsi="Times New Roman" w:cs="Times New Roman"/>
          <w:sz w:val="24"/>
          <w:szCs w:val="24"/>
        </w:rPr>
        <w:t>”</w:t>
      </w:r>
      <w:r w:rsidR="00FE0565">
        <w:rPr>
          <w:rFonts w:ascii="Times New Roman" w:hAnsi="Times New Roman" w:cs="Times New Roman"/>
          <w:sz w:val="24"/>
          <w:szCs w:val="24"/>
        </w:rPr>
        <w:t xml:space="preserve"> </w:t>
      </w:r>
      <w:r w:rsidR="00FE0565" w:rsidRPr="00FE0565">
        <w:rPr>
          <w:rFonts w:ascii="Times New Roman" w:hAnsi="Times New Roman" w:cs="Times New Roman"/>
          <w:i/>
          <w:iCs/>
          <w:sz w:val="24"/>
          <w:szCs w:val="24"/>
        </w:rPr>
        <w:t>See</w:t>
      </w:r>
      <w:r w:rsidR="00FE0565">
        <w:rPr>
          <w:rFonts w:ascii="Times New Roman" w:hAnsi="Times New Roman" w:cs="Times New Roman"/>
          <w:sz w:val="24"/>
          <w:szCs w:val="24"/>
        </w:rPr>
        <w:t>, 2013 EIS and ROD at 9.</w:t>
      </w:r>
      <w:r>
        <w:rPr>
          <w:rFonts w:ascii="Times New Roman" w:hAnsi="Times New Roman" w:cs="Times New Roman"/>
          <w:sz w:val="24"/>
          <w:szCs w:val="24"/>
        </w:rPr>
        <w:t xml:space="preserve"> The </w:t>
      </w:r>
      <w:r w:rsidR="005E6FFA">
        <w:rPr>
          <w:rFonts w:ascii="Times New Roman" w:hAnsi="Times New Roman" w:cs="Times New Roman"/>
          <w:sz w:val="24"/>
          <w:szCs w:val="24"/>
        </w:rPr>
        <w:t xml:space="preserve">2023 </w:t>
      </w:r>
      <w:r>
        <w:rPr>
          <w:rFonts w:ascii="Times New Roman" w:hAnsi="Times New Roman" w:cs="Times New Roman"/>
          <w:sz w:val="24"/>
          <w:szCs w:val="24"/>
        </w:rPr>
        <w:t>draft supplemental EIS does not address nor remedy these issues. One cannot protect what one cannot define.</w:t>
      </w:r>
      <w:r w:rsidR="00803E2F">
        <w:rPr>
          <w:rFonts w:ascii="Times New Roman" w:hAnsi="Times New Roman" w:cs="Times New Roman"/>
          <w:sz w:val="24"/>
          <w:szCs w:val="24"/>
        </w:rPr>
        <w:t xml:space="preserve"> </w:t>
      </w:r>
    </w:p>
    <w:p w14:paraId="73B07029" w14:textId="2B1D1AD8" w:rsidR="0012005C" w:rsidRPr="00D14527" w:rsidRDefault="0012005C" w:rsidP="00D14527">
      <w:pPr>
        <w:pStyle w:val="ListParagraph"/>
        <w:numPr>
          <w:ilvl w:val="0"/>
          <w:numId w:val="12"/>
        </w:numPr>
        <w:spacing w:line="276" w:lineRule="auto"/>
        <w:rPr>
          <w:rFonts w:ascii="Times New Roman" w:hAnsi="Times New Roman" w:cs="Times New Roman"/>
          <w:sz w:val="24"/>
          <w:szCs w:val="24"/>
          <w:u w:val="single"/>
        </w:rPr>
      </w:pPr>
      <w:r w:rsidRPr="00D14527">
        <w:rPr>
          <w:rFonts w:ascii="Times New Roman" w:hAnsi="Times New Roman" w:cs="Times New Roman"/>
          <w:sz w:val="24"/>
          <w:szCs w:val="24"/>
          <w:u w:val="single"/>
        </w:rPr>
        <w:t xml:space="preserve">Lack of </w:t>
      </w:r>
      <w:r w:rsidR="00A5129A" w:rsidRPr="00D14527">
        <w:rPr>
          <w:rFonts w:ascii="Times New Roman" w:hAnsi="Times New Roman" w:cs="Times New Roman"/>
          <w:sz w:val="24"/>
          <w:szCs w:val="24"/>
          <w:u w:val="single"/>
        </w:rPr>
        <w:t>S</w:t>
      </w:r>
      <w:r w:rsidRPr="00D14527">
        <w:rPr>
          <w:rFonts w:ascii="Times New Roman" w:hAnsi="Times New Roman" w:cs="Times New Roman"/>
          <w:sz w:val="24"/>
          <w:szCs w:val="24"/>
          <w:u w:val="single"/>
        </w:rPr>
        <w:t>ufficient Auditing</w:t>
      </w:r>
    </w:p>
    <w:p w14:paraId="7057EAA3" w14:textId="56C0BC82" w:rsidR="005470CC" w:rsidRDefault="005470CC" w:rsidP="009A17AA">
      <w:pPr>
        <w:spacing w:line="276" w:lineRule="auto"/>
        <w:rPr>
          <w:rFonts w:ascii="Times New Roman" w:hAnsi="Times New Roman" w:cs="Times New Roman"/>
          <w:sz w:val="24"/>
          <w:szCs w:val="24"/>
        </w:rPr>
      </w:pPr>
      <w:r w:rsidRPr="005470CC">
        <w:rPr>
          <w:rFonts w:ascii="Times New Roman" w:hAnsi="Times New Roman" w:cs="Times New Roman"/>
          <w:sz w:val="24"/>
          <w:szCs w:val="24"/>
        </w:rPr>
        <w:t xml:space="preserve">In addition to the </w:t>
      </w:r>
      <w:r>
        <w:rPr>
          <w:rFonts w:ascii="Times New Roman" w:hAnsi="Times New Roman" w:cs="Times New Roman"/>
          <w:sz w:val="24"/>
          <w:szCs w:val="24"/>
        </w:rPr>
        <w:t xml:space="preserve">lack of review of monitoring reports by state and federal agencies, the performance of the monitoring program </w:t>
      </w:r>
      <w:r w:rsidR="00174B3C">
        <w:rPr>
          <w:rFonts w:ascii="Times New Roman" w:hAnsi="Times New Roman" w:cs="Times New Roman"/>
          <w:sz w:val="24"/>
          <w:szCs w:val="24"/>
        </w:rPr>
        <w:t>lacks</w:t>
      </w:r>
      <w:r w:rsidR="00FE0565">
        <w:rPr>
          <w:rFonts w:ascii="Times New Roman" w:hAnsi="Times New Roman" w:cs="Times New Roman"/>
          <w:sz w:val="24"/>
          <w:szCs w:val="24"/>
        </w:rPr>
        <w:t xml:space="preserve"> from required third-party</w:t>
      </w:r>
      <w:r>
        <w:rPr>
          <w:rFonts w:ascii="Times New Roman" w:hAnsi="Times New Roman" w:cs="Times New Roman"/>
          <w:sz w:val="24"/>
          <w:szCs w:val="24"/>
        </w:rPr>
        <w:t xml:space="preserve"> party review. Periodic third-party audits are required under the waste management permit, </w:t>
      </w:r>
      <w:r w:rsidRPr="005470CC">
        <w:rPr>
          <w:rFonts w:ascii="Times New Roman" w:hAnsi="Times New Roman" w:cs="Times New Roman"/>
          <w:sz w:val="24"/>
          <w:szCs w:val="24"/>
        </w:rPr>
        <w:t>2014DB0003</w:t>
      </w:r>
      <w:r>
        <w:t>,</w:t>
      </w:r>
      <w:r>
        <w:rPr>
          <w:rFonts w:ascii="Times New Roman" w:hAnsi="Times New Roman" w:cs="Times New Roman"/>
          <w:sz w:val="24"/>
          <w:szCs w:val="24"/>
        </w:rPr>
        <w:t xml:space="preserve"> authorized by the State.  The frequency of </w:t>
      </w:r>
      <w:r>
        <w:rPr>
          <w:rFonts w:ascii="Times New Roman" w:hAnsi="Times New Roman" w:cs="Times New Roman"/>
          <w:sz w:val="24"/>
          <w:szCs w:val="24"/>
        </w:rPr>
        <w:lastRenderedPageBreak/>
        <w:t xml:space="preserve">the audits is to be every five years or before the expiration of each five-year permit. </w:t>
      </w:r>
      <w:r w:rsidRPr="005470CC">
        <w:rPr>
          <w:rFonts w:ascii="Times New Roman" w:hAnsi="Times New Roman" w:cs="Times New Roman"/>
          <w:sz w:val="24"/>
          <w:szCs w:val="24"/>
        </w:rPr>
        <w:t>The environmental audit is required to verify HGCMC’s compliance with applicable environmental laws associated with th</w:t>
      </w:r>
      <w:r w:rsidR="005E6FFA">
        <w:rPr>
          <w:rFonts w:ascii="Times New Roman" w:hAnsi="Times New Roman" w:cs="Times New Roman"/>
          <w:sz w:val="24"/>
          <w:szCs w:val="24"/>
        </w:rPr>
        <w:t>e</w:t>
      </w:r>
      <w:r w:rsidRPr="005470CC">
        <w:rPr>
          <w:rFonts w:ascii="Times New Roman" w:hAnsi="Times New Roman" w:cs="Times New Roman"/>
          <w:sz w:val="24"/>
          <w:szCs w:val="24"/>
        </w:rPr>
        <w:t xml:space="preserve"> permit. </w:t>
      </w:r>
      <w:r w:rsidRPr="005E6FFA">
        <w:rPr>
          <w:rFonts w:ascii="Times New Roman" w:hAnsi="Times New Roman" w:cs="Times New Roman"/>
          <w:i/>
          <w:iCs/>
          <w:sz w:val="24"/>
          <w:szCs w:val="24"/>
        </w:rPr>
        <w:t>See</w:t>
      </w:r>
      <w:r w:rsidRPr="005470CC">
        <w:rPr>
          <w:rFonts w:ascii="Times New Roman" w:hAnsi="Times New Roman" w:cs="Times New Roman"/>
          <w:sz w:val="24"/>
          <w:szCs w:val="24"/>
        </w:rPr>
        <w:t>, Waste Management Permit 2020DB0001, Hecla Greens Creek Mining Company</w:t>
      </w:r>
      <w:r w:rsidR="00174B3C">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p>
    <w:p w14:paraId="1F88BA4C" w14:textId="4BF37F6F" w:rsidR="00803E2F" w:rsidRDefault="00174B3C" w:rsidP="009A17AA">
      <w:pPr>
        <w:spacing w:line="276" w:lineRule="auto"/>
      </w:pPr>
      <w:r>
        <w:rPr>
          <w:rFonts w:ascii="Times New Roman" w:hAnsi="Times New Roman" w:cs="Times New Roman"/>
          <w:sz w:val="24"/>
          <w:szCs w:val="24"/>
        </w:rPr>
        <w:t>Despite this requirement, only two audits have been conducted in 33 years of mining.</w:t>
      </w:r>
      <w:r w:rsidR="00803E2F">
        <w:rPr>
          <w:rFonts w:ascii="Times New Roman" w:hAnsi="Times New Roman" w:cs="Times New Roman"/>
          <w:sz w:val="24"/>
          <w:szCs w:val="24"/>
        </w:rPr>
        <w:t xml:space="preserve"> </w:t>
      </w:r>
      <w:r w:rsidR="005E6FFA">
        <w:rPr>
          <w:rFonts w:ascii="Times New Roman" w:hAnsi="Times New Roman" w:cs="Times New Roman"/>
          <w:sz w:val="24"/>
          <w:szCs w:val="24"/>
        </w:rPr>
        <w:t>As mentioned previously, t</w:t>
      </w:r>
      <w:r w:rsidR="00803E2F">
        <w:rPr>
          <w:rFonts w:ascii="Times New Roman" w:hAnsi="Times New Roman" w:cs="Times New Roman"/>
          <w:sz w:val="24"/>
          <w:szCs w:val="24"/>
        </w:rPr>
        <w:t>he first audit conducted by SRK Consulting in 2009 found that none the reports required under the permits issued by the State of Alaska had been reviewed or commented on.</w:t>
      </w:r>
      <w:hyperlink r:id="rId8" w:tgtFrame="_blank" w:history="1"/>
    </w:p>
    <w:p w14:paraId="1203C2D7" w14:textId="3B0C9FCB" w:rsidR="00803E2F" w:rsidRDefault="00803E2F" w:rsidP="009A17AA">
      <w:pPr>
        <w:spacing w:line="276" w:lineRule="auto"/>
        <w:rPr>
          <w:rFonts w:ascii="Times New Roman" w:hAnsi="Times New Roman" w:cs="Times New Roman"/>
          <w:sz w:val="24"/>
          <w:szCs w:val="24"/>
        </w:rPr>
      </w:pPr>
      <w:r w:rsidRPr="003B3274">
        <w:rPr>
          <w:rFonts w:ascii="Times New Roman" w:hAnsi="Times New Roman" w:cs="Times New Roman"/>
          <w:sz w:val="24"/>
          <w:szCs w:val="24"/>
        </w:rPr>
        <w:t xml:space="preserve">The second audit conducted </w:t>
      </w:r>
      <w:r w:rsidR="005E6FFA">
        <w:rPr>
          <w:rFonts w:ascii="Times New Roman" w:hAnsi="Times New Roman" w:cs="Times New Roman"/>
          <w:sz w:val="24"/>
          <w:szCs w:val="24"/>
        </w:rPr>
        <w:t xml:space="preserve">ten year later </w:t>
      </w:r>
      <w:r w:rsidRPr="003B3274">
        <w:rPr>
          <w:rFonts w:ascii="Times New Roman" w:hAnsi="Times New Roman" w:cs="Times New Roman"/>
          <w:sz w:val="24"/>
          <w:szCs w:val="24"/>
        </w:rPr>
        <w:t>in 2019</w:t>
      </w:r>
      <w:r w:rsidRPr="003B3274">
        <w:rPr>
          <w:rStyle w:val="FootnoteReference"/>
          <w:rFonts w:ascii="Times New Roman" w:hAnsi="Times New Roman" w:cs="Times New Roman"/>
          <w:sz w:val="24"/>
          <w:szCs w:val="24"/>
        </w:rPr>
        <w:footnoteReference w:id="27"/>
      </w:r>
      <w:r w:rsidRPr="003B3274">
        <w:rPr>
          <w:rFonts w:ascii="Times New Roman" w:hAnsi="Times New Roman" w:cs="Times New Roman"/>
          <w:sz w:val="24"/>
          <w:szCs w:val="24"/>
        </w:rPr>
        <w:t xml:space="preserve"> mentions the existence of the first audit, but none of the findings </w:t>
      </w:r>
      <w:r w:rsidR="005E6FFA">
        <w:rPr>
          <w:rFonts w:ascii="Times New Roman" w:hAnsi="Times New Roman" w:cs="Times New Roman"/>
          <w:sz w:val="24"/>
          <w:szCs w:val="24"/>
        </w:rPr>
        <w:t xml:space="preserve">of that audit </w:t>
      </w:r>
      <w:r w:rsidRPr="003B3274">
        <w:rPr>
          <w:rFonts w:ascii="Times New Roman" w:hAnsi="Times New Roman" w:cs="Times New Roman"/>
          <w:sz w:val="24"/>
          <w:szCs w:val="24"/>
        </w:rPr>
        <w:t>nor whether any of the findings were re</w:t>
      </w:r>
      <w:r w:rsidR="005E6FFA">
        <w:rPr>
          <w:rFonts w:ascii="Times New Roman" w:hAnsi="Times New Roman" w:cs="Times New Roman"/>
          <w:sz w:val="24"/>
          <w:szCs w:val="24"/>
        </w:rPr>
        <w:t>ctified</w:t>
      </w:r>
      <w:r w:rsidRPr="003B3274">
        <w:rPr>
          <w:rFonts w:ascii="Times New Roman" w:hAnsi="Times New Roman" w:cs="Times New Roman"/>
          <w:sz w:val="24"/>
          <w:szCs w:val="24"/>
        </w:rPr>
        <w:t>.  Since</w:t>
      </w:r>
      <w:r w:rsidR="003B3274" w:rsidRPr="003B3274">
        <w:rPr>
          <w:rFonts w:ascii="Times New Roman" w:hAnsi="Times New Roman" w:cs="Times New Roman"/>
          <w:sz w:val="24"/>
          <w:szCs w:val="24"/>
        </w:rPr>
        <w:t xml:space="preserve"> each </w:t>
      </w:r>
      <w:r w:rsidRPr="003B3274">
        <w:rPr>
          <w:rFonts w:ascii="Times New Roman" w:hAnsi="Times New Roman" w:cs="Times New Roman"/>
          <w:sz w:val="24"/>
          <w:szCs w:val="24"/>
        </w:rPr>
        <w:t>audit</w:t>
      </w:r>
      <w:r w:rsidR="003B3274" w:rsidRPr="003B3274">
        <w:rPr>
          <w:rFonts w:ascii="Times New Roman" w:hAnsi="Times New Roman" w:cs="Times New Roman"/>
          <w:sz w:val="24"/>
          <w:szCs w:val="24"/>
        </w:rPr>
        <w:t xml:space="preserve"> looked at different aspects of the mining and facility operations against applicable permit and state regulations, they are essentially independent, the second audit did not build upon the first.  Neither audit evaluated whether mining or facility operations complied with the ANILCA criteria.</w:t>
      </w:r>
    </w:p>
    <w:p w14:paraId="27474156" w14:textId="092437C0" w:rsidR="003B3274" w:rsidRDefault="003B3274" w:rsidP="009A17AA">
      <w:pPr>
        <w:spacing w:line="276" w:lineRule="auto"/>
        <w:rPr>
          <w:rFonts w:ascii="Times New Roman" w:hAnsi="Times New Roman" w:cs="Times New Roman"/>
          <w:sz w:val="24"/>
          <w:szCs w:val="24"/>
        </w:rPr>
      </w:pPr>
      <w:r w:rsidRPr="005B6854">
        <w:rPr>
          <w:rFonts w:ascii="Times New Roman" w:hAnsi="Times New Roman" w:cs="Times New Roman"/>
          <w:sz w:val="24"/>
          <w:szCs w:val="24"/>
        </w:rPr>
        <w:t xml:space="preserve">ANILCA does not </w:t>
      </w:r>
      <w:r w:rsidR="005E6FFA">
        <w:rPr>
          <w:rFonts w:ascii="Times New Roman" w:hAnsi="Times New Roman" w:cs="Times New Roman"/>
          <w:sz w:val="24"/>
          <w:szCs w:val="24"/>
        </w:rPr>
        <w:t xml:space="preserve">allow </w:t>
      </w:r>
      <w:r w:rsidRPr="005B6854">
        <w:rPr>
          <w:rFonts w:ascii="Times New Roman" w:hAnsi="Times New Roman" w:cs="Times New Roman"/>
          <w:sz w:val="24"/>
          <w:szCs w:val="24"/>
        </w:rPr>
        <w:t xml:space="preserve">the Forest Service to substitute its judgment </w:t>
      </w:r>
      <w:r>
        <w:rPr>
          <w:rFonts w:ascii="Times New Roman" w:hAnsi="Times New Roman" w:cs="Times New Roman"/>
          <w:sz w:val="24"/>
          <w:szCs w:val="24"/>
        </w:rPr>
        <w:t xml:space="preserve">to </w:t>
      </w:r>
      <w:r w:rsidRPr="005B6854">
        <w:rPr>
          <w:rFonts w:ascii="Times New Roman" w:hAnsi="Times New Roman" w:cs="Times New Roman"/>
          <w:sz w:val="24"/>
          <w:szCs w:val="24"/>
        </w:rPr>
        <w:t xml:space="preserve">other agencies, or permit it to ignore </w:t>
      </w:r>
      <w:r>
        <w:rPr>
          <w:rFonts w:ascii="Times New Roman" w:hAnsi="Times New Roman" w:cs="Times New Roman"/>
          <w:sz w:val="24"/>
          <w:szCs w:val="24"/>
        </w:rPr>
        <w:t xml:space="preserve">and not review monitoring reports </w:t>
      </w:r>
      <w:r w:rsidRPr="005B6854">
        <w:rPr>
          <w:rFonts w:ascii="Times New Roman" w:hAnsi="Times New Roman" w:cs="Times New Roman"/>
          <w:sz w:val="24"/>
          <w:szCs w:val="24"/>
        </w:rPr>
        <w:t xml:space="preserve">for activities taking place on Monument lands. </w:t>
      </w:r>
      <w:r w:rsidR="005E6FFA">
        <w:rPr>
          <w:rFonts w:ascii="Times New Roman" w:hAnsi="Times New Roman" w:cs="Times New Roman"/>
          <w:sz w:val="24"/>
          <w:szCs w:val="24"/>
        </w:rPr>
        <w:t xml:space="preserve">It </w:t>
      </w:r>
      <w:r w:rsidRPr="005B6854">
        <w:rPr>
          <w:rFonts w:ascii="Times New Roman" w:hAnsi="Times New Roman" w:cs="Times New Roman"/>
          <w:sz w:val="24"/>
          <w:szCs w:val="24"/>
        </w:rPr>
        <w:t xml:space="preserve">does require the Forest Service assure that those authorizations satisfy the heightened standards for resource protection imposed by Congress on any mining activities conducted on Monument lands.  The Forest Service lacks the discretion to defer to other agencies, state or federal, when satisfying the stringent duties Congress imposed on it under ANILCA to prevent harm and protect Monument values.  </w:t>
      </w:r>
    </w:p>
    <w:p w14:paraId="0178970B" w14:textId="5DCF75EE" w:rsidR="005E19AA" w:rsidRDefault="005E19AA" w:rsidP="009A17AA">
      <w:pPr>
        <w:spacing w:line="276" w:lineRule="auto"/>
      </w:pPr>
    </w:p>
    <w:p w14:paraId="0A473274" w14:textId="3F2BEEC5" w:rsidR="005E19AA" w:rsidRDefault="005E19AA" w:rsidP="00D14527">
      <w:pPr>
        <w:pStyle w:val="Default"/>
        <w:numPr>
          <w:ilvl w:val="0"/>
          <w:numId w:val="12"/>
        </w:numPr>
        <w:spacing w:line="276" w:lineRule="auto"/>
        <w:rPr>
          <w:rFonts w:ascii="Times New Roman" w:hAnsi="Times New Roman" w:cs="Times New Roman"/>
          <w:u w:val="single"/>
        </w:rPr>
      </w:pPr>
      <w:r w:rsidRPr="00D14527">
        <w:rPr>
          <w:rFonts w:ascii="Times New Roman" w:hAnsi="Times New Roman" w:cs="Times New Roman"/>
          <w:u w:val="single"/>
        </w:rPr>
        <w:t xml:space="preserve">Fugitive Dust </w:t>
      </w:r>
    </w:p>
    <w:p w14:paraId="74458315" w14:textId="77777777" w:rsidR="007A0FBF" w:rsidRDefault="007A0FBF" w:rsidP="007A0FBF">
      <w:pPr>
        <w:pStyle w:val="Default"/>
        <w:spacing w:line="276" w:lineRule="auto"/>
        <w:rPr>
          <w:rFonts w:ascii="Times New Roman" w:hAnsi="Times New Roman" w:cs="Times New Roman"/>
          <w:u w:val="single"/>
        </w:rPr>
      </w:pPr>
    </w:p>
    <w:p w14:paraId="12FDF5E1" w14:textId="33ECE43E" w:rsidR="005E19AA" w:rsidRDefault="005E19AA" w:rsidP="009A17AA">
      <w:pPr>
        <w:pStyle w:val="Default"/>
        <w:spacing w:line="276" w:lineRule="auto"/>
        <w:rPr>
          <w:rFonts w:ascii="Times New Roman" w:hAnsi="Times New Roman" w:cs="Times New Roman"/>
        </w:rPr>
      </w:pPr>
      <w:r w:rsidRPr="00BC1108">
        <w:rPr>
          <w:rFonts w:ascii="Times New Roman" w:hAnsi="Times New Roman" w:cs="Times New Roman"/>
        </w:rPr>
        <w:t xml:space="preserve">The no irreparable harm standard under ANILCA is a strict requirement, not aspirational. Past implementation of State of Alaska Waste management Permits (WMPs) </w:t>
      </w:r>
      <w:r w:rsidR="00C93F92" w:rsidRPr="00BC1108">
        <w:rPr>
          <w:rFonts w:ascii="Times New Roman" w:hAnsi="Times New Roman" w:cs="Times New Roman"/>
        </w:rPr>
        <w:t>has</w:t>
      </w:r>
      <w:r w:rsidRPr="00BC1108">
        <w:rPr>
          <w:rFonts w:ascii="Times New Roman" w:hAnsi="Times New Roman" w:cs="Times New Roman"/>
        </w:rPr>
        <w:t xml:space="preserve"> led to the spread of lead contamination due to fugitive dust far into the Monument </w:t>
      </w:r>
      <w:r w:rsidR="00184060">
        <w:rPr>
          <w:rFonts w:ascii="Times New Roman" w:hAnsi="Times New Roman" w:cs="Times New Roman"/>
        </w:rPr>
        <w:t xml:space="preserve">and Wilderness area </w:t>
      </w:r>
      <w:r w:rsidRPr="00BC1108">
        <w:rPr>
          <w:rFonts w:ascii="Times New Roman" w:hAnsi="Times New Roman" w:cs="Times New Roman"/>
        </w:rPr>
        <w:t xml:space="preserve">lands. There has been no attempt to determine the extent or level, if any, of harm to the ecology of </w:t>
      </w:r>
      <w:r w:rsidR="00BC1108" w:rsidRPr="00BC1108">
        <w:rPr>
          <w:rFonts w:ascii="Times New Roman" w:hAnsi="Times New Roman" w:cs="Times New Roman"/>
        </w:rPr>
        <w:t>Admiralty</w:t>
      </w:r>
      <w:r w:rsidRPr="00BC1108">
        <w:rPr>
          <w:rFonts w:ascii="Times New Roman" w:hAnsi="Times New Roman" w:cs="Times New Roman"/>
        </w:rPr>
        <w:t xml:space="preserve"> Island</w:t>
      </w:r>
      <w:r w:rsidR="00BC1108" w:rsidRPr="00BC1108">
        <w:rPr>
          <w:rFonts w:ascii="Times New Roman" w:hAnsi="Times New Roman" w:cs="Times New Roman"/>
        </w:rPr>
        <w:t xml:space="preserve"> due to th</w:t>
      </w:r>
      <w:r w:rsidR="00184060">
        <w:rPr>
          <w:rFonts w:ascii="Times New Roman" w:hAnsi="Times New Roman" w:cs="Times New Roman"/>
        </w:rPr>
        <w:t xml:space="preserve">e spread of tailings far from the disposal site. </w:t>
      </w:r>
      <w:r w:rsidRPr="00BC1108">
        <w:rPr>
          <w:rFonts w:ascii="Times New Roman" w:hAnsi="Times New Roman" w:cs="Times New Roman"/>
        </w:rPr>
        <w:t xml:space="preserve">To make matters worse, the WMP does not require adequate, standardized fugitive dust monitoring capable of </w:t>
      </w:r>
      <w:r w:rsidR="00184060">
        <w:rPr>
          <w:rFonts w:ascii="Times New Roman" w:hAnsi="Times New Roman" w:cs="Times New Roman"/>
        </w:rPr>
        <w:t>quantifying</w:t>
      </w:r>
      <w:r w:rsidRPr="00BC1108">
        <w:rPr>
          <w:rFonts w:ascii="Times New Roman" w:hAnsi="Times New Roman" w:cs="Times New Roman"/>
        </w:rPr>
        <w:t xml:space="preserve"> the scope of contamination within project boundaries, let alone outside them. The extent and eventual fate of the airborne lead and other contaminants into Monument lands or the level of harm caused is unknown. </w:t>
      </w:r>
    </w:p>
    <w:p w14:paraId="664B8335" w14:textId="77777777" w:rsidR="00D14527" w:rsidRDefault="00D14527" w:rsidP="009A17AA">
      <w:pPr>
        <w:pStyle w:val="Default"/>
        <w:spacing w:line="276" w:lineRule="auto"/>
        <w:rPr>
          <w:rFonts w:ascii="Times New Roman" w:hAnsi="Times New Roman" w:cs="Times New Roman"/>
        </w:rPr>
      </w:pPr>
    </w:p>
    <w:p w14:paraId="6DF72D5E" w14:textId="3FD4E7D2" w:rsidR="00BC1108" w:rsidRPr="009F0047" w:rsidRDefault="009F0047" w:rsidP="009A17AA">
      <w:pPr>
        <w:pStyle w:val="Default"/>
        <w:spacing w:line="276" w:lineRule="auto"/>
        <w:rPr>
          <w:rFonts w:ascii="Times New Roman" w:hAnsi="Times New Roman" w:cs="Times New Roman"/>
        </w:rPr>
      </w:pPr>
      <w:r>
        <w:rPr>
          <w:rFonts w:ascii="Times New Roman" w:hAnsi="Times New Roman" w:cs="Times New Roman"/>
        </w:rPr>
        <w:t>Under all Alternatives, fugitive dust is predicted to increase.  F</w:t>
      </w:r>
      <w:r w:rsidR="005E6FFA">
        <w:rPr>
          <w:rFonts w:ascii="Times New Roman" w:hAnsi="Times New Roman" w:cs="Times New Roman"/>
        </w:rPr>
        <w:t>ro</w:t>
      </w:r>
      <w:r>
        <w:rPr>
          <w:rFonts w:ascii="Times New Roman" w:hAnsi="Times New Roman" w:cs="Times New Roman"/>
        </w:rPr>
        <w:t>m the preferred Alternative B: “</w:t>
      </w:r>
      <w:r w:rsidRPr="009F0047">
        <w:rPr>
          <w:rFonts w:ascii="Times New Roman" w:hAnsi="Times New Roman" w:cs="Times New Roman"/>
        </w:rPr>
        <w:t>The 12- to 18-year increased duration of the life of the TDF and resultant increase in time until the reclamation is complete would likely increase the duration of potential impacts on water quality associated with lead transported by fugitive dust compared to the no-action alternative.</w:t>
      </w:r>
      <w:r>
        <w:rPr>
          <w:rFonts w:ascii="Times New Roman" w:hAnsi="Times New Roman" w:cs="Times New Roman"/>
        </w:rPr>
        <w:t xml:space="preserve">” </w:t>
      </w:r>
      <w:r w:rsidRPr="005E6FFA">
        <w:rPr>
          <w:rFonts w:ascii="Times New Roman" w:hAnsi="Times New Roman" w:cs="Times New Roman"/>
          <w:i/>
          <w:iCs/>
        </w:rPr>
        <w:t>See,</w:t>
      </w:r>
      <w:r>
        <w:rPr>
          <w:rFonts w:ascii="Times New Roman" w:hAnsi="Times New Roman" w:cs="Times New Roman"/>
        </w:rPr>
        <w:t xml:space="preserve"> </w:t>
      </w:r>
      <w:r w:rsidR="005E6FFA">
        <w:rPr>
          <w:rFonts w:ascii="Times New Roman" w:hAnsi="Times New Roman" w:cs="Times New Roman"/>
        </w:rPr>
        <w:t xml:space="preserve">2023 </w:t>
      </w:r>
      <w:proofErr w:type="spellStart"/>
      <w:r>
        <w:rPr>
          <w:rFonts w:ascii="Times New Roman" w:hAnsi="Times New Roman" w:cs="Times New Roman"/>
        </w:rPr>
        <w:t>sDEIS</w:t>
      </w:r>
      <w:proofErr w:type="spellEnd"/>
      <w:r>
        <w:rPr>
          <w:rFonts w:ascii="Times New Roman" w:hAnsi="Times New Roman" w:cs="Times New Roman"/>
        </w:rPr>
        <w:t xml:space="preserve"> at 3-136.</w:t>
      </w:r>
    </w:p>
    <w:p w14:paraId="34E79754" w14:textId="77777777" w:rsidR="009F0047" w:rsidRDefault="009F0047" w:rsidP="009A17AA">
      <w:pPr>
        <w:pStyle w:val="Default"/>
        <w:spacing w:line="276" w:lineRule="auto"/>
        <w:rPr>
          <w:rFonts w:ascii="Times New Roman" w:hAnsi="Times New Roman" w:cs="Times New Roman"/>
        </w:rPr>
      </w:pPr>
    </w:p>
    <w:p w14:paraId="7AA301F7" w14:textId="4DA9C815" w:rsidR="00BC1108" w:rsidRPr="00484247" w:rsidRDefault="00BC1108" w:rsidP="009A17AA">
      <w:pPr>
        <w:spacing w:line="276" w:lineRule="auto"/>
        <w:rPr>
          <w:rFonts w:ascii="Times New Roman" w:hAnsi="Times New Roman" w:cs="Times New Roman"/>
          <w:sz w:val="24"/>
          <w:szCs w:val="24"/>
        </w:rPr>
      </w:pPr>
      <w:r w:rsidRPr="00BC1108">
        <w:rPr>
          <w:rFonts w:ascii="Times New Roman" w:hAnsi="Times New Roman" w:cs="Times New Roman"/>
          <w:sz w:val="24"/>
          <w:szCs w:val="24"/>
        </w:rPr>
        <w:t xml:space="preserve">Hecla has been monitoring fugitive dust emissions from the tailings using 10-liter “Atmospheric Depositional Pails".  </w:t>
      </w:r>
      <w:r w:rsidRPr="00484247">
        <w:rPr>
          <w:rFonts w:ascii="Times New Roman" w:hAnsi="Times New Roman" w:cs="Times New Roman"/>
          <w:i/>
          <w:iCs/>
          <w:sz w:val="24"/>
          <w:szCs w:val="24"/>
        </w:rPr>
        <w:t>See</w:t>
      </w:r>
      <w:r w:rsidR="00484247">
        <w:rPr>
          <w:rFonts w:ascii="Times New Roman" w:hAnsi="Times New Roman" w:cs="Times New Roman"/>
          <w:i/>
          <w:iCs/>
          <w:sz w:val="24"/>
          <w:szCs w:val="24"/>
        </w:rPr>
        <w:t>,</w:t>
      </w:r>
      <w:r w:rsidRPr="00BC1108">
        <w:rPr>
          <w:rFonts w:ascii="Times New Roman" w:hAnsi="Times New Roman" w:cs="Times New Roman"/>
          <w:sz w:val="24"/>
          <w:szCs w:val="24"/>
        </w:rPr>
        <w:t xml:space="preserve"> 2019 Active Tailings and Production Rock Site 23 Annual Report at Section </w:t>
      </w:r>
      <w:r w:rsidRPr="00BC1108">
        <w:rPr>
          <w:rFonts w:ascii="Times New Roman" w:hAnsi="Times New Roman" w:cs="Times New Roman"/>
          <w:sz w:val="24"/>
          <w:szCs w:val="24"/>
        </w:rPr>
        <w:lastRenderedPageBreak/>
        <w:t xml:space="preserve">4.2.7 at 11. </w:t>
      </w:r>
      <w:r w:rsidR="005E6FFA">
        <w:rPr>
          <w:rFonts w:ascii="Times New Roman" w:hAnsi="Times New Roman" w:cs="Times New Roman"/>
          <w:sz w:val="24"/>
          <w:szCs w:val="24"/>
        </w:rPr>
        <w:t xml:space="preserve">Monitoring </w:t>
      </w:r>
      <w:r w:rsidRPr="00BC1108">
        <w:rPr>
          <w:rFonts w:ascii="Times New Roman" w:hAnsi="Times New Roman" w:cs="Times New Roman"/>
          <w:sz w:val="24"/>
          <w:szCs w:val="24"/>
        </w:rPr>
        <w:t xml:space="preserve">is based on a requirement from the Forest Service to sample for fugitive dust that utilized federal reference methods for dust monitoring devices. </w:t>
      </w:r>
      <w:r w:rsidRPr="005E6FFA">
        <w:rPr>
          <w:rFonts w:ascii="Times New Roman" w:hAnsi="Times New Roman" w:cs="Times New Roman"/>
          <w:i/>
          <w:iCs/>
          <w:sz w:val="24"/>
          <w:szCs w:val="24"/>
        </w:rPr>
        <w:t xml:space="preserve">See </w:t>
      </w:r>
      <w:r w:rsidRPr="00BC1108">
        <w:rPr>
          <w:rFonts w:ascii="Times New Roman" w:hAnsi="Times New Roman" w:cs="Times New Roman"/>
          <w:sz w:val="24"/>
          <w:szCs w:val="24"/>
        </w:rPr>
        <w:t xml:space="preserve">2013 Record of Decision (ROD) at 3-12. Despite the requirement to use methods and equipment of known precision and accuracy, Hecla invented their own monitoring equipment. </w:t>
      </w:r>
      <w:r w:rsidR="00484247" w:rsidRPr="00484247">
        <w:rPr>
          <w:rFonts w:ascii="Times New Roman" w:hAnsi="Times New Roman" w:cs="Times New Roman"/>
          <w:sz w:val="24"/>
          <w:szCs w:val="24"/>
        </w:rPr>
        <w:t xml:space="preserve">“The methodology is an adaptation of an ASTM standard test method (ASTM D1739). It is similar to the </w:t>
      </w:r>
      <w:proofErr w:type="spellStart"/>
      <w:r w:rsidR="00484247" w:rsidRPr="00484247">
        <w:rPr>
          <w:rFonts w:ascii="Times New Roman" w:hAnsi="Times New Roman" w:cs="Times New Roman"/>
          <w:sz w:val="24"/>
          <w:szCs w:val="24"/>
        </w:rPr>
        <w:t>Dustfall</w:t>
      </w:r>
      <w:proofErr w:type="spellEnd"/>
      <w:r w:rsidR="00484247" w:rsidRPr="00484247">
        <w:rPr>
          <w:rFonts w:ascii="Times New Roman" w:hAnsi="Times New Roman" w:cs="Times New Roman"/>
          <w:sz w:val="24"/>
          <w:szCs w:val="24"/>
        </w:rPr>
        <w:t xml:space="preserve"> Jar Particulate Deposition monitoring conducted by Teck Cominco Alaska Red Dog Mine (Teck 2005). The adapted methodology lacks the specified windscreen, uses a variable sampling frequency, and the filtrate is not analyzed.</w:t>
      </w:r>
      <w:r w:rsidR="00484247">
        <w:rPr>
          <w:rFonts w:ascii="Times New Roman" w:hAnsi="Times New Roman" w:cs="Times New Roman"/>
          <w:sz w:val="24"/>
          <w:szCs w:val="24"/>
        </w:rPr>
        <w:t xml:space="preserve">”  </w:t>
      </w:r>
      <w:r w:rsidR="00484247" w:rsidRPr="005E6FFA">
        <w:rPr>
          <w:rFonts w:ascii="Times New Roman" w:hAnsi="Times New Roman" w:cs="Times New Roman"/>
          <w:i/>
          <w:iCs/>
          <w:sz w:val="24"/>
          <w:szCs w:val="24"/>
        </w:rPr>
        <w:t>See,</w:t>
      </w:r>
      <w:r w:rsidR="00484247">
        <w:rPr>
          <w:rFonts w:ascii="Times New Roman" w:hAnsi="Times New Roman" w:cs="Times New Roman"/>
          <w:sz w:val="24"/>
          <w:szCs w:val="24"/>
        </w:rPr>
        <w:t xml:space="preserve"> 2022-H1 Biannual Report at 4.2.7.</w:t>
      </w:r>
      <w:r w:rsidR="00484247">
        <w:rPr>
          <w:rStyle w:val="FootnoteReference"/>
          <w:rFonts w:ascii="Times New Roman" w:hAnsi="Times New Roman" w:cs="Times New Roman"/>
          <w:sz w:val="24"/>
          <w:szCs w:val="24"/>
        </w:rPr>
        <w:footnoteReference w:id="28"/>
      </w:r>
      <w:r w:rsidR="00484247">
        <w:rPr>
          <w:rFonts w:ascii="Times New Roman" w:hAnsi="Times New Roman" w:cs="Times New Roman"/>
          <w:sz w:val="24"/>
          <w:szCs w:val="24"/>
        </w:rPr>
        <w:t xml:space="preserve"> </w:t>
      </w:r>
    </w:p>
    <w:p w14:paraId="5A8F491B" w14:textId="323F6A10" w:rsidR="00BC1108" w:rsidRDefault="00BC1108" w:rsidP="009A17AA">
      <w:pPr>
        <w:spacing w:line="276" w:lineRule="auto"/>
        <w:rPr>
          <w:rFonts w:ascii="Times New Roman" w:hAnsi="Times New Roman" w:cs="Times New Roman"/>
          <w:sz w:val="24"/>
          <w:szCs w:val="24"/>
        </w:rPr>
      </w:pPr>
      <w:r w:rsidRPr="00BC1108">
        <w:rPr>
          <w:rFonts w:ascii="Times New Roman" w:hAnsi="Times New Roman" w:cs="Times New Roman"/>
          <w:sz w:val="24"/>
          <w:szCs w:val="24"/>
        </w:rPr>
        <w:t xml:space="preserve">This equipment is </w:t>
      </w:r>
      <w:r w:rsidR="00184060">
        <w:rPr>
          <w:rFonts w:ascii="Times New Roman" w:hAnsi="Times New Roman" w:cs="Times New Roman"/>
          <w:sz w:val="24"/>
          <w:szCs w:val="24"/>
        </w:rPr>
        <w:t xml:space="preserve">further </w:t>
      </w:r>
      <w:r w:rsidRPr="00BC1108">
        <w:rPr>
          <w:rFonts w:ascii="Times New Roman" w:hAnsi="Times New Roman" w:cs="Times New Roman"/>
          <w:sz w:val="24"/>
          <w:szCs w:val="24"/>
        </w:rPr>
        <w:t>described in the Integrated Management Plan (IMP); “Though crude and non-specific</w:t>
      </w:r>
      <w:r w:rsidR="005E6FFA">
        <w:rPr>
          <w:rFonts w:ascii="Times New Roman" w:hAnsi="Times New Roman" w:cs="Times New Roman"/>
          <w:sz w:val="24"/>
          <w:szCs w:val="24"/>
        </w:rPr>
        <w:t>,</w:t>
      </w:r>
      <w:r w:rsidRPr="00BC1108">
        <w:rPr>
          <w:rFonts w:ascii="Times New Roman" w:hAnsi="Times New Roman" w:cs="Times New Roman"/>
          <w:sz w:val="24"/>
          <w:szCs w:val="24"/>
        </w:rPr>
        <w:t xml:space="preserve"> this methodology is useful in the study of long-term trends.” See IMP at 5-1. There is no further information in the Hecla’s Quality Assurance Protocol Plan about dust monitoring or data quality objectives to be achieved by monitoring. There is no information regarding how the current equipment was “adapted” from the required standard ASTM D1739. Method D1739 does allow for adaptations, but precision and accuracy must be established by comparison to standard equipment. There is no evidence that such a comparison was ever conducted. </w:t>
      </w:r>
      <w:r w:rsidR="005E6FFA">
        <w:rPr>
          <w:rFonts w:ascii="Times New Roman" w:hAnsi="Times New Roman" w:cs="Times New Roman"/>
          <w:sz w:val="24"/>
          <w:szCs w:val="24"/>
        </w:rPr>
        <w:t>There are no significance thresholds defined.</w:t>
      </w:r>
    </w:p>
    <w:p w14:paraId="0CFFAC8B" w14:textId="4F53AADE" w:rsidR="009F0047" w:rsidRDefault="009F0047" w:rsidP="009A17AA">
      <w:pPr>
        <w:spacing w:line="276" w:lineRule="auto"/>
        <w:rPr>
          <w:rFonts w:ascii="Times New Roman" w:hAnsi="Times New Roman" w:cs="Times New Roman"/>
          <w:sz w:val="24"/>
          <w:szCs w:val="24"/>
        </w:rPr>
      </w:pPr>
      <w:r>
        <w:rPr>
          <w:rFonts w:ascii="Times New Roman" w:hAnsi="Times New Roman" w:cs="Times New Roman"/>
          <w:sz w:val="24"/>
          <w:szCs w:val="24"/>
        </w:rPr>
        <w:t xml:space="preserve">The fact that the monitoring program failed to include a filter blank analysis from 2011 to 2019 until they noticed that the filter </w:t>
      </w:r>
      <w:r w:rsidR="005E6FFA">
        <w:rPr>
          <w:rFonts w:ascii="Times New Roman" w:hAnsi="Times New Roman" w:cs="Times New Roman"/>
          <w:sz w:val="24"/>
          <w:szCs w:val="24"/>
        </w:rPr>
        <w:t xml:space="preserve">being </w:t>
      </w:r>
      <w:r>
        <w:rPr>
          <w:rFonts w:ascii="Times New Roman" w:hAnsi="Times New Roman" w:cs="Times New Roman"/>
          <w:sz w:val="24"/>
          <w:szCs w:val="24"/>
        </w:rPr>
        <w:t xml:space="preserve">used </w:t>
      </w:r>
      <w:r w:rsidR="00184060">
        <w:rPr>
          <w:rFonts w:ascii="Times New Roman" w:hAnsi="Times New Roman" w:cs="Times New Roman"/>
          <w:sz w:val="24"/>
          <w:szCs w:val="24"/>
        </w:rPr>
        <w:t xml:space="preserve">was </w:t>
      </w:r>
      <w:r>
        <w:rPr>
          <w:rFonts w:ascii="Times New Roman" w:hAnsi="Times New Roman" w:cs="Times New Roman"/>
          <w:sz w:val="24"/>
          <w:szCs w:val="24"/>
        </w:rPr>
        <w:t xml:space="preserve">contained lead, attests to crude and </w:t>
      </w:r>
      <w:r w:rsidR="00511D19">
        <w:rPr>
          <w:rFonts w:ascii="Times New Roman" w:hAnsi="Times New Roman" w:cs="Times New Roman"/>
          <w:sz w:val="24"/>
          <w:szCs w:val="24"/>
        </w:rPr>
        <w:t xml:space="preserve">non-standard methods of the monitoring program. </w:t>
      </w:r>
      <w:r w:rsidR="00511D19" w:rsidRPr="00511D19">
        <w:rPr>
          <w:rFonts w:ascii="Times New Roman" w:hAnsi="Times New Roman" w:cs="Times New Roman"/>
          <w:i/>
          <w:iCs/>
          <w:sz w:val="24"/>
          <w:szCs w:val="24"/>
        </w:rPr>
        <w:t>See,</w:t>
      </w:r>
      <w:r w:rsidR="00511D19">
        <w:rPr>
          <w:rFonts w:ascii="Times New Roman" w:hAnsi="Times New Roman" w:cs="Times New Roman"/>
          <w:sz w:val="24"/>
          <w:szCs w:val="24"/>
        </w:rPr>
        <w:t xml:space="preserve"> </w:t>
      </w:r>
      <w:r w:rsidR="00511D19" w:rsidRPr="00511D19">
        <w:rPr>
          <w:rFonts w:ascii="Times New Roman" w:hAnsi="Times New Roman" w:cs="Times New Roman"/>
          <w:sz w:val="24"/>
          <w:szCs w:val="24"/>
        </w:rPr>
        <w:t>2022 H1 2022 Biannual Report at 11.</w:t>
      </w:r>
      <w:r w:rsidR="005E6FFA">
        <w:rPr>
          <w:rFonts w:ascii="Times New Roman" w:hAnsi="Times New Roman" w:cs="Times New Roman"/>
          <w:sz w:val="24"/>
          <w:szCs w:val="24"/>
        </w:rPr>
        <w:t xml:space="preserve"> Equipment blank analysis is required under Standard Methods.</w:t>
      </w:r>
    </w:p>
    <w:p w14:paraId="3D33C113" w14:textId="441F72E1" w:rsidR="00544492" w:rsidRDefault="00484247" w:rsidP="009A17AA">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5E6FFA">
        <w:rPr>
          <w:rFonts w:ascii="Times New Roman" w:hAnsi="Times New Roman" w:cs="Times New Roman"/>
          <w:sz w:val="24"/>
          <w:szCs w:val="24"/>
        </w:rPr>
        <w:t xml:space="preserve">2023 </w:t>
      </w:r>
      <w:proofErr w:type="spellStart"/>
      <w:r>
        <w:rPr>
          <w:rFonts w:ascii="Times New Roman" w:hAnsi="Times New Roman" w:cs="Times New Roman"/>
          <w:sz w:val="24"/>
          <w:szCs w:val="24"/>
        </w:rPr>
        <w:t>dSIES</w:t>
      </w:r>
      <w:proofErr w:type="spellEnd"/>
      <w:r>
        <w:rPr>
          <w:rFonts w:ascii="Times New Roman" w:hAnsi="Times New Roman" w:cs="Times New Roman"/>
          <w:sz w:val="24"/>
          <w:szCs w:val="24"/>
        </w:rPr>
        <w:t xml:space="preserve"> fails to remedy th</w:t>
      </w:r>
      <w:r w:rsidR="005E6FFA">
        <w:rPr>
          <w:rFonts w:ascii="Times New Roman" w:hAnsi="Times New Roman" w:cs="Times New Roman"/>
          <w:sz w:val="24"/>
          <w:szCs w:val="24"/>
        </w:rPr>
        <w:t>e</w:t>
      </w:r>
      <w:r>
        <w:rPr>
          <w:rFonts w:ascii="Times New Roman" w:hAnsi="Times New Roman" w:cs="Times New Roman"/>
          <w:sz w:val="24"/>
          <w:szCs w:val="24"/>
        </w:rPr>
        <w:t xml:space="preserve"> lack of accurate monitoring allowing the </w:t>
      </w:r>
      <w:r w:rsidR="005E6FFA">
        <w:rPr>
          <w:rFonts w:ascii="Times New Roman" w:hAnsi="Times New Roman" w:cs="Times New Roman"/>
          <w:sz w:val="24"/>
          <w:szCs w:val="24"/>
        </w:rPr>
        <w:t>m</w:t>
      </w:r>
      <w:r>
        <w:rPr>
          <w:rFonts w:ascii="Times New Roman" w:hAnsi="Times New Roman" w:cs="Times New Roman"/>
          <w:sz w:val="24"/>
          <w:szCs w:val="24"/>
        </w:rPr>
        <w:t xml:space="preserve">ine to continue </w:t>
      </w:r>
      <w:r w:rsidR="005E6FFA">
        <w:rPr>
          <w:rFonts w:ascii="Times New Roman" w:hAnsi="Times New Roman" w:cs="Times New Roman"/>
          <w:sz w:val="24"/>
          <w:szCs w:val="24"/>
        </w:rPr>
        <w:t xml:space="preserve">using </w:t>
      </w:r>
      <w:r w:rsidR="006A01F3" w:rsidRPr="00484247">
        <w:rPr>
          <w:rFonts w:ascii="Times New Roman" w:hAnsi="Times New Roman" w:cs="Times New Roman"/>
          <w:sz w:val="24"/>
          <w:szCs w:val="24"/>
        </w:rPr>
        <w:t xml:space="preserve">existing fugitive dust monitoring </w:t>
      </w:r>
      <w:r w:rsidR="005E6FFA">
        <w:rPr>
          <w:rFonts w:ascii="Times New Roman" w:hAnsi="Times New Roman" w:cs="Times New Roman"/>
          <w:sz w:val="24"/>
          <w:szCs w:val="24"/>
        </w:rPr>
        <w:t>equipment</w:t>
      </w:r>
      <w:r w:rsidR="00184060">
        <w:rPr>
          <w:rFonts w:ascii="Times New Roman" w:hAnsi="Times New Roman" w:cs="Times New Roman"/>
          <w:sz w:val="24"/>
          <w:szCs w:val="24"/>
        </w:rPr>
        <w:t>.</w:t>
      </w:r>
      <w:r w:rsidR="006A01F3" w:rsidRPr="00484247">
        <w:rPr>
          <w:rFonts w:ascii="Times New Roman" w:hAnsi="Times New Roman" w:cs="Times New Roman"/>
          <w:sz w:val="24"/>
          <w:szCs w:val="24"/>
        </w:rPr>
        <w:t xml:space="preserve"> (</w:t>
      </w:r>
      <w:r w:rsidR="00184060">
        <w:rPr>
          <w:rFonts w:ascii="Times New Roman" w:hAnsi="Times New Roman" w:cs="Times New Roman"/>
          <w:sz w:val="24"/>
          <w:szCs w:val="24"/>
        </w:rPr>
        <w:t>S</w:t>
      </w:r>
      <w:r w:rsidR="006A01F3" w:rsidRPr="00B06709">
        <w:rPr>
          <w:rFonts w:ascii="Times New Roman" w:hAnsi="Times New Roman" w:cs="Times New Roman"/>
          <w:i/>
          <w:iCs/>
          <w:sz w:val="24"/>
          <w:szCs w:val="24"/>
        </w:rPr>
        <w:t>ee</w:t>
      </w:r>
      <w:r w:rsidR="00B06709">
        <w:rPr>
          <w:rFonts w:ascii="Times New Roman" w:hAnsi="Times New Roman" w:cs="Times New Roman"/>
          <w:i/>
          <w:iCs/>
          <w:sz w:val="24"/>
          <w:szCs w:val="24"/>
        </w:rPr>
        <w:t>,</w:t>
      </w:r>
      <w:r w:rsidR="006A01F3" w:rsidRPr="00B06709">
        <w:rPr>
          <w:rFonts w:ascii="Times New Roman" w:hAnsi="Times New Roman" w:cs="Times New Roman"/>
          <w:i/>
          <w:iCs/>
          <w:sz w:val="24"/>
          <w:szCs w:val="24"/>
        </w:rPr>
        <w:t xml:space="preserve"> </w:t>
      </w:r>
      <w:r w:rsidR="006A01F3" w:rsidRPr="00484247">
        <w:rPr>
          <w:rFonts w:ascii="Times New Roman" w:hAnsi="Times New Roman" w:cs="Times New Roman"/>
          <w:sz w:val="24"/>
          <w:szCs w:val="24"/>
        </w:rPr>
        <w:t xml:space="preserve">Section 3.2, “Air Quality and Climate”). </w:t>
      </w:r>
    </w:p>
    <w:p w14:paraId="5713A419" w14:textId="1BB06F7E" w:rsidR="00544492" w:rsidRDefault="00544492" w:rsidP="009A17AA">
      <w:pPr>
        <w:autoSpaceDE w:val="0"/>
        <w:autoSpaceDN w:val="0"/>
        <w:adjustRightInd w:val="0"/>
        <w:spacing w:after="0" w:line="276" w:lineRule="auto"/>
        <w:rPr>
          <w:rFonts w:ascii="Times New Roman" w:hAnsi="Times New Roman" w:cs="Times New Roman"/>
          <w:color w:val="000000"/>
          <w:sz w:val="23"/>
          <w:szCs w:val="23"/>
        </w:rPr>
      </w:pPr>
      <w:r w:rsidRPr="00544492">
        <w:rPr>
          <w:rFonts w:ascii="Times New Roman" w:hAnsi="Times New Roman" w:cs="Times New Roman"/>
          <w:color w:val="000000"/>
          <w:sz w:val="23"/>
          <w:szCs w:val="23"/>
        </w:rPr>
        <w:t>The Mitigation Measure</w:t>
      </w:r>
      <w:r>
        <w:rPr>
          <w:rFonts w:ascii="Times New Roman" w:hAnsi="Times New Roman" w:cs="Times New Roman"/>
          <w:color w:val="000000"/>
          <w:sz w:val="23"/>
          <w:szCs w:val="23"/>
        </w:rPr>
        <w:t>,</w:t>
      </w:r>
      <w:r w:rsidRPr="00544492">
        <w:rPr>
          <w:rFonts w:ascii="Times New Roman" w:hAnsi="Times New Roman" w:cs="Times New Roman"/>
          <w:color w:val="000000"/>
          <w:sz w:val="23"/>
          <w:szCs w:val="23"/>
        </w:rPr>
        <w:t xml:space="preserve"> AQ-1</w:t>
      </w:r>
      <w:r>
        <w:rPr>
          <w:rFonts w:ascii="Times New Roman" w:hAnsi="Times New Roman" w:cs="Times New Roman"/>
          <w:color w:val="000000"/>
          <w:sz w:val="23"/>
          <w:szCs w:val="23"/>
        </w:rPr>
        <w:t xml:space="preserve">, describes that the mining company </w:t>
      </w:r>
      <w:r w:rsidRPr="00544492">
        <w:rPr>
          <w:rFonts w:ascii="Times New Roman" w:hAnsi="Times New Roman" w:cs="Times New Roman"/>
          <w:color w:val="000000"/>
          <w:sz w:val="23"/>
          <w:szCs w:val="23"/>
        </w:rPr>
        <w:t xml:space="preserve">will develop a Forest Service-approved fugitive dust mitigation and monitoring plan within 6 months following approval of the final ROD. This plan will identify additional measures and monitor effectiveness to achieve near-zero fugitive dust detection at monitoring sites. Near-zero fugitive dust detection at monitoring sites during a typical dusting season (December through February) would be required prior to proceeding with expansion activities under any of the action alternatives. </w:t>
      </w:r>
      <w:r w:rsidR="00B06709">
        <w:rPr>
          <w:rFonts w:ascii="Times New Roman" w:hAnsi="Times New Roman" w:cs="Times New Roman"/>
          <w:color w:val="000000"/>
          <w:sz w:val="23"/>
          <w:szCs w:val="23"/>
        </w:rPr>
        <w:t xml:space="preserve">‘Near Zero’ is not defined in a threshold sense so offers no delineation between acceptable and unacceptable levels of dust. </w:t>
      </w:r>
      <w:r w:rsidR="00184060">
        <w:rPr>
          <w:rFonts w:ascii="Times New Roman" w:hAnsi="Times New Roman" w:cs="Times New Roman"/>
          <w:color w:val="000000"/>
          <w:sz w:val="23"/>
          <w:szCs w:val="23"/>
        </w:rPr>
        <w:t>100 tons per year is nearer to zero than a million tons.</w:t>
      </w:r>
    </w:p>
    <w:p w14:paraId="5FB9F559" w14:textId="77777777" w:rsidR="007F0357" w:rsidRPr="00544492" w:rsidRDefault="007F0357" w:rsidP="009A17AA">
      <w:pPr>
        <w:autoSpaceDE w:val="0"/>
        <w:autoSpaceDN w:val="0"/>
        <w:adjustRightInd w:val="0"/>
        <w:spacing w:after="0" w:line="276" w:lineRule="auto"/>
        <w:rPr>
          <w:rFonts w:ascii="Times New Roman" w:hAnsi="Times New Roman" w:cs="Times New Roman"/>
          <w:color w:val="000000"/>
          <w:sz w:val="23"/>
          <w:szCs w:val="23"/>
        </w:rPr>
      </w:pPr>
    </w:p>
    <w:p w14:paraId="7DDB4B01" w14:textId="7C0636B6" w:rsidR="00544492" w:rsidRPr="00544492" w:rsidRDefault="00544492" w:rsidP="009A17AA">
      <w:pPr>
        <w:spacing w:line="276" w:lineRule="auto"/>
        <w:rPr>
          <w:rFonts w:ascii="Times New Roman" w:hAnsi="Times New Roman" w:cs="Times New Roman"/>
          <w:color w:val="000000"/>
          <w:sz w:val="24"/>
          <w:szCs w:val="24"/>
        </w:rPr>
      </w:pPr>
      <w:r w:rsidRPr="00544492">
        <w:rPr>
          <w:rFonts w:ascii="Times New Roman" w:hAnsi="Times New Roman" w:cs="Times New Roman"/>
          <w:color w:val="000000"/>
          <w:sz w:val="23"/>
          <w:szCs w:val="23"/>
        </w:rPr>
        <w:t>The fugitive dust mitigation and monitoring plan will include but not be limited to the following:</w:t>
      </w:r>
    </w:p>
    <w:p w14:paraId="60D95AED" w14:textId="77777777" w:rsidR="00544492" w:rsidRPr="007F0357" w:rsidRDefault="00544492" w:rsidP="009A17AA">
      <w:pPr>
        <w:pStyle w:val="ListParagraph"/>
        <w:numPr>
          <w:ilvl w:val="0"/>
          <w:numId w:val="8"/>
        </w:numPr>
        <w:autoSpaceDE w:val="0"/>
        <w:autoSpaceDN w:val="0"/>
        <w:adjustRightInd w:val="0"/>
        <w:spacing w:after="44" w:line="276" w:lineRule="auto"/>
        <w:rPr>
          <w:rFonts w:ascii="Times New Roman" w:hAnsi="Times New Roman" w:cs="Times New Roman"/>
          <w:color w:val="000000"/>
          <w:sz w:val="23"/>
          <w:szCs w:val="23"/>
        </w:rPr>
      </w:pPr>
      <w:r w:rsidRPr="007F0357">
        <w:rPr>
          <w:rFonts w:ascii="Times New Roman" w:hAnsi="Times New Roman" w:cs="Times New Roman"/>
          <w:color w:val="000000"/>
          <w:sz w:val="23"/>
          <w:szCs w:val="23"/>
        </w:rPr>
        <w:t xml:space="preserve">Additional deposition and lichen monitoring sampling sites located to reflect areas of potential maximum deposition including sites extending to a distance of at least 2 miles from the TDF. Based on the current modeling described above, sampling sites will be located within the Cannery, Tributary Green, and Zinc Creek watersheds (all alternatives, including the no-action alternative) and the Fowler Creek watershed (proposed alternative and alternatives C and D). </w:t>
      </w:r>
    </w:p>
    <w:p w14:paraId="0D820FCA" w14:textId="7F13C18A" w:rsidR="00544492" w:rsidRPr="007F0357" w:rsidRDefault="00544492" w:rsidP="009A17AA">
      <w:pPr>
        <w:pStyle w:val="ListParagraph"/>
        <w:numPr>
          <w:ilvl w:val="1"/>
          <w:numId w:val="8"/>
        </w:numPr>
        <w:autoSpaceDE w:val="0"/>
        <w:autoSpaceDN w:val="0"/>
        <w:adjustRightInd w:val="0"/>
        <w:spacing w:after="44" w:line="276" w:lineRule="auto"/>
        <w:ind w:left="720"/>
        <w:rPr>
          <w:rFonts w:ascii="Times New Roman" w:hAnsi="Times New Roman" w:cs="Times New Roman"/>
          <w:color w:val="000000"/>
          <w:sz w:val="23"/>
          <w:szCs w:val="23"/>
        </w:rPr>
      </w:pPr>
      <w:r w:rsidRPr="007F0357">
        <w:rPr>
          <w:rFonts w:ascii="Times New Roman" w:hAnsi="Times New Roman" w:cs="Times New Roman"/>
          <w:color w:val="000000"/>
          <w:sz w:val="23"/>
          <w:szCs w:val="23"/>
        </w:rPr>
        <w:t xml:space="preserve">Atmospheric Deposition Containers should be deployed and samples collected weekly for sites adjacent to the TDF; monthly sampling will occur for sites at extended distances. </w:t>
      </w:r>
    </w:p>
    <w:p w14:paraId="51A47C1E" w14:textId="5E2B2225" w:rsidR="00544492" w:rsidRDefault="00544492" w:rsidP="009A17AA">
      <w:pPr>
        <w:pStyle w:val="ListParagraph"/>
        <w:numPr>
          <w:ilvl w:val="1"/>
          <w:numId w:val="8"/>
        </w:numPr>
        <w:autoSpaceDE w:val="0"/>
        <w:autoSpaceDN w:val="0"/>
        <w:adjustRightInd w:val="0"/>
        <w:spacing w:after="0" w:line="276" w:lineRule="auto"/>
        <w:ind w:left="720"/>
        <w:rPr>
          <w:rFonts w:ascii="Times New Roman" w:hAnsi="Times New Roman" w:cs="Times New Roman"/>
          <w:color w:val="000000"/>
          <w:sz w:val="23"/>
          <w:szCs w:val="23"/>
        </w:rPr>
      </w:pPr>
      <w:r w:rsidRPr="007F0357">
        <w:rPr>
          <w:rFonts w:ascii="Times New Roman" w:hAnsi="Times New Roman" w:cs="Times New Roman"/>
          <w:color w:val="000000"/>
          <w:sz w:val="23"/>
          <w:szCs w:val="23"/>
        </w:rPr>
        <w:lastRenderedPageBreak/>
        <w:t xml:space="preserve">Refinement of deposition monitoring sampling methodology, as necessary, to ensure that total mass loadings and metals content are quantified accurately. This should include information on particle size distribution. </w:t>
      </w:r>
      <w:r w:rsidRPr="007F0357">
        <w:rPr>
          <w:rFonts w:ascii="Times New Roman" w:hAnsi="Times New Roman" w:cs="Times New Roman"/>
          <w:i/>
          <w:iCs/>
          <w:color w:val="000000"/>
          <w:sz w:val="23"/>
          <w:szCs w:val="23"/>
        </w:rPr>
        <w:t>See,</w:t>
      </w:r>
      <w:r w:rsidRPr="007F0357">
        <w:rPr>
          <w:rFonts w:ascii="Times New Roman" w:hAnsi="Times New Roman" w:cs="Times New Roman"/>
          <w:color w:val="000000"/>
          <w:sz w:val="23"/>
          <w:szCs w:val="23"/>
        </w:rPr>
        <w:t xml:space="preserve"> </w:t>
      </w:r>
      <w:r w:rsidR="00184060">
        <w:rPr>
          <w:rFonts w:ascii="Times New Roman" w:hAnsi="Times New Roman" w:cs="Times New Roman"/>
          <w:color w:val="000000"/>
          <w:sz w:val="23"/>
          <w:szCs w:val="23"/>
        </w:rPr>
        <w:t xml:space="preserve">2023 </w:t>
      </w:r>
      <w:proofErr w:type="spellStart"/>
      <w:r w:rsidRPr="007F0357">
        <w:rPr>
          <w:rFonts w:ascii="Times New Roman" w:hAnsi="Times New Roman" w:cs="Times New Roman"/>
          <w:color w:val="000000"/>
          <w:sz w:val="23"/>
          <w:szCs w:val="23"/>
        </w:rPr>
        <w:t>dSEIS</w:t>
      </w:r>
      <w:proofErr w:type="spellEnd"/>
      <w:r w:rsidRPr="007F0357">
        <w:rPr>
          <w:rFonts w:ascii="Times New Roman" w:hAnsi="Times New Roman" w:cs="Times New Roman"/>
          <w:color w:val="000000"/>
          <w:sz w:val="23"/>
          <w:szCs w:val="23"/>
        </w:rPr>
        <w:t xml:space="preserve"> at 3-38-39.</w:t>
      </w:r>
    </w:p>
    <w:p w14:paraId="78E37FE6" w14:textId="77777777" w:rsidR="007F0357" w:rsidRDefault="007F0357" w:rsidP="009A17AA">
      <w:pPr>
        <w:autoSpaceDE w:val="0"/>
        <w:autoSpaceDN w:val="0"/>
        <w:adjustRightInd w:val="0"/>
        <w:spacing w:after="0" w:line="276" w:lineRule="auto"/>
        <w:rPr>
          <w:rFonts w:ascii="Times New Roman" w:hAnsi="Times New Roman" w:cs="Times New Roman"/>
          <w:color w:val="000000"/>
          <w:sz w:val="23"/>
          <w:szCs w:val="23"/>
        </w:rPr>
      </w:pPr>
    </w:p>
    <w:p w14:paraId="7DB14E59" w14:textId="40534123" w:rsidR="007F0357" w:rsidRDefault="007F0357" w:rsidP="009A17AA">
      <w:pPr>
        <w:autoSpaceDE w:val="0"/>
        <w:autoSpaceDN w:val="0"/>
        <w:adjustRightInd w:val="0"/>
        <w:spacing w:after="0" w:line="276"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Although this reviewer is encouraged by the increased monitoring, we question how the effectiveness will be measured </w:t>
      </w:r>
      <w:r w:rsidR="00184060">
        <w:rPr>
          <w:rFonts w:ascii="Times New Roman" w:hAnsi="Times New Roman" w:cs="Times New Roman"/>
          <w:color w:val="000000"/>
          <w:sz w:val="23"/>
          <w:szCs w:val="23"/>
        </w:rPr>
        <w:t xml:space="preserve">with </w:t>
      </w:r>
      <w:r>
        <w:rPr>
          <w:rFonts w:ascii="Times New Roman" w:hAnsi="Times New Roman" w:cs="Times New Roman"/>
          <w:color w:val="000000"/>
          <w:sz w:val="23"/>
          <w:szCs w:val="23"/>
        </w:rPr>
        <w:t>the “crude and non-specific</w:t>
      </w:r>
      <w:r w:rsidR="00175F85">
        <w:rPr>
          <w:rFonts w:ascii="Times New Roman" w:hAnsi="Times New Roman" w:cs="Times New Roman"/>
          <w:color w:val="000000"/>
          <w:sz w:val="23"/>
          <w:szCs w:val="23"/>
        </w:rPr>
        <w:t>’ data collection that currently operate</w:t>
      </w:r>
      <w:r w:rsidR="00B06709">
        <w:rPr>
          <w:rFonts w:ascii="Times New Roman" w:hAnsi="Times New Roman" w:cs="Times New Roman"/>
          <w:color w:val="000000"/>
          <w:sz w:val="23"/>
          <w:szCs w:val="23"/>
        </w:rPr>
        <w:t>s</w:t>
      </w:r>
      <w:r w:rsidR="00175F85">
        <w:rPr>
          <w:rFonts w:ascii="Times New Roman" w:hAnsi="Times New Roman" w:cs="Times New Roman"/>
          <w:color w:val="000000"/>
          <w:sz w:val="23"/>
          <w:szCs w:val="23"/>
        </w:rPr>
        <w:t>.  We also notice that the requirement to use compliant monitor equipment is still missing. In addition, although the plan has a life-time equal to the expected life of the expansion, 1</w:t>
      </w:r>
      <w:r w:rsidR="00A93B56">
        <w:rPr>
          <w:rFonts w:ascii="Times New Roman" w:hAnsi="Times New Roman" w:cs="Times New Roman"/>
          <w:color w:val="000000"/>
          <w:sz w:val="23"/>
          <w:szCs w:val="23"/>
        </w:rPr>
        <w:t>2-18</w:t>
      </w:r>
      <w:r w:rsidR="00175F85">
        <w:rPr>
          <w:rFonts w:ascii="Times New Roman" w:hAnsi="Times New Roman" w:cs="Times New Roman"/>
          <w:color w:val="000000"/>
          <w:sz w:val="23"/>
          <w:szCs w:val="23"/>
        </w:rPr>
        <w:t xml:space="preserve"> years for the preferred Alternative</w:t>
      </w:r>
      <w:r w:rsidR="00184060">
        <w:rPr>
          <w:rFonts w:ascii="Times New Roman" w:hAnsi="Times New Roman" w:cs="Times New Roman"/>
          <w:color w:val="000000"/>
          <w:sz w:val="23"/>
          <w:szCs w:val="23"/>
        </w:rPr>
        <w:t xml:space="preserve"> B</w:t>
      </w:r>
      <w:r w:rsidR="00175F85">
        <w:rPr>
          <w:rFonts w:ascii="Times New Roman" w:hAnsi="Times New Roman" w:cs="Times New Roman"/>
          <w:color w:val="000000"/>
          <w:sz w:val="23"/>
          <w:szCs w:val="23"/>
        </w:rPr>
        <w:t xml:space="preserve">, there are no </w:t>
      </w:r>
      <w:r w:rsidR="00184060">
        <w:rPr>
          <w:rFonts w:ascii="Times New Roman" w:hAnsi="Times New Roman" w:cs="Times New Roman"/>
          <w:color w:val="000000"/>
          <w:sz w:val="23"/>
          <w:szCs w:val="23"/>
        </w:rPr>
        <w:t xml:space="preserve">regulatory </w:t>
      </w:r>
      <w:r w:rsidR="00175F85">
        <w:rPr>
          <w:rFonts w:ascii="Times New Roman" w:hAnsi="Times New Roman" w:cs="Times New Roman"/>
          <w:color w:val="000000"/>
          <w:sz w:val="23"/>
          <w:szCs w:val="23"/>
        </w:rPr>
        <w:t>thresholds or enforcement described beyond the undefined “near zero</w:t>
      </w:r>
      <w:r w:rsidR="00B06709">
        <w:rPr>
          <w:rFonts w:ascii="Times New Roman" w:hAnsi="Times New Roman" w:cs="Times New Roman"/>
          <w:color w:val="000000"/>
          <w:sz w:val="23"/>
          <w:szCs w:val="23"/>
        </w:rPr>
        <w:t>”</w:t>
      </w:r>
      <w:r w:rsidR="00175F85">
        <w:rPr>
          <w:rFonts w:ascii="Times New Roman" w:hAnsi="Times New Roman" w:cs="Times New Roman"/>
          <w:color w:val="000000"/>
          <w:sz w:val="23"/>
          <w:szCs w:val="23"/>
        </w:rPr>
        <w:t xml:space="preserve"> detection.</w:t>
      </w:r>
    </w:p>
    <w:p w14:paraId="1991DCF0" w14:textId="77777777" w:rsidR="00175F85" w:rsidRDefault="00175F85" w:rsidP="009A17AA">
      <w:pPr>
        <w:autoSpaceDE w:val="0"/>
        <w:autoSpaceDN w:val="0"/>
        <w:adjustRightInd w:val="0"/>
        <w:spacing w:after="0" w:line="276" w:lineRule="auto"/>
        <w:rPr>
          <w:rFonts w:ascii="Times New Roman" w:hAnsi="Times New Roman" w:cs="Times New Roman"/>
          <w:color w:val="000000"/>
          <w:sz w:val="23"/>
          <w:szCs w:val="23"/>
        </w:rPr>
      </w:pPr>
    </w:p>
    <w:p w14:paraId="1EFB8729" w14:textId="2067CA16" w:rsidR="00175F85" w:rsidRDefault="00175F85" w:rsidP="009A17AA">
      <w:pPr>
        <w:autoSpaceDE w:val="0"/>
        <w:autoSpaceDN w:val="0"/>
        <w:adjustRightInd w:val="0"/>
        <w:spacing w:after="0" w:line="276"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We recommend that that </w:t>
      </w:r>
      <w:r w:rsidRPr="00544492">
        <w:rPr>
          <w:rFonts w:ascii="Times New Roman" w:hAnsi="Times New Roman" w:cs="Times New Roman"/>
          <w:color w:val="000000"/>
          <w:sz w:val="23"/>
          <w:szCs w:val="23"/>
        </w:rPr>
        <w:t>Mitigation Measure AQ-1</w:t>
      </w:r>
      <w:r>
        <w:rPr>
          <w:rFonts w:ascii="Times New Roman" w:hAnsi="Times New Roman" w:cs="Times New Roman"/>
          <w:color w:val="000000"/>
          <w:sz w:val="23"/>
          <w:szCs w:val="23"/>
        </w:rPr>
        <w:t xml:space="preserve">be implemented now and </w:t>
      </w:r>
      <w:r w:rsidR="00184060">
        <w:rPr>
          <w:rFonts w:ascii="Times New Roman" w:hAnsi="Times New Roman" w:cs="Times New Roman"/>
          <w:color w:val="000000"/>
          <w:sz w:val="23"/>
          <w:szCs w:val="23"/>
        </w:rPr>
        <w:t xml:space="preserve">for a year </w:t>
      </w:r>
      <w:r>
        <w:rPr>
          <w:rFonts w:ascii="Times New Roman" w:hAnsi="Times New Roman" w:cs="Times New Roman"/>
          <w:color w:val="000000"/>
          <w:sz w:val="23"/>
          <w:szCs w:val="23"/>
        </w:rPr>
        <w:t xml:space="preserve">prior to a decision. It is the only way for the mine proponent to show these results are achievable and effectiveness proven.   </w:t>
      </w:r>
      <w:r w:rsidR="00B06709">
        <w:rPr>
          <w:rFonts w:ascii="Times New Roman" w:hAnsi="Times New Roman" w:cs="Times New Roman"/>
          <w:color w:val="000000"/>
          <w:sz w:val="23"/>
          <w:szCs w:val="23"/>
        </w:rPr>
        <w:t xml:space="preserve">Significance thresholds must be determined and become compliance requirements. </w:t>
      </w:r>
      <w:r>
        <w:rPr>
          <w:rFonts w:ascii="Times New Roman" w:hAnsi="Times New Roman" w:cs="Times New Roman"/>
          <w:color w:val="000000"/>
          <w:sz w:val="23"/>
          <w:szCs w:val="23"/>
        </w:rPr>
        <w:t>Once a decision is made, the Forest Service is locked into the performance of the mitigation measures for the duration of the li</w:t>
      </w:r>
      <w:r w:rsidR="00184060">
        <w:rPr>
          <w:rFonts w:ascii="Times New Roman" w:hAnsi="Times New Roman" w:cs="Times New Roman"/>
          <w:color w:val="000000"/>
          <w:sz w:val="23"/>
          <w:szCs w:val="23"/>
        </w:rPr>
        <w:t>f</w:t>
      </w:r>
      <w:r>
        <w:rPr>
          <w:rFonts w:ascii="Times New Roman" w:hAnsi="Times New Roman" w:cs="Times New Roman"/>
          <w:color w:val="000000"/>
          <w:sz w:val="23"/>
          <w:szCs w:val="23"/>
        </w:rPr>
        <w:t>e of mines with no regulatory recourse.  This is the only way the Forest Service can begin to comply with ANICLA.</w:t>
      </w:r>
    </w:p>
    <w:p w14:paraId="408456A3" w14:textId="77777777" w:rsidR="00175F85" w:rsidRDefault="00175F85" w:rsidP="009A17AA">
      <w:pPr>
        <w:autoSpaceDE w:val="0"/>
        <w:autoSpaceDN w:val="0"/>
        <w:adjustRightInd w:val="0"/>
        <w:spacing w:after="0" w:line="276" w:lineRule="auto"/>
        <w:rPr>
          <w:rFonts w:ascii="Times New Roman" w:hAnsi="Times New Roman" w:cs="Times New Roman"/>
          <w:color w:val="000000"/>
          <w:sz w:val="23"/>
          <w:szCs w:val="23"/>
        </w:rPr>
      </w:pPr>
    </w:p>
    <w:p w14:paraId="377439D4" w14:textId="37D7F9B0" w:rsidR="00175F85" w:rsidRDefault="00511D19" w:rsidP="009A17AA">
      <w:pPr>
        <w:spacing w:line="276" w:lineRule="auto"/>
        <w:rPr>
          <w:rFonts w:ascii="Times New Roman" w:hAnsi="Times New Roman" w:cs="Times New Roman"/>
          <w:sz w:val="24"/>
          <w:szCs w:val="24"/>
        </w:rPr>
      </w:pPr>
      <w:r w:rsidRPr="00511D19">
        <w:rPr>
          <w:rFonts w:ascii="Times New Roman" w:hAnsi="Times New Roman" w:cs="Times New Roman"/>
          <w:sz w:val="24"/>
          <w:szCs w:val="24"/>
        </w:rPr>
        <w:t xml:space="preserve">Fugitive dust has now polluted </w:t>
      </w:r>
      <w:r w:rsidR="00BC1108" w:rsidRPr="00511D19">
        <w:rPr>
          <w:rFonts w:ascii="Times New Roman" w:hAnsi="Times New Roman" w:cs="Times New Roman"/>
          <w:sz w:val="24"/>
          <w:szCs w:val="24"/>
        </w:rPr>
        <w:t>Tributary Creek</w:t>
      </w:r>
      <w:r w:rsidRPr="00511D19">
        <w:rPr>
          <w:rFonts w:ascii="Times New Roman" w:hAnsi="Times New Roman" w:cs="Times New Roman"/>
          <w:sz w:val="24"/>
          <w:szCs w:val="24"/>
        </w:rPr>
        <w:t xml:space="preserve">, an anadromous stream south of the TDF. </w:t>
      </w:r>
      <w:r w:rsidR="006A01F3" w:rsidRPr="00511D19">
        <w:rPr>
          <w:rFonts w:ascii="Times New Roman" w:hAnsi="Times New Roman" w:cs="Times New Roman"/>
          <w:sz w:val="24"/>
          <w:szCs w:val="24"/>
        </w:rPr>
        <w:t xml:space="preserve"> Tributary Creek has been designated </w:t>
      </w:r>
      <w:r w:rsidR="00184060">
        <w:rPr>
          <w:rFonts w:ascii="Times New Roman" w:hAnsi="Times New Roman" w:cs="Times New Roman"/>
          <w:sz w:val="24"/>
          <w:szCs w:val="24"/>
        </w:rPr>
        <w:t xml:space="preserve">(downgraded to) </w:t>
      </w:r>
      <w:r w:rsidR="006A01F3" w:rsidRPr="00511D19">
        <w:rPr>
          <w:rFonts w:ascii="Times New Roman" w:hAnsi="Times New Roman" w:cs="Times New Roman"/>
          <w:sz w:val="24"/>
          <w:szCs w:val="24"/>
        </w:rPr>
        <w:t>a category 4b waterbody due to continued high levels of lead found during annual water quality monitoring</w:t>
      </w:r>
      <w:r w:rsidR="00A97275">
        <w:rPr>
          <w:rFonts w:ascii="Times New Roman" w:hAnsi="Times New Roman" w:cs="Times New Roman"/>
          <w:sz w:val="24"/>
          <w:szCs w:val="24"/>
        </w:rPr>
        <w:t xml:space="preserve">. </w:t>
      </w:r>
      <w:r>
        <w:rPr>
          <w:rFonts w:ascii="Times New Roman" w:hAnsi="Times New Roman" w:cs="Times New Roman"/>
          <w:sz w:val="24"/>
          <w:szCs w:val="24"/>
        </w:rPr>
        <w:t>It is notable that the only reason impacts to fugitive dust was noticed</w:t>
      </w:r>
      <w:r w:rsidR="00B06709">
        <w:rPr>
          <w:rFonts w:ascii="Times New Roman" w:hAnsi="Times New Roman" w:cs="Times New Roman"/>
          <w:sz w:val="24"/>
          <w:szCs w:val="24"/>
        </w:rPr>
        <w:t xml:space="preserve"> at Tributary Creek</w:t>
      </w:r>
      <w:r>
        <w:rPr>
          <w:rFonts w:ascii="Times New Roman" w:hAnsi="Times New Roman" w:cs="Times New Roman"/>
          <w:sz w:val="24"/>
          <w:szCs w:val="24"/>
        </w:rPr>
        <w:t>, was that this was a</w:t>
      </w:r>
      <w:r w:rsidR="00B06709">
        <w:rPr>
          <w:rFonts w:ascii="Times New Roman" w:hAnsi="Times New Roman" w:cs="Times New Roman"/>
          <w:sz w:val="24"/>
          <w:szCs w:val="24"/>
        </w:rPr>
        <w:t xml:space="preserve">n established </w:t>
      </w:r>
      <w:r>
        <w:rPr>
          <w:rFonts w:ascii="Times New Roman" w:hAnsi="Times New Roman" w:cs="Times New Roman"/>
          <w:sz w:val="24"/>
          <w:szCs w:val="24"/>
        </w:rPr>
        <w:t xml:space="preserve">fresh water monitoring station.  </w:t>
      </w:r>
      <w:r w:rsidR="00175F85">
        <w:rPr>
          <w:rFonts w:ascii="Times New Roman" w:hAnsi="Times New Roman" w:cs="Times New Roman"/>
          <w:sz w:val="24"/>
          <w:szCs w:val="24"/>
        </w:rPr>
        <w:t xml:space="preserve">Until an expanded testing program is implemented, the Forest Service has no data on </w:t>
      </w:r>
      <w:r w:rsidR="00A97275">
        <w:rPr>
          <w:rFonts w:ascii="Times New Roman" w:hAnsi="Times New Roman" w:cs="Times New Roman"/>
          <w:sz w:val="24"/>
          <w:szCs w:val="24"/>
        </w:rPr>
        <w:t xml:space="preserve">what </w:t>
      </w:r>
      <w:r w:rsidR="00175F85">
        <w:rPr>
          <w:rFonts w:ascii="Times New Roman" w:hAnsi="Times New Roman" w:cs="Times New Roman"/>
          <w:sz w:val="24"/>
          <w:szCs w:val="24"/>
        </w:rPr>
        <w:t xml:space="preserve">other lands and waters within the Monument may be </w:t>
      </w:r>
      <w:r w:rsidR="000F42E8">
        <w:rPr>
          <w:rFonts w:ascii="Times New Roman" w:hAnsi="Times New Roman" w:cs="Times New Roman"/>
          <w:sz w:val="24"/>
          <w:szCs w:val="24"/>
        </w:rPr>
        <w:t>affected</w:t>
      </w:r>
      <w:r w:rsidR="00B06709">
        <w:rPr>
          <w:rFonts w:ascii="Times New Roman" w:hAnsi="Times New Roman" w:cs="Times New Roman"/>
          <w:sz w:val="24"/>
          <w:szCs w:val="24"/>
        </w:rPr>
        <w:t xml:space="preserve"> by fugitive dust</w:t>
      </w:r>
      <w:r w:rsidR="00175F85">
        <w:rPr>
          <w:rFonts w:ascii="Times New Roman" w:hAnsi="Times New Roman" w:cs="Times New Roman"/>
          <w:sz w:val="24"/>
          <w:szCs w:val="24"/>
        </w:rPr>
        <w:t>.</w:t>
      </w:r>
      <w:r w:rsidR="00B06709">
        <w:rPr>
          <w:rFonts w:ascii="Times New Roman" w:hAnsi="Times New Roman" w:cs="Times New Roman"/>
          <w:sz w:val="24"/>
          <w:szCs w:val="24"/>
        </w:rPr>
        <w:t xml:space="preserve">  This means that the conditions described in the No-Action Alternative are incomplete.</w:t>
      </w:r>
    </w:p>
    <w:p w14:paraId="0A11E52F" w14:textId="245BFE7E" w:rsidR="000F42E8" w:rsidRDefault="000F42E8" w:rsidP="009A17AA">
      <w:pPr>
        <w:spacing w:line="276" w:lineRule="auto"/>
        <w:rPr>
          <w:rFonts w:ascii="Times New Roman" w:hAnsi="Times New Roman" w:cs="Times New Roman"/>
          <w:sz w:val="23"/>
          <w:szCs w:val="23"/>
        </w:rPr>
      </w:pPr>
      <w:r>
        <w:rPr>
          <w:rFonts w:ascii="Times New Roman" w:hAnsi="Times New Roman" w:cs="Times New Roman"/>
          <w:sz w:val="24"/>
          <w:szCs w:val="24"/>
        </w:rPr>
        <w:t xml:space="preserve">In addition, fugitive dust must be considered a non-point source of pollution in Hawk Inlet and regulated. </w:t>
      </w:r>
      <w:r>
        <w:rPr>
          <w:rFonts w:ascii="Times New Roman" w:hAnsi="Times New Roman" w:cs="Times New Roman"/>
          <w:sz w:val="23"/>
          <w:szCs w:val="23"/>
        </w:rPr>
        <w:t xml:space="preserve">As discussed in Section 3.2.2.1, “Fugitive Dust Modeling,” and under “Fugitive Dust” in Section 3.5.2.2, “Alternative A – No-Action Alternative,” fugitive dust monitoring has determined that fugitive dust has resulted in deposition of metals, including lead, at varying distances and directions from the TDF including Hawk Inlet.  These metals accumulate in water, sediments and biota. Accumulation of these metals in tissue over time may result in harmful impacts on fish, affecting normal biological function.  </w:t>
      </w:r>
      <w:r w:rsidR="00B06709">
        <w:rPr>
          <w:rFonts w:ascii="Times New Roman" w:hAnsi="Times New Roman" w:cs="Times New Roman"/>
          <w:sz w:val="23"/>
          <w:szCs w:val="23"/>
        </w:rPr>
        <w:t>Fugitive dust must be considered as a discharge into Hawk Inlet.</w:t>
      </w:r>
    </w:p>
    <w:p w14:paraId="5BE08A21" w14:textId="7EC4D448" w:rsidR="00A97275" w:rsidRDefault="00A97275" w:rsidP="009A17AA">
      <w:pPr>
        <w:spacing w:line="276" w:lineRule="auto"/>
        <w:rPr>
          <w:rFonts w:ascii="Times New Roman" w:hAnsi="Times New Roman" w:cs="Times New Roman"/>
          <w:sz w:val="23"/>
          <w:szCs w:val="23"/>
        </w:rPr>
      </w:pPr>
      <w:r>
        <w:rPr>
          <w:rFonts w:ascii="Times New Roman" w:hAnsi="Times New Roman" w:cs="Times New Roman"/>
          <w:sz w:val="23"/>
          <w:szCs w:val="23"/>
        </w:rPr>
        <w:t xml:space="preserve">The idea that fugitive dust deposition in Hawk Inlet must be minimal because lead does not show up in the marine water monitoring is ludicrous because lead in fugitive dust would be in the form of total metals and the marine water is only tested for the dissolved fraction.  </w:t>
      </w:r>
      <w:r w:rsidRPr="00A97275">
        <w:rPr>
          <w:rFonts w:ascii="Times New Roman" w:hAnsi="Times New Roman" w:cs="Times New Roman"/>
          <w:i/>
          <w:iCs/>
          <w:sz w:val="23"/>
          <w:szCs w:val="23"/>
        </w:rPr>
        <w:t>See</w:t>
      </w:r>
      <w:r>
        <w:rPr>
          <w:rFonts w:ascii="Times New Roman" w:hAnsi="Times New Roman" w:cs="Times New Roman"/>
          <w:sz w:val="23"/>
          <w:szCs w:val="23"/>
        </w:rPr>
        <w:t>, Sectional comments below.</w:t>
      </w:r>
    </w:p>
    <w:p w14:paraId="41420CAA" w14:textId="12B11940" w:rsidR="000F42E8" w:rsidRDefault="000F42E8" w:rsidP="009A17AA">
      <w:pPr>
        <w:spacing w:line="276" w:lineRule="auto"/>
        <w:rPr>
          <w:rFonts w:ascii="Times New Roman" w:hAnsi="Times New Roman" w:cs="Times New Roman"/>
          <w:sz w:val="24"/>
          <w:szCs w:val="24"/>
        </w:rPr>
      </w:pPr>
      <w:r>
        <w:rPr>
          <w:rFonts w:ascii="Times New Roman" w:hAnsi="Times New Roman" w:cs="Times New Roman"/>
          <w:sz w:val="23"/>
          <w:szCs w:val="23"/>
        </w:rPr>
        <w:t xml:space="preserve">We recommend analysis of heavy metal concentrations be required under the APDES permit for the </w:t>
      </w:r>
      <w:r w:rsidR="00A97275">
        <w:rPr>
          <w:rFonts w:ascii="Times New Roman" w:hAnsi="Times New Roman" w:cs="Times New Roman"/>
          <w:sz w:val="23"/>
          <w:szCs w:val="23"/>
        </w:rPr>
        <w:t xml:space="preserve">all the </w:t>
      </w:r>
      <w:r>
        <w:rPr>
          <w:rFonts w:ascii="Times New Roman" w:hAnsi="Times New Roman" w:cs="Times New Roman"/>
          <w:sz w:val="23"/>
          <w:szCs w:val="23"/>
        </w:rPr>
        <w:t xml:space="preserve">species described under Essential Fish Habitat in Hawk Inlet. </w:t>
      </w:r>
    </w:p>
    <w:p w14:paraId="79214ABF" w14:textId="77777777" w:rsidR="00175F85" w:rsidRDefault="00175F85" w:rsidP="009A17AA">
      <w:pPr>
        <w:spacing w:line="276" w:lineRule="auto"/>
        <w:rPr>
          <w:rFonts w:ascii="Times New Roman" w:hAnsi="Times New Roman" w:cs="Times New Roman"/>
          <w:sz w:val="24"/>
          <w:szCs w:val="24"/>
        </w:rPr>
      </w:pPr>
    </w:p>
    <w:p w14:paraId="4A17CC46" w14:textId="58221FE4" w:rsidR="00413191" w:rsidRPr="00D14527" w:rsidRDefault="00413191" w:rsidP="00D14527">
      <w:pPr>
        <w:pStyle w:val="ListParagraph"/>
        <w:numPr>
          <w:ilvl w:val="0"/>
          <w:numId w:val="2"/>
        </w:numPr>
        <w:spacing w:line="276" w:lineRule="auto"/>
        <w:rPr>
          <w:rFonts w:ascii="Times New Roman" w:hAnsi="Times New Roman" w:cs="Times New Roman"/>
          <w:b/>
          <w:bCs/>
          <w:sz w:val="24"/>
          <w:szCs w:val="24"/>
        </w:rPr>
      </w:pPr>
      <w:r w:rsidRPr="00D14527">
        <w:rPr>
          <w:rFonts w:ascii="Times New Roman" w:hAnsi="Times New Roman" w:cs="Times New Roman"/>
          <w:b/>
          <w:bCs/>
          <w:sz w:val="24"/>
          <w:szCs w:val="24"/>
        </w:rPr>
        <w:lastRenderedPageBreak/>
        <w:t xml:space="preserve">The TDF should be categorized as Major Source of Pollutants and </w:t>
      </w:r>
      <w:r w:rsidR="00C93F92" w:rsidRPr="00D14527">
        <w:rPr>
          <w:rFonts w:ascii="Times New Roman" w:hAnsi="Times New Roman" w:cs="Times New Roman"/>
          <w:b/>
          <w:bCs/>
          <w:sz w:val="24"/>
          <w:szCs w:val="24"/>
        </w:rPr>
        <w:t>R</w:t>
      </w:r>
      <w:r w:rsidRPr="00D14527">
        <w:rPr>
          <w:rFonts w:ascii="Times New Roman" w:hAnsi="Times New Roman" w:cs="Times New Roman"/>
          <w:b/>
          <w:bCs/>
          <w:sz w:val="24"/>
          <w:szCs w:val="24"/>
        </w:rPr>
        <w:t>egulated under 40 CFR Parts 51 and 52</w:t>
      </w:r>
      <w:r w:rsidR="00C93F92" w:rsidRPr="00D14527">
        <w:rPr>
          <w:rFonts w:ascii="Times New Roman" w:hAnsi="Times New Roman" w:cs="Times New Roman"/>
          <w:b/>
          <w:bCs/>
          <w:sz w:val="24"/>
          <w:szCs w:val="24"/>
        </w:rPr>
        <w:t>.</w:t>
      </w:r>
      <w:r w:rsidR="00C93F92" w:rsidRPr="00D14527">
        <w:rPr>
          <w:rStyle w:val="FootnoteReference"/>
          <w:rFonts w:ascii="Times New Roman" w:hAnsi="Times New Roman" w:cs="Times New Roman"/>
          <w:b/>
          <w:bCs/>
          <w:sz w:val="24"/>
          <w:szCs w:val="24"/>
        </w:rPr>
        <w:footnoteReference w:id="29"/>
      </w:r>
    </w:p>
    <w:p w14:paraId="1CF2F228" w14:textId="09590F7B" w:rsidR="004F606A" w:rsidRPr="00C93F92" w:rsidRDefault="004F606A" w:rsidP="009A17AA">
      <w:pPr>
        <w:spacing w:line="276" w:lineRule="auto"/>
        <w:rPr>
          <w:rFonts w:ascii="Times New Roman" w:hAnsi="Times New Roman" w:cs="Times New Roman"/>
          <w:sz w:val="24"/>
          <w:szCs w:val="24"/>
        </w:rPr>
      </w:pPr>
      <w:r w:rsidRPr="00C93F92">
        <w:rPr>
          <w:rFonts w:ascii="Times New Roman" w:hAnsi="Times New Roman" w:cs="Times New Roman"/>
          <w:sz w:val="24"/>
          <w:szCs w:val="24"/>
        </w:rPr>
        <w:t xml:space="preserve">The </w:t>
      </w:r>
      <w:r w:rsidR="00B06709">
        <w:rPr>
          <w:rFonts w:ascii="Times New Roman" w:hAnsi="Times New Roman" w:cs="Times New Roman"/>
          <w:sz w:val="24"/>
          <w:szCs w:val="24"/>
        </w:rPr>
        <w:t xml:space="preserve">2023 </w:t>
      </w:r>
      <w:proofErr w:type="spellStart"/>
      <w:r w:rsidRPr="00C93F92">
        <w:rPr>
          <w:rFonts w:ascii="Times New Roman" w:hAnsi="Times New Roman" w:cs="Times New Roman"/>
          <w:sz w:val="24"/>
          <w:szCs w:val="24"/>
        </w:rPr>
        <w:t>d</w:t>
      </w:r>
      <w:r w:rsidR="00A97275">
        <w:rPr>
          <w:rFonts w:ascii="Times New Roman" w:hAnsi="Times New Roman" w:cs="Times New Roman"/>
          <w:sz w:val="24"/>
          <w:szCs w:val="24"/>
        </w:rPr>
        <w:t>S</w:t>
      </w:r>
      <w:r w:rsidRPr="00C93F92">
        <w:rPr>
          <w:rFonts w:ascii="Times New Roman" w:hAnsi="Times New Roman" w:cs="Times New Roman"/>
          <w:sz w:val="24"/>
          <w:szCs w:val="24"/>
        </w:rPr>
        <w:t>EIS</w:t>
      </w:r>
      <w:proofErr w:type="spellEnd"/>
      <w:r w:rsidRPr="00C93F92">
        <w:rPr>
          <w:rFonts w:ascii="Times New Roman" w:hAnsi="Times New Roman" w:cs="Times New Roman"/>
          <w:sz w:val="24"/>
          <w:szCs w:val="24"/>
        </w:rPr>
        <w:t xml:space="preserve"> states that under all alternatives</w:t>
      </w:r>
      <w:r w:rsidR="000F42E8">
        <w:rPr>
          <w:rFonts w:ascii="Times New Roman" w:hAnsi="Times New Roman" w:cs="Times New Roman"/>
          <w:sz w:val="24"/>
          <w:szCs w:val="24"/>
        </w:rPr>
        <w:t>,</w:t>
      </w:r>
      <w:r w:rsidRPr="00C93F92">
        <w:rPr>
          <w:rFonts w:ascii="Times New Roman" w:hAnsi="Times New Roman" w:cs="Times New Roman"/>
          <w:sz w:val="24"/>
          <w:szCs w:val="24"/>
        </w:rPr>
        <w:t xml:space="preserve"> fugitive dust </w:t>
      </w:r>
      <w:r w:rsidR="000F42E8">
        <w:rPr>
          <w:rFonts w:ascii="Times New Roman" w:hAnsi="Times New Roman" w:cs="Times New Roman"/>
          <w:sz w:val="24"/>
          <w:szCs w:val="24"/>
        </w:rPr>
        <w:t xml:space="preserve">emissions </w:t>
      </w:r>
      <w:r w:rsidRPr="00C93F92">
        <w:rPr>
          <w:rFonts w:ascii="Times New Roman" w:hAnsi="Times New Roman" w:cs="Times New Roman"/>
          <w:sz w:val="24"/>
          <w:szCs w:val="24"/>
        </w:rPr>
        <w:t>will increase.  This increase in emissions should be analyzed under the New Source Standards under 40 CFR Parts 51 and 52.</w:t>
      </w:r>
      <w:r w:rsidRPr="00C93F92">
        <w:rPr>
          <w:rStyle w:val="FootnoteReference"/>
          <w:rFonts w:ascii="Times New Roman" w:hAnsi="Times New Roman" w:cs="Times New Roman"/>
          <w:sz w:val="24"/>
          <w:szCs w:val="24"/>
        </w:rPr>
        <w:footnoteReference w:id="30"/>
      </w:r>
      <w:r w:rsidRPr="00C93F92">
        <w:rPr>
          <w:rFonts w:ascii="Times New Roman" w:hAnsi="Times New Roman" w:cs="Times New Roman"/>
          <w:sz w:val="24"/>
          <w:szCs w:val="24"/>
        </w:rPr>
        <w:t xml:space="preserve"> New Source Review (NSR) under the guidelines</w:t>
      </w:r>
      <w:r w:rsidR="000F42E8">
        <w:rPr>
          <w:rFonts w:ascii="Times New Roman" w:hAnsi="Times New Roman" w:cs="Times New Roman"/>
          <w:sz w:val="24"/>
          <w:szCs w:val="24"/>
        </w:rPr>
        <w:t xml:space="preserve"> </w:t>
      </w:r>
      <w:r w:rsidRPr="00C93F92">
        <w:rPr>
          <w:rFonts w:ascii="Times New Roman" w:hAnsi="Times New Roman" w:cs="Times New Roman"/>
          <w:sz w:val="24"/>
          <w:szCs w:val="24"/>
        </w:rPr>
        <w:t>includes major modifications at existing major sources. Major NSR is a preconstruction review and permitting program applicable to new or modified major stationary sources (major sources) of air pollutants regulated under the Act.</w:t>
      </w:r>
      <w:r w:rsidR="00413191" w:rsidRPr="00C93F92">
        <w:rPr>
          <w:rFonts w:ascii="Times New Roman" w:hAnsi="Times New Roman" w:cs="Times New Roman"/>
          <w:sz w:val="24"/>
          <w:szCs w:val="24"/>
        </w:rPr>
        <w:t xml:space="preserve"> </w:t>
      </w:r>
      <w:r w:rsidR="00413191" w:rsidRPr="00A97275">
        <w:rPr>
          <w:rFonts w:ascii="Times New Roman" w:hAnsi="Times New Roman" w:cs="Times New Roman"/>
          <w:i/>
          <w:iCs/>
          <w:sz w:val="24"/>
          <w:szCs w:val="24"/>
        </w:rPr>
        <w:t>See, Id</w:t>
      </w:r>
      <w:r w:rsidR="00413191" w:rsidRPr="00C93F92">
        <w:rPr>
          <w:rFonts w:ascii="Times New Roman" w:hAnsi="Times New Roman" w:cs="Times New Roman"/>
          <w:sz w:val="24"/>
          <w:szCs w:val="24"/>
        </w:rPr>
        <w:t xml:space="preserve">. </w:t>
      </w:r>
      <w:r w:rsidR="00A97275">
        <w:rPr>
          <w:rFonts w:ascii="Times New Roman" w:hAnsi="Times New Roman" w:cs="Times New Roman"/>
          <w:sz w:val="24"/>
          <w:szCs w:val="24"/>
        </w:rPr>
        <w:t>a</w:t>
      </w:r>
      <w:r w:rsidR="00413191" w:rsidRPr="00C93F92">
        <w:rPr>
          <w:rFonts w:ascii="Times New Roman" w:hAnsi="Times New Roman" w:cs="Times New Roman"/>
          <w:sz w:val="24"/>
          <w:szCs w:val="24"/>
        </w:rPr>
        <w:t>t II (A).</w:t>
      </w:r>
      <w:r w:rsidR="000F42E8">
        <w:rPr>
          <w:rFonts w:ascii="Times New Roman" w:hAnsi="Times New Roman" w:cs="Times New Roman"/>
          <w:sz w:val="24"/>
          <w:szCs w:val="24"/>
        </w:rPr>
        <w:t xml:space="preserve">  Therefore</w:t>
      </w:r>
      <w:r w:rsidR="00B06709">
        <w:rPr>
          <w:rFonts w:ascii="Times New Roman" w:hAnsi="Times New Roman" w:cs="Times New Roman"/>
          <w:sz w:val="24"/>
          <w:szCs w:val="24"/>
        </w:rPr>
        <w:t>, this review</w:t>
      </w:r>
      <w:r w:rsidR="000F42E8">
        <w:rPr>
          <w:rFonts w:ascii="Times New Roman" w:hAnsi="Times New Roman" w:cs="Times New Roman"/>
          <w:sz w:val="24"/>
          <w:szCs w:val="24"/>
        </w:rPr>
        <w:t xml:space="preserve"> must be completed prior to a final decision.</w:t>
      </w:r>
    </w:p>
    <w:p w14:paraId="1FE3D2E7" w14:textId="1D1C5D87" w:rsidR="00413191" w:rsidRPr="00A97275" w:rsidRDefault="004F606A" w:rsidP="009A17AA">
      <w:pPr>
        <w:spacing w:line="276" w:lineRule="auto"/>
        <w:rPr>
          <w:rFonts w:ascii="Times New Roman" w:hAnsi="Times New Roman" w:cs="Times New Roman"/>
          <w:i/>
          <w:iCs/>
          <w:sz w:val="24"/>
          <w:szCs w:val="24"/>
        </w:rPr>
      </w:pPr>
      <w:r w:rsidRPr="00C93F92">
        <w:rPr>
          <w:rFonts w:ascii="Times New Roman" w:hAnsi="Times New Roman" w:cs="Times New Roman"/>
          <w:sz w:val="24"/>
          <w:szCs w:val="24"/>
        </w:rPr>
        <w:t>The initial step in assessing applicability is to determine whether the source in question qualifies as a ‘‘major source.’’ A proposed or existing source qualifies as a major source if it ‘‘emits or has the potential to emit’’ a regulated NSR pollutant in an amount greater than the specified annual threshold.</w:t>
      </w:r>
      <w:r w:rsidR="00D24999">
        <w:rPr>
          <w:rFonts w:ascii="Times New Roman" w:hAnsi="Times New Roman" w:cs="Times New Roman"/>
          <w:sz w:val="24"/>
          <w:szCs w:val="24"/>
        </w:rPr>
        <w:t xml:space="preserve"> </w:t>
      </w:r>
      <w:r w:rsidR="00413191" w:rsidRPr="00C93F92">
        <w:rPr>
          <w:rFonts w:ascii="Times New Roman" w:hAnsi="Times New Roman" w:cs="Times New Roman"/>
          <w:sz w:val="24"/>
          <w:szCs w:val="24"/>
        </w:rPr>
        <w:t>For the Federal Governments P</w:t>
      </w:r>
      <w:r w:rsidR="003A0144" w:rsidRPr="00C93F92">
        <w:rPr>
          <w:rFonts w:ascii="Times New Roman" w:hAnsi="Times New Roman" w:cs="Times New Roman"/>
          <w:sz w:val="24"/>
          <w:szCs w:val="24"/>
        </w:rPr>
        <w:t>revention of Significant Deterioration (PSD)</w:t>
      </w:r>
      <w:r w:rsidR="00413191" w:rsidRPr="00C93F92">
        <w:rPr>
          <w:rFonts w:ascii="Times New Roman" w:hAnsi="Times New Roman" w:cs="Times New Roman"/>
          <w:sz w:val="24"/>
          <w:szCs w:val="24"/>
        </w:rPr>
        <w:t xml:space="preserve"> program, the major source threshold is 100 tons per year (</w:t>
      </w:r>
      <w:proofErr w:type="spellStart"/>
      <w:r w:rsidR="00413191" w:rsidRPr="00C93F92">
        <w:rPr>
          <w:rFonts w:ascii="Times New Roman" w:hAnsi="Times New Roman" w:cs="Times New Roman"/>
          <w:sz w:val="24"/>
          <w:szCs w:val="24"/>
        </w:rPr>
        <w:t>tpy</w:t>
      </w:r>
      <w:proofErr w:type="spellEnd"/>
      <w:r w:rsidR="00413191" w:rsidRPr="00C93F92">
        <w:rPr>
          <w:rFonts w:ascii="Times New Roman" w:hAnsi="Times New Roman" w:cs="Times New Roman"/>
          <w:sz w:val="24"/>
          <w:szCs w:val="24"/>
        </w:rPr>
        <w:t>)</w:t>
      </w:r>
      <w:r w:rsidR="00A97275">
        <w:rPr>
          <w:rFonts w:ascii="Times New Roman" w:hAnsi="Times New Roman" w:cs="Times New Roman"/>
          <w:sz w:val="24"/>
          <w:szCs w:val="24"/>
        </w:rPr>
        <w:t xml:space="preserve"> and mining is an NSR pollutant</w:t>
      </w:r>
      <w:r w:rsidR="003A0144" w:rsidRPr="00C93F92">
        <w:rPr>
          <w:rFonts w:ascii="Times New Roman" w:hAnsi="Times New Roman" w:cs="Times New Roman"/>
          <w:sz w:val="24"/>
          <w:szCs w:val="24"/>
        </w:rPr>
        <w:t xml:space="preserve">. The rule applies to the Greens Creek TDF and to this expansion.  “If an existing major source (i.e., an existing source with actual emissions and/or PTE greater than the applicable major source threshold) is planning a physical or operational change, the project is subject to review under major NSR if it is a ‘‘major modification.’’” </w:t>
      </w:r>
      <w:r w:rsidR="003A0144" w:rsidRPr="00A97275">
        <w:rPr>
          <w:rFonts w:ascii="Times New Roman" w:hAnsi="Times New Roman" w:cs="Times New Roman"/>
          <w:i/>
          <w:iCs/>
          <w:sz w:val="24"/>
          <w:szCs w:val="24"/>
        </w:rPr>
        <w:t xml:space="preserve">Id. </w:t>
      </w:r>
    </w:p>
    <w:p w14:paraId="44686612" w14:textId="77777777" w:rsidR="00D24999" w:rsidRDefault="003A0144" w:rsidP="009A17AA">
      <w:pPr>
        <w:pStyle w:val="Default"/>
        <w:spacing w:line="276" w:lineRule="auto"/>
        <w:rPr>
          <w:rFonts w:ascii="Times New Roman" w:hAnsi="Times New Roman" w:cs="Times New Roman"/>
        </w:rPr>
      </w:pPr>
      <w:r w:rsidRPr="00C93F92">
        <w:rPr>
          <w:rFonts w:ascii="Times New Roman" w:hAnsi="Times New Roman" w:cs="Times New Roman"/>
        </w:rPr>
        <w:t xml:space="preserve">The Final Rule states that </w:t>
      </w:r>
      <w:r w:rsidRPr="00C93F92">
        <w:rPr>
          <w:rFonts w:ascii="Times New Roman" w:hAnsi="Times New Roman" w:cs="Times New Roman"/>
          <w:i/>
          <w:iCs/>
        </w:rPr>
        <w:t>quantifiable</w:t>
      </w:r>
      <w:r w:rsidRPr="00C93F92">
        <w:rPr>
          <w:rFonts w:ascii="Times New Roman" w:hAnsi="Times New Roman" w:cs="Times New Roman"/>
        </w:rPr>
        <w:t xml:space="preserve"> fugitive emissions are included in a stationary source’s PTE when determining whether the source is a major source. Italics added.  The State of Alaska’s </w:t>
      </w:r>
      <w:r w:rsidR="00D24999">
        <w:rPr>
          <w:rFonts w:ascii="Times New Roman" w:hAnsi="Times New Roman" w:cs="Times New Roman"/>
        </w:rPr>
        <w:t xml:space="preserve">long-standing </w:t>
      </w:r>
      <w:r w:rsidRPr="00C93F92">
        <w:rPr>
          <w:rFonts w:ascii="Times New Roman" w:hAnsi="Times New Roman" w:cs="Times New Roman"/>
        </w:rPr>
        <w:t xml:space="preserve">refusal to require standard dust monitoring equipment </w:t>
      </w:r>
      <w:r w:rsidR="00D24999">
        <w:rPr>
          <w:rFonts w:ascii="Times New Roman" w:hAnsi="Times New Roman" w:cs="Times New Roman"/>
        </w:rPr>
        <w:t>handicaps this determination.  This further supports the implementation of new monitoring prior to a decision on the expansion.</w:t>
      </w:r>
    </w:p>
    <w:p w14:paraId="5CED4055" w14:textId="77777777" w:rsidR="00B06709" w:rsidRDefault="00B06709" w:rsidP="009A17AA">
      <w:pPr>
        <w:pStyle w:val="Default"/>
        <w:spacing w:line="276" w:lineRule="auto"/>
        <w:rPr>
          <w:rFonts w:ascii="Times New Roman" w:hAnsi="Times New Roman" w:cs="Times New Roman"/>
        </w:rPr>
      </w:pPr>
    </w:p>
    <w:p w14:paraId="4815C9D0" w14:textId="5EE39B3E" w:rsidR="003A0144" w:rsidRDefault="00D24999" w:rsidP="009A17AA">
      <w:pPr>
        <w:pStyle w:val="Default"/>
        <w:spacing w:line="276" w:lineRule="auto"/>
        <w:rPr>
          <w:rFonts w:ascii="Times New Roman" w:hAnsi="Times New Roman" w:cs="Times New Roman"/>
        </w:rPr>
      </w:pPr>
      <w:r>
        <w:rPr>
          <w:rFonts w:ascii="Times New Roman" w:hAnsi="Times New Roman" w:cs="Times New Roman"/>
        </w:rPr>
        <w:t xml:space="preserve">We recommend, as above, the improved monitoring program be implemented, allowed to collect data for at least 1 year and then a determination be made of the applicability of </w:t>
      </w:r>
      <w:r w:rsidR="00A97275">
        <w:rPr>
          <w:rFonts w:ascii="Times New Roman" w:hAnsi="Times New Roman" w:cs="Times New Roman"/>
        </w:rPr>
        <w:t>N</w:t>
      </w:r>
      <w:r>
        <w:rPr>
          <w:rFonts w:ascii="Times New Roman" w:hAnsi="Times New Roman" w:cs="Times New Roman"/>
        </w:rPr>
        <w:t xml:space="preserve">ew Source Standards under 40 CFR parts 51 and 52.  </w:t>
      </w:r>
      <w:r w:rsidR="003A0144" w:rsidRPr="00C93F92">
        <w:rPr>
          <w:rFonts w:ascii="Times New Roman" w:hAnsi="Times New Roman" w:cs="Times New Roman"/>
        </w:rPr>
        <w:t xml:space="preserve"> </w:t>
      </w:r>
    </w:p>
    <w:p w14:paraId="5CEA9CE4" w14:textId="77777777" w:rsidR="00D24999" w:rsidRDefault="00D24999" w:rsidP="009A17AA">
      <w:pPr>
        <w:pStyle w:val="Default"/>
        <w:spacing w:line="276" w:lineRule="auto"/>
        <w:rPr>
          <w:rFonts w:ascii="Times New Roman" w:hAnsi="Times New Roman" w:cs="Times New Roman"/>
        </w:rPr>
      </w:pPr>
    </w:p>
    <w:p w14:paraId="050DAC75" w14:textId="399914ED" w:rsidR="00D24999" w:rsidRDefault="00D24999" w:rsidP="00D14527">
      <w:pPr>
        <w:pStyle w:val="Default"/>
        <w:numPr>
          <w:ilvl w:val="0"/>
          <w:numId w:val="2"/>
        </w:numPr>
        <w:spacing w:line="276" w:lineRule="auto"/>
        <w:rPr>
          <w:rFonts w:ascii="Times New Roman" w:hAnsi="Times New Roman" w:cs="Times New Roman"/>
          <w:b/>
          <w:bCs/>
        </w:rPr>
      </w:pPr>
      <w:r w:rsidRPr="00B06709">
        <w:rPr>
          <w:rFonts w:ascii="Times New Roman" w:hAnsi="Times New Roman" w:cs="Times New Roman"/>
          <w:b/>
          <w:bCs/>
        </w:rPr>
        <w:t>Recommendation for Fugitive Dust Best Management Practices (BMT’s)</w:t>
      </w:r>
    </w:p>
    <w:p w14:paraId="793A5EFA" w14:textId="77777777" w:rsidR="00F151EE" w:rsidRDefault="00F151EE" w:rsidP="00F151EE">
      <w:pPr>
        <w:pStyle w:val="Default"/>
        <w:spacing w:line="276" w:lineRule="auto"/>
        <w:rPr>
          <w:rFonts w:ascii="Times New Roman" w:hAnsi="Times New Roman" w:cs="Times New Roman"/>
          <w:b/>
          <w:bCs/>
        </w:rPr>
      </w:pPr>
    </w:p>
    <w:p w14:paraId="0F5D9D65" w14:textId="5CC7851E" w:rsidR="00AF381C" w:rsidRDefault="00AF381C" w:rsidP="00F151EE">
      <w:pPr>
        <w:pStyle w:val="Default"/>
        <w:spacing w:line="276" w:lineRule="auto"/>
        <w:rPr>
          <w:rFonts w:ascii="Times New Roman" w:hAnsi="Times New Roman" w:cs="Times New Roman"/>
        </w:rPr>
      </w:pPr>
      <w:r>
        <w:rPr>
          <w:rFonts w:ascii="Times New Roman" w:hAnsi="Times New Roman" w:cs="Times New Roman"/>
        </w:rPr>
        <w:t>The usual scenario when considering negative impact for a project is first to avoid harm, second, where harm cannot be avoided, seek measures to reduce the harm, and third mitigate the harm caused through restoration or replacement of the ecological function harmed elsewhere.</w:t>
      </w:r>
    </w:p>
    <w:p w14:paraId="697C6257" w14:textId="77777777" w:rsidR="00AF381C" w:rsidRDefault="00AF381C" w:rsidP="00F151EE">
      <w:pPr>
        <w:pStyle w:val="Default"/>
        <w:spacing w:line="276" w:lineRule="auto"/>
        <w:rPr>
          <w:rFonts w:ascii="Times New Roman" w:hAnsi="Times New Roman" w:cs="Times New Roman"/>
        </w:rPr>
      </w:pPr>
    </w:p>
    <w:p w14:paraId="0459C15E" w14:textId="5D3408AC" w:rsidR="00AF381C" w:rsidRDefault="00AF381C" w:rsidP="00F151EE">
      <w:pPr>
        <w:pStyle w:val="Default"/>
        <w:spacing w:line="276" w:lineRule="auto"/>
        <w:rPr>
          <w:rFonts w:ascii="Times New Roman" w:hAnsi="Times New Roman" w:cs="Times New Roman"/>
        </w:rPr>
      </w:pPr>
      <w:r>
        <w:rPr>
          <w:rFonts w:ascii="Times New Roman" w:hAnsi="Times New Roman" w:cs="Times New Roman"/>
        </w:rPr>
        <w:t>We recommend the following fugitive dust management practices be employed at the TDF.  These recommendations should be incorporated into the Solid Waste Permit requirements and mandated.  The Forest Service should require these mitigation measures.</w:t>
      </w:r>
      <w:r w:rsidR="00B12AEF">
        <w:rPr>
          <w:rStyle w:val="FootnoteReference"/>
          <w:rFonts w:ascii="Times New Roman" w:hAnsi="Times New Roman" w:cs="Times New Roman"/>
        </w:rPr>
        <w:footnoteReference w:id="31"/>
      </w:r>
    </w:p>
    <w:p w14:paraId="03F57778" w14:textId="77777777" w:rsidR="00AF381C" w:rsidRDefault="00AF381C" w:rsidP="00F151EE">
      <w:pPr>
        <w:pStyle w:val="Default"/>
        <w:spacing w:line="276" w:lineRule="auto"/>
        <w:rPr>
          <w:rFonts w:ascii="Times New Roman" w:hAnsi="Times New Roman" w:cs="Times New Roman"/>
        </w:rPr>
      </w:pPr>
    </w:p>
    <w:p w14:paraId="21D879CC" w14:textId="4CC111E2" w:rsidR="00AF381C" w:rsidRDefault="00AF381C" w:rsidP="00F151EE">
      <w:pPr>
        <w:pStyle w:val="Default"/>
        <w:spacing w:line="276" w:lineRule="auto"/>
        <w:rPr>
          <w:rFonts w:ascii="Times New Roman" w:hAnsi="Times New Roman" w:cs="Times New Roman"/>
        </w:rPr>
      </w:pPr>
      <w:r w:rsidRPr="00253421">
        <w:rPr>
          <w:rFonts w:ascii="Times New Roman" w:hAnsi="Times New Roman" w:cs="Times New Roman"/>
          <w:u w:val="single"/>
        </w:rPr>
        <w:lastRenderedPageBreak/>
        <w:t>Improved monitoring</w:t>
      </w:r>
      <w:r w:rsidR="00253421" w:rsidRPr="00253421">
        <w:rPr>
          <w:rFonts w:ascii="Times New Roman" w:hAnsi="Times New Roman" w:cs="Times New Roman"/>
          <w:u w:val="single"/>
        </w:rPr>
        <w:t xml:space="preserve"> equipment</w:t>
      </w:r>
      <w:r>
        <w:rPr>
          <w:rFonts w:ascii="Times New Roman" w:hAnsi="Times New Roman" w:cs="Times New Roman"/>
        </w:rPr>
        <w:t>.  Hec</w:t>
      </w:r>
      <w:r w:rsidR="00253421">
        <w:rPr>
          <w:rFonts w:ascii="Times New Roman" w:hAnsi="Times New Roman" w:cs="Times New Roman"/>
        </w:rPr>
        <w:t>la</w:t>
      </w:r>
      <w:r>
        <w:rPr>
          <w:rFonts w:ascii="Times New Roman" w:hAnsi="Times New Roman" w:cs="Times New Roman"/>
        </w:rPr>
        <w:t xml:space="preserve"> should be required to utilize standard ASTM certified dust monitoring equipment that can produce quantifiable data</w:t>
      </w:r>
      <w:r w:rsidR="00253421">
        <w:rPr>
          <w:rFonts w:ascii="Times New Roman" w:hAnsi="Times New Roman" w:cs="Times New Roman"/>
        </w:rPr>
        <w:t>.  If modified equipment is used, then it must be promulgated against equipment with known precision and accuracy.</w:t>
      </w:r>
    </w:p>
    <w:p w14:paraId="699B9F02" w14:textId="77777777" w:rsidR="00253421" w:rsidRDefault="00253421" w:rsidP="00F151EE">
      <w:pPr>
        <w:pStyle w:val="Default"/>
        <w:spacing w:line="276" w:lineRule="auto"/>
        <w:rPr>
          <w:rFonts w:ascii="Times New Roman" w:hAnsi="Times New Roman" w:cs="Times New Roman"/>
        </w:rPr>
      </w:pPr>
    </w:p>
    <w:p w14:paraId="585BB515" w14:textId="12993627" w:rsidR="00253421" w:rsidRDefault="00253421" w:rsidP="00F151EE">
      <w:pPr>
        <w:pStyle w:val="Default"/>
        <w:spacing w:line="276" w:lineRule="auto"/>
        <w:rPr>
          <w:rFonts w:ascii="Times New Roman" w:hAnsi="Times New Roman" w:cs="Times New Roman"/>
        </w:rPr>
      </w:pPr>
      <w:r w:rsidRPr="00253421">
        <w:rPr>
          <w:rFonts w:ascii="Times New Roman" w:hAnsi="Times New Roman" w:cs="Times New Roman"/>
          <w:u w:val="single"/>
        </w:rPr>
        <w:t>Monitoring area extended</w:t>
      </w:r>
      <w:r w:rsidRPr="00253421">
        <w:rPr>
          <w:rFonts w:ascii="Times New Roman" w:hAnsi="Times New Roman" w:cs="Times New Roman"/>
        </w:rPr>
        <w:t xml:space="preserve">.  Fugitive dust monitors must be placed </w:t>
      </w:r>
      <w:r>
        <w:rPr>
          <w:rFonts w:ascii="Times New Roman" w:hAnsi="Times New Roman" w:cs="Times New Roman"/>
        </w:rPr>
        <w:t>outward from the TDF to the fullest extent of the expected detection of fugitive dust. This can accommodate and inform mediation efforts if necessary and provide background for future expansion.</w:t>
      </w:r>
    </w:p>
    <w:p w14:paraId="3376A790" w14:textId="77777777" w:rsidR="00253421" w:rsidRDefault="00253421" w:rsidP="00F151EE">
      <w:pPr>
        <w:pStyle w:val="Default"/>
        <w:spacing w:line="276" w:lineRule="auto"/>
        <w:rPr>
          <w:rFonts w:ascii="Times New Roman" w:hAnsi="Times New Roman" w:cs="Times New Roman"/>
        </w:rPr>
      </w:pPr>
    </w:p>
    <w:p w14:paraId="4C1A3251" w14:textId="554BEE49" w:rsidR="00253421" w:rsidRDefault="00253421" w:rsidP="00F151EE">
      <w:pPr>
        <w:pStyle w:val="Default"/>
        <w:spacing w:line="276" w:lineRule="auto"/>
        <w:rPr>
          <w:rFonts w:ascii="Times New Roman" w:hAnsi="Times New Roman" w:cs="Times New Roman"/>
        </w:rPr>
      </w:pPr>
      <w:r w:rsidRPr="00253421">
        <w:rPr>
          <w:rFonts w:ascii="Times New Roman" w:hAnsi="Times New Roman" w:cs="Times New Roman"/>
          <w:u w:val="single"/>
        </w:rPr>
        <w:t>Fugitive dust must be incorporated into the Hawk Inlet monitoring program as a non-point discharge</w:t>
      </w:r>
      <w:r>
        <w:rPr>
          <w:rFonts w:ascii="Times New Roman" w:hAnsi="Times New Roman" w:cs="Times New Roman"/>
        </w:rPr>
        <w:t xml:space="preserve">.  One or more monitoring stations should be located on the Greens Creek Delta and at each location designated as a “natural” or background site in the Hawk Inlet monitoring program, sites S-3, S-2 and 106.  This is the only way to discern the difference between effects of the wastewater discharge and the effects of fugitive dust. Specific regulatory thresholds must be in place with a </w:t>
      </w:r>
      <w:r w:rsidR="00A97275">
        <w:rPr>
          <w:rFonts w:ascii="Times New Roman" w:hAnsi="Times New Roman" w:cs="Times New Roman"/>
        </w:rPr>
        <w:t xml:space="preserve">mandatory </w:t>
      </w:r>
      <w:r>
        <w:rPr>
          <w:rFonts w:ascii="Times New Roman" w:hAnsi="Times New Roman" w:cs="Times New Roman"/>
        </w:rPr>
        <w:t>compliance program.  The responsibility to avoid harm to the Monument is an affirmative requirement, not voluntary</w:t>
      </w:r>
      <w:r w:rsidR="0068165C">
        <w:rPr>
          <w:rFonts w:ascii="Times New Roman" w:hAnsi="Times New Roman" w:cs="Times New Roman"/>
        </w:rPr>
        <w:t>.</w:t>
      </w:r>
      <w:r>
        <w:rPr>
          <w:rFonts w:ascii="Times New Roman" w:hAnsi="Times New Roman" w:cs="Times New Roman"/>
        </w:rPr>
        <w:t xml:space="preserve"> </w:t>
      </w:r>
      <w:r w:rsidR="00B12AEF">
        <w:rPr>
          <w:rFonts w:ascii="Times New Roman" w:hAnsi="Times New Roman" w:cs="Times New Roman"/>
        </w:rPr>
        <w:t xml:space="preserve">These </w:t>
      </w:r>
      <w:r w:rsidR="00DF5ADD">
        <w:rPr>
          <w:rFonts w:ascii="Times New Roman" w:hAnsi="Times New Roman" w:cs="Times New Roman"/>
        </w:rPr>
        <w:t>requirements must</w:t>
      </w:r>
      <w:r w:rsidR="00B12AEF">
        <w:rPr>
          <w:rFonts w:ascii="Times New Roman" w:hAnsi="Times New Roman" w:cs="Times New Roman"/>
        </w:rPr>
        <w:t xml:space="preserve"> be incorporated into the both the APDES and Solid Waste permits</w:t>
      </w:r>
      <w:r w:rsidR="00DF5ADD">
        <w:rPr>
          <w:rFonts w:ascii="Times New Roman" w:hAnsi="Times New Roman" w:cs="Times New Roman"/>
        </w:rPr>
        <w:t xml:space="preserve"> as well as the final Record of Decision</w:t>
      </w:r>
      <w:r w:rsidR="00B12AEF">
        <w:rPr>
          <w:rFonts w:ascii="Times New Roman" w:hAnsi="Times New Roman" w:cs="Times New Roman"/>
        </w:rPr>
        <w:t xml:space="preserve">. </w:t>
      </w:r>
    </w:p>
    <w:p w14:paraId="62C5FDDB" w14:textId="77777777" w:rsidR="00253421" w:rsidRPr="00253421" w:rsidRDefault="00253421" w:rsidP="00F151EE">
      <w:pPr>
        <w:pStyle w:val="Default"/>
        <w:spacing w:line="276" w:lineRule="auto"/>
        <w:rPr>
          <w:rFonts w:ascii="Times New Roman" w:hAnsi="Times New Roman" w:cs="Times New Roman"/>
        </w:rPr>
      </w:pPr>
    </w:p>
    <w:p w14:paraId="627A7E99" w14:textId="432DCA9A" w:rsidR="00F151EE" w:rsidRDefault="00AF381C" w:rsidP="00F151EE">
      <w:pPr>
        <w:pStyle w:val="Default"/>
        <w:spacing w:line="276" w:lineRule="auto"/>
        <w:rPr>
          <w:rFonts w:ascii="Times New Roman" w:hAnsi="Times New Roman" w:cs="Times New Roman"/>
        </w:rPr>
      </w:pPr>
      <w:r w:rsidRPr="00AF381C">
        <w:rPr>
          <w:rFonts w:ascii="Times New Roman" w:hAnsi="Times New Roman" w:cs="Times New Roman"/>
          <w:u w:val="single"/>
        </w:rPr>
        <w:t>Avoid surface disposal during high dust weather events</w:t>
      </w:r>
      <w:r>
        <w:rPr>
          <w:rFonts w:ascii="Times New Roman" w:hAnsi="Times New Roman" w:cs="Times New Roman"/>
        </w:rPr>
        <w:t xml:space="preserve">. </w:t>
      </w:r>
      <w:r w:rsidR="00F151EE" w:rsidRPr="00F151EE">
        <w:rPr>
          <w:rFonts w:ascii="Times New Roman" w:hAnsi="Times New Roman" w:cs="Times New Roman"/>
        </w:rPr>
        <w:t xml:space="preserve">From the Tailings reports </w:t>
      </w:r>
      <w:r>
        <w:rPr>
          <w:rFonts w:ascii="Times New Roman" w:hAnsi="Times New Roman" w:cs="Times New Roman"/>
        </w:rPr>
        <w:t xml:space="preserve">it is clear that the majority of dusting events occur during set times of the year and under predictable weather conditions.  During these times, Hecla should avoid surface disposal and place tailings </w:t>
      </w:r>
      <w:r w:rsidR="00DF5ADD">
        <w:rPr>
          <w:rFonts w:ascii="Times New Roman" w:hAnsi="Times New Roman" w:cs="Times New Roman"/>
        </w:rPr>
        <w:t xml:space="preserve">only </w:t>
      </w:r>
      <w:r>
        <w:rPr>
          <w:rFonts w:ascii="Times New Roman" w:hAnsi="Times New Roman" w:cs="Times New Roman"/>
        </w:rPr>
        <w:t>as underground backfill.</w:t>
      </w:r>
    </w:p>
    <w:p w14:paraId="51C75EDC" w14:textId="77777777" w:rsidR="00B12AEF" w:rsidRDefault="00B12AEF" w:rsidP="00F151EE">
      <w:pPr>
        <w:pStyle w:val="Default"/>
        <w:spacing w:line="276" w:lineRule="auto"/>
        <w:rPr>
          <w:rFonts w:ascii="Times New Roman" w:hAnsi="Times New Roman" w:cs="Times New Roman"/>
        </w:rPr>
      </w:pPr>
    </w:p>
    <w:p w14:paraId="7884585F" w14:textId="4E942992" w:rsidR="00B12AEF" w:rsidRPr="00B12AEF" w:rsidRDefault="00B12AEF" w:rsidP="00F151EE">
      <w:pPr>
        <w:pStyle w:val="Default"/>
        <w:spacing w:line="276" w:lineRule="auto"/>
        <w:rPr>
          <w:rFonts w:ascii="Times New Roman" w:hAnsi="Times New Roman" w:cs="Times New Roman"/>
        </w:rPr>
      </w:pPr>
      <w:r w:rsidRPr="00B12AEF">
        <w:rPr>
          <w:rFonts w:ascii="Times New Roman" w:hAnsi="Times New Roman" w:cs="Times New Roman"/>
          <w:u w:val="single"/>
        </w:rPr>
        <w:t>Limit the material drop distance</w:t>
      </w:r>
      <w:r w:rsidRPr="00B12AEF">
        <w:rPr>
          <w:rFonts w:ascii="Times New Roman" w:hAnsi="Times New Roman" w:cs="Times New Roman"/>
        </w:rPr>
        <w:t xml:space="preserve"> between the truck beds and the ground to no more than 3 feet and restrict the flow of material using dead boxes, socks, drop down spouts/sleeves. Immediately spread and compact after each load.</w:t>
      </w:r>
    </w:p>
    <w:p w14:paraId="7C463D41" w14:textId="77777777" w:rsidR="00B12AEF" w:rsidRPr="00B12AEF" w:rsidRDefault="00B12AEF" w:rsidP="00F151EE">
      <w:pPr>
        <w:pStyle w:val="Default"/>
        <w:spacing w:line="276" w:lineRule="auto"/>
        <w:rPr>
          <w:rFonts w:ascii="Times New Roman" w:hAnsi="Times New Roman" w:cs="Times New Roman"/>
        </w:rPr>
      </w:pPr>
    </w:p>
    <w:p w14:paraId="53AEF860" w14:textId="5BFE71A7" w:rsidR="00B12AEF" w:rsidRPr="00B12AEF" w:rsidRDefault="00B12AEF" w:rsidP="00F151EE">
      <w:pPr>
        <w:pStyle w:val="Default"/>
        <w:spacing w:line="276" w:lineRule="auto"/>
        <w:rPr>
          <w:rFonts w:ascii="Times New Roman" w:hAnsi="Times New Roman" w:cs="Times New Roman"/>
        </w:rPr>
      </w:pPr>
      <w:r w:rsidRPr="00B12AEF">
        <w:rPr>
          <w:rFonts w:ascii="Times New Roman" w:hAnsi="Times New Roman" w:cs="Times New Roman"/>
          <w:u w:val="single"/>
        </w:rPr>
        <w:t>Install and maintain dust curtains</w:t>
      </w:r>
      <w:r w:rsidRPr="00B12AEF">
        <w:rPr>
          <w:rFonts w:ascii="Times New Roman" w:hAnsi="Times New Roman" w:cs="Times New Roman"/>
        </w:rPr>
        <w:t xml:space="preserve"> around active disposal areas to reduce air movement and isolate dust forming operations.</w:t>
      </w:r>
    </w:p>
    <w:p w14:paraId="6DA328A3" w14:textId="77777777" w:rsidR="00B12AEF" w:rsidRPr="00B12AEF" w:rsidRDefault="00B12AEF" w:rsidP="00F151EE">
      <w:pPr>
        <w:pStyle w:val="Default"/>
        <w:spacing w:line="276" w:lineRule="auto"/>
        <w:rPr>
          <w:rFonts w:ascii="Times New Roman" w:hAnsi="Times New Roman" w:cs="Times New Roman"/>
        </w:rPr>
      </w:pPr>
    </w:p>
    <w:p w14:paraId="63754A6F" w14:textId="2DF230B6" w:rsidR="00B12AEF" w:rsidRPr="00B12AEF" w:rsidRDefault="00B12AEF" w:rsidP="00F151EE">
      <w:pPr>
        <w:pStyle w:val="Default"/>
        <w:spacing w:line="276" w:lineRule="auto"/>
        <w:rPr>
          <w:rFonts w:ascii="Times New Roman" w:hAnsi="Times New Roman" w:cs="Times New Roman"/>
        </w:rPr>
      </w:pPr>
      <w:r w:rsidRPr="00B12AEF">
        <w:rPr>
          <w:rFonts w:ascii="Times New Roman" w:hAnsi="Times New Roman" w:cs="Times New Roman"/>
          <w:u w:val="single"/>
        </w:rPr>
        <w:t>Limit vehicle speeds to 5 mph</w:t>
      </w:r>
      <w:r w:rsidRPr="00B12AEF">
        <w:rPr>
          <w:rFonts w:ascii="Times New Roman" w:hAnsi="Times New Roman" w:cs="Times New Roman"/>
        </w:rPr>
        <w:t xml:space="preserve"> on both the A and B roads.</w:t>
      </w:r>
    </w:p>
    <w:p w14:paraId="37EE208F" w14:textId="77777777" w:rsidR="00B12AEF" w:rsidRPr="00B12AEF" w:rsidRDefault="00B12AEF" w:rsidP="00F151EE">
      <w:pPr>
        <w:pStyle w:val="Default"/>
        <w:spacing w:line="276" w:lineRule="auto"/>
        <w:rPr>
          <w:rFonts w:ascii="Times New Roman" w:hAnsi="Times New Roman" w:cs="Times New Roman"/>
        </w:rPr>
      </w:pPr>
    </w:p>
    <w:p w14:paraId="2244BEA3" w14:textId="60799924" w:rsidR="00B12AEF" w:rsidRPr="00B12AEF" w:rsidRDefault="00B12AEF" w:rsidP="00F151EE">
      <w:pPr>
        <w:pStyle w:val="Default"/>
        <w:spacing w:line="276" w:lineRule="auto"/>
        <w:rPr>
          <w:rFonts w:ascii="Times New Roman" w:hAnsi="Times New Roman" w:cs="Times New Roman"/>
        </w:rPr>
      </w:pPr>
      <w:r w:rsidRPr="00B12AEF">
        <w:rPr>
          <w:rFonts w:ascii="Times New Roman" w:hAnsi="Times New Roman" w:cs="Times New Roman"/>
          <w:u w:val="single"/>
        </w:rPr>
        <w:t>Cover</w:t>
      </w:r>
      <w:r w:rsidRPr="00B12AEF">
        <w:rPr>
          <w:rFonts w:ascii="Times New Roman" w:hAnsi="Times New Roman" w:cs="Times New Roman"/>
        </w:rPr>
        <w:t xml:space="preserve"> open-bodied trucks when the truck is carrying materials that can be released into the air.</w:t>
      </w:r>
    </w:p>
    <w:p w14:paraId="18EBA7B9" w14:textId="77777777" w:rsidR="00D24999" w:rsidRDefault="00D24999" w:rsidP="009A17AA">
      <w:pPr>
        <w:pStyle w:val="Default"/>
        <w:spacing w:line="276" w:lineRule="auto"/>
        <w:rPr>
          <w:rFonts w:ascii="Times New Roman" w:hAnsi="Times New Roman" w:cs="Times New Roman"/>
        </w:rPr>
      </w:pPr>
    </w:p>
    <w:p w14:paraId="5C55E88B" w14:textId="77777777" w:rsidR="00F70B6F" w:rsidRDefault="00F70B6F" w:rsidP="009A17AA">
      <w:pPr>
        <w:pStyle w:val="Default"/>
        <w:spacing w:line="276" w:lineRule="auto"/>
        <w:rPr>
          <w:rFonts w:ascii="Times New Roman" w:hAnsi="Times New Roman" w:cs="Times New Roman"/>
        </w:rPr>
      </w:pPr>
    </w:p>
    <w:p w14:paraId="60D9E08D" w14:textId="44FB7661" w:rsidR="00560AE6" w:rsidRPr="00FD1AF2" w:rsidRDefault="00D24999" w:rsidP="00D14527">
      <w:pPr>
        <w:pStyle w:val="Default"/>
        <w:numPr>
          <w:ilvl w:val="0"/>
          <w:numId w:val="2"/>
        </w:numPr>
        <w:spacing w:line="276" w:lineRule="auto"/>
        <w:rPr>
          <w:rFonts w:ascii="Times New Roman" w:hAnsi="Times New Roman" w:cs="Times New Roman"/>
          <w:b/>
          <w:bCs/>
        </w:rPr>
      </w:pPr>
      <w:r w:rsidRPr="00FD1AF2">
        <w:rPr>
          <w:rFonts w:ascii="Times New Roman" w:hAnsi="Times New Roman" w:cs="Times New Roman"/>
          <w:b/>
          <w:bCs/>
        </w:rPr>
        <w:t xml:space="preserve">Comments on </w:t>
      </w:r>
      <w:r w:rsidR="00BC1EEB" w:rsidRPr="00FD1AF2">
        <w:rPr>
          <w:rFonts w:ascii="Times New Roman" w:hAnsi="Times New Roman" w:cs="Times New Roman"/>
          <w:b/>
          <w:bCs/>
        </w:rPr>
        <w:t>March 30, 2021 Memo Alaska Department of Natural Resources t</w:t>
      </w:r>
      <w:r w:rsidR="00560AE6" w:rsidRPr="00FD1AF2">
        <w:rPr>
          <w:rFonts w:ascii="Times New Roman" w:hAnsi="Times New Roman" w:cs="Times New Roman"/>
          <w:b/>
          <w:bCs/>
        </w:rPr>
        <w:t>o</w:t>
      </w:r>
      <w:r w:rsidR="00BC1EEB" w:rsidRPr="00FD1AF2">
        <w:rPr>
          <w:rFonts w:ascii="Times New Roman" w:hAnsi="Times New Roman" w:cs="Times New Roman"/>
          <w:b/>
          <w:bCs/>
        </w:rPr>
        <w:t xml:space="preserve"> </w:t>
      </w:r>
      <w:proofErr w:type="spellStart"/>
      <w:r w:rsidR="00BC1EEB" w:rsidRPr="00FD1AF2">
        <w:rPr>
          <w:rFonts w:ascii="Times New Roman" w:hAnsi="Times New Roman" w:cs="Times New Roman"/>
          <w:b/>
          <w:bCs/>
        </w:rPr>
        <w:t>Basia</w:t>
      </w:r>
      <w:proofErr w:type="spellEnd"/>
      <w:r w:rsidR="00BC1EEB" w:rsidRPr="00FD1AF2">
        <w:rPr>
          <w:rFonts w:ascii="Times New Roman" w:hAnsi="Times New Roman" w:cs="Times New Roman"/>
          <w:b/>
          <w:bCs/>
        </w:rPr>
        <w:t xml:space="preserve"> Trout</w:t>
      </w:r>
      <w:r w:rsidR="00560AE6" w:rsidRPr="00FD1AF2">
        <w:rPr>
          <w:rFonts w:ascii="Times New Roman" w:hAnsi="Times New Roman" w:cs="Times New Roman"/>
          <w:b/>
          <w:bCs/>
        </w:rPr>
        <w:t>,</w:t>
      </w:r>
      <w:r w:rsidR="00BC1EEB" w:rsidRPr="00FD1AF2">
        <w:rPr>
          <w:rFonts w:ascii="Times New Roman" w:hAnsi="Times New Roman" w:cs="Times New Roman"/>
          <w:b/>
          <w:bCs/>
        </w:rPr>
        <w:t xml:space="preserve"> District Ranger concerning</w:t>
      </w:r>
      <w:r w:rsidR="00560AE6" w:rsidRPr="00FD1AF2">
        <w:rPr>
          <w:rFonts w:ascii="Times New Roman" w:hAnsi="Times New Roman" w:cs="Times New Roman"/>
          <w:b/>
          <w:bCs/>
        </w:rPr>
        <w:t xml:space="preserve"> Reposting the Species Diversity and Population Baseline Studies.</w:t>
      </w:r>
      <w:r w:rsidR="00560AE6" w:rsidRPr="00FD1AF2">
        <w:rPr>
          <w:rStyle w:val="FootnoteReference"/>
          <w:rFonts w:ascii="Times New Roman" w:hAnsi="Times New Roman" w:cs="Times New Roman"/>
          <w:b/>
          <w:bCs/>
        </w:rPr>
        <w:footnoteReference w:id="32"/>
      </w:r>
    </w:p>
    <w:p w14:paraId="3DB935F3" w14:textId="77777777" w:rsidR="00FD1AF2" w:rsidRDefault="00FD1AF2" w:rsidP="009A17AA">
      <w:pPr>
        <w:pStyle w:val="Default"/>
        <w:spacing w:line="276" w:lineRule="auto"/>
        <w:rPr>
          <w:rFonts w:ascii="Times New Roman" w:hAnsi="Times New Roman" w:cs="Times New Roman"/>
        </w:rPr>
      </w:pPr>
    </w:p>
    <w:p w14:paraId="5BE82592" w14:textId="088DF187" w:rsidR="00560AE6" w:rsidRDefault="00560AE6" w:rsidP="009A17AA">
      <w:pPr>
        <w:pStyle w:val="Default"/>
        <w:spacing w:line="276" w:lineRule="auto"/>
        <w:rPr>
          <w:rFonts w:ascii="Times New Roman" w:hAnsi="Times New Roman" w:cs="Times New Roman"/>
        </w:rPr>
      </w:pPr>
      <w:r>
        <w:rPr>
          <w:rFonts w:ascii="Times New Roman" w:hAnsi="Times New Roman" w:cs="Times New Roman"/>
        </w:rPr>
        <w:lastRenderedPageBreak/>
        <w:t xml:space="preserve">It is clear from the opening paragraph </w:t>
      </w:r>
      <w:r w:rsidR="00B06709">
        <w:rPr>
          <w:rFonts w:ascii="Times New Roman" w:hAnsi="Times New Roman" w:cs="Times New Roman"/>
        </w:rPr>
        <w:t xml:space="preserve">of this memo </w:t>
      </w:r>
      <w:r>
        <w:rPr>
          <w:rFonts w:ascii="Times New Roman" w:hAnsi="Times New Roman" w:cs="Times New Roman"/>
        </w:rPr>
        <w:t xml:space="preserve">that this request for information was really only a request for justification. The conclusion expected </w:t>
      </w:r>
      <w:r w:rsidR="00B06709">
        <w:rPr>
          <w:rFonts w:ascii="Times New Roman" w:hAnsi="Times New Roman" w:cs="Times New Roman"/>
        </w:rPr>
        <w:t xml:space="preserve">to be reached </w:t>
      </w:r>
      <w:r>
        <w:rPr>
          <w:rFonts w:ascii="Times New Roman" w:hAnsi="Times New Roman" w:cs="Times New Roman"/>
        </w:rPr>
        <w:t xml:space="preserve">is stated in the request for information. As such, the memo violates the standards of </w:t>
      </w:r>
      <w:r w:rsidR="007F2CD2">
        <w:rPr>
          <w:rFonts w:ascii="Times New Roman" w:hAnsi="Times New Roman" w:cs="Times New Roman"/>
        </w:rPr>
        <w:t>e</w:t>
      </w:r>
      <w:r w:rsidRPr="00FD1AF2">
        <w:rPr>
          <w:rFonts w:ascii="Times New Roman" w:hAnsi="Times New Roman" w:cs="Times New Roman"/>
          <w:color w:val="191919"/>
          <w:shd w:val="clear" w:color="auto" w:fill="FFFFFF"/>
        </w:rPr>
        <w:t>mpirical research.  Empirical research is defined as any study whose conclusions are exclusively derived from concrete, verifiable evidence</w:t>
      </w:r>
      <w:r w:rsidR="00FD1AF2">
        <w:rPr>
          <w:rFonts w:ascii="Times New Roman" w:hAnsi="Times New Roman" w:cs="Times New Roman"/>
          <w:color w:val="191919"/>
          <w:shd w:val="clear" w:color="auto" w:fill="FFFFFF"/>
        </w:rPr>
        <w:t xml:space="preserve">. </w:t>
      </w:r>
      <w:r w:rsidR="00FD1AF2">
        <w:rPr>
          <w:rStyle w:val="FootnoteReference"/>
          <w:rFonts w:ascii="Times New Roman" w:hAnsi="Times New Roman" w:cs="Times New Roman"/>
          <w:color w:val="191919"/>
          <w:shd w:val="clear" w:color="auto" w:fill="FFFFFF"/>
        </w:rPr>
        <w:footnoteReference w:id="33"/>
      </w:r>
    </w:p>
    <w:p w14:paraId="4995232A" w14:textId="77777777" w:rsidR="00560AE6" w:rsidRPr="00560AE6" w:rsidRDefault="00560AE6" w:rsidP="009A17AA">
      <w:pPr>
        <w:pStyle w:val="Default"/>
        <w:spacing w:line="276" w:lineRule="auto"/>
        <w:rPr>
          <w:rFonts w:ascii="Times New Roman" w:hAnsi="Times New Roman" w:cs="Times New Roman"/>
        </w:rPr>
      </w:pPr>
    </w:p>
    <w:p w14:paraId="0FF608A2" w14:textId="45E7A0B4" w:rsidR="00560AE6" w:rsidRDefault="00560AE6" w:rsidP="009A17AA">
      <w:pPr>
        <w:pStyle w:val="Default"/>
        <w:spacing w:line="276" w:lineRule="auto"/>
        <w:rPr>
          <w:rFonts w:ascii="Times New Roman" w:hAnsi="Times New Roman" w:cs="Times New Roman"/>
          <w:i/>
          <w:iCs/>
        </w:rPr>
      </w:pPr>
      <w:r w:rsidRPr="00560AE6">
        <w:rPr>
          <w:rFonts w:ascii="Times New Roman" w:hAnsi="Times New Roman" w:cs="Times New Roman"/>
        </w:rPr>
        <w:t>This memo was the result of a request for “information from the State to assist the USFS in documenting for the administrative record why the 1981 baseline environmental study entitled, “Heavy Metal Concentrations in Aquatic Biota of Greens Creek, Zinc Creek, and Hawk Inlet” (</w:t>
      </w:r>
      <w:proofErr w:type="spellStart"/>
      <w:r w:rsidRPr="00560AE6">
        <w:rPr>
          <w:rFonts w:ascii="Times New Roman" w:hAnsi="Times New Roman" w:cs="Times New Roman"/>
        </w:rPr>
        <w:t>Richkus</w:t>
      </w:r>
      <w:proofErr w:type="spellEnd"/>
      <w:r w:rsidRPr="00560AE6">
        <w:rPr>
          <w:rFonts w:ascii="Times New Roman" w:hAnsi="Times New Roman" w:cs="Times New Roman"/>
        </w:rPr>
        <w:t xml:space="preserve"> and Johnson 1981) </w:t>
      </w:r>
      <w:r w:rsidRPr="00560AE6">
        <w:rPr>
          <w:rFonts w:ascii="Times New Roman" w:hAnsi="Times New Roman" w:cs="Times New Roman"/>
          <w:i/>
          <w:iCs/>
        </w:rPr>
        <w:t>cannot and/or need not be replicated</w:t>
      </w:r>
      <w:r w:rsidRPr="00560AE6">
        <w:rPr>
          <w:i/>
          <w:iCs/>
        </w:rPr>
        <w:t>.</w:t>
      </w:r>
      <w:r>
        <w:rPr>
          <w:i/>
          <w:iCs/>
        </w:rPr>
        <w:t xml:space="preserve">” </w:t>
      </w:r>
      <w:r w:rsidRPr="007F2CD2">
        <w:rPr>
          <w:rFonts w:ascii="Times New Roman" w:hAnsi="Times New Roman" w:cs="Times New Roman"/>
        </w:rPr>
        <w:t>Italics added</w:t>
      </w:r>
      <w:r>
        <w:rPr>
          <w:rFonts w:ascii="Times New Roman" w:hAnsi="Times New Roman" w:cs="Times New Roman"/>
          <w:i/>
          <w:iCs/>
        </w:rPr>
        <w:t>.</w:t>
      </w:r>
    </w:p>
    <w:p w14:paraId="07EB74F9" w14:textId="77777777" w:rsidR="00FD1AF2" w:rsidRDefault="00FD1AF2" w:rsidP="009A17AA">
      <w:pPr>
        <w:pStyle w:val="Default"/>
        <w:spacing w:line="276" w:lineRule="auto"/>
        <w:rPr>
          <w:rFonts w:ascii="Times New Roman" w:hAnsi="Times New Roman" w:cs="Times New Roman"/>
          <w:i/>
          <w:iCs/>
        </w:rPr>
      </w:pPr>
    </w:p>
    <w:p w14:paraId="01E546C6" w14:textId="30D48D6F" w:rsidR="00FD1AF2" w:rsidRPr="00FD1AF2" w:rsidRDefault="00FD1AF2" w:rsidP="009A17AA">
      <w:pPr>
        <w:pStyle w:val="Default"/>
        <w:spacing w:line="276" w:lineRule="auto"/>
        <w:rPr>
          <w:rFonts w:ascii="Times New Roman" w:hAnsi="Times New Roman" w:cs="Times New Roman"/>
        </w:rPr>
      </w:pPr>
      <w:r w:rsidRPr="00FD1AF2">
        <w:rPr>
          <w:rFonts w:ascii="Times New Roman" w:hAnsi="Times New Roman" w:cs="Times New Roman"/>
        </w:rPr>
        <w:t xml:space="preserve">Putting the conclusion before the analysis is what is known as </w:t>
      </w:r>
      <w:r w:rsidRPr="00FD1AF2">
        <w:rPr>
          <w:rFonts w:ascii="Times New Roman" w:hAnsi="Times New Roman" w:cs="Times New Roman"/>
          <w:color w:val="202122"/>
          <w:shd w:val="clear" w:color="auto" w:fill="FFFFFF"/>
        </w:rPr>
        <w:t>sponsorship bias</w:t>
      </w:r>
      <w:r>
        <w:rPr>
          <w:rFonts w:ascii="Times New Roman" w:hAnsi="Times New Roman" w:cs="Times New Roman"/>
          <w:color w:val="202122"/>
          <w:shd w:val="clear" w:color="auto" w:fill="FFFFFF"/>
        </w:rPr>
        <w:t xml:space="preserve"> and it relates to </w:t>
      </w:r>
      <w:r w:rsidRPr="00FD1AF2">
        <w:rPr>
          <w:rFonts w:ascii="Times New Roman" w:hAnsi="Times New Roman" w:cs="Times New Roman"/>
          <w:color w:val="202122"/>
          <w:shd w:val="clear" w:color="auto" w:fill="FFFFFF"/>
        </w:rPr>
        <w:t>the tendency of a scientific study to support the interests of the study's sponsor. This phenomenon is recognized sufficiently that researchers undertake studies to examine bias in past published studies</w:t>
      </w:r>
      <w:r>
        <w:rPr>
          <w:rFonts w:ascii="Times New Roman" w:hAnsi="Times New Roman" w:cs="Times New Roman"/>
          <w:color w:val="202122"/>
          <w:shd w:val="clear" w:color="auto" w:fill="FFFFFF"/>
        </w:rPr>
        <w:t xml:space="preserve">. </w:t>
      </w:r>
      <w:r>
        <w:rPr>
          <w:rStyle w:val="FootnoteReference"/>
          <w:rFonts w:ascii="Times New Roman" w:hAnsi="Times New Roman" w:cs="Times New Roman"/>
          <w:color w:val="202122"/>
          <w:shd w:val="clear" w:color="auto" w:fill="FFFFFF"/>
        </w:rPr>
        <w:footnoteReference w:id="34"/>
      </w:r>
    </w:p>
    <w:p w14:paraId="52A7C44E" w14:textId="77777777" w:rsidR="00D24999" w:rsidRDefault="00D24999" w:rsidP="009A17AA">
      <w:pPr>
        <w:pStyle w:val="Default"/>
        <w:spacing w:line="276" w:lineRule="auto"/>
        <w:rPr>
          <w:rFonts w:ascii="Times New Roman" w:hAnsi="Times New Roman" w:cs="Times New Roman"/>
          <w:i/>
          <w:iCs/>
        </w:rPr>
      </w:pPr>
    </w:p>
    <w:p w14:paraId="54E9A0DF" w14:textId="47EB0EFB" w:rsidR="00FD1AF2" w:rsidRDefault="00FD1AF2" w:rsidP="009A17AA">
      <w:pPr>
        <w:pStyle w:val="Default"/>
        <w:spacing w:line="276" w:lineRule="auto"/>
        <w:rPr>
          <w:rFonts w:ascii="Times New Roman" w:hAnsi="Times New Roman" w:cs="Times New Roman"/>
        </w:rPr>
      </w:pPr>
      <w:r>
        <w:rPr>
          <w:rFonts w:ascii="Times New Roman" w:hAnsi="Times New Roman" w:cs="Times New Roman"/>
        </w:rPr>
        <w:t xml:space="preserve">This type of reliance on a pre-determined conclusion has no place in a science-based process and its inclusion here draws into question the reliability of all the science included in the </w:t>
      </w:r>
      <w:r w:rsidR="007F2CD2">
        <w:rPr>
          <w:rFonts w:ascii="Times New Roman" w:hAnsi="Times New Roman" w:cs="Times New Roman"/>
        </w:rPr>
        <w:t xml:space="preserve">2023 </w:t>
      </w:r>
      <w:proofErr w:type="spellStart"/>
      <w:r>
        <w:rPr>
          <w:rFonts w:ascii="Times New Roman" w:hAnsi="Times New Roman" w:cs="Times New Roman"/>
        </w:rPr>
        <w:t>dSEIS</w:t>
      </w:r>
      <w:proofErr w:type="spellEnd"/>
      <w:r>
        <w:rPr>
          <w:rFonts w:ascii="Times New Roman" w:hAnsi="Times New Roman" w:cs="Times New Roman"/>
        </w:rPr>
        <w:t>.</w:t>
      </w:r>
    </w:p>
    <w:p w14:paraId="6625996D" w14:textId="77777777" w:rsidR="00FD1AF2" w:rsidRDefault="00FD1AF2" w:rsidP="009A17AA">
      <w:pPr>
        <w:pStyle w:val="Default"/>
        <w:spacing w:line="276" w:lineRule="auto"/>
        <w:rPr>
          <w:rFonts w:ascii="Times New Roman" w:hAnsi="Times New Roman" w:cs="Times New Roman"/>
        </w:rPr>
      </w:pPr>
    </w:p>
    <w:p w14:paraId="28F03C3D" w14:textId="3E946962" w:rsidR="003A0144" w:rsidRDefault="00FD1AF2" w:rsidP="009A17AA">
      <w:pPr>
        <w:pStyle w:val="Default"/>
        <w:spacing w:line="276" w:lineRule="auto"/>
        <w:rPr>
          <w:rFonts w:ascii="Times New Roman" w:hAnsi="Times New Roman" w:cs="Times New Roman"/>
        </w:rPr>
      </w:pPr>
      <w:r>
        <w:rPr>
          <w:rFonts w:ascii="Times New Roman" w:hAnsi="Times New Roman" w:cs="Times New Roman"/>
        </w:rPr>
        <w:t xml:space="preserve">If there is any doubt about </w:t>
      </w:r>
      <w:r w:rsidR="00AC577C">
        <w:rPr>
          <w:rFonts w:ascii="Times New Roman" w:hAnsi="Times New Roman" w:cs="Times New Roman"/>
        </w:rPr>
        <w:t>the State of Alaska’s</w:t>
      </w:r>
      <w:r>
        <w:rPr>
          <w:rFonts w:ascii="Times New Roman" w:hAnsi="Times New Roman" w:cs="Times New Roman"/>
        </w:rPr>
        <w:t xml:space="preserve"> capitulation to mining companies over the duty of transparency and public process in mine authorization, one need to look no further than recent developments in the State of Alaska’s </w:t>
      </w:r>
      <w:r w:rsidR="007F2CD2">
        <w:rPr>
          <w:rFonts w:ascii="Times New Roman" w:hAnsi="Times New Roman" w:cs="Times New Roman"/>
        </w:rPr>
        <w:t>actions</w:t>
      </w:r>
      <w:r>
        <w:rPr>
          <w:rFonts w:ascii="Times New Roman" w:hAnsi="Times New Roman" w:cs="Times New Roman"/>
        </w:rPr>
        <w:t xml:space="preserve"> at the Palmer Mine project north of Haines, Alaska.</w:t>
      </w:r>
      <w:r w:rsidR="00AC577C">
        <w:rPr>
          <w:rFonts w:ascii="Times New Roman" w:hAnsi="Times New Roman" w:cs="Times New Roman"/>
        </w:rPr>
        <w:t xml:space="preserve"> </w:t>
      </w:r>
      <w:r w:rsidR="00AC577C">
        <w:rPr>
          <w:rStyle w:val="FootnoteReference"/>
          <w:rFonts w:ascii="Times New Roman" w:hAnsi="Times New Roman" w:cs="Times New Roman"/>
        </w:rPr>
        <w:footnoteReference w:id="35"/>
      </w:r>
    </w:p>
    <w:p w14:paraId="40540931" w14:textId="77777777" w:rsidR="00AC577C" w:rsidRDefault="00AC577C" w:rsidP="009A17AA">
      <w:pPr>
        <w:pStyle w:val="Default"/>
        <w:spacing w:line="276" w:lineRule="auto"/>
        <w:rPr>
          <w:rFonts w:ascii="Times New Roman" w:hAnsi="Times New Roman" w:cs="Times New Roman"/>
        </w:rPr>
      </w:pPr>
    </w:p>
    <w:p w14:paraId="52C4FF88" w14:textId="248F2FEF" w:rsidR="001D5CAA" w:rsidRDefault="00AC577C" w:rsidP="009A17AA">
      <w:pPr>
        <w:shd w:val="clear" w:color="auto" w:fill="FFFFFF"/>
        <w:spacing w:after="0" w:line="276" w:lineRule="auto"/>
        <w:rPr>
          <w:rFonts w:ascii="Times New Roman" w:eastAsia="Times New Roman" w:hAnsi="Times New Roman" w:cs="Times New Roman"/>
          <w:color w:val="222222"/>
          <w:sz w:val="24"/>
          <w:szCs w:val="24"/>
        </w:rPr>
      </w:pPr>
      <w:r w:rsidRPr="001D5CAA">
        <w:rPr>
          <w:rFonts w:ascii="Times New Roman" w:eastAsia="Times New Roman" w:hAnsi="Times New Roman" w:cs="Times New Roman"/>
          <w:color w:val="222222"/>
          <w:sz w:val="24"/>
          <w:szCs w:val="24"/>
        </w:rPr>
        <w:t>T</w:t>
      </w:r>
      <w:r w:rsidRPr="00AC577C">
        <w:rPr>
          <w:rFonts w:ascii="Times New Roman" w:eastAsia="Times New Roman" w:hAnsi="Times New Roman" w:cs="Times New Roman"/>
          <w:color w:val="222222"/>
          <w:sz w:val="24"/>
          <w:szCs w:val="24"/>
        </w:rPr>
        <w:t xml:space="preserve">he administrative record </w:t>
      </w:r>
      <w:r w:rsidR="00DF5ADD">
        <w:rPr>
          <w:rFonts w:ascii="Times New Roman" w:eastAsia="Times New Roman" w:hAnsi="Times New Roman" w:cs="Times New Roman"/>
          <w:color w:val="222222"/>
          <w:sz w:val="24"/>
          <w:szCs w:val="24"/>
        </w:rPr>
        <w:t xml:space="preserve">documented in the </w:t>
      </w:r>
      <w:r w:rsidR="007F2CD2">
        <w:rPr>
          <w:rFonts w:ascii="Times New Roman" w:eastAsia="Times New Roman" w:hAnsi="Times New Roman" w:cs="Times New Roman"/>
          <w:color w:val="222222"/>
          <w:sz w:val="24"/>
          <w:szCs w:val="24"/>
        </w:rPr>
        <w:t>appeal the latest Waste Management permit</w:t>
      </w:r>
      <w:r w:rsidR="001D5CAA">
        <w:rPr>
          <w:rFonts w:ascii="Times New Roman" w:eastAsia="Times New Roman" w:hAnsi="Times New Roman" w:cs="Times New Roman"/>
          <w:color w:val="222222"/>
          <w:sz w:val="24"/>
          <w:szCs w:val="24"/>
        </w:rPr>
        <w:t xml:space="preserve"> demonstrates </w:t>
      </w:r>
      <w:r w:rsidRPr="001D5CAA">
        <w:rPr>
          <w:rFonts w:ascii="Times New Roman" w:eastAsia="Times New Roman" w:hAnsi="Times New Roman" w:cs="Times New Roman"/>
          <w:color w:val="222222"/>
          <w:sz w:val="24"/>
          <w:szCs w:val="24"/>
        </w:rPr>
        <w:t>that</w:t>
      </w:r>
      <w:r w:rsidR="001D5CAA">
        <w:rPr>
          <w:rFonts w:ascii="Times New Roman" w:eastAsia="Times New Roman" w:hAnsi="Times New Roman" w:cs="Times New Roman"/>
          <w:color w:val="222222"/>
          <w:sz w:val="24"/>
          <w:szCs w:val="24"/>
        </w:rPr>
        <w:t xml:space="preserve"> t</w:t>
      </w:r>
      <w:r w:rsidRPr="00AC577C">
        <w:rPr>
          <w:rFonts w:ascii="Times New Roman" w:eastAsia="Times New Roman" w:hAnsi="Times New Roman" w:cs="Times New Roman"/>
          <w:color w:val="222222"/>
          <w:sz w:val="24"/>
          <w:szCs w:val="24"/>
        </w:rPr>
        <w:t xml:space="preserve">he </w:t>
      </w:r>
      <w:r w:rsidRPr="001D5CAA">
        <w:rPr>
          <w:rFonts w:ascii="Times New Roman" w:eastAsia="Times New Roman" w:hAnsi="Times New Roman" w:cs="Times New Roman"/>
          <w:color w:val="222222"/>
          <w:sz w:val="24"/>
          <w:szCs w:val="24"/>
        </w:rPr>
        <w:t>Alaska Dept. of Environmental Conservation (</w:t>
      </w:r>
      <w:r w:rsidRPr="00AC577C">
        <w:rPr>
          <w:rFonts w:ascii="Times New Roman" w:eastAsia="Times New Roman" w:hAnsi="Times New Roman" w:cs="Times New Roman"/>
          <w:color w:val="222222"/>
          <w:sz w:val="24"/>
          <w:szCs w:val="24"/>
        </w:rPr>
        <w:t>DEC</w:t>
      </w:r>
      <w:r w:rsidRPr="001D5CAA">
        <w:rPr>
          <w:rFonts w:ascii="Times New Roman" w:eastAsia="Times New Roman" w:hAnsi="Times New Roman" w:cs="Times New Roman"/>
          <w:color w:val="222222"/>
          <w:sz w:val="24"/>
          <w:szCs w:val="24"/>
        </w:rPr>
        <w:t>)</w:t>
      </w:r>
      <w:r w:rsidRPr="00AC577C">
        <w:rPr>
          <w:rFonts w:ascii="Times New Roman" w:eastAsia="Times New Roman" w:hAnsi="Times New Roman" w:cs="Times New Roman"/>
          <w:color w:val="222222"/>
          <w:sz w:val="24"/>
          <w:szCs w:val="24"/>
        </w:rPr>
        <w:t xml:space="preserve"> </w:t>
      </w:r>
      <w:r w:rsidR="001D5CAA">
        <w:rPr>
          <w:rFonts w:ascii="Times New Roman" w:eastAsia="Times New Roman" w:hAnsi="Times New Roman" w:cs="Times New Roman"/>
          <w:color w:val="222222"/>
          <w:sz w:val="24"/>
          <w:szCs w:val="24"/>
        </w:rPr>
        <w:t xml:space="preserve">and the Alaska Department of Natural Resources (DNR) </w:t>
      </w:r>
      <w:r w:rsidR="007F2CD2">
        <w:rPr>
          <w:rFonts w:ascii="Times New Roman" w:eastAsia="Times New Roman" w:hAnsi="Times New Roman" w:cs="Times New Roman"/>
          <w:color w:val="222222"/>
          <w:sz w:val="24"/>
          <w:szCs w:val="24"/>
        </w:rPr>
        <w:t xml:space="preserve">colluded with the mining company and </w:t>
      </w:r>
      <w:r w:rsidR="001D5CAA" w:rsidRPr="00AC577C">
        <w:rPr>
          <w:rFonts w:ascii="Times New Roman" w:eastAsia="Times New Roman" w:hAnsi="Times New Roman" w:cs="Times New Roman"/>
          <w:color w:val="222222"/>
          <w:sz w:val="24"/>
          <w:szCs w:val="24"/>
        </w:rPr>
        <w:t>intentionally</w:t>
      </w:r>
      <w:r w:rsidRPr="00AC577C">
        <w:rPr>
          <w:rFonts w:ascii="Times New Roman" w:eastAsia="Times New Roman" w:hAnsi="Times New Roman" w:cs="Times New Roman"/>
          <w:color w:val="222222"/>
          <w:sz w:val="24"/>
          <w:szCs w:val="24"/>
        </w:rPr>
        <w:t xml:space="preserve"> concealed its May 2022 decision</w:t>
      </w:r>
      <w:r w:rsidRPr="001D5CAA">
        <w:rPr>
          <w:rFonts w:ascii="Times New Roman" w:eastAsia="Times New Roman" w:hAnsi="Times New Roman" w:cs="Times New Roman"/>
          <w:color w:val="222222"/>
          <w:sz w:val="24"/>
          <w:szCs w:val="24"/>
        </w:rPr>
        <w:t xml:space="preserve"> authorizing a waste water permit </w:t>
      </w:r>
      <w:r w:rsidR="001D5CAA">
        <w:rPr>
          <w:rFonts w:ascii="Times New Roman" w:eastAsia="Times New Roman" w:hAnsi="Times New Roman" w:cs="Times New Roman"/>
          <w:color w:val="222222"/>
          <w:sz w:val="24"/>
          <w:szCs w:val="24"/>
        </w:rPr>
        <w:t xml:space="preserve">for an underground exploration project </w:t>
      </w:r>
      <w:r w:rsidRPr="001D5CAA">
        <w:rPr>
          <w:rFonts w:ascii="Times New Roman" w:eastAsia="Times New Roman" w:hAnsi="Times New Roman" w:cs="Times New Roman"/>
          <w:color w:val="222222"/>
          <w:sz w:val="24"/>
          <w:szCs w:val="24"/>
        </w:rPr>
        <w:t>from the public until the window of appeal had expired.</w:t>
      </w:r>
      <w:r w:rsidRPr="00AC577C">
        <w:rPr>
          <w:rFonts w:ascii="Times New Roman" w:eastAsia="Times New Roman" w:hAnsi="Times New Roman" w:cs="Times New Roman"/>
          <w:color w:val="222222"/>
          <w:sz w:val="24"/>
          <w:szCs w:val="24"/>
        </w:rPr>
        <w:t xml:space="preserve">  </w:t>
      </w:r>
      <w:r w:rsidR="001D5CAA">
        <w:rPr>
          <w:rFonts w:ascii="Times New Roman" w:eastAsia="Times New Roman" w:hAnsi="Times New Roman" w:cs="Times New Roman"/>
          <w:color w:val="222222"/>
          <w:sz w:val="24"/>
          <w:szCs w:val="24"/>
        </w:rPr>
        <w:t xml:space="preserve">This denied the public from reviewing and commenting on the permit.  It also circumvented the </w:t>
      </w:r>
      <w:r w:rsidR="007F2CD2">
        <w:rPr>
          <w:rFonts w:ascii="Times New Roman" w:eastAsia="Times New Roman" w:hAnsi="Times New Roman" w:cs="Times New Roman"/>
          <w:color w:val="222222"/>
          <w:sz w:val="24"/>
          <w:szCs w:val="24"/>
        </w:rPr>
        <w:t xml:space="preserve">public’s </w:t>
      </w:r>
      <w:r w:rsidR="001D5CAA">
        <w:rPr>
          <w:rFonts w:ascii="Times New Roman" w:eastAsia="Times New Roman" w:hAnsi="Times New Roman" w:cs="Times New Roman"/>
          <w:color w:val="222222"/>
          <w:sz w:val="24"/>
          <w:szCs w:val="24"/>
        </w:rPr>
        <w:t>right to judicial review.</w:t>
      </w:r>
    </w:p>
    <w:p w14:paraId="1307E67E" w14:textId="77777777" w:rsidR="001D5CAA" w:rsidRDefault="001D5CAA" w:rsidP="009A17AA">
      <w:pPr>
        <w:shd w:val="clear" w:color="auto" w:fill="FFFFFF"/>
        <w:spacing w:after="0" w:line="276" w:lineRule="auto"/>
        <w:rPr>
          <w:rFonts w:ascii="Times New Roman" w:eastAsia="Times New Roman" w:hAnsi="Times New Roman" w:cs="Times New Roman"/>
          <w:color w:val="222222"/>
          <w:sz w:val="24"/>
          <w:szCs w:val="24"/>
        </w:rPr>
      </w:pPr>
    </w:p>
    <w:p w14:paraId="60BA1BD6" w14:textId="3C767066" w:rsidR="00AC577C" w:rsidRPr="00AC577C" w:rsidRDefault="001D5CAA" w:rsidP="009A17AA">
      <w:pPr>
        <w:shd w:val="clear" w:color="auto" w:fill="FFFFFF"/>
        <w:spacing w:after="0"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w:t>
      </w:r>
      <w:r w:rsidR="00AC577C" w:rsidRPr="00AC577C">
        <w:rPr>
          <w:rFonts w:ascii="Times New Roman" w:eastAsia="Times New Roman" w:hAnsi="Times New Roman" w:cs="Times New Roman"/>
          <w:color w:val="222222"/>
          <w:sz w:val="24"/>
          <w:szCs w:val="24"/>
        </w:rPr>
        <w:t xml:space="preserve">he record </w:t>
      </w:r>
      <w:r>
        <w:rPr>
          <w:rFonts w:ascii="Times New Roman" w:eastAsia="Times New Roman" w:hAnsi="Times New Roman" w:cs="Times New Roman"/>
          <w:color w:val="222222"/>
          <w:sz w:val="24"/>
          <w:szCs w:val="24"/>
        </w:rPr>
        <w:t xml:space="preserve">in this case </w:t>
      </w:r>
      <w:r w:rsidR="00AC577C" w:rsidRPr="00AC577C">
        <w:rPr>
          <w:rFonts w:ascii="Times New Roman" w:eastAsia="Times New Roman" w:hAnsi="Times New Roman" w:cs="Times New Roman"/>
          <w:color w:val="222222"/>
          <w:sz w:val="24"/>
          <w:szCs w:val="24"/>
        </w:rPr>
        <w:t>includes the following:</w:t>
      </w:r>
    </w:p>
    <w:p w14:paraId="5ECADBB3" w14:textId="783433F7" w:rsidR="00AC577C" w:rsidRPr="00AC577C" w:rsidRDefault="00AC577C" w:rsidP="009A17AA">
      <w:pPr>
        <w:numPr>
          <w:ilvl w:val="1"/>
          <w:numId w:val="10"/>
        </w:numPr>
        <w:shd w:val="clear" w:color="auto" w:fill="FFFFFF"/>
        <w:tabs>
          <w:tab w:val="clear" w:pos="1440"/>
          <w:tab w:val="num" w:pos="720"/>
        </w:tabs>
        <w:spacing w:after="0" w:line="276" w:lineRule="auto"/>
        <w:ind w:left="720"/>
        <w:rPr>
          <w:rFonts w:ascii="Times New Roman" w:eastAsia="Times New Roman" w:hAnsi="Times New Roman" w:cs="Times New Roman"/>
          <w:color w:val="222222"/>
          <w:sz w:val="24"/>
          <w:szCs w:val="24"/>
        </w:rPr>
      </w:pPr>
      <w:r w:rsidRPr="00AC577C">
        <w:rPr>
          <w:rFonts w:ascii="Times New Roman" w:eastAsia="Times New Roman" w:hAnsi="Times New Roman" w:cs="Times New Roman"/>
          <w:color w:val="222222"/>
          <w:sz w:val="24"/>
          <w:szCs w:val="24"/>
        </w:rPr>
        <w:t xml:space="preserve">Dec. 24, 2018 </w:t>
      </w:r>
      <w:proofErr w:type="gramStart"/>
      <w:r w:rsidRPr="00AC577C">
        <w:rPr>
          <w:rFonts w:ascii="Times New Roman" w:eastAsia="Times New Roman" w:hAnsi="Times New Roman" w:cs="Times New Roman"/>
          <w:color w:val="222222"/>
          <w:sz w:val="24"/>
          <w:szCs w:val="24"/>
        </w:rPr>
        <w:t>email</w:t>
      </w:r>
      <w:proofErr w:type="gramEnd"/>
      <w:r w:rsidRPr="00AC577C">
        <w:rPr>
          <w:rFonts w:ascii="Times New Roman" w:eastAsia="Times New Roman" w:hAnsi="Times New Roman" w:cs="Times New Roman"/>
          <w:color w:val="222222"/>
          <w:sz w:val="24"/>
          <w:szCs w:val="24"/>
        </w:rPr>
        <w:t xml:space="preserve"> from Kyle Moselle </w:t>
      </w:r>
      <w:r w:rsidRPr="001D5CAA">
        <w:rPr>
          <w:rFonts w:ascii="Times New Roman" w:eastAsia="Times New Roman" w:hAnsi="Times New Roman" w:cs="Times New Roman"/>
          <w:color w:val="222222"/>
          <w:sz w:val="24"/>
          <w:szCs w:val="24"/>
        </w:rPr>
        <w:t xml:space="preserve">at Dept. of Natural Resources </w:t>
      </w:r>
      <w:r w:rsidRPr="00AC577C">
        <w:rPr>
          <w:rFonts w:ascii="Times New Roman" w:eastAsia="Times New Roman" w:hAnsi="Times New Roman" w:cs="Times New Roman"/>
          <w:color w:val="222222"/>
          <w:sz w:val="24"/>
          <w:szCs w:val="24"/>
        </w:rPr>
        <w:t xml:space="preserve">to Constantine explaining that although there would not be advance public notice when DEC approved the revised </w:t>
      </w:r>
      <w:r w:rsidRPr="001D5CAA">
        <w:rPr>
          <w:rFonts w:ascii="Times New Roman" w:eastAsia="Times New Roman" w:hAnsi="Times New Roman" w:cs="Times New Roman"/>
          <w:color w:val="222222"/>
          <w:sz w:val="24"/>
          <w:szCs w:val="24"/>
        </w:rPr>
        <w:t>permit,</w:t>
      </w:r>
      <w:r w:rsidRPr="00AC577C">
        <w:rPr>
          <w:rFonts w:ascii="Times New Roman" w:eastAsia="Times New Roman" w:hAnsi="Times New Roman" w:cs="Times New Roman"/>
          <w:color w:val="222222"/>
          <w:sz w:val="24"/>
          <w:szCs w:val="24"/>
        </w:rPr>
        <w:t xml:space="preserve"> the final approvals would be posted to DNR’s large mine project page</w:t>
      </w:r>
      <w:r w:rsidRPr="001D5CAA">
        <w:rPr>
          <w:rFonts w:ascii="Times New Roman" w:eastAsia="Times New Roman" w:hAnsi="Times New Roman" w:cs="Times New Roman"/>
          <w:color w:val="222222"/>
          <w:sz w:val="24"/>
          <w:szCs w:val="24"/>
        </w:rPr>
        <w:t>.</w:t>
      </w:r>
    </w:p>
    <w:p w14:paraId="275B3EA4" w14:textId="0EA4E0E3" w:rsidR="00AC577C" w:rsidRPr="00AC577C" w:rsidRDefault="00AC577C" w:rsidP="009A17AA">
      <w:pPr>
        <w:numPr>
          <w:ilvl w:val="1"/>
          <w:numId w:val="10"/>
        </w:numPr>
        <w:shd w:val="clear" w:color="auto" w:fill="FFFFFF"/>
        <w:tabs>
          <w:tab w:val="clear" w:pos="1440"/>
          <w:tab w:val="num" w:pos="720"/>
        </w:tabs>
        <w:spacing w:after="0" w:line="276" w:lineRule="auto"/>
        <w:ind w:left="720"/>
        <w:rPr>
          <w:rFonts w:ascii="Times New Roman" w:eastAsia="Times New Roman" w:hAnsi="Times New Roman" w:cs="Times New Roman"/>
          <w:color w:val="222222"/>
          <w:sz w:val="24"/>
          <w:szCs w:val="24"/>
        </w:rPr>
      </w:pPr>
      <w:r w:rsidRPr="00AC577C">
        <w:rPr>
          <w:rFonts w:ascii="Times New Roman" w:eastAsia="Times New Roman" w:hAnsi="Times New Roman" w:cs="Times New Roman"/>
          <w:color w:val="222222"/>
          <w:sz w:val="24"/>
          <w:szCs w:val="24"/>
        </w:rPr>
        <w:t xml:space="preserve">Feb. 4, 2022 </w:t>
      </w:r>
      <w:proofErr w:type="gramStart"/>
      <w:r w:rsidRPr="00AC577C">
        <w:rPr>
          <w:rFonts w:ascii="Times New Roman" w:eastAsia="Times New Roman" w:hAnsi="Times New Roman" w:cs="Times New Roman"/>
          <w:color w:val="222222"/>
          <w:sz w:val="24"/>
          <w:szCs w:val="24"/>
        </w:rPr>
        <w:t>email</w:t>
      </w:r>
      <w:proofErr w:type="gramEnd"/>
      <w:r w:rsidRPr="00AC577C">
        <w:rPr>
          <w:rFonts w:ascii="Times New Roman" w:eastAsia="Times New Roman" w:hAnsi="Times New Roman" w:cs="Times New Roman"/>
          <w:color w:val="222222"/>
          <w:sz w:val="24"/>
          <w:szCs w:val="24"/>
        </w:rPr>
        <w:t xml:space="preserve"> where Gene McCabe </w:t>
      </w:r>
      <w:r w:rsidRPr="001D5CAA">
        <w:rPr>
          <w:rFonts w:ascii="Times New Roman" w:eastAsia="Times New Roman" w:hAnsi="Times New Roman" w:cs="Times New Roman"/>
          <w:color w:val="222222"/>
          <w:sz w:val="24"/>
          <w:szCs w:val="24"/>
        </w:rPr>
        <w:t xml:space="preserve">with DEC </w:t>
      </w:r>
      <w:r w:rsidRPr="00AC577C">
        <w:rPr>
          <w:rFonts w:ascii="Times New Roman" w:eastAsia="Times New Roman" w:hAnsi="Times New Roman" w:cs="Times New Roman"/>
          <w:color w:val="222222"/>
          <w:sz w:val="24"/>
          <w:szCs w:val="24"/>
        </w:rPr>
        <w:t xml:space="preserve">describes for </w:t>
      </w:r>
      <w:r w:rsidRPr="001D5CAA">
        <w:rPr>
          <w:rFonts w:ascii="Times New Roman" w:eastAsia="Times New Roman" w:hAnsi="Times New Roman" w:cs="Times New Roman"/>
          <w:color w:val="222222"/>
          <w:sz w:val="24"/>
          <w:szCs w:val="24"/>
        </w:rPr>
        <w:t xml:space="preserve">DEC Division of Water Director </w:t>
      </w:r>
      <w:r w:rsidRPr="00AC577C">
        <w:rPr>
          <w:rFonts w:ascii="Times New Roman" w:eastAsia="Times New Roman" w:hAnsi="Times New Roman" w:cs="Times New Roman"/>
          <w:color w:val="222222"/>
          <w:sz w:val="24"/>
          <w:szCs w:val="24"/>
        </w:rPr>
        <w:t xml:space="preserve">Randy Bates the strategy of not telling </w:t>
      </w:r>
      <w:r w:rsidRPr="001D5CAA">
        <w:rPr>
          <w:rFonts w:ascii="Times New Roman" w:eastAsia="Times New Roman" w:hAnsi="Times New Roman" w:cs="Times New Roman"/>
          <w:color w:val="222222"/>
          <w:sz w:val="24"/>
          <w:szCs w:val="24"/>
        </w:rPr>
        <w:t xml:space="preserve">the public </w:t>
      </w:r>
      <w:r w:rsidRPr="00AC577C">
        <w:rPr>
          <w:rFonts w:ascii="Times New Roman" w:eastAsia="Times New Roman" w:hAnsi="Times New Roman" w:cs="Times New Roman"/>
          <w:color w:val="222222"/>
          <w:sz w:val="24"/>
          <w:szCs w:val="24"/>
        </w:rPr>
        <w:t xml:space="preserve">about the approval unless they ask about it </w:t>
      </w:r>
      <w:r w:rsidR="001D5CAA" w:rsidRPr="001D5CAA">
        <w:rPr>
          <w:rFonts w:ascii="Times New Roman" w:eastAsia="Times New Roman" w:hAnsi="Times New Roman" w:cs="Times New Roman"/>
          <w:color w:val="222222"/>
          <w:sz w:val="24"/>
          <w:szCs w:val="24"/>
        </w:rPr>
        <w:t xml:space="preserve">and </w:t>
      </w:r>
      <w:r w:rsidRPr="00AC577C">
        <w:rPr>
          <w:rFonts w:ascii="Times New Roman" w:eastAsia="Times New Roman" w:hAnsi="Times New Roman" w:cs="Times New Roman"/>
          <w:color w:val="222222"/>
          <w:sz w:val="24"/>
          <w:szCs w:val="24"/>
        </w:rPr>
        <w:t>directly and notes that Constantine’s “main concern” was whether there would be a public process for the revised LAD system</w:t>
      </w:r>
      <w:r w:rsidR="001D5CAA" w:rsidRPr="001D5CAA">
        <w:rPr>
          <w:rFonts w:ascii="Times New Roman" w:eastAsia="Times New Roman" w:hAnsi="Times New Roman" w:cs="Times New Roman"/>
          <w:color w:val="222222"/>
          <w:sz w:val="24"/>
          <w:szCs w:val="24"/>
        </w:rPr>
        <w:t>.</w:t>
      </w:r>
    </w:p>
    <w:p w14:paraId="727EE088" w14:textId="6DACB0B7" w:rsidR="00AC577C" w:rsidRPr="00AC577C" w:rsidRDefault="00AC577C" w:rsidP="009A17AA">
      <w:pPr>
        <w:numPr>
          <w:ilvl w:val="1"/>
          <w:numId w:val="10"/>
        </w:numPr>
        <w:shd w:val="clear" w:color="auto" w:fill="FFFFFF"/>
        <w:tabs>
          <w:tab w:val="clear" w:pos="1440"/>
          <w:tab w:val="num" w:pos="720"/>
        </w:tabs>
        <w:spacing w:after="0" w:line="276" w:lineRule="auto"/>
        <w:ind w:left="720"/>
        <w:rPr>
          <w:rFonts w:ascii="Times New Roman" w:eastAsia="Times New Roman" w:hAnsi="Times New Roman" w:cs="Times New Roman"/>
          <w:color w:val="222222"/>
          <w:sz w:val="24"/>
          <w:szCs w:val="24"/>
        </w:rPr>
      </w:pPr>
      <w:r w:rsidRPr="00AC577C">
        <w:rPr>
          <w:rFonts w:ascii="Times New Roman" w:eastAsia="Times New Roman" w:hAnsi="Times New Roman" w:cs="Times New Roman"/>
          <w:color w:val="222222"/>
          <w:sz w:val="24"/>
          <w:szCs w:val="24"/>
        </w:rPr>
        <w:lastRenderedPageBreak/>
        <w:t xml:space="preserve">May 17, 2022 letter from the Alaska Miners’ Association objecting to </w:t>
      </w:r>
      <w:r w:rsidR="001D5CAA" w:rsidRPr="001D5CAA">
        <w:rPr>
          <w:rFonts w:ascii="Times New Roman" w:eastAsia="Times New Roman" w:hAnsi="Times New Roman" w:cs="Times New Roman"/>
          <w:color w:val="222222"/>
          <w:sz w:val="24"/>
          <w:szCs w:val="24"/>
        </w:rPr>
        <w:t xml:space="preserve">the </w:t>
      </w:r>
      <w:r w:rsidRPr="00AC577C">
        <w:rPr>
          <w:rFonts w:ascii="Times New Roman" w:eastAsia="Times New Roman" w:hAnsi="Times New Roman" w:cs="Times New Roman"/>
          <w:color w:val="222222"/>
          <w:sz w:val="24"/>
          <w:szCs w:val="24"/>
        </w:rPr>
        <w:t>S</w:t>
      </w:r>
      <w:r w:rsidR="001D5CAA" w:rsidRPr="001D5CAA">
        <w:rPr>
          <w:rFonts w:ascii="Times New Roman" w:eastAsia="Times New Roman" w:hAnsi="Times New Roman" w:cs="Times New Roman"/>
          <w:color w:val="222222"/>
          <w:sz w:val="24"/>
          <w:szCs w:val="24"/>
        </w:rPr>
        <w:t xml:space="preserve">outheast Alaska Conservation Council’s (SEACC) </w:t>
      </w:r>
      <w:r w:rsidRPr="00AC577C">
        <w:rPr>
          <w:rFonts w:ascii="Times New Roman" w:eastAsia="Times New Roman" w:hAnsi="Times New Roman" w:cs="Times New Roman"/>
          <w:color w:val="222222"/>
          <w:sz w:val="24"/>
          <w:szCs w:val="24"/>
        </w:rPr>
        <w:t>request for a public hearing or comment on the changes to the LAD system</w:t>
      </w:r>
      <w:r w:rsidR="001D5CAA" w:rsidRPr="001D5CAA">
        <w:rPr>
          <w:rFonts w:ascii="Times New Roman" w:eastAsia="Times New Roman" w:hAnsi="Times New Roman" w:cs="Times New Roman"/>
          <w:color w:val="222222"/>
          <w:sz w:val="24"/>
          <w:szCs w:val="24"/>
        </w:rPr>
        <w:t>.</w:t>
      </w:r>
    </w:p>
    <w:p w14:paraId="0878C223" w14:textId="736AFCCF" w:rsidR="00AC577C" w:rsidRPr="00AC577C" w:rsidRDefault="00AC577C" w:rsidP="009A17AA">
      <w:pPr>
        <w:numPr>
          <w:ilvl w:val="1"/>
          <w:numId w:val="10"/>
        </w:numPr>
        <w:shd w:val="clear" w:color="auto" w:fill="FFFFFF"/>
        <w:tabs>
          <w:tab w:val="clear" w:pos="1440"/>
          <w:tab w:val="num" w:pos="720"/>
        </w:tabs>
        <w:spacing w:after="0" w:line="276" w:lineRule="auto"/>
        <w:ind w:left="720"/>
        <w:rPr>
          <w:rFonts w:ascii="Times New Roman" w:eastAsia="Times New Roman" w:hAnsi="Times New Roman" w:cs="Times New Roman"/>
          <w:color w:val="222222"/>
          <w:sz w:val="24"/>
          <w:szCs w:val="24"/>
        </w:rPr>
      </w:pPr>
      <w:r w:rsidRPr="00AC577C">
        <w:rPr>
          <w:rFonts w:ascii="Times New Roman" w:eastAsia="Times New Roman" w:hAnsi="Times New Roman" w:cs="Times New Roman"/>
          <w:color w:val="222222"/>
          <w:sz w:val="24"/>
          <w:szCs w:val="24"/>
        </w:rPr>
        <w:t xml:space="preserve">May 20, 2022 email showing they had prepared the postdated May 27 approval already, on the same day that </w:t>
      </w:r>
      <w:r w:rsidR="001D5CAA" w:rsidRPr="001D5CAA">
        <w:rPr>
          <w:rFonts w:ascii="Times New Roman" w:eastAsia="Times New Roman" w:hAnsi="Times New Roman" w:cs="Times New Roman"/>
          <w:color w:val="222222"/>
          <w:sz w:val="24"/>
          <w:szCs w:val="24"/>
        </w:rPr>
        <w:t>Director Bates</w:t>
      </w:r>
      <w:r w:rsidRPr="00AC577C">
        <w:rPr>
          <w:rFonts w:ascii="Times New Roman" w:eastAsia="Times New Roman" w:hAnsi="Times New Roman" w:cs="Times New Roman"/>
          <w:color w:val="222222"/>
          <w:sz w:val="24"/>
          <w:szCs w:val="24"/>
        </w:rPr>
        <w:t xml:space="preserve"> told the </w:t>
      </w:r>
      <w:r w:rsidR="001D5CAA" w:rsidRPr="001D5CAA">
        <w:rPr>
          <w:rFonts w:ascii="Times New Roman" w:eastAsia="Times New Roman" w:hAnsi="Times New Roman" w:cs="Times New Roman"/>
          <w:color w:val="222222"/>
          <w:sz w:val="24"/>
          <w:szCs w:val="24"/>
        </w:rPr>
        <w:t>public t</w:t>
      </w:r>
      <w:r w:rsidRPr="00AC577C">
        <w:rPr>
          <w:rFonts w:ascii="Times New Roman" w:eastAsia="Times New Roman" w:hAnsi="Times New Roman" w:cs="Times New Roman"/>
          <w:color w:val="222222"/>
          <w:sz w:val="24"/>
          <w:szCs w:val="24"/>
        </w:rPr>
        <w:t xml:space="preserve">hey were still “evaluating” the amendment package.  </w:t>
      </w:r>
      <w:r w:rsidR="001D5CAA" w:rsidRPr="001D5CAA">
        <w:rPr>
          <w:rFonts w:ascii="Times New Roman" w:eastAsia="Times New Roman" w:hAnsi="Times New Roman" w:cs="Times New Roman"/>
          <w:color w:val="222222"/>
          <w:sz w:val="24"/>
          <w:szCs w:val="24"/>
        </w:rPr>
        <w:t xml:space="preserve">Director Bates repeated this lie to the </w:t>
      </w:r>
      <w:proofErr w:type="spellStart"/>
      <w:r w:rsidR="001D5CAA" w:rsidRPr="001D5CAA">
        <w:rPr>
          <w:rFonts w:ascii="Times New Roman" w:eastAsia="Times New Roman" w:hAnsi="Times New Roman" w:cs="Times New Roman"/>
          <w:color w:val="222222"/>
          <w:sz w:val="24"/>
          <w:szCs w:val="24"/>
        </w:rPr>
        <w:t>Chilkat</w:t>
      </w:r>
      <w:proofErr w:type="spellEnd"/>
      <w:r w:rsidR="001D5CAA" w:rsidRPr="001D5CAA">
        <w:rPr>
          <w:rFonts w:ascii="Times New Roman" w:eastAsia="Times New Roman" w:hAnsi="Times New Roman" w:cs="Times New Roman"/>
          <w:color w:val="222222"/>
          <w:sz w:val="24"/>
          <w:szCs w:val="24"/>
        </w:rPr>
        <w:t xml:space="preserve"> Indian Village, a federally recognized Tribe, </w:t>
      </w:r>
      <w:r w:rsidRPr="00AC577C">
        <w:rPr>
          <w:rFonts w:ascii="Times New Roman" w:eastAsia="Times New Roman" w:hAnsi="Times New Roman" w:cs="Times New Roman"/>
          <w:color w:val="222222"/>
          <w:sz w:val="24"/>
          <w:szCs w:val="24"/>
        </w:rPr>
        <w:t>four days later, on May 24, 2022.</w:t>
      </w:r>
    </w:p>
    <w:p w14:paraId="1BBC6E97" w14:textId="259B40CF" w:rsidR="00AC577C" w:rsidRPr="00AC577C" w:rsidRDefault="00AC577C" w:rsidP="009A17AA">
      <w:pPr>
        <w:numPr>
          <w:ilvl w:val="1"/>
          <w:numId w:val="10"/>
        </w:numPr>
        <w:shd w:val="clear" w:color="auto" w:fill="FFFFFF"/>
        <w:tabs>
          <w:tab w:val="clear" w:pos="1440"/>
          <w:tab w:val="num" w:pos="720"/>
        </w:tabs>
        <w:spacing w:after="0" w:line="276" w:lineRule="auto"/>
        <w:ind w:left="720"/>
        <w:rPr>
          <w:rFonts w:ascii="Times New Roman" w:eastAsia="Times New Roman" w:hAnsi="Times New Roman" w:cs="Times New Roman"/>
          <w:color w:val="222222"/>
          <w:sz w:val="24"/>
          <w:szCs w:val="24"/>
        </w:rPr>
      </w:pPr>
      <w:r w:rsidRPr="00AC577C">
        <w:rPr>
          <w:rFonts w:ascii="Times New Roman" w:eastAsia="Times New Roman" w:hAnsi="Times New Roman" w:cs="Times New Roman"/>
          <w:color w:val="222222"/>
          <w:sz w:val="24"/>
          <w:szCs w:val="24"/>
        </w:rPr>
        <w:t xml:space="preserve">An email exchange between DEC and DNR starting on May 27, 2022 transmitting the </w:t>
      </w:r>
      <w:r w:rsidR="001D5CAA" w:rsidRPr="001D5CAA">
        <w:rPr>
          <w:rFonts w:ascii="Times New Roman" w:eastAsia="Times New Roman" w:hAnsi="Times New Roman" w:cs="Times New Roman"/>
          <w:color w:val="222222"/>
          <w:sz w:val="24"/>
          <w:szCs w:val="24"/>
        </w:rPr>
        <w:t xml:space="preserve">permit </w:t>
      </w:r>
      <w:r w:rsidRPr="00AC577C">
        <w:rPr>
          <w:rFonts w:ascii="Times New Roman" w:eastAsia="Times New Roman" w:hAnsi="Times New Roman" w:cs="Times New Roman"/>
          <w:color w:val="222222"/>
          <w:sz w:val="24"/>
          <w:szCs w:val="24"/>
        </w:rPr>
        <w:t xml:space="preserve">approval to DNR but then telling DNR to avoid posting the documents online.  </w:t>
      </w:r>
    </w:p>
    <w:p w14:paraId="26EB6156" w14:textId="5E947E77" w:rsidR="00AC577C" w:rsidRPr="00AC577C" w:rsidRDefault="00AC577C" w:rsidP="009A17AA">
      <w:pPr>
        <w:numPr>
          <w:ilvl w:val="1"/>
          <w:numId w:val="10"/>
        </w:numPr>
        <w:shd w:val="clear" w:color="auto" w:fill="FFFFFF"/>
        <w:tabs>
          <w:tab w:val="clear" w:pos="1440"/>
          <w:tab w:val="num" w:pos="720"/>
        </w:tabs>
        <w:spacing w:after="0" w:line="276" w:lineRule="auto"/>
        <w:ind w:left="720"/>
        <w:rPr>
          <w:rFonts w:ascii="Times New Roman" w:eastAsia="Times New Roman" w:hAnsi="Times New Roman" w:cs="Times New Roman"/>
          <w:color w:val="222222"/>
          <w:sz w:val="24"/>
          <w:szCs w:val="24"/>
        </w:rPr>
      </w:pPr>
      <w:r w:rsidRPr="00AC577C">
        <w:rPr>
          <w:rFonts w:ascii="Times New Roman" w:eastAsia="Times New Roman" w:hAnsi="Times New Roman" w:cs="Times New Roman"/>
          <w:color w:val="222222"/>
          <w:sz w:val="24"/>
          <w:szCs w:val="24"/>
        </w:rPr>
        <w:t xml:space="preserve">A June 3, 2022 DEC email transmitting the approval to J.P. </w:t>
      </w:r>
      <w:proofErr w:type="spellStart"/>
      <w:r w:rsidRPr="00AC577C">
        <w:rPr>
          <w:rFonts w:ascii="Times New Roman" w:eastAsia="Times New Roman" w:hAnsi="Times New Roman" w:cs="Times New Roman"/>
          <w:color w:val="222222"/>
          <w:sz w:val="24"/>
          <w:szCs w:val="24"/>
        </w:rPr>
        <w:t>Tangen</w:t>
      </w:r>
      <w:proofErr w:type="spellEnd"/>
      <w:r w:rsidRPr="00AC577C">
        <w:rPr>
          <w:rFonts w:ascii="Times New Roman" w:eastAsia="Times New Roman" w:hAnsi="Times New Roman" w:cs="Times New Roman"/>
          <w:color w:val="222222"/>
          <w:sz w:val="24"/>
          <w:szCs w:val="24"/>
        </w:rPr>
        <w:t xml:space="preserve"> “Per your request.”  This was nearly two months before DEC informed SEACC about the approval.  J.P. </w:t>
      </w:r>
      <w:proofErr w:type="spellStart"/>
      <w:r w:rsidRPr="00AC577C">
        <w:rPr>
          <w:rFonts w:ascii="Times New Roman" w:eastAsia="Times New Roman" w:hAnsi="Times New Roman" w:cs="Times New Roman"/>
          <w:color w:val="222222"/>
          <w:sz w:val="24"/>
          <w:szCs w:val="24"/>
        </w:rPr>
        <w:t>Tangen</w:t>
      </w:r>
      <w:proofErr w:type="spellEnd"/>
      <w:r w:rsidRPr="00AC577C">
        <w:rPr>
          <w:rFonts w:ascii="Times New Roman" w:eastAsia="Times New Roman" w:hAnsi="Times New Roman" w:cs="Times New Roman"/>
          <w:color w:val="222222"/>
          <w:sz w:val="24"/>
          <w:szCs w:val="24"/>
        </w:rPr>
        <w:t xml:space="preserve"> calls himself “Alaska’s Mining Attorney.”  </w:t>
      </w:r>
    </w:p>
    <w:p w14:paraId="2F01E8D9" w14:textId="1621EB79" w:rsidR="00AC577C" w:rsidRPr="001D5CAA" w:rsidRDefault="00AC577C" w:rsidP="009A17AA">
      <w:pPr>
        <w:numPr>
          <w:ilvl w:val="1"/>
          <w:numId w:val="10"/>
        </w:numPr>
        <w:shd w:val="clear" w:color="auto" w:fill="FFFFFF"/>
        <w:tabs>
          <w:tab w:val="clear" w:pos="1440"/>
          <w:tab w:val="num" w:pos="720"/>
        </w:tabs>
        <w:spacing w:after="0" w:line="276" w:lineRule="auto"/>
        <w:ind w:left="720"/>
        <w:rPr>
          <w:rFonts w:ascii="Times New Roman" w:eastAsia="Times New Roman" w:hAnsi="Times New Roman" w:cs="Times New Roman"/>
          <w:color w:val="222222"/>
          <w:sz w:val="24"/>
          <w:szCs w:val="24"/>
        </w:rPr>
      </w:pPr>
      <w:r w:rsidRPr="00AC577C">
        <w:rPr>
          <w:rFonts w:ascii="Times New Roman" w:eastAsia="Times New Roman" w:hAnsi="Times New Roman" w:cs="Times New Roman"/>
          <w:color w:val="222222"/>
          <w:sz w:val="24"/>
          <w:szCs w:val="24"/>
        </w:rPr>
        <w:t xml:space="preserve">In the midst of all this, the record contains repeated requests by the </w:t>
      </w:r>
      <w:proofErr w:type="spellStart"/>
      <w:r w:rsidRPr="00AC577C">
        <w:rPr>
          <w:rFonts w:ascii="Times New Roman" w:eastAsia="Times New Roman" w:hAnsi="Times New Roman" w:cs="Times New Roman"/>
          <w:color w:val="222222"/>
          <w:sz w:val="24"/>
          <w:szCs w:val="24"/>
        </w:rPr>
        <w:t>Chilkat</w:t>
      </w:r>
      <w:proofErr w:type="spellEnd"/>
      <w:r w:rsidRPr="00AC577C">
        <w:rPr>
          <w:rFonts w:ascii="Times New Roman" w:eastAsia="Times New Roman" w:hAnsi="Times New Roman" w:cs="Times New Roman"/>
          <w:color w:val="222222"/>
          <w:sz w:val="24"/>
          <w:szCs w:val="24"/>
        </w:rPr>
        <w:t xml:space="preserve"> Indian Village</w:t>
      </w:r>
      <w:r w:rsidR="001D5CAA" w:rsidRPr="001D5CAA">
        <w:rPr>
          <w:rFonts w:ascii="Times New Roman" w:eastAsia="Times New Roman" w:hAnsi="Times New Roman" w:cs="Times New Roman"/>
          <w:color w:val="222222"/>
          <w:sz w:val="24"/>
          <w:szCs w:val="24"/>
        </w:rPr>
        <w:t>,</w:t>
      </w:r>
      <w:r w:rsidRPr="00AC577C">
        <w:rPr>
          <w:rFonts w:ascii="Times New Roman" w:eastAsia="Times New Roman" w:hAnsi="Times New Roman" w:cs="Times New Roman"/>
          <w:color w:val="222222"/>
          <w:sz w:val="24"/>
          <w:szCs w:val="24"/>
        </w:rPr>
        <w:t xml:space="preserve"> SEACC, the </w:t>
      </w:r>
      <w:proofErr w:type="spellStart"/>
      <w:r w:rsidRPr="00AC577C">
        <w:rPr>
          <w:rFonts w:ascii="Times New Roman" w:eastAsia="Times New Roman" w:hAnsi="Times New Roman" w:cs="Times New Roman"/>
          <w:color w:val="222222"/>
          <w:sz w:val="24"/>
          <w:szCs w:val="24"/>
        </w:rPr>
        <w:t>Takshanuk</w:t>
      </w:r>
      <w:proofErr w:type="spellEnd"/>
      <w:r w:rsidRPr="00AC577C">
        <w:rPr>
          <w:rFonts w:ascii="Times New Roman" w:eastAsia="Times New Roman" w:hAnsi="Times New Roman" w:cs="Times New Roman"/>
          <w:color w:val="222222"/>
          <w:sz w:val="24"/>
          <w:szCs w:val="24"/>
        </w:rPr>
        <w:t xml:space="preserve"> Watershed Council and Audubon Alaska </w:t>
      </w:r>
      <w:r w:rsidR="001D5CAA" w:rsidRPr="001D5CAA">
        <w:rPr>
          <w:rFonts w:ascii="Times New Roman" w:eastAsia="Times New Roman" w:hAnsi="Times New Roman" w:cs="Times New Roman"/>
          <w:color w:val="222222"/>
          <w:sz w:val="24"/>
          <w:szCs w:val="24"/>
        </w:rPr>
        <w:t xml:space="preserve">asking </w:t>
      </w:r>
      <w:r w:rsidRPr="00AC577C">
        <w:rPr>
          <w:rFonts w:ascii="Times New Roman" w:eastAsia="Times New Roman" w:hAnsi="Times New Roman" w:cs="Times New Roman"/>
          <w:color w:val="222222"/>
          <w:sz w:val="24"/>
          <w:szCs w:val="24"/>
        </w:rPr>
        <w:t xml:space="preserve">DEC to share information, accept public comment, and consult before approving the </w:t>
      </w:r>
      <w:r w:rsidR="001D5CAA" w:rsidRPr="001D5CAA">
        <w:rPr>
          <w:rFonts w:ascii="Times New Roman" w:eastAsia="Times New Roman" w:hAnsi="Times New Roman" w:cs="Times New Roman"/>
          <w:color w:val="222222"/>
          <w:sz w:val="24"/>
          <w:szCs w:val="24"/>
        </w:rPr>
        <w:t>permit.</w:t>
      </w:r>
      <w:r w:rsidRPr="00AC577C">
        <w:rPr>
          <w:rFonts w:ascii="Times New Roman" w:eastAsia="Times New Roman" w:hAnsi="Times New Roman" w:cs="Times New Roman"/>
          <w:color w:val="222222"/>
          <w:sz w:val="24"/>
          <w:szCs w:val="24"/>
        </w:rPr>
        <w:t>  </w:t>
      </w:r>
    </w:p>
    <w:p w14:paraId="4D0EA9F5" w14:textId="2E97CF7D" w:rsidR="001D5CAA" w:rsidRDefault="001D5CAA" w:rsidP="009A17AA">
      <w:pPr>
        <w:numPr>
          <w:ilvl w:val="1"/>
          <w:numId w:val="10"/>
        </w:numPr>
        <w:shd w:val="clear" w:color="auto" w:fill="FFFFFF"/>
        <w:tabs>
          <w:tab w:val="clear" w:pos="1440"/>
          <w:tab w:val="num" w:pos="720"/>
        </w:tabs>
        <w:spacing w:after="0" w:line="276" w:lineRule="auto"/>
        <w:ind w:left="720"/>
        <w:rPr>
          <w:rFonts w:ascii="Times New Roman" w:eastAsia="Times New Roman" w:hAnsi="Times New Roman" w:cs="Times New Roman"/>
          <w:color w:val="222222"/>
          <w:sz w:val="24"/>
          <w:szCs w:val="24"/>
        </w:rPr>
      </w:pPr>
      <w:r w:rsidRPr="001D5CAA">
        <w:rPr>
          <w:rFonts w:ascii="Times New Roman" w:eastAsia="Times New Roman" w:hAnsi="Times New Roman" w:cs="Times New Roman"/>
          <w:color w:val="222222"/>
          <w:sz w:val="24"/>
          <w:szCs w:val="24"/>
        </w:rPr>
        <w:t>DEC also denied the existence of the approved permit when asked by EPA Region 10.</w:t>
      </w:r>
    </w:p>
    <w:p w14:paraId="54F6C6B2" w14:textId="77777777" w:rsidR="001D5CAA" w:rsidRDefault="001D5CAA" w:rsidP="009A17AA">
      <w:pPr>
        <w:shd w:val="clear" w:color="auto" w:fill="FFFFFF"/>
        <w:spacing w:after="0" w:line="276" w:lineRule="auto"/>
        <w:rPr>
          <w:rFonts w:ascii="Times New Roman" w:eastAsia="Times New Roman" w:hAnsi="Times New Roman" w:cs="Times New Roman"/>
          <w:color w:val="222222"/>
          <w:sz w:val="24"/>
          <w:szCs w:val="24"/>
        </w:rPr>
      </w:pPr>
    </w:p>
    <w:p w14:paraId="69976A10" w14:textId="77777777" w:rsidR="001D5CAA" w:rsidRDefault="001D5CAA" w:rsidP="009A17AA">
      <w:pPr>
        <w:shd w:val="clear" w:color="auto" w:fill="FFFFFF"/>
        <w:spacing w:after="0"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March 30, 2021 Memo is along the same lines and should be discarded from the record.</w:t>
      </w:r>
    </w:p>
    <w:p w14:paraId="7B224A58" w14:textId="77777777" w:rsidR="001D5CAA" w:rsidRDefault="001D5CAA" w:rsidP="009A17AA">
      <w:pPr>
        <w:shd w:val="clear" w:color="auto" w:fill="FFFFFF"/>
        <w:spacing w:after="0" w:line="276" w:lineRule="auto"/>
        <w:rPr>
          <w:rFonts w:ascii="Times New Roman" w:eastAsia="Times New Roman" w:hAnsi="Times New Roman" w:cs="Times New Roman"/>
          <w:color w:val="222222"/>
          <w:sz w:val="24"/>
          <w:szCs w:val="24"/>
        </w:rPr>
      </w:pPr>
    </w:p>
    <w:p w14:paraId="070B3A40" w14:textId="77777777" w:rsidR="00B93B5C" w:rsidRDefault="001D5CAA" w:rsidP="009A17AA">
      <w:pPr>
        <w:shd w:val="clear" w:color="auto" w:fill="FFFFFF"/>
        <w:spacing w:after="0" w:line="276" w:lineRule="auto"/>
      </w:pPr>
      <w:r>
        <w:rPr>
          <w:rFonts w:ascii="Times New Roman" w:eastAsia="Times New Roman" w:hAnsi="Times New Roman" w:cs="Times New Roman"/>
          <w:color w:val="222222"/>
          <w:sz w:val="24"/>
          <w:szCs w:val="24"/>
        </w:rPr>
        <w:t xml:space="preserve">Addressing the </w:t>
      </w:r>
      <w:r w:rsidR="00B93B5C">
        <w:rPr>
          <w:rFonts w:ascii="Times New Roman" w:eastAsia="Times New Roman" w:hAnsi="Times New Roman" w:cs="Times New Roman"/>
          <w:color w:val="222222"/>
          <w:sz w:val="24"/>
          <w:szCs w:val="24"/>
        </w:rPr>
        <w:t>(forgone) conclusions of the memo.  The memo justifies the reliance on lower trophic level tissue analysis</w:t>
      </w:r>
      <w:r w:rsidR="00B93B5C">
        <w:t xml:space="preserve">. </w:t>
      </w:r>
    </w:p>
    <w:p w14:paraId="5B2A82DC" w14:textId="77777777" w:rsidR="00B93B5C" w:rsidRDefault="00B93B5C" w:rsidP="009A17AA">
      <w:pPr>
        <w:shd w:val="clear" w:color="auto" w:fill="FFFFFF"/>
        <w:spacing w:after="0" w:line="276" w:lineRule="auto"/>
      </w:pPr>
    </w:p>
    <w:p w14:paraId="75A5B22A" w14:textId="32C0ABFF" w:rsidR="001D5CAA" w:rsidRDefault="00B93B5C" w:rsidP="009A17AA">
      <w:pPr>
        <w:shd w:val="clear" w:color="auto" w:fill="FFFFFF"/>
        <w:spacing w:after="0" w:line="276" w:lineRule="auto"/>
        <w:ind w:left="720"/>
        <w:rPr>
          <w:rFonts w:ascii="Times New Roman" w:eastAsia="Times New Roman" w:hAnsi="Times New Roman" w:cs="Times New Roman"/>
          <w:color w:val="222222"/>
          <w:sz w:val="24"/>
          <w:szCs w:val="24"/>
        </w:rPr>
      </w:pPr>
      <w:r w:rsidRPr="00B93B5C">
        <w:rPr>
          <w:rFonts w:ascii="Times New Roman" w:hAnsi="Times New Roman" w:cs="Times New Roman"/>
          <w:sz w:val="24"/>
          <w:szCs w:val="24"/>
        </w:rPr>
        <w:t>“The logic behind using lower trophic level fauna for sampling is that if metals do not concentrate in tissue of the lower trophic level fauna, then excessive metals are not bioavailable for higher trophic levels. Since the mussels and marine worms are confined to the mine-associated areas and that they show no increases in metals, it is even less likely that their relatively mobile predators would show a significant effect. The results of the biomonitoring program indicate no concern over bioconcentrating metals in lower trophic levels, and that it was effectively designed to provide those data. The current biomonitoring results indicate that the marine organism tissues have not significantly changed since pre-mining conditions and validates that the permit conditions are protective of the water quality of Hawk Inlet.”</w:t>
      </w:r>
      <w:r w:rsidR="001D5CAA" w:rsidRPr="00B93B5C">
        <w:rPr>
          <w:rFonts w:ascii="Times New Roman" w:eastAsia="Times New Roman" w:hAnsi="Times New Roman" w:cs="Times New Roman"/>
          <w:color w:val="222222"/>
          <w:sz w:val="24"/>
          <w:szCs w:val="24"/>
        </w:rPr>
        <w:t xml:space="preserve"> </w:t>
      </w:r>
    </w:p>
    <w:p w14:paraId="766B97C5" w14:textId="77777777" w:rsidR="003640A1" w:rsidRDefault="003640A1" w:rsidP="009A17AA">
      <w:pPr>
        <w:shd w:val="clear" w:color="auto" w:fill="FFFFFF"/>
        <w:spacing w:after="0" w:line="276" w:lineRule="auto"/>
        <w:ind w:left="720"/>
        <w:rPr>
          <w:rFonts w:ascii="Times New Roman" w:eastAsia="Times New Roman" w:hAnsi="Times New Roman" w:cs="Times New Roman"/>
          <w:color w:val="222222"/>
          <w:sz w:val="24"/>
          <w:szCs w:val="24"/>
        </w:rPr>
      </w:pPr>
    </w:p>
    <w:p w14:paraId="3F170062" w14:textId="06F28AA3" w:rsidR="003640A1" w:rsidRDefault="003640A1" w:rsidP="009A17AA">
      <w:pPr>
        <w:shd w:val="clear" w:color="auto" w:fill="FFFFFF"/>
        <w:spacing w:after="0" w:line="276" w:lineRule="auto"/>
        <w:rPr>
          <w:rFonts w:ascii="Times New Roman" w:hAnsi="Times New Roman" w:cs="Times New Roman"/>
          <w:sz w:val="24"/>
          <w:szCs w:val="24"/>
        </w:rPr>
      </w:pPr>
      <w:r>
        <w:rPr>
          <w:rFonts w:ascii="Times New Roman" w:eastAsia="Times New Roman" w:hAnsi="Times New Roman" w:cs="Times New Roman"/>
          <w:color w:val="222222"/>
          <w:sz w:val="24"/>
          <w:szCs w:val="24"/>
        </w:rPr>
        <w:t>One must first d</w:t>
      </w:r>
      <w:r w:rsidRPr="003640A1">
        <w:rPr>
          <w:rFonts w:ascii="Times New Roman" w:eastAsia="Times New Roman" w:hAnsi="Times New Roman" w:cs="Times New Roman"/>
          <w:color w:val="222222"/>
          <w:sz w:val="24"/>
          <w:szCs w:val="24"/>
        </w:rPr>
        <w:t xml:space="preserve">isregard the Memo’s apparent confusion about bioconcentration versus bioaccumulation where bioconcentration is those chemicals taken up from water-borne sources </w:t>
      </w:r>
      <w:r>
        <w:rPr>
          <w:rFonts w:ascii="Times New Roman" w:eastAsia="Times New Roman" w:hAnsi="Times New Roman" w:cs="Times New Roman"/>
          <w:color w:val="222222"/>
          <w:sz w:val="24"/>
          <w:szCs w:val="24"/>
        </w:rPr>
        <w:t xml:space="preserve">only </w:t>
      </w:r>
      <w:r w:rsidRPr="003640A1">
        <w:rPr>
          <w:rFonts w:ascii="Times New Roman" w:eastAsia="Times New Roman" w:hAnsi="Times New Roman" w:cs="Times New Roman"/>
          <w:color w:val="222222"/>
          <w:sz w:val="24"/>
          <w:szCs w:val="24"/>
        </w:rPr>
        <w:t xml:space="preserve">as opposed to </w:t>
      </w:r>
      <w:r w:rsidRPr="003640A1">
        <w:rPr>
          <w:rFonts w:ascii="Times New Roman" w:hAnsi="Times New Roman" w:cs="Times New Roman"/>
          <w:color w:val="202124"/>
          <w:sz w:val="24"/>
          <w:szCs w:val="24"/>
          <w:shd w:val="clear" w:color="auto" w:fill="FFFFFF"/>
        </w:rPr>
        <w:t xml:space="preserve">bioaccumulation that covers the uptake from all environmental sources, </w:t>
      </w:r>
      <w:proofErr w:type="gramStart"/>
      <w:r w:rsidRPr="003640A1">
        <w:rPr>
          <w:rFonts w:ascii="Times New Roman" w:hAnsi="Times New Roman" w:cs="Times New Roman"/>
          <w:color w:val="202124"/>
          <w:sz w:val="24"/>
          <w:szCs w:val="24"/>
          <w:shd w:val="clear" w:color="auto" w:fill="FFFFFF"/>
        </w:rPr>
        <w:t>e.g.</w:t>
      </w:r>
      <w:proofErr w:type="gramEnd"/>
      <w:r w:rsidRPr="003640A1">
        <w:rPr>
          <w:rFonts w:ascii="Times New Roman" w:hAnsi="Times New Roman" w:cs="Times New Roman"/>
          <w:color w:val="202124"/>
          <w:sz w:val="24"/>
          <w:szCs w:val="24"/>
          <w:shd w:val="clear" w:color="auto" w:fill="FFFFFF"/>
        </w:rPr>
        <w:t xml:space="preserve"> water, food and sediment</w:t>
      </w:r>
      <w:r>
        <w:rPr>
          <w:rFonts w:ascii="Times New Roman" w:hAnsi="Times New Roman" w:cs="Times New Roman"/>
          <w:color w:val="202124"/>
          <w:sz w:val="24"/>
          <w:szCs w:val="24"/>
          <w:shd w:val="clear" w:color="auto" w:fill="FFFFFF"/>
        </w:rPr>
        <w:t xml:space="preserve"> as </w:t>
      </w:r>
      <w:r w:rsidR="00DF5ADD">
        <w:rPr>
          <w:rFonts w:ascii="Times New Roman" w:hAnsi="Times New Roman" w:cs="Times New Roman"/>
          <w:color w:val="202124"/>
          <w:sz w:val="24"/>
          <w:szCs w:val="24"/>
          <w:shd w:val="clear" w:color="auto" w:fill="FFFFFF"/>
        </w:rPr>
        <w:t xml:space="preserve">is </w:t>
      </w:r>
      <w:r>
        <w:rPr>
          <w:rFonts w:ascii="Times New Roman" w:hAnsi="Times New Roman" w:cs="Times New Roman"/>
          <w:color w:val="202124"/>
          <w:sz w:val="24"/>
          <w:szCs w:val="24"/>
          <w:shd w:val="clear" w:color="auto" w:fill="FFFFFF"/>
        </w:rPr>
        <w:t>clearly intended</w:t>
      </w:r>
      <w:r w:rsidRPr="003640A1">
        <w:rPr>
          <w:rFonts w:ascii="Times New Roman" w:hAnsi="Times New Roman" w:cs="Times New Roman"/>
          <w:color w:val="202124"/>
          <w:sz w:val="24"/>
          <w:szCs w:val="24"/>
          <w:shd w:val="clear" w:color="auto" w:fill="FFFFFF"/>
        </w:rPr>
        <w:t>.</w:t>
      </w:r>
      <w:r>
        <w:rPr>
          <w:rStyle w:val="FootnoteReference"/>
          <w:rFonts w:ascii="Times New Roman" w:hAnsi="Times New Roman" w:cs="Times New Roman"/>
          <w:color w:val="202124"/>
          <w:sz w:val="24"/>
          <w:szCs w:val="24"/>
          <w:shd w:val="clear" w:color="auto" w:fill="FFFFFF"/>
        </w:rPr>
        <w:footnoteReference w:id="36"/>
      </w:r>
      <w:r>
        <w:rPr>
          <w:rFonts w:ascii="Times New Roman" w:hAnsi="Times New Roman" w:cs="Times New Roman"/>
          <w:color w:val="202124"/>
          <w:sz w:val="24"/>
          <w:szCs w:val="24"/>
          <w:shd w:val="clear" w:color="auto" w:fill="FFFFFF"/>
        </w:rPr>
        <w:t xml:space="preserve">  </w:t>
      </w:r>
      <w:r w:rsidRPr="00B01EF4">
        <w:rPr>
          <w:rFonts w:ascii="Times New Roman" w:hAnsi="Times New Roman" w:cs="Times New Roman"/>
          <w:color w:val="202124"/>
          <w:sz w:val="24"/>
          <w:szCs w:val="24"/>
          <w:shd w:val="clear" w:color="auto" w:fill="FFFFFF"/>
        </w:rPr>
        <w:t xml:space="preserve">The </w:t>
      </w:r>
      <w:r w:rsidR="00DF5ADD">
        <w:rPr>
          <w:rFonts w:ascii="Times New Roman" w:hAnsi="Times New Roman" w:cs="Times New Roman"/>
          <w:color w:val="202124"/>
          <w:sz w:val="24"/>
          <w:szCs w:val="24"/>
          <w:shd w:val="clear" w:color="auto" w:fill="FFFFFF"/>
        </w:rPr>
        <w:t>current m</w:t>
      </w:r>
      <w:r w:rsidRPr="00B01EF4">
        <w:rPr>
          <w:rFonts w:ascii="Times New Roman" w:hAnsi="Times New Roman" w:cs="Times New Roman"/>
          <w:color w:val="202124"/>
          <w:sz w:val="24"/>
          <w:szCs w:val="24"/>
          <w:shd w:val="clear" w:color="auto" w:fill="FFFFFF"/>
        </w:rPr>
        <w:t xml:space="preserve">onitoring program </w:t>
      </w:r>
      <w:r w:rsidR="00DF5ADD">
        <w:rPr>
          <w:rFonts w:ascii="Times New Roman" w:hAnsi="Times New Roman" w:cs="Times New Roman"/>
          <w:color w:val="202124"/>
          <w:sz w:val="24"/>
          <w:szCs w:val="24"/>
          <w:shd w:val="clear" w:color="auto" w:fill="FFFFFF"/>
        </w:rPr>
        <w:t xml:space="preserve">purports to </w:t>
      </w:r>
      <w:r w:rsidRPr="00B01EF4">
        <w:rPr>
          <w:rFonts w:ascii="Times New Roman" w:hAnsi="Times New Roman" w:cs="Times New Roman"/>
          <w:color w:val="202124"/>
          <w:sz w:val="24"/>
          <w:szCs w:val="24"/>
          <w:shd w:val="clear" w:color="auto" w:fill="FFFFFF"/>
        </w:rPr>
        <w:t xml:space="preserve">measure biomagnification or </w:t>
      </w:r>
      <w:r w:rsidR="00B01EF4" w:rsidRPr="00B01EF4">
        <w:rPr>
          <w:rFonts w:ascii="Times New Roman" w:hAnsi="Times New Roman" w:cs="Times New Roman"/>
          <w:color w:val="040C28"/>
          <w:sz w:val="24"/>
          <w:szCs w:val="24"/>
        </w:rPr>
        <w:t>chemical transfer from lower trophic levels to higher trophic levels within a food web.  In this case the food web as it exists in Hawk Inlet.</w:t>
      </w:r>
      <w:r w:rsidR="00B01EF4">
        <w:rPr>
          <w:rFonts w:ascii="Times New Roman" w:hAnsi="Times New Roman" w:cs="Times New Roman"/>
          <w:color w:val="040C28"/>
          <w:sz w:val="24"/>
          <w:szCs w:val="24"/>
        </w:rPr>
        <w:t xml:space="preserve">  The protection from </w:t>
      </w:r>
      <w:r w:rsidR="00DF5ADD">
        <w:rPr>
          <w:rFonts w:ascii="Times New Roman" w:hAnsi="Times New Roman" w:cs="Times New Roman"/>
          <w:color w:val="040C28"/>
          <w:sz w:val="24"/>
          <w:szCs w:val="24"/>
        </w:rPr>
        <w:t xml:space="preserve">the effects of </w:t>
      </w:r>
      <w:r w:rsidR="00B01EF4">
        <w:rPr>
          <w:rFonts w:ascii="Times New Roman" w:hAnsi="Times New Roman" w:cs="Times New Roman"/>
          <w:color w:val="040C28"/>
          <w:sz w:val="24"/>
          <w:szCs w:val="24"/>
        </w:rPr>
        <w:t xml:space="preserve">biomagnification then is an indirect </w:t>
      </w:r>
      <w:r w:rsidR="00B01EF4">
        <w:rPr>
          <w:rFonts w:ascii="Times New Roman" w:hAnsi="Times New Roman" w:cs="Times New Roman"/>
          <w:color w:val="040C28"/>
          <w:sz w:val="24"/>
          <w:szCs w:val="24"/>
        </w:rPr>
        <w:lastRenderedPageBreak/>
        <w:t>extrapolation f</w:t>
      </w:r>
      <w:r w:rsidR="007F2CD2">
        <w:rPr>
          <w:rFonts w:ascii="Times New Roman" w:hAnsi="Times New Roman" w:cs="Times New Roman"/>
          <w:color w:val="040C28"/>
          <w:sz w:val="24"/>
          <w:szCs w:val="24"/>
        </w:rPr>
        <w:t>rom</w:t>
      </w:r>
      <w:r w:rsidR="00B01EF4">
        <w:rPr>
          <w:rFonts w:ascii="Times New Roman" w:hAnsi="Times New Roman" w:cs="Times New Roman"/>
          <w:color w:val="040C28"/>
          <w:sz w:val="24"/>
          <w:szCs w:val="24"/>
        </w:rPr>
        <w:t xml:space="preserve"> tissue analysis at the lower end of the food web.  Yet the Risk Assessment states for every tissue type collected that “a</w:t>
      </w:r>
      <w:r w:rsidR="00B01EF4" w:rsidRPr="0012005C">
        <w:rPr>
          <w:rFonts w:ascii="Times New Roman" w:hAnsi="Times New Roman" w:cs="Times New Roman"/>
          <w:sz w:val="24"/>
          <w:szCs w:val="24"/>
        </w:rPr>
        <w:t>s discussed above, tissue concentrations are not useful predictors of adverse effects to aquatic communities.</w:t>
      </w:r>
      <w:r w:rsidR="00B01EF4">
        <w:rPr>
          <w:rFonts w:ascii="Times New Roman" w:hAnsi="Times New Roman" w:cs="Times New Roman"/>
          <w:sz w:val="24"/>
          <w:szCs w:val="24"/>
        </w:rPr>
        <w:t>”</w:t>
      </w:r>
      <w:r w:rsidR="00B01EF4">
        <w:rPr>
          <w:rStyle w:val="FootnoteReference"/>
          <w:rFonts w:ascii="Times New Roman" w:hAnsi="Times New Roman" w:cs="Times New Roman"/>
          <w:sz w:val="24"/>
          <w:szCs w:val="24"/>
        </w:rPr>
        <w:footnoteReference w:id="37"/>
      </w:r>
    </w:p>
    <w:p w14:paraId="1B2B8F9E" w14:textId="77777777" w:rsidR="00B01EF4" w:rsidRDefault="00B01EF4" w:rsidP="009A17AA">
      <w:pPr>
        <w:shd w:val="clear" w:color="auto" w:fill="FFFFFF"/>
        <w:spacing w:after="0" w:line="276" w:lineRule="auto"/>
        <w:rPr>
          <w:rFonts w:ascii="Times New Roman" w:hAnsi="Times New Roman" w:cs="Times New Roman"/>
          <w:sz w:val="24"/>
          <w:szCs w:val="24"/>
        </w:rPr>
      </w:pPr>
    </w:p>
    <w:p w14:paraId="0FE0E238" w14:textId="354BC642" w:rsidR="00B01EF4" w:rsidRPr="00B01EF4" w:rsidRDefault="00B01EF4" w:rsidP="009A17AA">
      <w:pPr>
        <w:shd w:val="clear" w:color="auto" w:fill="FFFFFF"/>
        <w:spacing w:after="0" w:line="276" w:lineRule="auto"/>
        <w:rPr>
          <w:rFonts w:ascii="Times New Roman" w:eastAsia="Times New Roman" w:hAnsi="Times New Roman" w:cs="Times New Roman"/>
          <w:color w:val="222222"/>
          <w:sz w:val="24"/>
          <w:szCs w:val="24"/>
        </w:rPr>
      </w:pPr>
      <w:r>
        <w:rPr>
          <w:rFonts w:ascii="Times New Roman" w:hAnsi="Times New Roman" w:cs="Times New Roman"/>
          <w:sz w:val="24"/>
          <w:szCs w:val="24"/>
        </w:rPr>
        <w:t>Furthermore</w:t>
      </w:r>
      <w:r w:rsidR="00821BD2">
        <w:rPr>
          <w:rFonts w:ascii="Times New Roman" w:hAnsi="Times New Roman" w:cs="Times New Roman"/>
          <w:sz w:val="24"/>
          <w:szCs w:val="24"/>
        </w:rPr>
        <w:t>,</w:t>
      </w:r>
      <w:r>
        <w:rPr>
          <w:rFonts w:ascii="Times New Roman" w:hAnsi="Times New Roman" w:cs="Times New Roman"/>
          <w:sz w:val="24"/>
          <w:szCs w:val="24"/>
        </w:rPr>
        <w:t xml:space="preserve"> the assertion that metals are not accumulating in the lower trophic levels is false.</w:t>
      </w:r>
      <w:r w:rsidR="00821BD2">
        <w:rPr>
          <w:rFonts w:ascii="Times New Roman" w:hAnsi="Times New Roman" w:cs="Times New Roman"/>
          <w:sz w:val="24"/>
          <w:szCs w:val="24"/>
        </w:rPr>
        <w:t xml:space="preserve"> The most recent Hawk Inlet Monitoring Report for water year 2021 shows that for mussel tissue lead has increased at every station </w:t>
      </w:r>
      <w:r w:rsidR="007F2CD2">
        <w:rPr>
          <w:rFonts w:ascii="Times New Roman" w:hAnsi="Times New Roman" w:cs="Times New Roman"/>
          <w:sz w:val="24"/>
          <w:szCs w:val="24"/>
        </w:rPr>
        <w:t xml:space="preserve">sampled </w:t>
      </w:r>
      <w:r w:rsidR="00821BD2">
        <w:rPr>
          <w:rFonts w:ascii="Times New Roman" w:hAnsi="Times New Roman" w:cs="Times New Roman"/>
          <w:sz w:val="24"/>
          <w:szCs w:val="24"/>
        </w:rPr>
        <w:t xml:space="preserve">in comparison to pre-mining data as much as </w:t>
      </w:r>
      <w:r w:rsidR="007F2CD2">
        <w:rPr>
          <w:rFonts w:ascii="Times New Roman" w:hAnsi="Times New Roman" w:cs="Times New Roman"/>
          <w:sz w:val="24"/>
          <w:szCs w:val="24"/>
        </w:rPr>
        <w:t xml:space="preserve">a </w:t>
      </w:r>
      <w:r w:rsidR="00821BD2">
        <w:rPr>
          <w:rFonts w:ascii="Times New Roman" w:hAnsi="Times New Roman" w:cs="Times New Roman"/>
          <w:sz w:val="24"/>
          <w:szCs w:val="24"/>
        </w:rPr>
        <w:t xml:space="preserve">47% </w:t>
      </w:r>
      <w:r w:rsidR="007F2CD2">
        <w:rPr>
          <w:rFonts w:ascii="Times New Roman" w:hAnsi="Times New Roman" w:cs="Times New Roman"/>
          <w:sz w:val="24"/>
          <w:szCs w:val="24"/>
        </w:rPr>
        <w:t xml:space="preserve">increase </w:t>
      </w:r>
      <w:r w:rsidR="00821BD2">
        <w:rPr>
          <w:rFonts w:ascii="Times New Roman" w:hAnsi="Times New Roman" w:cs="Times New Roman"/>
          <w:sz w:val="24"/>
          <w:szCs w:val="24"/>
        </w:rPr>
        <w:t>at the East Shoal Light</w:t>
      </w:r>
      <w:r w:rsidR="009A477F">
        <w:rPr>
          <w:rFonts w:ascii="Times New Roman" w:hAnsi="Times New Roman" w:cs="Times New Roman"/>
          <w:sz w:val="24"/>
          <w:szCs w:val="24"/>
        </w:rPr>
        <w:t xml:space="preserve"> (ESL)</w:t>
      </w:r>
      <w:r w:rsidR="00821BD2">
        <w:rPr>
          <w:rFonts w:ascii="Times New Roman" w:hAnsi="Times New Roman" w:cs="Times New Roman"/>
          <w:sz w:val="24"/>
          <w:szCs w:val="24"/>
        </w:rPr>
        <w:t xml:space="preserve"> station at the end of the Greens Creek Delta.  </w:t>
      </w:r>
      <w:r w:rsidR="00821BD2" w:rsidRPr="009A477F">
        <w:rPr>
          <w:rFonts w:ascii="Times New Roman" w:hAnsi="Times New Roman" w:cs="Times New Roman"/>
          <w:i/>
          <w:iCs/>
          <w:sz w:val="24"/>
          <w:szCs w:val="24"/>
        </w:rPr>
        <w:t>See</w:t>
      </w:r>
      <w:r w:rsidR="009A477F" w:rsidRPr="009A477F">
        <w:rPr>
          <w:rFonts w:ascii="Times New Roman" w:hAnsi="Times New Roman" w:cs="Times New Roman"/>
          <w:i/>
          <w:iCs/>
          <w:sz w:val="24"/>
          <w:szCs w:val="24"/>
        </w:rPr>
        <w:t>,</w:t>
      </w:r>
      <w:r w:rsidR="00821BD2">
        <w:rPr>
          <w:rFonts w:ascii="Times New Roman" w:hAnsi="Times New Roman" w:cs="Times New Roman"/>
          <w:sz w:val="24"/>
          <w:szCs w:val="24"/>
        </w:rPr>
        <w:t xml:space="preserve"> 2022 Hawk I</w:t>
      </w:r>
      <w:r w:rsidR="009A477F">
        <w:rPr>
          <w:rFonts w:ascii="Times New Roman" w:hAnsi="Times New Roman" w:cs="Times New Roman"/>
          <w:sz w:val="24"/>
          <w:szCs w:val="24"/>
        </w:rPr>
        <w:t>n</w:t>
      </w:r>
      <w:r w:rsidR="00821BD2">
        <w:rPr>
          <w:rFonts w:ascii="Times New Roman" w:hAnsi="Times New Roman" w:cs="Times New Roman"/>
          <w:sz w:val="24"/>
          <w:szCs w:val="24"/>
        </w:rPr>
        <w:t>let Monitoring Report</w:t>
      </w:r>
      <w:r w:rsidR="009A477F">
        <w:rPr>
          <w:rFonts w:ascii="Times New Roman" w:hAnsi="Times New Roman" w:cs="Times New Roman"/>
          <w:sz w:val="24"/>
          <w:szCs w:val="24"/>
        </w:rPr>
        <w:t xml:space="preserve"> Table 4-2 at 19.</w:t>
      </w:r>
      <w:r w:rsidR="009A477F">
        <w:rPr>
          <w:rStyle w:val="FootnoteReference"/>
          <w:rFonts w:ascii="Times New Roman" w:hAnsi="Times New Roman" w:cs="Times New Roman"/>
          <w:sz w:val="24"/>
          <w:szCs w:val="24"/>
        </w:rPr>
        <w:footnoteReference w:id="38"/>
      </w:r>
    </w:p>
    <w:p w14:paraId="311777C1" w14:textId="7076810C" w:rsidR="003640A1" w:rsidRDefault="003640A1" w:rsidP="009A17AA">
      <w:pPr>
        <w:shd w:val="clear" w:color="auto" w:fill="FFFFFF"/>
        <w:spacing w:after="0" w:line="276" w:lineRule="auto"/>
        <w:rPr>
          <w:rFonts w:ascii="Times New Roman" w:eastAsia="Times New Roman" w:hAnsi="Times New Roman" w:cs="Times New Roman"/>
          <w:color w:val="222222"/>
          <w:sz w:val="24"/>
          <w:szCs w:val="24"/>
        </w:rPr>
      </w:pPr>
    </w:p>
    <w:p w14:paraId="5F311EC0" w14:textId="76919B08" w:rsidR="009A477F" w:rsidRDefault="009A477F" w:rsidP="009A17AA">
      <w:pPr>
        <w:shd w:val="clear" w:color="auto" w:fill="FFFFFF"/>
        <w:spacing w:after="0"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same monitoring report shows that lead has also increased in the tissues of the </w:t>
      </w:r>
      <w:proofErr w:type="spellStart"/>
      <w:r>
        <w:rPr>
          <w:rFonts w:ascii="Times New Roman" w:eastAsia="Times New Roman" w:hAnsi="Times New Roman" w:cs="Times New Roman"/>
          <w:color w:val="222222"/>
          <w:sz w:val="24"/>
          <w:szCs w:val="24"/>
        </w:rPr>
        <w:t>Polychaete</w:t>
      </w:r>
      <w:proofErr w:type="spellEnd"/>
      <w:r>
        <w:rPr>
          <w:rFonts w:ascii="Times New Roman" w:eastAsia="Times New Roman" w:hAnsi="Times New Roman" w:cs="Times New Roman"/>
          <w:color w:val="222222"/>
          <w:sz w:val="24"/>
          <w:szCs w:val="24"/>
        </w:rPr>
        <w:t xml:space="preserve"> worms sample</w:t>
      </w:r>
      <w:r w:rsidR="007F2CD2">
        <w:rPr>
          <w:rFonts w:ascii="Times New Roman" w:eastAsia="Times New Roman" w:hAnsi="Times New Roman" w:cs="Times New Roman"/>
          <w:color w:val="222222"/>
          <w:sz w:val="24"/>
          <w:szCs w:val="24"/>
        </w:rPr>
        <w:t>d</w:t>
      </w:r>
      <w:r>
        <w:rPr>
          <w:rFonts w:ascii="Times New Roman" w:eastAsia="Times New Roman" w:hAnsi="Times New Roman" w:cs="Times New Roman"/>
          <w:color w:val="222222"/>
          <w:sz w:val="24"/>
          <w:szCs w:val="24"/>
        </w:rPr>
        <w:t xml:space="preserve"> at S-1 near the ESL and </w:t>
      </w:r>
      <w:r w:rsidR="007F2CD2">
        <w:rPr>
          <w:rFonts w:ascii="Times New Roman" w:eastAsia="Times New Roman" w:hAnsi="Times New Roman" w:cs="Times New Roman"/>
          <w:color w:val="222222"/>
          <w:sz w:val="24"/>
          <w:szCs w:val="24"/>
        </w:rPr>
        <w:t xml:space="preserve">near </w:t>
      </w:r>
      <w:r>
        <w:rPr>
          <w:rFonts w:ascii="Times New Roman" w:eastAsia="Times New Roman" w:hAnsi="Times New Roman" w:cs="Times New Roman"/>
          <w:color w:val="222222"/>
          <w:sz w:val="24"/>
          <w:szCs w:val="24"/>
        </w:rPr>
        <w:t xml:space="preserve">the mixing zone from 0.49 mg/kg preproduction to 1.00 mg/kg in the period of 1889-2021 and the most recent data, 1.44 mg/kg.  This represents a 98% increase in lead concentrations in </w:t>
      </w:r>
      <w:r w:rsidR="007F2CD2">
        <w:rPr>
          <w:rFonts w:ascii="Times New Roman" w:eastAsia="Times New Roman" w:hAnsi="Times New Roman" w:cs="Times New Roman"/>
          <w:color w:val="222222"/>
          <w:sz w:val="24"/>
          <w:szCs w:val="24"/>
        </w:rPr>
        <w:t>benthic</w:t>
      </w:r>
      <w:r>
        <w:rPr>
          <w:rFonts w:ascii="Times New Roman" w:eastAsia="Times New Roman" w:hAnsi="Times New Roman" w:cs="Times New Roman"/>
          <w:color w:val="222222"/>
          <w:sz w:val="24"/>
          <w:szCs w:val="24"/>
        </w:rPr>
        <w:t xml:space="preserve"> worm</w:t>
      </w:r>
      <w:r w:rsidR="007F2CD2">
        <w:rPr>
          <w:rFonts w:ascii="Times New Roman" w:eastAsia="Times New Roman" w:hAnsi="Times New Roman" w:cs="Times New Roman"/>
          <w:color w:val="222222"/>
          <w:sz w:val="24"/>
          <w:szCs w:val="24"/>
        </w:rPr>
        <w:t xml:space="preserve"> tissue </w:t>
      </w:r>
      <w:r>
        <w:rPr>
          <w:rFonts w:ascii="Times New Roman" w:eastAsia="Times New Roman" w:hAnsi="Times New Roman" w:cs="Times New Roman"/>
          <w:color w:val="222222"/>
          <w:sz w:val="24"/>
          <w:szCs w:val="24"/>
        </w:rPr>
        <w:t xml:space="preserve">s due to the </w:t>
      </w:r>
      <w:r w:rsidR="007F2CD2">
        <w:rPr>
          <w:rFonts w:ascii="Times New Roman" w:eastAsia="Times New Roman" w:hAnsi="Times New Roman" w:cs="Times New Roman"/>
          <w:color w:val="222222"/>
          <w:sz w:val="24"/>
          <w:szCs w:val="24"/>
        </w:rPr>
        <w:t>mine’s</w:t>
      </w:r>
      <w:r>
        <w:rPr>
          <w:rFonts w:ascii="Times New Roman" w:eastAsia="Times New Roman" w:hAnsi="Times New Roman" w:cs="Times New Roman"/>
          <w:color w:val="222222"/>
          <w:sz w:val="24"/>
          <w:szCs w:val="24"/>
        </w:rPr>
        <w:t xml:space="preserve"> activities.  </w:t>
      </w:r>
      <w:r w:rsidRPr="009A477F">
        <w:rPr>
          <w:rFonts w:ascii="Times New Roman" w:eastAsia="Times New Roman" w:hAnsi="Times New Roman" w:cs="Times New Roman"/>
          <w:i/>
          <w:iCs/>
          <w:color w:val="222222"/>
          <w:sz w:val="24"/>
          <w:szCs w:val="24"/>
        </w:rPr>
        <w:t>See,</w:t>
      </w:r>
      <w:r>
        <w:rPr>
          <w:rFonts w:ascii="Times New Roman" w:eastAsia="Times New Roman" w:hAnsi="Times New Roman" w:cs="Times New Roman"/>
          <w:color w:val="222222"/>
          <w:sz w:val="24"/>
          <w:szCs w:val="24"/>
        </w:rPr>
        <w:t xml:space="preserve"> Id., Table 4-3 at 20.</w:t>
      </w:r>
    </w:p>
    <w:p w14:paraId="68A8C581" w14:textId="77777777" w:rsidR="009A477F" w:rsidRDefault="009A477F" w:rsidP="009A17AA">
      <w:pPr>
        <w:shd w:val="clear" w:color="auto" w:fill="FFFFFF"/>
        <w:spacing w:after="0" w:line="276" w:lineRule="auto"/>
        <w:rPr>
          <w:rFonts w:ascii="Times New Roman" w:eastAsia="Times New Roman" w:hAnsi="Times New Roman" w:cs="Times New Roman"/>
          <w:color w:val="222222"/>
          <w:sz w:val="24"/>
          <w:szCs w:val="24"/>
        </w:rPr>
      </w:pPr>
    </w:p>
    <w:p w14:paraId="34220986" w14:textId="2517AC60" w:rsidR="00484B2F" w:rsidRDefault="009A477F" w:rsidP="009A17AA">
      <w:pPr>
        <w:shd w:val="clear" w:color="auto" w:fill="FFFFFF"/>
        <w:spacing w:after="0" w:line="276" w:lineRule="auto"/>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The memo further </w:t>
      </w:r>
      <w:r w:rsidR="00484B2F">
        <w:rPr>
          <w:rFonts w:ascii="Times New Roman" w:eastAsia="Times New Roman" w:hAnsi="Times New Roman" w:cs="Times New Roman"/>
          <w:color w:val="222222"/>
          <w:sz w:val="24"/>
          <w:szCs w:val="24"/>
        </w:rPr>
        <w:t xml:space="preserve">justifies not conducting the species diversity and population studies in the following statements: </w:t>
      </w:r>
      <w:r w:rsidR="00484B2F" w:rsidRPr="00484B2F">
        <w:rPr>
          <w:rFonts w:ascii="Times New Roman" w:eastAsia="Times New Roman" w:hAnsi="Times New Roman" w:cs="Times New Roman"/>
          <w:color w:val="222222"/>
          <w:sz w:val="24"/>
          <w:szCs w:val="24"/>
        </w:rPr>
        <w:t>“</w:t>
      </w:r>
      <w:r w:rsidR="00484B2F" w:rsidRPr="00484B2F">
        <w:rPr>
          <w:rFonts w:ascii="Times New Roman" w:hAnsi="Times New Roman" w:cs="Times New Roman"/>
          <w:sz w:val="24"/>
          <w:szCs w:val="24"/>
        </w:rPr>
        <w:t xml:space="preserve">Meaningful replication of the specific studies described in Holland et al. (1981) and </w:t>
      </w:r>
      <w:proofErr w:type="spellStart"/>
      <w:r w:rsidR="00484B2F" w:rsidRPr="00484B2F">
        <w:rPr>
          <w:rFonts w:ascii="Times New Roman" w:hAnsi="Times New Roman" w:cs="Times New Roman"/>
          <w:sz w:val="24"/>
          <w:szCs w:val="24"/>
        </w:rPr>
        <w:t>Richkus</w:t>
      </w:r>
      <w:proofErr w:type="spellEnd"/>
      <w:r w:rsidR="00484B2F" w:rsidRPr="00484B2F">
        <w:rPr>
          <w:rFonts w:ascii="Times New Roman" w:hAnsi="Times New Roman" w:cs="Times New Roman"/>
          <w:sz w:val="24"/>
          <w:szCs w:val="24"/>
        </w:rPr>
        <w:t xml:space="preserve"> and Johnson (1981) is not possible given associated limitations (e.g., sample sites were not described, freshwater water quality data were frequently below detection limits at the time, known contamination is present near some sample locations).</w:t>
      </w:r>
      <w:r w:rsidR="00484B2F">
        <w:rPr>
          <w:rFonts w:ascii="Times New Roman" w:hAnsi="Times New Roman" w:cs="Times New Roman"/>
          <w:sz w:val="24"/>
          <w:szCs w:val="24"/>
        </w:rPr>
        <w:t>”</w:t>
      </w:r>
    </w:p>
    <w:p w14:paraId="6B33E569" w14:textId="77777777" w:rsidR="00484B2F" w:rsidRDefault="00484B2F" w:rsidP="009A17AA">
      <w:pPr>
        <w:shd w:val="clear" w:color="auto" w:fill="FFFFFF"/>
        <w:spacing w:after="0" w:line="276" w:lineRule="auto"/>
        <w:rPr>
          <w:rFonts w:ascii="Times New Roman" w:hAnsi="Times New Roman" w:cs="Times New Roman"/>
          <w:sz w:val="24"/>
          <w:szCs w:val="24"/>
        </w:rPr>
      </w:pPr>
    </w:p>
    <w:p w14:paraId="0D53D754" w14:textId="522FB061" w:rsidR="00484B2F" w:rsidRDefault="00484B2F" w:rsidP="009A17AA">
      <w:pPr>
        <w:shd w:val="clear" w:color="auto" w:fill="FFFFFF"/>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first “limitation” </w:t>
      </w:r>
      <w:r w:rsidR="007F2CD2">
        <w:rPr>
          <w:rFonts w:ascii="Times New Roman" w:hAnsi="Times New Roman" w:cs="Times New Roman"/>
          <w:sz w:val="24"/>
          <w:szCs w:val="24"/>
        </w:rPr>
        <w:t>cited;</w:t>
      </w:r>
      <w:r>
        <w:rPr>
          <w:rFonts w:ascii="Times New Roman" w:hAnsi="Times New Roman" w:cs="Times New Roman"/>
          <w:sz w:val="24"/>
          <w:szCs w:val="24"/>
        </w:rPr>
        <w:t xml:space="preserve"> sample sites not described is false. Numerous sites of the 1981 study are still sampled by the mining company.  The 1981 Site 6 corresponds to the current monitoring site S-3.  The 1981 sites 1 and 2 correspond to the Current S-1 and the ESL respectively.  The 1981 sites 13 and 16 correspond to S-4 and S-5</w:t>
      </w:r>
      <w:r w:rsidR="00DF5ADD">
        <w:rPr>
          <w:rFonts w:ascii="Times New Roman" w:hAnsi="Times New Roman" w:cs="Times New Roman"/>
          <w:sz w:val="24"/>
          <w:szCs w:val="24"/>
        </w:rPr>
        <w:t>N</w:t>
      </w:r>
      <w:r>
        <w:rPr>
          <w:rFonts w:ascii="Times New Roman" w:hAnsi="Times New Roman" w:cs="Times New Roman"/>
          <w:sz w:val="24"/>
          <w:szCs w:val="24"/>
        </w:rPr>
        <w:t xml:space="preserve"> and S-5S.  The South Reference Area Site in the 1981 study is where S-2 is currently located.</w:t>
      </w:r>
    </w:p>
    <w:p w14:paraId="3FDF536D" w14:textId="77777777" w:rsidR="00484B2F" w:rsidRDefault="00484B2F" w:rsidP="009A17AA">
      <w:pPr>
        <w:shd w:val="clear" w:color="auto" w:fill="FFFFFF"/>
        <w:spacing w:after="0" w:line="276" w:lineRule="auto"/>
        <w:rPr>
          <w:rFonts w:ascii="Times New Roman" w:hAnsi="Times New Roman" w:cs="Times New Roman"/>
          <w:sz w:val="24"/>
          <w:szCs w:val="24"/>
        </w:rPr>
      </w:pPr>
    </w:p>
    <w:p w14:paraId="3B5F8EBC" w14:textId="3883F242" w:rsidR="00484B2F" w:rsidRPr="007F2CD2" w:rsidRDefault="00484B2F" w:rsidP="009A17AA">
      <w:pPr>
        <w:shd w:val="clear" w:color="auto" w:fill="FFFFFF"/>
        <w:spacing w:after="0" w:line="276" w:lineRule="auto"/>
        <w:rPr>
          <w:rFonts w:ascii="Times New Roman" w:hAnsi="Times New Roman" w:cs="Times New Roman"/>
          <w:color w:val="2E2E2E"/>
          <w:sz w:val="24"/>
          <w:szCs w:val="24"/>
        </w:rPr>
      </w:pPr>
      <w:r w:rsidRPr="007F2CD2">
        <w:rPr>
          <w:rFonts w:ascii="Times New Roman" w:hAnsi="Times New Roman" w:cs="Times New Roman"/>
          <w:sz w:val="24"/>
          <w:szCs w:val="24"/>
        </w:rPr>
        <w:t xml:space="preserve">Furthermore, the </w:t>
      </w:r>
      <w:r w:rsidR="00DF5ADD">
        <w:rPr>
          <w:rFonts w:ascii="Times New Roman" w:hAnsi="Times New Roman" w:cs="Times New Roman"/>
          <w:sz w:val="24"/>
          <w:szCs w:val="24"/>
        </w:rPr>
        <w:t xml:space="preserve">standard </w:t>
      </w:r>
      <w:r w:rsidRPr="007F2CD2">
        <w:rPr>
          <w:rFonts w:ascii="Times New Roman" w:hAnsi="Times New Roman" w:cs="Times New Roman"/>
          <w:sz w:val="24"/>
          <w:szCs w:val="24"/>
        </w:rPr>
        <w:t>methodology for population studies describes identifying representative locations, not specific sample sites.</w:t>
      </w:r>
      <w:r w:rsidR="00257CB2" w:rsidRPr="007F2CD2">
        <w:rPr>
          <w:rStyle w:val="FootnoteReference"/>
          <w:rFonts w:ascii="Times New Roman" w:hAnsi="Times New Roman" w:cs="Times New Roman"/>
          <w:sz w:val="24"/>
          <w:szCs w:val="24"/>
        </w:rPr>
        <w:footnoteReference w:id="39"/>
      </w:r>
      <w:r w:rsidRPr="007F2CD2">
        <w:rPr>
          <w:rFonts w:ascii="Times New Roman" w:hAnsi="Times New Roman" w:cs="Times New Roman"/>
          <w:sz w:val="24"/>
          <w:szCs w:val="24"/>
        </w:rPr>
        <w:t xml:space="preserve"> </w:t>
      </w:r>
      <w:r w:rsidR="00257CB2" w:rsidRPr="007F2CD2">
        <w:rPr>
          <w:rFonts w:ascii="Times New Roman" w:hAnsi="Times New Roman" w:cs="Times New Roman"/>
          <w:sz w:val="24"/>
          <w:szCs w:val="24"/>
        </w:rPr>
        <w:t xml:space="preserve"> Sampling </w:t>
      </w:r>
      <w:r w:rsidR="007A1CCE" w:rsidRPr="007F2CD2">
        <w:rPr>
          <w:rFonts w:ascii="Times New Roman" w:hAnsi="Times New Roman" w:cs="Times New Roman"/>
          <w:sz w:val="24"/>
          <w:szCs w:val="24"/>
        </w:rPr>
        <w:t>t</w:t>
      </w:r>
      <w:r w:rsidR="00257CB2" w:rsidRPr="007F2CD2">
        <w:rPr>
          <w:rFonts w:ascii="Times New Roman" w:hAnsi="Times New Roman" w:cs="Times New Roman"/>
          <w:sz w:val="24"/>
          <w:szCs w:val="24"/>
        </w:rPr>
        <w:t>ransects are laid out randomly</w:t>
      </w:r>
      <w:r w:rsidR="007A1CCE" w:rsidRPr="007F2CD2">
        <w:rPr>
          <w:rFonts w:ascii="Times New Roman" w:hAnsi="Times New Roman" w:cs="Times New Roman"/>
          <w:sz w:val="24"/>
          <w:szCs w:val="24"/>
        </w:rPr>
        <w:t xml:space="preserve">. </w:t>
      </w:r>
      <w:r w:rsidR="007A1CCE" w:rsidRPr="007F2CD2">
        <w:rPr>
          <w:rFonts w:ascii="Times New Roman" w:hAnsi="Times New Roman" w:cs="Times New Roman"/>
          <w:color w:val="2E2E2E"/>
          <w:sz w:val="24"/>
          <w:szCs w:val="24"/>
        </w:rPr>
        <w:t>The first transect is randomly located.  From that point, a systematic sampling design is applied to establish a representative number of transects within the study area. Exact locations are not necessary.</w:t>
      </w:r>
    </w:p>
    <w:p w14:paraId="5E8BEB3D" w14:textId="77777777" w:rsidR="007A1CCE" w:rsidRDefault="007A1CCE" w:rsidP="009A17AA">
      <w:pPr>
        <w:shd w:val="clear" w:color="auto" w:fill="FFFFFF"/>
        <w:spacing w:after="0" w:line="276" w:lineRule="auto"/>
        <w:rPr>
          <w:rFonts w:ascii="Georgia" w:hAnsi="Georgia"/>
          <w:color w:val="2E2E2E"/>
        </w:rPr>
      </w:pPr>
    </w:p>
    <w:p w14:paraId="6096584E" w14:textId="6A83EA83" w:rsidR="007A1CCE" w:rsidRDefault="007A1CCE" w:rsidP="009A17AA">
      <w:pPr>
        <w:shd w:val="clear" w:color="auto" w:fill="FFFFFF"/>
        <w:spacing w:after="0" w:line="276" w:lineRule="auto"/>
        <w:rPr>
          <w:rFonts w:ascii="Times New Roman" w:hAnsi="Times New Roman" w:cs="Times New Roman"/>
          <w:sz w:val="24"/>
          <w:szCs w:val="24"/>
        </w:rPr>
      </w:pPr>
      <w:r w:rsidRPr="007A1CCE">
        <w:rPr>
          <w:rFonts w:ascii="Times New Roman" w:hAnsi="Times New Roman" w:cs="Times New Roman"/>
          <w:color w:val="2E2E2E"/>
          <w:sz w:val="24"/>
          <w:szCs w:val="24"/>
        </w:rPr>
        <w:t xml:space="preserve">The other limitation cites was that </w:t>
      </w:r>
      <w:r w:rsidRPr="007A1CCE">
        <w:rPr>
          <w:rFonts w:ascii="Times New Roman" w:hAnsi="Times New Roman" w:cs="Times New Roman"/>
          <w:sz w:val="24"/>
          <w:szCs w:val="24"/>
        </w:rPr>
        <w:t>freshwater water quality data were frequently below detection limits at the time (of the 1981 study</w:t>
      </w:r>
      <w:r w:rsidR="007F2CD2">
        <w:rPr>
          <w:rFonts w:ascii="Times New Roman" w:hAnsi="Times New Roman" w:cs="Times New Roman"/>
          <w:sz w:val="24"/>
          <w:szCs w:val="24"/>
        </w:rPr>
        <w:t>)</w:t>
      </w:r>
      <w:r w:rsidRPr="007A1CCE">
        <w:rPr>
          <w:rFonts w:ascii="Times New Roman" w:hAnsi="Times New Roman" w:cs="Times New Roman"/>
          <w:sz w:val="24"/>
          <w:szCs w:val="24"/>
        </w:rPr>
        <w:t xml:space="preserve">.  Detection limits have </w:t>
      </w:r>
      <w:r w:rsidR="007F2CD2" w:rsidRPr="007A1CCE">
        <w:rPr>
          <w:rFonts w:ascii="Times New Roman" w:hAnsi="Times New Roman" w:cs="Times New Roman"/>
          <w:sz w:val="24"/>
          <w:szCs w:val="24"/>
        </w:rPr>
        <w:t>nothing</w:t>
      </w:r>
      <w:r w:rsidRPr="007A1CCE">
        <w:rPr>
          <w:rFonts w:ascii="Times New Roman" w:hAnsi="Times New Roman" w:cs="Times New Roman"/>
          <w:sz w:val="24"/>
          <w:szCs w:val="24"/>
        </w:rPr>
        <w:t xml:space="preserve"> to do with species diversity and population studies.  The State of Alaska is conflating water </w:t>
      </w:r>
      <w:r w:rsidR="00DF5ADD">
        <w:rPr>
          <w:rFonts w:ascii="Times New Roman" w:hAnsi="Times New Roman" w:cs="Times New Roman"/>
          <w:sz w:val="24"/>
          <w:szCs w:val="24"/>
        </w:rPr>
        <w:t xml:space="preserve">chemistry </w:t>
      </w:r>
      <w:r w:rsidRPr="007A1CCE">
        <w:rPr>
          <w:rFonts w:ascii="Times New Roman" w:hAnsi="Times New Roman" w:cs="Times New Roman"/>
          <w:sz w:val="24"/>
          <w:szCs w:val="24"/>
        </w:rPr>
        <w:t>testing with population density testing.</w:t>
      </w:r>
    </w:p>
    <w:p w14:paraId="1FCD91B9" w14:textId="77777777" w:rsidR="007A1CCE" w:rsidRDefault="007A1CCE" w:rsidP="009A17AA">
      <w:pPr>
        <w:shd w:val="clear" w:color="auto" w:fill="FFFFFF"/>
        <w:spacing w:after="0" w:line="276" w:lineRule="auto"/>
        <w:rPr>
          <w:rFonts w:ascii="Times New Roman" w:hAnsi="Times New Roman" w:cs="Times New Roman"/>
          <w:sz w:val="24"/>
          <w:szCs w:val="24"/>
        </w:rPr>
      </w:pPr>
    </w:p>
    <w:p w14:paraId="1D2E64FF" w14:textId="12282886" w:rsidR="00484B2F" w:rsidRDefault="007A1CCE" w:rsidP="009A17AA">
      <w:pPr>
        <w:shd w:val="clear" w:color="auto" w:fill="FFFFFF"/>
        <w:spacing w:after="0" w:line="276" w:lineRule="auto"/>
        <w:rPr>
          <w:rFonts w:ascii="Times New Roman" w:hAnsi="Times New Roman" w:cs="Times New Roman"/>
          <w:sz w:val="24"/>
          <w:szCs w:val="24"/>
        </w:rPr>
      </w:pPr>
      <w:r>
        <w:rPr>
          <w:rFonts w:ascii="Times New Roman" w:hAnsi="Times New Roman" w:cs="Times New Roman"/>
          <w:sz w:val="24"/>
          <w:szCs w:val="24"/>
        </w:rPr>
        <w:t xml:space="preserve">And finally, the 1981 study cannot be repeated due to </w:t>
      </w:r>
      <w:r w:rsidRPr="007A1CCE">
        <w:rPr>
          <w:rFonts w:ascii="Times New Roman" w:hAnsi="Times New Roman" w:cs="Times New Roman"/>
          <w:sz w:val="24"/>
          <w:szCs w:val="24"/>
        </w:rPr>
        <w:t>known contamination is present near some sample locations</w:t>
      </w:r>
      <w:r>
        <w:rPr>
          <w:rFonts w:ascii="Times New Roman" w:hAnsi="Times New Roman" w:cs="Times New Roman"/>
          <w:sz w:val="24"/>
          <w:szCs w:val="24"/>
        </w:rPr>
        <w:t>.  Ignoring the question of how they know that since they don’t seem to know the original locations, the issue becomes a matter of avoiding the area contaminated by the 19</w:t>
      </w:r>
      <w:r w:rsidR="00DF5ADD">
        <w:rPr>
          <w:rFonts w:ascii="Times New Roman" w:hAnsi="Times New Roman" w:cs="Times New Roman"/>
          <w:sz w:val="24"/>
          <w:szCs w:val="24"/>
        </w:rPr>
        <w:t>89</w:t>
      </w:r>
      <w:r>
        <w:rPr>
          <w:rFonts w:ascii="Times New Roman" w:hAnsi="Times New Roman" w:cs="Times New Roman"/>
          <w:sz w:val="24"/>
          <w:szCs w:val="24"/>
        </w:rPr>
        <w:t xml:space="preserve"> ore concentrate spill.  Species diversity and population studies can occur at the head of the Inlet, the Greens Creek Delta or south to </w:t>
      </w:r>
      <w:r w:rsidR="007F2CD2">
        <w:rPr>
          <w:rFonts w:ascii="Times New Roman" w:hAnsi="Times New Roman" w:cs="Times New Roman"/>
          <w:sz w:val="24"/>
          <w:szCs w:val="24"/>
        </w:rPr>
        <w:t>P</w:t>
      </w:r>
      <w:r>
        <w:rPr>
          <w:rFonts w:ascii="Times New Roman" w:hAnsi="Times New Roman" w:cs="Times New Roman"/>
          <w:sz w:val="24"/>
          <w:szCs w:val="24"/>
        </w:rPr>
        <w:t xml:space="preserve">ile </w:t>
      </w:r>
      <w:r w:rsidR="007F2CD2">
        <w:rPr>
          <w:rFonts w:ascii="Times New Roman" w:hAnsi="Times New Roman" w:cs="Times New Roman"/>
          <w:sz w:val="24"/>
          <w:szCs w:val="24"/>
        </w:rPr>
        <w:t>D</w:t>
      </w:r>
      <w:r>
        <w:rPr>
          <w:rFonts w:ascii="Times New Roman" w:hAnsi="Times New Roman" w:cs="Times New Roman"/>
          <w:sz w:val="24"/>
          <w:szCs w:val="24"/>
        </w:rPr>
        <w:t xml:space="preserve">river </w:t>
      </w:r>
      <w:r w:rsidR="007F2CD2">
        <w:rPr>
          <w:rFonts w:ascii="Times New Roman" w:hAnsi="Times New Roman" w:cs="Times New Roman"/>
          <w:sz w:val="24"/>
          <w:szCs w:val="24"/>
        </w:rPr>
        <w:t>C</w:t>
      </w:r>
      <w:r>
        <w:rPr>
          <w:rFonts w:ascii="Times New Roman" w:hAnsi="Times New Roman" w:cs="Times New Roman"/>
          <w:sz w:val="24"/>
          <w:szCs w:val="24"/>
        </w:rPr>
        <w:t>ove.  They can even be conducted in Young Bay, an appropriate “natural” area tested in 1981.</w:t>
      </w:r>
    </w:p>
    <w:p w14:paraId="678CF57F" w14:textId="77777777" w:rsidR="007A1CCE" w:rsidRDefault="007A1CCE" w:rsidP="009A17AA">
      <w:pPr>
        <w:shd w:val="clear" w:color="auto" w:fill="FFFFFF"/>
        <w:spacing w:after="0" w:line="276" w:lineRule="auto"/>
        <w:rPr>
          <w:rFonts w:ascii="Times New Roman" w:hAnsi="Times New Roman" w:cs="Times New Roman"/>
          <w:sz w:val="24"/>
          <w:szCs w:val="24"/>
        </w:rPr>
      </w:pPr>
    </w:p>
    <w:p w14:paraId="2709894D" w14:textId="1EF5611C" w:rsidR="00367BB1" w:rsidRDefault="007A1CCE" w:rsidP="009A17AA">
      <w:pPr>
        <w:shd w:val="clear" w:color="auto" w:fill="FFFFFF"/>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 short, there is no reason not to repeat the species diversity and population studies in order to directly measure potential impacts throughout the food chain. </w:t>
      </w:r>
      <w:r w:rsidR="00367BB1">
        <w:rPr>
          <w:rFonts w:ascii="Times New Roman" w:hAnsi="Times New Roman" w:cs="Times New Roman"/>
          <w:sz w:val="24"/>
          <w:szCs w:val="24"/>
        </w:rPr>
        <w:t xml:space="preserve">This is the only way to measure compliance with ANICLA’s irreparable harm to the ecosystem standard. The memo just furthers the State of Alaska’s obstruction on behalf of the mining companies interests over </w:t>
      </w:r>
      <w:r w:rsidR="00FD3F55">
        <w:rPr>
          <w:rFonts w:ascii="Times New Roman" w:hAnsi="Times New Roman" w:cs="Times New Roman"/>
          <w:sz w:val="24"/>
          <w:szCs w:val="24"/>
        </w:rPr>
        <w:t>t</w:t>
      </w:r>
      <w:r w:rsidR="00367BB1">
        <w:rPr>
          <w:rFonts w:ascii="Times New Roman" w:hAnsi="Times New Roman" w:cs="Times New Roman"/>
          <w:sz w:val="24"/>
          <w:szCs w:val="24"/>
        </w:rPr>
        <w:t xml:space="preserve">he duty to protect the public trust.  The Forest Service must require a repeat of the species diversity and populations studies. </w:t>
      </w:r>
    </w:p>
    <w:p w14:paraId="75C96E5B" w14:textId="77777777" w:rsidR="00367BB1" w:rsidRDefault="00367BB1" w:rsidP="009A17AA">
      <w:pPr>
        <w:shd w:val="clear" w:color="auto" w:fill="FFFFFF"/>
        <w:spacing w:after="0" w:line="276" w:lineRule="auto"/>
        <w:rPr>
          <w:rFonts w:ascii="Times New Roman" w:hAnsi="Times New Roman" w:cs="Times New Roman"/>
          <w:sz w:val="24"/>
          <w:szCs w:val="24"/>
        </w:rPr>
      </w:pPr>
    </w:p>
    <w:p w14:paraId="50087628" w14:textId="6BFA222D" w:rsidR="00484B2F" w:rsidRDefault="00367BB1" w:rsidP="009A17AA">
      <w:pPr>
        <w:shd w:val="clear" w:color="auto" w:fill="FFFFFF"/>
        <w:spacing w:after="0" w:line="276" w:lineRule="auto"/>
        <w:rPr>
          <w:rFonts w:ascii="Times New Roman" w:hAnsi="Times New Roman" w:cs="Times New Roman"/>
          <w:sz w:val="24"/>
          <w:szCs w:val="24"/>
        </w:rPr>
      </w:pPr>
      <w:r>
        <w:rPr>
          <w:rFonts w:ascii="Times New Roman" w:hAnsi="Times New Roman" w:cs="Times New Roman"/>
          <w:sz w:val="24"/>
          <w:szCs w:val="24"/>
        </w:rPr>
        <w:t xml:space="preserve">Furthermore, these studies are designed to detect long-term changes.  The States’s statement: </w:t>
      </w:r>
      <w:r w:rsidRPr="00367BB1">
        <w:rPr>
          <w:rFonts w:ascii="Times New Roman" w:hAnsi="Times New Roman" w:cs="Times New Roman"/>
          <w:sz w:val="24"/>
          <w:szCs w:val="24"/>
        </w:rPr>
        <w:t>“the State of Alaska does not speculate about replicating obsolete studies without regulatory justification; state agencies operate within their regulatory obligations and authorities to protect the people and resources of Alaska</w:t>
      </w:r>
      <w:r>
        <w:rPr>
          <w:rFonts w:ascii="Times New Roman" w:hAnsi="Times New Roman" w:cs="Times New Roman"/>
          <w:sz w:val="24"/>
          <w:szCs w:val="24"/>
        </w:rPr>
        <w:t>” is telling</w:t>
      </w:r>
      <w:r w:rsidR="00A2732C">
        <w:rPr>
          <w:rFonts w:ascii="Times New Roman" w:hAnsi="Times New Roman" w:cs="Times New Roman"/>
          <w:sz w:val="24"/>
          <w:szCs w:val="24"/>
        </w:rPr>
        <w:t xml:space="preserve"> if not a circular argument</w:t>
      </w:r>
      <w:r>
        <w:rPr>
          <w:rFonts w:ascii="Times New Roman" w:hAnsi="Times New Roman" w:cs="Times New Roman"/>
          <w:sz w:val="24"/>
          <w:szCs w:val="24"/>
        </w:rPr>
        <w:t>.</w:t>
      </w:r>
      <w:r w:rsidRPr="00367BB1">
        <w:rPr>
          <w:rFonts w:ascii="Times New Roman" w:hAnsi="Times New Roman" w:cs="Times New Roman"/>
          <w:sz w:val="24"/>
          <w:szCs w:val="24"/>
        </w:rPr>
        <w:t xml:space="preserve"> Changes to species make-up in any particular ecosystem do not occur within a one-year time-frame, but are </w:t>
      </w:r>
      <w:r w:rsidR="00FD3F55">
        <w:rPr>
          <w:rFonts w:ascii="Times New Roman" w:hAnsi="Times New Roman" w:cs="Times New Roman"/>
          <w:sz w:val="24"/>
          <w:szCs w:val="24"/>
        </w:rPr>
        <w:t xml:space="preserve">spread over </w:t>
      </w:r>
      <w:r w:rsidR="00A2732C">
        <w:rPr>
          <w:rFonts w:ascii="Times New Roman" w:hAnsi="Times New Roman" w:cs="Times New Roman"/>
          <w:sz w:val="24"/>
          <w:szCs w:val="24"/>
        </w:rPr>
        <w:t xml:space="preserve">many years </w:t>
      </w:r>
      <w:r w:rsidRPr="00367BB1">
        <w:rPr>
          <w:rFonts w:ascii="Times New Roman" w:hAnsi="Times New Roman" w:cs="Times New Roman"/>
          <w:sz w:val="24"/>
          <w:szCs w:val="24"/>
        </w:rPr>
        <w:t xml:space="preserve">according to the </w:t>
      </w:r>
      <w:r w:rsidR="00A2732C">
        <w:rPr>
          <w:rFonts w:ascii="Times New Roman" w:hAnsi="Times New Roman" w:cs="Times New Roman"/>
          <w:sz w:val="24"/>
          <w:szCs w:val="24"/>
        </w:rPr>
        <w:t xml:space="preserve">generational </w:t>
      </w:r>
      <w:r w:rsidRPr="00367BB1">
        <w:rPr>
          <w:rFonts w:ascii="Times New Roman" w:hAnsi="Times New Roman" w:cs="Times New Roman"/>
          <w:sz w:val="24"/>
          <w:szCs w:val="24"/>
        </w:rPr>
        <w:t xml:space="preserve">lifespan of the species.  The State of Alaska errs by characterizing the 1981 study as obsolete without any supporting documentation. </w:t>
      </w:r>
      <w:r>
        <w:rPr>
          <w:rFonts w:ascii="Times New Roman" w:hAnsi="Times New Roman" w:cs="Times New Roman"/>
          <w:sz w:val="24"/>
          <w:szCs w:val="24"/>
        </w:rPr>
        <w:t>The regulatory justification must come from the federal government</w:t>
      </w:r>
      <w:r w:rsidR="00FD3F55">
        <w:rPr>
          <w:rFonts w:ascii="Times New Roman" w:hAnsi="Times New Roman" w:cs="Times New Roman"/>
          <w:sz w:val="24"/>
          <w:szCs w:val="24"/>
        </w:rPr>
        <w:t>,</w:t>
      </w:r>
      <w:r>
        <w:rPr>
          <w:rFonts w:ascii="Times New Roman" w:hAnsi="Times New Roman" w:cs="Times New Roman"/>
          <w:sz w:val="24"/>
          <w:szCs w:val="24"/>
        </w:rPr>
        <w:t xml:space="preserve"> in this case the U.S. Forest Service fulfilling is duty to honor </w:t>
      </w:r>
      <w:r w:rsidR="00A2732C">
        <w:rPr>
          <w:rFonts w:ascii="Times New Roman" w:hAnsi="Times New Roman" w:cs="Times New Roman"/>
          <w:sz w:val="24"/>
          <w:szCs w:val="24"/>
        </w:rPr>
        <w:t>Congresses’</w:t>
      </w:r>
      <w:r>
        <w:rPr>
          <w:rFonts w:ascii="Times New Roman" w:hAnsi="Times New Roman" w:cs="Times New Roman"/>
          <w:sz w:val="24"/>
          <w:szCs w:val="24"/>
        </w:rPr>
        <w:t xml:space="preserve"> intent </w:t>
      </w:r>
      <w:r w:rsidR="009A17AA">
        <w:rPr>
          <w:rFonts w:ascii="Times New Roman" w:hAnsi="Times New Roman" w:cs="Times New Roman"/>
          <w:sz w:val="24"/>
          <w:szCs w:val="24"/>
        </w:rPr>
        <w:t>allowing mining in the Admiralty Island National Monument.</w:t>
      </w:r>
    </w:p>
    <w:p w14:paraId="7A9BE4A0" w14:textId="77777777" w:rsidR="009A17AA" w:rsidRDefault="009A17AA" w:rsidP="009A17AA">
      <w:pPr>
        <w:shd w:val="clear" w:color="auto" w:fill="FFFFFF"/>
        <w:spacing w:after="0" w:line="276" w:lineRule="auto"/>
        <w:rPr>
          <w:rFonts w:ascii="Times New Roman" w:hAnsi="Times New Roman" w:cs="Times New Roman"/>
          <w:sz w:val="24"/>
          <w:szCs w:val="24"/>
        </w:rPr>
      </w:pPr>
    </w:p>
    <w:p w14:paraId="6AF6EE80" w14:textId="07F9B4AF" w:rsidR="009A17AA" w:rsidRDefault="009A17AA" w:rsidP="009A17AA">
      <w:pPr>
        <w:shd w:val="clear" w:color="auto" w:fill="FFFFFF"/>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State’s memo is silent on any perceived issues with repeating the metal loading levels in the blood of upper trophic level </w:t>
      </w:r>
      <w:r w:rsidR="00D14527">
        <w:rPr>
          <w:rFonts w:ascii="Times New Roman" w:hAnsi="Times New Roman" w:cs="Times New Roman"/>
          <w:sz w:val="24"/>
          <w:szCs w:val="24"/>
        </w:rPr>
        <w:t>consumers</w:t>
      </w:r>
      <w:r>
        <w:rPr>
          <w:rFonts w:ascii="Times New Roman" w:hAnsi="Times New Roman" w:cs="Times New Roman"/>
          <w:sz w:val="24"/>
          <w:szCs w:val="24"/>
        </w:rPr>
        <w:t xml:space="preserve"> such as eagles</w:t>
      </w:r>
      <w:r w:rsidR="00D14527">
        <w:rPr>
          <w:rFonts w:ascii="Times New Roman" w:hAnsi="Times New Roman" w:cs="Times New Roman"/>
          <w:sz w:val="24"/>
          <w:szCs w:val="24"/>
        </w:rPr>
        <w:t>, deer</w:t>
      </w:r>
      <w:r>
        <w:rPr>
          <w:rFonts w:ascii="Times New Roman" w:hAnsi="Times New Roman" w:cs="Times New Roman"/>
          <w:sz w:val="24"/>
          <w:szCs w:val="24"/>
        </w:rPr>
        <w:t xml:space="preserve"> and bear</w:t>
      </w:r>
      <w:r w:rsidR="00D14527">
        <w:rPr>
          <w:rFonts w:ascii="Times New Roman" w:hAnsi="Times New Roman" w:cs="Times New Roman"/>
          <w:sz w:val="24"/>
          <w:szCs w:val="24"/>
        </w:rPr>
        <w:t xml:space="preserve">s.  Presumably because </w:t>
      </w:r>
      <w:r w:rsidR="00FD3F55">
        <w:rPr>
          <w:rFonts w:ascii="Times New Roman" w:hAnsi="Times New Roman" w:cs="Times New Roman"/>
          <w:sz w:val="24"/>
          <w:szCs w:val="24"/>
        </w:rPr>
        <w:t>n</w:t>
      </w:r>
      <w:r w:rsidR="00D14527">
        <w:rPr>
          <w:rFonts w:ascii="Times New Roman" w:hAnsi="Times New Roman" w:cs="Times New Roman"/>
          <w:sz w:val="24"/>
          <w:szCs w:val="24"/>
        </w:rPr>
        <w:t xml:space="preserve">o such barrier exists.  We recommend this testing </w:t>
      </w:r>
      <w:r w:rsidR="00FD3F55">
        <w:rPr>
          <w:rFonts w:ascii="Times New Roman" w:hAnsi="Times New Roman" w:cs="Times New Roman"/>
          <w:sz w:val="24"/>
          <w:szCs w:val="24"/>
        </w:rPr>
        <w:t xml:space="preserve">also </w:t>
      </w:r>
      <w:r w:rsidR="00D14527">
        <w:rPr>
          <w:rFonts w:ascii="Times New Roman" w:hAnsi="Times New Roman" w:cs="Times New Roman"/>
          <w:sz w:val="24"/>
          <w:szCs w:val="24"/>
        </w:rPr>
        <w:t>be conducted as it is the only direct measurement available to ascertain whether biomagnification in the food chain is occurring.</w:t>
      </w:r>
    </w:p>
    <w:p w14:paraId="124B0CA0" w14:textId="77777777" w:rsidR="009A17AA" w:rsidRDefault="009A17AA" w:rsidP="009A17AA">
      <w:pPr>
        <w:shd w:val="clear" w:color="auto" w:fill="FFFFFF"/>
        <w:spacing w:after="0" w:line="276" w:lineRule="auto"/>
        <w:rPr>
          <w:rFonts w:ascii="Times New Roman" w:hAnsi="Times New Roman" w:cs="Times New Roman"/>
          <w:sz w:val="24"/>
          <w:szCs w:val="24"/>
        </w:rPr>
      </w:pPr>
    </w:p>
    <w:p w14:paraId="2268C50F" w14:textId="6F1DAF1B" w:rsidR="009A17AA" w:rsidRPr="00D14527" w:rsidRDefault="009A17AA" w:rsidP="00D14527">
      <w:pPr>
        <w:pStyle w:val="ListParagraph"/>
        <w:numPr>
          <w:ilvl w:val="0"/>
          <w:numId w:val="2"/>
        </w:numPr>
        <w:shd w:val="clear" w:color="auto" w:fill="FFFFFF"/>
        <w:spacing w:after="0" w:line="276" w:lineRule="auto"/>
        <w:rPr>
          <w:rFonts w:ascii="Times New Roman" w:hAnsi="Times New Roman" w:cs="Times New Roman"/>
          <w:b/>
          <w:bCs/>
          <w:sz w:val="24"/>
          <w:szCs w:val="24"/>
        </w:rPr>
      </w:pPr>
      <w:r w:rsidRPr="00D14527">
        <w:rPr>
          <w:rFonts w:ascii="Times New Roman" w:hAnsi="Times New Roman" w:cs="Times New Roman"/>
          <w:b/>
          <w:bCs/>
          <w:sz w:val="24"/>
          <w:szCs w:val="24"/>
        </w:rPr>
        <w:t xml:space="preserve">Conclusion </w:t>
      </w:r>
    </w:p>
    <w:p w14:paraId="06911B8B" w14:textId="77777777" w:rsidR="009A17AA" w:rsidRDefault="009A17AA" w:rsidP="009A17AA">
      <w:pPr>
        <w:shd w:val="clear" w:color="auto" w:fill="FFFFFF"/>
        <w:spacing w:after="0" w:line="276" w:lineRule="auto"/>
        <w:rPr>
          <w:rFonts w:ascii="Times New Roman" w:hAnsi="Times New Roman" w:cs="Times New Roman"/>
          <w:sz w:val="24"/>
          <w:szCs w:val="24"/>
        </w:rPr>
      </w:pPr>
      <w:r w:rsidRPr="009A17AA">
        <w:rPr>
          <w:rFonts w:ascii="Times New Roman" w:hAnsi="Times New Roman" w:cs="Times New Roman"/>
          <w:sz w:val="24"/>
          <w:szCs w:val="24"/>
        </w:rPr>
        <w:t xml:space="preserve">The </w:t>
      </w:r>
      <w:r>
        <w:rPr>
          <w:rFonts w:ascii="Times New Roman" w:hAnsi="Times New Roman" w:cs="Times New Roman"/>
          <w:sz w:val="24"/>
          <w:szCs w:val="24"/>
        </w:rPr>
        <w:t xml:space="preserve">Forest Service has a duty to implement the intent of Congress and the conditions placed on mining within the Admiralty Island National Monument.  It cannot abdicate this duty to the State of Alaska. </w:t>
      </w:r>
    </w:p>
    <w:p w14:paraId="5C47B726" w14:textId="77777777" w:rsidR="009A17AA" w:rsidRDefault="009A17AA" w:rsidP="009A17AA">
      <w:pPr>
        <w:shd w:val="clear" w:color="auto" w:fill="FFFFFF"/>
        <w:spacing w:after="0" w:line="276" w:lineRule="auto"/>
        <w:rPr>
          <w:rFonts w:ascii="Times New Roman" w:hAnsi="Times New Roman" w:cs="Times New Roman"/>
          <w:sz w:val="24"/>
          <w:szCs w:val="24"/>
        </w:rPr>
      </w:pPr>
    </w:p>
    <w:p w14:paraId="02017DED" w14:textId="0D3FB97D" w:rsidR="00D14527" w:rsidRDefault="009A17AA" w:rsidP="009A17AA">
      <w:pPr>
        <w:shd w:val="clear" w:color="auto" w:fill="FFFFFF"/>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Forest Service must protect the entirety of the </w:t>
      </w:r>
      <w:r w:rsidR="00D14527">
        <w:rPr>
          <w:rFonts w:ascii="Times New Roman" w:hAnsi="Times New Roman" w:cs="Times New Roman"/>
          <w:sz w:val="24"/>
          <w:szCs w:val="24"/>
        </w:rPr>
        <w:t>Monument</w:t>
      </w:r>
      <w:r>
        <w:rPr>
          <w:rFonts w:ascii="Times New Roman" w:hAnsi="Times New Roman" w:cs="Times New Roman"/>
          <w:sz w:val="24"/>
          <w:szCs w:val="24"/>
        </w:rPr>
        <w:t xml:space="preserve"> including the submerged waters</w:t>
      </w:r>
      <w:r w:rsidR="00365009">
        <w:rPr>
          <w:rFonts w:ascii="Times New Roman" w:hAnsi="Times New Roman" w:cs="Times New Roman"/>
          <w:sz w:val="24"/>
          <w:szCs w:val="24"/>
        </w:rPr>
        <w:t xml:space="preserve"> from irreparable harm. This means requiring the type of monitoring that can predict harm before it occurs</w:t>
      </w:r>
      <w:r>
        <w:rPr>
          <w:rFonts w:ascii="Times New Roman" w:hAnsi="Times New Roman" w:cs="Times New Roman"/>
          <w:sz w:val="24"/>
          <w:szCs w:val="24"/>
        </w:rPr>
        <w:t xml:space="preserve">. </w:t>
      </w:r>
      <w:r w:rsidR="00365009">
        <w:rPr>
          <w:rFonts w:ascii="Times New Roman" w:hAnsi="Times New Roman" w:cs="Times New Roman"/>
          <w:sz w:val="24"/>
          <w:szCs w:val="24"/>
        </w:rPr>
        <w:t xml:space="preserve">By definition, irreparable harm cannot be restored or mitigated for.  No exchanges of similar lands elsewhere </w:t>
      </w:r>
      <w:proofErr w:type="gramStart"/>
      <w:r w:rsidR="00365009">
        <w:rPr>
          <w:rFonts w:ascii="Times New Roman" w:hAnsi="Times New Roman" w:cs="Times New Roman"/>
          <w:sz w:val="24"/>
          <w:szCs w:val="24"/>
        </w:rPr>
        <w:t>is</w:t>
      </w:r>
      <w:proofErr w:type="gramEnd"/>
      <w:r w:rsidR="00365009">
        <w:rPr>
          <w:rFonts w:ascii="Times New Roman" w:hAnsi="Times New Roman" w:cs="Times New Roman"/>
          <w:sz w:val="24"/>
          <w:szCs w:val="24"/>
        </w:rPr>
        <w:t xml:space="preserve"> consistent with protecting the Monument.  Harm must be avoided. </w:t>
      </w:r>
      <w:r w:rsidR="00D14527">
        <w:rPr>
          <w:rFonts w:ascii="Times New Roman" w:hAnsi="Times New Roman" w:cs="Times New Roman"/>
          <w:sz w:val="24"/>
          <w:szCs w:val="24"/>
        </w:rPr>
        <w:t xml:space="preserve">Not a single square foot can be spared. </w:t>
      </w:r>
    </w:p>
    <w:p w14:paraId="130E5B89" w14:textId="77777777" w:rsidR="00D14527" w:rsidRDefault="00D14527" w:rsidP="009A17AA">
      <w:pPr>
        <w:shd w:val="clear" w:color="auto" w:fill="FFFFFF"/>
        <w:spacing w:after="0" w:line="276" w:lineRule="auto"/>
        <w:rPr>
          <w:rFonts w:ascii="Times New Roman" w:hAnsi="Times New Roman" w:cs="Times New Roman"/>
          <w:sz w:val="24"/>
          <w:szCs w:val="24"/>
        </w:rPr>
      </w:pPr>
    </w:p>
    <w:p w14:paraId="5993A6A6" w14:textId="77777777" w:rsidR="00AB1D65" w:rsidRDefault="009A17AA" w:rsidP="00AB1D65">
      <w:pPr>
        <w:shd w:val="clear" w:color="auto" w:fill="FFFFFF"/>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The State of Alaska is not under the same requirements as the Forest Service.  The State of Alaska’s monitoring is too narrow to detect </w:t>
      </w:r>
      <w:r w:rsidR="00D14527">
        <w:rPr>
          <w:rFonts w:ascii="Times New Roman" w:hAnsi="Times New Roman" w:cs="Times New Roman"/>
          <w:sz w:val="24"/>
          <w:szCs w:val="24"/>
        </w:rPr>
        <w:t>potential</w:t>
      </w:r>
      <w:r>
        <w:rPr>
          <w:rFonts w:ascii="Times New Roman" w:hAnsi="Times New Roman" w:cs="Times New Roman"/>
          <w:sz w:val="24"/>
          <w:szCs w:val="24"/>
        </w:rPr>
        <w:t xml:space="preserve"> harm to the Monument Values</w:t>
      </w:r>
      <w:r w:rsidR="00D14527">
        <w:rPr>
          <w:rFonts w:ascii="Times New Roman" w:hAnsi="Times New Roman" w:cs="Times New Roman"/>
          <w:sz w:val="24"/>
          <w:szCs w:val="24"/>
        </w:rPr>
        <w:t>.  The Forest Service must act to avoid the dilemma faced by the Forest Supervisor described in the 2013 EIS and ROD</w:t>
      </w:r>
      <w:r w:rsidR="00AB1D65">
        <w:rPr>
          <w:rFonts w:ascii="Times New Roman" w:hAnsi="Times New Roman" w:cs="Times New Roman"/>
          <w:sz w:val="24"/>
          <w:szCs w:val="24"/>
        </w:rPr>
        <w:t xml:space="preserve"> and required the collection of information necessary to predict and avoid harm.  This means using sound science, field verification of models and assumptions, direct measurements and surveys and applying ANICLA’s criteria over and above the idea that some harm is necessary to the Monument in order to accommodate mining. </w:t>
      </w:r>
    </w:p>
    <w:p w14:paraId="41D2C5A1" w14:textId="77777777" w:rsidR="00AB1D65" w:rsidRDefault="00AB1D65" w:rsidP="00AB1D65">
      <w:pPr>
        <w:shd w:val="clear" w:color="auto" w:fill="FFFFFF"/>
        <w:spacing w:after="0" w:line="276" w:lineRule="auto"/>
        <w:rPr>
          <w:rFonts w:ascii="Times New Roman" w:hAnsi="Times New Roman" w:cs="Times New Roman"/>
          <w:sz w:val="24"/>
          <w:szCs w:val="24"/>
        </w:rPr>
      </w:pPr>
    </w:p>
    <w:p w14:paraId="3BF90B83" w14:textId="780D0C05" w:rsidR="00AB1D65" w:rsidRDefault="00AB1D65" w:rsidP="00AB1D65">
      <w:pPr>
        <w:shd w:val="clear" w:color="auto" w:fill="FFFFFF"/>
        <w:spacing w:after="0" w:line="276" w:lineRule="auto"/>
        <w:rPr>
          <w:rFonts w:ascii="Times New Roman" w:hAnsi="Times New Roman" w:cs="Times New Roman"/>
          <w:sz w:val="24"/>
          <w:szCs w:val="24"/>
        </w:rPr>
      </w:pPr>
      <w:r>
        <w:rPr>
          <w:rFonts w:ascii="Times New Roman" w:hAnsi="Times New Roman" w:cs="Times New Roman"/>
          <w:sz w:val="24"/>
          <w:szCs w:val="24"/>
        </w:rPr>
        <w:t>Greens Creek could still be the model mine envisioned by Congress, but only if the Forest Service requires it.</w:t>
      </w:r>
    </w:p>
    <w:p w14:paraId="52FCCE3F" w14:textId="77777777" w:rsidR="00AB1D65" w:rsidRDefault="00AB1D65" w:rsidP="00AB1D65">
      <w:pPr>
        <w:shd w:val="clear" w:color="auto" w:fill="FFFFFF"/>
        <w:spacing w:after="0" w:line="276" w:lineRule="auto"/>
        <w:rPr>
          <w:rFonts w:ascii="Times New Roman" w:hAnsi="Times New Roman" w:cs="Times New Roman"/>
          <w:sz w:val="24"/>
          <w:szCs w:val="24"/>
        </w:rPr>
      </w:pPr>
    </w:p>
    <w:p w14:paraId="1BE266EF" w14:textId="4DF49B5D" w:rsidR="0061385D" w:rsidRDefault="0061385D" w:rsidP="00AB1D65">
      <w:pPr>
        <w:shd w:val="clear" w:color="auto" w:fill="FFFFFF"/>
        <w:spacing w:after="0" w:line="276" w:lineRule="auto"/>
        <w:rPr>
          <w:rFonts w:ascii="Times New Roman" w:hAnsi="Times New Roman" w:cs="Times New Roman"/>
          <w:b/>
          <w:bCs/>
          <w:sz w:val="24"/>
          <w:szCs w:val="24"/>
        </w:rPr>
      </w:pPr>
      <w:r w:rsidRPr="0061385D">
        <w:rPr>
          <w:rFonts w:ascii="Times New Roman" w:hAnsi="Times New Roman" w:cs="Times New Roman"/>
          <w:b/>
          <w:bCs/>
          <w:sz w:val="24"/>
          <w:szCs w:val="24"/>
        </w:rPr>
        <w:t>Sectional Comments</w:t>
      </w:r>
    </w:p>
    <w:p w14:paraId="7C5FA4BB" w14:textId="22F8541E" w:rsidR="00A93B56" w:rsidRDefault="00A93B56" w:rsidP="00AB1D65">
      <w:pPr>
        <w:shd w:val="clear" w:color="auto" w:fill="FFFFFF"/>
        <w:spacing w:after="0" w:line="276" w:lineRule="auto"/>
        <w:rPr>
          <w:rFonts w:ascii="Times New Roman" w:hAnsi="Times New Roman" w:cs="Times New Roman"/>
          <w:sz w:val="24"/>
          <w:szCs w:val="24"/>
        </w:rPr>
      </w:pPr>
      <w:r w:rsidRPr="00A93B56">
        <w:rPr>
          <w:rFonts w:ascii="Times New Roman" w:hAnsi="Times New Roman" w:cs="Times New Roman"/>
          <w:sz w:val="24"/>
          <w:szCs w:val="24"/>
        </w:rPr>
        <w:t xml:space="preserve">Purpose and Need at S-1: </w:t>
      </w:r>
      <w:r w:rsidR="00CA3535" w:rsidRPr="00CA3535">
        <w:rPr>
          <w:rFonts w:ascii="Times New Roman" w:hAnsi="Times New Roman" w:cs="Times New Roman"/>
          <w:i/>
          <w:iCs/>
          <w:sz w:val="24"/>
          <w:szCs w:val="24"/>
        </w:rPr>
        <w:t>See also</w:t>
      </w:r>
      <w:r w:rsidR="00CA3535">
        <w:rPr>
          <w:rFonts w:ascii="Times New Roman" w:hAnsi="Times New Roman" w:cs="Times New Roman"/>
          <w:i/>
          <w:iCs/>
          <w:sz w:val="24"/>
          <w:szCs w:val="24"/>
        </w:rPr>
        <w:t>,</w:t>
      </w:r>
      <w:r w:rsidR="00CA3535">
        <w:rPr>
          <w:rFonts w:ascii="Times New Roman" w:hAnsi="Times New Roman" w:cs="Times New Roman"/>
          <w:sz w:val="24"/>
          <w:szCs w:val="24"/>
        </w:rPr>
        <w:t xml:space="preserve"> Section 1.2 </w:t>
      </w:r>
      <w:r w:rsidRPr="00A93B56">
        <w:rPr>
          <w:rFonts w:ascii="Times New Roman" w:hAnsi="Times New Roman" w:cs="Times New Roman"/>
          <w:sz w:val="24"/>
          <w:szCs w:val="24"/>
        </w:rPr>
        <w:t xml:space="preserve">“The need for the Forest Service’s action is to comply with regulations governing the use of surface resources for operations authorized by the United States mining laws on National Forest System lands under 36 Code of Federal Regulations (CFR) 228, subpart A.”  This must be balanced with the requirements Under ANICLA.  The purpose and need </w:t>
      </w:r>
      <w:proofErr w:type="gramStart"/>
      <w:r w:rsidRPr="00A93B56">
        <w:rPr>
          <w:rFonts w:ascii="Times New Roman" w:hAnsi="Times New Roman" w:cs="Times New Roman"/>
          <w:sz w:val="24"/>
          <w:szCs w:val="24"/>
        </w:rPr>
        <w:t>i</w:t>
      </w:r>
      <w:r w:rsidR="006E1985">
        <w:rPr>
          <w:rFonts w:ascii="Times New Roman" w:hAnsi="Times New Roman" w:cs="Times New Roman"/>
          <w:sz w:val="24"/>
          <w:szCs w:val="24"/>
        </w:rPr>
        <w:t>s</w:t>
      </w:r>
      <w:proofErr w:type="gramEnd"/>
      <w:r w:rsidRPr="00A93B56">
        <w:rPr>
          <w:rFonts w:ascii="Times New Roman" w:hAnsi="Times New Roman" w:cs="Times New Roman"/>
          <w:sz w:val="24"/>
          <w:szCs w:val="24"/>
        </w:rPr>
        <w:t xml:space="preserve"> </w:t>
      </w:r>
      <w:r w:rsidR="006E1985">
        <w:rPr>
          <w:rFonts w:ascii="Times New Roman" w:hAnsi="Times New Roman" w:cs="Times New Roman"/>
          <w:sz w:val="24"/>
          <w:szCs w:val="24"/>
        </w:rPr>
        <w:t xml:space="preserve">also regulated </w:t>
      </w:r>
      <w:r w:rsidRPr="00A93B56">
        <w:rPr>
          <w:rFonts w:ascii="Times New Roman" w:hAnsi="Times New Roman" w:cs="Times New Roman"/>
          <w:sz w:val="24"/>
          <w:szCs w:val="24"/>
        </w:rPr>
        <w:t xml:space="preserve">on the extra conditions Congress mandated for mining on the Monument.  We recommend language making </w:t>
      </w:r>
      <w:r w:rsidR="006E1985">
        <w:rPr>
          <w:rFonts w:ascii="Times New Roman" w:hAnsi="Times New Roman" w:cs="Times New Roman"/>
          <w:sz w:val="24"/>
          <w:szCs w:val="24"/>
        </w:rPr>
        <w:t xml:space="preserve">it clear to the </w:t>
      </w:r>
      <w:r w:rsidRPr="00A93B56">
        <w:rPr>
          <w:rFonts w:ascii="Times New Roman" w:hAnsi="Times New Roman" w:cs="Times New Roman"/>
          <w:sz w:val="24"/>
          <w:szCs w:val="24"/>
        </w:rPr>
        <w:t>public that there are limits to what the mining company and the Forest Service can authorized to fulfill the purpose and need</w:t>
      </w:r>
      <w:r>
        <w:rPr>
          <w:rFonts w:ascii="Times New Roman" w:hAnsi="Times New Roman" w:cs="Times New Roman"/>
          <w:sz w:val="24"/>
          <w:szCs w:val="24"/>
        </w:rPr>
        <w:t>.</w:t>
      </w:r>
    </w:p>
    <w:p w14:paraId="5EA921E0" w14:textId="77777777" w:rsidR="008A1B8D" w:rsidRDefault="008A1B8D" w:rsidP="00AB1D65">
      <w:pPr>
        <w:shd w:val="clear" w:color="auto" w:fill="FFFFFF"/>
        <w:spacing w:after="0" w:line="276" w:lineRule="auto"/>
        <w:rPr>
          <w:rFonts w:ascii="Times New Roman" w:hAnsi="Times New Roman" w:cs="Times New Roman"/>
          <w:sz w:val="24"/>
          <w:szCs w:val="24"/>
        </w:rPr>
      </w:pPr>
    </w:p>
    <w:p w14:paraId="4729247E" w14:textId="3590A893" w:rsidR="00A93B56" w:rsidRDefault="008A1B8D" w:rsidP="00AB1D65">
      <w:pPr>
        <w:shd w:val="clear" w:color="auto" w:fill="FFFFFF"/>
        <w:spacing w:after="0" w:line="276" w:lineRule="auto"/>
        <w:rPr>
          <w:rFonts w:ascii="Times New Roman" w:hAnsi="Times New Roman" w:cs="Times New Roman"/>
          <w:sz w:val="24"/>
          <w:szCs w:val="24"/>
        </w:rPr>
      </w:pPr>
      <w:r w:rsidRPr="008A1B8D">
        <w:rPr>
          <w:rFonts w:ascii="Times New Roman" w:hAnsi="Times New Roman" w:cs="Times New Roman"/>
          <w:sz w:val="24"/>
          <w:szCs w:val="24"/>
        </w:rPr>
        <w:t xml:space="preserve">Scoping and Significant Issues at S-2. “Scoping comments were distilled into significant issues that were used to develop alternatives to the proposed action and identify key areas that need to be addressed in the environmental impact analysis”. </w:t>
      </w:r>
      <w:r w:rsidR="00A93B56" w:rsidRPr="008A1B8D">
        <w:rPr>
          <w:rFonts w:ascii="Times New Roman" w:hAnsi="Times New Roman" w:cs="Times New Roman"/>
          <w:sz w:val="24"/>
          <w:szCs w:val="24"/>
        </w:rPr>
        <w:t xml:space="preserve"> </w:t>
      </w:r>
      <w:r w:rsidRPr="008A1B8D">
        <w:rPr>
          <w:rFonts w:ascii="Times New Roman" w:hAnsi="Times New Roman" w:cs="Times New Roman"/>
          <w:sz w:val="24"/>
          <w:szCs w:val="24"/>
        </w:rPr>
        <w:t xml:space="preserve">Information must be provided to the public on what methods the Forest Service used to define </w:t>
      </w:r>
      <w:r>
        <w:rPr>
          <w:rFonts w:ascii="Times New Roman" w:hAnsi="Times New Roman" w:cs="Times New Roman"/>
          <w:sz w:val="24"/>
          <w:szCs w:val="24"/>
        </w:rPr>
        <w:t>‘</w:t>
      </w:r>
      <w:r w:rsidRPr="008A1B8D">
        <w:rPr>
          <w:rFonts w:ascii="Times New Roman" w:hAnsi="Times New Roman" w:cs="Times New Roman"/>
          <w:sz w:val="24"/>
          <w:szCs w:val="24"/>
        </w:rPr>
        <w:t>significance</w:t>
      </w:r>
      <w:r>
        <w:rPr>
          <w:rFonts w:ascii="Times New Roman" w:hAnsi="Times New Roman" w:cs="Times New Roman"/>
          <w:sz w:val="24"/>
          <w:szCs w:val="24"/>
        </w:rPr>
        <w:t>’ versus ‘other’</w:t>
      </w:r>
      <w:r w:rsidRPr="008A1B8D">
        <w:rPr>
          <w:rFonts w:ascii="Times New Roman" w:hAnsi="Times New Roman" w:cs="Times New Roman"/>
          <w:sz w:val="24"/>
          <w:szCs w:val="24"/>
        </w:rPr>
        <w:t xml:space="preserve"> issues raised during the scoping period.</w:t>
      </w:r>
      <w:r>
        <w:rPr>
          <w:rFonts w:ascii="Times New Roman" w:hAnsi="Times New Roman" w:cs="Times New Roman"/>
          <w:sz w:val="24"/>
          <w:szCs w:val="24"/>
        </w:rPr>
        <w:t xml:space="preserve">  Many commentators raised the compliance with ANICLA</w:t>
      </w:r>
      <w:r w:rsidR="006E1985">
        <w:rPr>
          <w:rFonts w:ascii="Times New Roman" w:hAnsi="Times New Roman" w:cs="Times New Roman"/>
          <w:sz w:val="24"/>
          <w:szCs w:val="24"/>
        </w:rPr>
        <w:t xml:space="preserve"> in scoping</w:t>
      </w:r>
      <w:r>
        <w:rPr>
          <w:rFonts w:ascii="Times New Roman" w:hAnsi="Times New Roman" w:cs="Times New Roman"/>
          <w:sz w:val="24"/>
          <w:szCs w:val="24"/>
        </w:rPr>
        <w:t xml:space="preserve">, yet the Forest Service, despite the language in the last decision about the conflict and the need for more information, </w:t>
      </w:r>
      <w:r w:rsidR="006E1985">
        <w:rPr>
          <w:rFonts w:ascii="Times New Roman" w:hAnsi="Times New Roman" w:cs="Times New Roman"/>
          <w:sz w:val="24"/>
          <w:szCs w:val="24"/>
        </w:rPr>
        <w:t>this was not s</w:t>
      </w:r>
      <w:r>
        <w:rPr>
          <w:rFonts w:ascii="Times New Roman" w:hAnsi="Times New Roman" w:cs="Times New Roman"/>
          <w:sz w:val="24"/>
          <w:szCs w:val="24"/>
        </w:rPr>
        <w:t>ignificant or even</w:t>
      </w:r>
      <w:r w:rsidR="006E1985">
        <w:rPr>
          <w:rFonts w:ascii="Times New Roman" w:hAnsi="Times New Roman" w:cs="Times New Roman"/>
          <w:sz w:val="24"/>
          <w:szCs w:val="24"/>
        </w:rPr>
        <w:t xml:space="preserve"> </w:t>
      </w:r>
      <w:proofErr w:type="gramStart"/>
      <w:r w:rsidR="006E1985">
        <w:rPr>
          <w:rFonts w:ascii="Times New Roman" w:hAnsi="Times New Roman" w:cs="Times New Roman"/>
          <w:sz w:val="24"/>
          <w:szCs w:val="24"/>
        </w:rPr>
        <w:t>an</w:t>
      </w:r>
      <w:r>
        <w:rPr>
          <w:rFonts w:ascii="Times New Roman" w:hAnsi="Times New Roman" w:cs="Times New Roman"/>
          <w:sz w:val="24"/>
          <w:szCs w:val="24"/>
        </w:rPr>
        <w:t xml:space="preserve"> ‘other’</w:t>
      </w:r>
      <w:proofErr w:type="gramEnd"/>
      <w:r>
        <w:rPr>
          <w:rFonts w:ascii="Times New Roman" w:hAnsi="Times New Roman" w:cs="Times New Roman"/>
          <w:sz w:val="24"/>
          <w:szCs w:val="24"/>
        </w:rPr>
        <w:t xml:space="preserve"> issues</w:t>
      </w:r>
      <w:r w:rsidR="006E1985">
        <w:rPr>
          <w:rFonts w:ascii="Times New Roman" w:hAnsi="Times New Roman" w:cs="Times New Roman"/>
          <w:sz w:val="24"/>
          <w:szCs w:val="24"/>
        </w:rPr>
        <w:t>.  This process</w:t>
      </w:r>
      <w:r>
        <w:rPr>
          <w:rFonts w:ascii="Times New Roman" w:hAnsi="Times New Roman" w:cs="Times New Roman"/>
          <w:sz w:val="24"/>
          <w:szCs w:val="24"/>
        </w:rPr>
        <w:t xml:space="preserve"> is opaque to the public.  Please explain.</w:t>
      </w:r>
    </w:p>
    <w:p w14:paraId="2DDFF82A" w14:textId="77777777" w:rsidR="008A1B8D" w:rsidRDefault="008A1B8D" w:rsidP="00AB1D65">
      <w:pPr>
        <w:shd w:val="clear" w:color="auto" w:fill="FFFFFF"/>
        <w:spacing w:after="0" w:line="276" w:lineRule="auto"/>
        <w:rPr>
          <w:rFonts w:ascii="Times New Roman" w:eastAsia="Times New Roman" w:hAnsi="Times New Roman" w:cs="Times New Roman"/>
          <w:color w:val="222222"/>
          <w:sz w:val="24"/>
          <w:szCs w:val="24"/>
        </w:rPr>
      </w:pPr>
    </w:p>
    <w:p w14:paraId="24AC47CD" w14:textId="7F4B05D2" w:rsidR="0024029C" w:rsidRPr="0024029C" w:rsidRDefault="0024029C" w:rsidP="00FB4911">
      <w:pPr>
        <w:pStyle w:val="Default"/>
        <w:spacing w:line="276" w:lineRule="auto"/>
        <w:rPr>
          <w:rFonts w:ascii="Times New Roman" w:hAnsi="Times New Roman" w:cs="Times New Roman"/>
        </w:rPr>
      </w:pPr>
      <w:r w:rsidRPr="0024029C">
        <w:rPr>
          <w:rFonts w:ascii="Times New Roman" w:eastAsia="Times New Roman" w:hAnsi="Times New Roman" w:cs="Times New Roman"/>
          <w:color w:val="222222"/>
        </w:rPr>
        <w:t xml:space="preserve">Table ES-2 at </w:t>
      </w:r>
      <w:r>
        <w:rPr>
          <w:rFonts w:ascii="Times New Roman" w:eastAsia="Times New Roman" w:hAnsi="Times New Roman" w:cs="Times New Roman"/>
          <w:color w:val="222222"/>
        </w:rPr>
        <w:t>S</w:t>
      </w:r>
      <w:r w:rsidRPr="0024029C">
        <w:rPr>
          <w:rFonts w:ascii="Times New Roman" w:eastAsia="Times New Roman" w:hAnsi="Times New Roman" w:cs="Times New Roman"/>
          <w:color w:val="222222"/>
        </w:rPr>
        <w:t>-5</w:t>
      </w:r>
      <w:r>
        <w:rPr>
          <w:rFonts w:ascii="Times New Roman" w:eastAsia="Times New Roman" w:hAnsi="Times New Roman" w:cs="Times New Roman"/>
          <w:color w:val="222222"/>
        </w:rPr>
        <w:t>.</w:t>
      </w:r>
      <w:r w:rsidRPr="0024029C">
        <w:rPr>
          <w:rFonts w:ascii="Times New Roman" w:eastAsia="Times New Roman" w:hAnsi="Times New Roman" w:cs="Times New Roman"/>
          <w:color w:val="222222"/>
        </w:rPr>
        <w:t xml:space="preserve"> </w:t>
      </w:r>
      <w:r w:rsidRPr="0024029C">
        <w:rPr>
          <w:rFonts w:ascii="Times New Roman" w:hAnsi="Times New Roman" w:cs="Times New Roman"/>
        </w:rPr>
        <w:t>Air quality and climate</w:t>
      </w:r>
      <w:r>
        <w:rPr>
          <w:rFonts w:ascii="Times New Roman" w:hAnsi="Times New Roman" w:cs="Times New Roman"/>
        </w:rPr>
        <w:t>.</w:t>
      </w:r>
      <w:r w:rsidRPr="0024029C">
        <w:rPr>
          <w:rFonts w:ascii="Times New Roman" w:hAnsi="Times New Roman" w:cs="Times New Roman"/>
        </w:rPr>
        <w:t xml:space="preserve"> Fugitive dust deposition amounts “low to moderate” for all alternatives</w:t>
      </w:r>
      <w:r>
        <w:rPr>
          <w:rFonts w:ascii="Times New Roman" w:hAnsi="Times New Roman" w:cs="Times New Roman"/>
        </w:rPr>
        <w:t>.</w:t>
      </w:r>
      <w:r w:rsidRPr="0024029C">
        <w:rPr>
          <w:rFonts w:ascii="Times New Roman" w:hAnsi="Times New Roman" w:cs="Times New Roman"/>
        </w:rPr>
        <w:t xml:space="preserve"> </w:t>
      </w:r>
      <w:r>
        <w:rPr>
          <w:rFonts w:ascii="Times New Roman" w:hAnsi="Times New Roman" w:cs="Times New Roman"/>
        </w:rPr>
        <w:t xml:space="preserve">Please explain the threshold determination for “low” or “moderate.”  The 2013 EIS cites an expected 100 tons of fugitive daut per year.  How </w:t>
      </w:r>
      <w:r w:rsidR="00FB4911">
        <w:rPr>
          <w:rFonts w:ascii="Times New Roman" w:hAnsi="Times New Roman" w:cs="Times New Roman"/>
        </w:rPr>
        <w:t>does</w:t>
      </w:r>
      <w:r>
        <w:rPr>
          <w:rFonts w:ascii="Times New Roman" w:hAnsi="Times New Roman" w:cs="Times New Roman"/>
        </w:rPr>
        <w:t xml:space="preserve"> that expected amount </w:t>
      </w:r>
      <w:r w:rsidR="00FB4911">
        <w:rPr>
          <w:rFonts w:ascii="Times New Roman" w:hAnsi="Times New Roman" w:cs="Times New Roman"/>
        </w:rPr>
        <w:t>fall into a low to moderate category.  The Forest Service has failed to require industry standard dust monitoring so has no accurate data to predict these amounts.  This violates the NEPA “hard look” requirement.  Please include specific threshold as to what constitutes Low to Moderate to Severe and provide the data for such determination so the public can make an informed decision.</w:t>
      </w:r>
    </w:p>
    <w:p w14:paraId="1D062189" w14:textId="63829C1F" w:rsidR="0024029C" w:rsidRPr="0024029C" w:rsidRDefault="0024029C" w:rsidP="00FB4911">
      <w:pPr>
        <w:pStyle w:val="Default"/>
        <w:spacing w:line="276" w:lineRule="auto"/>
        <w:rPr>
          <w:rFonts w:ascii="Times New Roman" w:hAnsi="Times New Roman" w:cs="Times New Roman"/>
        </w:rPr>
      </w:pPr>
    </w:p>
    <w:p w14:paraId="0A58D46E" w14:textId="58597803" w:rsidR="00FB4911" w:rsidRPr="00FB4911" w:rsidRDefault="00FB4911" w:rsidP="00671D8D">
      <w:pPr>
        <w:pStyle w:val="Default"/>
        <w:spacing w:line="276" w:lineRule="auto"/>
        <w:rPr>
          <w:rFonts w:ascii="Times New Roman" w:hAnsi="Times New Roman" w:cs="Times New Roman"/>
        </w:rPr>
      </w:pPr>
      <w:r>
        <w:rPr>
          <w:rFonts w:ascii="Times New Roman" w:eastAsia="Times New Roman" w:hAnsi="Times New Roman" w:cs="Times New Roman"/>
          <w:color w:val="222222"/>
        </w:rPr>
        <w:t xml:space="preserve">Table ES-2 at S-5. </w:t>
      </w:r>
      <w:r w:rsidRPr="00FB4911">
        <w:rPr>
          <w:rFonts w:ascii="Times New Roman" w:hAnsi="Times New Roman" w:cs="Times New Roman"/>
        </w:rPr>
        <w:t>Aquatic resources</w:t>
      </w:r>
      <w:r>
        <w:rPr>
          <w:rFonts w:ascii="Times New Roman" w:hAnsi="Times New Roman" w:cs="Times New Roman"/>
        </w:rPr>
        <w:t xml:space="preserve">. </w:t>
      </w:r>
      <w:r w:rsidRPr="00FB4911">
        <w:rPr>
          <w:rFonts w:ascii="Times New Roman" w:hAnsi="Times New Roman" w:cs="Times New Roman"/>
        </w:rPr>
        <w:t>Risk of watersheds affected by heavy metals (including lead) from fugitive dust</w:t>
      </w:r>
      <w:r>
        <w:rPr>
          <w:rFonts w:ascii="Times New Roman" w:hAnsi="Times New Roman" w:cs="Times New Roman"/>
        </w:rPr>
        <w:t>.  All watersheds considered a low risk of heavy metal exposure except Tributary Creek. Refer to comment above on lack of threshold determination and lack of accurate data to make such a determination.</w:t>
      </w:r>
      <w:r w:rsidR="00671D8D">
        <w:rPr>
          <w:rFonts w:ascii="Times New Roman" w:hAnsi="Times New Roman" w:cs="Times New Roman"/>
        </w:rPr>
        <w:t xml:space="preserve">  The 2013 ROD contains no predicted effect from fugitive dust on aquatic resources </w:t>
      </w:r>
      <w:r w:rsidR="00671D8D">
        <w:rPr>
          <w:rFonts w:ascii="Times New Roman" w:hAnsi="Times New Roman" w:cs="Times New Roman"/>
        </w:rPr>
        <w:lastRenderedPageBreak/>
        <w:t xml:space="preserve">despite numerous comments during scoping and the draft pointing out such an issue.  </w:t>
      </w:r>
      <w:r w:rsidR="00671D8D" w:rsidRPr="00671D8D">
        <w:rPr>
          <w:rFonts w:ascii="Times New Roman" w:hAnsi="Times New Roman" w:cs="Times New Roman"/>
          <w:i/>
          <w:iCs/>
        </w:rPr>
        <w:t>See,</w:t>
      </w:r>
      <w:r w:rsidR="00671D8D">
        <w:rPr>
          <w:rFonts w:ascii="Times New Roman" w:hAnsi="Times New Roman" w:cs="Times New Roman"/>
        </w:rPr>
        <w:t xml:space="preserve"> 2013 ROD Table 1 at 22. </w:t>
      </w:r>
      <w:r>
        <w:rPr>
          <w:rFonts w:ascii="Times New Roman" w:hAnsi="Times New Roman" w:cs="Times New Roman"/>
        </w:rPr>
        <w:t xml:space="preserve"> </w:t>
      </w:r>
      <w:r w:rsidRPr="00FB4911">
        <w:rPr>
          <w:rFonts w:ascii="Times New Roman" w:hAnsi="Times New Roman" w:cs="Times New Roman"/>
        </w:rPr>
        <w:t xml:space="preserve"> </w:t>
      </w:r>
      <w:r w:rsidR="00671D8D">
        <w:rPr>
          <w:rFonts w:ascii="Times New Roman" w:hAnsi="Times New Roman" w:cs="Times New Roman"/>
        </w:rPr>
        <w:t>Please explain to the public how such a determination is made, is it only after a watershed is contaminated such as Tributary Creek?  Explain how this approach avoids and or minimizes negative effects to aquatic resources.</w:t>
      </w:r>
    </w:p>
    <w:p w14:paraId="00F433C4" w14:textId="77C173FE" w:rsidR="00FB4911" w:rsidRPr="00FB4911" w:rsidRDefault="00FB4911" w:rsidP="00FB4911">
      <w:pPr>
        <w:pStyle w:val="Default"/>
        <w:rPr>
          <w:rFonts w:ascii="Times New Roman" w:hAnsi="Times New Roman" w:cs="Times New Roman"/>
          <w:sz w:val="18"/>
          <w:szCs w:val="18"/>
        </w:rPr>
      </w:pPr>
      <w:r w:rsidRPr="00FB4911">
        <w:rPr>
          <w:rFonts w:ascii="Times New Roman" w:hAnsi="Times New Roman" w:cs="Times New Roman"/>
          <w:sz w:val="18"/>
          <w:szCs w:val="18"/>
        </w:rPr>
        <w:t xml:space="preserve"> </w:t>
      </w:r>
    </w:p>
    <w:p w14:paraId="50E36C4C" w14:textId="14423E8A" w:rsidR="00671D8D" w:rsidRDefault="00671D8D" w:rsidP="00CA3535">
      <w:pPr>
        <w:pStyle w:val="Default"/>
        <w:spacing w:line="276" w:lineRule="auto"/>
        <w:rPr>
          <w:rFonts w:ascii="Times New Roman" w:hAnsi="Times New Roman" w:cs="Times New Roman"/>
        </w:rPr>
      </w:pPr>
      <w:r>
        <w:rPr>
          <w:rFonts w:ascii="Times New Roman" w:eastAsia="Times New Roman" w:hAnsi="Times New Roman" w:cs="Times New Roman"/>
          <w:color w:val="222222"/>
        </w:rPr>
        <w:t xml:space="preserve">Table ES-2 at S-8. </w:t>
      </w:r>
      <w:r w:rsidRPr="00671D8D">
        <w:rPr>
          <w:rFonts w:ascii="Times New Roman" w:hAnsi="Times New Roman" w:cs="Times New Roman"/>
        </w:rPr>
        <w:t>Monument resources</w:t>
      </w:r>
      <w:r>
        <w:rPr>
          <w:rFonts w:ascii="Times New Roman" w:hAnsi="Times New Roman" w:cs="Times New Roman"/>
        </w:rPr>
        <w:t xml:space="preserve">. Nothing beyond previous decisions and near-natural condition after closure.  Please explain how releasing </w:t>
      </w:r>
      <w:r w:rsidR="00CA3535">
        <w:rPr>
          <w:rFonts w:ascii="Times New Roman" w:hAnsi="Times New Roman" w:cs="Times New Roman"/>
        </w:rPr>
        <w:t xml:space="preserve">an additional </w:t>
      </w:r>
      <w:r>
        <w:rPr>
          <w:rFonts w:ascii="Times New Roman" w:hAnsi="Times New Roman" w:cs="Times New Roman"/>
        </w:rPr>
        <w:t>12,000 to 18,000 tons of fugitive dust (using the estimate of 100 tons per year</w:t>
      </w:r>
      <w:r w:rsidRPr="00CA3535">
        <w:rPr>
          <w:rFonts w:ascii="Times New Roman" w:hAnsi="Times New Roman" w:cs="Times New Roman"/>
        </w:rPr>
        <w:t xml:space="preserve">) </w:t>
      </w:r>
      <w:r w:rsidR="006E1985">
        <w:rPr>
          <w:rFonts w:ascii="Times New Roman" w:hAnsi="Times New Roman" w:cs="Times New Roman"/>
        </w:rPr>
        <w:t xml:space="preserve">for Alternative B </w:t>
      </w:r>
      <w:r w:rsidR="00CA3535" w:rsidRPr="00CA3535">
        <w:rPr>
          <w:rFonts w:ascii="Times New Roman" w:hAnsi="Times New Roman" w:cs="Times New Roman"/>
        </w:rPr>
        <w:t>into the Monument is not beyond previous decisions.  Please explain how these contaminates moving up the food chai</w:t>
      </w:r>
      <w:r w:rsidR="00CA3535">
        <w:rPr>
          <w:rFonts w:ascii="Times New Roman" w:hAnsi="Times New Roman" w:cs="Times New Roman"/>
        </w:rPr>
        <w:t>n</w:t>
      </w:r>
      <w:r w:rsidR="00CA3535" w:rsidRPr="00CA3535">
        <w:rPr>
          <w:rFonts w:ascii="Times New Roman" w:hAnsi="Times New Roman" w:cs="Times New Roman"/>
        </w:rPr>
        <w:t xml:space="preserve"> will not be affecting Monument resources after closure. Cite the data used to make such assumptions.</w:t>
      </w:r>
    </w:p>
    <w:p w14:paraId="62CE7AED" w14:textId="77777777" w:rsidR="00CA3535" w:rsidRDefault="00CA3535" w:rsidP="00CA3535">
      <w:pPr>
        <w:pStyle w:val="Default"/>
        <w:spacing w:line="276" w:lineRule="auto"/>
        <w:rPr>
          <w:rFonts w:ascii="Times New Roman" w:hAnsi="Times New Roman" w:cs="Times New Roman"/>
        </w:rPr>
      </w:pPr>
    </w:p>
    <w:p w14:paraId="39355D02" w14:textId="07428C85" w:rsidR="00CA3535" w:rsidRDefault="00CA3535" w:rsidP="00CA3535">
      <w:pPr>
        <w:pStyle w:val="Default"/>
        <w:spacing w:line="276" w:lineRule="auto"/>
        <w:rPr>
          <w:rFonts w:ascii="Times New Roman" w:hAnsi="Times New Roman" w:cs="Times New Roman"/>
        </w:rPr>
      </w:pPr>
      <w:r>
        <w:rPr>
          <w:rFonts w:ascii="Times New Roman" w:hAnsi="Times New Roman" w:cs="Times New Roman"/>
        </w:rPr>
        <w:t xml:space="preserve">1.3 Purpose and need at 1-5.  Objectives for the </w:t>
      </w:r>
      <w:r w:rsidR="006E1985">
        <w:rPr>
          <w:rFonts w:ascii="Times New Roman" w:hAnsi="Times New Roman" w:cs="Times New Roman"/>
        </w:rPr>
        <w:t>A</w:t>
      </w:r>
      <w:r>
        <w:rPr>
          <w:rFonts w:ascii="Times New Roman" w:hAnsi="Times New Roman" w:cs="Times New Roman"/>
        </w:rPr>
        <w:t xml:space="preserve">pplicant.  Missing the objective to avoid irreparable harm to the Monument.  If the applicant is not to avoid harm and the Forest Service is not requiring it, then please explain to the public how this project is compliant with the intent of Congress </w:t>
      </w:r>
      <w:r w:rsidR="006E1985">
        <w:rPr>
          <w:rFonts w:ascii="Times New Roman" w:hAnsi="Times New Roman" w:cs="Times New Roman"/>
        </w:rPr>
        <w:t xml:space="preserve">when it </w:t>
      </w:r>
      <w:r>
        <w:rPr>
          <w:rFonts w:ascii="Times New Roman" w:hAnsi="Times New Roman" w:cs="Times New Roman"/>
        </w:rPr>
        <w:t>add</w:t>
      </w:r>
      <w:r w:rsidR="006E1985">
        <w:rPr>
          <w:rFonts w:ascii="Times New Roman" w:hAnsi="Times New Roman" w:cs="Times New Roman"/>
        </w:rPr>
        <w:t>ed</w:t>
      </w:r>
      <w:r>
        <w:rPr>
          <w:rFonts w:ascii="Times New Roman" w:hAnsi="Times New Roman" w:cs="Times New Roman"/>
        </w:rPr>
        <w:t xml:space="preserve"> conditions to mining in the Monument.  Please add compliance wi</w:t>
      </w:r>
      <w:r w:rsidR="006E1985">
        <w:rPr>
          <w:rFonts w:ascii="Times New Roman" w:hAnsi="Times New Roman" w:cs="Times New Roman"/>
        </w:rPr>
        <w:t>th</w:t>
      </w:r>
      <w:r>
        <w:rPr>
          <w:rFonts w:ascii="Times New Roman" w:hAnsi="Times New Roman" w:cs="Times New Roman"/>
        </w:rPr>
        <w:t xml:space="preserve"> all sections of ANI</w:t>
      </w:r>
      <w:r w:rsidR="0018683F">
        <w:rPr>
          <w:rFonts w:ascii="Times New Roman" w:hAnsi="Times New Roman" w:cs="Times New Roman"/>
        </w:rPr>
        <w:t xml:space="preserve">LCA </w:t>
      </w:r>
      <w:r>
        <w:rPr>
          <w:rFonts w:ascii="Times New Roman" w:hAnsi="Times New Roman" w:cs="Times New Roman"/>
        </w:rPr>
        <w:t>as an objective for applicant and all state and federal agencies.</w:t>
      </w:r>
    </w:p>
    <w:p w14:paraId="228D3D65" w14:textId="77777777" w:rsidR="0018683F" w:rsidRDefault="0018683F" w:rsidP="00CA3535">
      <w:pPr>
        <w:pStyle w:val="Default"/>
        <w:spacing w:line="276" w:lineRule="auto"/>
        <w:rPr>
          <w:rFonts w:ascii="Times New Roman" w:hAnsi="Times New Roman" w:cs="Times New Roman"/>
        </w:rPr>
      </w:pPr>
    </w:p>
    <w:p w14:paraId="0342711B" w14:textId="46701B93" w:rsidR="0018683F" w:rsidRDefault="0018683F" w:rsidP="00CA3535">
      <w:pPr>
        <w:pStyle w:val="Default"/>
        <w:spacing w:line="276" w:lineRule="auto"/>
        <w:rPr>
          <w:rFonts w:ascii="Times New Roman" w:hAnsi="Times New Roman" w:cs="Times New Roman"/>
        </w:rPr>
      </w:pPr>
      <w:r>
        <w:rPr>
          <w:rFonts w:ascii="Times New Roman" w:hAnsi="Times New Roman" w:cs="Times New Roman"/>
        </w:rPr>
        <w:t>Also add objectives of minimizing fugitive dust and protecting the essential fish habitat of Hawk Inlet or explain to the public why not.</w:t>
      </w:r>
    </w:p>
    <w:p w14:paraId="3F092793" w14:textId="77777777" w:rsidR="0018683F" w:rsidRDefault="0018683F" w:rsidP="00CA3535">
      <w:pPr>
        <w:pStyle w:val="Default"/>
        <w:spacing w:line="276" w:lineRule="auto"/>
        <w:rPr>
          <w:rFonts w:ascii="Times New Roman" w:hAnsi="Times New Roman" w:cs="Times New Roman"/>
        </w:rPr>
      </w:pPr>
    </w:p>
    <w:p w14:paraId="5CFEF678" w14:textId="2CA0C82D" w:rsidR="0018683F" w:rsidRDefault="0018683F" w:rsidP="00CA3535">
      <w:pPr>
        <w:pStyle w:val="Default"/>
        <w:spacing w:line="276" w:lineRule="auto"/>
        <w:rPr>
          <w:rFonts w:ascii="Times New Roman" w:hAnsi="Times New Roman" w:cs="Times New Roman"/>
        </w:rPr>
      </w:pPr>
      <w:r w:rsidRPr="0018683F">
        <w:rPr>
          <w:rFonts w:ascii="Times New Roman" w:hAnsi="Times New Roman" w:cs="Times New Roman"/>
        </w:rPr>
        <w:t xml:space="preserve">1.4 at 1-6.  Decisions to be made.  In addition to citing 36 CFR 228, please cite the decisions to be made with </w:t>
      </w:r>
      <w:r>
        <w:rPr>
          <w:rFonts w:ascii="Times New Roman" w:hAnsi="Times New Roman" w:cs="Times New Roman"/>
        </w:rPr>
        <w:t xml:space="preserve">under </w:t>
      </w:r>
      <w:r w:rsidRPr="0018683F">
        <w:rPr>
          <w:rFonts w:ascii="Times New Roman" w:hAnsi="Times New Roman" w:cs="Times New Roman"/>
        </w:rPr>
        <w:t xml:space="preserve">ANICLA requirements </w:t>
      </w:r>
      <w:r>
        <w:rPr>
          <w:rFonts w:ascii="Times New Roman" w:hAnsi="Times New Roman" w:cs="Times New Roman"/>
        </w:rPr>
        <w:t xml:space="preserve">at 505, 804, 808, 810 and 901 </w:t>
      </w:r>
      <w:r w:rsidRPr="0018683F">
        <w:rPr>
          <w:rFonts w:ascii="Times New Roman" w:hAnsi="Times New Roman" w:cs="Times New Roman"/>
        </w:rPr>
        <w:t>and how these are to be reconciled</w:t>
      </w:r>
      <w:r w:rsidR="006E1985">
        <w:rPr>
          <w:rFonts w:ascii="Times New Roman" w:hAnsi="Times New Roman" w:cs="Times New Roman"/>
        </w:rPr>
        <w:t xml:space="preserve"> with the General Mining Law</w:t>
      </w:r>
      <w:r w:rsidRPr="0018683F">
        <w:rPr>
          <w:rFonts w:ascii="Times New Roman" w:hAnsi="Times New Roman" w:cs="Times New Roman"/>
        </w:rPr>
        <w:t>.</w:t>
      </w:r>
      <w:r w:rsidR="00B54AED">
        <w:rPr>
          <w:rFonts w:ascii="Times New Roman" w:hAnsi="Times New Roman" w:cs="Times New Roman"/>
        </w:rPr>
        <w:t xml:space="preserve">  Also please explain why the Forest Service will work with ADEC on increased monitoring and mitigation for Tributary Creek but not on Hawk Inlet where the Forest Service has</w:t>
      </w:r>
      <w:r w:rsidR="006E1985">
        <w:rPr>
          <w:rFonts w:ascii="Times New Roman" w:hAnsi="Times New Roman" w:cs="Times New Roman"/>
        </w:rPr>
        <w:t>, so far,</w:t>
      </w:r>
      <w:r w:rsidR="00B54AED">
        <w:rPr>
          <w:rFonts w:ascii="Times New Roman" w:hAnsi="Times New Roman" w:cs="Times New Roman"/>
        </w:rPr>
        <w:t xml:space="preserve"> been silent.  Explain exactly where the Forest Services’ responsibility over submerged lands with</w:t>
      </w:r>
      <w:r w:rsidR="006E1985">
        <w:rPr>
          <w:rFonts w:ascii="Times New Roman" w:hAnsi="Times New Roman" w:cs="Times New Roman"/>
        </w:rPr>
        <w:t>in</w:t>
      </w:r>
      <w:r w:rsidR="00B54AED">
        <w:rPr>
          <w:rFonts w:ascii="Times New Roman" w:hAnsi="Times New Roman" w:cs="Times New Roman"/>
        </w:rPr>
        <w:t xml:space="preserve"> the Monument intersects with Hawk Inlet.  Explain </w:t>
      </w:r>
      <w:r w:rsidR="006E1985">
        <w:rPr>
          <w:rFonts w:ascii="Times New Roman" w:hAnsi="Times New Roman" w:cs="Times New Roman"/>
        </w:rPr>
        <w:t xml:space="preserve">how </w:t>
      </w:r>
      <w:r w:rsidR="00B54AED">
        <w:rPr>
          <w:rFonts w:ascii="Times New Roman" w:hAnsi="Times New Roman" w:cs="Times New Roman"/>
        </w:rPr>
        <w:t xml:space="preserve">waiting for an impairment to coordinate with ADEC complies with the guidance to avoid and minimize impacts. </w:t>
      </w:r>
    </w:p>
    <w:p w14:paraId="6F676CD3" w14:textId="77777777" w:rsidR="00B54AED" w:rsidRDefault="00B54AED" w:rsidP="00CA3535">
      <w:pPr>
        <w:pStyle w:val="Default"/>
        <w:spacing w:line="276" w:lineRule="auto"/>
        <w:rPr>
          <w:rFonts w:ascii="Times New Roman" w:hAnsi="Times New Roman" w:cs="Times New Roman"/>
        </w:rPr>
      </w:pPr>
    </w:p>
    <w:p w14:paraId="7C3D898D" w14:textId="190126A1" w:rsidR="00B54AED" w:rsidRDefault="00B54AED" w:rsidP="00CA3535">
      <w:pPr>
        <w:pStyle w:val="Default"/>
        <w:spacing w:line="276" w:lineRule="auto"/>
        <w:rPr>
          <w:rFonts w:ascii="Times New Roman" w:hAnsi="Times New Roman" w:cs="Times New Roman"/>
        </w:rPr>
      </w:pPr>
      <w:r w:rsidRPr="00B54AED">
        <w:rPr>
          <w:rFonts w:ascii="Times New Roman" w:hAnsi="Times New Roman" w:cs="Times New Roman"/>
        </w:rPr>
        <w:t>1.6 Consultation and Coordination with Alaska Tribal Governments and Native Organizations at 1-8</w:t>
      </w:r>
      <w:r>
        <w:rPr>
          <w:rFonts w:ascii="Times New Roman" w:hAnsi="Times New Roman" w:cs="Times New Roman"/>
        </w:rPr>
        <w:t xml:space="preserve">.  At the time of the writing, the Forest Service had received no reply to offers of consultation.  The Forest Service has a duty to abed by the Tribal Government’s process for decision-making, not the federal </w:t>
      </w:r>
      <w:proofErr w:type="gramStart"/>
      <w:r>
        <w:rPr>
          <w:rFonts w:ascii="Times New Roman" w:hAnsi="Times New Roman" w:cs="Times New Roman"/>
        </w:rPr>
        <w:t>government</w:t>
      </w:r>
      <w:r w:rsidR="006E1985">
        <w:rPr>
          <w:rFonts w:ascii="Times New Roman" w:hAnsi="Times New Roman" w:cs="Times New Roman"/>
        </w:rPr>
        <w:t>’</w:t>
      </w:r>
      <w:r>
        <w:rPr>
          <w:rFonts w:ascii="Times New Roman" w:hAnsi="Times New Roman" w:cs="Times New Roman"/>
        </w:rPr>
        <w:t>s</w:t>
      </w:r>
      <w:proofErr w:type="gramEnd"/>
      <w:r>
        <w:rPr>
          <w:rFonts w:ascii="Times New Roman" w:hAnsi="Times New Roman" w:cs="Times New Roman"/>
        </w:rPr>
        <w:t>.  No decision can be made until accommodations of adequate consultation according to the Tribes’ own process has been accomplished.</w:t>
      </w:r>
    </w:p>
    <w:p w14:paraId="46CEA07E" w14:textId="77777777" w:rsidR="00B54AED" w:rsidRDefault="00B54AED" w:rsidP="00CA3535">
      <w:pPr>
        <w:pStyle w:val="Default"/>
        <w:spacing w:line="276" w:lineRule="auto"/>
        <w:rPr>
          <w:rFonts w:ascii="Times New Roman" w:hAnsi="Times New Roman" w:cs="Times New Roman"/>
        </w:rPr>
      </w:pPr>
    </w:p>
    <w:p w14:paraId="7FC9814E" w14:textId="0035B5BE" w:rsidR="00326F97" w:rsidRDefault="00B54AED" w:rsidP="00CA3535">
      <w:pPr>
        <w:pStyle w:val="Default"/>
        <w:spacing w:line="276" w:lineRule="auto"/>
        <w:rPr>
          <w:rFonts w:ascii="Times New Roman" w:hAnsi="Times New Roman" w:cs="Times New Roman"/>
        </w:rPr>
      </w:pPr>
      <w:r>
        <w:rPr>
          <w:rFonts w:ascii="Times New Roman" w:hAnsi="Times New Roman" w:cs="Times New Roman"/>
        </w:rPr>
        <w:t>1.7</w:t>
      </w:r>
      <w:r w:rsidR="00326F97">
        <w:rPr>
          <w:rFonts w:ascii="Times New Roman" w:hAnsi="Times New Roman" w:cs="Times New Roman"/>
        </w:rPr>
        <w:t>.</w:t>
      </w:r>
      <w:r>
        <w:rPr>
          <w:rFonts w:ascii="Times New Roman" w:hAnsi="Times New Roman" w:cs="Times New Roman"/>
        </w:rPr>
        <w:t>1 at 1-9 Issues</w:t>
      </w:r>
      <w:r w:rsidR="006E1985">
        <w:rPr>
          <w:rFonts w:ascii="Times New Roman" w:hAnsi="Times New Roman" w:cs="Times New Roman"/>
        </w:rPr>
        <w:t>. I</w:t>
      </w:r>
      <w:r>
        <w:rPr>
          <w:rFonts w:ascii="Times New Roman" w:hAnsi="Times New Roman" w:cs="Times New Roman"/>
        </w:rPr>
        <w:t>nclude fugitive dust</w:t>
      </w:r>
      <w:r w:rsidR="00326F97">
        <w:rPr>
          <w:rFonts w:ascii="Times New Roman" w:hAnsi="Times New Roman" w:cs="Times New Roman"/>
        </w:rPr>
        <w:t>,</w:t>
      </w:r>
      <w:r>
        <w:rPr>
          <w:rFonts w:ascii="Times New Roman" w:hAnsi="Times New Roman" w:cs="Times New Roman"/>
        </w:rPr>
        <w:t xml:space="preserve"> and in measures to be used</w:t>
      </w:r>
      <w:r w:rsidR="006E1985">
        <w:rPr>
          <w:rFonts w:ascii="Times New Roman" w:hAnsi="Times New Roman" w:cs="Times New Roman"/>
        </w:rPr>
        <w:t xml:space="preserve"> to monitor it.  A</w:t>
      </w:r>
      <w:r>
        <w:rPr>
          <w:rFonts w:ascii="Times New Roman" w:hAnsi="Times New Roman" w:cs="Times New Roman"/>
        </w:rPr>
        <w:t>dd monitoring for</w:t>
      </w:r>
      <w:r w:rsidR="00326F97">
        <w:rPr>
          <w:rFonts w:ascii="Times New Roman" w:hAnsi="Times New Roman" w:cs="Times New Roman"/>
        </w:rPr>
        <w:t xml:space="preserve"> </w:t>
      </w:r>
      <w:r>
        <w:rPr>
          <w:rFonts w:ascii="Times New Roman" w:hAnsi="Times New Roman" w:cs="Times New Roman"/>
        </w:rPr>
        <w:t>fugitive dust at all current</w:t>
      </w:r>
      <w:r w:rsidR="00326F97">
        <w:rPr>
          <w:rFonts w:ascii="Times New Roman" w:hAnsi="Times New Roman" w:cs="Times New Roman"/>
        </w:rPr>
        <w:t xml:space="preserve"> monitoring data collection sites.</w:t>
      </w:r>
    </w:p>
    <w:p w14:paraId="72627ED8" w14:textId="77777777" w:rsidR="00326F97" w:rsidRDefault="00326F97" w:rsidP="00CA3535">
      <w:pPr>
        <w:pStyle w:val="Default"/>
        <w:spacing w:line="276" w:lineRule="auto"/>
        <w:rPr>
          <w:rFonts w:ascii="Times New Roman" w:hAnsi="Times New Roman" w:cs="Times New Roman"/>
        </w:rPr>
      </w:pPr>
    </w:p>
    <w:p w14:paraId="6D0B1C11" w14:textId="7DC61F5D" w:rsidR="00326F97" w:rsidRDefault="00326F97" w:rsidP="00326F97">
      <w:pPr>
        <w:pStyle w:val="Default"/>
        <w:spacing w:line="276" w:lineRule="auto"/>
        <w:rPr>
          <w:rFonts w:ascii="Times New Roman" w:hAnsi="Times New Roman" w:cs="Times New Roman"/>
          <w:sz w:val="23"/>
          <w:szCs w:val="23"/>
        </w:rPr>
      </w:pPr>
      <w:r>
        <w:rPr>
          <w:rFonts w:ascii="Times New Roman" w:hAnsi="Times New Roman" w:cs="Times New Roman"/>
        </w:rPr>
        <w:t xml:space="preserve">1.7.2 at 1-9.  Same comments as at 1.7.1.  Under </w:t>
      </w:r>
      <w:r w:rsidRPr="00326F97">
        <w:rPr>
          <w:rFonts w:ascii="Times New Roman" w:hAnsi="Times New Roman" w:cs="Times New Roman"/>
          <w:sz w:val="23"/>
          <w:szCs w:val="23"/>
        </w:rPr>
        <w:t>Project-related surface disturbances</w:t>
      </w:r>
      <w:r w:rsidR="006E1985">
        <w:rPr>
          <w:rFonts w:ascii="Times New Roman" w:hAnsi="Times New Roman" w:cs="Times New Roman"/>
          <w:sz w:val="23"/>
          <w:szCs w:val="23"/>
        </w:rPr>
        <w:t>,</w:t>
      </w:r>
      <w:r w:rsidRPr="00326F97">
        <w:rPr>
          <w:rFonts w:ascii="Times New Roman" w:hAnsi="Times New Roman" w:cs="Times New Roman"/>
          <w:sz w:val="23"/>
          <w:szCs w:val="23"/>
        </w:rPr>
        <w:t xml:space="preserve"> </w:t>
      </w:r>
      <w:r>
        <w:rPr>
          <w:rFonts w:ascii="Times New Roman" w:hAnsi="Times New Roman" w:cs="Times New Roman"/>
          <w:sz w:val="23"/>
          <w:szCs w:val="23"/>
        </w:rPr>
        <w:t>add fugitive dust and under ‘following measures’ add lichen surveys and heavy metal up take</w:t>
      </w:r>
      <w:r w:rsidR="006E1985">
        <w:rPr>
          <w:rFonts w:ascii="Times New Roman" w:hAnsi="Times New Roman" w:cs="Times New Roman"/>
          <w:sz w:val="23"/>
          <w:szCs w:val="23"/>
        </w:rPr>
        <w:t xml:space="preserve"> studies </w:t>
      </w:r>
      <w:r>
        <w:rPr>
          <w:rFonts w:ascii="Times New Roman" w:hAnsi="Times New Roman" w:cs="Times New Roman"/>
          <w:sz w:val="23"/>
          <w:szCs w:val="23"/>
        </w:rPr>
        <w:t xml:space="preserve">for all species listed </w:t>
      </w:r>
      <w:r w:rsidR="006E1985">
        <w:rPr>
          <w:rFonts w:ascii="Times New Roman" w:hAnsi="Times New Roman" w:cs="Times New Roman"/>
          <w:sz w:val="23"/>
          <w:szCs w:val="23"/>
        </w:rPr>
        <w:t xml:space="preserve">under </w:t>
      </w:r>
      <w:r>
        <w:rPr>
          <w:rFonts w:ascii="Times New Roman" w:hAnsi="Times New Roman" w:cs="Times New Roman"/>
          <w:sz w:val="23"/>
          <w:szCs w:val="23"/>
        </w:rPr>
        <w:t>essential fish habitat of Hawk Inlet.</w:t>
      </w:r>
    </w:p>
    <w:p w14:paraId="73371FDA" w14:textId="77777777" w:rsidR="00326F97" w:rsidRDefault="00326F97" w:rsidP="00326F97">
      <w:pPr>
        <w:pStyle w:val="Default"/>
        <w:spacing w:line="276" w:lineRule="auto"/>
        <w:rPr>
          <w:rFonts w:ascii="Times New Roman" w:hAnsi="Times New Roman" w:cs="Times New Roman"/>
          <w:sz w:val="23"/>
          <w:szCs w:val="23"/>
        </w:rPr>
      </w:pPr>
    </w:p>
    <w:p w14:paraId="5DAAC9AD" w14:textId="00174F8B" w:rsidR="00326F97" w:rsidRDefault="00326F97" w:rsidP="00326F97">
      <w:pPr>
        <w:pStyle w:val="Default"/>
        <w:spacing w:line="276" w:lineRule="auto"/>
        <w:rPr>
          <w:rFonts w:ascii="Times New Roman" w:hAnsi="Times New Roman" w:cs="Times New Roman"/>
        </w:rPr>
      </w:pPr>
      <w:r>
        <w:rPr>
          <w:rFonts w:ascii="Times New Roman" w:hAnsi="Times New Roman" w:cs="Times New Roman"/>
          <w:sz w:val="23"/>
          <w:szCs w:val="23"/>
        </w:rPr>
        <w:lastRenderedPageBreak/>
        <w:t>1.7.3 at 1-9.   Please explain how i</w:t>
      </w:r>
      <w:r w:rsidRPr="00326F97">
        <w:rPr>
          <w:rFonts w:ascii="Times New Roman" w:hAnsi="Times New Roman" w:cs="Times New Roman"/>
          <w:sz w:val="23"/>
          <w:szCs w:val="23"/>
        </w:rPr>
        <w:t xml:space="preserve">mpacts of fugitive dust and bioconcentration and accumulation of metals in subsistence food items used by the Angoon Community Association resulting in impacts on subsistence and traditional tribal uses, which may pose health issues for tribal members and </w:t>
      </w:r>
      <w:r>
        <w:rPr>
          <w:rFonts w:ascii="Times New Roman" w:hAnsi="Times New Roman" w:cs="Times New Roman"/>
          <w:sz w:val="23"/>
          <w:szCs w:val="23"/>
        </w:rPr>
        <w:t>p</w:t>
      </w:r>
      <w:r w:rsidRPr="00326F97">
        <w:rPr>
          <w:rFonts w:ascii="Times New Roman" w:hAnsi="Times New Roman" w:cs="Times New Roman"/>
          <w:sz w:val="23"/>
          <w:szCs w:val="23"/>
        </w:rPr>
        <w:t>roject operation causing irreparable harm to the Monument</w:t>
      </w:r>
      <w:r w:rsidR="00AE17C4">
        <w:rPr>
          <w:rFonts w:ascii="Times New Roman" w:hAnsi="Times New Roman" w:cs="Times New Roman"/>
          <w:sz w:val="23"/>
          <w:szCs w:val="23"/>
        </w:rPr>
        <w:t>,</w:t>
      </w:r>
      <w:r w:rsidRPr="00326F97">
        <w:rPr>
          <w:rFonts w:ascii="Times New Roman" w:hAnsi="Times New Roman" w:cs="Times New Roman"/>
          <w:sz w:val="23"/>
          <w:szCs w:val="23"/>
        </w:rPr>
        <w:t xml:space="preserve"> </w:t>
      </w:r>
      <w:r>
        <w:rPr>
          <w:rFonts w:ascii="Times New Roman" w:hAnsi="Times New Roman" w:cs="Times New Roman"/>
          <w:sz w:val="23"/>
          <w:szCs w:val="23"/>
        </w:rPr>
        <w:t xml:space="preserve">are addressed in the </w:t>
      </w:r>
      <w:r w:rsidRPr="00326F97">
        <w:rPr>
          <w:rFonts w:ascii="Times New Roman" w:hAnsi="Times New Roman" w:cs="Times New Roman"/>
        </w:rPr>
        <w:t>Project design and best management practices already employed for the Project</w:t>
      </w:r>
      <w:r>
        <w:rPr>
          <w:rFonts w:ascii="Times New Roman" w:hAnsi="Times New Roman" w:cs="Times New Roman"/>
        </w:rPr>
        <w:t xml:space="preserve"> when the project design contains no requirements for direct measurement of either one.  Please explain how this </w:t>
      </w:r>
      <w:r w:rsidR="00AE17C4">
        <w:rPr>
          <w:rFonts w:ascii="Times New Roman" w:hAnsi="Times New Roman" w:cs="Times New Roman"/>
        </w:rPr>
        <w:t xml:space="preserve">is </w:t>
      </w:r>
      <w:r>
        <w:rPr>
          <w:rFonts w:ascii="Times New Roman" w:hAnsi="Times New Roman" w:cs="Times New Roman"/>
        </w:rPr>
        <w:t xml:space="preserve">related to users from Hoonah, Tenakee Springs and Juneau. </w:t>
      </w:r>
    </w:p>
    <w:p w14:paraId="0E83DDF6" w14:textId="77777777" w:rsidR="00535692" w:rsidRDefault="00535692" w:rsidP="00326F97">
      <w:pPr>
        <w:pStyle w:val="Default"/>
        <w:spacing w:line="276" w:lineRule="auto"/>
        <w:rPr>
          <w:rFonts w:ascii="Times New Roman" w:hAnsi="Times New Roman" w:cs="Times New Roman"/>
        </w:rPr>
      </w:pPr>
    </w:p>
    <w:p w14:paraId="7BE971FF" w14:textId="68FA673E" w:rsidR="00535692" w:rsidRDefault="00535692" w:rsidP="00326F97">
      <w:pPr>
        <w:pStyle w:val="Default"/>
        <w:spacing w:line="276" w:lineRule="auto"/>
        <w:rPr>
          <w:rFonts w:ascii="Times New Roman" w:hAnsi="Times New Roman" w:cs="Times New Roman"/>
        </w:rPr>
      </w:pPr>
      <w:r>
        <w:rPr>
          <w:rFonts w:ascii="Times New Roman" w:hAnsi="Times New Roman" w:cs="Times New Roman"/>
        </w:rPr>
        <w:t xml:space="preserve">1.8.3.1 at 1-12.  </w:t>
      </w:r>
      <w:r w:rsidRPr="00535692">
        <w:rPr>
          <w:rFonts w:ascii="Times New Roman" w:hAnsi="Times New Roman" w:cs="Times New Roman"/>
        </w:rPr>
        <w:t>“If another agency cannot meet its regulatory responsibilities, the Forest Service is ultimately responsible for ensuring that Federal and State regulations are implemented on National Forest System lands</w:t>
      </w:r>
      <w:r>
        <w:rPr>
          <w:rFonts w:ascii="Times New Roman" w:hAnsi="Times New Roman" w:cs="Times New Roman"/>
        </w:rPr>
        <w:t xml:space="preserve">.”  Please explain to the public what thresholds are in place for ‘not meeting regulatory responsibilities.  Explain what objective decision-making process is employed when making such a determination. </w:t>
      </w:r>
    </w:p>
    <w:p w14:paraId="2AB0C11F" w14:textId="77777777" w:rsidR="00AE17C4" w:rsidRDefault="00AE17C4" w:rsidP="00326F97">
      <w:pPr>
        <w:pStyle w:val="Default"/>
        <w:spacing w:line="276" w:lineRule="auto"/>
        <w:rPr>
          <w:rFonts w:ascii="Times New Roman" w:hAnsi="Times New Roman" w:cs="Times New Roman"/>
        </w:rPr>
      </w:pPr>
    </w:p>
    <w:p w14:paraId="6E55BC46" w14:textId="56E395A1" w:rsidR="00C540A9" w:rsidRDefault="00C540A9" w:rsidP="00C540A9">
      <w:pPr>
        <w:pStyle w:val="Default"/>
        <w:spacing w:line="276" w:lineRule="auto"/>
        <w:rPr>
          <w:rFonts w:ascii="Times New Roman" w:hAnsi="Times New Roman" w:cs="Times New Roman"/>
        </w:rPr>
      </w:pPr>
      <w:r w:rsidRPr="00C540A9">
        <w:rPr>
          <w:rFonts w:ascii="Times New Roman" w:hAnsi="Times New Roman" w:cs="Times New Roman"/>
        </w:rPr>
        <w:t>2.3.2 Alternative A: No-action Alternative at 2-5</w:t>
      </w:r>
      <w:r>
        <w:rPr>
          <w:rFonts w:ascii="Times New Roman" w:hAnsi="Times New Roman" w:cs="Times New Roman"/>
        </w:rPr>
        <w:t xml:space="preserve">. </w:t>
      </w:r>
      <w:r w:rsidR="00A36816">
        <w:rPr>
          <w:rFonts w:ascii="Times New Roman" w:hAnsi="Times New Roman" w:cs="Times New Roman"/>
        </w:rPr>
        <w:t>“</w:t>
      </w:r>
      <w:r w:rsidRPr="00C540A9">
        <w:rPr>
          <w:rFonts w:ascii="Times New Roman" w:hAnsi="Times New Roman" w:cs="Times New Roman"/>
        </w:rPr>
        <w:t>The no-action alternative serves as a baseline for evaluating and comparing effects of the proposed alternative and other action alternatives</w:t>
      </w:r>
      <w:r>
        <w:rPr>
          <w:rFonts w:ascii="Times New Roman" w:hAnsi="Times New Roman" w:cs="Times New Roman"/>
        </w:rPr>
        <w:t>.</w:t>
      </w:r>
      <w:r w:rsidR="00A36816">
        <w:rPr>
          <w:rFonts w:ascii="Times New Roman" w:hAnsi="Times New Roman" w:cs="Times New Roman"/>
        </w:rPr>
        <w:t>”</w:t>
      </w:r>
    </w:p>
    <w:p w14:paraId="7CD6267F" w14:textId="1B9DAA3D" w:rsidR="00C540A9" w:rsidRPr="00C540A9" w:rsidRDefault="00C540A9" w:rsidP="00C540A9">
      <w:pPr>
        <w:pStyle w:val="Default"/>
        <w:spacing w:line="276" w:lineRule="auto"/>
        <w:rPr>
          <w:rFonts w:ascii="Times New Roman" w:hAnsi="Times New Roman" w:cs="Times New Roman"/>
        </w:rPr>
      </w:pPr>
      <w:r>
        <w:rPr>
          <w:rFonts w:ascii="Times New Roman" w:hAnsi="Times New Roman" w:cs="Times New Roman"/>
        </w:rPr>
        <w:t xml:space="preserve">The no-action alternative serves as a baseline only for comparison </w:t>
      </w:r>
      <w:r w:rsidR="00A36816">
        <w:rPr>
          <w:rFonts w:ascii="Times New Roman" w:hAnsi="Times New Roman" w:cs="Times New Roman"/>
        </w:rPr>
        <w:t xml:space="preserve">between </w:t>
      </w:r>
      <w:r>
        <w:rPr>
          <w:rFonts w:ascii="Times New Roman" w:hAnsi="Times New Roman" w:cs="Times New Roman"/>
        </w:rPr>
        <w:t xml:space="preserve">the alternatives </w:t>
      </w:r>
      <w:r w:rsidR="00A36816">
        <w:rPr>
          <w:rFonts w:ascii="Times New Roman" w:hAnsi="Times New Roman" w:cs="Times New Roman"/>
        </w:rPr>
        <w:t xml:space="preserve">and the </w:t>
      </w:r>
      <w:r w:rsidR="00AE17C4">
        <w:rPr>
          <w:rFonts w:ascii="Times New Roman" w:hAnsi="Times New Roman" w:cs="Times New Roman"/>
        </w:rPr>
        <w:t xml:space="preserve">conditions subject to implementing the </w:t>
      </w:r>
      <w:r>
        <w:rPr>
          <w:rFonts w:ascii="Times New Roman" w:hAnsi="Times New Roman" w:cs="Times New Roman"/>
        </w:rPr>
        <w:t xml:space="preserve">current 2013 ROD.  It does not represent the baseline for an environmental effects analysis.  The Forest Service has granted 3 short-term expansions and ignored comments </w:t>
      </w:r>
      <w:r w:rsidR="00A36816">
        <w:rPr>
          <w:rFonts w:ascii="Times New Roman" w:hAnsi="Times New Roman" w:cs="Times New Roman"/>
        </w:rPr>
        <w:t xml:space="preserve">to consider reasonably foreseeable future actions and </w:t>
      </w:r>
      <w:r>
        <w:rPr>
          <w:rFonts w:ascii="Times New Roman" w:hAnsi="Times New Roman" w:cs="Times New Roman"/>
        </w:rPr>
        <w:t xml:space="preserve">the possibility of further expansion at each step. The correct baseline for </w:t>
      </w:r>
      <w:r w:rsidR="00A36816">
        <w:rPr>
          <w:rFonts w:ascii="Times New Roman" w:hAnsi="Times New Roman" w:cs="Times New Roman"/>
        </w:rPr>
        <w:t xml:space="preserve">an environmental </w:t>
      </w:r>
      <w:r>
        <w:rPr>
          <w:rFonts w:ascii="Times New Roman" w:hAnsi="Times New Roman" w:cs="Times New Roman"/>
        </w:rPr>
        <w:t xml:space="preserve">effects analysis is the </w:t>
      </w:r>
      <w:r w:rsidR="00A36816">
        <w:rPr>
          <w:rFonts w:ascii="Times New Roman" w:hAnsi="Times New Roman" w:cs="Times New Roman"/>
        </w:rPr>
        <w:t xml:space="preserve">no-action alternative </w:t>
      </w:r>
      <w:r>
        <w:rPr>
          <w:rFonts w:ascii="Times New Roman" w:hAnsi="Times New Roman" w:cs="Times New Roman"/>
        </w:rPr>
        <w:t>description in the 1983 EIS, the Monument Declaration and other document</w:t>
      </w:r>
      <w:r w:rsidR="00AE17C4">
        <w:rPr>
          <w:rFonts w:ascii="Times New Roman" w:hAnsi="Times New Roman" w:cs="Times New Roman"/>
        </w:rPr>
        <w:t>s</w:t>
      </w:r>
      <w:r>
        <w:rPr>
          <w:rFonts w:ascii="Times New Roman" w:hAnsi="Times New Roman" w:cs="Times New Roman"/>
        </w:rPr>
        <w:t xml:space="preserve"> written prior to mining.  An environmental effects analysis </w:t>
      </w:r>
      <w:r w:rsidR="00AE17C4">
        <w:rPr>
          <w:rFonts w:ascii="Times New Roman" w:hAnsi="Times New Roman" w:cs="Times New Roman"/>
        </w:rPr>
        <w:t xml:space="preserve">starting with </w:t>
      </w:r>
      <w:r>
        <w:rPr>
          <w:rFonts w:ascii="Times New Roman" w:hAnsi="Times New Roman" w:cs="Times New Roman"/>
        </w:rPr>
        <w:t xml:space="preserve">the complete implementation of the 2013 ROD </w:t>
      </w:r>
      <w:r w:rsidR="00A36816">
        <w:rPr>
          <w:rFonts w:ascii="Times New Roman" w:hAnsi="Times New Roman" w:cs="Times New Roman"/>
        </w:rPr>
        <w:t xml:space="preserve">as the baseline </w:t>
      </w:r>
      <w:r>
        <w:rPr>
          <w:rFonts w:ascii="Times New Roman" w:hAnsi="Times New Roman" w:cs="Times New Roman"/>
        </w:rPr>
        <w:t>would constitute basing effects on a</w:t>
      </w:r>
      <w:r w:rsidR="00A36816">
        <w:rPr>
          <w:rFonts w:ascii="Times New Roman" w:hAnsi="Times New Roman" w:cs="Times New Roman"/>
        </w:rPr>
        <w:t>n</w:t>
      </w:r>
      <w:r>
        <w:rPr>
          <w:rFonts w:ascii="Times New Roman" w:hAnsi="Times New Roman" w:cs="Times New Roman"/>
        </w:rPr>
        <w:t xml:space="preserve"> </w:t>
      </w:r>
      <w:proofErr w:type="gramStart"/>
      <w:r>
        <w:rPr>
          <w:rFonts w:ascii="Times New Roman" w:hAnsi="Times New Roman" w:cs="Times New Roman"/>
        </w:rPr>
        <w:t>ever shifting</w:t>
      </w:r>
      <w:proofErr w:type="gramEnd"/>
      <w:r>
        <w:rPr>
          <w:rFonts w:ascii="Times New Roman" w:hAnsi="Times New Roman" w:cs="Times New Roman"/>
        </w:rPr>
        <w:t xml:space="preserve"> baseline of incremental damage to the Monument</w:t>
      </w:r>
      <w:r w:rsidR="00A36816">
        <w:rPr>
          <w:rFonts w:ascii="Times New Roman" w:hAnsi="Times New Roman" w:cs="Times New Roman"/>
        </w:rPr>
        <w:t xml:space="preserve"> due to repeated Forest Service actions</w:t>
      </w:r>
      <w:r>
        <w:rPr>
          <w:rFonts w:ascii="Times New Roman" w:hAnsi="Times New Roman" w:cs="Times New Roman"/>
        </w:rPr>
        <w:t xml:space="preserve">. </w:t>
      </w:r>
      <w:r w:rsidRPr="00C540A9">
        <w:rPr>
          <w:rFonts w:ascii="Times New Roman" w:hAnsi="Times New Roman" w:cs="Times New Roman"/>
        </w:rPr>
        <w:t>40 CFR § 1508</w:t>
      </w:r>
      <w:r>
        <w:rPr>
          <w:rFonts w:ascii="Times New Roman" w:hAnsi="Times New Roman" w:cs="Times New Roman"/>
        </w:rPr>
        <w:t xml:space="preserve"> </w:t>
      </w:r>
      <w:r w:rsidRPr="00C540A9">
        <w:rPr>
          <w:rFonts w:ascii="Times New Roman" w:hAnsi="Times New Roman" w:cs="Times New Roman"/>
        </w:rPr>
        <w:t xml:space="preserve">defines cumulative effects, which are effects on the environment that result from the incremental effects of the action when added to the effects of other past, present, and reasonably foreseeable actions regardless of what agency (Federal or non-Federal) or person </w:t>
      </w:r>
      <w:r w:rsidR="00AE17C4">
        <w:rPr>
          <w:rFonts w:ascii="Times New Roman" w:hAnsi="Times New Roman" w:cs="Times New Roman"/>
        </w:rPr>
        <w:t xml:space="preserve">who </w:t>
      </w:r>
      <w:r w:rsidRPr="00C540A9">
        <w:rPr>
          <w:rFonts w:ascii="Times New Roman" w:hAnsi="Times New Roman" w:cs="Times New Roman"/>
        </w:rPr>
        <w:t>undertakes such other actions. Cumulative effects can result from individually minor but collectively significant actions taking place over a period of time.</w:t>
      </w:r>
      <w:r>
        <w:rPr>
          <w:rFonts w:ascii="Times New Roman" w:hAnsi="Times New Roman" w:cs="Times New Roman"/>
        </w:rPr>
        <w:t xml:space="preserve"> An environmental effects analysis of mining in the </w:t>
      </w:r>
      <w:r w:rsidR="00A36816">
        <w:rPr>
          <w:rFonts w:ascii="Times New Roman" w:hAnsi="Times New Roman" w:cs="Times New Roman"/>
        </w:rPr>
        <w:t xml:space="preserve">Monument must be based on the pre-mining baseline, not based on a series of allowed </w:t>
      </w:r>
      <w:r w:rsidR="00AE17C4">
        <w:rPr>
          <w:rFonts w:ascii="Times New Roman" w:hAnsi="Times New Roman" w:cs="Times New Roman"/>
        </w:rPr>
        <w:t>degradation</w:t>
      </w:r>
      <w:r w:rsidR="00A36816">
        <w:rPr>
          <w:rFonts w:ascii="Times New Roman" w:hAnsi="Times New Roman" w:cs="Times New Roman"/>
        </w:rPr>
        <w:t xml:space="preserve">.  Please change the language </w:t>
      </w:r>
      <w:r w:rsidR="00AE17C4">
        <w:rPr>
          <w:rFonts w:ascii="Times New Roman" w:hAnsi="Times New Roman" w:cs="Times New Roman"/>
        </w:rPr>
        <w:t xml:space="preserve">in this section </w:t>
      </w:r>
      <w:r w:rsidR="00A36816">
        <w:rPr>
          <w:rFonts w:ascii="Times New Roman" w:hAnsi="Times New Roman" w:cs="Times New Roman"/>
        </w:rPr>
        <w:t>to reflect this.</w:t>
      </w:r>
    </w:p>
    <w:p w14:paraId="5ECDAFC5" w14:textId="7C07D92C" w:rsidR="00326F97" w:rsidRDefault="00326F97" w:rsidP="00326F97">
      <w:pPr>
        <w:pStyle w:val="Default"/>
        <w:spacing w:line="276" w:lineRule="auto"/>
        <w:rPr>
          <w:rFonts w:ascii="Times New Roman" w:hAnsi="Times New Roman" w:cs="Times New Roman"/>
          <w:sz w:val="23"/>
          <w:szCs w:val="23"/>
        </w:rPr>
      </w:pPr>
    </w:p>
    <w:p w14:paraId="59AD3B7B" w14:textId="6904A8F4" w:rsidR="00854101" w:rsidRDefault="00854101" w:rsidP="00326F97">
      <w:pPr>
        <w:pStyle w:val="Default"/>
        <w:spacing w:line="276" w:lineRule="auto"/>
        <w:rPr>
          <w:rFonts w:ascii="Times New Roman" w:hAnsi="Times New Roman" w:cs="Times New Roman"/>
          <w:color w:val="232323"/>
          <w:shd w:val="clear" w:color="auto" w:fill="FFFFFF"/>
        </w:rPr>
      </w:pPr>
      <w:r w:rsidRPr="00A53F11">
        <w:rPr>
          <w:rFonts w:ascii="Times New Roman" w:hAnsi="Times New Roman" w:cs="Times New Roman"/>
        </w:rPr>
        <w:t>2.4.4.4 at 2-4</w:t>
      </w:r>
      <w:r w:rsidR="00D73C70">
        <w:rPr>
          <w:rFonts w:ascii="Times New Roman" w:hAnsi="Times New Roman" w:cs="Times New Roman"/>
        </w:rPr>
        <w:t>1</w:t>
      </w:r>
      <w:r w:rsidRPr="00A53F11">
        <w:rPr>
          <w:rFonts w:ascii="Times New Roman" w:hAnsi="Times New Roman" w:cs="Times New Roman"/>
        </w:rPr>
        <w:t xml:space="preserve"> Flow Augmentation as Contact Water Treatment.</w:t>
      </w:r>
      <w:r w:rsidRPr="00A53F11">
        <w:rPr>
          <w:rFonts w:ascii="Times New Roman" w:hAnsi="Times New Roman" w:cs="Times New Roman"/>
          <w:i/>
          <w:iCs/>
        </w:rPr>
        <w:t xml:space="preserve"> “</w:t>
      </w:r>
      <w:r w:rsidRPr="00A53F11">
        <w:rPr>
          <w:rFonts w:ascii="Times New Roman" w:hAnsi="Times New Roman" w:cs="Times New Roman"/>
        </w:rPr>
        <w:t xml:space="preserve">Because the discharge is and will continue to be permitted by agencies with authority for Clean Water Act compliance, the Forest Service considers the approved discharge to be protective of water quality for purposes of this analysis (36 CFR 228.8(h)).”  </w:t>
      </w:r>
      <w:r w:rsidRPr="00A53F11">
        <w:rPr>
          <w:rFonts w:ascii="Times New Roman" w:hAnsi="Times New Roman" w:cs="Times New Roman"/>
          <w:color w:val="333333"/>
          <w:shd w:val="clear" w:color="auto" w:fill="FFFFFF"/>
        </w:rPr>
        <w:t> </w:t>
      </w:r>
      <w:r w:rsidR="00AE17C4">
        <w:rPr>
          <w:rFonts w:ascii="Times New Roman" w:hAnsi="Times New Roman" w:cs="Times New Roman"/>
          <w:color w:val="333333"/>
          <w:shd w:val="clear" w:color="auto" w:fill="FFFFFF"/>
        </w:rPr>
        <w:t>S</w:t>
      </w:r>
      <w:r w:rsidRPr="00A53F11">
        <w:rPr>
          <w:rFonts w:ascii="Times New Roman" w:hAnsi="Times New Roman" w:cs="Times New Roman"/>
          <w:color w:val="333333"/>
          <w:shd w:val="clear" w:color="auto" w:fill="FFFFFF"/>
        </w:rPr>
        <w:t>ubsection (h) reads “Certification or other approval issued by State agencies or other Federal agencies of compliance with laws and regulations relating to mining </w:t>
      </w:r>
      <w:hyperlink r:id="rId9" w:history="1">
        <w:r w:rsidRPr="00A53F11">
          <w:rPr>
            <w:rFonts w:ascii="Times New Roman" w:hAnsi="Times New Roman" w:cs="Times New Roman"/>
            <w:color w:val="auto"/>
            <w:shd w:val="clear" w:color="auto" w:fill="FFFFFF"/>
          </w:rPr>
          <w:t>operations</w:t>
        </w:r>
      </w:hyperlink>
      <w:r w:rsidRPr="00A53F11">
        <w:rPr>
          <w:rFonts w:ascii="Times New Roman" w:hAnsi="Times New Roman" w:cs="Times New Roman"/>
          <w:color w:val="333333"/>
          <w:shd w:val="clear" w:color="auto" w:fill="FFFFFF"/>
        </w:rPr>
        <w:t xml:space="preserve"> will be accepted as compliance with similar or parallel requirements of these regulations”  The no-irreparable harm standard of ANILCA is not a parallel standard </w:t>
      </w:r>
      <w:r w:rsidR="00A53F11">
        <w:rPr>
          <w:rFonts w:ascii="Times New Roman" w:hAnsi="Times New Roman" w:cs="Times New Roman"/>
          <w:color w:val="333333"/>
          <w:shd w:val="clear" w:color="auto" w:fill="FFFFFF"/>
        </w:rPr>
        <w:t xml:space="preserve">but an additional </w:t>
      </w:r>
      <w:r w:rsidR="00AE17C4">
        <w:rPr>
          <w:rFonts w:ascii="Times New Roman" w:hAnsi="Times New Roman" w:cs="Times New Roman"/>
          <w:color w:val="333333"/>
          <w:shd w:val="clear" w:color="auto" w:fill="FFFFFF"/>
        </w:rPr>
        <w:t xml:space="preserve">and superior </w:t>
      </w:r>
      <w:r w:rsidR="00A53F11">
        <w:rPr>
          <w:rFonts w:ascii="Times New Roman" w:hAnsi="Times New Roman" w:cs="Times New Roman"/>
          <w:color w:val="333333"/>
          <w:shd w:val="clear" w:color="auto" w:fill="FFFFFF"/>
        </w:rPr>
        <w:t xml:space="preserve">condition </w:t>
      </w:r>
      <w:r w:rsidRPr="00A53F11">
        <w:rPr>
          <w:rFonts w:ascii="Times New Roman" w:hAnsi="Times New Roman" w:cs="Times New Roman"/>
          <w:color w:val="333333"/>
          <w:shd w:val="clear" w:color="auto" w:fill="FFFFFF"/>
        </w:rPr>
        <w:t>set by congress</w:t>
      </w:r>
      <w:r w:rsidR="00A53F11">
        <w:rPr>
          <w:rFonts w:ascii="Times New Roman" w:hAnsi="Times New Roman" w:cs="Times New Roman"/>
          <w:color w:val="333333"/>
          <w:shd w:val="clear" w:color="auto" w:fill="FFFFFF"/>
        </w:rPr>
        <w:t>.  State NPDES (</w:t>
      </w:r>
      <w:r w:rsidRPr="00A53F11">
        <w:rPr>
          <w:rFonts w:ascii="Times New Roman" w:hAnsi="Times New Roman" w:cs="Times New Roman"/>
          <w:color w:val="333333"/>
          <w:shd w:val="clear" w:color="auto" w:fill="FFFFFF"/>
        </w:rPr>
        <w:t>APDES</w:t>
      </w:r>
      <w:r w:rsidR="00A53F11">
        <w:rPr>
          <w:rFonts w:ascii="Times New Roman" w:hAnsi="Times New Roman" w:cs="Times New Roman"/>
          <w:color w:val="333333"/>
          <w:shd w:val="clear" w:color="auto" w:fill="FFFFFF"/>
        </w:rPr>
        <w:t>)</w:t>
      </w:r>
      <w:r w:rsidRPr="00A53F11">
        <w:rPr>
          <w:rFonts w:ascii="Times New Roman" w:hAnsi="Times New Roman" w:cs="Times New Roman"/>
          <w:color w:val="333333"/>
          <w:shd w:val="clear" w:color="auto" w:fill="FFFFFF"/>
        </w:rPr>
        <w:t xml:space="preserve"> permits are authorizations to degrade water quality for the public’s benefit. </w:t>
      </w:r>
      <w:r w:rsidR="00A53F11" w:rsidRPr="00A53F11">
        <w:rPr>
          <w:rFonts w:ascii="Times New Roman" w:hAnsi="Times New Roman" w:cs="Times New Roman"/>
          <w:i/>
          <w:iCs/>
          <w:color w:val="333333"/>
          <w:shd w:val="clear" w:color="auto" w:fill="FFFFFF"/>
        </w:rPr>
        <w:t>See</w:t>
      </w:r>
      <w:r w:rsidR="00A53F11" w:rsidRPr="00A53F11">
        <w:rPr>
          <w:rFonts w:ascii="Times New Roman" w:hAnsi="Times New Roman" w:cs="Times New Roman"/>
          <w:color w:val="333333"/>
          <w:shd w:val="clear" w:color="auto" w:fill="FFFFFF"/>
        </w:rPr>
        <w:t>, 40 CFR 122(11)(v).</w:t>
      </w:r>
      <w:r w:rsidRPr="00A53F11">
        <w:rPr>
          <w:rFonts w:ascii="Times New Roman" w:hAnsi="Times New Roman" w:cs="Times New Roman"/>
          <w:color w:val="333333"/>
          <w:shd w:val="clear" w:color="auto" w:fill="FFFFFF"/>
        </w:rPr>
        <w:t xml:space="preserve"> </w:t>
      </w:r>
      <w:r w:rsidR="00A53F11" w:rsidRPr="00A53F11">
        <w:rPr>
          <w:rFonts w:ascii="Times New Roman" w:hAnsi="Times New Roman" w:cs="Times New Roman"/>
          <w:color w:val="232323"/>
          <w:shd w:val="clear" w:color="auto" w:fill="FFFFFF"/>
        </w:rPr>
        <w:t xml:space="preserve">The federal government, however, continues to have ultimate enforcement authority </w:t>
      </w:r>
      <w:r w:rsidR="00A53F11" w:rsidRPr="00A53F11">
        <w:rPr>
          <w:rFonts w:ascii="Times New Roman" w:hAnsi="Times New Roman" w:cs="Times New Roman"/>
          <w:color w:val="232323"/>
          <w:shd w:val="clear" w:color="auto" w:fill="FFFFFF"/>
        </w:rPr>
        <w:lastRenderedPageBreak/>
        <w:t xml:space="preserve">in all cases. The federal government has oversight responsibility over the states’ activities, and monitors state and tribal implementation of EPA approved programs. </w:t>
      </w:r>
      <w:r w:rsidR="00A53F11" w:rsidRPr="00A53F11">
        <w:rPr>
          <w:rFonts w:ascii="Times New Roman" w:hAnsi="Times New Roman" w:cs="Times New Roman"/>
          <w:i/>
          <w:iCs/>
          <w:color w:val="232323"/>
          <w:shd w:val="clear" w:color="auto" w:fill="FFFFFF"/>
        </w:rPr>
        <w:t>See,</w:t>
      </w:r>
      <w:r w:rsidR="00A53F11" w:rsidRPr="00A53F11">
        <w:rPr>
          <w:rFonts w:ascii="Times New Roman" w:hAnsi="Times New Roman" w:cs="Times New Roman"/>
          <w:color w:val="232323"/>
          <w:shd w:val="clear" w:color="auto" w:fill="FFFFFF"/>
        </w:rPr>
        <w:t xml:space="preserve"> </w:t>
      </w:r>
      <w:hyperlink r:id="rId10" w:anchor=":~:text=Which%20takes%20precedence%3F,precedence%20over%20the%20federal%20one" w:history="1">
        <w:r w:rsidR="00A53F11" w:rsidRPr="00744F40">
          <w:rPr>
            <w:rStyle w:val="Hyperlink"/>
            <w:rFonts w:ascii="Times New Roman" w:hAnsi="Times New Roman" w:cs="Times New Roman"/>
            <w:shd w:val="clear" w:color="auto" w:fill="FFFFFF"/>
          </w:rPr>
          <w:t>https://www.wolterskluwer.com/en/expert-insights/us-federal-vs-state-environmental-regulations-what-to-follow#:~:text=Which%20takes%20precedence%3F,precedence%20over%20the%20federal%20one</w:t>
        </w:r>
      </w:hyperlink>
      <w:r w:rsidR="00A53F11" w:rsidRPr="00A53F11">
        <w:rPr>
          <w:rFonts w:ascii="Times New Roman" w:hAnsi="Times New Roman" w:cs="Times New Roman"/>
          <w:color w:val="232323"/>
          <w:shd w:val="clear" w:color="auto" w:fill="FFFFFF"/>
        </w:rPr>
        <w:t>.</w:t>
      </w:r>
      <w:r w:rsidR="00A53F11">
        <w:rPr>
          <w:rFonts w:ascii="Times New Roman" w:hAnsi="Times New Roman" w:cs="Times New Roman"/>
          <w:color w:val="232323"/>
          <w:shd w:val="clear" w:color="auto" w:fill="FFFFFF"/>
        </w:rPr>
        <w:t xml:space="preserve">  The Forest Service cannot forgo this duty and is the ultimate decider in how these laws are implemented.  Please provide an analysis of how the authorized degradation of the submerged lands within the monument is compliant with ANICLA 505.  Absent such analysis, please remove all language alluding to state permits being protective of water quality</w:t>
      </w:r>
      <w:r w:rsidR="00AE17C4">
        <w:rPr>
          <w:rFonts w:ascii="Times New Roman" w:hAnsi="Times New Roman" w:cs="Times New Roman"/>
          <w:color w:val="232323"/>
          <w:shd w:val="clear" w:color="auto" w:fill="FFFFFF"/>
        </w:rPr>
        <w:t>, they are not</w:t>
      </w:r>
      <w:r w:rsidR="00A53F11">
        <w:rPr>
          <w:rFonts w:ascii="Times New Roman" w:hAnsi="Times New Roman" w:cs="Times New Roman"/>
          <w:color w:val="232323"/>
          <w:shd w:val="clear" w:color="auto" w:fill="FFFFFF"/>
        </w:rPr>
        <w:t>.</w:t>
      </w:r>
      <w:r w:rsidR="00AE17C4">
        <w:rPr>
          <w:rFonts w:ascii="Times New Roman" w:hAnsi="Times New Roman" w:cs="Times New Roman"/>
          <w:color w:val="232323"/>
          <w:shd w:val="clear" w:color="auto" w:fill="FFFFFF"/>
        </w:rPr>
        <w:t xml:space="preserve">  They are authorized degradation of water quality.</w:t>
      </w:r>
      <w:r w:rsidR="00A53F11">
        <w:rPr>
          <w:rFonts w:ascii="Times New Roman" w:hAnsi="Times New Roman" w:cs="Times New Roman"/>
          <w:color w:val="232323"/>
          <w:shd w:val="clear" w:color="auto" w:fill="FFFFFF"/>
        </w:rPr>
        <w:t xml:space="preserve"> </w:t>
      </w:r>
      <w:r w:rsidR="00AE17C4">
        <w:rPr>
          <w:rFonts w:ascii="Times New Roman" w:hAnsi="Times New Roman" w:cs="Times New Roman"/>
          <w:color w:val="232323"/>
          <w:shd w:val="clear" w:color="auto" w:fill="FFFFFF"/>
        </w:rPr>
        <w:t xml:space="preserve">See, Alaska’s Antidegradation Guidance at: </w:t>
      </w:r>
      <w:r w:rsidR="00AE17C4" w:rsidRPr="00AE17C4">
        <w:rPr>
          <w:rFonts w:ascii="Times New Roman" w:hAnsi="Times New Roman" w:cs="Times New Roman"/>
          <w:color w:val="232323"/>
          <w:shd w:val="clear" w:color="auto" w:fill="FFFFFF"/>
        </w:rPr>
        <w:t>https://dec.alaska.gov/water/water-quality/standards/antidegradation</w:t>
      </w:r>
      <w:r w:rsidR="00AE17C4">
        <w:rPr>
          <w:rFonts w:ascii="Times New Roman" w:hAnsi="Times New Roman" w:cs="Times New Roman"/>
          <w:color w:val="232323"/>
          <w:shd w:val="clear" w:color="auto" w:fill="FFFFFF"/>
        </w:rPr>
        <w:t xml:space="preserve">. </w:t>
      </w:r>
    </w:p>
    <w:p w14:paraId="418C465F" w14:textId="77777777" w:rsidR="00D73C70" w:rsidRDefault="00D73C70" w:rsidP="00326F97">
      <w:pPr>
        <w:pStyle w:val="Default"/>
        <w:spacing w:line="276" w:lineRule="auto"/>
        <w:rPr>
          <w:rFonts w:ascii="Times New Roman" w:hAnsi="Times New Roman" w:cs="Times New Roman"/>
          <w:color w:val="232323"/>
          <w:shd w:val="clear" w:color="auto" w:fill="FFFFFF"/>
        </w:rPr>
      </w:pPr>
    </w:p>
    <w:p w14:paraId="58147FDE" w14:textId="72D2964B" w:rsidR="00504B58" w:rsidRPr="00504B58" w:rsidRDefault="00D73C70" w:rsidP="003828A0">
      <w:pPr>
        <w:pStyle w:val="Default"/>
        <w:spacing w:line="276" w:lineRule="auto"/>
        <w:rPr>
          <w:rFonts w:ascii="Times New Roman" w:hAnsi="Times New Roman" w:cs="Times New Roman"/>
          <w:sz w:val="23"/>
          <w:szCs w:val="23"/>
        </w:rPr>
      </w:pPr>
      <w:r w:rsidRPr="00D73C70">
        <w:rPr>
          <w:rFonts w:ascii="Times New Roman" w:hAnsi="Times New Roman" w:cs="Times New Roman"/>
        </w:rPr>
        <w:t>2.5.2 at 2-46 Air Quality</w:t>
      </w:r>
      <w:r>
        <w:rPr>
          <w:rFonts w:ascii="Times New Roman" w:hAnsi="Times New Roman" w:cs="Times New Roman"/>
        </w:rPr>
        <w:t>.</w:t>
      </w:r>
      <w:r w:rsidRPr="00D73C70">
        <w:rPr>
          <w:rFonts w:ascii="Times New Roman" w:hAnsi="Times New Roman" w:cs="Times New Roman"/>
        </w:rPr>
        <w:t xml:space="preserve"> Actions</w:t>
      </w:r>
      <w:r>
        <w:rPr>
          <w:rFonts w:ascii="Times New Roman" w:hAnsi="Times New Roman" w:cs="Times New Roman"/>
        </w:rPr>
        <w:t>.  Please add the following actions</w:t>
      </w:r>
      <w:r w:rsidR="00504B58">
        <w:rPr>
          <w:rFonts w:ascii="Times New Roman" w:hAnsi="Times New Roman" w:cs="Times New Roman"/>
        </w:rPr>
        <w:t xml:space="preserve"> and those as described in section 2.2.7 at 3-38</w:t>
      </w:r>
      <w:r>
        <w:rPr>
          <w:rFonts w:ascii="Times New Roman" w:hAnsi="Times New Roman" w:cs="Times New Roman"/>
        </w:rPr>
        <w:t xml:space="preserve">:  The Applicant will </w:t>
      </w:r>
      <w:r w:rsidR="00504B58">
        <w:rPr>
          <w:rFonts w:ascii="Times New Roman" w:hAnsi="Times New Roman" w:cs="Times New Roman"/>
        </w:rPr>
        <w:t>utilize</w:t>
      </w:r>
      <w:r>
        <w:rPr>
          <w:rFonts w:ascii="Times New Roman" w:hAnsi="Times New Roman" w:cs="Times New Roman"/>
        </w:rPr>
        <w:t xml:space="preserve"> standard traceable, independently calibrated dust monitoring equipment.  The Applicant will expand the dust monitoring program by placing additional dust monitors</w:t>
      </w:r>
      <w:r w:rsidRPr="00D73C70">
        <w:rPr>
          <w:rFonts w:ascii="Times New Roman" w:hAnsi="Times New Roman" w:cs="Times New Roman"/>
        </w:rPr>
        <w:t xml:space="preserve"> </w:t>
      </w:r>
      <w:r w:rsidR="00504B58">
        <w:rPr>
          <w:rFonts w:ascii="Times New Roman" w:hAnsi="Times New Roman" w:cs="Times New Roman"/>
        </w:rPr>
        <w:t>throughout the Monument lands up to and including 2 miles away.  Applicant will achieve near-zero fugitive dust emissions (based on clearly defined thresholds and objective standards of what defines “near-zero”</w:t>
      </w:r>
      <w:r w:rsidR="00AE17C4">
        <w:rPr>
          <w:rFonts w:ascii="Times New Roman" w:hAnsi="Times New Roman" w:cs="Times New Roman"/>
        </w:rPr>
        <w:t>)</w:t>
      </w:r>
      <w:r w:rsidR="00504B58">
        <w:rPr>
          <w:rFonts w:ascii="Times New Roman" w:hAnsi="Times New Roman" w:cs="Times New Roman"/>
        </w:rPr>
        <w:t xml:space="preserve"> prior to proceeding with the expansion. Applicant will institute a </w:t>
      </w:r>
      <w:r w:rsidR="00504B58" w:rsidRPr="00504B58">
        <w:rPr>
          <w:rFonts w:ascii="Times New Roman" w:hAnsi="Times New Roman" w:cs="Times New Roman"/>
          <w:sz w:val="23"/>
          <w:szCs w:val="23"/>
        </w:rPr>
        <w:t xml:space="preserve">lichen monitoring </w:t>
      </w:r>
      <w:r w:rsidR="00504B58">
        <w:rPr>
          <w:rFonts w:ascii="Times New Roman" w:hAnsi="Times New Roman" w:cs="Times New Roman"/>
          <w:sz w:val="23"/>
          <w:szCs w:val="23"/>
        </w:rPr>
        <w:t xml:space="preserve">program with </w:t>
      </w:r>
      <w:r w:rsidR="00504B58" w:rsidRPr="00504B58">
        <w:rPr>
          <w:rFonts w:ascii="Times New Roman" w:hAnsi="Times New Roman" w:cs="Times New Roman"/>
          <w:sz w:val="23"/>
          <w:szCs w:val="23"/>
        </w:rPr>
        <w:t xml:space="preserve">sampling sites extending to a distance of at least 2 miles from the TDF. </w:t>
      </w:r>
    </w:p>
    <w:p w14:paraId="39EC6388" w14:textId="257A3C52" w:rsidR="00D73C70" w:rsidRDefault="00D73C70" w:rsidP="003828A0">
      <w:pPr>
        <w:pStyle w:val="Default"/>
        <w:spacing w:line="276" w:lineRule="auto"/>
        <w:rPr>
          <w:rFonts w:ascii="Times New Roman" w:hAnsi="Times New Roman" w:cs="Times New Roman"/>
        </w:rPr>
      </w:pPr>
    </w:p>
    <w:p w14:paraId="2E3B8B1B" w14:textId="77777777" w:rsidR="003828A0" w:rsidRDefault="00504B58" w:rsidP="00326F97">
      <w:pPr>
        <w:pStyle w:val="Default"/>
        <w:spacing w:line="276" w:lineRule="auto"/>
        <w:rPr>
          <w:rFonts w:ascii="Times New Roman" w:hAnsi="Times New Roman" w:cs="Times New Roman"/>
        </w:rPr>
      </w:pPr>
      <w:r w:rsidRPr="00504B58">
        <w:rPr>
          <w:rFonts w:ascii="Times New Roman" w:hAnsi="Times New Roman" w:cs="Times New Roman"/>
        </w:rPr>
        <w:t>2.5.3 Cultural Resources at 2-47</w:t>
      </w:r>
      <w:r>
        <w:rPr>
          <w:rFonts w:ascii="Times New Roman" w:hAnsi="Times New Roman" w:cs="Times New Roman"/>
        </w:rPr>
        <w:t>.  Please add language to the cultural resources beyond physical objects.  The Monument contains many less tangible cultural resources such as food sovereignty</w:t>
      </w:r>
      <w:r w:rsidR="003828A0">
        <w:rPr>
          <w:rFonts w:ascii="Times New Roman" w:hAnsi="Times New Roman" w:cs="Times New Roman"/>
        </w:rPr>
        <w:t xml:space="preserve"> and</w:t>
      </w:r>
      <w:r>
        <w:rPr>
          <w:rFonts w:ascii="Times New Roman" w:hAnsi="Times New Roman" w:cs="Times New Roman"/>
        </w:rPr>
        <w:t xml:space="preserve"> opportunities for cultural practices as described in the Monument Declaration</w:t>
      </w:r>
      <w:r w:rsidR="003828A0">
        <w:rPr>
          <w:rFonts w:ascii="Times New Roman" w:hAnsi="Times New Roman" w:cs="Times New Roman"/>
        </w:rPr>
        <w:t>.</w:t>
      </w:r>
    </w:p>
    <w:p w14:paraId="69C8846C" w14:textId="77777777" w:rsidR="003828A0" w:rsidRDefault="003828A0" w:rsidP="00326F97">
      <w:pPr>
        <w:pStyle w:val="Default"/>
        <w:spacing w:line="276" w:lineRule="auto"/>
        <w:rPr>
          <w:rFonts w:ascii="Times New Roman" w:hAnsi="Times New Roman" w:cs="Times New Roman"/>
        </w:rPr>
      </w:pPr>
    </w:p>
    <w:p w14:paraId="2D398532" w14:textId="284C31C2" w:rsidR="00B54AED" w:rsidRDefault="003828A0" w:rsidP="00326F97">
      <w:pPr>
        <w:pStyle w:val="Default"/>
        <w:spacing w:line="276" w:lineRule="auto"/>
        <w:rPr>
          <w:rFonts w:ascii="Times New Roman" w:hAnsi="Times New Roman" w:cs="Times New Roman"/>
        </w:rPr>
      </w:pPr>
      <w:r w:rsidRPr="003828A0">
        <w:rPr>
          <w:rFonts w:ascii="Times New Roman" w:hAnsi="Times New Roman" w:cs="Times New Roman"/>
        </w:rPr>
        <w:t xml:space="preserve">2.5.6 Fish and Wildlife </w:t>
      </w:r>
      <w:r>
        <w:rPr>
          <w:rFonts w:ascii="Times New Roman" w:hAnsi="Times New Roman" w:cs="Times New Roman"/>
        </w:rPr>
        <w:t xml:space="preserve">Management and Monitoring Plans </w:t>
      </w:r>
      <w:r w:rsidRPr="003828A0">
        <w:rPr>
          <w:rFonts w:ascii="Times New Roman" w:hAnsi="Times New Roman" w:cs="Times New Roman"/>
        </w:rPr>
        <w:t>at 2-48</w:t>
      </w:r>
      <w:r>
        <w:rPr>
          <w:rFonts w:ascii="Times New Roman" w:hAnsi="Times New Roman" w:cs="Times New Roman"/>
        </w:rPr>
        <w:t>.</w:t>
      </w:r>
      <w:r w:rsidRPr="003828A0">
        <w:rPr>
          <w:rFonts w:ascii="Times New Roman" w:hAnsi="Times New Roman" w:cs="Times New Roman"/>
        </w:rPr>
        <w:t xml:space="preserve"> Actions</w:t>
      </w:r>
      <w:r>
        <w:rPr>
          <w:rFonts w:ascii="Times New Roman" w:hAnsi="Times New Roman" w:cs="Times New Roman"/>
        </w:rPr>
        <w:t xml:space="preserve">.  Please </w:t>
      </w:r>
      <w:r w:rsidR="007A52D7">
        <w:rPr>
          <w:rFonts w:ascii="Times New Roman" w:hAnsi="Times New Roman" w:cs="Times New Roman"/>
        </w:rPr>
        <w:t xml:space="preserve">add </w:t>
      </w:r>
      <w:r>
        <w:rPr>
          <w:rFonts w:ascii="Times New Roman" w:hAnsi="Times New Roman" w:cs="Times New Roman"/>
        </w:rPr>
        <w:t>the commitment to repeat the species diversity and population studies in order to directly measure impacts to fish and wildlife and to validate the risk assessment models used by the State of Alaska.  Also commit to conducting heavy metal analysis on the blood or hair of upper-level consumers to assure biomagnification of metals is not occurring in the food chain.</w:t>
      </w:r>
      <w:r w:rsidRPr="003828A0">
        <w:rPr>
          <w:rFonts w:ascii="Times New Roman" w:hAnsi="Times New Roman" w:cs="Times New Roman"/>
        </w:rPr>
        <w:t xml:space="preserve"> </w:t>
      </w:r>
    </w:p>
    <w:p w14:paraId="3A4B4493" w14:textId="77777777" w:rsidR="007A3031" w:rsidRDefault="007A3031" w:rsidP="00326F97">
      <w:pPr>
        <w:pStyle w:val="Default"/>
        <w:spacing w:line="276" w:lineRule="auto"/>
        <w:rPr>
          <w:rFonts w:ascii="Times New Roman" w:hAnsi="Times New Roman" w:cs="Times New Roman"/>
        </w:rPr>
      </w:pPr>
    </w:p>
    <w:p w14:paraId="3731F4A9" w14:textId="5D263DC9" w:rsidR="007A3031" w:rsidRDefault="007A3031" w:rsidP="00326F97">
      <w:pPr>
        <w:pStyle w:val="Default"/>
        <w:spacing w:line="276" w:lineRule="auto"/>
        <w:rPr>
          <w:rFonts w:ascii="Times New Roman" w:hAnsi="Times New Roman" w:cs="Times New Roman"/>
        </w:rPr>
      </w:pPr>
      <w:r>
        <w:rPr>
          <w:rFonts w:ascii="Times New Roman" w:hAnsi="Times New Roman" w:cs="Times New Roman"/>
        </w:rPr>
        <w:t>2.6.1 Table 2.6-1 at 2-50. Additional Mitigation Measures.  Forest Service approved dust mitigation plan must be developed before approval of this action.  The Forest Service has been aware of the fugitive dust problem going back to the 2005 authorization.  It appears the sudden interest is driven by the Tributary Creek impairment.  The Forest Service cannot only act retroactively when harm occurs.  The mandate under ANILCA is to avoid harm.</w:t>
      </w:r>
    </w:p>
    <w:p w14:paraId="72F24B14" w14:textId="77777777" w:rsidR="007A3031" w:rsidRDefault="007A3031" w:rsidP="00326F97">
      <w:pPr>
        <w:pStyle w:val="Default"/>
        <w:spacing w:line="276" w:lineRule="auto"/>
        <w:rPr>
          <w:rFonts w:ascii="Times New Roman" w:hAnsi="Times New Roman" w:cs="Times New Roman"/>
        </w:rPr>
      </w:pPr>
    </w:p>
    <w:p w14:paraId="30E60587" w14:textId="7D8490AB" w:rsidR="007A3031" w:rsidRDefault="00037571" w:rsidP="00037571">
      <w:pPr>
        <w:pStyle w:val="Default"/>
        <w:spacing w:line="276" w:lineRule="auto"/>
        <w:ind w:left="720"/>
        <w:rPr>
          <w:rFonts w:ascii="Times New Roman" w:hAnsi="Times New Roman" w:cs="Times New Roman"/>
        </w:rPr>
      </w:pPr>
      <w:r>
        <w:rPr>
          <w:rFonts w:ascii="Times New Roman" w:hAnsi="Times New Roman" w:cs="Times New Roman"/>
        </w:rPr>
        <w:t xml:space="preserve">AQ-1. </w:t>
      </w:r>
      <w:r w:rsidR="007A3031" w:rsidRPr="007A3031">
        <w:rPr>
          <w:rFonts w:ascii="Times New Roman" w:hAnsi="Times New Roman" w:cs="Times New Roman"/>
        </w:rPr>
        <w:t>“Additional deposition and lichen monitoring sampling sites located to reflect areas of potential maximum deposition including sites extending to a distance of at least 2 miles from the TDF.</w:t>
      </w:r>
      <w:r w:rsidR="007A3031">
        <w:rPr>
          <w:rFonts w:ascii="Times New Roman" w:hAnsi="Times New Roman" w:cs="Times New Roman"/>
        </w:rPr>
        <w:t>”  This is inadequate.  Monitoring should include all areas exposed to the dust.</w:t>
      </w:r>
      <w:r w:rsidR="007A3031" w:rsidRPr="007A3031">
        <w:rPr>
          <w:rFonts w:ascii="Times New Roman" w:hAnsi="Times New Roman" w:cs="Times New Roman"/>
        </w:rPr>
        <w:t xml:space="preserve"> </w:t>
      </w:r>
      <w:r w:rsidR="007A3031">
        <w:rPr>
          <w:rFonts w:ascii="Times New Roman" w:hAnsi="Times New Roman" w:cs="Times New Roman"/>
        </w:rPr>
        <w:t xml:space="preserve">It is the nature of the harm, not the intensity that must monitored and mitigated. </w:t>
      </w:r>
    </w:p>
    <w:p w14:paraId="4C8AADE8" w14:textId="77777777" w:rsidR="007A3031" w:rsidRDefault="007A3031" w:rsidP="00037571">
      <w:pPr>
        <w:pStyle w:val="Default"/>
        <w:spacing w:line="276" w:lineRule="auto"/>
        <w:ind w:left="720"/>
        <w:rPr>
          <w:rFonts w:ascii="Times New Roman" w:hAnsi="Times New Roman" w:cs="Times New Roman"/>
        </w:rPr>
      </w:pPr>
    </w:p>
    <w:p w14:paraId="586EB1B8" w14:textId="64377F03" w:rsidR="007A3031" w:rsidRDefault="00037571" w:rsidP="00037571">
      <w:pPr>
        <w:pStyle w:val="Default"/>
        <w:spacing w:line="276" w:lineRule="auto"/>
        <w:ind w:left="720"/>
        <w:rPr>
          <w:rFonts w:ascii="Times New Roman" w:hAnsi="Times New Roman" w:cs="Times New Roman"/>
        </w:rPr>
      </w:pPr>
      <w:r>
        <w:rPr>
          <w:rFonts w:ascii="Times New Roman" w:hAnsi="Times New Roman" w:cs="Times New Roman"/>
        </w:rPr>
        <w:lastRenderedPageBreak/>
        <w:t xml:space="preserve">AQ-1. </w:t>
      </w:r>
      <w:r w:rsidR="007A3031">
        <w:rPr>
          <w:rFonts w:ascii="Times New Roman" w:hAnsi="Times New Roman" w:cs="Times New Roman"/>
        </w:rPr>
        <w:t xml:space="preserve">Replace the word “should”, as in “containers </w:t>
      </w:r>
      <w:r w:rsidR="007A3031" w:rsidRPr="007A3031">
        <w:rPr>
          <w:rFonts w:ascii="Times New Roman" w:hAnsi="Times New Roman" w:cs="Times New Roman"/>
          <w:i/>
          <w:iCs/>
        </w:rPr>
        <w:t>should</w:t>
      </w:r>
      <w:r w:rsidR="007A3031">
        <w:rPr>
          <w:rFonts w:ascii="Times New Roman" w:hAnsi="Times New Roman" w:cs="Times New Roman"/>
        </w:rPr>
        <w:t xml:space="preserve"> be deployed. . .” with “must” throughout Table 2.6-1. </w:t>
      </w:r>
    </w:p>
    <w:p w14:paraId="22BE87F5" w14:textId="77777777" w:rsidR="00037571" w:rsidRPr="007A3031" w:rsidRDefault="00037571" w:rsidP="00037571">
      <w:pPr>
        <w:pStyle w:val="Default"/>
        <w:spacing w:line="276" w:lineRule="auto"/>
        <w:ind w:left="720"/>
        <w:rPr>
          <w:rFonts w:ascii="Times New Roman" w:hAnsi="Times New Roman" w:cs="Times New Roman"/>
        </w:rPr>
      </w:pPr>
    </w:p>
    <w:p w14:paraId="3B1ECCCD" w14:textId="2909D27B" w:rsidR="007A3031" w:rsidRDefault="007A3031" w:rsidP="00037571">
      <w:pPr>
        <w:pStyle w:val="Default"/>
        <w:spacing w:line="276" w:lineRule="auto"/>
        <w:ind w:left="720"/>
        <w:rPr>
          <w:rFonts w:ascii="Times New Roman" w:hAnsi="Times New Roman" w:cs="Times New Roman"/>
        </w:rPr>
      </w:pPr>
      <w:r>
        <w:rPr>
          <w:rFonts w:ascii="Times New Roman" w:hAnsi="Times New Roman" w:cs="Times New Roman"/>
        </w:rPr>
        <w:t>AR-2</w:t>
      </w:r>
      <w:r w:rsidR="00037571">
        <w:rPr>
          <w:rFonts w:ascii="Times New Roman" w:hAnsi="Times New Roman" w:cs="Times New Roman"/>
        </w:rPr>
        <w:t xml:space="preserve">.  Add intertidal benthic macroinvertebrate species diversity and population studies in Hawk Inlet to the Aquatic Resources section.  This is population and diversity studies are done for freshwater periphyton, EPT taxa, terrestrial wildlife. deer, bear, and anadromous fish.  </w:t>
      </w:r>
      <w:r w:rsidR="00CC2E09">
        <w:rPr>
          <w:rFonts w:ascii="Times New Roman" w:hAnsi="Times New Roman" w:cs="Times New Roman"/>
        </w:rPr>
        <w:t xml:space="preserve">If not, then please explain why not when it is done everywhere else. </w:t>
      </w:r>
      <w:r w:rsidR="00037571">
        <w:rPr>
          <w:rFonts w:ascii="Times New Roman" w:hAnsi="Times New Roman" w:cs="Times New Roman"/>
        </w:rPr>
        <w:t>The Forest Service cannot continue to turn a blind eye to Hawk Inlet macro invertebrates.</w:t>
      </w:r>
    </w:p>
    <w:p w14:paraId="0738D8EA" w14:textId="77777777" w:rsidR="00037571" w:rsidRDefault="00037571" w:rsidP="007A3031">
      <w:pPr>
        <w:pStyle w:val="Default"/>
        <w:spacing w:line="276" w:lineRule="auto"/>
        <w:rPr>
          <w:rFonts w:ascii="Times New Roman" w:hAnsi="Times New Roman" w:cs="Times New Roman"/>
        </w:rPr>
      </w:pPr>
    </w:p>
    <w:p w14:paraId="5FD9A86D" w14:textId="1F5FB32E" w:rsidR="00C137BE" w:rsidRDefault="00C137BE" w:rsidP="00C137BE">
      <w:pPr>
        <w:pStyle w:val="Default"/>
        <w:rPr>
          <w:rFonts w:ascii="Times New Roman" w:hAnsi="Times New Roman" w:cs="Times New Roman"/>
        </w:rPr>
      </w:pPr>
      <w:r w:rsidRPr="00C137BE">
        <w:rPr>
          <w:rFonts w:ascii="Times New Roman" w:hAnsi="Times New Roman" w:cs="Times New Roman"/>
        </w:rPr>
        <w:t>2.9 Comparison of Environmental Consequences of the Alternatives Table 2.9-1 at 2-57</w:t>
      </w:r>
      <w:r>
        <w:rPr>
          <w:rFonts w:ascii="Times New Roman" w:hAnsi="Times New Roman" w:cs="Times New Roman"/>
        </w:rPr>
        <w:t>.  See comments on ES-2 at S-5 on the “low” to “moderate” prediction for fugitive dust.</w:t>
      </w:r>
    </w:p>
    <w:p w14:paraId="307A0132" w14:textId="77777777" w:rsidR="00983350" w:rsidRDefault="00983350" w:rsidP="00983350">
      <w:pPr>
        <w:pStyle w:val="Default"/>
        <w:spacing w:line="276" w:lineRule="auto"/>
        <w:ind w:left="720"/>
        <w:rPr>
          <w:rFonts w:ascii="Times New Roman" w:hAnsi="Times New Roman" w:cs="Times New Roman"/>
        </w:rPr>
      </w:pPr>
    </w:p>
    <w:p w14:paraId="2F23CEFA" w14:textId="6D16B734" w:rsidR="00C137BE" w:rsidRDefault="00C137BE" w:rsidP="007B6984">
      <w:pPr>
        <w:pStyle w:val="Default"/>
        <w:spacing w:line="276" w:lineRule="auto"/>
        <w:rPr>
          <w:rFonts w:ascii="Times New Roman" w:hAnsi="Times New Roman" w:cs="Times New Roman"/>
        </w:rPr>
      </w:pPr>
      <w:r>
        <w:rPr>
          <w:rFonts w:ascii="Times New Roman" w:hAnsi="Times New Roman" w:cs="Times New Roman"/>
        </w:rPr>
        <w:t xml:space="preserve">Environment Justice at 2-61.  </w:t>
      </w:r>
      <w:r w:rsidRPr="00C137BE">
        <w:rPr>
          <w:rFonts w:ascii="Times New Roman" w:hAnsi="Times New Roman" w:cs="Times New Roman"/>
        </w:rPr>
        <w:t>“Disproportionately affect minority or low-income populations” “No</w:t>
      </w:r>
      <w:r>
        <w:rPr>
          <w:rFonts w:ascii="Times New Roman" w:hAnsi="Times New Roman" w:cs="Times New Roman"/>
        </w:rPr>
        <w:t>.</w:t>
      </w:r>
      <w:r w:rsidRPr="00C137BE">
        <w:rPr>
          <w:rFonts w:ascii="Times New Roman" w:hAnsi="Times New Roman" w:cs="Times New Roman"/>
        </w:rPr>
        <w:t>”</w:t>
      </w:r>
      <w:r>
        <w:rPr>
          <w:rFonts w:ascii="Times New Roman" w:hAnsi="Times New Roman" w:cs="Times New Roman"/>
        </w:rPr>
        <w:t xml:space="preserve">  This is not accurate and suffers from the same issue of making assumptions in a vacuum of actual evidence</w:t>
      </w:r>
      <w:r w:rsidR="00CC2E09">
        <w:rPr>
          <w:rFonts w:ascii="Times New Roman" w:hAnsi="Times New Roman" w:cs="Times New Roman"/>
        </w:rPr>
        <w:t xml:space="preserve"> apparent throughout the 2023 </w:t>
      </w:r>
      <w:proofErr w:type="spellStart"/>
      <w:r w:rsidR="00CC2E09">
        <w:rPr>
          <w:rFonts w:ascii="Times New Roman" w:hAnsi="Times New Roman" w:cs="Times New Roman"/>
        </w:rPr>
        <w:t>dSEIS</w:t>
      </w:r>
      <w:proofErr w:type="spellEnd"/>
      <w:r w:rsidR="00CC2E09">
        <w:rPr>
          <w:rFonts w:ascii="Times New Roman" w:hAnsi="Times New Roman" w:cs="Times New Roman"/>
        </w:rPr>
        <w:t>.</w:t>
      </w:r>
      <w:r>
        <w:rPr>
          <w:rFonts w:ascii="Times New Roman" w:hAnsi="Times New Roman" w:cs="Times New Roman"/>
        </w:rPr>
        <w:t xml:space="preserve">  Angoon no longer feels like it is safe to eat food</w:t>
      </w:r>
      <w:r w:rsidR="00CA2A99">
        <w:rPr>
          <w:rFonts w:ascii="Times New Roman" w:hAnsi="Times New Roman" w:cs="Times New Roman"/>
        </w:rPr>
        <w:t>s</w:t>
      </w:r>
      <w:r>
        <w:rPr>
          <w:rFonts w:ascii="Times New Roman" w:hAnsi="Times New Roman" w:cs="Times New Roman"/>
        </w:rPr>
        <w:t xml:space="preserve"> collected in Hawk</w:t>
      </w:r>
      <w:r w:rsidR="00983350">
        <w:rPr>
          <w:rFonts w:ascii="Times New Roman" w:hAnsi="Times New Roman" w:cs="Times New Roman"/>
        </w:rPr>
        <w:t xml:space="preserve"> </w:t>
      </w:r>
      <w:r>
        <w:rPr>
          <w:rFonts w:ascii="Times New Roman" w:hAnsi="Times New Roman" w:cs="Times New Roman"/>
        </w:rPr>
        <w:t>I</w:t>
      </w:r>
      <w:r w:rsidR="00983350">
        <w:rPr>
          <w:rFonts w:ascii="Times New Roman" w:hAnsi="Times New Roman" w:cs="Times New Roman"/>
        </w:rPr>
        <w:t>n</w:t>
      </w:r>
      <w:r>
        <w:rPr>
          <w:rFonts w:ascii="Times New Roman" w:hAnsi="Times New Roman" w:cs="Times New Roman"/>
        </w:rPr>
        <w:t>let</w:t>
      </w:r>
      <w:r w:rsidR="00983350">
        <w:rPr>
          <w:rFonts w:ascii="Times New Roman" w:hAnsi="Times New Roman" w:cs="Times New Roman"/>
        </w:rPr>
        <w:t xml:space="preserve">.  Whether the foods are safe or not is not the issue.  Hawk Inlet is being avoided.  That is a loss to the community and needs to be documented here.  Loss of food to Angoon </w:t>
      </w:r>
      <w:r w:rsidR="00CA2A99">
        <w:rPr>
          <w:rFonts w:ascii="Times New Roman" w:hAnsi="Times New Roman" w:cs="Times New Roman"/>
        </w:rPr>
        <w:t xml:space="preserve">represents </w:t>
      </w:r>
      <w:r w:rsidR="00983350">
        <w:rPr>
          <w:rFonts w:ascii="Times New Roman" w:hAnsi="Times New Roman" w:cs="Times New Roman"/>
        </w:rPr>
        <w:t xml:space="preserve">an impact to the human health environment.  Please change the wording to reflect this. </w:t>
      </w:r>
    </w:p>
    <w:p w14:paraId="3A9C21BD" w14:textId="77777777" w:rsidR="00CA2A99" w:rsidRDefault="00CA2A99" w:rsidP="007B6984">
      <w:pPr>
        <w:pStyle w:val="Default"/>
        <w:spacing w:line="276" w:lineRule="auto"/>
        <w:rPr>
          <w:rFonts w:ascii="Times New Roman" w:hAnsi="Times New Roman" w:cs="Times New Roman"/>
        </w:rPr>
      </w:pPr>
    </w:p>
    <w:p w14:paraId="556D1D3E" w14:textId="4CC6AFF4" w:rsidR="00C137BE" w:rsidRDefault="00CA2A99" w:rsidP="007B6984">
      <w:pPr>
        <w:pStyle w:val="Default"/>
        <w:spacing w:line="276" w:lineRule="auto"/>
        <w:rPr>
          <w:rFonts w:ascii="Times New Roman" w:hAnsi="Times New Roman" w:cs="Times New Roman"/>
        </w:rPr>
      </w:pPr>
      <w:r>
        <w:rPr>
          <w:rFonts w:ascii="Times New Roman" w:hAnsi="Times New Roman" w:cs="Times New Roman"/>
        </w:rPr>
        <w:t xml:space="preserve">3.2.1.2 at 3-4. Climate.  The 2013 SDEIS lacks any mention of the </w:t>
      </w:r>
      <w:proofErr w:type="spellStart"/>
      <w:r>
        <w:rPr>
          <w:rFonts w:ascii="Times New Roman" w:hAnsi="Times New Roman" w:cs="Times New Roman"/>
        </w:rPr>
        <w:t>Tongass</w:t>
      </w:r>
      <w:proofErr w:type="spellEnd"/>
      <w:r>
        <w:rPr>
          <w:rFonts w:ascii="Times New Roman" w:hAnsi="Times New Roman" w:cs="Times New Roman"/>
        </w:rPr>
        <w:t xml:space="preserve"> National Forest or Admiralty Island in particular</w:t>
      </w:r>
      <w:r w:rsidR="00CA0823">
        <w:rPr>
          <w:rFonts w:ascii="Times New Roman" w:hAnsi="Times New Roman" w:cs="Times New Roman"/>
        </w:rPr>
        <w:t>,</w:t>
      </w:r>
      <w:r>
        <w:rPr>
          <w:rFonts w:ascii="Times New Roman" w:hAnsi="Times New Roman" w:cs="Times New Roman"/>
        </w:rPr>
        <w:t xml:space="preserve"> role and value in mitigating global climate change.  </w:t>
      </w:r>
      <w:r w:rsidRPr="00CA2A99">
        <w:rPr>
          <w:rFonts w:ascii="Times New Roman" w:hAnsi="Times New Roman" w:cs="Times New Roman"/>
        </w:rPr>
        <w:t xml:space="preserve">The </w:t>
      </w:r>
      <w:proofErr w:type="spellStart"/>
      <w:r w:rsidRPr="00CA2A99">
        <w:rPr>
          <w:rFonts w:ascii="Times New Roman" w:hAnsi="Times New Roman" w:cs="Times New Roman"/>
        </w:rPr>
        <w:t>Tongass</w:t>
      </w:r>
      <w:proofErr w:type="spellEnd"/>
      <w:r w:rsidRPr="00CA2A99">
        <w:rPr>
          <w:rFonts w:ascii="Times New Roman" w:hAnsi="Times New Roman" w:cs="Times New Roman"/>
        </w:rPr>
        <w:t xml:space="preserve"> </w:t>
      </w:r>
      <w:r>
        <w:rPr>
          <w:rFonts w:ascii="Times New Roman" w:hAnsi="Times New Roman" w:cs="Times New Roman"/>
        </w:rPr>
        <w:t xml:space="preserve">sequesters </w:t>
      </w:r>
      <w:r w:rsidRPr="00CA2A99">
        <w:rPr>
          <w:rFonts w:ascii="Times New Roman" w:hAnsi="Times New Roman" w:cs="Times New Roman"/>
        </w:rPr>
        <w:t>~44% of the total carbon of the entire national forest system.</w:t>
      </w:r>
      <w:r w:rsidRPr="00CA2A99">
        <w:rPr>
          <w:rStyle w:val="FootnoteReference"/>
          <w:rFonts w:ascii="Times New Roman" w:hAnsi="Times New Roman" w:cs="Times New Roman"/>
        </w:rPr>
        <w:footnoteReference w:id="40"/>
      </w:r>
      <w:r w:rsidRPr="00CA2A99">
        <w:rPr>
          <w:rFonts w:ascii="Times New Roman" w:hAnsi="Times New Roman" w:cs="Times New Roman"/>
        </w:rPr>
        <w:t xml:space="preserve"> </w:t>
      </w:r>
      <w:r>
        <w:rPr>
          <w:rFonts w:ascii="Times New Roman" w:hAnsi="Times New Roman" w:cs="Times New Roman"/>
        </w:rPr>
        <w:t xml:space="preserve"> This is a recognized ecosystem value and should be included and protected in the final EIS.  We recommend that the values of the </w:t>
      </w:r>
      <w:proofErr w:type="spellStart"/>
      <w:r>
        <w:rPr>
          <w:rFonts w:ascii="Times New Roman" w:hAnsi="Times New Roman" w:cs="Times New Roman"/>
        </w:rPr>
        <w:t>Tongass</w:t>
      </w:r>
      <w:proofErr w:type="spellEnd"/>
      <w:r>
        <w:rPr>
          <w:rFonts w:ascii="Times New Roman" w:hAnsi="Times New Roman" w:cs="Times New Roman"/>
        </w:rPr>
        <w:t xml:space="preserve"> and Admiralty Island </w:t>
      </w:r>
      <w:r w:rsidR="00CC2E09">
        <w:rPr>
          <w:rFonts w:ascii="Times New Roman" w:hAnsi="Times New Roman" w:cs="Times New Roman"/>
        </w:rPr>
        <w:t xml:space="preserve">as carbon sinks </w:t>
      </w:r>
      <w:r>
        <w:rPr>
          <w:rFonts w:ascii="Times New Roman" w:hAnsi="Times New Roman" w:cs="Times New Roman"/>
        </w:rPr>
        <w:t>be described and measures take</w:t>
      </w:r>
      <w:r w:rsidR="00CC2E09">
        <w:rPr>
          <w:rFonts w:ascii="Times New Roman" w:hAnsi="Times New Roman" w:cs="Times New Roman"/>
        </w:rPr>
        <w:t>n</w:t>
      </w:r>
      <w:r>
        <w:rPr>
          <w:rFonts w:ascii="Times New Roman" w:hAnsi="Times New Roman" w:cs="Times New Roman"/>
        </w:rPr>
        <w:t xml:space="preserve"> to avoid, minimize and mitigate any damage to this globally significant treasure.</w:t>
      </w:r>
    </w:p>
    <w:p w14:paraId="7548795C" w14:textId="77777777" w:rsidR="00CA0823" w:rsidRDefault="00CA0823" w:rsidP="007B6984">
      <w:pPr>
        <w:pStyle w:val="Default"/>
        <w:spacing w:line="276" w:lineRule="auto"/>
        <w:rPr>
          <w:rFonts w:ascii="Times New Roman" w:hAnsi="Times New Roman" w:cs="Times New Roman"/>
        </w:rPr>
      </w:pPr>
    </w:p>
    <w:p w14:paraId="49626F5C" w14:textId="070BBB15" w:rsidR="00CA0823" w:rsidRDefault="00CA0823" w:rsidP="007B6984">
      <w:pPr>
        <w:pStyle w:val="Default"/>
        <w:spacing w:line="276" w:lineRule="auto"/>
        <w:rPr>
          <w:rFonts w:ascii="Times New Roman" w:hAnsi="Times New Roman" w:cs="Times New Roman"/>
        </w:rPr>
      </w:pPr>
      <w:r>
        <w:rPr>
          <w:rFonts w:ascii="Times New Roman" w:hAnsi="Times New Roman" w:cs="Times New Roman"/>
        </w:rPr>
        <w:t xml:space="preserve">3.2.1.7 at 3-13. Dust Deposition. </w:t>
      </w:r>
      <w:r w:rsidRPr="00CA0823">
        <w:rPr>
          <w:rFonts w:ascii="Times New Roman" w:hAnsi="Times New Roman" w:cs="Times New Roman"/>
        </w:rPr>
        <w:t>“ADC deposition data do not provide quantitative measurements of pollutant loading to the environment due to limitations of the ADC sampler, but are used to understand the direction and distance fugitive dust may travel, providing relative comparisons between sites and allowing evaluation of general trends over time (HGCMC 2020a).</w:t>
      </w:r>
      <w:r w:rsidR="00CC2E09">
        <w:rPr>
          <w:rFonts w:ascii="Times New Roman" w:hAnsi="Times New Roman" w:cs="Times New Roman"/>
        </w:rPr>
        <w:t>”</w:t>
      </w:r>
      <w:r>
        <w:rPr>
          <w:rFonts w:ascii="Times New Roman" w:hAnsi="Times New Roman" w:cs="Times New Roman"/>
        </w:rPr>
        <w:t xml:space="preserve"> The ADC system does not provide data on the distance dust travels since there are no monitoring stations anywhere near the outward extent of the dust spread.  Please correct.  The Forest Service must mandate dust collection equipment that does provide </w:t>
      </w:r>
      <w:r w:rsidRPr="00CA0823">
        <w:rPr>
          <w:rFonts w:ascii="Times New Roman" w:hAnsi="Times New Roman" w:cs="Times New Roman"/>
        </w:rPr>
        <w:t>quantitative measurements</w:t>
      </w:r>
      <w:r>
        <w:rPr>
          <w:rFonts w:ascii="Times New Roman" w:hAnsi="Times New Roman" w:cs="Times New Roman"/>
        </w:rPr>
        <w:t>.  Placement must cover the expected range out to background or non-detectable levels.</w:t>
      </w:r>
    </w:p>
    <w:p w14:paraId="49C22484" w14:textId="77777777" w:rsidR="00AC6730" w:rsidRDefault="00AC6730" w:rsidP="007B6984">
      <w:pPr>
        <w:pStyle w:val="Default"/>
        <w:spacing w:line="276" w:lineRule="auto"/>
        <w:rPr>
          <w:rFonts w:ascii="Times New Roman" w:hAnsi="Times New Roman" w:cs="Times New Roman"/>
        </w:rPr>
      </w:pPr>
    </w:p>
    <w:p w14:paraId="711118A9" w14:textId="77777777" w:rsidR="009B4E51" w:rsidRDefault="00AC6730" w:rsidP="007B6984">
      <w:pPr>
        <w:pStyle w:val="Default"/>
        <w:spacing w:line="276" w:lineRule="auto"/>
        <w:rPr>
          <w:rFonts w:ascii="Times New Roman" w:hAnsi="Times New Roman" w:cs="Times New Roman"/>
        </w:rPr>
      </w:pPr>
      <w:r>
        <w:rPr>
          <w:rFonts w:ascii="Times New Roman" w:hAnsi="Times New Roman" w:cs="Times New Roman"/>
        </w:rPr>
        <w:t xml:space="preserve">3.5.2.2 at 3-77. </w:t>
      </w:r>
      <w:r w:rsidRPr="00AC6730">
        <w:rPr>
          <w:rFonts w:ascii="Times New Roman" w:hAnsi="Times New Roman" w:cs="Times New Roman"/>
        </w:rPr>
        <w:t>“Fugitive dust modeling results suggests that a small volume of fugitive dust is deposited directly into Hawk Inlet (Figure 3.2-2). Water quality monitoring, shown in Table 3.5-8, does not indicate AWQS exceedances due to fugitive dust.”</w:t>
      </w:r>
      <w:r>
        <w:rPr>
          <w:rFonts w:ascii="Times New Roman" w:hAnsi="Times New Roman" w:cs="Times New Roman"/>
        </w:rPr>
        <w:t xml:space="preserve">  This explanation is inadequate and shows a serious </w:t>
      </w:r>
      <w:r>
        <w:rPr>
          <w:rFonts w:ascii="Times New Roman" w:hAnsi="Times New Roman" w:cs="Times New Roman"/>
        </w:rPr>
        <w:lastRenderedPageBreak/>
        <w:t xml:space="preserve">lack of </w:t>
      </w:r>
      <w:r w:rsidR="009B4E51">
        <w:rPr>
          <w:rFonts w:ascii="Times New Roman" w:hAnsi="Times New Roman" w:cs="Times New Roman"/>
        </w:rPr>
        <w:t>knowledge on the fate and transport of heavy metals. Lead from fugitive dust would be deposited in the form of Total metals, in its elemental form.  For lead to be detectable in water quality sampling it would have to be in its dissolved form.</w:t>
      </w:r>
    </w:p>
    <w:p w14:paraId="71DCA87C" w14:textId="77777777" w:rsidR="009B4E51" w:rsidRDefault="009B4E51" w:rsidP="007B6984">
      <w:pPr>
        <w:pStyle w:val="Default"/>
        <w:spacing w:line="276" w:lineRule="auto"/>
        <w:rPr>
          <w:rFonts w:ascii="Times New Roman" w:hAnsi="Times New Roman" w:cs="Times New Roman"/>
        </w:rPr>
      </w:pPr>
    </w:p>
    <w:p w14:paraId="69424B8D" w14:textId="0725CE97" w:rsidR="0024029C" w:rsidRPr="001F5135" w:rsidRDefault="009B4E51" w:rsidP="001F5135">
      <w:pPr>
        <w:pStyle w:val="Default"/>
        <w:spacing w:line="276" w:lineRule="auto"/>
        <w:rPr>
          <w:rFonts w:ascii="Times New Roman" w:hAnsi="Times New Roman" w:cs="Times New Roman"/>
          <w:color w:val="2E2E2E"/>
        </w:rPr>
      </w:pPr>
      <w:r w:rsidRPr="001F5135">
        <w:rPr>
          <w:rFonts w:ascii="Times New Roman" w:hAnsi="Times New Roman" w:cs="Times New Roman"/>
          <w:color w:val="2E2E2E"/>
        </w:rPr>
        <w:t>The pollution of terrestrial and </w:t>
      </w:r>
      <w:hyperlink r:id="rId11" w:tooltip="Learn more about aquatic ecosystems from ScienceDirect's AI-generated Topic Pages" w:history="1">
        <w:r w:rsidRPr="001F5135">
          <w:rPr>
            <w:rFonts w:ascii="Times New Roman" w:hAnsi="Times New Roman" w:cs="Times New Roman"/>
            <w:color w:val="2E2E2E"/>
          </w:rPr>
          <w:t>aquatic ecosystems</w:t>
        </w:r>
      </w:hyperlink>
      <w:r w:rsidRPr="001F5135">
        <w:rPr>
          <w:rFonts w:ascii="Times New Roman" w:hAnsi="Times New Roman" w:cs="Times New Roman"/>
          <w:color w:val="2E2E2E"/>
        </w:rPr>
        <w:t> with toxic heavy metals is a major environmental concern that has consequences for public health. Most heavy metals occur naturally, but a few are derived from anthropogenic sources. Heavy metals are characterized by their high atomic mass and toxicity to living organisms. Most heavy metals cause environmental and atmospheric pollution, and may be lethal to humans. Heavy metals can become strongly toxic by mixing with different environmental elements, such as water, soil, and air, and humans and other living organisms can be exposed to them through the food chain.  Heavy metals are not flushed with tidal cycles</w:t>
      </w:r>
      <w:r w:rsidR="00CC2E09">
        <w:rPr>
          <w:rFonts w:ascii="Times New Roman" w:hAnsi="Times New Roman" w:cs="Times New Roman"/>
          <w:color w:val="2E2E2E"/>
        </w:rPr>
        <w:t>.  T</w:t>
      </w:r>
      <w:r w:rsidRPr="001F5135">
        <w:rPr>
          <w:rFonts w:ascii="Times New Roman" w:hAnsi="Times New Roman" w:cs="Times New Roman"/>
          <w:color w:val="2E2E2E"/>
        </w:rPr>
        <w:t xml:space="preserve">hey compound with carbon or other organic material or are depredated in sediments.  Heavy metals are not diluted out, they </w:t>
      </w:r>
      <w:proofErr w:type="spellStart"/>
      <w:r w:rsidRPr="001F5135">
        <w:rPr>
          <w:rFonts w:ascii="Times New Roman" w:hAnsi="Times New Roman" w:cs="Times New Roman"/>
          <w:color w:val="2E2E2E"/>
        </w:rPr>
        <w:t>biomagnify</w:t>
      </w:r>
      <w:proofErr w:type="spellEnd"/>
      <w:r w:rsidRPr="001F5135">
        <w:rPr>
          <w:rFonts w:ascii="Times New Roman" w:hAnsi="Times New Roman" w:cs="Times New Roman"/>
          <w:color w:val="2E2E2E"/>
        </w:rPr>
        <w:t>.   There is a plethora of evidence on this subject.  It is not up to the public to provide this information.  This entire section needs to be re-done.  If this were an assignment I gave to an 8</w:t>
      </w:r>
      <w:r w:rsidRPr="001F5135">
        <w:rPr>
          <w:rFonts w:ascii="Times New Roman" w:hAnsi="Times New Roman" w:cs="Times New Roman"/>
          <w:color w:val="2E2E2E"/>
          <w:vertAlign w:val="superscript"/>
        </w:rPr>
        <w:t>th</w:t>
      </w:r>
      <w:r w:rsidRPr="001F5135">
        <w:rPr>
          <w:rFonts w:ascii="Times New Roman" w:hAnsi="Times New Roman" w:cs="Times New Roman"/>
          <w:color w:val="2E2E2E"/>
        </w:rPr>
        <w:t xml:space="preserve"> grade life science student, I would give this section D-.</w:t>
      </w:r>
    </w:p>
    <w:p w14:paraId="3C7F7D9F" w14:textId="77777777" w:rsidR="004F2185" w:rsidRPr="001F5135" w:rsidRDefault="004F2185" w:rsidP="001F5135">
      <w:pPr>
        <w:pStyle w:val="Default"/>
        <w:spacing w:line="276" w:lineRule="auto"/>
        <w:ind w:left="720"/>
        <w:rPr>
          <w:rFonts w:ascii="Times New Roman" w:hAnsi="Times New Roman" w:cs="Times New Roman"/>
          <w:color w:val="2E2E2E"/>
        </w:rPr>
      </w:pPr>
    </w:p>
    <w:p w14:paraId="49CC3788" w14:textId="4FF399A5" w:rsidR="004F2185" w:rsidRDefault="004F2185" w:rsidP="009B4E51">
      <w:pPr>
        <w:pStyle w:val="Default"/>
        <w:spacing w:line="276" w:lineRule="auto"/>
        <w:ind w:left="720"/>
        <w:rPr>
          <w:rFonts w:ascii="Times New Roman" w:hAnsi="Times New Roman" w:cs="Times New Roman"/>
        </w:rPr>
      </w:pPr>
      <w:r>
        <w:rPr>
          <w:rFonts w:ascii="Georgia" w:hAnsi="Georgia" w:cstheme="minorBidi"/>
          <w:color w:val="2E2E2E"/>
          <w:sz w:val="22"/>
          <w:szCs w:val="22"/>
        </w:rPr>
        <w:t xml:space="preserve">Water management at 3-77.  This section omits any uncertainty analysis based on climate change as requested in Scoping comments. </w:t>
      </w:r>
      <w:r w:rsidRPr="004F2185">
        <w:rPr>
          <w:rFonts w:ascii="Times New Roman" w:hAnsi="Times New Roman" w:cs="Times New Roman"/>
        </w:rPr>
        <w:t>25-year, 24-hour duration storm event</w:t>
      </w:r>
      <w:r>
        <w:rPr>
          <w:rFonts w:ascii="Times New Roman" w:hAnsi="Times New Roman" w:cs="Times New Roman"/>
        </w:rPr>
        <w:t xml:space="preserve">s are no longer predictable.  Please provide some measurement of uncertainty or range of </w:t>
      </w:r>
      <w:r w:rsidR="00CC2E09">
        <w:rPr>
          <w:rFonts w:ascii="Times New Roman" w:hAnsi="Times New Roman" w:cs="Times New Roman"/>
        </w:rPr>
        <w:t xml:space="preserve">probability for </w:t>
      </w:r>
      <w:r>
        <w:rPr>
          <w:rFonts w:ascii="Times New Roman" w:hAnsi="Times New Roman" w:cs="Times New Roman"/>
        </w:rPr>
        <w:t xml:space="preserve">these predictions. </w:t>
      </w:r>
    </w:p>
    <w:p w14:paraId="66B20FF1" w14:textId="77777777" w:rsidR="004F2185" w:rsidRDefault="004F2185" w:rsidP="009B4E51">
      <w:pPr>
        <w:pStyle w:val="Default"/>
        <w:spacing w:line="276" w:lineRule="auto"/>
        <w:ind w:left="720"/>
        <w:rPr>
          <w:rFonts w:ascii="Times New Roman" w:hAnsi="Times New Roman" w:cs="Times New Roman"/>
        </w:rPr>
      </w:pPr>
    </w:p>
    <w:p w14:paraId="093986F3" w14:textId="25467658" w:rsidR="004F2185" w:rsidRDefault="004F2185" w:rsidP="009B4E51">
      <w:pPr>
        <w:pStyle w:val="Default"/>
        <w:spacing w:line="276" w:lineRule="auto"/>
        <w:ind w:left="720"/>
        <w:rPr>
          <w:rFonts w:ascii="Times New Roman" w:hAnsi="Times New Roman" w:cs="Times New Roman"/>
        </w:rPr>
      </w:pPr>
      <w:r>
        <w:rPr>
          <w:rFonts w:ascii="Times New Roman" w:hAnsi="Times New Roman" w:cs="Times New Roman"/>
        </w:rPr>
        <w:t>These last 4 comments relate to all 5 alternatives.</w:t>
      </w:r>
    </w:p>
    <w:p w14:paraId="226DD8A2" w14:textId="77777777" w:rsidR="004F2185" w:rsidRDefault="004F2185" w:rsidP="009B4E51">
      <w:pPr>
        <w:pStyle w:val="Default"/>
        <w:spacing w:line="276" w:lineRule="auto"/>
        <w:ind w:left="720"/>
        <w:rPr>
          <w:rFonts w:ascii="Times New Roman" w:hAnsi="Times New Roman" w:cs="Times New Roman"/>
        </w:rPr>
      </w:pPr>
    </w:p>
    <w:p w14:paraId="7F1E7E35" w14:textId="028AF150" w:rsidR="008A1B8D" w:rsidRPr="007B6984" w:rsidRDefault="007B6984" w:rsidP="0061385D">
      <w:pPr>
        <w:shd w:val="clear" w:color="auto" w:fill="FFFFFF"/>
        <w:spacing w:after="0" w:line="276" w:lineRule="auto"/>
        <w:rPr>
          <w:rFonts w:ascii="Times New Roman" w:eastAsia="Times New Roman" w:hAnsi="Times New Roman" w:cs="Times New Roman"/>
          <w:color w:val="222222"/>
          <w:sz w:val="24"/>
          <w:szCs w:val="24"/>
        </w:rPr>
      </w:pPr>
      <w:r w:rsidRPr="007B6984">
        <w:rPr>
          <w:rFonts w:ascii="Times New Roman" w:hAnsi="Times New Roman" w:cs="Times New Roman"/>
          <w:sz w:val="24"/>
          <w:szCs w:val="24"/>
        </w:rPr>
        <w:t>3.16 at 3-264 Subsistence</w:t>
      </w:r>
      <w:r>
        <w:rPr>
          <w:rFonts w:ascii="Times New Roman" w:hAnsi="Times New Roman" w:cs="Times New Roman"/>
          <w:sz w:val="24"/>
          <w:szCs w:val="24"/>
        </w:rPr>
        <w:t>.  The section notes that a survey of the community result</w:t>
      </w:r>
      <w:r w:rsidR="00CC2E09">
        <w:rPr>
          <w:rFonts w:ascii="Times New Roman" w:hAnsi="Times New Roman" w:cs="Times New Roman"/>
          <w:sz w:val="24"/>
          <w:szCs w:val="24"/>
        </w:rPr>
        <w:t>ed</w:t>
      </w:r>
      <w:r>
        <w:rPr>
          <w:rFonts w:ascii="Times New Roman" w:hAnsi="Times New Roman" w:cs="Times New Roman"/>
          <w:sz w:val="24"/>
          <w:szCs w:val="24"/>
        </w:rPr>
        <w:t xml:space="preserve"> in ask</w:t>
      </w:r>
      <w:r w:rsidR="00CC2E09">
        <w:rPr>
          <w:rFonts w:ascii="Times New Roman" w:hAnsi="Times New Roman" w:cs="Times New Roman"/>
          <w:sz w:val="24"/>
          <w:szCs w:val="24"/>
        </w:rPr>
        <w:t>s</w:t>
      </w:r>
      <w:r>
        <w:rPr>
          <w:rFonts w:ascii="Times New Roman" w:hAnsi="Times New Roman" w:cs="Times New Roman"/>
          <w:sz w:val="24"/>
          <w:szCs w:val="24"/>
        </w:rPr>
        <w:t xml:space="preserve"> to repeat the 1981 baseline studies.  The Forest Service refused.  </w:t>
      </w:r>
      <w:r w:rsidRPr="007B6984">
        <w:rPr>
          <w:rFonts w:ascii="Times New Roman" w:hAnsi="Times New Roman" w:cs="Times New Roman"/>
          <w:i/>
          <w:iCs/>
          <w:sz w:val="24"/>
          <w:szCs w:val="24"/>
        </w:rPr>
        <w:t>See</w:t>
      </w:r>
      <w:r>
        <w:rPr>
          <w:rFonts w:ascii="Times New Roman" w:hAnsi="Times New Roman" w:cs="Times New Roman"/>
          <w:i/>
          <w:iCs/>
          <w:sz w:val="24"/>
          <w:szCs w:val="24"/>
        </w:rPr>
        <w:t>,</w:t>
      </w:r>
      <w:r>
        <w:rPr>
          <w:rFonts w:ascii="Times New Roman" w:hAnsi="Times New Roman" w:cs="Times New Roman"/>
          <w:sz w:val="24"/>
          <w:szCs w:val="24"/>
        </w:rPr>
        <w:t xml:space="preserve"> comments at VI.  Please explain where in the duty to consult with federally recognized Tribes it is the Forest Service’s prerogative to ignore the Tribes’ concerns on subsistence.  Subsistence is a cultural activity.  The </w:t>
      </w:r>
      <w:r w:rsidR="00CC2E09">
        <w:rPr>
          <w:rFonts w:ascii="Times New Roman" w:hAnsi="Times New Roman" w:cs="Times New Roman"/>
          <w:sz w:val="24"/>
          <w:szCs w:val="24"/>
        </w:rPr>
        <w:t>F</w:t>
      </w:r>
      <w:r>
        <w:rPr>
          <w:rFonts w:ascii="Times New Roman" w:hAnsi="Times New Roman" w:cs="Times New Roman"/>
          <w:sz w:val="24"/>
          <w:szCs w:val="24"/>
        </w:rPr>
        <w:t xml:space="preserve">orest Service had a choice, repeat the 1981 baseline, or conduct a new study.  To minimize the concerns of the community </w:t>
      </w:r>
      <w:r w:rsidR="00CC2E09">
        <w:rPr>
          <w:rFonts w:ascii="Times New Roman" w:hAnsi="Times New Roman" w:cs="Times New Roman"/>
          <w:sz w:val="24"/>
          <w:szCs w:val="24"/>
        </w:rPr>
        <w:t>and refuse either remedy w</w:t>
      </w:r>
      <w:r>
        <w:rPr>
          <w:rFonts w:ascii="Times New Roman" w:hAnsi="Times New Roman" w:cs="Times New Roman"/>
          <w:sz w:val="24"/>
          <w:szCs w:val="24"/>
        </w:rPr>
        <w:t xml:space="preserve">as not an option.  In doing so, the Forest Service has impacted the community’s ability and opportunity for cultural practices.  It is the burning of smoke houses all over again. </w:t>
      </w:r>
    </w:p>
    <w:p w14:paraId="08D7F18C" w14:textId="77777777" w:rsidR="0061385D" w:rsidRDefault="0061385D" w:rsidP="0061385D">
      <w:pPr>
        <w:shd w:val="clear" w:color="auto" w:fill="FFFFFF"/>
        <w:spacing w:after="0" w:line="276" w:lineRule="auto"/>
        <w:rPr>
          <w:rFonts w:ascii="Times New Roman" w:eastAsia="Times New Roman" w:hAnsi="Times New Roman" w:cs="Times New Roman"/>
          <w:color w:val="222222"/>
          <w:sz w:val="24"/>
          <w:szCs w:val="24"/>
        </w:rPr>
      </w:pPr>
    </w:p>
    <w:p w14:paraId="6F8CF6AD" w14:textId="00D016B5" w:rsidR="007B6984" w:rsidRDefault="007B6984" w:rsidP="0061385D">
      <w:pPr>
        <w:shd w:val="clear" w:color="auto" w:fill="FFFFFF"/>
        <w:spacing w:after="0" w:line="276" w:lineRule="auto"/>
        <w:rPr>
          <w:rFonts w:ascii="Times New Roman" w:hAnsi="Times New Roman" w:cs="Times New Roman"/>
          <w:sz w:val="24"/>
          <w:szCs w:val="24"/>
        </w:rPr>
      </w:pPr>
      <w:r w:rsidRPr="007B6984">
        <w:rPr>
          <w:rFonts w:ascii="Times New Roman" w:hAnsi="Times New Roman" w:cs="Times New Roman"/>
          <w:sz w:val="24"/>
          <w:szCs w:val="24"/>
        </w:rPr>
        <w:t xml:space="preserve">3.16.1.3 at </w:t>
      </w:r>
      <w:r>
        <w:rPr>
          <w:rFonts w:ascii="Times New Roman" w:hAnsi="Times New Roman" w:cs="Times New Roman"/>
          <w:sz w:val="24"/>
          <w:szCs w:val="24"/>
        </w:rPr>
        <w:t xml:space="preserve">3-265. </w:t>
      </w:r>
      <w:r w:rsidRPr="001F5135">
        <w:rPr>
          <w:rFonts w:ascii="Times New Roman" w:hAnsi="Times New Roman" w:cs="Times New Roman"/>
          <w:sz w:val="24"/>
          <w:szCs w:val="24"/>
        </w:rPr>
        <w:t>“</w:t>
      </w:r>
      <w:r w:rsidR="001F5135" w:rsidRPr="001F5135">
        <w:rPr>
          <w:rFonts w:ascii="Times New Roman" w:hAnsi="Times New Roman" w:cs="Times New Roman"/>
          <w:sz w:val="24"/>
          <w:szCs w:val="24"/>
        </w:rPr>
        <w:t xml:space="preserve">Residents of Angoon historically used Hawk </w:t>
      </w:r>
      <w:r w:rsidRPr="001F5135">
        <w:rPr>
          <w:rFonts w:ascii="Times New Roman" w:hAnsi="Times New Roman" w:cs="Times New Roman"/>
          <w:sz w:val="24"/>
          <w:szCs w:val="24"/>
        </w:rPr>
        <w:t>Inlet more frequently before the 1970s for deer hunting and shellfish harvesting. Since then and currently, residents occasionally use Hawk Inlet for subsistence purposes, but to a much lesser degree than in the past</w:t>
      </w:r>
      <w:r w:rsidR="001F5135" w:rsidRPr="001F5135">
        <w:rPr>
          <w:rFonts w:ascii="Times New Roman" w:hAnsi="Times New Roman" w:cs="Times New Roman"/>
          <w:sz w:val="24"/>
          <w:szCs w:val="24"/>
        </w:rPr>
        <w:t>.”</w:t>
      </w:r>
      <w:r w:rsidR="001F5135">
        <w:rPr>
          <w:rFonts w:ascii="Times New Roman" w:hAnsi="Times New Roman" w:cs="Times New Roman"/>
          <w:sz w:val="24"/>
          <w:szCs w:val="24"/>
        </w:rPr>
        <w:t xml:space="preserve">  The reason given; closure of the cannery is not supported by any testimony.  As with much of the 20</w:t>
      </w:r>
      <w:r w:rsidR="00CC2E09">
        <w:rPr>
          <w:rFonts w:ascii="Times New Roman" w:hAnsi="Times New Roman" w:cs="Times New Roman"/>
          <w:sz w:val="24"/>
          <w:szCs w:val="24"/>
        </w:rPr>
        <w:t>2</w:t>
      </w:r>
      <w:r w:rsidR="001F5135">
        <w:rPr>
          <w:rFonts w:ascii="Times New Roman" w:hAnsi="Times New Roman" w:cs="Times New Roman"/>
          <w:sz w:val="24"/>
          <w:szCs w:val="24"/>
        </w:rPr>
        <w:t xml:space="preserve">3 </w:t>
      </w:r>
      <w:proofErr w:type="spellStart"/>
      <w:r w:rsidR="001F5135">
        <w:rPr>
          <w:rFonts w:ascii="Times New Roman" w:hAnsi="Times New Roman" w:cs="Times New Roman"/>
          <w:sz w:val="24"/>
          <w:szCs w:val="24"/>
        </w:rPr>
        <w:t>dSEIS</w:t>
      </w:r>
      <w:proofErr w:type="spellEnd"/>
      <w:r w:rsidR="001F5135">
        <w:rPr>
          <w:rFonts w:ascii="Times New Roman" w:hAnsi="Times New Roman" w:cs="Times New Roman"/>
          <w:sz w:val="24"/>
          <w:szCs w:val="24"/>
        </w:rPr>
        <w:t>, it is pure conjecture.  Please included any testimony from residents of Angoon or Hoonah to support this conclusion or omit it.</w:t>
      </w:r>
    </w:p>
    <w:p w14:paraId="32003383" w14:textId="77777777" w:rsidR="00806430" w:rsidRDefault="00806430" w:rsidP="0061385D">
      <w:pPr>
        <w:shd w:val="clear" w:color="auto" w:fill="FFFFFF"/>
        <w:spacing w:after="0" w:line="276" w:lineRule="auto"/>
        <w:rPr>
          <w:rFonts w:ascii="Times New Roman" w:hAnsi="Times New Roman" w:cs="Times New Roman"/>
          <w:sz w:val="24"/>
          <w:szCs w:val="24"/>
        </w:rPr>
      </w:pPr>
    </w:p>
    <w:p w14:paraId="3C0F523D" w14:textId="1284130F" w:rsidR="00806430" w:rsidRDefault="00806430" w:rsidP="0061385D">
      <w:pPr>
        <w:shd w:val="clear" w:color="auto" w:fill="FFFFFF"/>
        <w:spacing w:after="0" w:line="276" w:lineRule="auto"/>
        <w:rPr>
          <w:rFonts w:ascii="Times New Roman" w:hAnsi="Times New Roman" w:cs="Times New Roman"/>
          <w:sz w:val="24"/>
          <w:szCs w:val="24"/>
        </w:rPr>
      </w:pPr>
      <w:r>
        <w:rPr>
          <w:rFonts w:ascii="Times New Roman" w:hAnsi="Times New Roman" w:cs="Times New Roman"/>
          <w:sz w:val="24"/>
          <w:szCs w:val="24"/>
        </w:rPr>
        <w:t>Thank you for the opportunity to submit these comments.</w:t>
      </w:r>
    </w:p>
    <w:p w14:paraId="5EA63D64" w14:textId="77777777" w:rsidR="00806430" w:rsidRDefault="00806430" w:rsidP="0061385D">
      <w:pPr>
        <w:shd w:val="clear" w:color="auto" w:fill="FFFFFF"/>
        <w:spacing w:after="0" w:line="276" w:lineRule="auto"/>
        <w:rPr>
          <w:rFonts w:ascii="Times New Roman" w:hAnsi="Times New Roman" w:cs="Times New Roman"/>
          <w:sz w:val="24"/>
          <w:szCs w:val="24"/>
        </w:rPr>
      </w:pPr>
    </w:p>
    <w:p w14:paraId="272947C6" w14:textId="77777777" w:rsidR="00806430" w:rsidRDefault="00806430" w:rsidP="0061385D">
      <w:pPr>
        <w:shd w:val="clear" w:color="auto" w:fill="FFFFFF"/>
        <w:spacing w:after="0" w:line="276" w:lineRule="auto"/>
        <w:rPr>
          <w:rFonts w:ascii="Times New Roman" w:hAnsi="Times New Roman" w:cs="Times New Roman"/>
          <w:sz w:val="24"/>
          <w:szCs w:val="24"/>
        </w:rPr>
      </w:pPr>
    </w:p>
    <w:p w14:paraId="7917BF4A" w14:textId="05A4915E" w:rsidR="00806430" w:rsidRDefault="00806430" w:rsidP="0061385D">
      <w:pPr>
        <w:shd w:val="clear" w:color="auto" w:fill="FFFFFF"/>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_______________________________  </w:t>
      </w:r>
    </w:p>
    <w:p w14:paraId="0804804E" w14:textId="7C74899F" w:rsidR="00806430" w:rsidRPr="007B6984" w:rsidRDefault="00806430" w:rsidP="0061385D">
      <w:pPr>
        <w:shd w:val="clear" w:color="auto" w:fill="FFFFFF"/>
        <w:spacing w:after="0" w:line="276" w:lineRule="auto"/>
        <w:rPr>
          <w:rFonts w:ascii="Times New Roman" w:eastAsia="Times New Roman" w:hAnsi="Times New Roman" w:cs="Times New Roman"/>
          <w:color w:val="222222"/>
          <w:sz w:val="24"/>
          <w:szCs w:val="24"/>
        </w:rPr>
      </w:pPr>
      <w:r>
        <w:rPr>
          <w:rFonts w:ascii="Times New Roman" w:hAnsi="Times New Roman" w:cs="Times New Roman"/>
          <w:sz w:val="24"/>
          <w:szCs w:val="24"/>
        </w:rPr>
        <w:t>Friends of Admiralty Island</w:t>
      </w:r>
    </w:p>
    <w:sectPr w:rsidR="00806430" w:rsidRPr="007B6984" w:rsidSect="00F30935">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D7262" w14:textId="77777777" w:rsidR="00D80C59" w:rsidRDefault="00D80C59" w:rsidP="000016DC">
      <w:pPr>
        <w:spacing w:after="0" w:line="240" w:lineRule="auto"/>
      </w:pPr>
      <w:r>
        <w:separator/>
      </w:r>
    </w:p>
  </w:endnote>
  <w:endnote w:type="continuationSeparator" w:id="0">
    <w:p w14:paraId="76416D48" w14:textId="77777777" w:rsidR="00D80C59" w:rsidRDefault="00D80C59" w:rsidP="0000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486521"/>
      <w:docPartObj>
        <w:docPartGallery w:val="Page Numbers (Bottom of Page)"/>
        <w:docPartUnique/>
      </w:docPartObj>
    </w:sdtPr>
    <w:sdtEndPr>
      <w:rPr>
        <w:noProof/>
      </w:rPr>
    </w:sdtEndPr>
    <w:sdtContent>
      <w:p w14:paraId="06BF46A9" w14:textId="34D9A5A9" w:rsidR="00EC0BD9" w:rsidRDefault="00EC0B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590DE" w14:textId="77777777" w:rsidR="00EC0BD9" w:rsidRDefault="00EC0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F1F03" w14:textId="77777777" w:rsidR="00D80C59" w:rsidRDefault="00D80C59" w:rsidP="000016DC">
      <w:pPr>
        <w:spacing w:after="0" w:line="240" w:lineRule="auto"/>
      </w:pPr>
      <w:r>
        <w:separator/>
      </w:r>
    </w:p>
  </w:footnote>
  <w:footnote w:type="continuationSeparator" w:id="0">
    <w:p w14:paraId="22CA362D" w14:textId="77777777" w:rsidR="00D80C59" w:rsidRDefault="00D80C59" w:rsidP="000016DC">
      <w:pPr>
        <w:spacing w:after="0" w:line="240" w:lineRule="auto"/>
      </w:pPr>
      <w:r>
        <w:continuationSeparator/>
      </w:r>
    </w:p>
  </w:footnote>
  <w:footnote w:id="1">
    <w:p w14:paraId="029AC97D" w14:textId="680F6375" w:rsidR="00D46FD3" w:rsidRPr="009A17AA" w:rsidRDefault="00D46FD3">
      <w:pPr>
        <w:pStyle w:val="FootnoteText"/>
        <w:rPr>
          <w:rFonts w:ascii="Times New Roman" w:hAnsi="Times New Roman" w:cs="Times New Roman"/>
        </w:rPr>
      </w:pPr>
      <w:r w:rsidRPr="009A17AA">
        <w:rPr>
          <w:rStyle w:val="FootnoteReference"/>
          <w:rFonts w:ascii="Times New Roman" w:hAnsi="Times New Roman" w:cs="Times New Roman"/>
        </w:rPr>
        <w:footnoteRef/>
      </w:r>
      <w:r w:rsidRPr="009A17AA">
        <w:rPr>
          <w:rFonts w:ascii="Times New Roman" w:hAnsi="Times New Roman" w:cs="Times New Roman"/>
        </w:rPr>
        <w:t xml:space="preserve"> Itself removing almost 600,000 cubic feet (13,200 square feet times an average of 45 feet deep) from the aquatic life criteria protections in the form of a mixing zone in the waters of Hawk Inlet.</w:t>
      </w:r>
    </w:p>
  </w:footnote>
  <w:footnote w:id="2">
    <w:p w14:paraId="259BB2BB" w14:textId="12F1CE1C" w:rsidR="00F940E0" w:rsidRPr="00F940E0" w:rsidRDefault="00F940E0" w:rsidP="00F940E0">
      <w:pPr>
        <w:pStyle w:val="Heading1"/>
        <w:shd w:val="clear" w:color="auto" w:fill="FFFFFF"/>
        <w:rPr>
          <w:rFonts w:ascii="Times New Roman" w:hAnsi="Times New Roman" w:cs="Times New Roman"/>
          <w:color w:val="auto"/>
          <w:sz w:val="20"/>
          <w:szCs w:val="20"/>
        </w:rPr>
      </w:pPr>
      <w:r w:rsidRPr="00F940E0">
        <w:rPr>
          <w:rStyle w:val="FootnoteReference"/>
          <w:rFonts w:ascii="Times New Roman" w:hAnsi="Times New Roman" w:cs="Times New Roman"/>
          <w:sz w:val="20"/>
          <w:szCs w:val="20"/>
        </w:rPr>
        <w:footnoteRef/>
      </w:r>
      <w:r w:rsidRPr="00F940E0">
        <w:rPr>
          <w:rFonts w:ascii="Times New Roman" w:hAnsi="Times New Roman" w:cs="Times New Roman"/>
          <w:sz w:val="20"/>
          <w:szCs w:val="20"/>
        </w:rPr>
        <w:t xml:space="preserve"> </w:t>
      </w:r>
      <w:hyperlink r:id="rId1" w:tooltip="Susanne Pettersson" w:history="1">
        <w:r w:rsidRPr="00F940E0">
          <w:rPr>
            <w:rStyle w:val="Hyperlink"/>
            <w:rFonts w:ascii="Times New Roman" w:hAnsi="Times New Roman" w:cs="Times New Roman"/>
            <w:color w:val="000000"/>
            <w:sz w:val="20"/>
            <w:szCs w:val="20"/>
            <w:u w:val="none"/>
          </w:rPr>
          <w:t xml:space="preserve"> </w:t>
        </w:r>
        <w:proofErr w:type="spellStart"/>
        <w:r w:rsidRPr="00F940E0">
          <w:rPr>
            <w:rStyle w:val="Hyperlink"/>
            <w:rFonts w:ascii="Times New Roman" w:hAnsi="Times New Roman" w:cs="Times New Roman"/>
            <w:color w:val="000000"/>
            <w:sz w:val="20"/>
            <w:szCs w:val="20"/>
            <w:u w:val="none"/>
          </w:rPr>
          <w:t>Pettersson</w:t>
        </w:r>
        <w:proofErr w:type="spellEnd"/>
      </w:hyperlink>
      <w:r>
        <w:rPr>
          <w:rFonts w:ascii="Times New Roman" w:hAnsi="Times New Roman" w:cs="Times New Roman"/>
          <w:color w:val="333132"/>
          <w:sz w:val="20"/>
          <w:szCs w:val="20"/>
        </w:rPr>
        <w:t xml:space="preserve">, </w:t>
      </w:r>
      <w:r w:rsidRPr="00F940E0">
        <w:rPr>
          <w:rFonts w:ascii="Times New Roman" w:hAnsi="Times New Roman" w:cs="Times New Roman"/>
          <w:color w:val="333132"/>
          <w:sz w:val="20"/>
          <w:szCs w:val="20"/>
        </w:rPr>
        <w:t>Susanne</w:t>
      </w:r>
      <w:r>
        <w:rPr>
          <w:rFonts w:ascii="Times New Roman" w:hAnsi="Times New Roman" w:cs="Times New Roman"/>
          <w:color w:val="333132"/>
          <w:sz w:val="20"/>
          <w:szCs w:val="20"/>
        </w:rPr>
        <w:t>. V.M. Savage and M. N. Jacobi</w:t>
      </w:r>
      <w:r w:rsidRPr="00F940E0">
        <w:rPr>
          <w:rFonts w:ascii="Times New Roman" w:hAnsi="Times New Roman" w:cs="Times New Roman"/>
          <w:color w:val="333132"/>
          <w:sz w:val="20"/>
          <w:szCs w:val="20"/>
        </w:rPr>
        <w:t xml:space="preserve">. </w:t>
      </w:r>
      <w:r w:rsidRPr="00F940E0">
        <w:rPr>
          <w:rFonts w:ascii="Times New Roman" w:hAnsi="Times New Roman" w:cs="Times New Roman"/>
          <w:color w:val="333132"/>
          <w:sz w:val="20"/>
          <w:szCs w:val="20"/>
        </w:rPr>
        <w:t xml:space="preserve">Predicting </w:t>
      </w:r>
      <w:r w:rsidRPr="00F940E0">
        <w:rPr>
          <w:rFonts w:ascii="Times New Roman" w:hAnsi="Times New Roman" w:cs="Times New Roman"/>
          <w:color w:val="333132"/>
          <w:sz w:val="20"/>
          <w:szCs w:val="20"/>
        </w:rPr>
        <w:t xml:space="preserve">Collapse </w:t>
      </w:r>
      <w:r>
        <w:rPr>
          <w:rFonts w:ascii="Times New Roman" w:hAnsi="Times New Roman" w:cs="Times New Roman"/>
          <w:color w:val="333132"/>
          <w:sz w:val="20"/>
          <w:szCs w:val="20"/>
        </w:rPr>
        <w:t>o</w:t>
      </w:r>
      <w:r w:rsidRPr="00F940E0">
        <w:rPr>
          <w:rFonts w:ascii="Times New Roman" w:hAnsi="Times New Roman" w:cs="Times New Roman"/>
          <w:color w:val="333132"/>
          <w:sz w:val="20"/>
          <w:szCs w:val="20"/>
        </w:rPr>
        <w:t xml:space="preserve">f Complex Ecological Systems: Quantifying </w:t>
      </w:r>
      <w:r>
        <w:rPr>
          <w:rFonts w:ascii="Times New Roman" w:hAnsi="Times New Roman" w:cs="Times New Roman"/>
          <w:color w:val="333132"/>
          <w:sz w:val="20"/>
          <w:szCs w:val="20"/>
        </w:rPr>
        <w:t>t</w:t>
      </w:r>
      <w:r w:rsidRPr="00F940E0">
        <w:rPr>
          <w:rFonts w:ascii="Times New Roman" w:hAnsi="Times New Roman" w:cs="Times New Roman"/>
          <w:color w:val="333132"/>
          <w:sz w:val="20"/>
          <w:szCs w:val="20"/>
        </w:rPr>
        <w:t>he Stability–Complexity Continuum</w:t>
      </w:r>
      <w:r>
        <w:rPr>
          <w:rFonts w:ascii="Times New Roman" w:hAnsi="Times New Roman" w:cs="Times New Roman"/>
          <w:color w:val="333132"/>
          <w:sz w:val="20"/>
          <w:szCs w:val="20"/>
        </w:rPr>
        <w:t>. The Royal Society.</w:t>
      </w:r>
      <w:r w:rsidRPr="00F940E0">
        <w:rPr>
          <w:rStyle w:val="epub-sectiondate"/>
          <w:rFonts w:ascii="Times New Roman" w:hAnsi="Times New Roman" w:cs="Times New Roman"/>
          <w:color w:val="auto"/>
          <w:sz w:val="20"/>
          <w:szCs w:val="20"/>
          <w:bdr w:val="none" w:sz="0" w:space="0" w:color="auto" w:frame="1"/>
          <w:shd w:val="clear" w:color="auto" w:fill="FFFFFF"/>
        </w:rPr>
        <w:t>13 May 2020</w:t>
      </w:r>
      <w:r w:rsidRPr="00F940E0">
        <w:rPr>
          <w:rStyle w:val="epub-sectiondate"/>
          <w:rFonts w:ascii="Times New Roman" w:hAnsi="Times New Roman" w:cs="Times New Roman"/>
          <w:color w:val="auto"/>
          <w:sz w:val="20"/>
          <w:szCs w:val="20"/>
          <w:bdr w:val="none" w:sz="0" w:space="0" w:color="auto" w:frame="1"/>
          <w:shd w:val="clear" w:color="auto" w:fill="FFFFFF"/>
        </w:rPr>
        <w:t xml:space="preserve"> at </w:t>
      </w:r>
      <w:hyperlink r:id="rId2" w:history="1">
        <w:r w:rsidRPr="00F940E0">
          <w:rPr>
            <w:rStyle w:val="Hyperlink"/>
            <w:rFonts w:ascii="Times New Roman" w:hAnsi="Times New Roman" w:cs="Times New Roman"/>
            <w:color w:val="auto"/>
            <w:sz w:val="20"/>
            <w:szCs w:val="20"/>
          </w:rPr>
          <w:t>https://doi.org/10.1098/rsif.2019.0391</w:t>
        </w:r>
      </w:hyperlink>
    </w:p>
    <w:p w14:paraId="5A6256EF" w14:textId="612483DA" w:rsidR="00F940E0" w:rsidRPr="00F940E0" w:rsidRDefault="00F940E0" w:rsidP="00F940E0">
      <w:pPr>
        <w:shd w:val="clear" w:color="auto" w:fill="FFFFFF"/>
        <w:rPr>
          <w:rFonts w:ascii="Times New Roman" w:hAnsi="Times New Roman" w:cs="Times New Roman"/>
          <w:sz w:val="20"/>
          <w:szCs w:val="20"/>
        </w:rPr>
      </w:pPr>
      <w:r w:rsidRPr="00F940E0">
        <w:rPr>
          <w:rFonts w:ascii="Times New Roman" w:hAnsi="Times New Roman" w:cs="Times New Roman"/>
          <w:sz w:val="20"/>
          <w:szCs w:val="20"/>
        </w:rPr>
        <w:t xml:space="preserve">  </w:t>
      </w:r>
    </w:p>
    <w:p w14:paraId="2FFC7EC7" w14:textId="0BA4772F" w:rsidR="00F940E0" w:rsidRPr="00F940E0" w:rsidRDefault="00F940E0" w:rsidP="00F940E0">
      <w:pPr>
        <w:shd w:val="clear" w:color="auto" w:fill="FFFFFF"/>
        <w:rPr>
          <w:rFonts w:ascii="Times New Roman" w:hAnsi="Times New Roman" w:cs="Times New Roman"/>
          <w:color w:val="333132"/>
          <w:sz w:val="20"/>
          <w:szCs w:val="20"/>
        </w:rPr>
      </w:pPr>
    </w:p>
    <w:p w14:paraId="51B0FDDE" w14:textId="049857FC" w:rsidR="00F940E0" w:rsidRDefault="00F940E0">
      <w:pPr>
        <w:pStyle w:val="FootnoteText"/>
      </w:pPr>
    </w:p>
  </w:footnote>
  <w:footnote w:id="3">
    <w:p w14:paraId="0ADE514D" w14:textId="5960765D" w:rsidR="00D46FD3" w:rsidRPr="00D46FD3" w:rsidRDefault="00D46FD3">
      <w:pPr>
        <w:pStyle w:val="FootnoteText"/>
        <w:rPr>
          <w:rFonts w:ascii="Times New Roman" w:hAnsi="Times New Roman" w:cs="Times New Roman"/>
        </w:rPr>
      </w:pPr>
      <w:r w:rsidRPr="00D46FD3">
        <w:rPr>
          <w:rStyle w:val="FootnoteReference"/>
          <w:rFonts w:ascii="Times New Roman" w:hAnsi="Times New Roman" w:cs="Times New Roman"/>
        </w:rPr>
        <w:footnoteRef/>
      </w:r>
      <w:r w:rsidRPr="00D46FD3">
        <w:rPr>
          <w:rFonts w:ascii="Times New Roman" w:hAnsi="Times New Roman" w:cs="Times New Roman"/>
        </w:rPr>
        <w:t xml:space="preserve"> Robertson v. Methow Valley Citizens Council, 490 U.S. 332, 350 (1989) (emphasis added).</w:t>
      </w:r>
    </w:p>
  </w:footnote>
  <w:footnote w:id="4">
    <w:p w14:paraId="007B077D" w14:textId="77EC2923" w:rsidR="00B5237A" w:rsidRPr="00B5237A" w:rsidRDefault="00B5237A" w:rsidP="00B5237A">
      <w:pPr>
        <w:pStyle w:val="Heading2"/>
        <w:spacing w:before="0" w:beforeAutospacing="0" w:after="0" w:afterAutospacing="0" w:line="288" w:lineRule="atLeast"/>
        <w:rPr>
          <w:b w:val="0"/>
          <w:bCs w:val="0"/>
          <w:sz w:val="20"/>
          <w:szCs w:val="20"/>
        </w:rPr>
      </w:pPr>
      <w:r w:rsidRPr="00B5237A">
        <w:rPr>
          <w:rStyle w:val="FootnoteReference"/>
          <w:b w:val="0"/>
          <w:bCs w:val="0"/>
          <w:sz w:val="20"/>
          <w:szCs w:val="20"/>
        </w:rPr>
        <w:footnoteRef/>
      </w:r>
      <w:r w:rsidRPr="00B5237A">
        <w:rPr>
          <w:b w:val="0"/>
          <w:bCs w:val="0"/>
          <w:sz w:val="20"/>
          <w:szCs w:val="20"/>
        </w:rPr>
        <w:t xml:space="preserve"> </w:t>
      </w:r>
      <w:r w:rsidRPr="00B5237A">
        <w:rPr>
          <w:b w:val="0"/>
          <w:bCs w:val="0"/>
          <w:caps/>
          <w:sz w:val="20"/>
          <w:szCs w:val="20"/>
        </w:rPr>
        <w:t>O</w:t>
      </w:r>
      <w:r>
        <w:rPr>
          <w:b w:val="0"/>
          <w:bCs w:val="0"/>
          <w:caps/>
          <w:sz w:val="20"/>
          <w:szCs w:val="20"/>
        </w:rPr>
        <w:t xml:space="preserve">cean Fishes, </w:t>
      </w:r>
      <w:r w:rsidRPr="00B5237A">
        <w:rPr>
          <w:b w:val="0"/>
          <w:bCs w:val="0"/>
          <w:sz w:val="20"/>
          <w:szCs w:val="20"/>
        </w:rPr>
        <w:t>Pacific Herring</w:t>
      </w:r>
      <w:r>
        <w:rPr>
          <w:b w:val="0"/>
          <w:bCs w:val="0"/>
          <w:sz w:val="20"/>
          <w:szCs w:val="20"/>
        </w:rPr>
        <w:t xml:space="preserve"> (</w:t>
      </w:r>
      <w:r w:rsidRPr="00B5237A">
        <w:rPr>
          <w:b w:val="0"/>
          <w:bCs w:val="0"/>
          <w:i/>
          <w:iCs/>
          <w:sz w:val="20"/>
          <w:szCs w:val="20"/>
        </w:rPr>
        <w:t xml:space="preserve">Clupea </w:t>
      </w:r>
      <w:proofErr w:type="spellStart"/>
      <w:r w:rsidRPr="00B5237A">
        <w:rPr>
          <w:b w:val="0"/>
          <w:bCs w:val="0"/>
          <w:i/>
          <w:iCs/>
          <w:sz w:val="20"/>
          <w:szCs w:val="20"/>
        </w:rPr>
        <w:t>pallasii</w:t>
      </w:r>
      <w:proofErr w:type="spellEnd"/>
      <w:r>
        <w:rPr>
          <w:b w:val="0"/>
          <w:bCs w:val="0"/>
          <w:i/>
          <w:iCs/>
          <w:sz w:val="20"/>
          <w:szCs w:val="20"/>
        </w:rPr>
        <w:t xml:space="preserve">), </w:t>
      </w:r>
      <w:r w:rsidRPr="00B5237A">
        <w:rPr>
          <w:b w:val="0"/>
          <w:bCs w:val="0"/>
          <w:sz w:val="20"/>
          <w:szCs w:val="20"/>
        </w:rPr>
        <w:t>Oceana</w:t>
      </w:r>
      <w:r>
        <w:rPr>
          <w:b w:val="0"/>
          <w:bCs w:val="0"/>
          <w:i/>
          <w:iCs/>
          <w:sz w:val="20"/>
          <w:szCs w:val="20"/>
        </w:rPr>
        <w:t xml:space="preserve">. </w:t>
      </w:r>
      <w:r w:rsidRPr="00B5237A">
        <w:rPr>
          <w:b w:val="0"/>
          <w:bCs w:val="0"/>
          <w:sz w:val="20"/>
          <w:szCs w:val="20"/>
        </w:rPr>
        <w:t>Available at: https://oceana.org/marine-life/pacific-herring</w:t>
      </w:r>
      <w:r w:rsidRPr="00B5237A">
        <w:rPr>
          <w:b w:val="0"/>
          <w:bCs w:val="0"/>
          <w:i/>
          <w:iCs/>
          <w:sz w:val="20"/>
          <w:szCs w:val="20"/>
        </w:rPr>
        <w:t>/</w:t>
      </w:r>
    </w:p>
  </w:footnote>
  <w:footnote w:id="5">
    <w:p w14:paraId="09358019" w14:textId="193BE423" w:rsidR="000D613A" w:rsidRDefault="000D613A">
      <w:pPr>
        <w:pStyle w:val="FootnoteText"/>
      </w:pPr>
      <w:r>
        <w:rPr>
          <w:rStyle w:val="FootnoteReference"/>
        </w:rPr>
        <w:footnoteRef/>
      </w:r>
      <w:r>
        <w:t xml:space="preserve"> </w:t>
      </w:r>
    </w:p>
  </w:footnote>
  <w:footnote w:id="6">
    <w:p w14:paraId="1B5DE116" w14:textId="510FBD66" w:rsidR="0012005C" w:rsidRDefault="0012005C">
      <w:pPr>
        <w:pStyle w:val="FootnoteText"/>
      </w:pPr>
      <w:r>
        <w:rPr>
          <w:rStyle w:val="FootnoteReference"/>
        </w:rPr>
        <w:footnoteRef/>
      </w:r>
      <w:r>
        <w:t xml:space="preserve"> </w:t>
      </w:r>
      <w:r w:rsidR="000C354D" w:rsidRPr="000977A8">
        <w:rPr>
          <w:i/>
          <w:iCs/>
        </w:rPr>
        <w:t>See</w:t>
      </w:r>
      <w:r w:rsidR="000C354D" w:rsidRPr="000977A8">
        <w:rPr>
          <w:rFonts w:ascii="Times New Roman" w:hAnsi="Times New Roman" w:cs="Times New Roman"/>
        </w:rPr>
        <w:t xml:space="preserve">, Final Field Results of the 1981 Field Program for the Greens Creek </w:t>
      </w:r>
      <w:r w:rsidR="000977A8" w:rsidRPr="000977A8">
        <w:rPr>
          <w:rFonts w:ascii="Times New Roman" w:hAnsi="Times New Roman" w:cs="Times New Roman"/>
        </w:rPr>
        <w:t>Project.  Part 1-Hawk Inlet and Young Bay</w:t>
      </w:r>
    </w:p>
  </w:footnote>
  <w:footnote w:id="7">
    <w:p w14:paraId="52A920C5" w14:textId="01FB673B" w:rsidR="000C354D" w:rsidRPr="000C354D" w:rsidRDefault="000C354D">
      <w:pPr>
        <w:pStyle w:val="FootnoteText"/>
        <w:rPr>
          <w:rFonts w:ascii="Times New Roman" w:hAnsi="Times New Roman" w:cs="Times New Roman"/>
        </w:rPr>
      </w:pPr>
      <w:r w:rsidRPr="000C354D">
        <w:rPr>
          <w:rStyle w:val="FootnoteReference"/>
          <w:rFonts w:ascii="Times New Roman" w:hAnsi="Times New Roman" w:cs="Times New Roman"/>
        </w:rPr>
        <w:footnoteRef/>
      </w:r>
      <w:r w:rsidRPr="000C354D">
        <w:rPr>
          <w:rFonts w:ascii="Times New Roman" w:hAnsi="Times New Roman" w:cs="Times New Roman"/>
        </w:rPr>
        <w:t xml:space="preserve"> Available at: https://dnr.alaska.gov/mlw/mining/large-mines/greens-creek/pdf/hawk2007.pdf</w:t>
      </w:r>
    </w:p>
  </w:footnote>
  <w:footnote w:id="8">
    <w:p w14:paraId="52D339AF" w14:textId="61D29A12" w:rsidR="00E3696C" w:rsidRPr="000977A8" w:rsidRDefault="00E3696C">
      <w:pPr>
        <w:pStyle w:val="FootnoteText"/>
        <w:rPr>
          <w:rFonts w:ascii="Times New Roman" w:hAnsi="Times New Roman" w:cs="Times New Roman"/>
        </w:rPr>
      </w:pPr>
      <w:r w:rsidRPr="00E3696C">
        <w:rPr>
          <w:rStyle w:val="FootnoteReference"/>
          <w:rFonts w:ascii="Times New Roman" w:hAnsi="Times New Roman" w:cs="Times New Roman"/>
        </w:rPr>
        <w:footnoteRef/>
      </w:r>
      <w:r w:rsidRPr="00E3696C">
        <w:rPr>
          <w:rFonts w:ascii="Times New Roman" w:hAnsi="Times New Roman" w:cs="Times New Roman"/>
        </w:rPr>
        <w:t xml:space="preserve"> </w:t>
      </w:r>
      <w:r w:rsidRPr="000977A8">
        <w:rPr>
          <w:rFonts w:ascii="Times New Roman" w:hAnsi="Times New Roman" w:cs="Times New Roman"/>
        </w:rPr>
        <w:t xml:space="preserve">Final Results of the 1981 Field Program for the Greens Creek Mine Part 1 Hawk Inlet and Young Bay A.F. Holland, M. Hagel and W. </w:t>
      </w:r>
      <w:proofErr w:type="spellStart"/>
      <w:r w:rsidRPr="000977A8">
        <w:rPr>
          <w:rFonts w:ascii="Times New Roman" w:hAnsi="Times New Roman" w:cs="Times New Roman"/>
        </w:rPr>
        <w:t>Richkus</w:t>
      </w:r>
      <w:proofErr w:type="spellEnd"/>
      <w:r w:rsidRPr="000977A8">
        <w:rPr>
          <w:rFonts w:ascii="Times New Roman" w:hAnsi="Times New Roman" w:cs="Times New Roman"/>
        </w:rPr>
        <w:t xml:space="preserve"> Environmental Center Martin Marietta Corporation.</w:t>
      </w:r>
    </w:p>
  </w:footnote>
  <w:footnote w:id="9">
    <w:p w14:paraId="7C91955C" w14:textId="62578AA8" w:rsidR="00AF5393" w:rsidRPr="000977A8" w:rsidRDefault="00AF5393">
      <w:pPr>
        <w:pStyle w:val="FootnoteText"/>
        <w:rPr>
          <w:rFonts w:ascii="Times New Roman" w:hAnsi="Times New Roman" w:cs="Times New Roman"/>
        </w:rPr>
      </w:pPr>
      <w:r w:rsidRPr="000977A8">
        <w:rPr>
          <w:rStyle w:val="FootnoteReference"/>
          <w:rFonts w:ascii="Times New Roman" w:hAnsi="Times New Roman" w:cs="Times New Roman"/>
        </w:rPr>
        <w:footnoteRef/>
      </w:r>
      <w:r w:rsidRPr="000977A8">
        <w:rPr>
          <w:rFonts w:ascii="Times New Roman" w:hAnsi="Times New Roman" w:cs="Times New Roman"/>
        </w:rPr>
        <w:t xml:space="preserve"> </w:t>
      </w:r>
      <w:r w:rsidRPr="000977A8">
        <w:rPr>
          <w:rFonts w:ascii="Times New Roman" w:hAnsi="Times New Roman" w:cs="Times New Roman"/>
          <w:i/>
          <w:iCs/>
        </w:rPr>
        <w:t>Id.</w:t>
      </w:r>
      <w:r w:rsidRPr="000977A8">
        <w:rPr>
          <w:rFonts w:ascii="Times New Roman" w:hAnsi="Times New Roman" w:cs="Times New Roman"/>
        </w:rPr>
        <w:t xml:space="preserve"> At C. Conclusions</w:t>
      </w:r>
    </w:p>
  </w:footnote>
  <w:footnote w:id="10">
    <w:p w14:paraId="5C4D8528" w14:textId="661D02E5" w:rsidR="00771780" w:rsidRPr="000977A8" w:rsidRDefault="00771780">
      <w:pPr>
        <w:pStyle w:val="FootnoteText"/>
        <w:rPr>
          <w:rFonts w:ascii="Times New Roman" w:hAnsi="Times New Roman" w:cs="Times New Roman"/>
        </w:rPr>
      </w:pPr>
      <w:r w:rsidRPr="000977A8">
        <w:rPr>
          <w:rStyle w:val="FootnoteReference"/>
          <w:rFonts w:ascii="Times New Roman" w:hAnsi="Times New Roman" w:cs="Times New Roman"/>
        </w:rPr>
        <w:footnoteRef/>
      </w:r>
      <w:r w:rsidRPr="000977A8">
        <w:rPr>
          <w:rFonts w:ascii="Times New Roman" w:hAnsi="Times New Roman" w:cs="Times New Roman"/>
        </w:rPr>
        <w:t xml:space="preserve"> USDA Record of Decision Greens Creek Mining Project Final Environmental Impact Statement for Admiralty Island National Monument, 1983.</w:t>
      </w:r>
    </w:p>
  </w:footnote>
  <w:footnote w:id="11">
    <w:p w14:paraId="541DDF3A" w14:textId="290F20D9" w:rsidR="00771780" w:rsidRPr="00E71938" w:rsidRDefault="00771780">
      <w:pPr>
        <w:pStyle w:val="FootnoteText"/>
        <w:rPr>
          <w:rFonts w:ascii="Times New Roman" w:hAnsi="Times New Roman" w:cs="Times New Roman"/>
          <w:i/>
          <w:iCs/>
        </w:rPr>
      </w:pPr>
      <w:r w:rsidRPr="00E71938">
        <w:rPr>
          <w:rStyle w:val="FootnoteReference"/>
          <w:rFonts w:ascii="Times New Roman" w:hAnsi="Times New Roman" w:cs="Times New Roman"/>
        </w:rPr>
        <w:footnoteRef/>
      </w:r>
      <w:r w:rsidRPr="00E71938">
        <w:rPr>
          <w:rFonts w:ascii="Times New Roman" w:hAnsi="Times New Roman" w:cs="Times New Roman"/>
        </w:rPr>
        <w:t xml:space="preserve"> </w:t>
      </w:r>
      <w:r w:rsidRPr="00E71938">
        <w:rPr>
          <w:rFonts w:ascii="Times New Roman" w:hAnsi="Times New Roman" w:cs="Times New Roman"/>
          <w:i/>
          <w:iCs/>
        </w:rPr>
        <w:t>Id.</w:t>
      </w:r>
    </w:p>
  </w:footnote>
  <w:footnote w:id="12">
    <w:p w14:paraId="585FA463" w14:textId="02E94BAC" w:rsidR="00E71938" w:rsidRPr="00E71938" w:rsidRDefault="00E71938">
      <w:pPr>
        <w:pStyle w:val="FootnoteText"/>
        <w:rPr>
          <w:rFonts w:ascii="Times New Roman" w:hAnsi="Times New Roman" w:cs="Times New Roman"/>
        </w:rPr>
      </w:pPr>
      <w:r w:rsidRPr="00E71938">
        <w:rPr>
          <w:rStyle w:val="FootnoteReference"/>
          <w:rFonts w:ascii="Times New Roman" w:hAnsi="Times New Roman" w:cs="Times New Roman"/>
        </w:rPr>
        <w:footnoteRef/>
      </w:r>
      <w:r w:rsidRPr="00E71938">
        <w:rPr>
          <w:rFonts w:ascii="Times New Roman" w:hAnsi="Times New Roman" w:cs="Times New Roman"/>
        </w:rPr>
        <w:t xml:space="preserve"> USDA Environmental Assessment for the Proposed Changes to the General Plan of Operation for the Development and Operation of the Greens Creek Mine.  March 1988. </w:t>
      </w:r>
    </w:p>
  </w:footnote>
  <w:footnote w:id="13">
    <w:p w14:paraId="6C31B7EA" w14:textId="0B32A362" w:rsidR="0012005C" w:rsidRDefault="0012005C">
      <w:pPr>
        <w:pStyle w:val="FootnoteText"/>
      </w:pPr>
      <w:r>
        <w:rPr>
          <w:rStyle w:val="FootnoteReference"/>
        </w:rPr>
        <w:footnoteRef/>
      </w:r>
      <w:r>
        <w:t xml:space="preserve"> </w:t>
      </w:r>
      <w:r w:rsidRPr="00001CE7">
        <w:rPr>
          <w:rFonts w:ascii="Times New Roman" w:hAnsi="Times New Roman" w:cs="Times New Roman"/>
          <w:i/>
          <w:iCs/>
        </w:rPr>
        <w:t>See,</w:t>
      </w:r>
      <w:r w:rsidRPr="00001CE7">
        <w:rPr>
          <w:rFonts w:ascii="Times New Roman" w:hAnsi="Times New Roman" w:cs="Times New Roman"/>
        </w:rPr>
        <w:t xml:space="preserve"> 36 CFR </w:t>
      </w:r>
      <w:r>
        <w:t xml:space="preserve">§ </w:t>
      </w:r>
      <w:r w:rsidRPr="00001CE7">
        <w:rPr>
          <w:rFonts w:ascii="Times New Roman" w:hAnsi="Times New Roman" w:cs="Times New Roman"/>
        </w:rPr>
        <w:t>228.4 (e)(1)</w:t>
      </w:r>
      <w:r>
        <w:rPr>
          <w:rFonts w:ascii="Times New Roman" w:hAnsi="Times New Roman" w:cs="Times New Roman"/>
        </w:rPr>
        <w:t xml:space="preserve"> </w:t>
      </w:r>
    </w:p>
  </w:footnote>
  <w:footnote w:id="14">
    <w:p w14:paraId="5A398647" w14:textId="4A0EA0B3" w:rsidR="00BA17A2" w:rsidRPr="0061385D" w:rsidRDefault="00BA17A2">
      <w:pPr>
        <w:pStyle w:val="FootnoteText"/>
        <w:rPr>
          <w:rFonts w:ascii="Times New Roman" w:hAnsi="Times New Roman" w:cs="Times New Roman"/>
        </w:rPr>
      </w:pPr>
      <w:r w:rsidRPr="00BA17A2">
        <w:rPr>
          <w:rStyle w:val="FootnoteReference"/>
          <w:rFonts w:ascii="Times New Roman" w:hAnsi="Times New Roman" w:cs="Times New Roman"/>
        </w:rPr>
        <w:footnoteRef/>
      </w:r>
      <w:r w:rsidRPr="00BA17A2">
        <w:rPr>
          <w:rFonts w:ascii="Times New Roman" w:hAnsi="Times New Roman" w:cs="Times New Roman"/>
        </w:rPr>
        <w:t xml:space="preserve"> </w:t>
      </w:r>
      <w:r w:rsidRPr="0061385D">
        <w:rPr>
          <w:rFonts w:ascii="Times New Roman" w:hAnsi="Times New Roman" w:cs="Times New Roman"/>
        </w:rPr>
        <w:t xml:space="preserve">Every Hawk Inlet Monitoring Report from 2006 to 2014 at 5.0. </w:t>
      </w:r>
    </w:p>
  </w:footnote>
  <w:footnote w:id="15">
    <w:p w14:paraId="33FF79E2" w14:textId="74BAA0B2" w:rsidR="00122CD9" w:rsidRPr="0061385D" w:rsidRDefault="00122CD9">
      <w:pPr>
        <w:pStyle w:val="FootnoteText"/>
        <w:rPr>
          <w:rFonts w:ascii="Times New Roman" w:hAnsi="Times New Roman" w:cs="Times New Roman"/>
        </w:rPr>
      </w:pPr>
      <w:r w:rsidRPr="0061385D">
        <w:rPr>
          <w:rStyle w:val="FootnoteReference"/>
          <w:rFonts w:ascii="Times New Roman" w:hAnsi="Times New Roman" w:cs="Times New Roman"/>
        </w:rPr>
        <w:footnoteRef/>
      </w:r>
      <w:r w:rsidRPr="0061385D">
        <w:rPr>
          <w:rFonts w:ascii="Times New Roman" w:hAnsi="Times New Roman" w:cs="Times New Roman"/>
        </w:rPr>
        <w:t xml:space="preserve"> </w:t>
      </w:r>
      <w:r w:rsidR="005409B1" w:rsidRPr="0061385D">
        <w:rPr>
          <w:rFonts w:ascii="Times New Roman" w:hAnsi="Times New Roman" w:cs="Times New Roman"/>
        </w:rPr>
        <w:t xml:space="preserve">Alaska Pollutant Discharge Elimination System Permit Fact Sheet </w:t>
      </w:r>
      <w:r w:rsidRPr="0061385D">
        <w:rPr>
          <w:rFonts w:ascii="Times New Roman" w:hAnsi="Times New Roman" w:cs="Times New Roman"/>
        </w:rPr>
        <w:t>Permit Number: AK0043206 5.0 at 15.  Available at: https://dnr.alaska.gov/mlw/mining/large-mines/greens</w:t>
      </w:r>
    </w:p>
  </w:footnote>
  <w:footnote w:id="16">
    <w:p w14:paraId="69BC6BF4" w14:textId="59D8426D" w:rsidR="00BE704C" w:rsidRPr="0061385D" w:rsidRDefault="00BE704C">
      <w:pPr>
        <w:pStyle w:val="FootnoteText"/>
        <w:rPr>
          <w:rFonts w:ascii="Times New Roman" w:hAnsi="Times New Roman" w:cs="Times New Roman"/>
        </w:rPr>
      </w:pPr>
      <w:r w:rsidRPr="0061385D">
        <w:rPr>
          <w:rStyle w:val="FootnoteReference"/>
          <w:rFonts w:ascii="Times New Roman" w:hAnsi="Times New Roman" w:cs="Times New Roman"/>
        </w:rPr>
        <w:footnoteRef/>
      </w:r>
      <w:r w:rsidRPr="0061385D">
        <w:rPr>
          <w:rFonts w:ascii="Times New Roman" w:hAnsi="Times New Roman" w:cs="Times New Roman"/>
        </w:rPr>
        <w:t xml:space="preserve"> </w:t>
      </w:r>
      <w:r w:rsidRPr="0061385D">
        <w:rPr>
          <w:rFonts w:ascii="Times New Roman" w:hAnsi="Times New Roman" w:cs="Times New Roman"/>
          <w:i/>
          <w:iCs/>
        </w:rPr>
        <w:t>Id.</w:t>
      </w:r>
      <w:r w:rsidRPr="0061385D">
        <w:rPr>
          <w:rFonts w:ascii="Times New Roman" w:hAnsi="Times New Roman" w:cs="Times New Roman"/>
        </w:rPr>
        <w:t xml:space="preserve"> at 16.</w:t>
      </w:r>
    </w:p>
  </w:footnote>
  <w:footnote w:id="17">
    <w:p w14:paraId="3F3BDFF0" w14:textId="3290E1AE" w:rsidR="00BE704C" w:rsidRPr="0061385D" w:rsidRDefault="00BE704C">
      <w:pPr>
        <w:pStyle w:val="FootnoteText"/>
        <w:rPr>
          <w:rFonts w:ascii="Times New Roman" w:hAnsi="Times New Roman" w:cs="Times New Roman"/>
        </w:rPr>
      </w:pPr>
      <w:r w:rsidRPr="0061385D">
        <w:rPr>
          <w:rStyle w:val="FootnoteReference"/>
          <w:rFonts w:ascii="Times New Roman" w:hAnsi="Times New Roman" w:cs="Times New Roman"/>
        </w:rPr>
        <w:footnoteRef/>
      </w:r>
      <w:r w:rsidRPr="0061385D">
        <w:rPr>
          <w:rFonts w:ascii="Times New Roman" w:hAnsi="Times New Roman" w:cs="Times New Roman"/>
        </w:rPr>
        <w:t xml:space="preserve"> 200</w:t>
      </w:r>
      <w:r w:rsidR="00277280" w:rsidRPr="0061385D">
        <w:rPr>
          <w:rFonts w:ascii="Times New Roman" w:hAnsi="Times New Roman" w:cs="Times New Roman"/>
        </w:rPr>
        <w:t>6</w:t>
      </w:r>
      <w:r w:rsidRPr="0061385D">
        <w:rPr>
          <w:rFonts w:ascii="Times New Roman" w:hAnsi="Times New Roman" w:cs="Times New Roman"/>
        </w:rPr>
        <w:t xml:space="preserve"> HIMR</w:t>
      </w:r>
      <w:r w:rsidR="00277280" w:rsidRPr="0061385D">
        <w:rPr>
          <w:rFonts w:ascii="Times New Roman" w:hAnsi="Times New Roman" w:cs="Times New Roman"/>
        </w:rPr>
        <w:t xml:space="preserve"> at 5.0</w:t>
      </w:r>
    </w:p>
  </w:footnote>
  <w:footnote w:id="18">
    <w:p w14:paraId="4F99E674" w14:textId="4E2A00DB" w:rsidR="00DE30B8" w:rsidRPr="0061385D" w:rsidRDefault="00DE30B8">
      <w:pPr>
        <w:pStyle w:val="FootnoteText"/>
        <w:rPr>
          <w:rFonts w:ascii="Times New Roman" w:hAnsi="Times New Roman" w:cs="Times New Roman"/>
        </w:rPr>
      </w:pPr>
      <w:r w:rsidRPr="0061385D">
        <w:rPr>
          <w:rStyle w:val="FootnoteReference"/>
          <w:rFonts w:ascii="Times New Roman" w:hAnsi="Times New Roman" w:cs="Times New Roman"/>
        </w:rPr>
        <w:footnoteRef/>
      </w:r>
      <w:r w:rsidRPr="0061385D">
        <w:rPr>
          <w:rFonts w:ascii="Times New Roman" w:hAnsi="Times New Roman" w:cs="Times New Roman"/>
        </w:rPr>
        <w:t xml:space="preserve"> </w:t>
      </w:r>
      <w:r w:rsidRPr="0061385D">
        <w:rPr>
          <w:rFonts w:ascii="Times New Roman" w:hAnsi="Times New Roman" w:cs="Times New Roman"/>
          <w:i/>
          <w:iCs/>
        </w:rPr>
        <w:t>Id</w:t>
      </w:r>
      <w:r w:rsidRPr="0061385D">
        <w:rPr>
          <w:rFonts w:ascii="Times New Roman" w:hAnsi="Times New Roman" w:cs="Times New Roman"/>
        </w:rPr>
        <w:t xml:space="preserve">. </w:t>
      </w:r>
    </w:p>
  </w:footnote>
  <w:footnote w:id="19">
    <w:p w14:paraId="5192F77A" w14:textId="1019C15C" w:rsidR="0012005C" w:rsidRDefault="0012005C">
      <w:pPr>
        <w:pStyle w:val="FootnoteText"/>
      </w:pPr>
      <w:r>
        <w:rPr>
          <w:rStyle w:val="FootnoteReference"/>
        </w:rPr>
        <w:footnoteRef/>
      </w:r>
      <w:r>
        <w:t xml:space="preserve"> </w:t>
      </w:r>
      <w:r w:rsidRPr="0012005C">
        <w:rPr>
          <w:rFonts w:ascii="Times New Roman" w:hAnsi="Times New Roman" w:cs="Times New Roman"/>
        </w:rPr>
        <w:t>Available at: https://dnr.alaska.gov/mlw/mining/large-mines/greens-creek/pdf/gc2014hawk.pdf</w:t>
      </w:r>
    </w:p>
  </w:footnote>
  <w:footnote w:id="20">
    <w:p w14:paraId="4B72FFDE" w14:textId="566F4676" w:rsidR="0012005C" w:rsidRPr="0012005C" w:rsidRDefault="0012005C">
      <w:pPr>
        <w:pStyle w:val="FootnoteText"/>
        <w:rPr>
          <w:rFonts w:ascii="Times New Roman" w:hAnsi="Times New Roman" w:cs="Times New Roman"/>
        </w:rPr>
      </w:pPr>
      <w:r>
        <w:rPr>
          <w:rStyle w:val="FootnoteReference"/>
        </w:rPr>
        <w:footnoteRef/>
      </w:r>
      <w:r>
        <w:t xml:space="preserve">  </w:t>
      </w:r>
      <w:r w:rsidRPr="0012005C">
        <w:rPr>
          <w:rFonts w:ascii="Times New Roman" w:hAnsi="Times New Roman" w:cs="Times New Roman"/>
        </w:rPr>
        <w:t>ADEC Metals Total Maximum Daily Load for Hawk Inlet, AK. May 2017 at 4.  Available at: https://dec.alaska.gov/media/18462/hawk-inlet-tmdl-final.pdf</w:t>
      </w:r>
    </w:p>
  </w:footnote>
  <w:footnote w:id="21">
    <w:p w14:paraId="4E0AA732" w14:textId="694FC04D" w:rsidR="0012005C" w:rsidRPr="00B01EF4" w:rsidRDefault="0012005C">
      <w:pPr>
        <w:pStyle w:val="FootnoteText"/>
        <w:rPr>
          <w:rFonts w:ascii="Times New Roman" w:hAnsi="Times New Roman" w:cs="Times New Roman"/>
        </w:rPr>
      </w:pPr>
      <w:r w:rsidRPr="00B01EF4">
        <w:rPr>
          <w:rStyle w:val="FootnoteReference"/>
          <w:rFonts w:ascii="Times New Roman" w:hAnsi="Times New Roman" w:cs="Times New Roman"/>
        </w:rPr>
        <w:footnoteRef/>
      </w:r>
      <w:r w:rsidRPr="00B01EF4">
        <w:rPr>
          <w:rFonts w:ascii="Times New Roman" w:hAnsi="Times New Roman" w:cs="Times New Roman"/>
        </w:rPr>
        <w:t xml:space="preserve"> Revised Jan. 2021 Green Creek Mine company Environmental Risk Characterization Report at 101.  </w:t>
      </w:r>
      <w:r w:rsidRPr="00B01EF4">
        <w:rPr>
          <w:rFonts w:ascii="Times New Roman" w:hAnsi="Times New Roman" w:cs="Times New Roman"/>
          <w:highlight w:val="yellow"/>
        </w:rPr>
        <w:t>Available at:</w:t>
      </w:r>
    </w:p>
  </w:footnote>
  <w:footnote w:id="22">
    <w:p w14:paraId="481FE31B" w14:textId="0B2B9CA8" w:rsidR="0012005C" w:rsidRDefault="0012005C">
      <w:pPr>
        <w:pStyle w:val="FootnoteText"/>
      </w:pPr>
      <w:r w:rsidRPr="00B01EF4">
        <w:rPr>
          <w:rStyle w:val="FootnoteReference"/>
          <w:rFonts w:ascii="Times New Roman" w:hAnsi="Times New Roman" w:cs="Times New Roman"/>
        </w:rPr>
        <w:footnoteRef/>
      </w:r>
      <w:r w:rsidRPr="00B01EF4">
        <w:rPr>
          <w:rFonts w:ascii="Times New Roman" w:hAnsi="Times New Roman" w:cs="Times New Roman"/>
        </w:rPr>
        <w:t xml:space="preserve"> As it did in 2003, 2004, 2006, 2008, and 2010, Alaska Final 2012 Integrated Water Quality Monitoring and Assessment Report, December 23, 2013, listed Hawk Inlet as a Category 3 water.  </w:t>
      </w:r>
      <w:r w:rsidRPr="00B01EF4">
        <w:rPr>
          <w:rFonts w:ascii="Times New Roman" w:hAnsi="Times New Roman" w:cs="Times New Roman"/>
          <w:i/>
        </w:rPr>
        <w:t>See</w:t>
      </w:r>
      <w:r w:rsidRPr="00B01EF4">
        <w:rPr>
          <w:rFonts w:ascii="Times New Roman" w:hAnsi="Times New Roman" w:cs="Times New Roman"/>
        </w:rPr>
        <w:t xml:space="preserve"> Final 2012 Report, Appendix A at 47 and 50 (available at http://dec.alaska.gov/water/wqsar/waterbody/2012integratedreport.htm).</w:t>
      </w:r>
      <w:r>
        <w:rPr>
          <w:rFonts w:ascii="Times New Roman" w:hAnsi="Times New Roman" w:cs="Times New Roman"/>
        </w:rPr>
        <w:t xml:space="preserve">  </w:t>
      </w:r>
    </w:p>
  </w:footnote>
  <w:footnote w:id="23">
    <w:p w14:paraId="1C634D9E" w14:textId="1D00A5B6" w:rsidR="000016DC" w:rsidRPr="00A453E0" w:rsidRDefault="000016DC" w:rsidP="00B5237A">
      <w:pPr>
        <w:pStyle w:val="FootnoteText"/>
        <w:rPr>
          <w:rFonts w:ascii="Times New Roman" w:hAnsi="Times New Roman" w:cs="Times New Roman"/>
        </w:rPr>
      </w:pPr>
      <w:r w:rsidRPr="00A453E0">
        <w:rPr>
          <w:rStyle w:val="FootnoteReference"/>
          <w:rFonts w:ascii="Times New Roman" w:hAnsi="Times New Roman" w:cs="Times New Roman"/>
        </w:rPr>
        <w:footnoteRef/>
      </w:r>
      <w:r w:rsidRPr="00A453E0">
        <w:rPr>
          <w:rFonts w:ascii="Times New Roman" w:hAnsi="Times New Roman" w:cs="Times New Roman"/>
        </w:rPr>
        <w:t xml:space="preserve"> Public Law 86–517 [As Amended Through P.L. 108–198, Enacted December 31, 2003]</w:t>
      </w:r>
    </w:p>
  </w:footnote>
  <w:footnote w:id="24">
    <w:p w14:paraId="6841E739" w14:textId="043844E7" w:rsidR="00A453E0" w:rsidRPr="00A453E0" w:rsidRDefault="00A453E0" w:rsidP="00B5237A">
      <w:pPr>
        <w:pStyle w:val="FootnoteText"/>
        <w:rPr>
          <w:rFonts w:ascii="Times New Roman" w:hAnsi="Times New Roman" w:cs="Times New Roman"/>
        </w:rPr>
      </w:pPr>
      <w:r w:rsidRPr="00A453E0">
        <w:rPr>
          <w:rStyle w:val="FootnoteReference"/>
          <w:rFonts w:ascii="Times New Roman" w:hAnsi="Times New Roman" w:cs="Times New Roman"/>
        </w:rPr>
        <w:footnoteRef/>
      </w:r>
      <w:r w:rsidRPr="00A453E0">
        <w:rPr>
          <w:rFonts w:ascii="Times New Roman" w:hAnsi="Times New Roman" w:cs="Times New Roman"/>
        </w:rPr>
        <w:t xml:space="preserve"> </w:t>
      </w:r>
      <w:r w:rsidRPr="00A453E0">
        <w:rPr>
          <w:rFonts w:ascii="Times New Roman" w:hAnsi="Times New Roman" w:cs="Times New Roman"/>
          <w:shd w:val="clear" w:color="auto" w:fill="FFFFFF"/>
        </w:rPr>
        <w:t>Public Law 103-66</w:t>
      </w:r>
    </w:p>
  </w:footnote>
  <w:footnote w:id="25">
    <w:p w14:paraId="1EBD8C19" w14:textId="4ACC2599" w:rsidR="00A453E0" w:rsidRDefault="00A453E0" w:rsidP="00B5237A">
      <w:pPr>
        <w:pStyle w:val="FootnoteText"/>
      </w:pPr>
      <w:r w:rsidRPr="00A453E0">
        <w:rPr>
          <w:rStyle w:val="FootnoteReference"/>
          <w:rFonts w:ascii="Times New Roman" w:hAnsi="Times New Roman" w:cs="Times New Roman"/>
        </w:rPr>
        <w:footnoteRef/>
      </w:r>
      <w:hyperlink r:id="rId3" w:history="1">
        <w:r w:rsidRPr="00A453E0">
          <w:rPr>
            <w:rStyle w:val="Hyperlink"/>
            <w:rFonts w:ascii="Times New Roman" w:hAnsi="Times New Roman" w:cs="Times New Roman"/>
            <w:color w:val="auto"/>
            <w:u w:val="none"/>
            <w:bdr w:val="none" w:sz="0" w:space="0" w:color="auto" w:frame="1"/>
            <w:shd w:val="clear" w:color="auto" w:fill="FFFFFF"/>
          </w:rPr>
          <w:t xml:space="preserve"> Public Law 96-487</w:t>
        </w:r>
      </w:hyperlink>
      <w:r>
        <w:rPr>
          <w:rFonts w:ascii="Arial" w:hAnsi="Arial" w:cs="Arial"/>
          <w:color w:val="000000"/>
          <w:sz w:val="21"/>
          <w:szCs w:val="21"/>
          <w:shd w:val="clear" w:color="auto" w:fill="FFFFFF"/>
        </w:rPr>
        <w:t>.</w:t>
      </w:r>
    </w:p>
  </w:footnote>
  <w:footnote w:id="26">
    <w:p w14:paraId="1BCCF91F" w14:textId="170F4C92" w:rsidR="005470CC" w:rsidRPr="005470CC" w:rsidRDefault="005470CC">
      <w:pPr>
        <w:pStyle w:val="FootnoteText"/>
        <w:rPr>
          <w:rFonts w:ascii="Times New Roman" w:hAnsi="Times New Roman" w:cs="Times New Roman"/>
        </w:rPr>
      </w:pPr>
      <w:r w:rsidRPr="005470CC">
        <w:rPr>
          <w:rStyle w:val="FootnoteReference"/>
          <w:rFonts w:ascii="Times New Roman" w:hAnsi="Times New Roman" w:cs="Times New Roman"/>
        </w:rPr>
        <w:footnoteRef/>
      </w:r>
      <w:r w:rsidRPr="005470CC">
        <w:rPr>
          <w:rFonts w:ascii="Times New Roman" w:hAnsi="Times New Roman" w:cs="Times New Roman"/>
        </w:rPr>
        <w:t xml:space="preserve"> Available at: https://dnr.alaska.gov/mlw/mining/large-mines/greens-creek/pdf/2020DB0001-wmp-permit-final.pdf</w:t>
      </w:r>
    </w:p>
  </w:footnote>
  <w:footnote w:id="27">
    <w:p w14:paraId="3BFE4568" w14:textId="5CC7EF8B" w:rsidR="00803E2F" w:rsidRDefault="00803E2F">
      <w:pPr>
        <w:pStyle w:val="FootnoteText"/>
      </w:pPr>
      <w:r>
        <w:rPr>
          <w:rStyle w:val="FootnoteReference"/>
        </w:rPr>
        <w:footnoteRef/>
      </w:r>
      <w:r>
        <w:t xml:space="preserve"> Available at: </w:t>
      </w:r>
      <w:r w:rsidRPr="00803E2F">
        <w:t>https://dnr.alaska.gov/mlw/mining/large-mines/greens-creek/pdf/gcaudit2019.pdf</w:t>
      </w:r>
    </w:p>
  </w:footnote>
  <w:footnote w:id="28">
    <w:p w14:paraId="2BD6E484" w14:textId="2B0EDEA3" w:rsidR="00484247" w:rsidRPr="0061385D" w:rsidRDefault="00484247">
      <w:pPr>
        <w:pStyle w:val="FootnoteText"/>
        <w:rPr>
          <w:rFonts w:ascii="Times New Roman" w:hAnsi="Times New Roman" w:cs="Times New Roman"/>
        </w:rPr>
      </w:pPr>
      <w:r w:rsidRPr="0061385D">
        <w:rPr>
          <w:rStyle w:val="FootnoteReference"/>
          <w:rFonts w:ascii="Times New Roman" w:hAnsi="Times New Roman" w:cs="Times New Roman"/>
        </w:rPr>
        <w:footnoteRef/>
      </w:r>
      <w:r w:rsidRPr="0061385D">
        <w:rPr>
          <w:rFonts w:ascii="Times New Roman" w:hAnsi="Times New Roman" w:cs="Times New Roman"/>
        </w:rPr>
        <w:t xml:space="preserve"> Available at: https://dnr.alaska.gov/mlw/mining/large-mines/greens-creek/pdf/2022-H1-Biannual-Report.pdf </w:t>
      </w:r>
    </w:p>
  </w:footnote>
  <w:footnote w:id="29">
    <w:p w14:paraId="43A04D55" w14:textId="66987821" w:rsidR="00C93F92" w:rsidRPr="00A97275" w:rsidRDefault="00C93F92">
      <w:pPr>
        <w:pStyle w:val="FootnoteText"/>
        <w:rPr>
          <w:rFonts w:ascii="Times New Roman" w:hAnsi="Times New Roman" w:cs="Times New Roman"/>
        </w:rPr>
      </w:pPr>
      <w:r>
        <w:rPr>
          <w:rStyle w:val="FootnoteReference"/>
        </w:rPr>
        <w:footnoteRef/>
      </w:r>
      <w:r>
        <w:t xml:space="preserve"> </w:t>
      </w:r>
      <w:r w:rsidRPr="00A97275">
        <w:rPr>
          <w:rFonts w:ascii="Times New Roman" w:hAnsi="Times New Roman" w:cs="Times New Roman"/>
        </w:rPr>
        <w:t>Available at: https://www.govinfo.gov/content/pkg/FR-2008-12-19/pdf/E8-29998.pdf</w:t>
      </w:r>
    </w:p>
  </w:footnote>
  <w:footnote w:id="30">
    <w:p w14:paraId="5ED19B7D" w14:textId="6531A9E6" w:rsidR="004F606A" w:rsidRPr="00A97275" w:rsidRDefault="004F606A">
      <w:pPr>
        <w:pStyle w:val="FootnoteText"/>
        <w:rPr>
          <w:rFonts w:ascii="Times New Roman" w:hAnsi="Times New Roman" w:cs="Times New Roman"/>
        </w:rPr>
      </w:pPr>
      <w:r w:rsidRPr="00A97275">
        <w:rPr>
          <w:rStyle w:val="FootnoteReference"/>
          <w:rFonts w:ascii="Times New Roman" w:hAnsi="Times New Roman" w:cs="Times New Roman"/>
        </w:rPr>
        <w:footnoteRef/>
      </w:r>
      <w:r w:rsidRPr="00A97275">
        <w:rPr>
          <w:rFonts w:ascii="Times New Roman" w:hAnsi="Times New Roman" w:cs="Times New Roman"/>
        </w:rPr>
        <w:t xml:space="preserve"> 77882 Federal Register / Vol. 73, No. 245 / Friday, December 19, 2008 / Rules and Regulations</w:t>
      </w:r>
    </w:p>
  </w:footnote>
  <w:footnote w:id="31">
    <w:p w14:paraId="303D9B6E" w14:textId="48FECB72" w:rsidR="00B12AEF" w:rsidRPr="00A97275" w:rsidRDefault="00B12AEF">
      <w:pPr>
        <w:pStyle w:val="FootnoteText"/>
        <w:rPr>
          <w:rFonts w:ascii="Times New Roman" w:hAnsi="Times New Roman" w:cs="Times New Roman"/>
        </w:rPr>
      </w:pPr>
      <w:r w:rsidRPr="00A97275">
        <w:rPr>
          <w:rStyle w:val="FootnoteReference"/>
          <w:rFonts w:ascii="Times New Roman" w:hAnsi="Times New Roman" w:cs="Times New Roman"/>
        </w:rPr>
        <w:footnoteRef/>
      </w:r>
      <w:r w:rsidRPr="00A97275">
        <w:rPr>
          <w:rFonts w:ascii="Times New Roman" w:hAnsi="Times New Roman" w:cs="Times New Roman"/>
        </w:rPr>
        <w:t xml:space="preserve"> </w:t>
      </w:r>
      <w:r w:rsidRPr="00A97275">
        <w:rPr>
          <w:rFonts w:ascii="Times New Roman" w:hAnsi="Times New Roman" w:cs="Times New Roman"/>
          <w:i/>
          <w:iCs/>
        </w:rPr>
        <w:t>See also</w:t>
      </w:r>
      <w:r w:rsidRPr="00A97275">
        <w:rPr>
          <w:rFonts w:ascii="Times New Roman" w:hAnsi="Times New Roman" w:cs="Times New Roman"/>
        </w:rPr>
        <w:t>: https://www.epa.gov/system/files/documents/2022-02/fugitive-dust-control-best-practices.pdf</w:t>
      </w:r>
    </w:p>
  </w:footnote>
  <w:footnote w:id="32">
    <w:p w14:paraId="07FA7C67" w14:textId="0D4AAF1E" w:rsidR="00560AE6" w:rsidRPr="001D5CAA" w:rsidRDefault="00560AE6">
      <w:pPr>
        <w:pStyle w:val="FootnoteText"/>
        <w:rPr>
          <w:rFonts w:ascii="Times New Roman" w:hAnsi="Times New Roman" w:cs="Times New Roman"/>
        </w:rPr>
      </w:pPr>
      <w:r>
        <w:rPr>
          <w:rStyle w:val="FootnoteReference"/>
        </w:rPr>
        <w:footnoteRef/>
      </w:r>
      <w:r>
        <w:t xml:space="preserve"> </w:t>
      </w:r>
      <w:r w:rsidRPr="001D5CAA">
        <w:rPr>
          <w:rFonts w:ascii="Times New Roman" w:hAnsi="Times New Roman" w:cs="Times New Roman"/>
        </w:rPr>
        <w:t xml:space="preserve">Department of Natural Resources </w:t>
      </w:r>
      <w:r w:rsidR="00DF5ADD" w:rsidRPr="001D5CAA">
        <w:rPr>
          <w:rFonts w:ascii="Times New Roman" w:hAnsi="Times New Roman" w:cs="Times New Roman"/>
        </w:rPr>
        <w:t xml:space="preserve">Office </w:t>
      </w:r>
      <w:proofErr w:type="gramStart"/>
      <w:r w:rsidR="00DF5ADD" w:rsidRPr="001D5CAA">
        <w:rPr>
          <w:rFonts w:ascii="Times New Roman" w:hAnsi="Times New Roman" w:cs="Times New Roman"/>
        </w:rPr>
        <w:t>Of</w:t>
      </w:r>
      <w:proofErr w:type="gramEnd"/>
      <w:r w:rsidR="00DF5ADD" w:rsidRPr="001D5CAA">
        <w:rPr>
          <w:rFonts w:ascii="Times New Roman" w:hAnsi="Times New Roman" w:cs="Times New Roman"/>
        </w:rPr>
        <w:t xml:space="preserve"> Project Management And Permitting </w:t>
      </w:r>
      <w:r w:rsidRPr="001D5CAA">
        <w:rPr>
          <w:rFonts w:ascii="Times New Roman" w:hAnsi="Times New Roman" w:cs="Times New Roman"/>
        </w:rPr>
        <w:t xml:space="preserve">to </w:t>
      </w:r>
      <w:proofErr w:type="spellStart"/>
      <w:r w:rsidRPr="001D5CAA">
        <w:rPr>
          <w:rFonts w:ascii="Times New Roman" w:hAnsi="Times New Roman" w:cs="Times New Roman"/>
        </w:rPr>
        <w:t>Basia</w:t>
      </w:r>
      <w:proofErr w:type="spellEnd"/>
      <w:r w:rsidRPr="001D5CAA">
        <w:rPr>
          <w:rFonts w:ascii="Times New Roman" w:hAnsi="Times New Roman" w:cs="Times New Roman"/>
        </w:rPr>
        <w:t xml:space="preserve"> Trout</w:t>
      </w:r>
      <w:r w:rsidR="00DF5ADD">
        <w:rPr>
          <w:rFonts w:ascii="Times New Roman" w:hAnsi="Times New Roman" w:cs="Times New Roman"/>
        </w:rPr>
        <w:t>,</w:t>
      </w:r>
      <w:r w:rsidRPr="001D5CAA">
        <w:rPr>
          <w:rFonts w:ascii="Times New Roman" w:hAnsi="Times New Roman" w:cs="Times New Roman"/>
        </w:rPr>
        <w:t xml:space="preserve"> District Ranger.  March 30</w:t>
      </w:r>
      <w:r w:rsidRPr="001D5CAA">
        <w:rPr>
          <w:rFonts w:ascii="Times New Roman" w:hAnsi="Times New Roman" w:cs="Times New Roman"/>
          <w:vertAlign w:val="superscript"/>
        </w:rPr>
        <w:t>th</w:t>
      </w:r>
      <w:r w:rsidRPr="001D5CAA">
        <w:rPr>
          <w:rFonts w:ascii="Times New Roman" w:hAnsi="Times New Roman" w:cs="Times New Roman"/>
        </w:rPr>
        <w:t xml:space="preserve"> 2021.</w:t>
      </w:r>
    </w:p>
  </w:footnote>
  <w:footnote w:id="33">
    <w:p w14:paraId="007AB789" w14:textId="51D1314A" w:rsidR="00FD1AF2" w:rsidRPr="001D5CAA" w:rsidRDefault="00FD1AF2">
      <w:pPr>
        <w:pStyle w:val="FootnoteText"/>
        <w:rPr>
          <w:rFonts w:ascii="Times New Roman" w:hAnsi="Times New Roman" w:cs="Times New Roman"/>
        </w:rPr>
      </w:pPr>
      <w:r w:rsidRPr="001D5CAA">
        <w:rPr>
          <w:rStyle w:val="FootnoteReference"/>
          <w:rFonts w:ascii="Times New Roman" w:hAnsi="Times New Roman" w:cs="Times New Roman"/>
        </w:rPr>
        <w:footnoteRef/>
      </w:r>
      <w:r w:rsidRPr="001D5CAA">
        <w:rPr>
          <w:rFonts w:ascii="Times New Roman" w:hAnsi="Times New Roman" w:cs="Times New Roman"/>
        </w:rPr>
        <w:t xml:space="preserve"> </w:t>
      </w:r>
      <w:r w:rsidRPr="001D5CAA">
        <w:rPr>
          <w:rFonts w:ascii="Times New Roman" w:hAnsi="Times New Roman" w:cs="Times New Roman"/>
          <w:i/>
          <w:iCs/>
        </w:rPr>
        <w:t>See,</w:t>
      </w:r>
      <w:r w:rsidRPr="001D5CAA">
        <w:rPr>
          <w:rFonts w:ascii="Times New Roman" w:hAnsi="Times New Roman" w:cs="Times New Roman"/>
        </w:rPr>
        <w:t xml:space="preserve"> https://research.com/research/what-is-empirical-research</w:t>
      </w:r>
    </w:p>
  </w:footnote>
  <w:footnote w:id="34">
    <w:p w14:paraId="65429CE2" w14:textId="3802F43A" w:rsidR="00FD1AF2" w:rsidRPr="001D5CAA" w:rsidRDefault="00FD1AF2">
      <w:pPr>
        <w:pStyle w:val="FootnoteText"/>
        <w:rPr>
          <w:rFonts w:ascii="Times New Roman" w:hAnsi="Times New Roman" w:cs="Times New Roman"/>
        </w:rPr>
      </w:pPr>
      <w:r w:rsidRPr="001D5CAA">
        <w:rPr>
          <w:rStyle w:val="FootnoteReference"/>
          <w:rFonts w:ascii="Times New Roman" w:hAnsi="Times New Roman" w:cs="Times New Roman"/>
        </w:rPr>
        <w:footnoteRef/>
      </w:r>
      <w:r w:rsidRPr="001D5CAA">
        <w:rPr>
          <w:rFonts w:ascii="Times New Roman" w:hAnsi="Times New Roman" w:cs="Times New Roman"/>
        </w:rPr>
        <w:t xml:space="preserve"> See, https://en.wikipedia.org/wiki/Funding_bias</w:t>
      </w:r>
    </w:p>
  </w:footnote>
  <w:footnote w:id="35">
    <w:p w14:paraId="65FC0C99" w14:textId="09156A3F" w:rsidR="00AC577C" w:rsidRPr="001D5CAA" w:rsidRDefault="00AC577C">
      <w:pPr>
        <w:pStyle w:val="FootnoteText"/>
        <w:rPr>
          <w:rFonts w:ascii="Times New Roman" w:hAnsi="Times New Roman" w:cs="Times New Roman"/>
        </w:rPr>
      </w:pPr>
      <w:r w:rsidRPr="001D5CAA">
        <w:rPr>
          <w:rStyle w:val="FootnoteReference"/>
          <w:rFonts w:ascii="Times New Roman" w:hAnsi="Times New Roman" w:cs="Times New Roman"/>
        </w:rPr>
        <w:footnoteRef/>
      </w:r>
      <w:r w:rsidRPr="001D5CAA">
        <w:rPr>
          <w:rFonts w:ascii="Times New Roman" w:hAnsi="Times New Roman" w:cs="Times New Roman"/>
        </w:rPr>
        <w:t xml:space="preserve"> See, Opening Brief Before the Alaska Office </w:t>
      </w:r>
      <w:proofErr w:type="gramStart"/>
      <w:r w:rsidRPr="001D5CAA">
        <w:rPr>
          <w:rFonts w:ascii="Times New Roman" w:hAnsi="Times New Roman" w:cs="Times New Roman"/>
        </w:rPr>
        <w:t>Of</w:t>
      </w:r>
      <w:proofErr w:type="gramEnd"/>
      <w:r w:rsidRPr="001D5CAA">
        <w:rPr>
          <w:rFonts w:ascii="Times New Roman" w:hAnsi="Times New Roman" w:cs="Times New Roman"/>
        </w:rPr>
        <w:t xml:space="preserve"> Administrative Hearings On Referral From The Commissioner Of Environmental Conservation </w:t>
      </w:r>
      <w:proofErr w:type="spellStart"/>
      <w:r w:rsidRPr="001D5CAA">
        <w:rPr>
          <w:rFonts w:ascii="Times New Roman" w:hAnsi="Times New Roman" w:cs="Times New Roman"/>
        </w:rPr>
        <w:t>Chilkat</w:t>
      </w:r>
      <w:proofErr w:type="spellEnd"/>
      <w:r w:rsidRPr="001D5CAA">
        <w:rPr>
          <w:rFonts w:ascii="Times New Roman" w:hAnsi="Times New Roman" w:cs="Times New Roman"/>
        </w:rPr>
        <w:t xml:space="preserve"> Indian Village (</w:t>
      </w:r>
      <w:proofErr w:type="spellStart"/>
      <w:r w:rsidRPr="001D5CAA">
        <w:rPr>
          <w:rFonts w:ascii="Times New Roman" w:hAnsi="Times New Roman" w:cs="Times New Roman"/>
        </w:rPr>
        <w:t>Klukwan</w:t>
      </w:r>
      <w:proofErr w:type="spellEnd"/>
      <w:r w:rsidRPr="001D5CAA">
        <w:rPr>
          <w:rFonts w:ascii="Times New Roman" w:hAnsi="Times New Roman" w:cs="Times New Roman"/>
        </w:rPr>
        <w:t xml:space="preserve">), et.al; Requesters, V. Alaska Department Of Environmental Conservation, Division Of Water, and Constantine Metals </w:t>
      </w:r>
      <w:proofErr w:type="spellStart"/>
      <w:r w:rsidRPr="001D5CAA">
        <w:rPr>
          <w:rFonts w:ascii="Times New Roman" w:hAnsi="Times New Roman" w:cs="Times New Roman"/>
        </w:rPr>
        <w:t>Llc</w:t>
      </w:r>
      <w:proofErr w:type="spellEnd"/>
      <w:r w:rsidRPr="001D5CAA">
        <w:rPr>
          <w:rFonts w:ascii="Times New Roman" w:hAnsi="Times New Roman" w:cs="Times New Roman"/>
        </w:rPr>
        <w:t>, Respondents.</w:t>
      </w:r>
    </w:p>
  </w:footnote>
  <w:footnote w:id="36">
    <w:p w14:paraId="7F6A885A" w14:textId="1BE5B9E5" w:rsidR="003640A1" w:rsidRPr="00B01EF4" w:rsidRDefault="003640A1">
      <w:pPr>
        <w:pStyle w:val="FootnoteText"/>
        <w:rPr>
          <w:rFonts w:ascii="Times New Roman" w:hAnsi="Times New Roman" w:cs="Times New Roman"/>
        </w:rPr>
      </w:pPr>
      <w:r>
        <w:rPr>
          <w:rStyle w:val="FootnoteReference"/>
        </w:rPr>
        <w:footnoteRef/>
      </w:r>
      <w:r>
        <w:t xml:space="preserve"> </w:t>
      </w:r>
      <w:r w:rsidRPr="00B01EF4">
        <w:rPr>
          <w:rFonts w:ascii="Times New Roman" w:hAnsi="Times New Roman" w:cs="Times New Roman"/>
          <w:color w:val="333333"/>
          <w:shd w:val="clear" w:color="auto" w:fill="FCFCFC"/>
        </w:rPr>
        <w:t>Alexander, D.E. (1999). Bioaccumulation, bioconcentration, biomagnification. In: Environmental Geology. Encyclopedia of Earth Science. Springer, Dordrecht. https://doi.org/10.1007/1-4020-4494-1_31</w:t>
      </w:r>
      <w:r w:rsidRPr="00B01EF4">
        <w:rPr>
          <w:rFonts w:ascii="Times New Roman" w:hAnsi="Times New Roman" w:cs="Times New Roman"/>
        </w:rPr>
        <w:t xml:space="preserve">.  </w:t>
      </w:r>
    </w:p>
  </w:footnote>
  <w:footnote w:id="37">
    <w:p w14:paraId="5AED0918" w14:textId="0B4ED9E8" w:rsidR="00B01EF4" w:rsidRPr="00B01EF4" w:rsidRDefault="00B01EF4">
      <w:pPr>
        <w:pStyle w:val="FootnoteText"/>
        <w:rPr>
          <w:rFonts w:ascii="Times New Roman" w:hAnsi="Times New Roman" w:cs="Times New Roman"/>
        </w:rPr>
      </w:pPr>
      <w:r w:rsidRPr="00B01EF4">
        <w:rPr>
          <w:rStyle w:val="FootnoteReference"/>
          <w:rFonts w:ascii="Times New Roman" w:hAnsi="Times New Roman" w:cs="Times New Roman"/>
        </w:rPr>
        <w:footnoteRef/>
      </w:r>
      <w:r w:rsidRPr="00B01EF4">
        <w:rPr>
          <w:rFonts w:ascii="Times New Roman" w:hAnsi="Times New Roman" w:cs="Times New Roman"/>
        </w:rPr>
        <w:t xml:space="preserve"> Supra at 19</w:t>
      </w:r>
    </w:p>
  </w:footnote>
  <w:footnote w:id="38">
    <w:p w14:paraId="7A589B58" w14:textId="17A8FC9A" w:rsidR="009A477F" w:rsidRDefault="009A477F">
      <w:pPr>
        <w:pStyle w:val="FootnoteText"/>
      </w:pPr>
      <w:r>
        <w:rPr>
          <w:rStyle w:val="FootnoteReference"/>
        </w:rPr>
        <w:footnoteRef/>
      </w:r>
      <w:r>
        <w:t xml:space="preserve"> </w:t>
      </w:r>
      <w:r w:rsidRPr="009A477F">
        <w:rPr>
          <w:rFonts w:ascii="Times New Roman" w:hAnsi="Times New Roman" w:cs="Times New Roman"/>
        </w:rPr>
        <w:t>Available at: https://dnr.alaska.gov/mlw/mining/large-mines/greens-creek/pdf/2022-Hawk-Inlet-Monitoring-Report.pdf</w:t>
      </w:r>
    </w:p>
  </w:footnote>
  <w:footnote w:id="39">
    <w:p w14:paraId="66A60019" w14:textId="523D616B" w:rsidR="00257CB2" w:rsidRPr="00257CB2" w:rsidRDefault="00257CB2" w:rsidP="00257CB2">
      <w:pPr>
        <w:shd w:val="clear" w:color="auto" w:fill="FFFFFF"/>
        <w:rPr>
          <w:rFonts w:ascii="Times New Roman" w:eastAsia="Times New Roman" w:hAnsi="Times New Roman" w:cs="Times New Roman"/>
          <w:color w:val="2E2E2E"/>
          <w:sz w:val="20"/>
          <w:szCs w:val="20"/>
        </w:rPr>
      </w:pPr>
      <w:r>
        <w:rPr>
          <w:rStyle w:val="FootnoteReference"/>
        </w:rPr>
        <w:footnoteRef/>
      </w:r>
      <w:r>
        <w:t xml:space="preserve"> </w:t>
      </w:r>
      <w:r w:rsidRPr="00257CB2">
        <w:rPr>
          <w:rFonts w:ascii="Times New Roman" w:eastAsia="Times New Roman" w:hAnsi="Times New Roman" w:cs="Times New Roman"/>
          <w:color w:val="2E2E2E"/>
          <w:sz w:val="20"/>
          <w:szCs w:val="20"/>
        </w:rPr>
        <w:t>USEPA</w:t>
      </w:r>
      <w:r>
        <w:rPr>
          <w:rFonts w:ascii="Arial" w:eastAsia="Times New Roman" w:hAnsi="Arial" w:cs="Arial"/>
          <w:color w:val="2E2E2E"/>
          <w:sz w:val="20"/>
          <w:szCs w:val="20"/>
        </w:rPr>
        <w:t xml:space="preserve"> </w:t>
      </w:r>
      <w:r w:rsidRPr="00257CB2">
        <w:rPr>
          <w:rFonts w:ascii="Times New Roman" w:eastAsia="Times New Roman" w:hAnsi="Times New Roman" w:cs="Times New Roman"/>
          <w:color w:val="2E2E2E"/>
          <w:sz w:val="20"/>
          <w:szCs w:val="20"/>
        </w:rPr>
        <w:t>National Rivers and Streams Assessment Field Operations Manual, EPA-841-B-07-009</w:t>
      </w:r>
    </w:p>
    <w:p w14:paraId="12F567E9" w14:textId="095EB8D8" w:rsidR="00257CB2" w:rsidRDefault="00257CB2">
      <w:pPr>
        <w:pStyle w:val="FootnoteText"/>
      </w:pPr>
    </w:p>
  </w:footnote>
  <w:footnote w:id="40">
    <w:p w14:paraId="7F03D420" w14:textId="25EB5CDA" w:rsidR="00CA2A99" w:rsidRPr="00CC2E09" w:rsidRDefault="00CA2A99">
      <w:pPr>
        <w:pStyle w:val="FootnoteText"/>
        <w:rPr>
          <w:rFonts w:ascii="Times New Roman" w:hAnsi="Times New Roman" w:cs="Times New Roman"/>
        </w:rPr>
      </w:pPr>
      <w:r w:rsidRPr="00CC2E09">
        <w:rPr>
          <w:rStyle w:val="FootnoteReference"/>
          <w:rFonts w:ascii="Times New Roman" w:hAnsi="Times New Roman" w:cs="Times New Roman"/>
        </w:rPr>
        <w:footnoteRef/>
      </w:r>
      <w:r w:rsidRPr="00CC2E09">
        <w:rPr>
          <w:rFonts w:ascii="Times New Roman" w:hAnsi="Times New Roman" w:cs="Times New Roman"/>
        </w:rPr>
        <w:t xml:space="preserve"> Total carbon pools for all national forests obtained from Congressional Research Service. 2020. </w:t>
      </w:r>
      <w:proofErr w:type="gramStart"/>
      <w:r w:rsidRPr="00CC2E09">
        <w:rPr>
          <w:rFonts w:ascii="Times New Roman" w:hAnsi="Times New Roman" w:cs="Times New Roman"/>
        </w:rPr>
        <w:t>U.S. forest</w:t>
      </w:r>
      <w:proofErr w:type="gramEnd"/>
      <w:r w:rsidRPr="00CC2E09">
        <w:rPr>
          <w:rFonts w:ascii="Times New Roman" w:hAnsi="Times New Roman" w:cs="Times New Roman"/>
        </w:rPr>
        <w:t xml:space="preserve"> carbon data: in brief. https://fas.org/sgp/crs/misc/R46313.pdf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1838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ED9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5A8349C"/>
    <w:multiLevelType w:val="hybridMultilevel"/>
    <w:tmpl w:val="94F61658"/>
    <w:lvl w:ilvl="0" w:tplc="BFDCDB8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FE7334"/>
    <w:multiLevelType w:val="hybridMultilevel"/>
    <w:tmpl w:val="33DCD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C60BDF"/>
    <w:multiLevelType w:val="hybridMultilevel"/>
    <w:tmpl w:val="AD366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50F16"/>
    <w:multiLevelType w:val="hybridMultilevel"/>
    <w:tmpl w:val="0E985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D8428F"/>
    <w:multiLevelType w:val="hybridMultilevel"/>
    <w:tmpl w:val="EA6E1BFE"/>
    <w:lvl w:ilvl="0" w:tplc="04090001">
      <w:start w:val="1"/>
      <w:numFmt w:val="bullet"/>
      <w:lvlText w:val=""/>
      <w:lvlJc w:val="left"/>
      <w:pPr>
        <w:ind w:left="720" w:hanging="360"/>
      </w:pPr>
      <w:rPr>
        <w:rFonts w:ascii="Symbol" w:hAnsi="Symbol" w:hint="default"/>
      </w:rPr>
    </w:lvl>
    <w:lvl w:ilvl="1" w:tplc="634CE65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D7FCD"/>
    <w:multiLevelType w:val="hybridMultilevel"/>
    <w:tmpl w:val="664A903C"/>
    <w:lvl w:ilvl="0" w:tplc="FB5A51C4">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E979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A7A35BE"/>
    <w:multiLevelType w:val="multilevel"/>
    <w:tmpl w:val="FDF65E9A"/>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0" w15:restartNumberingAfterBreak="0">
    <w:nsid w:val="5BCF6433"/>
    <w:multiLevelType w:val="hybridMultilevel"/>
    <w:tmpl w:val="7E82ACDC"/>
    <w:lvl w:ilvl="0" w:tplc="003099C2">
      <w:start w:val="2"/>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7543F04"/>
    <w:multiLevelType w:val="hybridMultilevel"/>
    <w:tmpl w:val="45AAD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75477D"/>
    <w:multiLevelType w:val="multilevel"/>
    <w:tmpl w:val="AF92F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1D1E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C19223F"/>
    <w:multiLevelType w:val="hybridMultilevel"/>
    <w:tmpl w:val="33CA5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5116271">
    <w:abstractNumId w:val="14"/>
  </w:num>
  <w:num w:numId="2" w16cid:durableId="240217247">
    <w:abstractNumId w:val="2"/>
  </w:num>
  <w:num w:numId="3" w16cid:durableId="620645745">
    <w:abstractNumId w:val="11"/>
  </w:num>
  <w:num w:numId="4" w16cid:durableId="888153513">
    <w:abstractNumId w:val="5"/>
  </w:num>
  <w:num w:numId="5" w16cid:durableId="171573660">
    <w:abstractNumId w:val="7"/>
  </w:num>
  <w:num w:numId="6" w16cid:durableId="789516008">
    <w:abstractNumId w:val="3"/>
  </w:num>
  <w:num w:numId="7" w16cid:durableId="1935359142">
    <w:abstractNumId w:val="0"/>
  </w:num>
  <w:num w:numId="8" w16cid:durableId="1339306459">
    <w:abstractNumId w:val="6"/>
  </w:num>
  <w:num w:numId="9" w16cid:durableId="542257413">
    <w:abstractNumId w:val="4"/>
  </w:num>
  <w:num w:numId="10" w16cid:durableId="1619726932">
    <w:abstractNumId w:val="12"/>
  </w:num>
  <w:num w:numId="11" w16cid:durableId="1776630036">
    <w:abstractNumId w:val="9"/>
  </w:num>
  <w:num w:numId="12" w16cid:durableId="1022979277">
    <w:abstractNumId w:val="10"/>
  </w:num>
  <w:num w:numId="13" w16cid:durableId="1102994955">
    <w:abstractNumId w:val="8"/>
  </w:num>
  <w:num w:numId="14" w16cid:durableId="1906840485">
    <w:abstractNumId w:val="13"/>
  </w:num>
  <w:num w:numId="15" w16cid:durableId="653922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7"/>
    <w:rsid w:val="000016DC"/>
    <w:rsid w:val="00001CE7"/>
    <w:rsid w:val="00011E1B"/>
    <w:rsid w:val="0003129D"/>
    <w:rsid w:val="00037571"/>
    <w:rsid w:val="000435F5"/>
    <w:rsid w:val="000558C8"/>
    <w:rsid w:val="000977A8"/>
    <w:rsid w:val="000A558C"/>
    <w:rsid w:val="000C354D"/>
    <w:rsid w:val="000D0354"/>
    <w:rsid w:val="000D613A"/>
    <w:rsid w:val="000F42E8"/>
    <w:rsid w:val="001010F0"/>
    <w:rsid w:val="00106F8B"/>
    <w:rsid w:val="0012005C"/>
    <w:rsid w:val="00122CD9"/>
    <w:rsid w:val="001252A1"/>
    <w:rsid w:val="001259B7"/>
    <w:rsid w:val="00145C76"/>
    <w:rsid w:val="00174B3C"/>
    <w:rsid w:val="00175F85"/>
    <w:rsid w:val="00182BE6"/>
    <w:rsid w:val="00184060"/>
    <w:rsid w:val="00184D7E"/>
    <w:rsid w:val="0018683F"/>
    <w:rsid w:val="001D5CAA"/>
    <w:rsid w:val="001F5135"/>
    <w:rsid w:val="00227EB8"/>
    <w:rsid w:val="00237641"/>
    <w:rsid w:val="0024029C"/>
    <w:rsid w:val="00253421"/>
    <w:rsid w:val="00257CB2"/>
    <w:rsid w:val="00262F14"/>
    <w:rsid w:val="002639E4"/>
    <w:rsid w:val="00274B57"/>
    <w:rsid w:val="00276500"/>
    <w:rsid w:val="00277280"/>
    <w:rsid w:val="002921AC"/>
    <w:rsid w:val="002B247B"/>
    <w:rsid w:val="002B7289"/>
    <w:rsid w:val="002C01E9"/>
    <w:rsid w:val="002C3E07"/>
    <w:rsid w:val="002C4EEF"/>
    <w:rsid w:val="00326F97"/>
    <w:rsid w:val="003278E1"/>
    <w:rsid w:val="00342B48"/>
    <w:rsid w:val="00342D39"/>
    <w:rsid w:val="003640A1"/>
    <w:rsid w:val="00365009"/>
    <w:rsid w:val="00367BB1"/>
    <w:rsid w:val="00371987"/>
    <w:rsid w:val="003828A0"/>
    <w:rsid w:val="00383035"/>
    <w:rsid w:val="003A0144"/>
    <w:rsid w:val="003B3274"/>
    <w:rsid w:val="003B46F6"/>
    <w:rsid w:val="003D62B7"/>
    <w:rsid w:val="00413191"/>
    <w:rsid w:val="00453980"/>
    <w:rsid w:val="004772C7"/>
    <w:rsid w:val="00484247"/>
    <w:rsid w:val="00484B2F"/>
    <w:rsid w:val="004A208F"/>
    <w:rsid w:val="004D3796"/>
    <w:rsid w:val="004F2185"/>
    <w:rsid w:val="004F606A"/>
    <w:rsid w:val="00504B58"/>
    <w:rsid w:val="00506C76"/>
    <w:rsid w:val="00510721"/>
    <w:rsid w:val="00511D19"/>
    <w:rsid w:val="0052638F"/>
    <w:rsid w:val="00535692"/>
    <w:rsid w:val="005409B1"/>
    <w:rsid w:val="00544492"/>
    <w:rsid w:val="005470CC"/>
    <w:rsid w:val="00560AE6"/>
    <w:rsid w:val="00581483"/>
    <w:rsid w:val="005A50BA"/>
    <w:rsid w:val="005E0DE2"/>
    <w:rsid w:val="005E19AA"/>
    <w:rsid w:val="005E6FFA"/>
    <w:rsid w:val="00607AA8"/>
    <w:rsid w:val="0061385D"/>
    <w:rsid w:val="006176A4"/>
    <w:rsid w:val="00662A33"/>
    <w:rsid w:val="00671D8D"/>
    <w:rsid w:val="0068165C"/>
    <w:rsid w:val="006A01F3"/>
    <w:rsid w:val="006A3D23"/>
    <w:rsid w:val="006C3813"/>
    <w:rsid w:val="006D52CE"/>
    <w:rsid w:val="006E1985"/>
    <w:rsid w:val="00711D68"/>
    <w:rsid w:val="00771780"/>
    <w:rsid w:val="007A0FBF"/>
    <w:rsid w:val="007A1CCE"/>
    <w:rsid w:val="007A3031"/>
    <w:rsid w:val="007A52D7"/>
    <w:rsid w:val="007B1369"/>
    <w:rsid w:val="007B4E0E"/>
    <w:rsid w:val="007B6984"/>
    <w:rsid w:val="007C1F25"/>
    <w:rsid w:val="007D0C4E"/>
    <w:rsid w:val="007F0357"/>
    <w:rsid w:val="007F2CD2"/>
    <w:rsid w:val="00803E2F"/>
    <w:rsid w:val="00806430"/>
    <w:rsid w:val="00821BD2"/>
    <w:rsid w:val="00821E95"/>
    <w:rsid w:val="00854101"/>
    <w:rsid w:val="00855DD8"/>
    <w:rsid w:val="00872BD3"/>
    <w:rsid w:val="008A1B8D"/>
    <w:rsid w:val="008B1363"/>
    <w:rsid w:val="008B5841"/>
    <w:rsid w:val="008D3365"/>
    <w:rsid w:val="008E6916"/>
    <w:rsid w:val="009209E7"/>
    <w:rsid w:val="009373DF"/>
    <w:rsid w:val="009441A9"/>
    <w:rsid w:val="00983350"/>
    <w:rsid w:val="009A17AA"/>
    <w:rsid w:val="009A477F"/>
    <w:rsid w:val="009B4E51"/>
    <w:rsid w:val="009B783F"/>
    <w:rsid w:val="009D4945"/>
    <w:rsid w:val="009D4DE0"/>
    <w:rsid w:val="009E2481"/>
    <w:rsid w:val="009F0047"/>
    <w:rsid w:val="009F106E"/>
    <w:rsid w:val="00A036F8"/>
    <w:rsid w:val="00A11655"/>
    <w:rsid w:val="00A123F6"/>
    <w:rsid w:val="00A2732C"/>
    <w:rsid w:val="00A36816"/>
    <w:rsid w:val="00A453E0"/>
    <w:rsid w:val="00A5129A"/>
    <w:rsid w:val="00A53F11"/>
    <w:rsid w:val="00A77708"/>
    <w:rsid w:val="00A91085"/>
    <w:rsid w:val="00A93B56"/>
    <w:rsid w:val="00A97275"/>
    <w:rsid w:val="00AA7FCD"/>
    <w:rsid w:val="00AB1D65"/>
    <w:rsid w:val="00AC577C"/>
    <w:rsid w:val="00AC6730"/>
    <w:rsid w:val="00AE17C4"/>
    <w:rsid w:val="00AF1964"/>
    <w:rsid w:val="00AF381C"/>
    <w:rsid w:val="00AF5393"/>
    <w:rsid w:val="00B01EF4"/>
    <w:rsid w:val="00B02051"/>
    <w:rsid w:val="00B06709"/>
    <w:rsid w:val="00B12AEF"/>
    <w:rsid w:val="00B34027"/>
    <w:rsid w:val="00B410DA"/>
    <w:rsid w:val="00B5237A"/>
    <w:rsid w:val="00B54AED"/>
    <w:rsid w:val="00B55D66"/>
    <w:rsid w:val="00B753EE"/>
    <w:rsid w:val="00B85606"/>
    <w:rsid w:val="00B92911"/>
    <w:rsid w:val="00B93B5C"/>
    <w:rsid w:val="00BA17A2"/>
    <w:rsid w:val="00BA38F7"/>
    <w:rsid w:val="00BB5129"/>
    <w:rsid w:val="00BC1108"/>
    <w:rsid w:val="00BC1EEB"/>
    <w:rsid w:val="00BE08CA"/>
    <w:rsid w:val="00BE3F82"/>
    <w:rsid w:val="00BE704C"/>
    <w:rsid w:val="00BF0E48"/>
    <w:rsid w:val="00C0509A"/>
    <w:rsid w:val="00C137BE"/>
    <w:rsid w:val="00C540A9"/>
    <w:rsid w:val="00C57BED"/>
    <w:rsid w:val="00C720ED"/>
    <w:rsid w:val="00C93F92"/>
    <w:rsid w:val="00CA0823"/>
    <w:rsid w:val="00CA1266"/>
    <w:rsid w:val="00CA2A99"/>
    <w:rsid w:val="00CA2C9A"/>
    <w:rsid w:val="00CA3535"/>
    <w:rsid w:val="00CB1680"/>
    <w:rsid w:val="00CB2672"/>
    <w:rsid w:val="00CB4C00"/>
    <w:rsid w:val="00CB6D21"/>
    <w:rsid w:val="00CC296E"/>
    <w:rsid w:val="00CC2E09"/>
    <w:rsid w:val="00CD6726"/>
    <w:rsid w:val="00CE0056"/>
    <w:rsid w:val="00CF440D"/>
    <w:rsid w:val="00D14527"/>
    <w:rsid w:val="00D24999"/>
    <w:rsid w:val="00D27ADE"/>
    <w:rsid w:val="00D34B95"/>
    <w:rsid w:val="00D46FD3"/>
    <w:rsid w:val="00D73C70"/>
    <w:rsid w:val="00D80C59"/>
    <w:rsid w:val="00D81F35"/>
    <w:rsid w:val="00DB7422"/>
    <w:rsid w:val="00DC3BB1"/>
    <w:rsid w:val="00DE2B2C"/>
    <w:rsid w:val="00DE30B8"/>
    <w:rsid w:val="00DF5ADD"/>
    <w:rsid w:val="00E27D70"/>
    <w:rsid w:val="00E30EE2"/>
    <w:rsid w:val="00E3454C"/>
    <w:rsid w:val="00E3696C"/>
    <w:rsid w:val="00E71938"/>
    <w:rsid w:val="00E800F0"/>
    <w:rsid w:val="00E9546A"/>
    <w:rsid w:val="00EC0BD9"/>
    <w:rsid w:val="00ED00B7"/>
    <w:rsid w:val="00ED3BDF"/>
    <w:rsid w:val="00EE03CF"/>
    <w:rsid w:val="00F151EE"/>
    <w:rsid w:val="00F27445"/>
    <w:rsid w:val="00F30935"/>
    <w:rsid w:val="00F42DFA"/>
    <w:rsid w:val="00F70B6F"/>
    <w:rsid w:val="00F74FD7"/>
    <w:rsid w:val="00F84B1A"/>
    <w:rsid w:val="00F940E0"/>
    <w:rsid w:val="00FB4911"/>
    <w:rsid w:val="00FB65B9"/>
    <w:rsid w:val="00FD03F8"/>
    <w:rsid w:val="00FD1664"/>
    <w:rsid w:val="00FD1AF2"/>
    <w:rsid w:val="00FD3F55"/>
    <w:rsid w:val="00FE0565"/>
    <w:rsid w:val="00FE2899"/>
    <w:rsid w:val="00FE392C"/>
    <w:rsid w:val="00FF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CD24"/>
  <w15:chartTrackingRefBased/>
  <w15:docId w15:val="{43666E45-6045-49FB-86A9-855A7CAA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80"/>
  </w:style>
  <w:style w:type="paragraph" w:styleId="Heading1">
    <w:name w:val="heading 1"/>
    <w:basedOn w:val="Normal"/>
    <w:next w:val="Normal"/>
    <w:link w:val="Heading1Char"/>
    <w:uiPriority w:val="9"/>
    <w:qFormat/>
    <w:rsid w:val="00B340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765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200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500"/>
    <w:rPr>
      <w:color w:val="0563C1" w:themeColor="hyperlink"/>
      <w:u w:val="single"/>
    </w:rPr>
  </w:style>
  <w:style w:type="character" w:styleId="UnresolvedMention">
    <w:name w:val="Unresolved Mention"/>
    <w:basedOn w:val="DefaultParagraphFont"/>
    <w:uiPriority w:val="99"/>
    <w:semiHidden/>
    <w:unhideWhenUsed/>
    <w:rsid w:val="00276500"/>
    <w:rPr>
      <w:color w:val="605E5C"/>
      <w:shd w:val="clear" w:color="auto" w:fill="E1DFDD"/>
    </w:rPr>
  </w:style>
  <w:style w:type="paragraph" w:styleId="ListParagraph">
    <w:name w:val="List Paragraph"/>
    <w:basedOn w:val="Normal"/>
    <w:uiPriority w:val="34"/>
    <w:qFormat/>
    <w:rsid w:val="00276500"/>
    <w:pPr>
      <w:ind w:left="720"/>
      <w:contextualSpacing/>
    </w:pPr>
  </w:style>
  <w:style w:type="character" w:customStyle="1" w:styleId="Heading2Char">
    <w:name w:val="Heading 2 Char"/>
    <w:basedOn w:val="DefaultParagraphFont"/>
    <w:link w:val="Heading2"/>
    <w:uiPriority w:val="9"/>
    <w:rsid w:val="0027650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765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6500"/>
    <w:rPr>
      <w:i/>
      <w:iCs/>
    </w:rPr>
  </w:style>
  <w:style w:type="character" w:customStyle="1" w:styleId="paragraph-hierarchy">
    <w:name w:val="paragraph-hierarchy"/>
    <w:basedOn w:val="DefaultParagraphFont"/>
    <w:rsid w:val="00276500"/>
  </w:style>
  <w:style w:type="character" w:customStyle="1" w:styleId="paren">
    <w:name w:val="paren"/>
    <w:basedOn w:val="DefaultParagraphFont"/>
    <w:rsid w:val="00276500"/>
  </w:style>
  <w:style w:type="character" w:styleId="FollowedHyperlink">
    <w:name w:val="FollowedHyperlink"/>
    <w:basedOn w:val="DefaultParagraphFont"/>
    <w:uiPriority w:val="99"/>
    <w:semiHidden/>
    <w:unhideWhenUsed/>
    <w:rsid w:val="00276500"/>
    <w:rPr>
      <w:color w:val="954F72" w:themeColor="followedHyperlink"/>
      <w:u w:val="single"/>
    </w:rPr>
  </w:style>
  <w:style w:type="paragraph" w:styleId="FootnoteText">
    <w:name w:val="footnote text"/>
    <w:basedOn w:val="Normal"/>
    <w:link w:val="FootnoteTextChar"/>
    <w:uiPriority w:val="99"/>
    <w:semiHidden/>
    <w:unhideWhenUsed/>
    <w:rsid w:val="00B929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2911"/>
    <w:rPr>
      <w:sz w:val="20"/>
      <w:szCs w:val="20"/>
    </w:rPr>
  </w:style>
  <w:style w:type="character" w:styleId="FootnoteReference">
    <w:name w:val="footnote reference"/>
    <w:basedOn w:val="DefaultParagraphFont"/>
    <w:uiPriority w:val="99"/>
    <w:semiHidden/>
    <w:unhideWhenUsed/>
    <w:rsid w:val="00B92911"/>
    <w:rPr>
      <w:vertAlign w:val="superscript"/>
    </w:rPr>
  </w:style>
  <w:style w:type="character" w:styleId="Strong">
    <w:name w:val="Strong"/>
    <w:basedOn w:val="DefaultParagraphFont"/>
    <w:uiPriority w:val="22"/>
    <w:qFormat/>
    <w:rsid w:val="00607AA8"/>
    <w:rPr>
      <w:b/>
      <w:bCs/>
    </w:rPr>
  </w:style>
  <w:style w:type="character" w:customStyle="1" w:styleId="markedcontent">
    <w:name w:val="markedcontent"/>
    <w:basedOn w:val="DefaultParagraphFont"/>
    <w:rsid w:val="000558C8"/>
  </w:style>
  <w:style w:type="character" w:customStyle="1" w:styleId="highlight">
    <w:name w:val="highlight"/>
    <w:basedOn w:val="DefaultParagraphFont"/>
    <w:rsid w:val="000558C8"/>
  </w:style>
  <w:style w:type="character" w:customStyle="1" w:styleId="Heading1Char">
    <w:name w:val="Heading 1 Char"/>
    <w:basedOn w:val="DefaultParagraphFont"/>
    <w:link w:val="Heading1"/>
    <w:uiPriority w:val="9"/>
    <w:rsid w:val="00B34027"/>
    <w:rPr>
      <w:rFonts w:asciiTheme="majorHAnsi" w:eastAsiaTheme="majorEastAsia" w:hAnsiTheme="majorHAnsi" w:cstheme="majorBidi"/>
      <w:color w:val="2F5496" w:themeColor="accent1" w:themeShade="BF"/>
      <w:sz w:val="32"/>
      <w:szCs w:val="32"/>
    </w:rPr>
  </w:style>
  <w:style w:type="paragraph" w:customStyle="1" w:styleId="tb-heading">
    <w:name w:val="tb-heading"/>
    <w:basedOn w:val="Normal"/>
    <w:rsid w:val="00B523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2005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12005C"/>
    <w:rPr>
      <w:rFonts w:asciiTheme="majorHAnsi" w:eastAsiaTheme="majorEastAsia" w:hAnsiTheme="majorHAnsi" w:cstheme="majorBidi"/>
      <w:color w:val="1F3763" w:themeColor="accent1" w:themeShade="7F"/>
      <w:sz w:val="24"/>
      <w:szCs w:val="24"/>
    </w:rPr>
  </w:style>
  <w:style w:type="paragraph" w:customStyle="1" w:styleId="statutory-body">
    <w:name w:val="statutory-body"/>
    <w:basedOn w:val="Normal"/>
    <w:rsid w:val="00120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120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credit">
    <w:name w:val="source-credit"/>
    <w:basedOn w:val="Normal"/>
    <w:rsid w:val="00120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hapter-book-details">
    <w:name w:val="c-chapter-book-details"/>
    <w:basedOn w:val="Normal"/>
    <w:rsid w:val="00B93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hapter-book-detailsmeta">
    <w:name w:val="c-chapter-book-details__meta"/>
    <w:basedOn w:val="DefaultParagraphFont"/>
    <w:rsid w:val="00B93B5C"/>
  </w:style>
  <w:style w:type="paragraph" w:customStyle="1" w:styleId="c-breadcrumbsitem">
    <w:name w:val="c-breadcrumbs__item"/>
    <w:basedOn w:val="Normal"/>
    <w:rsid w:val="00B93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7A1CCE"/>
  </w:style>
  <w:style w:type="character" w:customStyle="1" w:styleId="et03">
    <w:name w:val="et03"/>
    <w:basedOn w:val="DefaultParagraphFont"/>
    <w:rsid w:val="00854101"/>
  </w:style>
  <w:style w:type="character" w:customStyle="1" w:styleId="enumxml">
    <w:name w:val="enumxml"/>
    <w:basedOn w:val="DefaultParagraphFont"/>
    <w:rsid w:val="00854101"/>
  </w:style>
  <w:style w:type="paragraph" w:styleId="Header">
    <w:name w:val="header"/>
    <w:basedOn w:val="Normal"/>
    <w:link w:val="HeaderChar"/>
    <w:uiPriority w:val="99"/>
    <w:unhideWhenUsed/>
    <w:rsid w:val="00EC0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BD9"/>
  </w:style>
  <w:style w:type="paragraph" w:styleId="Footer">
    <w:name w:val="footer"/>
    <w:basedOn w:val="Normal"/>
    <w:link w:val="FooterChar"/>
    <w:uiPriority w:val="99"/>
    <w:unhideWhenUsed/>
    <w:rsid w:val="00EC0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BD9"/>
  </w:style>
  <w:style w:type="character" w:customStyle="1" w:styleId="epub-sectionitem">
    <w:name w:val="epub-section__item"/>
    <w:basedOn w:val="DefaultParagraphFont"/>
    <w:rsid w:val="00F940E0"/>
  </w:style>
  <w:style w:type="character" w:customStyle="1" w:styleId="epub-sectionstate">
    <w:name w:val="epub-section__state"/>
    <w:basedOn w:val="DefaultParagraphFont"/>
    <w:rsid w:val="00F940E0"/>
  </w:style>
  <w:style w:type="character" w:customStyle="1" w:styleId="epub-sectiondate">
    <w:name w:val="epub-section__date"/>
    <w:basedOn w:val="DefaultParagraphFont"/>
    <w:rsid w:val="00F94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031">
      <w:bodyDiv w:val="1"/>
      <w:marLeft w:val="0"/>
      <w:marRight w:val="0"/>
      <w:marTop w:val="0"/>
      <w:marBottom w:val="0"/>
      <w:divBdr>
        <w:top w:val="none" w:sz="0" w:space="0" w:color="auto"/>
        <w:left w:val="none" w:sz="0" w:space="0" w:color="auto"/>
        <w:bottom w:val="none" w:sz="0" w:space="0" w:color="auto"/>
        <w:right w:val="none" w:sz="0" w:space="0" w:color="auto"/>
      </w:divBdr>
    </w:div>
    <w:div w:id="207450797">
      <w:bodyDiv w:val="1"/>
      <w:marLeft w:val="0"/>
      <w:marRight w:val="0"/>
      <w:marTop w:val="0"/>
      <w:marBottom w:val="0"/>
      <w:divBdr>
        <w:top w:val="none" w:sz="0" w:space="0" w:color="auto"/>
        <w:left w:val="none" w:sz="0" w:space="0" w:color="auto"/>
        <w:bottom w:val="none" w:sz="0" w:space="0" w:color="auto"/>
        <w:right w:val="none" w:sz="0" w:space="0" w:color="auto"/>
      </w:divBdr>
      <w:divsChild>
        <w:div w:id="1355762152">
          <w:marLeft w:val="0"/>
          <w:marRight w:val="0"/>
          <w:marTop w:val="0"/>
          <w:marBottom w:val="0"/>
          <w:divBdr>
            <w:top w:val="single" w:sz="6" w:space="12" w:color="CCCCCC"/>
            <w:left w:val="single" w:sz="6" w:space="12" w:color="CCCCCC"/>
            <w:bottom w:val="single" w:sz="6" w:space="12" w:color="CCCCCC"/>
            <w:right w:val="single" w:sz="6" w:space="12" w:color="CCCCCC"/>
          </w:divBdr>
          <w:divsChild>
            <w:div w:id="1360084435">
              <w:marLeft w:val="0"/>
              <w:marRight w:val="0"/>
              <w:marTop w:val="0"/>
              <w:marBottom w:val="0"/>
              <w:divBdr>
                <w:top w:val="none" w:sz="0" w:space="0" w:color="auto"/>
                <w:left w:val="none" w:sz="0" w:space="0" w:color="auto"/>
                <w:bottom w:val="none" w:sz="0" w:space="0" w:color="auto"/>
                <w:right w:val="none" w:sz="0" w:space="0" w:color="auto"/>
              </w:divBdr>
              <w:divsChild>
                <w:div w:id="1587302808">
                  <w:marLeft w:val="0"/>
                  <w:marRight w:val="0"/>
                  <w:marTop w:val="0"/>
                  <w:marBottom w:val="0"/>
                  <w:divBdr>
                    <w:top w:val="none" w:sz="0" w:space="0" w:color="auto"/>
                    <w:left w:val="none" w:sz="0" w:space="0" w:color="auto"/>
                    <w:bottom w:val="none" w:sz="0" w:space="0" w:color="auto"/>
                    <w:right w:val="none" w:sz="0" w:space="0" w:color="auto"/>
                  </w:divBdr>
                  <w:divsChild>
                    <w:div w:id="73940815">
                      <w:marLeft w:val="0"/>
                      <w:marRight w:val="0"/>
                      <w:marTop w:val="0"/>
                      <w:marBottom w:val="0"/>
                      <w:divBdr>
                        <w:top w:val="none" w:sz="0" w:space="0" w:color="auto"/>
                        <w:left w:val="none" w:sz="0" w:space="0" w:color="auto"/>
                        <w:bottom w:val="none" w:sz="0" w:space="0" w:color="auto"/>
                        <w:right w:val="none" w:sz="0" w:space="0" w:color="auto"/>
                      </w:divBdr>
                      <w:divsChild>
                        <w:div w:id="936329298">
                          <w:marLeft w:val="0"/>
                          <w:marRight w:val="240"/>
                          <w:marTop w:val="0"/>
                          <w:marBottom w:val="0"/>
                          <w:divBdr>
                            <w:top w:val="none" w:sz="0" w:space="0" w:color="auto"/>
                            <w:left w:val="none" w:sz="0" w:space="0" w:color="auto"/>
                            <w:bottom w:val="none" w:sz="0" w:space="0" w:color="auto"/>
                            <w:right w:val="none" w:sz="0" w:space="0" w:color="auto"/>
                          </w:divBdr>
                          <w:divsChild>
                            <w:div w:id="1836610429">
                              <w:marLeft w:val="0"/>
                              <w:marRight w:val="0"/>
                              <w:marTop w:val="0"/>
                              <w:marBottom w:val="0"/>
                              <w:divBdr>
                                <w:top w:val="none" w:sz="0" w:space="0" w:color="auto"/>
                                <w:left w:val="none" w:sz="0" w:space="0" w:color="auto"/>
                                <w:bottom w:val="none" w:sz="0" w:space="0" w:color="auto"/>
                                <w:right w:val="none" w:sz="0" w:space="0" w:color="auto"/>
                              </w:divBdr>
                            </w:div>
                          </w:divsChild>
                        </w:div>
                        <w:div w:id="365104062">
                          <w:marLeft w:val="0"/>
                          <w:marRight w:val="0"/>
                          <w:marTop w:val="0"/>
                          <w:marBottom w:val="0"/>
                          <w:divBdr>
                            <w:top w:val="none" w:sz="0" w:space="0" w:color="auto"/>
                            <w:left w:val="none" w:sz="0" w:space="0" w:color="auto"/>
                            <w:bottom w:val="none" w:sz="0" w:space="0" w:color="auto"/>
                            <w:right w:val="none" w:sz="0" w:space="0" w:color="auto"/>
                          </w:divBdr>
                        </w:div>
                        <w:div w:id="315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027921">
          <w:marLeft w:val="0"/>
          <w:marRight w:val="0"/>
          <w:marTop w:val="0"/>
          <w:marBottom w:val="600"/>
          <w:divBdr>
            <w:top w:val="none" w:sz="0" w:space="0" w:color="auto"/>
            <w:left w:val="none" w:sz="0" w:space="0" w:color="auto"/>
            <w:bottom w:val="none" w:sz="0" w:space="0" w:color="auto"/>
            <w:right w:val="none" w:sz="0" w:space="0" w:color="auto"/>
          </w:divBdr>
        </w:div>
      </w:divsChild>
    </w:div>
    <w:div w:id="228153191">
      <w:bodyDiv w:val="1"/>
      <w:marLeft w:val="0"/>
      <w:marRight w:val="0"/>
      <w:marTop w:val="0"/>
      <w:marBottom w:val="0"/>
      <w:divBdr>
        <w:top w:val="none" w:sz="0" w:space="0" w:color="auto"/>
        <w:left w:val="none" w:sz="0" w:space="0" w:color="auto"/>
        <w:bottom w:val="none" w:sz="0" w:space="0" w:color="auto"/>
        <w:right w:val="none" w:sz="0" w:space="0" w:color="auto"/>
      </w:divBdr>
    </w:div>
    <w:div w:id="440689395">
      <w:bodyDiv w:val="1"/>
      <w:marLeft w:val="0"/>
      <w:marRight w:val="0"/>
      <w:marTop w:val="0"/>
      <w:marBottom w:val="0"/>
      <w:divBdr>
        <w:top w:val="none" w:sz="0" w:space="0" w:color="auto"/>
        <w:left w:val="none" w:sz="0" w:space="0" w:color="auto"/>
        <w:bottom w:val="none" w:sz="0" w:space="0" w:color="auto"/>
        <w:right w:val="none" w:sz="0" w:space="0" w:color="auto"/>
      </w:divBdr>
      <w:divsChild>
        <w:div w:id="982924350">
          <w:marLeft w:val="0"/>
          <w:marRight w:val="0"/>
          <w:marTop w:val="0"/>
          <w:marBottom w:val="0"/>
          <w:divBdr>
            <w:top w:val="none" w:sz="0" w:space="0" w:color="auto"/>
            <w:left w:val="none" w:sz="0" w:space="0" w:color="auto"/>
            <w:bottom w:val="none" w:sz="0" w:space="0" w:color="auto"/>
            <w:right w:val="none" w:sz="0" w:space="0" w:color="auto"/>
          </w:divBdr>
        </w:div>
        <w:div w:id="775953314">
          <w:marLeft w:val="0"/>
          <w:marRight w:val="0"/>
          <w:marTop w:val="0"/>
          <w:marBottom w:val="0"/>
          <w:divBdr>
            <w:top w:val="none" w:sz="0" w:space="0" w:color="auto"/>
            <w:left w:val="none" w:sz="0" w:space="0" w:color="auto"/>
            <w:bottom w:val="none" w:sz="0" w:space="0" w:color="auto"/>
            <w:right w:val="none" w:sz="0" w:space="0" w:color="auto"/>
          </w:divBdr>
        </w:div>
        <w:div w:id="740253383">
          <w:marLeft w:val="0"/>
          <w:marRight w:val="0"/>
          <w:marTop w:val="0"/>
          <w:marBottom w:val="0"/>
          <w:divBdr>
            <w:top w:val="none" w:sz="0" w:space="0" w:color="auto"/>
            <w:left w:val="none" w:sz="0" w:space="0" w:color="auto"/>
            <w:bottom w:val="none" w:sz="0" w:space="0" w:color="auto"/>
            <w:right w:val="none" w:sz="0" w:space="0" w:color="auto"/>
          </w:divBdr>
        </w:div>
      </w:divsChild>
    </w:div>
    <w:div w:id="495726280">
      <w:bodyDiv w:val="1"/>
      <w:marLeft w:val="0"/>
      <w:marRight w:val="0"/>
      <w:marTop w:val="0"/>
      <w:marBottom w:val="0"/>
      <w:divBdr>
        <w:top w:val="none" w:sz="0" w:space="0" w:color="auto"/>
        <w:left w:val="none" w:sz="0" w:space="0" w:color="auto"/>
        <w:bottom w:val="none" w:sz="0" w:space="0" w:color="auto"/>
        <w:right w:val="none" w:sz="0" w:space="0" w:color="auto"/>
      </w:divBdr>
    </w:div>
    <w:div w:id="534852845">
      <w:bodyDiv w:val="1"/>
      <w:marLeft w:val="0"/>
      <w:marRight w:val="0"/>
      <w:marTop w:val="0"/>
      <w:marBottom w:val="0"/>
      <w:divBdr>
        <w:top w:val="none" w:sz="0" w:space="0" w:color="auto"/>
        <w:left w:val="none" w:sz="0" w:space="0" w:color="auto"/>
        <w:bottom w:val="none" w:sz="0" w:space="0" w:color="auto"/>
        <w:right w:val="none" w:sz="0" w:space="0" w:color="auto"/>
      </w:divBdr>
    </w:div>
    <w:div w:id="656567713">
      <w:bodyDiv w:val="1"/>
      <w:marLeft w:val="0"/>
      <w:marRight w:val="0"/>
      <w:marTop w:val="0"/>
      <w:marBottom w:val="0"/>
      <w:divBdr>
        <w:top w:val="none" w:sz="0" w:space="0" w:color="auto"/>
        <w:left w:val="none" w:sz="0" w:space="0" w:color="auto"/>
        <w:bottom w:val="none" w:sz="0" w:space="0" w:color="auto"/>
        <w:right w:val="none" w:sz="0" w:space="0" w:color="auto"/>
      </w:divBdr>
    </w:div>
    <w:div w:id="661935087">
      <w:bodyDiv w:val="1"/>
      <w:marLeft w:val="0"/>
      <w:marRight w:val="0"/>
      <w:marTop w:val="0"/>
      <w:marBottom w:val="0"/>
      <w:divBdr>
        <w:top w:val="none" w:sz="0" w:space="0" w:color="auto"/>
        <w:left w:val="none" w:sz="0" w:space="0" w:color="auto"/>
        <w:bottom w:val="none" w:sz="0" w:space="0" w:color="auto"/>
        <w:right w:val="none" w:sz="0" w:space="0" w:color="auto"/>
      </w:divBdr>
    </w:div>
    <w:div w:id="754739916">
      <w:bodyDiv w:val="1"/>
      <w:marLeft w:val="0"/>
      <w:marRight w:val="0"/>
      <w:marTop w:val="0"/>
      <w:marBottom w:val="0"/>
      <w:divBdr>
        <w:top w:val="none" w:sz="0" w:space="0" w:color="auto"/>
        <w:left w:val="none" w:sz="0" w:space="0" w:color="auto"/>
        <w:bottom w:val="none" w:sz="0" w:space="0" w:color="auto"/>
        <w:right w:val="none" w:sz="0" w:space="0" w:color="auto"/>
      </w:divBdr>
    </w:div>
    <w:div w:id="892157237">
      <w:bodyDiv w:val="1"/>
      <w:marLeft w:val="0"/>
      <w:marRight w:val="0"/>
      <w:marTop w:val="0"/>
      <w:marBottom w:val="0"/>
      <w:divBdr>
        <w:top w:val="none" w:sz="0" w:space="0" w:color="auto"/>
        <w:left w:val="none" w:sz="0" w:space="0" w:color="auto"/>
        <w:bottom w:val="none" w:sz="0" w:space="0" w:color="auto"/>
        <w:right w:val="none" w:sz="0" w:space="0" w:color="auto"/>
      </w:divBdr>
    </w:div>
    <w:div w:id="988098822">
      <w:bodyDiv w:val="1"/>
      <w:marLeft w:val="0"/>
      <w:marRight w:val="0"/>
      <w:marTop w:val="0"/>
      <w:marBottom w:val="0"/>
      <w:divBdr>
        <w:top w:val="none" w:sz="0" w:space="0" w:color="auto"/>
        <w:left w:val="none" w:sz="0" w:space="0" w:color="auto"/>
        <w:bottom w:val="none" w:sz="0" w:space="0" w:color="auto"/>
        <w:right w:val="none" w:sz="0" w:space="0" w:color="auto"/>
      </w:divBdr>
    </w:div>
    <w:div w:id="991718074">
      <w:bodyDiv w:val="1"/>
      <w:marLeft w:val="0"/>
      <w:marRight w:val="0"/>
      <w:marTop w:val="0"/>
      <w:marBottom w:val="0"/>
      <w:divBdr>
        <w:top w:val="none" w:sz="0" w:space="0" w:color="auto"/>
        <w:left w:val="none" w:sz="0" w:space="0" w:color="auto"/>
        <w:bottom w:val="none" w:sz="0" w:space="0" w:color="auto"/>
        <w:right w:val="none" w:sz="0" w:space="0" w:color="auto"/>
      </w:divBdr>
    </w:div>
    <w:div w:id="1018122252">
      <w:bodyDiv w:val="1"/>
      <w:marLeft w:val="0"/>
      <w:marRight w:val="0"/>
      <w:marTop w:val="0"/>
      <w:marBottom w:val="0"/>
      <w:divBdr>
        <w:top w:val="none" w:sz="0" w:space="0" w:color="auto"/>
        <w:left w:val="none" w:sz="0" w:space="0" w:color="auto"/>
        <w:bottom w:val="none" w:sz="0" w:space="0" w:color="auto"/>
        <w:right w:val="none" w:sz="0" w:space="0" w:color="auto"/>
      </w:divBdr>
    </w:div>
    <w:div w:id="1259171635">
      <w:bodyDiv w:val="1"/>
      <w:marLeft w:val="0"/>
      <w:marRight w:val="0"/>
      <w:marTop w:val="0"/>
      <w:marBottom w:val="0"/>
      <w:divBdr>
        <w:top w:val="none" w:sz="0" w:space="0" w:color="auto"/>
        <w:left w:val="none" w:sz="0" w:space="0" w:color="auto"/>
        <w:bottom w:val="none" w:sz="0" w:space="0" w:color="auto"/>
        <w:right w:val="none" w:sz="0" w:space="0" w:color="auto"/>
      </w:divBdr>
    </w:div>
    <w:div w:id="1417748875">
      <w:bodyDiv w:val="1"/>
      <w:marLeft w:val="0"/>
      <w:marRight w:val="0"/>
      <w:marTop w:val="0"/>
      <w:marBottom w:val="0"/>
      <w:divBdr>
        <w:top w:val="none" w:sz="0" w:space="0" w:color="auto"/>
        <w:left w:val="none" w:sz="0" w:space="0" w:color="auto"/>
        <w:bottom w:val="none" w:sz="0" w:space="0" w:color="auto"/>
        <w:right w:val="none" w:sz="0" w:space="0" w:color="auto"/>
      </w:divBdr>
    </w:div>
    <w:div w:id="1466192673">
      <w:bodyDiv w:val="1"/>
      <w:marLeft w:val="0"/>
      <w:marRight w:val="0"/>
      <w:marTop w:val="0"/>
      <w:marBottom w:val="0"/>
      <w:divBdr>
        <w:top w:val="none" w:sz="0" w:space="0" w:color="auto"/>
        <w:left w:val="none" w:sz="0" w:space="0" w:color="auto"/>
        <w:bottom w:val="none" w:sz="0" w:space="0" w:color="auto"/>
        <w:right w:val="none" w:sz="0" w:space="0" w:color="auto"/>
      </w:divBdr>
    </w:div>
    <w:div w:id="1775007585">
      <w:bodyDiv w:val="1"/>
      <w:marLeft w:val="0"/>
      <w:marRight w:val="0"/>
      <w:marTop w:val="0"/>
      <w:marBottom w:val="0"/>
      <w:divBdr>
        <w:top w:val="none" w:sz="0" w:space="0" w:color="auto"/>
        <w:left w:val="none" w:sz="0" w:space="0" w:color="auto"/>
        <w:bottom w:val="none" w:sz="0" w:space="0" w:color="auto"/>
        <w:right w:val="none" w:sz="0" w:space="0" w:color="auto"/>
      </w:divBdr>
    </w:div>
    <w:div w:id="1781605020">
      <w:bodyDiv w:val="1"/>
      <w:marLeft w:val="0"/>
      <w:marRight w:val="0"/>
      <w:marTop w:val="0"/>
      <w:marBottom w:val="0"/>
      <w:divBdr>
        <w:top w:val="none" w:sz="0" w:space="0" w:color="auto"/>
        <w:left w:val="none" w:sz="0" w:space="0" w:color="auto"/>
        <w:bottom w:val="none" w:sz="0" w:space="0" w:color="auto"/>
        <w:right w:val="none" w:sz="0" w:space="0" w:color="auto"/>
      </w:divBdr>
    </w:div>
    <w:div w:id="1784615157">
      <w:bodyDiv w:val="1"/>
      <w:marLeft w:val="0"/>
      <w:marRight w:val="0"/>
      <w:marTop w:val="0"/>
      <w:marBottom w:val="0"/>
      <w:divBdr>
        <w:top w:val="none" w:sz="0" w:space="0" w:color="auto"/>
        <w:left w:val="none" w:sz="0" w:space="0" w:color="auto"/>
        <w:bottom w:val="none" w:sz="0" w:space="0" w:color="auto"/>
        <w:right w:val="none" w:sz="0" w:space="0" w:color="auto"/>
      </w:divBdr>
    </w:div>
    <w:div w:id="1833136422">
      <w:bodyDiv w:val="1"/>
      <w:marLeft w:val="0"/>
      <w:marRight w:val="0"/>
      <w:marTop w:val="0"/>
      <w:marBottom w:val="0"/>
      <w:divBdr>
        <w:top w:val="none" w:sz="0" w:space="0" w:color="auto"/>
        <w:left w:val="none" w:sz="0" w:space="0" w:color="auto"/>
        <w:bottom w:val="none" w:sz="0" w:space="0" w:color="auto"/>
        <w:right w:val="none" w:sz="0" w:space="0" w:color="auto"/>
      </w:divBdr>
    </w:div>
    <w:div w:id="2033802214">
      <w:bodyDiv w:val="1"/>
      <w:marLeft w:val="0"/>
      <w:marRight w:val="0"/>
      <w:marTop w:val="0"/>
      <w:marBottom w:val="0"/>
      <w:divBdr>
        <w:top w:val="none" w:sz="0" w:space="0" w:color="auto"/>
        <w:left w:val="none" w:sz="0" w:space="0" w:color="auto"/>
        <w:bottom w:val="none" w:sz="0" w:space="0" w:color="auto"/>
        <w:right w:val="none" w:sz="0" w:space="0" w:color="auto"/>
      </w:divBdr>
    </w:div>
    <w:div w:id="206144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baladmin@klawocktrib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engineering/aquatic-ecosystem" TargetMode="External"/><Relationship Id="rId5" Type="http://schemas.openxmlformats.org/officeDocument/2006/relationships/webSettings" Target="webSettings.xml"/><Relationship Id="rId10" Type="http://schemas.openxmlformats.org/officeDocument/2006/relationships/hyperlink" Target="https://www.wolterskluwer.com/en/expert-insights/us-federal-vs-state-environmental-regulations-what-to-follow" TargetMode="External"/><Relationship Id="rId4" Type="http://schemas.openxmlformats.org/officeDocument/2006/relationships/settings" Target="settings.xml"/><Relationship Id="rId9" Type="http://schemas.openxmlformats.org/officeDocument/2006/relationships/hyperlink" Target="https://www.law.cornell.edu/definitions/index.php?width=840&amp;height=800&amp;iframe=true&amp;def_id=e557bb96de5351bc3f210ae2886a88f9&amp;term_occur=999&amp;term_src=Title:36:Chapter:II:Part:228:Subpart:A:228.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nr.alaska.gov/commis/opmp/anilca/pdf/PublicLaw-96-487.pdf" TargetMode="External"/><Relationship Id="rId2" Type="http://schemas.openxmlformats.org/officeDocument/2006/relationships/hyperlink" Target="https://doi.org/10.1098/rsif.2019.0391" TargetMode="External"/><Relationship Id="rId1" Type="http://schemas.openxmlformats.org/officeDocument/2006/relationships/hyperlink" Target="https://royalsocietypublishing.org/doi/10.1098/rsif.2019.0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EB1F-4584-494B-9AF2-FB324245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12907</Words>
  <Characters>73575</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Archibald</dc:creator>
  <cp:keywords/>
  <dc:description/>
  <cp:lastModifiedBy>Guy Archibald</cp:lastModifiedBy>
  <cp:revision>2</cp:revision>
  <dcterms:created xsi:type="dcterms:W3CDTF">2023-05-24T05:17:00Z</dcterms:created>
  <dcterms:modified xsi:type="dcterms:W3CDTF">2023-05-24T05:17:00Z</dcterms:modified>
</cp:coreProperties>
</file>