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4BEE" w:rsidRPr="00D87A11" w:rsidRDefault="00AE1844" w:rsidP="00FA4515">
      <w:pPr>
        <w:spacing w:after="0" w:line="240" w:lineRule="auto"/>
        <w:ind w:left="5040" w:firstLine="720"/>
        <w:rPr>
          <w:rFonts w:ascii="Times New Roman" w:hAnsi="Times New Roman" w:cs="Times New Roman"/>
          <w:sz w:val="24"/>
          <w:szCs w:val="24"/>
        </w:rPr>
      </w:pPr>
      <w:r w:rsidRPr="00D87A11">
        <w:rPr>
          <w:rFonts w:ascii="Times New Roman" w:hAnsi="Times New Roman" w:cs="Times New Roman"/>
          <w:sz w:val="24"/>
          <w:szCs w:val="24"/>
        </w:rPr>
        <w:t>April</w:t>
      </w:r>
      <w:r w:rsidR="00E94BEE" w:rsidRPr="00D87A11">
        <w:rPr>
          <w:rFonts w:ascii="Times New Roman" w:hAnsi="Times New Roman" w:cs="Times New Roman"/>
          <w:sz w:val="24"/>
          <w:szCs w:val="24"/>
        </w:rPr>
        <w:t xml:space="preserve"> </w:t>
      </w:r>
      <w:r w:rsidR="00CF11FD">
        <w:rPr>
          <w:rFonts w:ascii="Times New Roman" w:hAnsi="Times New Roman" w:cs="Times New Roman"/>
          <w:sz w:val="24"/>
          <w:szCs w:val="24"/>
        </w:rPr>
        <w:t>1</w:t>
      </w:r>
      <w:r w:rsidR="00D25F9C">
        <w:rPr>
          <w:rFonts w:ascii="Times New Roman" w:hAnsi="Times New Roman" w:cs="Times New Roman"/>
          <w:sz w:val="24"/>
          <w:szCs w:val="24"/>
        </w:rPr>
        <w:t>8</w:t>
      </w:r>
      <w:r w:rsidR="00E94BEE" w:rsidRPr="00D87A11">
        <w:rPr>
          <w:rFonts w:ascii="Times New Roman" w:hAnsi="Times New Roman" w:cs="Times New Roman"/>
          <w:sz w:val="24"/>
          <w:szCs w:val="24"/>
        </w:rPr>
        <w:t>,</w:t>
      </w:r>
      <w:r w:rsidR="00AB443E" w:rsidRPr="00D87A11">
        <w:rPr>
          <w:rFonts w:ascii="Times New Roman" w:hAnsi="Times New Roman" w:cs="Times New Roman"/>
          <w:sz w:val="24"/>
          <w:szCs w:val="24"/>
        </w:rPr>
        <w:t xml:space="preserve"> </w:t>
      </w:r>
      <w:r w:rsidR="00E94BEE" w:rsidRPr="00D87A11">
        <w:rPr>
          <w:rFonts w:ascii="Times New Roman" w:hAnsi="Times New Roman" w:cs="Times New Roman"/>
          <w:sz w:val="24"/>
          <w:szCs w:val="24"/>
        </w:rPr>
        <w:t>2023</w:t>
      </w:r>
    </w:p>
    <w:p w:rsidR="00E94BEE" w:rsidRPr="00D87A11" w:rsidRDefault="00E94BEE" w:rsidP="00FA4515">
      <w:pPr>
        <w:spacing w:after="0" w:line="240" w:lineRule="auto"/>
        <w:ind w:left="5040" w:firstLine="720"/>
        <w:rPr>
          <w:rFonts w:ascii="Times New Roman" w:hAnsi="Times New Roman" w:cs="Times New Roman"/>
          <w:sz w:val="24"/>
          <w:szCs w:val="24"/>
        </w:rPr>
      </w:pPr>
      <w:r w:rsidRPr="00D87A11">
        <w:rPr>
          <w:rFonts w:ascii="Times New Roman" w:hAnsi="Times New Roman" w:cs="Times New Roman"/>
          <w:sz w:val="24"/>
          <w:szCs w:val="24"/>
        </w:rPr>
        <w:t>1228 Ponderosa Drive</w:t>
      </w:r>
    </w:p>
    <w:p w:rsidR="00E94BEE" w:rsidRPr="00D87A11" w:rsidRDefault="00E94BEE" w:rsidP="00FA4515">
      <w:pPr>
        <w:spacing w:after="0" w:line="240" w:lineRule="auto"/>
        <w:ind w:left="5040" w:firstLine="720"/>
        <w:rPr>
          <w:rFonts w:ascii="Times New Roman" w:hAnsi="Times New Roman" w:cs="Times New Roman"/>
          <w:sz w:val="24"/>
          <w:szCs w:val="24"/>
        </w:rPr>
      </w:pPr>
      <w:r w:rsidRPr="00D87A11">
        <w:rPr>
          <w:rFonts w:ascii="Times New Roman" w:hAnsi="Times New Roman" w:cs="Times New Roman"/>
          <w:sz w:val="24"/>
          <w:szCs w:val="24"/>
        </w:rPr>
        <w:t>Moscow, Idaho   83843</w:t>
      </w:r>
    </w:p>
    <w:p w:rsidR="00257B23" w:rsidRPr="00D87A11" w:rsidRDefault="00257B23" w:rsidP="00FA4515">
      <w:pPr>
        <w:spacing w:after="0" w:line="240" w:lineRule="auto"/>
        <w:rPr>
          <w:rFonts w:ascii="Times New Roman" w:hAnsi="Times New Roman" w:cs="Times New Roman"/>
          <w:sz w:val="24"/>
          <w:szCs w:val="24"/>
          <w:shd w:val="clear" w:color="auto" w:fill="FFFFFF"/>
        </w:rPr>
      </w:pPr>
    </w:p>
    <w:p w:rsidR="00257B23" w:rsidRPr="00D87A11" w:rsidRDefault="00257B23" w:rsidP="00FA4515">
      <w:pPr>
        <w:spacing w:after="0" w:line="240" w:lineRule="auto"/>
        <w:rPr>
          <w:rFonts w:ascii="Times New Roman" w:hAnsi="Times New Roman" w:cs="Times New Roman"/>
          <w:sz w:val="24"/>
          <w:szCs w:val="24"/>
          <w:shd w:val="clear" w:color="auto" w:fill="FFFFFF"/>
        </w:rPr>
      </w:pPr>
    </w:p>
    <w:p w:rsidR="00257B23" w:rsidRPr="00D87A11" w:rsidRDefault="00257B23" w:rsidP="00FA4515">
      <w:pPr>
        <w:spacing w:after="0" w:line="240" w:lineRule="auto"/>
        <w:rPr>
          <w:rFonts w:ascii="Times New Roman" w:hAnsi="Times New Roman" w:cs="Times New Roman"/>
          <w:sz w:val="24"/>
          <w:szCs w:val="24"/>
          <w:shd w:val="clear" w:color="auto" w:fill="FFFFFF"/>
        </w:rPr>
      </w:pPr>
    </w:p>
    <w:p w:rsidR="00257B23" w:rsidRPr="00D87A11" w:rsidRDefault="00257B23" w:rsidP="00FA4515">
      <w:pPr>
        <w:spacing w:after="0" w:line="240" w:lineRule="auto"/>
        <w:rPr>
          <w:rFonts w:ascii="Times New Roman" w:hAnsi="Times New Roman" w:cs="Times New Roman"/>
          <w:sz w:val="24"/>
          <w:szCs w:val="24"/>
          <w:shd w:val="clear" w:color="auto" w:fill="FFFFFF"/>
        </w:rPr>
      </w:pPr>
    </w:p>
    <w:p w:rsidR="00257B23" w:rsidRPr="00D87A11" w:rsidRDefault="00257B23" w:rsidP="00FA4515">
      <w:pPr>
        <w:spacing w:after="0" w:line="240" w:lineRule="auto"/>
        <w:rPr>
          <w:rFonts w:ascii="Times New Roman" w:hAnsi="Times New Roman" w:cs="Times New Roman"/>
          <w:sz w:val="24"/>
          <w:szCs w:val="24"/>
          <w:shd w:val="clear" w:color="auto" w:fill="FFFFFF"/>
        </w:rPr>
      </w:pPr>
    </w:p>
    <w:p w:rsidR="004540F3" w:rsidRPr="00D87A11" w:rsidRDefault="004540F3" w:rsidP="00FA4515">
      <w:pPr>
        <w:spacing w:after="0" w:line="240" w:lineRule="auto"/>
        <w:rPr>
          <w:rFonts w:ascii="Times New Roman" w:hAnsi="Times New Roman" w:cs="Times New Roman"/>
          <w:sz w:val="24"/>
          <w:szCs w:val="24"/>
          <w:shd w:val="clear" w:color="auto" w:fill="FFFFFF"/>
        </w:rPr>
      </w:pPr>
      <w:r w:rsidRPr="00D87A11">
        <w:rPr>
          <w:rFonts w:ascii="Times New Roman" w:hAnsi="Times New Roman" w:cs="Times New Roman"/>
          <w:sz w:val="24"/>
          <w:szCs w:val="24"/>
          <w:shd w:val="clear" w:color="auto" w:fill="FFFFFF"/>
        </w:rPr>
        <w:t>Karen Hardwick</w:t>
      </w:r>
    </w:p>
    <w:p w:rsidR="004540F3" w:rsidRPr="00D87A11" w:rsidRDefault="004540F3" w:rsidP="00FA4515">
      <w:pPr>
        <w:spacing w:after="0" w:line="240" w:lineRule="auto"/>
        <w:rPr>
          <w:rFonts w:ascii="Times New Roman" w:hAnsi="Times New Roman" w:cs="Times New Roman"/>
          <w:sz w:val="24"/>
          <w:szCs w:val="24"/>
          <w:shd w:val="clear" w:color="auto" w:fill="FFFFFF"/>
        </w:rPr>
      </w:pPr>
      <w:r w:rsidRPr="00D87A11">
        <w:rPr>
          <w:rFonts w:ascii="Times New Roman" w:hAnsi="Times New Roman" w:cs="Times New Roman"/>
          <w:sz w:val="24"/>
          <w:szCs w:val="24"/>
          <w:shd w:val="clear" w:color="auto" w:fill="FFFFFF"/>
        </w:rPr>
        <w:t>Project Team Leader</w:t>
      </w:r>
    </w:p>
    <w:p w:rsidR="004540F3" w:rsidRPr="00D87A11" w:rsidRDefault="004540F3" w:rsidP="00FA4515">
      <w:pPr>
        <w:spacing w:after="0" w:line="240" w:lineRule="auto"/>
        <w:rPr>
          <w:rFonts w:ascii="Times New Roman" w:hAnsi="Times New Roman" w:cs="Times New Roman"/>
          <w:sz w:val="24"/>
          <w:szCs w:val="24"/>
          <w:shd w:val="clear" w:color="auto" w:fill="FFFFFF"/>
        </w:rPr>
      </w:pPr>
      <w:r w:rsidRPr="00D87A11">
        <w:rPr>
          <w:rFonts w:ascii="Times New Roman" w:hAnsi="Times New Roman" w:cs="Times New Roman"/>
          <w:sz w:val="24"/>
          <w:szCs w:val="24"/>
          <w:shd w:val="clear" w:color="auto" w:fill="FFFFFF"/>
        </w:rPr>
        <w:t>Nez Perce-Clearwater</w:t>
      </w:r>
      <w:r w:rsidRPr="00D87A11">
        <w:rPr>
          <w:rFonts w:ascii="Times New Roman" w:hAnsi="Times New Roman" w:cs="Times New Roman"/>
          <w:sz w:val="24"/>
          <w:szCs w:val="24"/>
        </w:rPr>
        <w:t xml:space="preserve"> </w:t>
      </w:r>
      <w:r w:rsidRPr="00D87A11">
        <w:rPr>
          <w:rFonts w:ascii="Times New Roman" w:hAnsi="Times New Roman" w:cs="Times New Roman"/>
          <w:sz w:val="24"/>
          <w:szCs w:val="24"/>
          <w:shd w:val="clear" w:color="auto" w:fill="FFFFFF"/>
        </w:rPr>
        <w:t>National Forests</w:t>
      </w:r>
    </w:p>
    <w:p w:rsidR="004540F3" w:rsidRPr="00D87A11" w:rsidRDefault="004540F3" w:rsidP="00FA4515">
      <w:pPr>
        <w:spacing w:after="0" w:line="240" w:lineRule="auto"/>
        <w:rPr>
          <w:rFonts w:ascii="Times New Roman" w:hAnsi="Times New Roman" w:cs="Times New Roman"/>
          <w:sz w:val="24"/>
          <w:szCs w:val="24"/>
          <w:shd w:val="clear" w:color="auto" w:fill="FFFFFF"/>
        </w:rPr>
      </w:pPr>
      <w:r w:rsidRPr="00D87A11">
        <w:rPr>
          <w:rFonts w:ascii="Times New Roman" w:hAnsi="Times New Roman" w:cs="Times New Roman"/>
          <w:sz w:val="24"/>
          <w:szCs w:val="24"/>
          <w:shd w:val="clear" w:color="auto" w:fill="FFFFFF"/>
        </w:rPr>
        <w:t xml:space="preserve">1008 Highway 64 </w:t>
      </w:r>
    </w:p>
    <w:p w:rsidR="00FA4515" w:rsidRPr="00D87A11" w:rsidRDefault="004540F3" w:rsidP="004540F3">
      <w:pPr>
        <w:spacing w:after="0" w:line="240" w:lineRule="auto"/>
        <w:rPr>
          <w:rFonts w:ascii="Times New Roman" w:hAnsi="Times New Roman" w:cs="Times New Roman"/>
          <w:sz w:val="24"/>
          <w:szCs w:val="24"/>
          <w:shd w:val="clear" w:color="auto" w:fill="FFFFFF"/>
        </w:rPr>
      </w:pPr>
      <w:r w:rsidRPr="00D87A11">
        <w:rPr>
          <w:rFonts w:ascii="Times New Roman" w:hAnsi="Times New Roman" w:cs="Times New Roman"/>
          <w:sz w:val="24"/>
          <w:szCs w:val="24"/>
          <w:shd w:val="clear" w:color="auto" w:fill="FFFFFF"/>
        </w:rPr>
        <w:t>Kamiah, ID 83536</w:t>
      </w:r>
    </w:p>
    <w:p w:rsidR="00FA4515" w:rsidRPr="00D87A11" w:rsidRDefault="00FA4515" w:rsidP="00FA4515">
      <w:pPr>
        <w:spacing w:after="0" w:line="240" w:lineRule="auto"/>
        <w:rPr>
          <w:rFonts w:ascii="Times New Roman" w:hAnsi="Times New Roman" w:cs="Times New Roman"/>
          <w:sz w:val="24"/>
          <w:szCs w:val="24"/>
          <w:shd w:val="clear" w:color="auto" w:fill="FFFFFF"/>
        </w:rPr>
      </w:pPr>
    </w:p>
    <w:p w:rsidR="00FA4515" w:rsidRPr="00D87A11" w:rsidRDefault="00FA4515">
      <w:pPr>
        <w:rPr>
          <w:rFonts w:ascii="Times New Roman" w:hAnsi="Times New Roman" w:cs="Times New Roman"/>
          <w:sz w:val="24"/>
          <w:szCs w:val="24"/>
        </w:rPr>
      </w:pPr>
      <w:r w:rsidRPr="00D87A11">
        <w:rPr>
          <w:rFonts w:ascii="Times New Roman" w:hAnsi="Times New Roman" w:cs="Times New Roman"/>
          <w:sz w:val="24"/>
          <w:szCs w:val="24"/>
          <w:shd w:val="clear" w:color="auto" w:fill="FFFFFF"/>
        </w:rPr>
        <w:t xml:space="preserve">Subject: </w:t>
      </w:r>
      <w:r w:rsidR="008016D1" w:rsidRPr="00D87A11">
        <w:rPr>
          <w:rFonts w:ascii="Times New Roman" w:hAnsi="Times New Roman" w:cs="Times New Roman"/>
          <w:sz w:val="24"/>
          <w:szCs w:val="24"/>
          <w:shd w:val="clear" w:color="auto" w:fill="FFFFFF"/>
        </w:rPr>
        <w:t>Comments Twenty-mile Project</w:t>
      </w:r>
    </w:p>
    <w:p w:rsidR="00E94BEE" w:rsidRPr="00D87A11" w:rsidRDefault="00FA4515">
      <w:pPr>
        <w:rPr>
          <w:rFonts w:ascii="Times New Roman" w:hAnsi="Times New Roman" w:cs="Times New Roman"/>
          <w:sz w:val="24"/>
          <w:szCs w:val="24"/>
        </w:rPr>
      </w:pPr>
      <w:r w:rsidRPr="00D87A11">
        <w:rPr>
          <w:rFonts w:ascii="Times New Roman" w:hAnsi="Times New Roman" w:cs="Times New Roman"/>
          <w:sz w:val="24"/>
          <w:szCs w:val="24"/>
        </w:rPr>
        <w:t xml:space="preserve">Dear Ms. </w:t>
      </w:r>
      <w:r w:rsidR="00146C13" w:rsidRPr="00D87A11">
        <w:rPr>
          <w:rFonts w:ascii="Times New Roman" w:hAnsi="Times New Roman" w:cs="Times New Roman"/>
          <w:sz w:val="24"/>
          <w:szCs w:val="24"/>
        </w:rPr>
        <w:t>Hardwick</w:t>
      </w:r>
      <w:r w:rsidRPr="00D87A11">
        <w:rPr>
          <w:rFonts w:ascii="Times New Roman" w:hAnsi="Times New Roman" w:cs="Times New Roman"/>
          <w:sz w:val="24"/>
          <w:szCs w:val="24"/>
        </w:rPr>
        <w:t>:</w:t>
      </w:r>
    </w:p>
    <w:p w:rsidR="008016D1" w:rsidRDefault="00FA4515">
      <w:pPr>
        <w:rPr>
          <w:rFonts w:ascii="Times New Roman" w:hAnsi="Times New Roman" w:cs="Times New Roman"/>
          <w:sz w:val="24"/>
          <w:szCs w:val="24"/>
        </w:rPr>
      </w:pPr>
      <w:r w:rsidRPr="00D87A11">
        <w:rPr>
          <w:rFonts w:ascii="Times New Roman" w:hAnsi="Times New Roman" w:cs="Times New Roman"/>
          <w:sz w:val="24"/>
          <w:szCs w:val="24"/>
        </w:rPr>
        <w:t xml:space="preserve">Here are my comments on the recently released </w:t>
      </w:r>
      <w:r w:rsidR="00520705">
        <w:rPr>
          <w:rFonts w:ascii="Times New Roman" w:hAnsi="Times New Roman" w:cs="Times New Roman"/>
          <w:sz w:val="24"/>
          <w:szCs w:val="24"/>
        </w:rPr>
        <w:t>Proposed Action</w:t>
      </w:r>
      <w:r w:rsidRPr="00D87A11">
        <w:rPr>
          <w:rFonts w:ascii="Times New Roman" w:hAnsi="Times New Roman" w:cs="Times New Roman"/>
          <w:sz w:val="24"/>
          <w:szCs w:val="24"/>
        </w:rPr>
        <w:t xml:space="preserve"> for the </w:t>
      </w:r>
      <w:r w:rsidR="008016D1" w:rsidRPr="00D87A11">
        <w:rPr>
          <w:rFonts w:ascii="Times New Roman" w:hAnsi="Times New Roman" w:cs="Times New Roman"/>
          <w:sz w:val="24"/>
          <w:szCs w:val="24"/>
        </w:rPr>
        <w:t>Twenty-mile</w:t>
      </w:r>
      <w:r w:rsidRPr="00D87A11">
        <w:rPr>
          <w:rFonts w:ascii="Times New Roman" w:hAnsi="Times New Roman" w:cs="Times New Roman"/>
          <w:sz w:val="24"/>
          <w:szCs w:val="24"/>
        </w:rPr>
        <w:t xml:space="preserve"> project.</w:t>
      </w:r>
    </w:p>
    <w:p w:rsidR="00B85899" w:rsidRDefault="00B85899">
      <w:pPr>
        <w:rPr>
          <w:rFonts w:ascii="Times New Roman" w:hAnsi="Times New Roman" w:cs="Times New Roman"/>
          <w:b/>
          <w:bCs/>
          <w:sz w:val="24"/>
          <w:szCs w:val="24"/>
        </w:rPr>
      </w:pPr>
      <w:r w:rsidRPr="00B85899">
        <w:rPr>
          <w:rFonts w:ascii="Times New Roman" w:hAnsi="Times New Roman" w:cs="Times New Roman"/>
          <w:b/>
          <w:bCs/>
          <w:sz w:val="24"/>
          <w:szCs w:val="24"/>
        </w:rPr>
        <w:t>Project Goals</w:t>
      </w:r>
    </w:p>
    <w:p w:rsidR="00AF1B0C" w:rsidRDefault="00B85899">
      <w:pPr>
        <w:rPr>
          <w:rFonts w:ascii="Times New Roman" w:hAnsi="Times New Roman" w:cs="Times New Roman"/>
          <w:sz w:val="24"/>
          <w:szCs w:val="24"/>
        </w:rPr>
      </w:pPr>
      <w:r w:rsidRPr="00B85899">
        <w:rPr>
          <w:rFonts w:ascii="Times New Roman" w:hAnsi="Times New Roman" w:cs="Times New Roman"/>
          <w:sz w:val="24"/>
          <w:szCs w:val="24"/>
        </w:rPr>
        <w:t>The project has two goals, the first of which is to improve forest health and the second goal is to improve access to the Sourdough wilderness portal by creating a shorter access route.</w:t>
      </w:r>
      <w:r w:rsidR="00FD6A23">
        <w:rPr>
          <w:rFonts w:ascii="Times New Roman" w:hAnsi="Times New Roman" w:cs="Times New Roman"/>
          <w:sz w:val="24"/>
          <w:szCs w:val="24"/>
        </w:rPr>
        <w:t xml:space="preserve"> A secondary benefit of the proposed new route would be to provide a secondary egress route for the public in the case of wildfire.  </w:t>
      </w:r>
    </w:p>
    <w:p w:rsidR="00AF1B0C" w:rsidRDefault="00AF1B0C">
      <w:pPr>
        <w:rPr>
          <w:rFonts w:ascii="Times New Roman" w:hAnsi="Times New Roman" w:cs="Times New Roman"/>
          <w:b/>
          <w:bCs/>
          <w:sz w:val="24"/>
          <w:szCs w:val="24"/>
        </w:rPr>
      </w:pPr>
      <w:r>
        <w:rPr>
          <w:rFonts w:ascii="Times New Roman" w:hAnsi="Times New Roman" w:cs="Times New Roman"/>
          <w:sz w:val="24"/>
          <w:szCs w:val="24"/>
        </w:rPr>
        <w:tab/>
      </w:r>
      <w:r w:rsidRPr="00AF1B0C">
        <w:rPr>
          <w:rFonts w:ascii="Times New Roman" w:hAnsi="Times New Roman" w:cs="Times New Roman"/>
          <w:b/>
          <w:bCs/>
          <w:sz w:val="24"/>
          <w:szCs w:val="24"/>
        </w:rPr>
        <w:t>Forest Health</w:t>
      </w:r>
    </w:p>
    <w:p w:rsidR="000B1D0A" w:rsidRPr="00D201BE" w:rsidRDefault="005663E0">
      <w:pPr>
        <w:rPr>
          <w:rFonts w:ascii="Times New Roman" w:hAnsi="Times New Roman" w:cs="Times New Roman"/>
          <w:sz w:val="24"/>
          <w:szCs w:val="24"/>
        </w:rPr>
      </w:pPr>
      <w:r w:rsidRPr="00D201BE">
        <w:rPr>
          <w:rFonts w:ascii="Times New Roman" w:hAnsi="Times New Roman" w:cs="Times New Roman"/>
          <w:sz w:val="24"/>
          <w:szCs w:val="24"/>
        </w:rPr>
        <w:t xml:space="preserve">According to the vegetative analysis only 350-acres (2.3%) of the project area are in stands exceeding 20+ inches in diameter.  Most stands </w:t>
      </w:r>
      <w:r w:rsidR="00B54056" w:rsidRPr="00D201BE">
        <w:rPr>
          <w:rFonts w:ascii="Times New Roman" w:hAnsi="Times New Roman" w:cs="Times New Roman"/>
          <w:sz w:val="24"/>
          <w:szCs w:val="24"/>
        </w:rPr>
        <w:t xml:space="preserve">(52.8%) </w:t>
      </w:r>
      <w:r w:rsidRPr="00D201BE">
        <w:rPr>
          <w:rFonts w:ascii="Times New Roman" w:hAnsi="Times New Roman" w:cs="Times New Roman"/>
          <w:sz w:val="24"/>
          <w:szCs w:val="24"/>
        </w:rPr>
        <w:t>are in the 15-19.9</w:t>
      </w:r>
      <w:r w:rsidR="00B54056" w:rsidRPr="00D201BE">
        <w:rPr>
          <w:rFonts w:ascii="Times New Roman" w:hAnsi="Times New Roman" w:cs="Times New Roman"/>
          <w:sz w:val="24"/>
          <w:szCs w:val="24"/>
        </w:rPr>
        <w:t xml:space="preserve"> DBH </w:t>
      </w:r>
      <w:r w:rsidRPr="00D201BE">
        <w:rPr>
          <w:rFonts w:ascii="Times New Roman" w:hAnsi="Times New Roman" w:cs="Times New Roman"/>
          <w:sz w:val="24"/>
          <w:szCs w:val="24"/>
        </w:rPr>
        <w:t xml:space="preserve">size class suggesting they are </w:t>
      </w:r>
      <w:r w:rsidR="00B54056" w:rsidRPr="00D201BE">
        <w:rPr>
          <w:rFonts w:ascii="Times New Roman" w:hAnsi="Times New Roman" w:cs="Times New Roman"/>
          <w:sz w:val="24"/>
          <w:szCs w:val="24"/>
        </w:rPr>
        <w:t xml:space="preserve">mature stands that occurred in the early 1900s as </w:t>
      </w:r>
      <w:r w:rsidRPr="00D201BE">
        <w:rPr>
          <w:rFonts w:ascii="Times New Roman" w:hAnsi="Times New Roman" w:cs="Times New Roman"/>
          <w:sz w:val="24"/>
          <w:szCs w:val="24"/>
        </w:rPr>
        <w:t xml:space="preserve">the result of </w:t>
      </w:r>
      <w:r w:rsidR="00B54056" w:rsidRPr="00D201BE">
        <w:rPr>
          <w:rFonts w:ascii="Times New Roman" w:hAnsi="Times New Roman" w:cs="Times New Roman"/>
          <w:sz w:val="24"/>
          <w:szCs w:val="24"/>
        </w:rPr>
        <w:t xml:space="preserve">past wildfires.  These </w:t>
      </w:r>
      <w:r w:rsidR="001E2EC3" w:rsidRPr="00D201BE">
        <w:rPr>
          <w:rFonts w:ascii="Times New Roman" w:hAnsi="Times New Roman" w:cs="Times New Roman"/>
          <w:sz w:val="24"/>
          <w:szCs w:val="24"/>
        </w:rPr>
        <w:t xml:space="preserve">historical </w:t>
      </w:r>
      <w:r w:rsidR="00B54056" w:rsidRPr="00D201BE">
        <w:rPr>
          <w:rFonts w:ascii="Times New Roman" w:hAnsi="Times New Roman" w:cs="Times New Roman"/>
          <w:sz w:val="24"/>
          <w:szCs w:val="24"/>
        </w:rPr>
        <w:t xml:space="preserve">wildfires are discussed in the Proposed Action document and the information provided </w:t>
      </w:r>
      <w:r w:rsidR="001E2EC3" w:rsidRPr="00D201BE">
        <w:rPr>
          <w:rFonts w:ascii="Times New Roman" w:hAnsi="Times New Roman" w:cs="Times New Roman"/>
          <w:sz w:val="24"/>
          <w:szCs w:val="24"/>
        </w:rPr>
        <w:t xml:space="preserve">suggests most stands in the project area are approximately 100-120-years old.  According to the vegetative analysis most stands in the project are dominated by mixed grand fir (62.2%) or lodgepole pine (25.4%).  </w:t>
      </w:r>
    </w:p>
    <w:p w:rsidR="00D201BE" w:rsidRPr="00D201BE" w:rsidRDefault="0063740E" w:rsidP="00F2047A">
      <w:pPr>
        <w:rPr>
          <w:rFonts w:ascii="Times New Roman" w:hAnsi="Times New Roman" w:cs="Times New Roman"/>
          <w:sz w:val="24"/>
          <w:szCs w:val="24"/>
        </w:rPr>
      </w:pPr>
      <w:r w:rsidRPr="00D201BE">
        <w:rPr>
          <w:rFonts w:ascii="Times New Roman" w:hAnsi="Times New Roman" w:cs="Times New Roman"/>
          <w:sz w:val="24"/>
          <w:szCs w:val="24"/>
        </w:rPr>
        <w:t xml:space="preserve">The proposed action blames these conditions on fire suppression, but this is highly unlikely given the habitat types found in the area.   </w:t>
      </w:r>
      <w:r w:rsidR="00F2047A" w:rsidRPr="00D201BE">
        <w:rPr>
          <w:rFonts w:ascii="Times New Roman" w:hAnsi="Times New Roman" w:cs="Times New Roman"/>
          <w:sz w:val="24"/>
          <w:szCs w:val="24"/>
        </w:rPr>
        <w:t>Stands that are dominated by grand fir and a mix of other species are likely best represented by western red cedar/gueencup beadlily or</w:t>
      </w:r>
      <w:r w:rsidR="00D201BE" w:rsidRPr="00D201BE">
        <w:rPr>
          <w:rFonts w:ascii="Times New Roman" w:hAnsi="Times New Roman" w:cs="Times New Roman"/>
          <w:sz w:val="24"/>
          <w:szCs w:val="24"/>
        </w:rPr>
        <w:t xml:space="preserve"> the </w:t>
      </w:r>
      <w:r w:rsidR="00F2047A" w:rsidRPr="00D201BE">
        <w:rPr>
          <w:rFonts w:ascii="Times New Roman" w:hAnsi="Times New Roman" w:cs="Times New Roman"/>
          <w:sz w:val="24"/>
          <w:szCs w:val="24"/>
        </w:rPr>
        <w:t>grand fir/queencup beadlily habitat type</w:t>
      </w:r>
      <w:r w:rsidR="00D201BE" w:rsidRPr="00D201BE">
        <w:rPr>
          <w:rFonts w:ascii="Times New Roman" w:hAnsi="Times New Roman" w:cs="Times New Roman"/>
          <w:sz w:val="24"/>
          <w:szCs w:val="24"/>
        </w:rPr>
        <w:t>s</w:t>
      </w:r>
      <w:r w:rsidR="00F2047A" w:rsidRPr="00D201BE">
        <w:rPr>
          <w:rFonts w:ascii="Times New Roman" w:hAnsi="Times New Roman" w:cs="Times New Roman"/>
          <w:sz w:val="24"/>
          <w:szCs w:val="24"/>
        </w:rPr>
        <w:t xml:space="preserve"> </w:t>
      </w:r>
      <w:r w:rsidR="00D201BE" w:rsidRPr="00D201BE">
        <w:rPr>
          <w:rFonts w:ascii="Times New Roman" w:hAnsi="Times New Roman" w:cs="Times New Roman"/>
          <w:sz w:val="24"/>
          <w:szCs w:val="24"/>
        </w:rPr>
        <w:t>(</w:t>
      </w:r>
      <w:r w:rsidR="00F2047A" w:rsidRPr="00D201BE">
        <w:rPr>
          <w:rFonts w:ascii="Times New Roman" w:hAnsi="Times New Roman" w:cs="Times New Roman"/>
          <w:sz w:val="24"/>
          <w:szCs w:val="24"/>
        </w:rPr>
        <w:t>Cooper et al. 199</w:t>
      </w:r>
      <w:r w:rsidR="00073727">
        <w:rPr>
          <w:rFonts w:ascii="Times New Roman" w:hAnsi="Times New Roman" w:cs="Times New Roman"/>
          <w:sz w:val="24"/>
          <w:szCs w:val="24"/>
        </w:rPr>
        <w:t>1</w:t>
      </w:r>
      <w:r w:rsidR="00F2047A" w:rsidRPr="00D201BE">
        <w:rPr>
          <w:rFonts w:ascii="Times New Roman" w:hAnsi="Times New Roman" w:cs="Times New Roman"/>
          <w:sz w:val="24"/>
          <w:szCs w:val="24"/>
        </w:rPr>
        <w:t>)</w:t>
      </w:r>
      <w:r w:rsidR="00D201BE" w:rsidRPr="00D201BE">
        <w:rPr>
          <w:rFonts w:ascii="Times New Roman" w:hAnsi="Times New Roman" w:cs="Times New Roman"/>
          <w:sz w:val="24"/>
          <w:szCs w:val="24"/>
        </w:rPr>
        <w:t xml:space="preserve">.   According to Cooper et al. (1991), the major seral species in the cedar/queencup beadlily habitat type are Douglas fir, grand fir and western larch and that Western red cedar is the climax species.  In the grand fir/queencup beadlilly habitat types Cooper et al. (1991) </w:t>
      </w:r>
      <w:r w:rsidR="00F2047A" w:rsidRPr="00D201BE">
        <w:rPr>
          <w:rFonts w:ascii="Times New Roman" w:hAnsi="Times New Roman" w:cs="Times New Roman"/>
          <w:sz w:val="24"/>
          <w:szCs w:val="24"/>
        </w:rPr>
        <w:t xml:space="preserve">indicate that grand fir “in addition to being the climax dominant, is a major and most consistent dominate of seral stages, even following clearcutting or severe wildfire.”  They also indicate that Douglas fir is the only consistently important seral species in the grand fir/queencup beadlily habitat type.  </w:t>
      </w:r>
    </w:p>
    <w:p w:rsidR="00F2047A" w:rsidRPr="00E50565" w:rsidRDefault="00F2047A" w:rsidP="00F2047A">
      <w:pPr>
        <w:rPr>
          <w:rFonts w:ascii="Times New Roman" w:hAnsi="Times New Roman" w:cs="Times New Roman"/>
          <w:sz w:val="24"/>
          <w:szCs w:val="24"/>
        </w:rPr>
      </w:pPr>
      <w:r w:rsidRPr="00E50565">
        <w:rPr>
          <w:rFonts w:ascii="Times New Roman" w:hAnsi="Times New Roman" w:cs="Times New Roman"/>
          <w:sz w:val="24"/>
          <w:szCs w:val="24"/>
        </w:rPr>
        <w:lastRenderedPageBreak/>
        <w:t>The cool moderately dry SAF habitats would be found in higher elevations and might be represented by the subalpine fir/beargrass habitat.  Cooper et al. (1992) report lodgepole is considered an important seral component in most phases of this habitat type.   Spruce and subalpine fir are also well represented here according to information provided by Cooper et al. (199</w:t>
      </w:r>
      <w:r w:rsidR="00073727">
        <w:rPr>
          <w:rFonts w:ascii="Times New Roman" w:hAnsi="Times New Roman" w:cs="Times New Roman"/>
          <w:sz w:val="24"/>
          <w:szCs w:val="24"/>
        </w:rPr>
        <w:t>1</w:t>
      </w:r>
      <w:r w:rsidRPr="00E50565">
        <w:rPr>
          <w:rFonts w:ascii="Times New Roman" w:hAnsi="Times New Roman" w:cs="Times New Roman"/>
          <w:sz w:val="24"/>
          <w:szCs w:val="24"/>
        </w:rPr>
        <w:t xml:space="preserve">). </w:t>
      </w:r>
    </w:p>
    <w:p w:rsidR="008E5A4E" w:rsidRDefault="00F2047A" w:rsidP="00F2047A">
      <w:pPr>
        <w:rPr>
          <w:rFonts w:ascii="Times New Roman" w:hAnsi="Times New Roman" w:cs="Times New Roman"/>
          <w:sz w:val="24"/>
          <w:szCs w:val="24"/>
        </w:rPr>
      </w:pPr>
      <w:r w:rsidRPr="00E50565">
        <w:rPr>
          <w:rFonts w:ascii="Times New Roman" w:hAnsi="Times New Roman" w:cs="Times New Roman"/>
          <w:sz w:val="24"/>
          <w:szCs w:val="24"/>
        </w:rPr>
        <w:t xml:space="preserve">The </w:t>
      </w:r>
      <w:r w:rsidR="002859B8">
        <w:rPr>
          <w:rFonts w:ascii="Times New Roman" w:hAnsi="Times New Roman" w:cs="Times New Roman"/>
          <w:sz w:val="24"/>
          <w:szCs w:val="24"/>
        </w:rPr>
        <w:t>P</w:t>
      </w:r>
      <w:r w:rsidR="00D201BE" w:rsidRPr="00E50565">
        <w:rPr>
          <w:rFonts w:ascii="Times New Roman" w:hAnsi="Times New Roman" w:cs="Times New Roman"/>
          <w:sz w:val="24"/>
          <w:szCs w:val="24"/>
        </w:rPr>
        <w:t>ropose</w:t>
      </w:r>
      <w:r w:rsidR="002859B8">
        <w:rPr>
          <w:rFonts w:ascii="Times New Roman" w:hAnsi="Times New Roman" w:cs="Times New Roman"/>
          <w:sz w:val="24"/>
          <w:szCs w:val="24"/>
        </w:rPr>
        <w:t>d</w:t>
      </w:r>
      <w:r w:rsidR="00D201BE" w:rsidRPr="00E50565">
        <w:rPr>
          <w:rFonts w:ascii="Times New Roman" w:hAnsi="Times New Roman" w:cs="Times New Roman"/>
          <w:sz w:val="24"/>
          <w:szCs w:val="24"/>
        </w:rPr>
        <w:t xml:space="preserve"> </w:t>
      </w:r>
      <w:r w:rsidR="002859B8">
        <w:rPr>
          <w:rFonts w:ascii="Times New Roman" w:hAnsi="Times New Roman" w:cs="Times New Roman"/>
          <w:sz w:val="24"/>
          <w:szCs w:val="24"/>
        </w:rPr>
        <w:t>A</w:t>
      </w:r>
      <w:r w:rsidR="00D201BE" w:rsidRPr="00E50565">
        <w:rPr>
          <w:rFonts w:ascii="Times New Roman" w:hAnsi="Times New Roman" w:cs="Times New Roman"/>
          <w:sz w:val="24"/>
          <w:szCs w:val="24"/>
        </w:rPr>
        <w:t>ction</w:t>
      </w:r>
      <w:r w:rsidRPr="00E50565">
        <w:rPr>
          <w:rFonts w:ascii="Times New Roman" w:hAnsi="Times New Roman" w:cs="Times New Roman"/>
          <w:sz w:val="24"/>
          <w:szCs w:val="24"/>
        </w:rPr>
        <w:t xml:space="preserve"> suggests th</w:t>
      </w:r>
      <w:r w:rsidR="008E5A4E">
        <w:rPr>
          <w:rFonts w:ascii="Times New Roman" w:hAnsi="Times New Roman" w:cs="Times New Roman"/>
          <w:sz w:val="24"/>
          <w:szCs w:val="24"/>
        </w:rPr>
        <w:t xml:space="preserve">at mixed grand fir and lodgepole pine stands need to be regenerated so that more ponderosa pine and larch can be incorporated into the stand structure.  They also claim there is a high risk of insect and disease attack and the existing stands have high fuel loadings that are uncharacteristic of the area.  </w:t>
      </w:r>
    </w:p>
    <w:p w:rsidR="008E5A4E" w:rsidRDefault="00613B86" w:rsidP="00F2047A">
      <w:pPr>
        <w:rPr>
          <w:rFonts w:ascii="Times New Roman" w:hAnsi="Times New Roman" w:cs="Times New Roman"/>
          <w:sz w:val="24"/>
          <w:szCs w:val="24"/>
        </w:rPr>
      </w:pPr>
      <w:r>
        <w:rPr>
          <w:rFonts w:ascii="Times New Roman" w:hAnsi="Times New Roman" w:cs="Times New Roman"/>
          <w:sz w:val="24"/>
          <w:szCs w:val="24"/>
        </w:rPr>
        <w:t xml:space="preserve">The proposed action offers little evidence to support these claims.  Most of the information presented on insects and disease only documents that several native insects and pathogens are present.  No evidence of </w:t>
      </w:r>
      <w:r w:rsidR="00A67E71">
        <w:rPr>
          <w:rFonts w:ascii="Times New Roman" w:hAnsi="Times New Roman" w:cs="Times New Roman"/>
          <w:sz w:val="24"/>
          <w:szCs w:val="24"/>
        </w:rPr>
        <w:t xml:space="preserve">an </w:t>
      </w:r>
      <w:r>
        <w:rPr>
          <w:rFonts w:ascii="Times New Roman" w:hAnsi="Times New Roman" w:cs="Times New Roman"/>
          <w:sz w:val="24"/>
          <w:szCs w:val="24"/>
        </w:rPr>
        <w:t xml:space="preserve">epidemic outbreak is provided and most of the insect and disease agents found in the project area are natural components of stands across the Nez Perce – Clearwater NF.  Native insect and disease agents are important components of stand development and their mere </w:t>
      </w:r>
      <w:r w:rsidR="003A5D44">
        <w:rPr>
          <w:rFonts w:ascii="Times New Roman" w:hAnsi="Times New Roman" w:cs="Times New Roman"/>
          <w:sz w:val="24"/>
          <w:szCs w:val="24"/>
        </w:rPr>
        <w:t>presence</w:t>
      </w:r>
      <w:r>
        <w:rPr>
          <w:rFonts w:ascii="Times New Roman" w:hAnsi="Times New Roman" w:cs="Times New Roman"/>
          <w:sz w:val="24"/>
          <w:szCs w:val="24"/>
        </w:rPr>
        <w:t xml:space="preserve"> does </w:t>
      </w:r>
      <w:r w:rsidR="00895F9C">
        <w:rPr>
          <w:rFonts w:ascii="Times New Roman" w:hAnsi="Times New Roman" w:cs="Times New Roman"/>
          <w:sz w:val="24"/>
          <w:szCs w:val="24"/>
        </w:rPr>
        <w:t xml:space="preserve">not </w:t>
      </w:r>
      <w:r w:rsidR="003A5D44">
        <w:rPr>
          <w:rFonts w:ascii="Times New Roman" w:hAnsi="Times New Roman" w:cs="Times New Roman"/>
          <w:sz w:val="24"/>
          <w:szCs w:val="24"/>
        </w:rPr>
        <w:t>constitute a need for action.   These agents can be found across most of the Nez Perce – Clearwater and nothing suggests the Twenty-mile project area</w:t>
      </w:r>
      <w:r w:rsidR="008202D7">
        <w:rPr>
          <w:rFonts w:ascii="Times New Roman" w:hAnsi="Times New Roman" w:cs="Times New Roman"/>
          <w:sz w:val="24"/>
          <w:szCs w:val="24"/>
        </w:rPr>
        <w:t xml:space="preserve"> is any different than most other areas.</w:t>
      </w:r>
      <w:r w:rsidR="003A5D44">
        <w:rPr>
          <w:rFonts w:ascii="Times New Roman" w:hAnsi="Times New Roman" w:cs="Times New Roman"/>
          <w:sz w:val="24"/>
          <w:szCs w:val="24"/>
        </w:rPr>
        <w:t xml:space="preserve"> </w:t>
      </w:r>
    </w:p>
    <w:p w:rsidR="00895F9C" w:rsidRDefault="00895F9C" w:rsidP="00F2047A">
      <w:pPr>
        <w:rPr>
          <w:rFonts w:ascii="Times New Roman" w:hAnsi="Times New Roman" w:cs="Times New Roman"/>
          <w:sz w:val="24"/>
          <w:szCs w:val="24"/>
        </w:rPr>
      </w:pPr>
      <w:r>
        <w:rPr>
          <w:rFonts w:ascii="Times New Roman" w:hAnsi="Times New Roman" w:cs="Times New Roman"/>
          <w:sz w:val="24"/>
          <w:szCs w:val="24"/>
        </w:rPr>
        <w:t>Fuel loadings are another issue raised by the Forest S</w:t>
      </w:r>
      <w:r w:rsidR="003A5D44">
        <w:rPr>
          <w:rFonts w:ascii="Times New Roman" w:hAnsi="Times New Roman" w:cs="Times New Roman"/>
          <w:sz w:val="24"/>
          <w:szCs w:val="24"/>
        </w:rPr>
        <w:t xml:space="preserve">ervice.  Claims are made that existing stands in the Twenty-mile project area have heavy fuel loadings </w:t>
      </w:r>
      <w:r w:rsidR="008C4453">
        <w:rPr>
          <w:rFonts w:ascii="Times New Roman" w:hAnsi="Times New Roman" w:cs="Times New Roman"/>
          <w:sz w:val="24"/>
          <w:szCs w:val="24"/>
        </w:rPr>
        <w:t xml:space="preserve">and </w:t>
      </w:r>
      <w:r w:rsidR="003A5D44">
        <w:rPr>
          <w:rFonts w:ascii="Times New Roman" w:hAnsi="Times New Roman" w:cs="Times New Roman"/>
          <w:sz w:val="24"/>
          <w:szCs w:val="24"/>
        </w:rPr>
        <w:t>that need attention</w:t>
      </w:r>
      <w:r w:rsidR="008C4453">
        <w:rPr>
          <w:rFonts w:ascii="Times New Roman" w:hAnsi="Times New Roman" w:cs="Times New Roman"/>
          <w:sz w:val="24"/>
          <w:szCs w:val="24"/>
        </w:rPr>
        <w:t xml:space="preserve">.  </w:t>
      </w:r>
      <w:r w:rsidR="003A5D44">
        <w:rPr>
          <w:rFonts w:ascii="Times New Roman" w:hAnsi="Times New Roman" w:cs="Times New Roman"/>
          <w:sz w:val="24"/>
          <w:szCs w:val="24"/>
        </w:rPr>
        <w:t>Other than the fact that most stands are approximately 100-120-years of age</w:t>
      </w:r>
      <w:r w:rsidR="008C4453">
        <w:rPr>
          <w:rFonts w:ascii="Times New Roman" w:hAnsi="Times New Roman" w:cs="Times New Roman"/>
          <w:sz w:val="24"/>
          <w:szCs w:val="24"/>
        </w:rPr>
        <w:t xml:space="preserve">, there is no evidence to support the claims that </w:t>
      </w:r>
      <w:r w:rsidR="003A5D44">
        <w:rPr>
          <w:rFonts w:ascii="Times New Roman" w:hAnsi="Times New Roman" w:cs="Times New Roman"/>
          <w:sz w:val="24"/>
          <w:szCs w:val="24"/>
        </w:rPr>
        <w:t xml:space="preserve">these stands </w:t>
      </w:r>
      <w:r w:rsidR="008C4453">
        <w:rPr>
          <w:rFonts w:ascii="Times New Roman" w:hAnsi="Times New Roman" w:cs="Times New Roman"/>
          <w:sz w:val="24"/>
          <w:szCs w:val="24"/>
        </w:rPr>
        <w:t>vary from historical averages.  Snags and downed wood would have been common in mature stands of this age and would be important components as these mature stands move to</w:t>
      </w:r>
      <w:r w:rsidR="005C7B37">
        <w:rPr>
          <w:rFonts w:ascii="Times New Roman" w:hAnsi="Times New Roman" w:cs="Times New Roman"/>
          <w:sz w:val="24"/>
          <w:szCs w:val="24"/>
        </w:rPr>
        <w:t>wards</w:t>
      </w:r>
      <w:r w:rsidR="008C4453">
        <w:rPr>
          <w:rFonts w:ascii="Times New Roman" w:hAnsi="Times New Roman" w:cs="Times New Roman"/>
          <w:sz w:val="24"/>
          <w:szCs w:val="24"/>
        </w:rPr>
        <w:t xml:space="preserve"> old growth conditions which likely won’t occur for another 30-50-years.</w:t>
      </w:r>
    </w:p>
    <w:p w:rsidR="00F2047A" w:rsidRDefault="008C4453" w:rsidP="00F2047A">
      <w:pPr>
        <w:spacing w:after="0"/>
        <w:rPr>
          <w:rFonts w:ascii="Times New Roman" w:hAnsi="Times New Roman" w:cs="Times New Roman"/>
          <w:sz w:val="24"/>
          <w:szCs w:val="24"/>
        </w:rPr>
      </w:pPr>
      <w:r>
        <w:rPr>
          <w:rFonts w:ascii="Times New Roman" w:hAnsi="Times New Roman" w:cs="Times New Roman"/>
          <w:sz w:val="24"/>
          <w:szCs w:val="24"/>
        </w:rPr>
        <w:t>Claims of the need for species conversion are also overstated.</w:t>
      </w:r>
      <w:r w:rsidR="00F2047A" w:rsidRPr="00E50565">
        <w:rPr>
          <w:rFonts w:ascii="Times New Roman" w:hAnsi="Times New Roman" w:cs="Times New Roman"/>
          <w:sz w:val="24"/>
          <w:szCs w:val="24"/>
        </w:rPr>
        <w:t xml:space="preserve"> Grand fir and Douglas fir would have been common historically in most of the lower elevation areas.  Higher elevations would have supported Engelmann spruce, subalpine fir and lodgepole pine.  Larch would likely have been present in scattered amounts in most stands, but it would not have been considered a dominant forest type.  </w:t>
      </w:r>
    </w:p>
    <w:p w:rsidR="008C4453" w:rsidRPr="00E50565" w:rsidRDefault="008C4453" w:rsidP="00F2047A">
      <w:pPr>
        <w:spacing w:after="0"/>
        <w:rPr>
          <w:rFonts w:ascii="Times New Roman" w:hAnsi="Times New Roman" w:cs="Times New Roman"/>
          <w:sz w:val="24"/>
          <w:szCs w:val="24"/>
        </w:rPr>
      </w:pPr>
    </w:p>
    <w:p w:rsidR="00F2047A" w:rsidRPr="00E50565" w:rsidRDefault="00F2047A" w:rsidP="00F2047A">
      <w:pPr>
        <w:spacing w:after="0"/>
        <w:rPr>
          <w:rFonts w:ascii="Times New Roman" w:hAnsi="Times New Roman" w:cs="Times New Roman"/>
          <w:sz w:val="24"/>
          <w:szCs w:val="24"/>
        </w:rPr>
      </w:pPr>
      <w:r w:rsidRPr="00E50565">
        <w:rPr>
          <w:rFonts w:ascii="Times New Roman" w:hAnsi="Times New Roman" w:cs="Times New Roman"/>
          <w:sz w:val="24"/>
          <w:szCs w:val="24"/>
        </w:rPr>
        <w:t xml:space="preserve">There is a good reason why </w:t>
      </w:r>
      <w:r w:rsidR="00E50565" w:rsidRPr="00E50565">
        <w:rPr>
          <w:rFonts w:ascii="Times New Roman" w:hAnsi="Times New Roman" w:cs="Times New Roman"/>
          <w:sz w:val="24"/>
          <w:szCs w:val="24"/>
        </w:rPr>
        <w:t>62.2</w:t>
      </w:r>
      <w:r w:rsidRPr="00E50565">
        <w:rPr>
          <w:rFonts w:ascii="Times New Roman" w:hAnsi="Times New Roman" w:cs="Times New Roman"/>
          <w:sz w:val="24"/>
          <w:szCs w:val="24"/>
        </w:rPr>
        <w:t xml:space="preserve">% existing forest types in the project are composed of </w:t>
      </w:r>
      <w:r w:rsidR="00E50565" w:rsidRPr="00E50565">
        <w:rPr>
          <w:rFonts w:ascii="Times New Roman" w:hAnsi="Times New Roman" w:cs="Times New Roman"/>
          <w:sz w:val="24"/>
          <w:szCs w:val="24"/>
        </w:rPr>
        <w:t xml:space="preserve">mixed </w:t>
      </w:r>
      <w:r w:rsidRPr="00E50565">
        <w:rPr>
          <w:rFonts w:ascii="Times New Roman" w:hAnsi="Times New Roman" w:cs="Times New Roman"/>
          <w:sz w:val="24"/>
          <w:szCs w:val="24"/>
        </w:rPr>
        <w:t>grand fir and Douglas fir and that lodgepole pine is common (</w:t>
      </w:r>
      <w:r w:rsidR="00E50565" w:rsidRPr="00E50565">
        <w:rPr>
          <w:rFonts w:ascii="Times New Roman" w:hAnsi="Times New Roman" w:cs="Times New Roman"/>
          <w:sz w:val="24"/>
          <w:szCs w:val="24"/>
        </w:rPr>
        <w:t>25.4</w:t>
      </w:r>
      <w:r w:rsidRPr="00E50565">
        <w:rPr>
          <w:rFonts w:ascii="Times New Roman" w:hAnsi="Times New Roman" w:cs="Times New Roman"/>
          <w:sz w:val="24"/>
          <w:szCs w:val="24"/>
        </w:rPr>
        <w:t xml:space="preserve">% of the project area) in upper elevations.  Species composition is consistent with the habitat type groups found in the area and has not been significantly influenced by fire suppression as alleged in the </w:t>
      </w:r>
      <w:r w:rsidR="00E50565" w:rsidRPr="00E50565">
        <w:rPr>
          <w:rFonts w:ascii="Times New Roman" w:hAnsi="Times New Roman" w:cs="Times New Roman"/>
          <w:sz w:val="24"/>
          <w:szCs w:val="24"/>
        </w:rPr>
        <w:t>proposed action</w:t>
      </w:r>
      <w:r w:rsidRPr="00E50565">
        <w:rPr>
          <w:rFonts w:ascii="Times New Roman" w:hAnsi="Times New Roman" w:cs="Times New Roman"/>
          <w:sz w:val="24"/>
          <w:szCs w:val="24"/>
        </w:rPr>
        <w:t xml:space="preserve">.  </w:t>
      </w:r>
      <w:r w:rsidR="008C4453">
        <w:rPr>
          <w:rFonts w:ascii="Times New Roman" w:hAnsi="Times New Roman" w:cs="Times New Roman"/>
          <w:sz w:val="24"/>
          <w:szCs w:val="24"/>
        </w:rPr>
        <w:t>C</w:t>
      </w:r>
      <w:r w:rsidRPr="00E50565">
        <w:rPr>
          <w:rFonts w:ascii="Times New Roman" w:hAnsi="Times New Roman" w:cs="Times New Roman"/>
          <w:sz w:val="24"/>
          <w:szCs w:val="24"/>
        </w:rPr>
        <w:t>onversion to western larch and ponderosa pine is not consistent with existing ecological conditions.</w:t>
      </w:r>
    </w:p>
    <w:p w:rsidR="000B1D0A" w:rsidRPr="00E50565" w:rsidRDefault="000B1D0A">
      <w:pPr>
        <w:rPr>
          <w:rFonts w:ascii="Times New Roman" w:hAnsi="Times New Roman" w:cs="Times New Roman"/>
          <w:b/>
          <w:bCs/>
          <w:sz w:val="24"/>
          <w:szCs w:val="24"/>
        </w:rPr>
      </w:pPr>
    </w:p>
    <w:p w:rsidR="008202D7" w:rsidRDefault="000B1D0A">
      <w:pPr>
        <w:rPr>
          <w:rFonts w:ascii="Times New Roman" w:hAnsi="Times New Roman" w:cs="Times New Roman"/>
          <w:b/>
          <w:bCs/>
          <w:sz w:val="24"/>
          <w:szCs w:val="24"/>
        </w:rPr>
      </w:pPr>
      <w:r>
        <w:rPr>
          <w:rFonts w:ascii="Times New Roman" w:hAnsi="Times New Roman" w:cs="Times New Roman"/>
          <w:b/>
          <w:bCs/>
          <w:sz w:val="24"/>
          <w:szCs w:val="24"/>
        </w:rPr>
        <w:tab/>
      </w:r>
    </w:p>
    <w:p w:rsidR="008202D7" w:rsidRDefault="008202D7">
      <w:pPr>
        <w:rPr>
          <w:rFonts w:ascii="Times New Roman" w:hAnsi="Times New Roman" w:cs="Times New Roman"/>
          <w:b/>
          <w:bCs/>
          <w:sz w:val="24"/>
          <w:szCs w:val="24"/>
        </w:rPr>
      </w:pPr>
    </w:p>
    <w:p w:rsidR="000B1D0A" w:rsidRDefault="000B1D0A" w:rsidP="008202D7">
      <w:pPr>
        <w:ind w:firstLine="720"/>
        <w:rPr>
          <w:rFonts w:ascii="Times New Roman" w:hAnsi="Times New Roman" w:cs="Times New Roman"/>
          <w:b/>
          <w:bCs/>
          <w:sz w:val="24"/>
          <w:szCs w:val="24"/>
        </w:rPr>
      </w:pPr>
      <w:r>
        <w:rPr>
          <w:rFonts w:ascii="Times New Roman" w:hAnsi="Times New Roman" w:cs="Times New Roman"/>
          <w:b/>
          <w:bCs/>
          <w:sz w:val="24"/>
          <w:szCs w:val="24"/>
        </w:rPr>
        <w:lastRenderedPageBreak/>
        <w:t>Second Access Route</w:t>
      </w:r>
    </w:p>
    <w:p w:rsidR="000B1D0A" w:rsidRPr="008202D7" w:rsidRDefault="000B1D0A">
      <w:pPr>
        <w:rPr>
          <w:rFonts w:ascii="Times New Roman" w:hAnsi="Times New Roman" w:cs="Times New Roman"/>
          <w:sz w:val="24"/>
          <w:szCs w:val="24"/>
        </w:rPr>
      </w:pPr>
      <w:r w:rsidRPr="000B1D0A">
        <w:rPr>
          <w:rFonts w:ascii="Times New Roman" w:hAnsi="Times New Roman" w:cs="Times New Roman"/>
          <w:sz w:val="24"/>
          <w:szCs w:val="24"/>
        </w:rPr>
        <w:t>The idea that a second access route dotted by clearcuts would be desirable for people seeking to utilize the Gospel Hump wilderness area is questionable.  What demand has surfaced that suggests the need for this proposal.</w:t>
      </w:r>
    </w:p>
    <w:p w:rsidR="003040AD" w:rsidRDefault="003040AD">
      <w:pPr>
        <w:rPr>
          <w:rFonts w:ascii="Times New Roman" w:hAnsi="Times New Roman" w:cs="Times New Roman"/>
          <w:b/>
          <w:bCs/>
          <w:sz w:val="24"/>
          <w:szCs w:val="24"/>
        </w:rPr>
      </w:pPr>
      <w:r w:rsidRPr="003040AD">
        <w:rPr>
          <w:rFonts w:ascii="Times New Roman" w:hAnsi="Times New Roman" w:cs="Times New Roman"/>
          <w:b/>
          <w:bCs/>
          <w:sz w:val="24"/>
          <w:szCs w:val="24"/>
        </w:rPr>
        <w:t xml:space="preserve">Large </w:t>
      </w:r>
      <w:r>
        <w:rPr>
          <w:rFonts w:ascii="Times New Roman" w:hAnsi="Times New Roman" w:cs="Times New Roman"/>
          <w:b/>
          <w:bCs/>
          <w:sz w:val="24"/>
          <w:szCs w:val="24"/>
        </w:rPr>
        <w:t>Openings</w:t>
      </w:r>
    </w:p>
    <w:p w:rsidR="00AB7EA2" w:rsidRDefault="003040AD">
      <w:pPr>
        <w:rPr>
          <w:rFonts w:ascii="Times New Roman" w:hAnsi="Times New Roman" w:cs="Times New Roman"/>
          <w:sz w:val="24"/>
          <w:szCs w:val="24"/>
        </w:rPr>
      </w:pPr>
      <w:r w:rsidRPr="003040AD">
        <w:rPr>
          <w:rFonts w:ascii="Times New Roman" w:hAnsi="Times New Roman" w:cs="Times New Roman"/>
          <w:sz w:val="24"/>
          <w:szCs w:val="24"/>
        </w:rPr>
        <w:t xml:space="preserve">I am particularly concerned </w:t>
      </w:r>
      <w:r>
        <w:rPr>
          <w:rFonts w:ascii="Times New Roman" w:hAnsi="Times New Roman" w:cs="Times New Roman"/>
          <w:sz w:val="24"/>
          <w:szCs w:val="24"/>
        </w:rPr>
        <w:t xml:space="preserve">about the very large harvest unit complexes especially the one that will create a </w:t>
      </w:r>
      <w:r w:rsidR="00612C18">
        <w:rPr>
          <w:rFonts w:ascii="Times New Roman" w:hAnsi="Times New Roman" w:cs="Times New Roman"/>
          <w:sz w:val="24"/>
          <w:szCs w:val="24"/>
        </w:rPr>
        <w:t>642-acre opening.  The proposal will create ten openings over 40-acres and six of these complexes exceed 100-acres.  Not only will these large openings be unsightly, but they will also create significant barriers to movement of numerous wildlife species.  Species such as the fisher and marten will likely avoid these openings</w:t>
      </w:r>
      <w:r w:rsidR="00AB7EA2">
        <w:rPr>
          <w:rFonts w:ascii="Times New Roman" w:hAnsi="Times New Roman" w:cs="Times New Roman"/>
          <w:sz w:val="24"/>
          <w:szCs w:val="24"/>
        </w:rPr>
        <w:t xml:space="preserve"> entirely</w:t>
      </w:r>
      <w:r w:rsidR="00612C18">
        <w:rPr>
          <w:rFonts w:ascii="Times New Roman" w:hAnsi="Times New Roman" w:cs="Times New Roman"/>
          <w:sz w:val="24"/>
          <w:szCs w:val="24"/>
        </w:rPr>
        <w:t xml:space="preserve">.  </w:t>
      </w:r>
      <w:r w:rsidR="00AB7EA2">
        <w:rPr>
          <w:rFonts w:ascii="Times New Roman" w:hAnsi="Times New Roman" w:cs="Times New Roman"/>
          <w:sz w:val="24"/>
          <w:szCs w:val="24"/>
        </w:rPr>
        <w:t xml:space="preserve">Other species such as deer, elk and moose may use portions of the units for foraging, but it is likely that they will stick closer to forested edges and avoid the center of these large openings.  </w:t>
      </w:r>
    </w:p>
    <w:p w:rsidR="00B85899" w:rsidRDefault="00AB7EA2">
      <w:pPr>
        <w:rPr>
          <w:rFonts w:ascii="Times New Roman" w:hAnsi="Times New Roman" w:cs="Times New Roman"/>
          <w:sz w:val="24"/>
          <w:szCs w:val="24"/>
        </w:rPr>
      </w:pPr>
      <w:r>
        <w:rPr>
          <w:rFonts w:ascii="Times New Roman" w:hAnsi="Times New Roman" w:cs="Times New Roman"/>
          <w:sz w:val="24"/>
          <w:szCs w:val="24"/>
        </w:rPr>
        <w:t>Vulnerability to hunting is likely to increase for big game and predator species like wolves. P</w:t>
      </w:r>
      <w:r w:rsidR="00D242E8">
        <w:rPr>
          <w:rFonts w:ascii="Times New Roman" w:hAnsi="Times New Roman" w:cs="Times New Roman"/>
          <w:sz w:val="24"/>
          <w:szCs w:val="24"/>
        </w:rPr>
        <w:t>oaching of big game and other p</w:t>
      </w:r>
      <w:r>
        <w:rPr>
          <w:rFonts w:ascii="Times New Roman" w:hAnsi="Times New Roman" w:cs="Times New Roman"/>
          <w:sz w:val="24"/>
          <w:szCs w:val="24"/>
        </w:rPr>
        <w:t xml:space="preserve">rotected species like the grizzly bear, wolverine and lynx could </w:t>
      </w:r>
      <w:r w:rsidR="00D242E8">
        <w:rPr>
          <w:rFonts w:ascii="Times New Roman" w:hAnsi="Times New Roman" w:cs="Times New Roman"/>
          <w:sz w:val="24"/>
          <w:szCs w:val="24"/>
        </w:rPr>
        <w:t>occur more frequently with these large open areas.  Poaching is known to be opportunistic with chances</w:t>
      </w:r>
      <w:r>
        <w:rPr>
          <w:rFonts w:ascii="Times New Roman" w:hAnsi="Times New Roman" w:cs="Times New Roman"/>
          <w:sz w:val="24"/>
          <w:szCs w:val="24"/>
        </w:rPr>
        <w:t xml:space="preserve"> be</w:t>
      </w:r>
      <w:r w:rsidR="00D242E8">
        <w:rPr>
          <w:rFonts w:ascii="Times New Roman" w:hAnsi="Times New Roman" w:cs="Times New Roman"/>
          <w:sz w:val="24"/>
          <w:szCs w:val="24"/>
        </w:rPr>
        <w:t>ing more likely in large open areas near open roads.  The proposal opens more existing roads with the proposal to create a second access route to the Sourdough wilderness portal.  Proposed regeneration harvest units are located all along th</w:t>
      </w:r>
      <w:r w:rsidR="008202D7">
        <w:rPr>
          <w:rFonts w:ascii="Times New Roman" w:hAnsi="Times New Roman" w:cs="Times New Roman"/>
          <w:sz w:val="24"/>
          <w:szCs w:val="24"/>
        </w:rPr>
        <w:t xml:space="preserve">ese </w:t>
      </w:r>
      <w:r w:rsidR="00D242E8">
        <w:rPr>
          <w:rFonts w:ascii="Times New Roman" w:hAnsi="Times New Roman" w:cs="Times New Roman"/>
          <w:sz w:val="24"/>
          <w:szCs w:val="24"/>
        </w:rPr>
        <w:t>route</w:t>
      </w:r>
      <w:r w:rsidR="00AC046D">
        <w:rPr>
          <w:rFonts w:ascii="Times New Roman" w:hAnsi="Times New Roman" w:cs="Times New Roman"/>
          <w:sz w:val="24"/>
          <w:szCs w:val="24"/>
        </w:rPr>
        <w:t>s</w:t>
      </w:r>
      <w:r w:rsidR="008202D7">
        <w:rPr>
          <w:rFonts w:ascii="Times New Roman" w:hAnsi="Times New Roman" w:cs="Times New Roman"/>
          <w:sz w:val="24"/>
          <w:szCs w:val="24"/>
        </w:rPr>
        <w:t xml:space="preserve"> and most units are found on flatter ridge locations where the existing roads are located.  These gentler slopes are attractive to many species such as elk which use these ridgelines </w:t>
      </w:r>
      <w:r w:rsidR="000822B8">
        <w:rPr>
          <w:rFonts w:ascii="Times New Roman" w:hAnsi="Times New Roman" w:cs="Times New Roman"/>
          <w:sz w:val="24"/>
          <w:szCs w:val="24"/>
        </w:rPr>
        <w:t>for travel and resting.</w:t>
      </w:r>
    </w:p>
    <w:p w:rsidR="00F90745" w:rsidRPr="00CB4353" w:rsidRDefault="00F90745">
      <w:pPr>
        <w:rPr>
          <w:rFonts w:ascii="Times New Roman" w:hAnsi="Times New Roman" w:cs="Times New Roman"/>
          <w:b/>
          <w:bCs/>
          <w:sz w:val="24"/>
          <w:szCs w:val="24"/>
        </w:rPr>
      </w:pPr>
      <w:r w:rsidRPr="00CB4353">
        <w:rPr>
          <w:rFonts w:ascii="Times New Roman" w:hAnsi="Times New Roman" w:cs="Times New Roman"/>
          <w:b/>
          <w:bCs/>
          <w:sz w:val="24"/>
          <w:szCs w:val="24"/>
        </w:rPr>
        <w:t>Prescribed Burning</w:t>
      </w:r>
      <w:r w:rsidR="00FD2E95" w:rsidRPr="00CB4353">
        <w:rPr>
          <w:rFonts w:ascii="Times New Roman" w:hAnsi="Times New Roman" w:cs="Times New Roman"/>
          <w:b/>
          <w:bCs/>
          <w:sz w:val="24"/>
          <w:szCs w:val="24"/>
        </w:rPr>
        <w:t xml:space="preserve"> (6</w:t>
      </w:r>
      <w:r w:rsidR="00CB4353" w:rsidRPr="00CB4353">
        <w:rPr>
          <w:rFonts w:ascii="Times New Roman" w:hAnsi="Times New Roman" w:cs="Times New Roman"/>
          <w:b/>
          <w:bCs/>
          <w:sz w:val="24"/>
          <w:szCs w:val="24"/>
        </w:rPr>
        <w:t>,807-acres)</w:t>
      </w:r>
    </w:p>
    <w:p w:rsidR="00AF571F" w:rsidRDefault="00F90745">
      <w:pPr>
        <w:rPr>
          <w:rFonts w:ascii="Times New Roman" w:hAnsi="Times New Roman" w:cs="Times New Roman"/>
          <w:sz w:val="24"/>
          <w:szCs w:val="24"/>
        </w:rPr>
      </w:pPr>
      <w:r w:rsidRPr="00CB4353">
        <w:rPr>
          <w:rFonts w:ascii="Times New Roman" w:hAnsi="Times New Roman" w:cs="Times New Roman"/>
          <w:sz w:val="24"/>
          <w:szCs w:val="24"/>
        </w:rPr>
        <w:t>The objectives of the prescribed burning are unclear in stands that are largely classified as being composed of mature grand fir</w:t>
      </w:r>
      <w:r w:rsidR="002F5EC2">
        <w:rPr>
          <w:rFonts w:ascii="Times New Roman" w:hAnsi="Times New Roman" w:cs="Times New Roman"/>
          <w:sz w:val="24"/>
          <w:szCs w:val="24"/>
        </w:rPr>
        <w:t>-mixed</w:t>
      </w:r>
      <w:r w:rsidRPr="00CB4353">
        <w:rPr>
          <w:rFonts w:ascii="Times New Roman" w:hAnsi="Times New Roman" w:cs="Times New Roman"/>
          <w:sz w:val="24"/>
          <w:szCs w:val="24"/>
        </w:rPr>
        <w:t xml:space="preserve"> forest.  </w:t>
      </w:r>
      <w:r w:rsidR="00AF571F">
        <w:rPr>
          <w:rFonts w:ascii="Times New Roman" w:hAnsi="Times New Roman" w:cs="Times New Roman"/>
          <w:sz w:val="24"/>
          <w:szCs w:val="24"/>
        </w:rPr>
        <w:t>G</w:t>
      </w:r>
      <w:r w:rsidR="00AF571F" w:rsidRPr="00CB4353">
        <w:rPr>
          <w:rFonts w:ascii="Times New Roman" w:hAnsi="Times New Roman" w:cs="Times New Roman"/>
          <w:sz w:val="24"/>
          <w:szCs w:val="24"/>
        </w:rPr>
        <w:t xml:space="preserve">rand fir is a relatively thin-barked species that is not well adapted to understory </w:t>
      </w:r>
      <w:r w:rsidR="00AF571F">
        <w:rPr>
          <w:rFonts w:ascii="Times New Roman" w:hAnsi="Times New Roman" w:cs="Times New Roman"/>
          <w:sz w:val="24"/>
          <w:szCs w:val="24"/>
        </w:rPr>
        <w:t>fire</w:t>
      </w:r>
      <w:r w:rsidR="00E3385E">
        <w:rPr>
          <w:rFonts w:ascii="Times New Roman" w:hAnsi="Times New Roman" w:cs="Times New Roman"/>
          <w:sz w:val="24"/>
          <w:szCs w:val="24"/>
        </w:rPr>
        <w:t xml:space="preserve">, and understory wildfire is relatively uncommon in this moist forest type.  More common </w:t>
      </w:r>
      <w:r w:rsidR="00AF571F">
        <w:rPr>
          <w:rFonts w:ascii="Times New Roman" w:hAnsi="Times New Roman" w:cs="Times New Roman"/>
          <w:sz w:val="24"/>
          <w:szCs w:val="24"/>
        </w:rPr>
        <w:t xml:space="preserve">are </w:t>
      </w:r>
      <w:r w:rsidR="00E3385E">
        <w:rPr>
          <w:rFonts w:ascii="Times New Roman" w:hAnsi="Times New Roman" w:cs="Times New Roman"/>
          <w:sz w:val="24"/>
          <w:szCs w:val="24"/>
        </w:rPr>
        <w:t>lethal stand replacing</w:t>
      </w:r>
      <w:r w:rsidR="00AF571F">
        <w:rPr>
          <w:rFonts w:ascii="Times New Roman" w:hAnsi="Times New Roman" w:cs="Times New Roman"/>
          <w:sz w:val="24"/>
          <w:szCs w:val="24"/>
        </w:rPr>
        <w:t xml:space="preserve"> or mixed-severity wildfire</w:t>
      </w:r>
      <w:r w:rsidR="00E3385E">
        <w:rPr>
          <w:rFonts w:ascii="Times New Roman" w:hAnsi="Times New Roman" w:cs="Times New Roman"/>
          <w:sz w:val="24"/>
          <w:szCs w:val="24"/>
        </w:rPr>
        <w:t>s</w:t>
      </w:r>
      <w:r w:rsidR="00AF571F">
        <w:rPr>
          <w:rFonts w:ascii="Times New Roman" w:hAnsi="Times New Roman" w:cs="Times New Roman"/>
          <w:sz w:val="24"/>
          <w:szCs w:val="24"/>
        </w:rPr>
        <w:t xml:space="preserve"> that occur </w:t>
      </w:r>
      <w:r w:rsidR="007B7F21">
        <w:rPr>
          <w:rFonts w:ascii="Times New Roman" w:hAnsi="Times New Roman" w:cs="Times New Roman"/>
          <w:sz w:val="24"/>
          <w:szCs w:val="24"/>
        </w:rPr>
        <w:t xml:space="preserve">infrequently </w:t>
      </w:r>
      <w:r w:rsidR="00AF571F">
        <w:rPr>
          <w:rFonts w:ascii="Times New Roman" w:hAnsi="Times New Roman" w:cs="Times New Roman"/>
          <w:sz w:val="24"/>
          <w:szCs w:val="24"/>
        </w:rPr>
        <w:t>during late summer or early fall</w:t>
      </w:r>
      <w:r w:rsidR="007B7F21">
        <w:rPr>
          <w:rFonts w:ascii="Times New Roman" w:hAnsi="Times New Roman" w:cs="Times New Roman"/>
          <w:sz w:val="24"/>
          <w:szCs w:val="24"/>
        </w:rPr>
        <w:t xml:space="preserve"> drought conditions</w:t>
      </w:r>
      <w:r w:rsidR="00AF571F">
        <w:rPr>
          <w:rFonts w:ascii="Times New Roman" w:hAnsi="Times New Roman" w:cs="Times New Roman"/>
          <w:sz w:val="24"/>
          <w:szCs w:val="24"/>
        </w:rPr>
        <w:t xml:space="preserve">.  </w:t>
      </w:r>
      <w:r w:rsidR="00E3385E">
        <w:rPr>
          <w:rFonts w:ascii="Times New Roman" w:hAnsi="Times New Roman" w:cs="Times New Roman"/>
          <w:sz w:val="24"/>
          <w:szCs w:val="24"/>
        </w:rPr>
        <w:t xml:space="preserve">Young stands that develop after these events usually have high densities </w:t>
      </w:r>
      <w:r w:rsidR="007B7F21">
        <w:rPr>
          <w:rFonts w:ascii="Times New Roman" w:hAnsi="Times New Roman" w:cs="Times New Roman"/>
          <w:sz w:val="24"/>
          <w:szCs w:val="24"/>
        </w:rPr>
        <w:t xml:space="preserve">of small trees </w:t>
      </w:r>
      <w:r w:rsidR="002F5EC2">
        <w:rPr>
          <w:rFonts w:ascii="Times New Roman" w:hAnsi="Times New Roman" w:cs="Times New Roman"/>
          <w:sz w:val="24"/>
          <w:szCs w:val="24"/>
        </w:rPr>
        <w:t xml:space="preserve">(Haig 1932) </w:t>
      </w:r>
      <w:r w:rsidR="007B7F21">
        <w:rPr>
          <w:rFonts w:ascii="Times New Roman" w:hAnsi="Times New Roman" w:cs="Times New Roman"/>
          <w:sz w:val="24"/>
          <w:szCs w:val="24"/>
        </w:rPr>
        <w:t>that gradually reduce in numbers due to f</w:t>
      </w:r>
      <w:r w:rsidR="00AF571F">
        <w:rPr>
          <w:rFonts w:ascii="Times New Roman" w:hAnsi="Times New Roman" w:cs="Times New Roman"/>
          <w:sz w:val="24"/>
          <w:szCs w:val="24"/>
        </w:rPr>
        <w:t xml:space="preserve">orest succession and natural </w:t>
      </w:r>
      <w:r w:rsidR="002F5EC2">
        <w:rPr>
          <w:rFonts w:ascii="Times New Roman" w:hAnsi="Times New Roman" w:cs="Times New Roman"/>
          <w:sz w:val="24"/>
          <w:szCs w:val="24"/>
        </w:rPr>
        <w:t xml:space="preserve">litter </w:t>
      </w:r>
      <w:r w:rsidR="00AF571F">
        <w:rPr>
          <w:rFonts w:ascii="Times New Roman" w:hAnsi="Times New Roman" w:cs="Times New Roman"/>
          <w:sz w:val="24"/>
          <w:szCs w:val="24"/>
        </w:rPr>
        <w:t>decomposition</w:t>
      </w:r>
      <w:r w:rsidR="007B7F21">
        <w:rPr>
          <w:rFonts w:ascii="Times New Roman" w:hAnsi="Times New Roman" w:cs="Times New Roman"/>
          <w:sz w:val="24"/>
          <w:szCs w:val="24"/>
        </w:rPr>
        <w:t>.  Thus, the existing stands are the result of a past wildfire that occurred in the early 1900s and there is little evidence</w:t>
      </w:r>
      <w:r w:rsidR="00AF571F">
        <w:rPr>
          <w:rFonts w:ascii="Times New Roman" w:hAnsi="Times New Roman" w:cs="Times New Roman"/>
          <w:sz w:val="24"/>
          <w:szCs w:val="24"/>
        </w:rPr>
        <w:t xml:space="preserve"> that </w:t>
      </w:r>
      <w:r w:rsidR="007B7F21">
        <w:rPr>
          <w:rFonts w:ascii="Times New Roman" w:hAnsi="Times New Roman" w:cs="Times New Roman"/>
          <w:sz w:val="24"/>
          <w:szCs w:val="24"/>
        </w:rPr>
        <w:t>fuel loadings are excessive.</w:t>
      </w:r>
      <w:r w:rsidR="00AF571F">
        <w:rPr>
          <w:rFonts w:ascii="Times New Roman" w:hAnsi="Times New Roman" w:cs="Times New Roman"/>
          <w:sz w:val="24"/>
          <w:szCs w:val="24"/>
        </w:rPr>
        <w:t xml:space="preserve"> </w:t>
      </w:r>
      <w:r w:rsidR="00DC418B">
        <w:rPr>
          <w:rFonts w:ascii="Times New Roman" w:hAnsi="Times New Roman" w:cs="Times New Roman"/>
          <w:sz w:val="24"/>
          <w:szCs w:val="24"/>
        </w:rPr>
        <w:t xml:space="preserve"> Mature grand fir stands commonly have a relatively open understory</w:t>
      </w:r>
      <w:r w:rsidR="002F5EC2">
        <w:rPr>
          <w:rFonts w:ascii="Times New Roman" w:hAnsi="Times New Roman" w:cs="Times New Roman"/>
          <w:sz w:val="24"/>
          <w:szCs w:val="24"/>
        </w:rPr>
        <w:t xml:space="preserve"> and it is still unclear what the purpose of under burning would be in these forest types.</w:t>
      </w:r>
    </w:p>
    <w:p w:rsidR="00350E88" w:rsidRDefault="00F90745">
      <w:pPr>
        <w:rPr>
          <w:rFonts w:ascii="Times New Roman" w:hAnsi="Times New Roman" w:cs="Times New Roman"/>
          <w:sz w:val="24"/>
          <w:szCs w:val="24"/>
        </w:rPr>
      </w:pPr>
      <w:r w:rsidRPr="00CB4353">
        <w:rPr>
          <w:rFonts w:ascii="Times New Roman" w:hAnsi="Times New Roman" w:cs="Times New Roman"/>
          <w:sz w:val="24"/>
          <w:szCs w:val="24"/>
        </w:rPr>
        <w:t xml:space="preserve">The proposed prescribed fire is likely to kill a significant number of existing live trees and </w:t>
      </w:r>
      <w:r w:rsidR="00174F95" w:rsidRPr="00CB4353">
        <w:rPr>
          <w:rFonts w:ascii="Times New Roman" w:hAnsi="Times New Roman" w:cs="Times New Roman"/>
          <w:sz w:val="24"/>
          <w:szCs w:val="24"/>
        </w:rPr>
        <w:t xml:space="preserve">will be difficult to control </w:t>
      </w:r>
      <w:r w:rsidR="00E94086">
        <w:rPr>
          <w:rFonts w:ascii="Times New Roman" w:hAnsi="Times New Roman" w:cs="Times New Roman"/>
          <w:sz w:val="24"/>
          <w:szCs w:val="24"/>
        </w:rPr>
        <w:t>due to the</w:t>
      </w:r>
      <w:r w:rsidR="00174F95" w:rsidRPr="00CB4353">
        <w:rPr>
          <w:rFonts w:ascii="Times New Roman" w:hAnsi="Times New Roman" w:cs="Times New Roman"/>
          <w:sz w:val="24"/>
          <w:szCs w:val="24"/>
        </w:rPr>
        <w:t xml:space="preserve"> steep </w:t>
      </w:r>
      <w:r w:rsidR="00E94086">
        <w:rPr>
          <w:rFonts w:ascii="Times New Roman" w:hAnsi="Times New Roman" w:cs="Times New Roman"/>
          <w:sz w:val="24"/>
          <w:szCs w:val="24"/>
        </w:rPr>
        <w:t xml:space="preserve">project area </w:t>
      </w:r>
      <w:r w:rsidR="00174F95" w:rsidRPr="00CB4353">
        <w:rPr>
          <w:rFonts w:ascii="Times New Roman" w:hAnsi="Times New Roman" w:cs="Times New Roman"/>
          <w:sz w:val="24"/>
          <w:szCs w:val="24"/>
        </w:rPr>
        <w:t>topography and the large size of the proposed burn.</w:t>
      </w:r>
      <w:r w:rsidR="002F5EC2">
        <w:rPr>
          <w:rFonts w:ascii="Times New Roman" w:hAnsi="Times New Roman" w:cs="Times New Roman"/>
          <w:sz w:val="24"/>
          <w:szCs w:val="24"/>
        </w:rPr>
        <w:t xml:space="preserve"> </w:t>
      </w:r>
      <w:r w:rsidR="00174F95" w:rsidRPr="00CB4353">
        <w:rPr>
          <w:rFonts w:ascii="Times New Roman" w:hAnsi="Times New Roman" w:cs="Times New Roman"/>
          <w:sz w:val="24"/>
          <w:szCs w:val="24"/>
        </w:rPr>
        <w:t xml:space="preserve">  T</w:t>
      </w:r>
      <w:r w:rsidR="0035116F" w:rsidRPr="00CB4353">
        <w:rPr>
          <w:rFonts w:ascii="Times New Roman" w:hAnsi="Times New Roman" w:cs="Times New Roman"/>
          <w:sz w:val="24"/>
          <w:szCs w:val="24"/>
        </w:rPr>
        <w:t xml:space="preserve">he </w:t>
      </w:r>
      <w:r w:rsidR="00174F95" w:rsidRPr="00CB4353">
        <w:rPr>
          <w:rFonts w:ascii="Times New Roman" w:hAnsi="Times New Roman" w:cs="Times New Roman"/>
          <w:sz w:val="24"/>
          <w:szCs w:val="24"/>
        </w:rPr>
        <w:t xml:space="preserve">Forest Service </w:t>
      </w:r>
      <w:r w:rsidR="002F5EC2">
        <w:rPr>
          <w:rFonts w:ascii="Times New Roman" w:hAnsi="Times New Roman" w:cs="Times New Roman"/>
          <w:sz w:val="24"/>
          <w:szCs w:val="24"/>
        </w:rPr>
        <w:t>claims t</w:t>
      </w:r>
      <w:r w:rsidR="00FE670A">
        <w:rPr>
          <w:rFonts w:ascii="Times New Roman" w:hAnsi="Times New Roman" w:cs="Times New Roman"/>
          <w:sz w:val="24"/>
          <w:szCs w:val="24"/>
        </w:rPr>
        <w:t xml:space="preserve">hat prescribed </w:t>
      </w:r>
      <w:r w:rsidR="0035116F" w:rsidRPr="00CB4353">
        <w:rPr>
          <w:rFonts w:ascii="Times New Roman" w:hAnsi="Times New Roman" w:cs="Times New Roman"/>
          <w:sz w:val="24"/>
          <w:szCs w:val="24"/>
        </w:rPr>
        <w:t xml:space="preserve">burning operations </w:t>
      </w:r>
      <w:r w:rsidR="00FE670A">
        <w:rPr>
          <w:rFonts w:ascii="Times New Roman" w:hAnsi="Times New Roman" w:cs="Times New Roman"/>
          <w:sz w:val="24"/>
          <w:szCs w:val="24"/>
        </w:rPr>
        <w:t>are necessary are</w:t>
      </w:r>
      <w:r w:rsidR="0035116F" w:rsidRPr="00CB4353">
        <w:rPr>
          <w:rFonts w:ascii="Times New Roman" w:hAnsi="Times New Roman" w:cs="Times New Roman"/>
          <w:sz w:val="24"/>
          <w:szCs w:val="24"/>
        </w:rPr>
        <w:t xml:space="preserve"> to reduc</w:t>
      </w:r>
      <w:r w:rsidR="00E15155" w:rsidRPr="00CB4353">
        <w:rPr>
          <w:rFonts w:ascii="Times New Roman" w:hAnsi="Times New Roman" w:cs="Times New Roman"/>
          <w:sz w:val="24"/>
          <w:szCs w:val="24"/>
        </w:rPr>
        <w:t xml:space="preserve">e </w:t>
      </w:r>
      <w:r w:rsidR="0035116F" w:rsidRPr="00CB4353">
        <w:rPr>
          <w:rFonts w:ascii="Times New Roman" w:hAnsi="Times New Roman" w:cs="Times New Roman"/>
          <w:sz w:val="24"/>
          <w:szCs w:val="24"/>
        </w:rPr>
        <w:t xml:space="preserve">fuel loadings, but in mature grand fir stands under burning may </w:t>
      </w:r>
      <w:r w:rsidR="00A67E71">
        <w:rPr>
          <w:rFonts w:ascii="Times New Roman" w:hAnsi="Times New Roman" w:cs="Times New Roman"/>
          <w:sz w:val="24"/>
          <w:szCs w:val="24"/>
        </w:rPr>
        <w:t>have</w:t>
      </w:r>
      <w:r w:rsidR="003B2F98" w:rsidRPr="00CB4353">
        <w:rPr>
          <w:rFonts w:ascii="Times New Roman" w:hAnsi="Times New Roman" w:cs="Times New Roman"/>
          <w:sz w:val="24"/>
          <w:szCs w:val="24"/>
        </w:rPr>
        <w:t xml:space="preserve"> unintended consequences.  Under burning could</w:t>
      </w:r>
      <w:r w:rsidR="0035116F" w:rsidRPr="00CB4353">
        <w:rPr>
          <w:rFonts w:ascii="Times New Roman" w:hAnsi="Times New Roman" w:cs="Times New Roman"/>
          <w:sz w:val="24"/>
          <w:szCs w:val="24"/>
        </w:rPr>
        <w:t xml:space="preserve"> kill a large number </w:t>
      </w:r>
      <w:r w:rsidR="00E15155" w:rsidRPr="00CB4353">
        <w:rPr>
          <w:rFonts w:ascii="Times New Roman" w:hAnsi="Times New Roman" w:cs="Times New Roman"/>
          <w:sz w:val="24"/>
          <w:szCs w:val="24"/>
        </w:rPr>
        <w:t>of overstory trees</w:t>
      </w:r>
      <w:r w:rsidR="003B2F98" w:rsidRPr="00CB4353">
        <w:rPr>
          <w:rFonts w:ascii="Times New Roman" w:hAnsi="Times New Roman" w:cs="Times New Roman"/>
          <w:sz w:val="24"/>
          <w:szCs w:val="24"/>
        </w:rPr>
        <w:t xml:space="preserve"> which could then fall to the ground and actually increase </w:t>
      </w:r>
      <w:r w:rsidR="0004558C">
        <w:rPr>
          <w:rFonts w:ascii="Times New Roman" w:hAnsi="Times New Roman" w:cs="Times New Roman"/>
          <w:sz w:val="24"/>
          <w:szCs w:val="24"/>
        </w:rPr>
        <w:t xml:space="preserve">understory </w:t>
      </w:r>
      <w:r w:rsidR="003B2F98" w:rsidRPr="00CB4353">
        <w:rPr>
          <w:rFonts w:ascii="Times New Roman" w:hAnsi="Times New Roman" w:cs="Times New Roman"/>
          <w:sz w:val="24"/>
          <w:szCs w:val="24"/>
        </w:rPr>
        <w:t>fuel loadings.</w:t>
      </w:r>
    </w:p>
    <w:p w:rsidR="00AF571F" w:rsidRDefault="00FE670A">
      <w:pPr>
        <w:rPr>
          <w:rFonts w:ascii="Times New Roman" w:hAnsi="Times New Roman" w:cs="Times New Roman"/>
          <w:sz w:val="24"/>
          <w:szCs w:val="24"/>
        </w:rPr>
      </w:pPr>
      <w:r>
        <w:rPr>
          <w:rFonts w:ascii="Times New Roman" w:hAnsi="Times New Roman" w:cs="Times New Roman"/>
          <w:sz w:val="24"/>
          <w:szCs w:val="24"/>
        </w:rPr>
        <w:t xml:space="preserve">The Forest Service presents no real evidence </w:t>
      </w:r>
      <w:r w:rsidR="002F5EC2">
        <w:rPr>
          <w:rFonts w:ascii="Times New Roman" w:hAnsi="Times New Roman" w:cs="Times New Roman"/>
          <w:sz w:val="24"/>
          <w:szCs w:val="24"/>
        </w:rPr>
        <w:t xml:space="preserve">for the need for </w:t>
      </w:r>
      <w:r w:rsidR="00E94086">
        <w:rPr>
          <w:rFonts w:ascii="Times New Roman" w:hAnsi="Times New Roman" w:cs="Times New Roman"/>
          <w:sz w:val="24"/>
          <w:szCs w:val="24"/>
        </w:rPr>
        <w:t xml:space="preserve">understory fuel treatment </w:t>
      </w:r>
      <w:r>
        <w:rPr>
          <w:rFonts w:ascii="Times New Roman" w:hAnsi="Times New Roman" w:cs="Times New Roman"/>
          <w:sz w:val="24"/>
          <w:szCs w:val="24"/>
        </w:rPr>
        <w:t>and the justification for this</w:t>
      </w:r>
      <w:r w:rsidR="00A67E71">
        <w:rPr>
          <w:rFonts w:ascii="Times New Roman" w:hAnsi="Times New Roman" w:cs="Times New Roman"/>
          <w:sz w:val="24"/>
          <w:szCs w:val="24"/>
        </w:rPr>
        <w:t xml:space="preserve"> large</w:t>
      </w:r>
      <w:r>
        <w:rPr>
          <w:rFonts w:ascii="Times New Roman" w:hAnsi="Times New Roman" w:cs="Times New Roman"/>
          <w:sz w:val="24"/>
          <w:szCs w:val="24"/>
        </w:rPr>
        <w:t xml:space="preserve"> proposed burn</w:t>
      </w:r>
      <w:r w:rsidR="00AF571F">
        <w:rPr>
          <w:rFonts w:ascii="Times New Roman" w:hAnsi="Times New Roman" w:cs="Times New Roman"/>
          <w:sz w:val="24"/>
          <w:szCs w:val="24"/>
        </w:rPr>
        <w:t xml:space="preserve"> does not appear warranted</w:t>
      </w:r>
      <w:r w:rsidR="00B62F9E">
        <w:rPr>
          <w:rFonts w:ascii="Times New Roman" w:hAnsi="Times New Roman" w:cs="Times New Roman"/>
          <w:sz w:val="24"/>
          <w:szCs w:val="24"/>
        </w:rPr>
        <w:t xml:space="preserve">. </w:t>
      </w:r>
      <w:r w:rsidR="00350E88">
        <w:rPr>
          <w:rFonts w:ascii="Times New Roman" w:hAnsi="Times New Roman" w:cs="Times New Roman"/>
          <w:sz w:val="24"/>
          <w:szCs w:val="24"/>
        </w:rPr>
        <w:t xml:space="preserve"> It is also hard to believe that </w:t>
      </w:r>
      <w:r w:rsidR="00350E88">
        <w:rPr>
          <w:rFonts w:ascii="Times New Roman" w:hAnsi="Times New Roman" w:cs="Times New Roman"/>
          <w:sz w:val="24"/>
          <w:szCs w:val="24"/>
        </w:rPr>
        <w:lastRenderedPageBreak/>
        <w:t xml:space="preserve">fuel treatment is required in the entire 6,807-acres.  If burning must occur, a more in-depth analysis of fuel loadings should be planned and burning should be </w:t>
      </w:r>
      <w:r w:rsidR="008B032A">
        <w:rPr>
          <w:rFonts w:ascii="Times New Roman" w:hAnsi="Times New Roman" w:cs="Times New Roman"/>
          <w:sz w:val="24"/>
          <w:szCs w:val="24"/>
        </w:rPr>
        <w:t>limited</w:t>
      </w:r>
      <w:r w:rsidR="00350E88">
        <w:rPr>
          <w:rFonts w:ascii="Times New Roman" w:hAnsi="Times New Roman" w:cs="Times New Roman"/>
          <w:sz w:val="24"/>
          <w:szCs w:val="24"/>
        </w:rPr>
        <w:t xml:space="preserve"> to </w:t>
      </w:r>
      <w:r w:rsidR="00A67E71">
        <w:rPr>
          <w:rFonts w:ascii="Times New Roman" w:hAnsi="Times New Roman" w:cs="Times New Roman"/>
          <w:sz w:val="24"/>
          <w:szCs w:val="24"/>
        </w:rPr>
        <w:t>high-risk</w:t>
      </w:r>
      <w:r w:rsidR="00350E88">
        <w:rPr>
          <w:rFonts w:ascii="Times New Roman" w:hAnsi="Times New Roman" w:cs="Times New Roman"/>
          <w:sz w:val="24"/>
          <w:szCs w:val="24"/>
        </w:rPr>
        <w:t xml:space="preserve"> </w:t>
      </w:r>
      <w:r w:rsidR="008B032A">
        <w:rPr>
          <w:rFonts w:ascii="Times New Roman" w:hAnsi="Times New Roman" w:cs="Times New Roman"/>
          <w:sz w:val="24"/>
          <w:szCs w:val="24"/>
        </w:rPr>
        <w:t>locations.</w:t>
      </w:r>
      <w:r w:rsidR="00350E88">
        <w:rPr>
          <w:rFonts w:ascii="Times New Roman" w:hAnsi="Times New Roman" w:cs="Times New Roman"/>
          <w:sz w:val="24"/>
          <w:szCs w:val="24"/>
        </w:rPr>
        <w:t xml:space="preserve"> </w:t>
      </w:r>
    </w:p>
    <w:p w:rsidR="005B7E3B" w:rsidRPr="00D87A11" w:rsidRDefault="008D1016">
      <w:pPr>
        <w:rPr>
          <w:rFonts w:ascii="Times New Roman" w:hAnsi="Times New Roman" w:cs="Times New Roman"/>
          <w:b/>
          <w:bCs/>
          <w:sz w:val="24"/>
          <w:szCs w:val="24"/>
        </w:rPr>
      </w:pPr>
      <w:r w:rsidRPr="00CB4353">
        <w:rPr>
          <w:rFonts w:ascii="Times New Roman" w:hAnsi="Times New Roman" w:cs="Times New Roman"/>
          <w:b/>
          <w:bCs/>
          <w:sz w:val="24"/>
          <w:szCs w:val="24"/>
        </w:rPr>
        <w:t>Old Growth</w:t>
      </w:r>
      <w:r w:rsidR="00637C91" w:rsidRPr="00D87A11">
        <w:rPr>
          <w:rFonts w:ascii="Times New Roman" w:hAnsi="Times New Roman" w:cs="Times New Roman"/>
          <w:b/>
          <w:bCs/>
          <w:sz w:val="24"/>
          <w:szCs w:val="24"/>
        </w:rPr>
        <w:t xml:space="preserve"> (5% minimum per old growth analysis area and impact to MA 20)</w:t>
      </w:r>
    </w:p>
    <w:p w:rsidR="008016D1" w:rsidRPr="00D87A11" w:rsidRDefault="008016D1">
      <w:pPr>
        <w:rPr>
          <w:rFonts w:ascii="Times New Roman" w:hAnsi="Times New Roman" w:cs="Times New Roman"/>
          <w:sz w:val="24"/>
          <w:szCs w:val="24"/>
        </w:rPr>
      </w:pPr>
      <w:r w:rsidRPr="00D87A11">
        <w:rPr>
          <w:rFonts w:ascii="Times New Roman" w:hAnsi="Times New Roman" w:cs="Times New Roman"/>
          <w:sz w:val="24"/>
          <w:szCs w:val="24"/>
        </w:rPr>
        <w:t xml:space="preserve">The </w:t>
      </w:r>
      <w:r w:rsidR="00A528A4" w:rsidRPr="00D87A11">
        <w:rPr>
          <w:rFonts w:ascii="Times New Roman" w:hAnsi="Times New Roman" w:cs="Times New Roman"/>
          <w:sz w:val="24"/>
          <w:szCs w:val="24"/>
        </w:rPr>
        <w:t>Draft Proposed Action</w:t>
      </w:r>
      <w:r w:rsidRPr="00D87A11">
        <w:rPr>
          <w:rFonts w:ascii="Times New Roman" w:hAnsi="Times New Roman" w:cs="Times New Roman"/>
          <w:sz w:val="24"/>
          <w:szCs w:val="24"/>
        </w:rPr>
        <w:t xml:space="preserve"> claims that the minimum</w:t>
      </w:r>
      <w:r w:rsidR="00637C91" w:rsidRPr="00D87A11">
        <w:rPr>
          <w:rFonts w:ascii="Times New Roman" w:hAnsi="Times New Roman" w:cs="Times New Roman"/>
          <w:sz w:val="24"/>
          <w:szCs w:val="24"/>
        </w:rPr>
        <w:t xml:space="preserve"> </w:t>
      </w:r>
      <w:r w:rsidRPr="00D87A11">
        <w:rPr>
          <w:rFonts w:ascii="Times New Roman" w:hAnsi="Times New Roman" w:cs="Times New Roman"/>
          <w:sz w:val="24"/>
          <w:szCs w:val="24"/>
        </w:rPr>
        <w:t>requirement</w:t>
      </w:r>
      <w:r w:rsidR="00F86D5C" w:rsidRPr="00D87A11">
        <w:rPr>
          <w:rFonts w:ascii="Times New Roman" w:hAnsi="Times New Roman" w:cs="Times New Roman"/>
          <w:sz w:val="24"/>
          <w:szCs w:val="24"/>
        </w:rPr>
        <w:t>s</w:t>
      </w:r>
      <w:r w:rsidRPr="00D87A11">
        <w:rPr>
          <w:rFonts w:ascii="Times New Roman" w:hAnsi="Times New Roman" w:cs="Times New Roman"/>
          <w:sz w:val="24"/>
          <w:szCs w:val="24"/>
        </w:rPr>
        <w:t xml:space="preserve"> for old growth protection</w:t>
      </w:r>
      <w:r w:rsidR="00637C91" w:rsidRPr="00D87A11">
        <w:rPr>
          <w:rFonts w:ascii="Times New Roman" w:hAnsi="Times New Roman" w:cs="Times New Roman"/>
          <w:sz w:val="24"/>
          <w:szCs w:val="24"/>
        </w:rPr>
        <w:t xml:space="preserve"> </w:t>
      </w:r>
      <w:r w:rsidRPr="00D87A11">
        <w:rPr>
          <w:rFonts w:ascii="Times New Roman" w:hAnsi="Times New Roman" w:cs="Times New Roman"/>
          <w:sz w:val="24"/>
          <w:szCs w:val="24"/>
        </w:rPr>
        <w:t>outlined in the Forest Plan will be maintained in the project area, but no evidence is</w:t>
      </w:r>
      <w:r w:rsidR="00A528A4" w:rsidRPr="00D87A11">
        <w:rPr>
          <w:rFonts w:ascii="Times New Roman" w:hAnsi="Times New Roman" w:cs="Times New Roman"/>
          <w:sz w:val="24"/>
          <w:szCs w:val="24"/>
        </w:rPr>
        <w:t xml:space="preserve"> presented that suggests that an inventory of existing old growth has been conducted.   We do not know if any existing old growth is included in the proposed harvest or fuel treatment </w:t>
      </w:r>
      <w:r w:rsidR="006A71C0" w:rsidRPr="00D87A11">
        <w:rPr>
          <w:rFonts w:ascii="Times New Roman" w:hAnsi="Times New Roman" w:cs="Times New Roman"/>
          <w:sz w:val="24"/>
          <w:szCs w:val="24"/>
        </w:rPr>
        <w:t>units</w:t>
      </w:r>
      <w:r w:rsidR="00A528A4" w:rsidRPr="00D87A11">
        <w:rPr>
          <w:rFonts w:ascii="Times New Roman" w:hAnsi="Times New Roman" w:cs="Times New Roman"/>
          <w:sz w:val="24"/>
          <w:szCs w:val="24"/>
        </w:rPr>
        <w:t xml:space="preserve">.   The Draft Proposed Action does suggest that some areas in Management Area 20 may be impacted by </w:t>
      </w:r>
      <w:r w:rsidR="00767D03" w:rsidRPr="00D87A11">
        <w:rPr>
          <w:rFonts w:ascii="Times New Roman" w:hAnsi="Times New Roman" w:cs="Times New Roman"/>
          <w:sz w:val="24"/>
          <w:szCs w:val="24"/>
        </w:rPr>
        <w:t xml:space="preserve">burning operations, but there is no quantification of expected impacts.  </w:t>
      </w:r>
      <w:r w:rsidR="00637C91" w:rsidRPr="00D87A11">
        <w:rPr>
          <w:rFonts w:ascii="Times New Roman" w:hAnsi="Times New Roman" w:cs="Times New Roman"/>
          <w:sz w:val="24"/>
          <w:szCs w:val="24"/>
        </w:rPr>
        <w:t>Existing old growth in the old growth analysis areas impacted by the proposal needs to be inventoried and impacts to old growth needs to be quantified in the final environmental</w:t>
      </w:r>
      <w:r w:rsidR="00F86D5C" w:rsidRPr="00D87A11">
        <w:rPr>
          <w:rFonts w:ascii="Times New Roman" w:hAnsi="Times New Roman" w:cs="Times New Roman"/>
          <w:sz w:val="24"/>
          <w:szCs w:val="24"/>
        </w:rPr>
        <w:t xml:space="preserve"> assessment</w:t>
      </w:r>
      <w:r w:rsidR="00637C91" w:rsidRPr="00D87A11">
        <w:rPr>
          <w:rFonts w:ascii="Times New Roman" w:hAnsi="Times New Roman" w:cs="Times New Roman"/>
          <w:sz w:val="24"/>
          <w:szCs w:val="24"/>
        </w:rPr>
        <w:t xml:space="preserve">.  </w:t>
      </w:r>
    </w:p>
    <w:p w:rsidR="00FA09ED" w:rsidRPr="00D87A11" w:rsidRDefault="00FA09ED">
      <w:pPr>
        <w:rPr>
          <w:rFonts w:ascii="Times New Roman" w:hAnsi="Times New Roman" w:cs="Times New Roman"/>
          <w:b/>
          <w:bCs/>
          <w:sz w:val="24"/>
          <w:szCs w:val="24"/>
        </w:rPr>
      </w:pPr>
      <w:r w:rsidRPr="00D87A11">
        <w:rPr>
          <w:rFonts w:ascii="Times New Roman" w:hAnsi="Times New Roman" w:cs="Times New Roman"/>
          <w:b/>
          <w:bCs/>
          <w:sz w:val="24"/>
          <w:szCs w:val="24"/>
        </w:rPr>
        <w:t>Ten-percent Forest wide old growth standard</w:t>
      </w:r>
    </w:p>
    <w:p w:rsidR="00C62FF4" w:rsidRPr="00D87A11" w:rsidRDefault="00FA09ED">
      <w:pPr>
        <w:rPr>
          <w:rFonts w:ascii="Times New Roman" w:hAnsi="Times New Roman" w:cs="Times New Roman"/>
          <w:sz w:val="24"/>
          <w:szCs w:val="24"/>
        </w:rPr>
      </w:pPr>
      <w:r w:rsidRPr="00D87A11">
        <w:rPr>
          <w:rFonts w:ascii="Times New Roman" w:hAnsi="Times New Roman" w:cs="Times New Roman"/>
          <w:sz w:val="24"/>
          <w:szCs w:val="24"/>
        </w:rPr>
        <w:t>The Forest Service</w:t>
      </w:r>
      <w:r w:rsidR="006A71C0" w:rsidRPr="00D87A11">
        <w:rPr>
          <w:rFonts w:ascii="Times New Roman" w:hAnsi="Times New Roman" w:cs="Times New Roman"/>
          <w:sz w:val="24"/>
          <w:szCs w:val="24"/>
        </w:rPr>
        <w:t xml:space="preserve"> claims there is 10% old growth on the Nez Perce National Forest, but they have</w:t>
      </w:r>
      <w:r w:rsidRPr="00D87A11">
        <w:rPr>
          <w:rFonts w:ascii="Times New Roman" w:hAnsi="Times New Roman" w:cs="Times New Roman"/>
          <w:sz w:val="24"/>
          <w:szCs w:val="24"/>
        </w:rPr>
        <w:t xml:space="preserve"> not conducted a Forest wide inventory of old growth as </w:t>
      </w:r>
      <w:r w:rsidR="00DC6059" w:rsidRPr="00D87A11">
        <w:rPr>
          <w:rFonts w:ascii="Times New Roman" w:hAnsi="Times New Roman" w:cs="Times New Roman"/>
          <w:sz w:val="24"/>
          <w:szCs w:val="24"/>
        </w:rPr>
        <w:t>required i</w:t>
      </w:r>
      <w:r w:rsidRPr="00D87A11">
        <w:rPr>
          <w:rFonts w:ascii="Times New Roman" w:hAnsi="Times New Roman" w:cs="Times New Roman"/>
          <w:sz w:val="24"/>
          <w:szCs w:val="24"/>
        </w:rPr>
        <w:t xml:space="preserve">n </w:t>
      </w:r>
      <w:r w:rsidR="00DC6059" w:rsidRPr="00D87A11">
        <w:rPr>
          <w:rFonts w:ascii="Times New Roman" w:hAnsi="Times New Roman" w:cs="Times New Roman"/>
          <w:sz w:val="24"/>
          <w:szCs w:val="24"/>
        </w:rPr>
        <w:t xml:space="preserve">Appendix N of </w:t>
      </w:r>
      <w:r w:rsidRPr="00D87A11">
        <w:rPr>
          <w:rFonts w:ascii="Times New Roman" w:hAnsi="Times New Roman" w:cs="Times New Roman"/>
          <w:sz w:val="24"/>
          <w:szCs w:val="24"/>
        </w:rPr>
        <w:t xml:space="preserve">the Forest Plan. </w:t>
      </w:r>
      <w:r w:rsidR="00DC6059" w:rsidRPr="00D87A11">
        <w:rPr>
          <w:rFonts w:ascii="Times New Roman" w:hAnsi="Times New Roman" w:cs="Times New Roman"/>
          <w:sz w:val="24"/>
          <w:szCs w:val="24"/>
        </w:rPr>
        <w:t xml:space="preserve"> Appendix N states “All stands will be inventoried and prioritized with highest priority for inventory in </w:t>
      </w:r>
      <w:r w:rsidR="00634ABD" w:rsidRPr="00D87A11">
        <w:rPr>
          <w:rFonts w:ascii="Times New Roman" w:hAnsi="Times New Roman" w:cs="Times New Roman"/>
          <w:sz w:val="24"/>
          <w:szCs w:val="24"/>
        </w:rPr>
        <w:t xml:space="preserve">those </w:t>
      </w:r>
      <w:r w:rsidR="00DC6059" w:rsidRPr="00D87A11">
        <w:rPr>
          <w:rFonts w:ascii="Times New Roman" w:hAnsi="Times New Roman" w:cs="Times New Roman"/>
          <w:sz w:val="24"/>
          <w:szCs w:val="24"/>
        </w:rPr>
        <w:t>drainages where timber</w:t>
      </w:r>
      <w:r w:rsidR="00D94C61" w:rsidRPr="00D87A11">
        <w:rPr>
          <w:rFonts w:ascii="Times New Roman" w:hAnsi="Times New Roman" w:cs="Times New Roman"/>
          <w:sz w:val="24"/>
          <w:szCs w:val="24"/>
        </w:rPr>
        <w:t xml:space="preserve"> sales or other activities that could adversely impact old growth.” </w:t>
      </w:r>
      <w:r w:rsidRPr="00D87A11">
        <w:rPr>
          <w:rFonts w:ascii="Times New Roman" w:hAnsi="Times New Roman" w:cs="Times New Roman"/>
          <w:sz w:val="24"/>
          <w:szCs w:val="24"/>
        </w:rPr>
        <w:t xml:space="preserve"> Instead</w:t>
      </w:r>
      <w:r w:rsidR="002A7C1A" w:rsidRPr="00D87A11">
        <w:rPr>
          <w:rFonts w:ascii="Times New Roman" w:hAnsi="Times New Roman" w:cs="Times New Roman"/>
          <w:sz w:val="24"/>
          <w:szCs w:val="24"/>
        </w:rPr>
        <w:t>,</w:t>
      </w:r>
      <w:r w:rsidRPr="00D87A11">
        <w:rPr>
          <w:rFonts w:ascii="Times New Roman" w:hAnsi="Times New Roman" w:cs="Times New Roman"/>
          <w:sz w:val="24"/>
          <w:szCs w:val="24"/>
        </w:rPr>
        <w:t xml:space="preserve"> the</w:t>
      </w:r>
      <w:r w:rsidR="00634ABD" w:rsidRPr="00D87A11">
        <w:rPr>
          <w:rFonts w:ascii="Times New Roman" w:hAnsi="Times New Roman" w:cs="Times New Roman"/>
          <w:sz w:val="24"/>
          <w:szCs w:val="24"/>
        </w:rPr>
        <w:t xml:space="preserve"> Nez Perce/Clearwater Forest</w:t>
      </w:r>
      <w:r w:rsidRPr="00D87A11">
        <w:rPr>
          <w:rFonts w:ascii="Times New Roman" w:hAnsi="Times New Roman" w:cs="Times New Roman"/>
          <w:sz w:val="24"/>
          <w:szCs w:val="24"/>
        </w:rPr>
        <w:t xml:space="preserve"> rel</w:t>
      </w:r>
      <w:r w:rsidR="00634ABD" w:rsidRPr="00D87A11">
        <w:rPr>
          <w:rFonts w:ascii="Times New Roman" w:hAnsi="Times New Roman" w:cs="Times New Roman"/>
          <w:sz w:val="24"/>
          <w:szCs w:val="24"/>
        </w:rPr>
        <w:t>ies</w:t>
      </w:r>
      <w:r w:rsidRPr="00D87A11">
        <w:rPr>
          <w:rFonts w:ascii="Times New Roman" w:hAnsi="Times New Roman" w:cs="Times New Roman"/>
          <w:sz w:val="24"/>
          <w:szCs w:val="24"/>
        </w:rPr>
        <w:t xml:space="preserve"> on a</w:t>
      </w:r>
      <w:r w:rsidR="002A7C1A" w:rsidRPr="00D87A11">
        <w:rPr>
          <w:rFonts w:ascii="Times New Roman" w:hAnsi="Times New Roman" w:cs="Times New Roman"/>
          <w:sz w:val="24"/>
          <w:szCs w:val="24"/>
        </w:rPr>
        <w:t>n</w:t>
      </w:r>
      <w:r w:rsidRPr="00D87A11">
        <w:rPr>
          <w:rFonts w:ascii="Times New Roman" w:hAnsi="Times New Roman" w:cs="Times New Roman"/>
          <w:sz w:val="24"/>
          <w:szCs w:val="24"/>
        </w:rPr>
        <w:t xml:space="preserve"> analysis of 343 </w:t>
      </w:r>
      <w:r w:rsidR="00146971" w:rsidRPr="00D87A11">
        <w:rPr>
          <w:rFonts w:ascii="Times New Roman" w:hAnsi="Times New Roman" w:cs="Times New Roman"/>
          <w:sz w:val="24"/>
          <w:szCs w:val="24"/>
        </w:rPr>
        <w:t>F</w:t>
      </w:r>
      <w:r w:rsidRPr="00D87A11">
        <w:rPr>
          <w:rFonts w:ascii="Times New Roman" w:hAnsi="Times New Roman" w:cs="Times New Roman"/>
          <w:sz w:val="24"/>
          <w:szCs w:val="24"/>
        </w:rPr>
        <w:t xml:space="preserve">orest </w:t>
      </w:r>
      <w:r w:rsidR="00146971" w:rsidRPr="00D87A11">
        <w:rPr>
          <w:rFonts w:ascii="Times New Roman" w:hAnsi="Times New Roman" w:cs="Times New Roman"/>
          <w:sz w:val="24"/>
          <w:szCs w:val="24"/>
        </w:rPr>
        <w:t>I</w:t>
      </w:r>
      <w:r w:rsidRPr="00D87A11">
        <w:rPr>
          <w:rFonts w:ascii="Times New Roman" w:hAnsi="Times New Roman" w:cs="Times New Roman"/>
          <w:sz w:val="24"/>
          <w:szCs w:val="24"/>
        </w:rPr>
        <w:t xml:space="preserve">nventory </w:t>
      </w:r>
      <w:r w:rsidR="00146971" w:rsidRPr="00D87A11">
        <w:rPr>
          <w:rFonts w:ascii="Times New Roman" w:hAnsi="Times New Roman" w:cs="Times New Roman"/>
          <w:sz w:val="24"/>
          <w:szCs w:val="24"/>
        </w:rPr>
        <w:t>and Analysis</w:t>
      </w:r>
      <w:r w:rsidR="003F1C57" w:rsidRPr="00D87A11">
        <w:rPr>
          <w:rFonts w:ascii="Times New Roman" w:hAnsi="Times New Roman" w:cs="Times New Roman"/>
          <w:sz w:val="24"/>
          <w:szCs w:val="24"/>
        </w:rPr>
        <w:t xml:space="preserve"> (FIA)</w:t>
      </w:r>
      <w:r w:rsidR="00146971" w:rsidRPr="00D87A11">
        <w:rPr>
          <w:rFonts w:ascii="Times New Roman" w:hAnsi="Times New Roman" w:cs="Times New Roman"/>
          <w:sz w:val="24"/>
          <w:szCs w:val="24"/>
        </w:rPr>
        <w:t xml:space="preserve"> </w:t>
      </w:r>
      <w:r w:rsidRPr="00D87A11">
        <w:rPr>
          <w:rFonts w:ascii="Times New Roman" w:hAnsi="Times New Roman" w:cs="Times New Roman"/>
          <w:sz w:val="24"/>
          <w:szCs w:val="24"/>
        </w:rPr>
        <w:t>plots</w:t>
      </w:r>
      <w:r w:rsidR="00634ABD" w:rsidRPr="00D87A11">
        <w:rPr>
          <w:rFonts w:ascii="Times New Roman" w:hAnsi="Times New Roman" w:cs="Times New Roman"/>
          <w:sz w:val="24"/>
          <w:szCs w:val="24"/>
        </w:rPr>
        <w:t xml:space="preserve"> to determine if they have sufficient old </w:t>
      </w:r>
      <w:r w:rsidR="00C62FF4" w:rsidRPr="00D87A11">
        <w:rPr>
          <w:rFonts w:ascii="Times New Roman" w:hAnsi="Times New Roman" w:cs="Times New Roman"/>
          <w:sz w:val="24"/>
          <w:szCs w:val="24"/>
        </w:rPr>
        <w:t>growth to meet the Forest level requirement of 10% old growth.</w:t>
      </w:r>
    </w:p>
    <w:p w:rsidR="00E3166E" w:rsidRPr="00D87A11" w:rsidRDefault="00C62FF4">
      <w:pPr>
        <w:rPr>
          <w:rFonts w:ascii="Times New Roman" w:hAnsi="Times New Roman" w:cs="Times New Roman"/>
          <w:sz w:val="24"/>
          <w:szCs w:val="24"/>
        </w:rPr>
      </w:pPr>
      <w:r w:rsidRPr="00D87A11">
        <w:rPr>
          <w:rFonts w:ascii="Times New Roman" w:hAnsi="Times New Roman" w:cs="Times New Roman"/>
          <w:sz w:val="24"/>
          <w:szCs w:val="24"/>
        </w:rPr>
        <w:t xml:space="preserve">There are several problems with this approach since these 343 plots are widely spaced across </w:t>
      </w:r>
      <w:r w:rsidR="00146971" w:rsidRPr="00D87A11">
        <w:rPr>
          <w:rFonts w:ascii="Times New Roman" w:hAnsi="Times New Roman" w:cs="Times New Roman"/>
          <w:sz w:val="24"/>
          <w:szCs w:val="24"/>
        </w:rPr>
        <w:t>the 2.2 million</w:t>
      </w:r>
      <w:r w:rsidR="003F1C57" w:rsidRPr="00D87A11">
        <w:rPr>
          <w:rFonts w:ascii="Times New Roman" w:hAnsi="Times New Roman" w:cs="Times New Roman"/>
          <w:sz w:val="24"/>
          <w:szCs w:val="24"/>
        </w:rPr>
        <w:t>-</w:t>
      </w:r>
      <w:r w:rsidR="00146971" w:rsidRPr="00D87A11">
        <w:rPr>
          <w:rFonts w:ascii="Times New Roman" w:hAnsi="Times New Roman" w:cs="Times New Roman"/>
          <w:sz w:val="24"/>
          <w:szCs w:val="24"/>
        </w:rPr>
        <w:t>acre Forest and</w:t>
      </w:r>
      <w:r w:rsidR="003F1C57" w:rsidRPr="00D87A11">
        <w:rPr>
          <w:rFonts w:ascii="Times New Roman" w:hAnsi="Times New Roman" w:cs="Times New Roman"/>
          <w:sz w:val="24"/>
          <w:szCs w:val="24"/>
        </w:rPr>
        <w:t xml:space="preserve"> they</w:t>
      </w:r>
      <w:r w:rsidR="00146971" w:rsidRPr="00D87A11">
        <w:rPr>
          <w:rFonts w:ascii="Times New Roman" w:hAnsi="Times New Roman" w:cs="Times New Roman"/>
          <w:sz w:val="24"/>
          <w:szCs w:val="24"/>
        </w:rPr>
        <w:t xml:space="preserve"> were never desig</w:t>
      </w:r>
      <w:r w:rsidR="003F1C57" w:rsidRPr="00D87A11">
        <w:rPr>
          <w:rFonts w:ascii="Times New Roman" w:hAnsi="Times New Roman" w:cs="Times New Roman"/>
          <w:sz w:val="24"/>
          <w:szCs w:val="24"/>
        </w:rPr>
        <w:t>ned to inventory old growth.  Their primary purpose is to provide an approximate estimate of the amount of timber in the entire United States.  The plot locations occur on State. Private and National Forest lands and their exact location is not share</w:t>
      </w:r>
      <w:r w:rsidR="00E3166E" w:rsidRPr="00D87A11">
        <w:rPr>
          <w:rFonts w:ascii="Times New Roman" w:hAnsi="Times New Roman" w:cs="Times New Roman"/>
          <w:sz w:val="24"/>
          <w:szCs w:val="24"/>
        </w:rPr>
        <w:t>d</w:t>
      </w:r>
      <w:r w:rsidR="003F1C57" w:rsidRPr="00D87A11">
        <w:rPr>
          <w:rFonts w:ascii="Times New Roman" w:hAnsi="Times New Roman" w:cs="Times New Roman"/>
          <w:sz w:val="24"/>
          <w:szCs w:val="24"/>
        </w:rPr>
        <w:t xml:space="preserve"> with local Forest managers.  The plots are remeasured eve</w:t>
      </w:r>
      <w:r w:rsidR="00E3166E" w:rsidRPr="00D87A11">
        <w:rPr>
          <w:rFonts w:ascii="Times New Roman" w:hAnsi="Times New Roman" w:cs="Times New Roman"/>
          <w:sz w:val="24"/>
          <w:szCs w:val="24"/>
        </w:rPr>
        <w:t>r</w:t>
      </w:r>
      <w:r w:rsidR="003F1C57" w:rsidRPr="00D87A11">
        <w:rPr>
          <w:rFonts w:ascii="Times New Roman" w:hAnsi="Times New Roman" w:cs="Times New Roman"/>
          <w:sz w:val="24"/>
          <w:szCs w:val="24"/>
        </w:rPr>
        <w:t>y ten</w:t>
      </w:r>
      <w:r w:rsidR="00E3166E" w:rsidRPr="00D87A11">
        <w:rPr>
          <w:rFonts w:ascii="Times New Roman" w:hAnsi="Times New Roman" w:cs="Times New Roman"/>
          <w:sz w:val="24"/>
          <w:szCs w:val="24"/>
        </w:rPr>
        <w:t>-</w:t>
      </w:r>
      <w:r w:rsidR="003F1C57" w:rsidRPr="00D87A11">
        <w:rPr>
          <w:rFonts w:ascii="Times New Roman" w:hAnsi="Times New Roman" w:cs="Times New Roman"/>
          <w:sz w:val="24"/>
          <w:szCs w:val="24"/>
        </w:rPr>
        <w:t>years</w:t>
      </w:r>
      <w:r w:rsidR="00E3166E" w:rsidRPr="00D87A11">
        <w:rPr>
          <w:rFonts w:ascii="Times New Roman" w:hAnsi="Times New Roman" w:cs="Times New Roman"/>
          <w:sz w:val="24"/>
          <w:szCs w:val="24"/>
        </w:rPr>
        <w:t xml:space="preserve"> to update changes that have occurred due to forest growth, timber harvest and wildfire.   </w:t>
      </w:r>
    </w:p>
    <w:p w:rsidR="009B54B2" w:rsidRPr="00D87A11" w:rsidRDefault="00E3166E">
      <w:pPr>
        <w:rPr>
          <w:rFonts w:ascii="Times New Roman" w:hAnsi="Times New Roman" w:cs="Times New Roman"/>
          <w:sz w:val="24"/>
          <w:szCs w:val="24"/>
        </w:rPr>
      </w:pPr>
      <w:r w:rsidRPr="00D87A11">
        <w:rPr>
          <w:rFonts w:ascii="Times New Roman" w:hAnsi="Times New Roman" w:cs="Times New Roman"/>
          <w:sz w:val="24"/>
          <w:szCs w:val="24"/>
        </w:rPr>
        <w:t xml:space="preserve">To my knowledge, the old growth characteristics of the 343 plots have never been evaluated in the field by qualified ecologists or biologists.   </w:t>
      </w:r>
      <w:r w:rsidR="00101D89" w:rsidRPr="00D87A11">
        <w:rPr>
          <w:rFonts w:ascii="Times New Roman" w:hAnsi="Times New Roman" w:cs="Times New Roman"/>
          <w:sz w:val="24"/>
          <w:szCs w:val="24"/>
        </w:rPr>
        <w:t>Instead,</w:t>
      </w:r>
      <w:r w:rsidRPr="00D87A11">
        <w:rPr>
          <w:rFonts w:ascii="Times New Roman" w:hAnsi="Times New Roman" w:cs="Times New Roman"/>
          <w:sz w:val="24"/>
          <w:szCs w:val="24"/>
        </w:rPr>
        <w:t xml:space="preserve"> the Nez Perce/Clearwater has used the data from the plots to make</w:t>
      </w:r>
      <w:r w:rsidR="00101D89" w:rsidRPr="00D87A11">
        <w:rPr>
          <w:rFonts w:ascii="Times New Roman" w:hAnsi="Times New Roman" w:cs="Times New Roman"/>
          <w:sz w:val="24"/>
          <w:szCs w:val="24"/>
        </w:rPr>
        <w:t xml:space="preserve"> estimates of the amount old growth strictly by looking</w:t>
      </w:r>
      <w:r w:rsidRPr="00D87A11">
        <w:rPr>
          <w:rFonts w:ascii="Times New Roman" w:hAnsi="Times New Roman" w:cs="Times New Roman"/>
          <w:sz w:val="24"/>
          <w:szCs w:val="24"/>
        </w:rPr>
        <w:t xml:space="preserve"> </w:t>
      </w:r>
      <w:r w:rsidR="00101D89" w:rsidRPr="00D87A11">
        <w:rPr>
          <w:rFonts w:ascii="Times New Roman" w:hAnsi="Times New Roman" w:cs="Times New Roman"/>
          <w:sz w:val="24"/>
          <w:szCs w:val="24"/>
        </w:rPr>
        <w:t xml:space="preserve">at the size of the trees that were measured on the plots </w:t>
      </w:r>
      <w:r w:rsidR="002A7C1A" w:rsidRPr="00D87A11">
        <w:rPr>
          <w:rFonts w:ascii="Times New Roman" w:hAnsi="Times New Roman" w:cs="Times New Roman"/>
          <w:sz w:val="24"/>
          <w:szCs w:val="24"/>
        </w:rPr>
        <w:t>and</w:t>
      </w:r>
      <w:r w:rsidR="00DC6059" w:rsidRPr="00D87A11">
        <w:rPr>
          <w:rFonts w:ascii="Times New Roman" w:hAnsi="Times New Roman" w:cs="Times New Roman"/>
          <w:sz w:val="24"/>
          <w:szCs w:val="24"/>
        </w:rPr>
        <w:t>/or</w:t>
      </w:r>
      <w:r w:rsidR="002A7C1A" w:rsidRPr="00D87A11">
        <w:rPr>
          <w:rFonts w:ascii="Times New Roman" w:hAnsi="Times New Roman" w:cs="Times New Roman"/>
          <w:sz w:val="24"/>
          <w:szCs w:val="24"/>
        </w:rPr>
        <w:t xml:space="preserve"> </w:t>
      </w:r>
      <w:r w:rsidR="00101D89" w:rsidRPr="00D87A11">
        <w:rPr>
          <w:rFonts w:ascii="Times New Roman" w:hAnsi="Times New Roman" w:cs="Times New Roman"/>
          <w:sz w:val="24"/>
          <w:szCs w:val="24"/>
        </w:rPr>
        <w:t xml:space="preserve">if the plot takers recorded </w:t>
      </w:r>
      <w:r w:rsidR="002A7C1A" w:rsidRPr="00D87A11">
        <w:rPr>
          <w:rFonts w:ascii="Times New Roman" w:hAnsi="Times New Roman" w:cs="Times New Roman"/>
          <w:sz w:val="24"/>
          <w:szCs w:val="24"/>
        </w:rPr>
        <w:t>presence of more than one canopy layer.</w:t>
      </w:r>
      <w:r w:rsidR="00DC6059" w:rsidRPr="00D87A11">
        <w:rPr>
          <w:rFonts w:ascii="Times New Roman" w:hAnsi="Times New Roman" w:cs="Times New Roman"/>
          <w:sz w:val="24"/>
          <w:szCs w:val="24"/>
        </w:rPr>
        <w:t xml:space="preserve"> </w:t>
      </w:r>
      <w:r w:rsidR="00101D89" w:rsidRPr="00D87A11">
        <w:rPr>
          <w:rFonts w:ascii="Times New Roman" w:hAnsi="Times New Roman" w:cs="Times New Roman"/>
          <w:sz w:val="24"/>
          <w:szCs w:val="24"/>
        </w:rPr>
        <w:t xml:space="preserve">  They have estimated that </w:t>
      </w:r>
      <w:r w:rsidR="004B6FB0" w:rsidRPr="00D87A11">
        <w:rPr>
          <w:rFonts w:ascii="Times New Roman" w:hAnsi="Times New Roman" w:cs="Times New Roman"/>
          <w:sz w:val="24"/>
          <w:szCs w:val="24"/>
        </w:rPr>
        <w:t>approximately 22.6% of the Nez Perce Forest is old growth using tree size and 14</w:t>
      </w:r>
      <w:r w:rsidR="009B54B2" w:rsidRPr="00D87A11">
        <w:rPr>
          <w:rFonts w:ascii="Times New Roman" w:hAnsi="Times New Roman" w:cs="Times New Roman"/>
          <w:sz w:val="24"/>
          <w:szCs w:val="24"/>
        </w:rPr>
        <w:t>.7% when canopy layer information is added</w:t>
      </w:r>
      <w:r w:rsidR="00725720" w:rsidRPr="00D87A11">
        <w:rPr>
          <w:rFonts w:ascii="Times New Roman" w:hAnsi="Times New Roman" w:cs="Times New Roman"/>
          <w:sz w:val="24"/>
          <w:szCs w:val="24"/>
        </w:rPr>
        <w:t xml:space="preserve"> (Reyes and Morgan 2022)</w:t>
      </w:r>
      <w:r w:rsidR="009B54B2" w:rsidRPr="00D87A11">
        <w:rPr>
          <w:rFonts w:ascii="Times New Roman" w:hAnsi="Times New Roman" w:cs="Times New Roman"/>
          <w:sz w:val="24"/>
          <w:szCs w:val="24"/>
        </w:rPr>
        <w:t>.  Old growth amounts presumably decline when canopy layers are added because young single layered stands are</w:t>
      </w:r>
      <w:r w:rsidR="00725720" w:rsidRPr="00D87A11">
        <w:rPr>
          <w:rFonts w:ascii="Times New Roman" w:hAnsi="Times New Roman" w:cs="Times New Roman"/>
          <w:sz w:val="24"/>
          <w:szCs w:val="24"/>
        </w:rPr>
        <w:t xml:space="preserve"> </w:t>
      </w:r>
      <w:r w:rsidR="009B54B2" w:rsidRPr="00D87A11">
        <w:rPr>
          <w:rFonts w:ascii="Times New Roman" w:hAnsi="Times New Roman" w:cs="Times New Roman"/>
          <w:sz w:val="24"/>
          <w:szCs w:val="24"/>
        </w:rPr>
        <w:t>eliminated from the analysis.</w:t>
      </w:r>
    </w:p>
    <w:p w:rsidR="00FA09ED" w:rsidRPr="00D87A11" w:rsidRDefault="00C92D75">
      <w:pPr>
        <w:rPr>
          <w:rFonts w:ascii="Times New Roman" w:hAnsi="Times New Roman" w:cs="Times New Roman"/>
          <w:sz w:val="24"/>
          <w:szCs w:val="24"/>
        </w:rPr>
      </w:pPr>
      <w:r w:rsidRPr="00D87A11">
        <w:rPr>
          <w:rFonts w:ascii="Times New Roman" w:hAnsi="Times New Roman" w:cs="Times New Roman"/>
          <w:sz w:val="24"/>
          <w:szCs w:val="24"/>
        </w:rPr>
        <w:t>T</w:t>
      </w:r>
      <w:r w:rsidR="002A7C1A" w:rsidRPr="00D87A11">
        <w:rPr>
          <w:rFonts w:ascii="Times New Roman" w:hAnsi="Times New Roman" w:cs="Times New Roman"/>
          <w:sz w:val="24"/>
          <w:szCs w:val="24"/>
        </w:rPr>
        <w:t>he analysis does not consider</w:t>
      </w:r>
      <w:r w:rsidR="003851FE" w:rsidRPr="00D87A11">
        <w:rPr>
          <w:rFonts w:ascii="Times New Roman" w:hAnsi="Times New Roman" w:cs="Times New Roman"/>
          <w:sz w:val="24"/>
          <w:szCs w:val="24"/>
        </w:rPr>
        <w:t xml:space="preserve"> factors outlined in Appendix N of the Forest Plan such as:</w:t>
      </w:r>
      <w:r w:rsidR="002A7C1A" w:rsidRPr="00D87A11">
        <w:rPr>
          <w:rFonts w:ascii="Times New Roman" w:hAnsi="Times New Roman" w:cs="Times New Roman"/>
          <w:sz w:val="24"/>
          <w:szCs w:val="24"/>
        </w:rPr>
        <w:t xml:space="preserve"> </w:t>
      </w:r>
      <w:r w:rsidR="00725720" w:rsidRPr="00D87A11">
        <w:rPr>
          <w:rFonts w:ascii="Times New Roman" w:hAnsi="Times New Roman" w:cs="Times New Roman"/>
          <w:sz w:val="24"/>
          <w:szCs w:val="24"/>
        </w:rPr>
        <w:t xml:space="preserve">stand </w:t>
      </w:r>
      <w:r w:rsidR="002A7C1A" w:rsidRPr="00D87A11">
        <w:rPr>
          <w:rFonts w:ascii="Times New Roman" w:hAnsi="Times New Roman" w:cs="Times New Roman"/>
          <w:sz w:val="24"/>
          <w:szCs w:val="24"/>
        </w:rPr>
        <w:t xml:space="preserve">age, the </w:t>
      </w:r>
      <w:r w:rsidR="00D3027F" w:rsidRPr="00D87A11">
        <w:rPr>
          <w:rFonts w:ascii="Times New Roman" w:hAnsi="Times New Roman" w:cs="Times New Roman"/>
          <w:sz w:val="24"/>
          <w:szCs w:val="24"/>
        </w:rPr>
        <w:t>presence</w:t>
      </w:r>
      <w:r w:rsidR="002A7C1A" w:rsidRPr="00D87A11">
        <w:rPr>
          <w:rFonts w:ascii="Times New Roman" w:hAnsi="Times New Roman" w:cs="Times New Roman"/>
          <w:sz w:val="24"/>
          <w:szCs w:val="24"/>
        </w:rPr>
        <w:t xml:space="preserve"> of rot or </w:t>
      </w:r>
      <w:r w:rsidR="00D3027F" w:rsidRPr="00D87A11">
        <w:rPr>
          <w:rFonts w:ascii="Times New Roman" w:hAnsi="Times New Roman" w:cs="Times New Roman"/>
          <w:sz w:val="24"/>
          <w:szCs w:val="24"/>
        </w:rPr>
        <w:t>decadence, crown</w:t>
      </w:r>
      <w:r w:rsidR="002A7C1A" w:rsidRPr="00D87A11">
        <w:rPr>
          <w:rFonts w:ascii="Times New Roman" w:hAnsi="Times New Roman" w:cs="Times New Roman"/>
          <w:sz w:val="24"/>
          <w:szCs w:val="24"/>
        </w:rPr>
        <w:t xml:space="preserve"> closure (</w:t>
      </w:r>
      <w:r w:rsidR="00DC6059" w:rsidRPr="00D87A11">
        <w:rPr>
          <w:rFonts w:ascii="Times New Roman" w:hAnsi="Times New Roman" w:cs="Times New Roman"/>
          <w:sz w:val="24"/>
          <w:szCs w:val="24"/>
        </w:rPr>
        <w:t>Appendix N</w:t>
      </w:r>
      <w:r w:rsidR="002A7C1A" w:rsidRPr="00D87A11">
        <w:rPr>
          <w:rFonts w:ascii="Times New Roman" w:hAnsi="Times New Roman" w:cs="Times New Roman"/>
          <w:sz w:val="24"/>
          <w:szCs w:val="24"/>
        </w:rPr>
        <w:t xml:space="preserve"> recommends overstory closure of </w:t>
      </w:r>
      <w:r w:rsidR="00D3027F" w:rsidRPr="00D87A11">
        <w:rPr>
          <w:rFonts w:ascii="Times New Roman" w:hAnsi="Times New Roman" w:cs="Times New Roman"/>
          <w:sz w:val="24"/>
          <w:szCs w:val="24"/>
        </w:rPr>
        <w:t>at least 10-40% and an understory closure of at least 40%, total crown closure is supposed to exceed 70%), or the presence of snags and downed logs</w:t>
      </w:r>
      <w:r w:rsidR="005A2D26" w:rsidRPr="00D87A11">
        <w:rPr>
          <w:rFonts w:ascii="Times New Roman" w:hAnsi="Times New Roman" w:cs="Times New Roman"/>
          <w:sz w:val="24"/>
          <w:szCs w:val="24"/>
        </w:rPr>
        <w:t>.  The Forest Plan suggests there should be at least 0.5 snags per acre exceeding 40-feet in height and 21-inches DBH.  Downed log numbers are not listed, but</w:t>
      </w:r>
      <w:r w:rsidR="003851FE" w:rsidRPr="00D87A11">
        <w:rPr>
          <w:rFonts w:ascii="Times New Roman" w:hAnsi="Times New Roman" w:cs="Times New Roman"/>
          <w:sz w:val="24"/>
          <w:szCs w:val="24"/>
        </w:rPr>
        <w:t xml:space="preserve"> are</w:t>
      </w:r>
      <w:r w:rsidR="005A2D26" w:rsidRPr="00D87A11">
        <w:rPr>
          <w:rFonts w:ascii="Times New Roman" w:hAnsi="Times New Roman" w:cs="Times New Roman"/>
          <w:sz w:val="24"/>
          <w:szCs w:val="24"/>
        </w:rPr>
        <w:t xml:space="preserve"> assumed to be abundant in old growth stands.</w:t>
      </w:r>
      <w:r w:rsidR="003851FE" w:rsidRPr="00D87A11">
        <w:rPr>
          <w:rFonts w:ascii="Times New Roman" w:hAnsi="Times New Roman" w:cs="Times New Roman"/>
          <w:sz w:val="24"/>
          <w:szCs w:val="24"/>
        </w:rPr>
        <w:t xml:space="preserve"> Green et al. (1992) </w:t>
      </w:r>
      <w:r w:rsidR="009513B9" w:rsidRPr="00D87A11">
        <w:rPr>
          <w:rFonts w:ascii="Times New Roman" w:hAnsi="Times New Roman" w:cs="Times New Roman"/>
          <w:sz w:val="24"/>
          <w:szCs w:val="24"/>
        </w:rPr>
        <w:lastRenderedPageBreak/>
        <w:t>reports</w:t>
      </w:r>
      <w:r w:rsidR="005713A4" w:rsidRPr="00D87A11">
        <w:rPr>
          <w:rFonts w:ascii="Times New Roman" w:hAnsi="Times New Roman" w:cs="Times New Roman"/>
          <w:sz w:val="24"/>
          <w:szCs w:val="24"/>
        </w:rPr>
        <w:t xml:space="preserve"> the average number of standing dead trees in old growth type four is 14 trees per acre over 9</w:t>
      </w:r>
      <w:r w:rsidR="005B7E3B" w:rsidRPr="00D87A11">
        <w:rPr>
          <w:rFonts w:ascii="Times New Roman" w:hAnsi="Times New Roman" w:cs="Times New Roman"/>
          <w:sz w:val="24"/>
          <w:szCs w:val="24"/>
        </w:rPr>
        <w:t>-</w:t>
      </w:r>
      <w:r w:rsidR="005713A4" w:rsidRPr="00D87A11">
        <w:rPr>
          <w:rFonts w:ascii="Times New Roman" w:hAnsi="Times New Roman" w:cs="Times New Roman"/>
          <w:sz w:val="24"/>
          <w:szCs w:val="24"/>
        </w:rPr>
        <w:t>inches DBH, with a range from 0 to 35.</w:t>
      </w:r>
    </w:p>
    <w:p w:rsidR="00236EB4" w:rsidRPr="00D87A11" w:rsidRDefault="005A2D26">
      <w:pPr>
        <w:rPr>
          <w:rFonts w:ascii="Times New Roman" w:hAnsi="Times New Roman" w:cs="Times New Roman"/>
          <w:sz w:val="24"/>
          <w:szCs w:val="24"/>
        </w:rPr>
      </w:pPr>
      <w:r w:rsidRPr="00D87A11">
        <w:rPr>
          <w:rFonts w:ascii="Times New Roman" w:hAnsi="Times New Roman" w:cs="Times New Roman"/>
          <w:sz w:val="24"/>
          <w:szCs w:val="24"/>
        </w:rPr>
        <w:t xml:space="preserve">Under this analysis, many very young stands with a general scarcity of rot and decadence </w:t>
      </w:r>
      <w:r w:rsidR="00CE6BAD" w:rsidRPr="00D87A11">
        <w:rPr>
          <w:rFonts w:ascii="Times New Roman" w:hAnsi="Times New Roman" w:cs="Times New Roman"/>
          <w:sz w:val="24"/>
          <w:szCs w:val="24"/>
        </w:rPr>
        <w:t xml:space="preserve">are likely to </w:t>
      </w:r>
      <w:r w:rsidRPr="00D87A11">
        <w:rPr>
          <w:rFonts w:ascii="Times New Roman" w:hAnsi="Times New Roman" w:cs="Times New Roman"/>
          <w:sz w:val="24"/>
          <w:szCs w:val="24"/>
        </w:rPr>
        <w:t>be include</w:t>
      </w:r>
      <w:r w:rsidR="00902685" w:rsidRPr="00D87A11">
        <w:rPr>
          <w:rFonts w:ascii="Times New Roman" w:hAnsi="Times New Roman" w:cs="Times New Roman"/>
          <w:sz w:val="24"/>
          <w:szCs w:val="24"/>
        </w:rPr>
        <w:t>d</w:t>
      </w:r>
      <w:r w:rsidRPr="00D87A11">
        <w:rPr>
          <w:rFonts w:ascii="Times New Roman" w:hAnsi="Times New Roman" w:cs="Times New Roman"/>
          <w:sz w:val="24"/>
          <w:szCs w:val="24"/>
        </w:rPr>
        <w:t xml:space="preserve">.  </w:t>
      </w:r>
      <w:r w:rsidR="00902685" w:rsidRPr="00D87A11">
        <w:rPr>
          <w:rFonts w:ascii="Times New Roman" w:hAnsi="Times New Roman" w:cs="Times New Roman"/>
          <w:sz w:val="24"/>
          <w:szCs w:val="24"/>
        </w:rPr>
        <w:t>Fast growing stands in Northern Idaho can reach stocking</w:t>
      </w:r>
      <w:r w:rsidR="00C92D75" w:rsidRPr="00D87A11">
        <w:rPr>
          <w:rFonts w:ascii="Times New Roman" w:hAnsi="Times New Roman" w:cs="Times New Roman"/>
          <w:sz w:val="24"/>
          <w:szCs w:val="24"/>
        </w:rPr>
        <w:t xml:space="preserve"> levels of 15-trees per acre over 21-inches in relatively short time frames (less than 100-years).</w:t>
      </w:r>
      <w:r w:rsidR="00236EB4" w:rsidRPr="00D87A11">
        <w:rPr>
          <w:rFonts w:ascii="Times New Roman" w:hAnsi="Times New Roman" w:cs="Times New Roman"/>
          <w:sz w:val="24"/>
          <w:szCs w:val="24"/>
        </w:rPr>
        <w:t xml:space="preserve">  Such stands would have little resemblance to old growth as described in Appendix N of the Forest Plan.</w:t>
      </w:r>
    </w:p>
    <w:p w:rsidR="005A2D26" w:rsidRPr="00D87A11" w:rsidRDefault="00DC6059">
      <w:pPr>
        <w:rPr>
          <w:rFonts w:ascii="Times New Roman" w:hAnsi="Times New Roman" w:cs="Times New Roman"/>
          <w:sz w:val="24"/>
          <w:szCs w:val="24"/>
        </w:rPr>
      </w:pPr>
      <w:r w:rsidRPr="00D87A11">
        <w:rPr>
          <w:rFonts w:ascii="Times New Roman" w:hAnsi="Times New Roman" w:cs="Times New Roman"/>
          <w:sz w:val="24"/>
          <w:szCs w:val="24"/>
        </w:rPr>
        <w:t>Green et al (1992) suggest</w:t>
      </w:r>
      <w:r w:rsidR="00C92D75" w:rsidRPr="00D87A11">
        <w:rPr>
          <w:rFonts w:ascii="Times New Roman" w:hAnsi="Times New Roman" w:cs="Times New Roman"/>
          <w:sz w:val="24"/>
          <w:szCs w:val="24"/>
        </w:rPr>
        <w:t xml:space="preserve"> it requires</w:t>
      </w:r>
      <w:r w:rsidRPr="00D87A11">
        <w:rPr>
          <w:rFonts w:ascii="Times New Roman" w:hAnsi="Times New Roman" w:cs="Times New Roman"/>
          <w:sz w:val="24"/>
          <w:szCs w:val="24"/>
        </w:rPr>
        <w:t xml:space="preserve"> </w:t>
      </w:r>
      <w:r w:rsidR="00902685" w:rsidRPr="00D87A11">
        <w:rPr>
          <w:rFonts w:ascii="Times New Roman" w:hAnsi="Times New Roman" w:cs="Times New Roman"/>
          <w:sz w:val="24"/>
          <w:szCs w:val="24"/>
        </w:rPr>
        <w:t xml:space="preserve">at least 150-years </w:t>
      </w:r>
      <w:r w:rsidR="00C92D75" w:rsidRPr="00D87A11">
        <w:rPr>
          <w:rFonts w:ascii="Times New Roman" w:hAnsi="Times New Roman" w:cs="Times New Roman"/>
          <w:sz w:val="24"/>
          <w:szCs w:val="24"/>
        </w:rPr>
        <w:t xml:space="preserve">for most forest stands except lodgepole pine </w:t>
      </w:r>
      <w:r w:rsidR="00725720" w:rsidRPr="00D87A11">
        <w:rPr>
          <w:rFonts w:ascii="Times New Roman" w:hAnsi="Times New Roman" w:cs="Times New Roman"/>
          <w:sz w:val="24"/>
          <w:szCs w:val="24"/>
        </w:rPr>
        <w:t xml:space="preserve">(120-years) </w:t>
      </w:r>
      <w:r w:rsidR="00C92D75" w:rsidRPr="00D87A11">
        <w:rPr>
          <w:rFonts w:ascii="Times New Roman" w:hAnsi="Times New Roman" w:cs="Times New Roman"/>
          <w:sz w:val="24"/>
          <w:szCs w:val="24"/>
        </w:rPr>
        <w:t xml:space="preserve">to reach old growth status.  </w:t>
      </w:r>
      <w:r w:rsidR="00725720" w:rsidRPr="00D87A11">
        <w:rPr>
          <w:rFonts w:ascii="Times New Roman" w:hAnsi="Times New Roman" w:cs="Times New Roman"/>
          <w:sz w:val="24"/>
          <w:szCs w:val="24"/>
        </w:rPr>
        <w:t>In old growth type 4, which is the most common type in Northern Idaho and the project area</w:t>
      </w:r>
      <w:r w:rsidR="00236EB4" w:rsidRPr="00D87A11">
        <w:rPr>
          <w:rFonts w:ascii="Times New Roman" w:hAnsi="Times New Roman" w:cs="Times New Roman"/>
          <w:sz w:val="24"/>
          <w:szCs w:val="24"/>
        </w:rPr>
        <w:t>,</w:t>
      </w:r>
      <w:r w:rsidR="00725720" w:rsidRPr="00D87A11">
        <w:rPr>
          <w:rFonts w:ascii="Times New Roman" w:hAnsi="Times New Roman" w:cs="Times New Roman"/>
          <w:sz w:val="24"/>
          <w:szCs w:val="24"/>
        </w:rPr>
        <w:t xml:space="preserve"> they found old growth stands had an average age of 210-years</w:t>
      </w:r>
      <w:r w:rsidR="00236EB4" w:rsidRPr="00D87A11">
        <w:rPr>
          <w:rFonts w:ascii="Times New Roman" w:hAnsi="Times New Roman" w:cs="Times New Roman"/>
          <w:sz w:val="24"/>
          <w:szCs w:val="24"/>
        </w:rPr>
        <w:t xml:space="preserve"> with a range from</w:t>
      </w:r>
      <w:r w:rsidR="0081668F" w:rsidRPr="00D87A11">
        <w:rPr>
          <w:rFonts w:ascii="Times New Roman" w:hAnsi="Times New Roman" w:cs="Times New Roman"/>
          <w:sz w:val="24"/>
          <w:szCs w:val="24"/>
        </w:rPr>
        <w:t xml:space="preserve"> </w:t>
      </w:r>
      <w:r w:rsidR="00236EB4" w:rsidRPr="00D87A11">
        <w:rPr>
          <w:rFonts w:ascii="Times New Roman" w:hAnsi="Times New Roman" w:cs="Times New Roman"/>
          <w:sz w:val="24"/>
          <w:szCs w:val="24"/>
        </w:rPr>
        <w:t>160 to 264-years</w:t>
      </w:r>
      <w:r w:rsidR="00725720" w:rsidRPr="00D87A11">
        <w:rPr>
          <w:rFonts w:ascii="Times New Roman" w:hAnsi="Times New Roman" w:cs="Times New Roman"/>
          <w:sz w:val="24"/>
          <w:szCs w:val="24"/>
        </w:rPr>
        <w:t>.</w:t>
      </w:r>
      <w:r w:rsidR="00236EB4" w:rsidRPr="00D87A11">
        <w:rPr>
          <w:rFonts w:ascii="Times New Roman" w:hAnsi="Times New Roman" w:cs="Times New Roman"/>
          <w:sz w:val="24"/>
          <w:szCs w:val="24"/>
        </w:rPr>
        <w:t xml:space="preserve">  These stands supported an average of 27-trees per acre over 21-inches DBH and had a range of 12 to 53 trees per acre over 21-inches.</w:t>
      </w:r>
      <w:r w:rsidR="005713A4" w:rsidRPr="00D87A11">
        <w:rPr>
          <w:rFonts w:ascii="Times New Roman" w:hAnsi="Times New Roman" w:cs="Times New Roman"/>
          <w:sz w:val="24"/>
          <w:szCs w:val="24"/>
        </w:rPr>
        <w:t xml:space="preserve"> Note, that the minimum criteria of 10-trees per acre set in the Green et al. (1992) screening criteria is slightly below the range found in </w:t>
      </w:r>
      <w:r w:rsidR="00F86D5C" w:rsidRPr="00D87A11">
        <w:rPr>
          <w:rFonts w:ascii="Times New Roman" w:hAnsi="Times New Roman" w:cs="Times New Roman"/>
          <w:sz w:val="24"/>
          <w:szCs w:val="24"/>
        </w:rPr>
        <w:t xml:space="preserve">old growth </w:t>
      </w:r>
      <w:r w:rsidR="005713A4" w:rsidRPr="00D87A11">
        <w:rPr>
          <w:rFonts w:ascii="Times New Roman" w:hAnsi="Times New Roman" w:cs="Times New Roman"/>
          <w:sz w:val="24"/>
          <w:szCs w:val="24"/>
        </w:rPr>
        <w:t xml:space="preserve">stands examined by the authors.   This assures that all or most potential stands to be evaluated </w:t>
      </w:r>
      <w:r w:rsidR="00840047" w:rsidRPr="00D87A11">
        <w:rPr>
          <w:rFonts w:ascii="Times New Roman" w:hAnsi="Times New Roman" w:cs="Times New Roman"/>
          <w:sz w:val="24"/>
          <w:szCs w:val="24"/>
        </w:rPr>
        <w:t xml:space="preserve">in the field for old growth condition </w:t>
      </w:r>
      <w:r w:rsidR="005713A4" w:rsidRPr="00D87A11">
        <w:rPr>
          <w:rFonts w:ascii="Times New Roman" w:hAnsi="Times New Roman" w:cs="Times New Roman"/>
          <w:sz w:val="24"/>
          <w:szCs w:val="24"/>
        </w:rPr>
        <w:t>are included</w:t>
      </w:r>
      <w:r w:rsidR="00840047" w:rsidRPr="00D87A11">
        <w:rPr>
          <w:rFonts w:ascii="Times New Roman" w:hAnsi="Times New Roman" w:cs="Times New Roman"/>
          <w:sz w:val="24"/>
          <w:szCs w:val="24"/>
        </w:rPr>
        <w:t xml:space="preserve"> in the list of stands to be screened.</w:t>
      </w:r>
      <w:r w:rsidR="005471DF" w:rsidRPr="00D87A11">
        <w:rPr>
          <w:rFonts w:ascii="Times New Roman" w:hAnsi="Times New Roman" w:cs="Times New Roman"/>
          <w:sz w:val="24"/>
          <w:szCs w:val="24"/>
        </w:rPr>
        <w:t xml:space="preserve">  The minimum number was never intended to be used as a definition of old growth.</w:t>
      </w:r>
    </w:p>
    <w:p w:rsidR="006657B7" w:rsidRPr="00D87A11" w:rsidRDefault="008B17A7">
      <w:pPr>
        <w:rPr>
          <w:rFonts w:ascii="Times New Roman" w:hAnsi="Times New Roman" w:cs="Times New Roman"/>
          <w:sz w:val="24"/>
          <w:szCs w:val="24"/>
        </w:rPr>
      </w:pPr>
      <w:r w:rsidRPr="00D87A11">
        <w:rPr>
          <w:rFonts w:ascii="Times New Roman" w:hAnsi="Times New Roman" w:cs="Times New Roman"/>
          <w:sz w:val="24"/>
          <w:szCs w:val="24"/>
        </w:rPr>
        <w:t xml:space="preserve">The Forest Service cannot display </w:t>
      </w:r>
      <w:r w:rsidR="00C426BD" w:rsidRPr="00D87A11">
        <w:rPr>
          <w:rFonts w:ascii="Times New Roman" w:hAnsi="Times New Roman" w:cs="Times New Roman"/>
          <w:sz w:val="24"/>
          <w:szCs w:val="24"/>
        </w:rPr>
        <w:t>the location</w:t>
      </w:r>
      <w:r w:rsidRPr="00D87A11">
        <w:rPr>
          <w:rFonts w:ascii="Times New Roman" w:hAnsi="Times New Roman" w:cs="Times New Roman"/>
          <w:sz w:val="24"/>
          <w:szCs w:val="24"/>
        </w:rPr>
        <w:t xml:space="preserve"> of the old growth stands they report under their FIA analysis.   One just has to trust that it is out there someplace based on plot locations which they can’t even identify.    Field verification on</w:t>
      </w:r>
      <w:r w:rsidR="00F86D5C" w:rsidRPr="00D87A11">
        <w:rPr>
          <w:rFonts w:ascii="Times New Roman" w:hAnsi="Times New Roman" w:cs="Times New Roman"/>
          <w:sz w:val="24"/>
          <w:szCs w:val="24"/>
        </w:rPr>
        <w:t xml:space="preserve"> the nearby</w:t>
      </w:r>
      <w:r w:rsidRPr="00D87A11">
        <w:rPr>
          <w:rFonts w:ascii="Times New Roman" w:hAnsi="Times New Roman" w:cs="Times New Roman"/>
          <w:sz w:val="24"/>
          <w:szCs w:val="24"/>
        </w:rPr>
        <w:t xml:space="preserve"> Hungry Ridge</w:t>
      </w:r>
      <w:r w:rsidR="00F86D5C" w:rsidRPr="00D87A11">
        <w:rPr>
          <w:rFonts w:ascii="Times New Roman" w:hAnsi="Times New Roman" w:cs="Times New Roman"/>
          <w:sz w:val="24"/>
          <w:szCs w:val="24"/>
        </w:rPr>
        <w:t xml:space="preserve"> project,</w:t>
      </w:r>
      <w:r w:rsidRPr="00D87A11">
        <w:rPr>
          <w:rFonts w:ascii="Times New Roman" w:hAnsi="Times New Roman" w:cs="Times New Roman"/>
          <w:sz w:val="24"/>
          <w:szCs w:val="24"/>
        </w:rPr>
        <w:t xml:space="preserve"> does not support their FIA claims.  Hungry Ridge is presumably a high</w:t>
      </w:r>
      <w:r w:rsidR="00C426BD" w:rsidRPr="00D87A11">
        <w:rPr>
          <w:rFonts w:ascii="Times New Roman" w:hAnsi="Times New Roman" w:cs="Times New Roman"/>
          <w:sz w:val="24"/>
          <w:szCs w:val="24"/>
        </w:rPr>
        <w:t>-</w:t>
      </w:r>
      <w:r w:rsidRPr="00D87A11">
        <w:rPr>
          <w:rFonts w:ascii="Times New Roman" w:hAnsi="Times New Roman" w:cs="Times New Roman"/>
          <w:sz w:val="24"/>
          <w:szCs w:val="24"/>
        </w:rPr>
        <w:t xml:space="preserve">risk area with lots of mature forest, yet the Forest Service could </w:t>
      </w:r>
      <w:r w:rsidR="008D69CA" w:rsidRPr="00D87A11">
        <w:rPr>
          <w:rFonts w:ascii="Times New Roman" w:hAnsi="Times New Roman" w:cs="Times New Roman"/>
          <w:sz w:val="24"/>
          <w:szCs w:val="24"/>
        </w:rPr>
        <w:t xml:space="preserve">only </w:t>
      </w:r>
      <w:r w:rsidR="00C426BD" w:rsidRPr="00D87A11">
        <w:rPr>
          <w:rFonts w:ascii="Times New Roman" w:hAnsi="Times New Roman" w:cs="Times New Roman"/>
          <w:sz w:val="24"/>
          <w:szCs w:val="24"/>
        </w:rPr>
        <w:t xml:space="preserve">find </w:t>
      </w:r>
      <w:r w:rsidR="00634FBC" w:rsidRPr="00D87A11">
        <w:rPr>
          <w:rFonts w:ascii="Times New Roman" w:hAnsi="Times New Roman" w:cs="Times New Roman"/>
          <w:sz w:val="24"/>
          <w:szCs w:val="24"/>
        </w:rPr>
        <w:t>7% old growth in the 50,814 forested acres they examined for the Hun</w:t>
      </w:r>
      <w:r w:rsidR="008D69CA" w:rsidRPr="00D87A11">
        <w:rPr>
          <w:rFonts w:ascii="Times New Roman" w:hAnsi="Times New Roman" w:cs="Times New Roman"/>
          <w:sz w:val="24"/>
          <w:szCs w:val="24"/>
        </w:rPr>
        <w:t xml:space="preserve">gry Ridge Project (Supplemental EIS – Chapter 3, Page 14).   This is in an area where they have targeted for the largest timber sale planned in </w:t>
      </w:r>
      <w:r w:rsidR="00137161">
        <w:rPr>
          <w:rFonts w:ascii="Times New Roman" w:hAnsi="Times New Roman" w:cs="Times New Roman"/>
          <w:sz w:val="24"/>
          <w:szCs w:val="24"/>
        </w:rPr>
        <w:t>5</w:t>
      </w:r>
      <w:r w:rsidR="008D69CA" w:rsidRPr="00D87A11">
        <w:rPr>
          <w:rFonts w:ascii="Times New Roman" w:hAnsi="Times New Roman" w:cs="Times New Roman"/>
          <w:sz w:val="24"/>
          <w:szCs w:val="24"/>
        </w:rPr>
        <w:t>0-years and where the</w:t>
      </w:r>
      <w:r w:rsidR="006657B7" w:rsidRPr="00D87A11">
        <w:rPr>
          <w:rFonts w:ascii="Times New Roman" w:hAnsi="Times New Roman" w:cs="Times New Roman"/>
          <w:sz w:val="24"/>
          <w:szCs w:val="24"/>
        </w:rPr>
        <w:t>re is</w:t>
      </w:r>
      <w:r w:rsidR="008D69CA" w:rsidRPr="00D87A11">
        <w:rPr>
          <w:rFonts w:ascii="Times New Roman" w:hAnsi="Times New Roman" w:cs="Times New Roman"/>
          <w:sz w:val="24"/>
          <w:szCs w:val="24"/>
        </w:rPr>
        <w:t xml:space="preserve"> </w:t>
      </w:r>
      <w:r w:rsidR="006174FC" w:rsidRPr="00D87A11">
        <w:rPr>
          <w:rFonts w:ascii="Times New Roman" w:hAnsi="Times New Roman" w:cs="Times New Roman"/>
          <w:sz w:val="24"/>
          <w:szCs w:val="24"/>
        </w:rPr>
        <w:t>scrutiny</w:t>
      </w:r>
      <w:r w:rsidR="008D69CA" w:rsidRPr="00D87A11">
        <w:rPr>
          <w:rFonts w:ascii="Times New Roman" w:hAnsi="Times New Roman" w:cs="Times New Roman"/>
          <w:sz w:val="24"/>
          <w:szCs w:val="24"/>
        </w:rPr>
        <w:t xml:space="preserve"> from the cour</w:t>
      </w:r>
      <w:r w:rsidR="008D1016" w:rsidRPr="00D87A11">
        <w:rPr>
          <w:rFonts w:ascii="Times New Roman" w:hAnsi="Times New Roman" w:cs="Times New Roman"/>
          <w:sz w:val="24"/>
          <w:szCs w:val="24"/>
        </w:rPr>
        <w:t>t to upgrade their old growth analysis</w:t>
      </w:r>
      <w:r w:rsidR="00840047" w:rsidRPr="00D87A11">
        <w:rPr>
          <w:rFonts w:ascii="Times New Roman" w:hAnsi="Times New Roman" w:cs="Times New Roman"/>
          <w:sz w:val="24"/>
          <w:szCs w:val="24"/>
        </w:rPr>
        <w:t xml:space="preserve"> process</w:t>
      </w:r>
      <w:r w:rsidR="008D1016" w:rsidRPr="00D87A11">
        <w:rPr>
          <w:rFonts w:ascii="Times New Roman" w:hAnsi="Times New Roman" w:cs="Times New Roman"/>
          <w:sz w:val="24"/>
          <w:szCs w:val="24"/>
        </w:rPr>
        <w:t>.</w:t>
      </w:r>
      <w:r w:rsidR="008D69CA" w:rsidRPr="00D87A11">
        <w:rPr>
          <w:rFonts w:ascii="Times New Roman" w:hAnsi="Times New Roman" w:cs="Times New Roman"/>
          <w:sz w:val="24"/>
          <w:szCs w:val="24"/>
        </w:rPr>
        <w:t xml:space="preserve"> </w:t>
      </w:r>
    </w:p>
    <w:p w:rsidR="006657B7" w:rsidRPr="00D87A11" w:rsidRDefault="006174FC">
      <w:pPr>
        <w:rPr>
          <w:rFonts w:ascii="Times New Roman" w:hAnsi="Times New Roman" w:cs="Times New Roman"/>
          <w:sz w:val="24"/>
          <w:szCs w:val="24"/>
        </w:rPr>
      </w:pPr>
      <w:r w:rsidRPr="00D87A11">
        <w:rPr>
          <w:rFonts w:ascii="Times New Roman" w:hAnsi="Times New Roman" w:cs="Times New Roman"/>
          <w:sz w:val="24"/>
          <w:szCs w:val="24"/>
        </w:rPr>
        <w:t xml:space="preserve">Similarly, information in the recently released </w:t>
      </w:r>
      <w:r w:rsidR="00636943" w:rsidRPr="00D87A11">
        <w:rPr>
          <w:rFonts w:ascii="Times New Roman" w:hAnsi="Times New Roman" w:cs="Times New Roman"/>
          <w:sz w:val="24"/>
          <w:szCs w:val="24"/>
        </w:rPr>
        <w:t xml:space="preserve">for the </w:t>
      </w:r>
      <w:r w:rsidR="00BA38F5" w:rsidRPr="00D87A11">
        <w:rPr>
          <w:rFonts w:ascii="Times New Roman" w:hAnsi="Times New Roman" w:cs="Times New Roman"/>
          <w:sz w:val="24"/>
          <w:szCs w:val="24"/>
        </w:rPr>
        <w:t>Green Horse project area</w:t>
      </w:r>
      <w:r w:rsidRPr="00D87A11">
        <w:rPr>
          <w:rFonts w:ascii="Times New Roman" w:hAnsi="Times New Roman" w:cs="Times New Roman"/>
          <w:sz w:val="24"/>
          <w:szCs w:val="24"/>
        </w:rPr>
        <w:t>, suggests that there are six old growth units an</w:t>
      </w:r>
      <w:r w:rsidR="00BA76F5" w:rsidRPr="00D87A11">
        <w:rPr>
          <w:rFonts w:ascii="Times New Roman" w:hAnsi="Times New Roman" w:cs="Times New Roman"/>
          <w:sz w:val="24"/>
          <w:szCs w:val="24"/>
        </w:rPr>
        <w:t>d</w:t>
      </w:r>
      <w:r w:rsidRPr="00D87A11">
        <w:rPr>
          <w:rFonts w:ascii="Times New Roman" w:hAnsi="Times New Roman" w:cs="Times New Roman"/>
          <w:sz w:val="24"/>
          <w:szCs w:val="24"/>
        </w:rPr>
        <w:t xml:space="preserve"> none of them have 10% old growth</w:t>
      </w:r>
      <w:r w:rsidR="00BA38F5" w:rsidRPr="00D87A11">
        <w:rPr>
          <w:rFonts w:ascii="Times New Roman" w:hAnsi="Times New Roman" w:cs="Times New Roman"/>
          <w:sz w:val="24"/>
          <w:szCs w:val="24"/>
        </w:rPr>
        <w:t>?</w:t>
      </w:r>
      <w:r w:rsidRPr="00D87A11">
        <w:rPr>
          <w:rFonts w:ascii="Times New Roman" w:hAnsi="Times New Roman" w:cs="Times New Roman"/>
          <w:sz w:val="24"/>
          <w:szCs w:val="24"/>
        </w:rPr>
        <w:t xml:space="preserve">  Old growth meeting Forest Plan requirement</w:t>
      </w:r>
      <w:r w:rsidR="00BA76F5" w:rsidRPr="00D87A11">
        <w:rPr>
          <w:rFonts w:ascii="Times New Roman" w:hAnsi="Times New Roman" w:cs="Times New Roman"/>
          <w:sz w:val="24"/>
          <w:szCs w:val="24"/>
        </w:rPr>
        <w:t>s</w:t>
      </w:r>
      <w:r w:rsidRPr="00D87A11">
        <w:rPr>
          <w:rFonts w:ascii="Times New Roman" w:hAnsi="Times New Roman" w:cs="Times New Roman"/>
          <w:sz w:val="24"/>
          <w:szCs w:val="24"/>
        </w:rPr>
        <w:t xml:space="preserve"> </w:t>
      </w:r>
      <w:r w:rsidR="00BA76F5" w:rsidRPr="00D87A11">
        <w:rPr>
          <w:rFonts w:ascii="Times New Roman" w:hAnsi="Times New Roman" w:cs="Times New Roman"/>
          <w:sz w:val="24"/>
          <w:szCs w:val="24"/>
        </w:rPr>
        <w:t xml:space="preserve">in four of the units </w:t>
      </w:r>
      <w:r w:rsidRPr="00D87A11">
        <w:rPr>
          <w:rFonts w:ascii="Times New Roman" w:hAnsi="Times New Roman" w:cs="Times New Roman"/>
          <w:sz w:val="24"/>
          <w:szCs w:val="24"/>
        </w:rPr>
        <w:t xml:space="preserve">equals </w:t>
      </w:r>
      <w:r w:rsidR="00BA76F5" w:rsidRPr="00D87A11">
        <w:rPr>
          <w:rFonts w:ascii="Times New Roman" w:hAnsi="Times New Roman" w:cs="Times New Roman"/>
          <w:sz w:val="24"/>
          <w:szCs w:val="24"/>
        </w:rPr>
        <w:t>5.6%, 6.1%, 6.8% and 7.7%.</w:t>
      </w:r>
      <w:r w:rsidRPr="00D87A11">
        <w:rPr>
          <w:rFonts w:ascii="Times New Roman" w:hAnsi="Times New Roman" w:cs="Times New Roman"/>
          <w:sz w:val="24"/>
          <w:szCs w:val="24"/>
        </w:rPr>
        <w:t xml:space="preserve"> Two of the units </w:t>
      </w:r>
      <w:r w:rsidR="00BA76F5" w:rsidRPr="00D87A11">
        <w:rPr>
          <w:rFonts w:ascii="Times New Roman" w:hAnsi="Times New Roman" w:cs="Times New Roman"/>
          <w:sz w:val="24"/>
          <w:szCs w:val="24"/>
        </w:rPr>
        <w:t xml:space="preserve">that were </w:t>
      </w:r>
      <w:r w:rsidRPr="00D87A11">
        <w:rPr>
          <w:rFonts w:ascii="Times New Roman" w:hAnsi="Times New Roman" w:cs="Times New Roman"/>
          <w:sz w:val="24"/>
          <w:szCs w:val="24"/>
        </w:rPr>
        <w:t>affect</w:t>
      </w:r>
      <w:r w:rsidR="00BA76F5" w:rsidRPr="00D87A11">
        <w:rPr>
          <w:rFonts w:ascii="Times New Roman" w:hAnsi="Times New Roman" w:cs="Times New Roman"/>
          <w:sz w:val="24"/>
          <w:szCs w:val="24"/>
        </w:rPr>
        <w:t>ed by the Wash Creek wildfire don’t even meet the 5% requirement and have 0% and 0.5%</w:t>
      </w:r>
      <w:r w:rsidRPr="00D87A11">
        <w:rPr>
          <w:rFonts w:ascii="Times New Roman" w:hAnsi="Times New Roman" w:cs="Times New Roman"/>
          <w:sz w:val="24"/>
          <w:szCs w:val="24"/>
        </w:rPr>
        <w:t xml:space="preserve"> </w:t>
      </w:r>
      <w:r w:rsidR="00BA76F5" w:rsidRPr="00D87A11">
        <w:rPr>
          <w:rFonts w:ascii="Times New Roman" w:hAnsi="Times New Roman" w:cs="Times New Roman"/>
          <w:sz w:val="24"/>
          <w:szCs w:val="24"/>
        </w:rPr>
        <w:t>old growth</w:t>
      </w:r>
      <w:r w:rsidR="00636943" w:rsidRPr="00D87A11">
        <w:rPr>
          <w:rFonts w:ascii="Times New Roman" w:hAnsi="Times New Roman" w:cs="Times New Roman"/>
          <w:sz w:val="24"/>
          <w:szCs w:val="24"/>
        </w:rPr>
        <w:t>.  Total old growth in the 43,067-acre area examined for old growth condition was 1845-acres or 4.3% of the six old growth compartments.</w:t>
      </w:r>
    </w:p>
    <w:p w:rsidR="00840047" w:rsidRPr="00D87A11" w:rsidRDefault="006657B7" w:rsidP="006657B7">
      <w:pPr>
        <w:rPr>
          <w:rFonts w:ascii="Times New Roman" w:hAnsi="Times New Roman" w:cs="Times New Roman"/>
          <w:sz w:val="24"/>
          <w:szCs w:val="24"/>
        </w:rPr>
      </w:pPr>
      <w:r w:rsidRPr="00D87A11">
        <w:rPr>
          <w:rFonts w:ascii="Times New Roman" w:hAnsi="Times New Roman" w:cs="Times New Roman"/>
          <w:sz w:val="24"/>
          <w:szCs w:val="24"/>
        </w:rPr>
        <w:t xml:space="preserve">In the Clear Creek project where the Forest Service has made a site-specific Forest Plan amendment to modify the Forest Plan </w:t>
      </w:r>
      <w:r w:rsidR="0018126A" w:rsidRPr="00D87A11">
        <w:rPr>
          <w:rFonts w:ascii="Times New Roman" w:hAnsi="Times New Roman" w:cs="Times New Roman"/>
          <w:sz w:val="24"/>
          <w:szCs w:val="24"/>
        </w:rPr>
        <w:t xml:space="preserve">old growth definition.  The analysis </w:t>
      </w:r>
      <w:r w:rsidR="001526D2" w:rsidRPr="00D87A11">
        <w:rPr>
          <w:rFonts w:ascii="Times New Roman" w:hAnsi="Times New Roman" w:cs="Times New Roman"/>
          <w:sz w:val="24"/>
          <w:szCs w:val="24"/>
        </w:rPr>
        <w:t>(</w:t>
      </w:r>
      <w:r w:rsidR="007A6A6C" w:rsidRPr="00D87A11">
        <w:rPr>
          <w:rFonts w:ascii="Times New Roman" w:hAnsi="Times New Roman" w:cs="Times New Roman"/>
          <w:sz w:val="24"/>
          <w:szCs w:val="24"/>
        </w:rPr>
        <w:t>201</w:t>
      </w:r>
      <w:r w:rsidR="00C4027D" w:rsidRPr="00D87A11">
        <w:rPr>
          <w:rFonts w:ascii="Times New Roman" w:hAnsi="Times New Roman" w:cs="Times New Roman"/>
          <w:sz w:val="24"/>
          <w:szCs w:val="24"/>
        </w:rPr>
        <w:t>5</w:t>
      </w:r>
      <w:r w:rsidR="007A6A6C" w:rsidRPr="00D87A11">
        <w:rPr>
          <w:rFonts w:ascii="Times New Roman" w:hAnsi="Times New Roman" w:cs="Times New Roman"/>
          <w:sz w:val="24"/>
          <w:szCs w:val="24"/>
        </w:rPr>
        <w:t xml:space="preserve"> </w:t>
      </w:r>
      <w:r w:rsidR="00C4027D" w:rsidRPr="00D87A11">
        <w:rPr>
          <w:rFonts w:ascii="Times New Roman" w:hAnsi="Times New Roman" w:cs="Times New Roman"/>
          <w:sz w:val="24"/>
          <w:szCs w:val="24"/>
        </w:rPr>
        <w:t>F</w:t>
      </w:r>
      <w:r w:rsidR="001526D2" w:rsidRPr="00D87A11">
        <w:rPr>
          <w:rFonts w:ascii="Times New Roman" w:hAnsi="Times New Roman" w:cs="Times New Roman"/>
          <w:sz w:val="24"/>
          <w:szCs w:val="24"/>
        </w:rPr>
        <w:t>EIS, Page 3-</w:t>
      </w:r>
      <w:r w:rsidR="00C4027D" w:rsidRPr="00D87A11">
        <w:rPr>
          <w:rFonts w:ascii="Times New Roman" w:hAnsi="Times New Roman" w:cs="Times New Roman"/>
          <w:sz w:val="24"/>
          <w:szCs w:val="24"/>
        </w:rPr>
        <w:t>121</w:t>
      </w:r>
      <w:r w:rsidR="001526D2" w:rsidRPr="00D87A11">
        <w:rPr>
          <w:rFonts w:ascii="Times New Roman" w:hAnsi="Times New Roman" w:cs="Times New Roman"/>
          <w:sz w:val="24"/>
          <w:szCs w:val="24"/>
        </w:rPr>
        <w:t xml:space="preserve">) </w:t>
      </w:r>
      <w:r w:rsidR="0018126A" w:rsidRPr="00D87A11">
        <w:rPr>
          <w:rFonts w:ascii="Times New Roman" w:hAnsi="Times New Roman" w:cs="Times New Roman"/>
          <w:sz w:val="24"/>
          <w:szCs w:val="24"/>
        </w:rPr>
        <w:t>reports that the</w:t>
      </w:r>
      <w:r w:rsidR="003D3C20" w:rsidRPr="00D87A11">
        <w:rPr>
          <w:rFonts w:ascii="Times New Roman" w:hAnsi="Times New Roman" w:cs="Times New Roman"/>
          <w:sz w:val="24"/>
          <w:szCs w:val="24"/>
        </w:rPr>
        <w:t>re are 4,654-acres of verified old growth in the</w:t>
      </w:r>
      <w:r w:rsidR="006B75C3" w:rsidRPr="00D87A11">
        <w:rPr>
          <w:rFonts w:ascii="Times New Roman" w:hAnsi="Times New Roman" w:cs="Times New Roman"/>
          <w:sz w:val="24"/>
          <w:szCs w:val="24"/>
        </w:rPr>
        <w:t xml:space="preserve"> 43,666-acre</w:t>
      </w:r>
      <w:r w:rsidR="003D3C20" w:rsidRPr="00D87A11">
        <w:rPr>
          <w:rFonts w:ascii="Times New Roman" w:hAnsi="Times New Roman" w:cs="Times New Roman"/>
          <w:sz w:val="24"/>
          <w:szCs w:val="24"/>
        </w:rPr>
        <w:t xml:space="preserve"> old growth evaluation area as measured by </w:t>
      </w:r>
      <w:r w:rsidR="006B75C3" w:rsidRPr="00D87A11">
        <w:rPr>
          <w:rFonts w:ascii="Times New Roman" w:hAnsi="Times New Roman" w:cs="Times New Roman"/>
          <w:sz w:val="24"/>
          <w:szCs w:val="24"/>
        </w:rPr>
        <w:t>the Green et a</w:t>
      </w:r>
      <w:r w:rsidR="003851FE" w:rsidRPr="00D87A11">
        <w:rPr>
          <w:rFonts w:ascii="Times New Roman" w:hAnsi="Times New Roman" w:cs="Times New Roman"/>
          <w:sz w:val="24"/>
          <w:szCs w:val="24"/>
        </w:rPr>
        <w:t>l.</w:t>
      </w:r>
      <w:r w:rsidR="005B7E3B" w:rsidRPr="00D87A11">
        <w:rPr>
          <w:rFonts w:ascii="Times New Roman" w:hAnsi="Times New Roman" w:cs="Times New Roman"/>
          <w:sz w:val="24"/>
          <w:szCs w:val="24"/>
        </w:rPr>
        <w:t xml:space="preserve"> (</w:t>
      </w:r>
      <w:r w:rsidR="006B75C3" w:rsidRPr="00D87A11">
        <w:rPr>
          <w:rFonts w:ascii="Times New Roman" w:hAnsi="Times New Roman" w:cs="Times New Roman"/>
          <w:sz w:val="24"/>
          <w:szCs w:val="24"/>
        </w:rPr>
        <w:t>1992</w:t>
      </w:r>
      <w:r w:rsidR="005B7E3B" w:rsidRPr="00D87A11">
        <w:rPr>
          <w:rFonts w:ascii="Times New Roman" w:hAnsi="Times New Roman" w:cs="Times New Roman"/>
          <w:sz w:val="24"/>
          <w:szCs w:val="24"/>
        </w:rPr>
        <w:t>)</w:t>
      </w:r>
      <w:r w:rsidR="006B75C3" w:rsidRPr="00D87A11">
        <w:rPr>
          <w:rFonts w:ascii="Times New Roman" w:hAnsi="Times New Roman" w:cs="Times New Roman"/>
          <w:sz w:val="24"/>
          <w:szCs w:val="24"/>
        </w:rPr>
        <w:t xml:space="preserve"> screening criteria.   This is approximately 11%</w:t>
      </w:r>
      <w:r w:rsidR="00BA76F5" w:rsidRPr="00D87A11">
        <w:rPr>
          <w:rFonts w:ascii="Times New Roman" w:hAnsi="Times New Roman" w:cs="Times New Roman"/>
          <w:sz w:val="24"/>
          <w:szCs w:val="24"/>
        </w:rPr>
        <w:t xml:space="preserve"> </w:t>
      </w:r>
      <w:r w:rsidR="001526D2" w:rsidRPr="00D87A11">
        <w:rPr>
          <w:rFonts w:ascii="Times New Roman" w:hAnsi="Times New Roman" w:cs="Times New Roman"/>
          <w:sz w:val="24"/>
          <w:szCs w:val="24"/>
        </w:rPr>
        <w:t>of the evaluation area, but it is</w:t>
      </w:r>
      <w:r w:rsidR="007A6A6C" w:rsidRPr="00D87A11">
        <w:rPr>
          <w:rFonts w:ascii="Times New Roman" w:hAnsi="Times New Roman" w:cs="Times New Roman"/>
          <w:sz w:val="24"/>
          <w:szCs w:val="24"/>
        </w:rPr>
        <w:t xml:space="preserve"> </w:t>
      </w:r>
      <w:r w:rsidR="001526D2" w:rsidRPr="00D87A11">
        <w:rPr>
          <w:rFonts w:ascii="Times New Roman" w:hAnsi="Times New Roman" w:cs="Times New Roman"/>
          <w:sz w:val="24"/>
          <w:szCs w:val="24"/>
        </w:rPr>
        <w:t>unclear how many of these stands would actually meet the requirements of Appendix N of the Forest Pla</w:t>
      </w:r>
      <w:r w:rsidR="007A5B73" w:rsidRPr="00D87A11">
        <w:rPr>
          <w:rFonts w:ascii="Times New Roman" w:hAnsi="Times New Roman" w:cs="Times New Roman"/>
          <w:sz w:val="24"/>
          <w:szCs w:val="24"/>
        </w:rPr>
        <w:t>n.</w:t>
      </w:r>
      <w:r w:rsidR="003851FE" w:rsidRPr="00D87A11">
        <w:rPr>
          <w:rFonts w:ascii="Times New Roman" w:hAnsi="Times New Roman" w:cs="Times New Roman"/>
          <w:sz w:val="24"/>
          <w:szCs w:val="24"/>
        </w:rPr>
        <w:t xml:space="preserve">  Given that the Green et al. 1992 screening criteria only require 10-trees per acre over 21-inches DBH instead of 15-trees per acre over 21-inches DBH it is very likely there is </w:t>
      </w:r>
      <w:r w:rsidR="00840047" w:rsidRPr="00D87A11">
        <w:rPr>
          <w:rFonts w:ascii="Times New Roman" w:hAnsi="Times New Roman" w:cs="Times New Roman"/>
          <w:sz w:val="24"/>
          <w:szCs w:val="24"/>
        </w:rPr>
        <w:t xml:space="preserve">less than 10% of the area that meets the requirements of Appendix N.  </w:t>
      </w:r>
    </w:p>
    <w:p w:rsidR="00FA09ED" w:rsidRPr="00D87A11" w:rsidRDefault="00840047" w:rsidP="00C2708A">
      <w:pPr>
        <w:rPr>
          <w:rFonts w:ascii="Times New Roman" w:hAnsi="Times New Roman" w:cs="Times New Roman"/>
          <w:sz w:val="24"/>
          <w:szCs w:val="24"/>
        </w:rPr>
      </w:pPr>
      <w:r w:rsidRPr="00D87A11">
        <w:rPr>
          <w:rFonts w:ascii="Times New Roman" w:hAnsi="Times New Roman" w:cs="Times New Roman"/>
          <w:sz w:val="24"/>
          <w:szCs w:val="24"/>
        </w:rPr>
        <w:lastRenderedPageBreak/>
        <w:t xml:space="preserve">I could go on with numerous other examples where the Forest Service has failed to find greater than 10% old growth to meet the requirements of Appendix N in project planning.  </w:t>
      </w:r>
      <w:r w:rsidR="007A5B73" w:rsidRPr="00D87A11">
        <w:rPr>
          <w:rFonts w:ascii="Times New Roman" w:hAnsi="Times New Roman" w:cs="Times New Roman"/>
          <w:sz w:val="24"/>
          <w:szCs w:val="24"/>
        </w:rPr>
        <w:t>I</w:t>
      </w:r>
      <w:r w:rsidR="001526D2" w:rsidRPr="00D87A11">
        <w:rPr>
          <w:rFonts w:ascii="Times New Roman" w:hAnsi="Times New Roman" w:cs="Times New Roman"/>
          <w:sz w:val="24"/>
          <w:szCs w:val="24"/>
        </w:rPr>
        <w:t>f</w:t>
      </w:r>
      <w:r w:rsidR="006657B7" w:rsidRPr="00D87A11">
        <w:rPr>
          <w:rFonts w:ascii="Times New Roman" w:hAnsi="Times New Roman" w:cs="Times New Roman"/>
          <w:sz w:val="24"/>
          <w:szCs w:val="24"/>
        </w:rPr>
        <w:t xml:space="preserve"> they can’t find 10% old growth in Hungry Ridge</w:t>
      </w:r>
      <w:r w:rsidRPr="00D87A11">
        <w:rPr>
          <w:rFonts w:ascii="Times New Roman" w:hAnsi="Times New Roman" w:cs="Times New Roman"/>
          <w:sz w:val="24"/>
          <w:szCs w:val="24"/>
        </w:rPr>
        <w:t xml:space="preserve"> and </w:t>
      </w:r>
      <w:r w:rsidR="006657B7" w:rsidRPr="00D87A11">
        <w:rPr>
          <w:rFonts w:ascii="Times New Roman" w:hAnsi="Times New Roman" w:cs="Times New Roman"/>
          <w:sz w:val="24"/>
          <w:szCs w:val="24"/>
        </w:rPr>
        <w:t xml:space="preserve">Green Horse </w:t>
      </w:r>
      <w:r w:rsidRPr="00D87A11">
        <w:rPr>
          <w:rFonts w:ascii="Times New Roman" w:hAnsi="Times New Roman" w:cs="Times New Roman"/>
          <w:sz w:val="24"/>
          <w:szCs w:val="24"/>
        </w:rPr>
        <w:t xml:space="preserve">and have to modify their standards in </w:t>
      </w:r>
      <w:r w:rsidR="006657B7" w:rsidRPr="00D87A11">
        <w:rPr>
          <w:rFonts w:ascii="Times New Roman" w:hAnsi="Times New Roman" w:cs="Times New Roman"/>
          <w:sz w:val="24"/>
          <w:szCs w:val="24"/>
        </w:rPr>
        <w:t>Clear Creek</w:t>
      </w:r>
      <w:r w:rsidRPr="00D87A11">
        <w:rPr>
          <w:rFonts w:ascii="Times New Roman" w:hAnsi="Times New Roman" w:cs="Times New Roman"/>
          <w:sz w:val="24"/>
          <w:szCs w:val="24"/>
        </w:rPr>
        <w:t xml:space="preserve"> to achieve 10%</w:t>
      </w:r>
      <w:r w:rsidR="005B7E3B" w:rsidRPr="00D87A11">
        <w:rPr>
          <w:rFonts w:ascii="Times New Roman" w:hAnsi="Times New Roman" w:cs="Times New Roman"/>
          <w:sz w:val="24"/>
          <w:szCs w:val="24"/>
        </w:rPr>
        <w:t xml:space="preserve">, </w:t>
      </w:r>
      <w:r w:rsidRPr="00D87A11">
        <w:rPr>
          <w:rFonts w:ascii="Times New Roman" w:hAnsi="Times New Roman" w:cs="Times New Roman"/>
          <w:sz w:val="24"/>
          <w:szCs w:val="24"/>
        </w:rPr>
        <w:t xml:space="preserve">where are they </w:t>
      </w:r>
      <w:r w:rsidR="005B7E3B" w:rsidRPr="00D87A11">
        <w:rPr>
          <w:rFonts w:ascii="Times New Roman" w:hAnsi="Times New Roman" w:cs="Times New Roman"/>
          <w:sz w:val="24"/>
          <w:szCs w:val="24"/>
        </w:rPr>
        <w:t>going to find the additional old growth to meet the Forest wide 10% standard</w:t>
      </w:r>
      <w:r w:rsidR="006657B7" w:rsidRPr="00D87A11">
        <w:rPr>
          <w:rFonts w:ascii="Times New Roman" w:hAnsi="Times New Roman" w:cs="Times New Roman"/>
          <w:sz w:val="24"/>
          <w:szCs w:val="24"/>
        </w:rPr>
        <w:t xml:space="preserve">? </w:t>
      </w:r>
    </w:p>
    <w:p w:rsidR="00FA09ED" w:rsidRPr="00D87A11" w:rsidRDefault="00FA09ED" w:rsidP="00C2708A">
      <w:pPr>
        <w:rPr>
          <w:rFonts w:ascii="Times New Roman" w:hAnsi="Times New Roman" w:cs="Times New Roman"/>
          <w:b/>
          <w:bCs/>
          <w:sz w:val="24"/>
          <w:szCs w:val="24"/>
        </w:rPr>
      </w:pPr>
      <w:r w:rsidRPr="00D87A11">
        <w:rPr>
          <w:rFonts w:ascii="Times New Roman" w:hAnsi="Times New Roman" w:cs="Times New Roman"/>
          <w:b/>
          <w:bCs/>
          <w:sz w:val="24"/>
          <w:szCs w:val="24"/>
        </w:rPr>
        <w:t xml:space="preserve">Emergency </w:t>
      </w:r>
      <w:r w:rsidR="00217135" w:rsidRPr="00D87A11">
        <w:rPr>
          <w:rFonts w:ascii="Times New Roman" w:hAnsi="Times New Roman" w:cs="Times New Roman"/>
          <w:b/>
          <w:bCs/>
          <w:sz w:val="24"/>
          <w:szCs w:val="24"/>
        </w:rPr>
        <w:t xml:space="preserve">Action </w:t>
      </w:r>
      <w:r w:rsidRPr="00D87A11">
        <w:rPr>
          <w:rFonts w:ascii="Times New Roman" w:hAnsi="Times New Roman" w:cs="Times New Roman"/>
          <w:b/>
          <w:bCs/>
          <w:sz w:val="24"/>
          <w:szCs w:val="24"/>
        </w:rPr>
        <w:t>Declaration</w:t>
      </w:r>
    </w:p>
    <w:p w:rsidR="00FA09ED" w:rsidRPr="00D87A11" w:rsidRDefault="00217135" w:rsidP="00C2708A">
      <w:pPr>
        <w:rPr>
          <w:rFonts w:ascii="Times New Roman" w:hAnsi="Times New Roman" w:cs="Times New Roman"/>
          <w:sz w:val="24"/>
          <w:szCs w:val="24"/>
          <w:shd w:val="clear" w:color="auto" w:fill="FFFFFF"/>
        </w:rPr>
      </w:pPr>
      <w:r w:rsidRPr="00D87A11">
        <w:rPr>
          <w:rFonts w:ascii="Times New Roman" w:hAnsi="Times New Roman" w:cs="Times New Roman"/>
          <w:sz w:val="24"/>
          <w:szCs w:val="24"/>
        </w:rPr>
        <w:t xml:space="preserve">Forest Service </w:t>
      </w:r>
      <w:r w:rsidR="005327E3" w:rsidRPr="00D87A11">
        <w:rPr>
          <w:rFonts w:ascii="Times New Roman" w:hAnsi="Times New Roman" w:cs="Times New Roman"/>
          <w:sz w:val="24"/>
          <w:szCs w:val="24"/>
        </w:rPr>
        <w:t xml:space="preserve">claims that the Twenty-mile project </w:t>
      </w:r>
      <w:r w:rsidRPr="00D87A11">
        <w:rPr>
          <w:rFonts w:ascii="Times New Roman" w:hAnsi="Times New Roman" w:cs="Times New Roman"/>
          <w:sz w:val="24"/>
          <w:szCs w:val="24"/>
        </w:rPr>
        <w:t>deserves special treatment under</w:t>
      </w:r>
      <w:r w:rsidRPr="00D87A11">
        <w:rPr>
          <w:rFonts w:ascii="Times New Roman" w:hAnsi="Times New Roman" w:cs="Times New Roman"/>
          <w:sz w:val="24"/>
          <w:szCs w:val="24"/>
          <w:shd w:val="clear" w:color="auto" w:fill="FFFFFF"/>
        </w:rPr>
        <w:t xml:space="preserve"> section 40807 of the Infrastructure Investment and Jobs</w:t>
      </w:r>
      <w:r w:rsidRPr="00D87A11">
        <w:rPr>
          <w:rFonts w:ascii="Times New Roman" w:hAnsi="Times New Roman" w:cs="Times New Roman"/>
          <w:sz w:val="24"/>
          <w:szCs w:val="24"/>
        </w:rPr>
        <w:t xml:space="preserve"> </w:t>
      </w:r>
      <w:r w:rsidRPr="00D87A11">
        <w:rPr>
          <w:rFonts w:ascii="Times New Roman" w:hAnsi="Times New Roman" w:cs="Times New Roman"/>
          <w:sz w:val="24"/>
          <w:szCs w:val="24"/>
          <w:shd w:val="clear" w:color="auto" w:fill="FFFFFF"/>
        </w:rPr>
        <w:t>Act (PL 117-58).  The</w:t>
      </w:r>
      <w:r w:rsidR="007F0139" w:rsidRPr="00D87A11">
        <w:rPr>
          <w:rFonts w:ascii="Times New Roman" w:hAnsi="Times New Roman" w:cs="Times New Roman"/>
          <w:sz w:val="24"/>
          <w:szCs w:val="24"/>
          <w:shd w:val="clear" w:color="auto" w:fill="FFFFFF"/>
        </w:rPr>
        <w:t>y</w:t>
      </w:r>
      <w:r w:rsidRPr="00D87A11">
        <w:rPr>
          <w:rFonts w:ascii="Times New Roman" w:hAnsi="Times New Roman" w:cs="Times New Roman"/>
          <w:sz w:val="24"/>
          <w:szCs w:val="24"/>
          <w:shd w:val="clear" w:color="auto" w:fill="FFFFFF"/>
        </w:rPr>
        <w:t xml:space="preserve"> are asking the </w:t>
      </w:r>
      <w:r w:rsidR="007F0139" w:rsidRPr="00D87A11">
        <w:rPr>
          <w:rFonts w:ascii="Times New Roman" w:hAnsi="Times New Roman" w:cs="Times New Roman"/>
          <w:sz w:val="24"/>
          <w:szCs w:val="24"/>
          <w:shd w:val="clear" w:color="auto" w:fill="FFFFFF"/>
        </w:rPr>
        <w:t>S</w:t>
      </w:r>
      <w:r w:rsidRPr="00D87A11">
        <w:rPr>
          <w:rFonts w:ascii="Times New Roman" w:hAnsi="Times New Roman" w:cs="Times New Roman"/>
          <w:sz w:val="24"/>
          <w:szCs w:val="24"/>
          <w:shd w:val="clear" w:color="auto" w:fill="FFFFFF"/>
        </w:rPr>
        <w:t xml:space="preserve">ecretary of Agriculture to declare an emergency situation for the project area which would exempt the proposal </w:t>
      </w:r>
      <w:r w:rsidR="007F0139" w:rsidRPr="00D87A11">
        <w:rPr>
          <w:rFonts w:ascii="Times New Roman" w:hAnsi="Times New Roman" w:cs="Times New Roman"/>
          <w:sz w:val="24"/>
          <w:szCs w:val="24"/>
          <w:shd w:val="clear" w:color="auto" w:fill="FFFFFF"/>
        </w:rPr>
        <w:t>from the Forest Service objection process and eliminate any further comment from the public on the</w:t>
      </w:r>
      <w:r w:rsidRPr="00D87A11">
        <w:rPr>
          <w:rFonts w:ascii="Times New Roman" w:hAnsi="Times New Roman" w:cs="Times New Roman"/>
          <w:sz w:val="24"/>
          <w:szCs w:val="24"/>
          <w:shd w:val="clear" w:color="auto" w:fill="FFFFFF"/>
        </w:rPr>
        <w:t xml:space="preserve"> on </w:t>
      </w:r>
      <w:r w:rsidR="007F0139" w:rsidRPr="00D87A11">
        <w:rPr>
          <w:rFonts w:ascii="Times New Roman" w:hAnsi="Times New Roman" w:cs="Times New Roman"/>
          <w:sz w:val="24"/>
          <w:szCs w:val="24"/>
          <w:shd w:val="clear" w:color="auto" w:fill="FFFFFF"/>
        </w:rPr>
        <w:t>the proposal.  This request should be denied.</w:t>
      </w:r>
    </w:p>
    <w:p w:rsidR="009513B9" w:rsidRDefault="007F0139" w:rsidP="000822B8">
      <w:pPr>
        <w:rPr>
          <w:rFonts w:ascii="Times New Roman" w:hAnsi="Times New Roman" w:cs="Times New Roman"/>
          <w:b/>
          <w:bCs/>
          <w:sz w:val="24"/>
          <w:szCs w:val="24"/>
        </w:rPr>
      </w:pPr>
      <w:r w:rsidRPr="00D87A11">
        <w:rPr>
          <w:rFonts w:ascii="Times New Roman" w:hAnsi="Times New Roman" w:cs="Times New Roman"/>
          <w:sz w:val="24"/>
          <w:szCs w:val="24"/>
          <w:shd w:val="clear" w:color="auto" w:fill="FFFFFF"/>
        </w:rPr>
        <w:t xml:space="preserve">The project is located far and away from any known community and there </w:t>
      </w:r>
      <w:r w:rsidR="005327E3" w:rsidRPr="00D87A11">
        <w:rPr>
          <w:rFonts w:ascii="Times New Roman" w:hAnsi="Times New Roman" w:cs="Times New Roman"/>
          <w:sz w:val="24"/>
          <w:szCs w:val="24"/>
          <w:shd w:val="clear" w:color="auto" w:fill="FFFFFF"/>
        </w:rPr>
        <w:t xml:space="preserve">is no </w:t>
      </w:r>
      <w:r w:rsidRPr="00D87A11">
        <w:rPr>
          <w:rFonts w:ascii="Times New Roman" w:hAnsi="Times New Roman" w:cs="Times New Roman"/>
          <w:sz w:val="24"/>
          <w:szCs w:val="24"/>
          <w:shd w:val="clear" w:color="auto" w:fill="FFFFFF"/>
        </w:rPr>
        <w:t>private land in the project area.  The area is bordered by the Gospel Hump wilderness to the south and</w:t>
      </w:r>
      <w:r w:rsidR="005327E3" w:rsidRPr="00D87A11">
        <w:rPr>
          <w:rFonts w:ascii="Times New Roman" w:hAnsi="Times New Roman" w:cs="Times New Roman"/>
          <w:sz w:val="24"/>
          <w:szCs w:val="24"/>
          <w:shd w:val="clear" w:color="auto" w:fill="FFFFFF"/>
        </w:rPr>
        <w:t xml:space="preserve"> any fire that</w:t>
      </w:r>
      <w:r w:rsidR="00474A6C" w:rsidRPr="00D87A11">
        <w:rPr>
          <w:rFonts w:ascii="Times New Roman" w:hAnsi="Times New Roman" w:cs="Times New Roman"/>
          <w:sz w:val="24"/>
          <w:szCs w:val="24"/>
          <w:shd w:val="clear" w:color="auto" w:fill="FFFFFF"/>
        </w:rPr>
        <w:t xml:space="preserve"> might occur</w:t>
      </w:r>
      <w:r w:rsidR="005327E3" w:rsidRPr="00D87A11">
        <w:rPr>
          <w:rFonts w:ascii="Times New Roman" w:hAnsi="Times New Roman" w:cs="Times New Roman"/>
          <w:sz w:val="24"/>
          <w:szCs w:val="24"/>
          <w:shd w:val="clear" w:color="auto" w:fill="FFFFFF"/>
        </w:rPr>
        <w:t xml:space="preserve"> would likely burn uphill towards the wilderness boundary.  The community of Elk City is located over 14-miles aw</w:t>
      </w:r>
      <w:r w:rsidR="00474A6C" w:rsidRPr="00D87A11">
        <w:rPr>
          <w:rFonts w:ascii="Times New Roman" w:hAnsi="Times New Roman" w:cs="Times New Roman"/>
          <w:sz w:val="24"/>
          <w:szCs w:val="24"/>
          <w:shd w:val="clear" w:color="auto" w:fill="FFFFFF"/>
        </w:rPr>
        <w:t xml:space="preserve">ay and on the opposite side of the South Fork of the Clearwater River from the project area.  There is also a major highway on the opposite side of the river.  It would be highly unlikely that a wildfire originating in the project area would spread towards the community of Elk River, any other community or private land.  </w:t>
      </w:r>
      <w:r w:rsidR="009327A9" w:rsidRPr="00D87A11">
        <w:rPr>
          <w:rFonts w:ascii="Times New Roman" w:hAnsi="Times New Roman" w:cs="Times New Roman"/>
          <w:sz w:val="24"/>
          <w:szCs w:val="24"/>
          <w:shd w:val="clear" w:color="auto" w:fill="FFFFFF"/>
        </w:rPr>
        <w:t>Risks from wildfire don’t appear to be any higher than other locations on the Nez Perce-Clearwater NF</w:t>
      </w:r>
      <w:r w:rsidR="00577C05" w:rsidRPr="00D87A11">
        <w:rPr>
          <w:rFonts w:ascii="Times New Roman" w:hAnsi="Times New Roman" w:cs="Times New Roman"/>
          <w:sz w:val="24"/>
          <w:szCs w:val="24"/>
          <w:shd w:val="clear" w:color="auto" w:fill="FFFFFF"/>
        </w:rPr>
        <w:t xml:space="preserve">, and most existing stands appear to have originated from wildfires that occurred in the early 1900s.   Stand age likely varies from 100 to 120-years which would be well below their expected longevity of </w:t>
      </w:r>
      <w:r w:rsidR="00FE22CC" w:rsidRPr="00D87A11">
        <w:rPr>
          <w:rFonts w:ascii="Times New Roman" w:hAnsi="Times New Roman" w:cs="Times New Roman"/>
          <w:sz w:val="24"/>
          <w:szCs w:val="24"/>
          <w:shd w:val="clear" w:color="auto" w:fill="FFFFFF"/>
        </w:rPr>
        <w:t>150 to 250-years for the habitat types found in the project area.</w:t>
      </w:r>
      <w:r w:rsidR="00577C05" w:rsidRPr="00D87A11">
        <w:rPr>
          <w:rFonts w:ascii="Times New Roman" w:hAnsi="Times New Roman" w:cs="Times New Roman"/>
          <w:sz w:val="24"/>
          <w:szCs w:val="24"/>
          <w:shd w:val="clear" w:color="auto" w:fill="FFFFFF"/>
        </w:rPr>
        <w:t xml:space="preserve"> </w:t>
      </w:r>
      <w:r w:rsidR="001E5901" w:rsidRPr="00D87A11">
        <w:rPr>
          <w:rFonts w:ascii="Times New Roman" w:hAnsi="Times New Roman" w:cs="Times New Roman"/>
          <w:sz w:val="24"/>
          <w:szCs w:val="24"/>
          <w:shd w:val="clear" w:color="auto" w:fill="FFFFFF"/>
        </w:rPr>
        <w:t>T</w:t>
      </w:r>
      <w:r w:rsidR="009327A9" w:rsidRPr="00D87A11">
        <w:rPr>
          <w:rFonts w:ascii="Times New Roman" w:hAnsi="Times New Roman" w:cs="Times New Roman"/>
          <w:sz w:val="24"/>
          <w:szCs w:val="24"/>
          <w:shd w:val="clear" w:color="auto" w:fill="FFFFFF"/>
        </w:rPr>
        <w:t>he effort to declare an emergency largely</w:t>
      </w:r>
      <w:r w:rsidR="008306AC" w:rsidRPr="00D87A11">
        <w:rPr>
          <w:rFonts w:ascii="Times New Roman" w:hAnsi="Times New Roman" w:cs="Times New Roman"/>
          <w:sz w:val="24"/>
          <w:szCs w:val="24"/>
          <w:shd w:val="clear" w:color="auto" w:fill="FFFFFF"/>
        </w:rPr>
        <w:t xml:space="preserve"> appears to be an effort the expediate the review process for this highly controversial project</w:t>
      </w:r>
    </w:p>
    <w:p w:rsidR="00FA09ED" w:rsidRDefault="00337766" w:rsidP="00C2708A">
      <w:pPr>
        <w:rPr>
          <w:rFonts w:ascii="Times New Roman" w:hAnsi="Times New Roman" w:cs="Times New Roman"/>
          <w:b/>
          <w:bCs/>
          <w:sz w:val="24"/>
          <w:szCs w:val="24"/>
        </w:rPr>
      </w:pPr>
      <w:r>
        <w:rPr>
          <w:rFonts w:ascii="Times New Roman" w:hAnsi="Times New Roman" w:cs="Times New Roman"/>
          <w:b/>
          <w:bCs/>
          <w:sz w:val="24"/>
          <w:szCs w:val="24"/>
        </w:rPr>
        <w:t xml:space="preserve">Wildlife </w:t>
      </w:r>
    </w:p>
    <w:p w:rsidR="004235E4" w:rsidRPr="000B3490" w:rsidRDefault="004235E4" w:rsidP="004235E4">
      <w:pPr>
        <w:rPr>
          <w:rFonts w:ascii="Times New Roman" w:hAnsi="Times New Roman" w:cs="Times New Roman"/>
          <w:sz w:val="24"/>
          <w:szCs w:val="24"/>
        </w:rPr>
      </w:pPr>
      <w:r w:rsidRPr="000B3490">
        <w:rPr>
          <w:rFonts w:ascii="Times New Roman" w:hAnsi="Times New Roman" w:cs="Times New Roman"/>
          <w:sz w:val="24"/>
          <w:szCs w:val="24"/>
        </w:rPr>
        <w:t xml:space="preserve">My overall impression is that the </w:t>
      </w:r>
      <w:r>
        <w:rPr>
          <w:rFonts w:ascii="Times New Roman" w:hAnsi="Times New Roman" w:cs="Times New Roman"/>
          <w:sz w:val="24"/>
          <w:szCs w:val="24"/>
        </w:rPr>
        <w:t>Twenty-mile</w:t>
      </w:r>
      <w:r w:rsidRPr="000B3490">
        <w:rPr>
          <w:rFonts w:ascii="Times New Roman" w:hAnsi="Times New Roman" w:cs="Times New Roman"/>
          <w:sz w:val="24"/>
          <w:szCs w:val="24"/>
        </w:rPr>
        <w:t xml:space="preserve"> project will have negative consequences to most wildlife species using the area.  </w:t>
      </w:r>
      <w:r>
        <w:rPr>
          <w:rFonts w:ascii="Times New Roman" w:hAnsi="Times New Roman" w:cs="Times New Roman"/>
          <w:sz w:val="24"/>
          <w:szCs w:val="24"/>
        </w:rPr>
        <w:t xml:space="preserve">The proposed Alternative </w:t>
      </w:r>
      <w:r w:rsidRPr="000B3490">
        <w:rPr>
          <w:rFonts w:ascii="Times New Roman" w:hAnsi="Times New Roman" w:cs="Times New Roman"/>
          <w:sz w:val="24"/>
          <w:szCs w:val="24"/>
        </w:rPr>
        <w:t xml:space="preserve">includes </w:t>
      </w:r>
      <w:r>
        <w:rPr>
          <w:rFonts w:ascii="Times New Roman" w:hAnsi="Times New Roman" w:cs="Times New Roman"/>
          <w:sz w:val="24"/>
          <w:szCs w:val="24"/>
        </w:rPr>
        <w:t>1,822</w:t>
      </w:r>
      <w:r w:rsidRPr="000B3490">
        <w:rPr>
          <w:rFonts w:ascii="Times New Roman" w:hAnsi="Times New Roman" w:cs="Times New Roman"/>
          <w:sz w:val="24"/>
          <w:szCs w:val="24"/>
        </w:rPr>
        <w:t xml:space="preserve">-acres of regeneration timber harvest, </w:t>
      </w:r>
      <w:r w:rsidR="00F53944">
        <w:rPr>
          <w:rFonts w:ascii="Times New Roman" w:hAnsi="Times New Roman" w:cs="Times New Roman"/>
          <w:sz w:val="24"/>
          <w:szCs w:val="24"/>
        </w:rPr>
        <w:t>387</w:t>
      </w:r>
      <w:r w:rsidRPr="000B3490">
        <w:rPr>
          <w:rFonts w:ascii="Times New Roman" w:hAnsi="Times New Roman" w:cs="Times New Roman"/>
          <w:sz w:val="24"/>
          <w:szCs w:val="24"/>
        </w:rPr>
        <w:t>-acres of commercial thinning</w:t>
      </w:r>
      <w:r w:rsidR="00F53944">
        <w:rPr>
          <w:rFonts w:ascii="Times New Roman" w:hAnsi="Times New Roman" w:cs="Times New Roman"/>
          <w:sz w:val="24"/>
          <w:szCs w:val="24"/>
        </w:rPr>
        <w:t xml:space="preserve"> and 6,807-</w:t>
      </w:r>
      <w:r w:rsidRPr="000B3490">
        <w:rPr>
          <w:rFonts w:ascii="Times New Roman" w:hAnsi="Times New Roman" w:cs="Times New Roman"/>
          <w:sz w:val="24"/>
          <w:szCs w:val="24"/>
        </w:rPr>
        <w:t>acres of prescribed fire.</w:t>
      </w:r>
    </w:p>
    <w:p w:rsidR="00F42E0A" w:rsidRDefault="004235E4" w:rsidP="004235E4">
      <w:pPr>
        <w:rPr>
          <w:rFonts w:ascii="Times New Roman" w:hAnsi="Times New Roman" w:cs="Times New Roman"/>
          <w:sz w:val="24"/>
          <w:szCs w:val="24"/>
        </w:rPr>
      </w:pPr>
      <w:r w:rsidRPr="000B3490">
        <w:rPr>
          <w:rFonts w:ascii="Times New Roman" w:hAnsi="Times New Roman" w:cs="Times New Roman"/>
          <w:sz w:val="24"/>
          <w:szCs w:val="24"/>
        </w:rPr>
        <w:t xml:space="preserve">In addition, the proposal includes </w:t>
      </w:r>
      <w:r w:rsidR="00F53944">
        <w:rPr>
          <w:rFonts w:ascii="Times New Roman" w:hAnsi="Times New Roman" w:cs="Times New Roman"/>
          <w:sz w:val="24"/>
          <w:szCs w:val="24"/>
        </w:rPr>
        <w:t>10</w:t>
      </w:r>
      <w:r w:rsidRPr="000B3490">
        <w:rPr>
          <w:rFonts w:ascii="Times New Roman" w:hAnsi="Times New Roman" w:cs="Times New Roman"/>
          <w:sz w:val="24"/>
          <w:szCs w:val="24"/>
        </w:rPr>
        <w:t xml:space="preserve"> miles of temporary road construction </w:t>
      </w:r>
      <w:r w:rsidR="00F53944">
        <w:rPr>
          <w:rFonts w:ascii="Times New Roman" w:hAnsi="Times New Roman" w:cs="Times New Roman"/>
          <w:sz w:val="24"/>
          <w:szCs w:val="24"/>
        </w:rPr>
        <w:t xml:space="preserve">and 36-miles of road maintenance </w:t>
      </w:r>
      <w:r w:rsidRPr="000B3490">
        <w:rPr>
          <w:rFonts w:ascii="Times New Roman" w:hAnsi="Times New Roman" w:cs="Times New Roman"/>
          <w:sz w:val="24"/>
          <w:szCs w:val="24"/>
        </w:rPr>
        <w:t>on existing templates</w:t>
      </w:r>
      <w:r w:rsidR="00F42E0A">
        <w:rPr>
          <w:rFonts w:ascii="Times New Roman" w:hAnsi="Times New Roman" w:cs="Times New Roman"/>
          <w:sz w:val="24"/>
          <w:szCs w:val="24"/>
        </w:rPr>
        <w:t xml:space="preserve"> some of which are currently restricted yearlong and grown over.  Access restrictions would be eased on 8-miles of existing road to allow motorized access to Sourdough Point during the summer.</w:t>
      </w:r>
      <w:r w:rsidRPr="000B3490">
        <w:rPr>
          <w:rFonts w:ascii="Times New Roman" w:hAnsi="Times New Roman" w:cs="Times New Roman"/>
          <w:sz w:val="24"/>
          <w:szCs w:val="24"/>
        </w:rPr>
        <w:t xml:space="preserve">, </w:t>
      </w:r>
    </w:p>
    <w:p w:rsidR="004235E4" w:rsidRDefault="004235E4" w:rsidP="004235E4">
      <w:pPr>
        <w:rPr>
          <w:rFonts w:ascii="Times New Roman" w:hAnsi="Times New Roman" w:cs="Times New Roman"/>
          <w:sz w:val="24"/>
          <w:szCs w:val="24"/>
        </w:rPr>
      </w:pPr>
      <w:r w:rsidRPr="00CD1AC9">
        <w:rPr>
          <w:rFonts w:ascii="Times New Roman" w:hAnsi="Times New Roman" w:cs="Times New Roman"/>
          <w:sz w:val="24"/>
          <w:szCs w:val="24"/>
        </w:rPr>
        <w:t xml:space="preserve">At least </w:t>
      </w:r>
      <w:r w:rsidR="00F42E0A">
        <w:rPr>
          <w:rFonts w:ascii="Times New Roman" w:hAnsi="Times New Roman" w:cs="Times New Roman"/>
          <w:sz w:val="24"/>
          <w:szCs w:val="24"/>
        </w:rPr>
        <w:t>ten</w:t>
      </w:r>
      <w:r>
        <w:rPr>
          <w:rFonts w:ascii="Times New Roman" w:hAnsi="Times New Roman" w:cs="Times New Roman"/>
          <w:sz w:val="24"/>
          <w:szCs w:val="24"/>
        </w:rPr>
        <w:t xml:space="preserve"> </w:t>
      </w:r>
      <w:r w:rsidRPr="00CD1AC9">
        <w:rPr>
          <w:rFonts w:ascii="Times New Roman" w:hAnsi="Times New Roman" w:cs="Times New Roman"/>
          <w:sz w:val="24"/>
          <w:szCs w:val="24"/>
        </w:rPr>
        <w:t>regeneration harvest unit</w:t>
      </w:r>
      <w:r>
        <w:rPr>
          <w:rFonts w:ascii="Times New Roman" w:hAnsi="Times New Roman" w:cs="Times New Roman"/>
          <w:sz w:val="24"/>
          <w:szCs w:val="24"/>
        </w:rPr>
        <w:t xml:space="preserve"> complexes</w:t>
      </w:r>
      <w:r w:rsidRPr="00CD1AC9">
        <w:rPr>
          <w:rFonts w:ascii="Times New Roman" w:hAnsi="Times New Roman" w:cs="Times New Roman"/>
          <w:sz w:val="24"/>
          <w:szCs w:val="24"/>
        </w:rPr>
        <w:t xml:space="preserve"> exceed </w:t>
      </w:r>
      <w:r w:rsidR="00F42E0A">
        <w:rPr>
          <w:rFonts w:ascii="Times New Roman" w:hAnsi="Times New Roman" w:cs="Times New Roman"/>
          <w:sz w:val="24"/>
          <w:szCs w:val="24"/>
        </w:rPr>
        <w:t>40</w:t>
      </w:r>
      <w:r>
        <w:rPr>
          <w:rFonts w:ascii="Times New Roman" w:hAnsi="Times New Roman" w:cs="Times New Roman"/>
          <w:sz w:val="24"/>
          <w:szCs w:val="24"/>
        </w:rPr>
        <w:t>-</w:t>
      </w:r>
      <w:r w:rsidRPr="00CD1AC9">
        <w:rPr>
          <w:rFonts w:ascii="Times New Roman" w:hAnsi="Times New Roman" w:cs="Times New Roman"/>
          <w:sz w:val="24"/>
          <w:szCs w:val="24"/>
        </w:rPr>
        <w:t>acres</w:t>
      </w:r>
      <w:r w:rsidR="00F42E0A">
        <w:rPr>
          <w:rFonts w:ascii="Times New Roman" w:hAnsi="Times New Roman" w:cs="Times New Roman"/>
          <w:sz w:val="24"/>
          <w:szCs w:val="24"/>
        </w:rPr>
        <w:t xml:space="preserve"> in size and six of these exceed 100-acres</w:t>
      </w:r>
      <w:r w:rsidR="003D6934">
        <w:rPr>
          <w:rFonts w:ascii="Times New Roman" w:hAnsi="Times New Roman" w:cs="Times New Roman"/>
          <w:sz w:val="24"/>
          <w:szCs w:val="24"/>
        </w:rPr>
        <w:t xml:space="preserve">.  </w:t>
      </w:r>
      <w:r w:rsidR="00F42E0A">
        <w:rPr>
          <w:rFonts w:ascii="Times New Roman" w:hAnsi="Times New Roman" w:cs="Times New Roman"/>
          <w:sz w:val="24"/>
          <w:szCs w:val="24"/>
        </w:rPr>
        <w:t xml:space="preserve">Incredibly, one regeneration harvest unit complex is </w:t>
      </w:r>
      <w:r w:rsidR="003D6934">
        <w:rPr>
          <w:rFonts w:ascii="Times New Roman" w:hAnsi="Times New Roman" w:cs="Times New Roman"/>
          <w:sz w:val="24"/>
          <w:szCs w:val="24"/>
        </w:rPr>
        <w:t xml:space="preserve">642-acres.   Prescribed burning is expected to create an unknown amount of additional opening.  </w:t>
      </w:r>
      <w:r w:rsidRPr="00CD1AC9">
        <w:rPr>
          <w:rFonts w:ascii="Times New Roman" w:hAnsi="Times New Roman" w:cs="Times New Roman"/>
          <w:sz w:val="24"/>
          <w:szCs w:val="24"/>
        </w:rPr>
        <w:t xml:space="preserve"> </w:t>
      </w:r>
      <w:r>
        <w:rPr>
          <w:rFonts w:ascii="Times New Roman" w:hAnsi="Times New Roman" w:cs="Times New Roman"/>
          <w:sz w:val="24"/>
          <w:szCs w:val="24"/>
        </w:rPr>
        <w:t xml:space="preserve">This has eliminated the idea of providing suitable hiding cover and thermal cover adjacent to harvest areas.  </w:t>
      </w:r>
      <w:r w:rsidR="003D6934">
        <w:rPr>
          <w:rFonts w:ascii="Times New Roman" w:hAnsi="Times New Roman" w:cs="Times New Roman"/>
          <w:sz w:val="24"/>
          <w:szCs w:val="24"/>
        </w:rPr>
        <w:t>Intermediate h</w:t>
      </w:r>
      <w:r w:rsidRPr="00CD1AC9">
        <w:rPr>
          <w:rFonts w:ascii="Times New Roman" w:hAnsi="Times New Roman" w:cs="Times New Roman"/>
          <w:sz w:val="24"/>
          <w:szCs w:val="24"/>
        </w:rPr>
        <w:t>arvest and fuel treatments will remove snags, downed wood, shrubs, understory plants and important hiding cover.</w:t>
      </w:r>
    </w:p>
    <w:p w:rsidR="004235E4" w:rsidRPr="00CD1AC9" w:rsidRDefault="004235E4" w:rsidP="004235E4">
      <w:pPr>
        <w:contextualSpacing/>
        <w:rPr>
          <w:rFonts w:ascii="Times New Roman" w:eastAsia="Calibri" w:hAnsi="Times New Roman" w:cs="Times New Roman"/>
          <w:sz w:val="24"/>
          <w:szCs w:val="24"/>
        </w:rPr>
      </w:pPr>
      <w:r w:rsidRPr="00CD1AC9">
        <w:rPr>
          <w:rFonts w:ascii="Times New Roman" w:eastAsia="Calibri" w:hAnsi="Times New Roman" w:cs="Times New Roman"/>
          <w:sz w:val="24"/>
          <w:szCs w:val="24"/>
        </w:rPr>
        <w:lastRenderedPageBreak/>
        <w:t>The wildlife analysis makes several erroneous conclusions that are not supported by the best available science and fails to answer the “so what” question of what habitat losses associated with the project mean.  Spatial requirements of territorial species have</w:t>
      </w:r>
      <w:r w:rsidR="00F72C4A">
        <w:rPr>
          <w:rFonts w:ascii="Times New Roman" w:eastAsia="Calibri" w:hAnsi="Times New Roman" w:cs="Times New Roman"/>
          <w:sz w:val="24"/>
          <w:szCs w:val="24"/>
        </w:rPr>
        <w:t xml:space="preserve"> been identified, but there has been no actual analysis </w:t>
      </w:r>
      <w:r w:rsidR="00FC2B46">
        <w:rPr>
          <w:rFonts w:ascii="Times New Roman" w:eastAsia="Calibri" w:hAnsi="Times New Roman" w:cs="Times New Roman"/>
          <w:sz w:val="24"/>
          <w:szCs w:val="24"/>
        </w:rPr>
        <w:t>using</w:t>
      </w:r>
      <w:r w:rsidR="009513B9">
        <w:rPr>
          <w:rFonts w:ascii="Times New Roman" w:eastAsia="Calibri" w:hAnsi="Times New Roman" w:cs="Times New Roman"/>
          <w:sz w:val="24"/>
          <w:szCs w:val="24"/>
        </w:rPr>
        <w:t xml:space="preserve"> </w:t>
      </w:r>
      <w:r w:rsidR="00FC2B46">
        <w:rPr>
          <w:rFonts w:ascii="Times New Roman" w:eastAsia="Calibri" w:hAnsi="Times New Roman" w:cs="Times New Roman"/>
          <w:sz w:val="24"/>
          <w:szCs w:val="24"/>
        </w:rPr>
        <w:t xml:space="preserve">potential </w:t>
      </w:r>
      <w:r w:rsidR="009513B9">
        <w:rPr>
          <w:rFonts w:ascii="Times New Roman" w:eastAsia="Calibri" w:hAnsi="Times New Roman" w:cs="Times New Roman"/>
          <w:sz w:val="24"/>
          <w:szCs w:val="24"/>
        </w:rPr>
        <w:t>impacts to existing territories</w:t>
      </w:r>
      <w:r w:rsidR="00FC2B46">
        <w:rPr>
          <w:rFonts w:ascii="Times New Roman" w:eastAsia="Calibri" w:hAnsi="Times New Roman" w:cs="Times New Roman"/>
          <w:sz w:val="24"/>
          <w:szCs w:val="24"/>
        </w:rPr>
        <w:t>.</w:t>
      </w:r>
      <w:r w:rsidR="009513B9">
        <w:rPr>
          <w:rFonts w:ascii="Times New Roman" w:eastAsia="Calibri" w:hAnsi="Times New Roman" w:cs="Times New Roman"/>
          <w:sz w:val="24"/>
          <w:szCs w:val="24"/>
        </w:rPr>
        <w:t xml:space="preserve">  </w:t>
      </w:r>
      <w:r w:rsidR="00FC2B46">
        <w:rPr>
          <w:rFonts w:ascii="Times New Roman" w:eastAsia="Calibri" w:hAnsi="Times New Roman" w:cs="Times New Roman"/>
          <w:sz w:val="24"/>
          <w:szCs w:val="24"/>
        </w:rPr>
        <w:t>N</w:t>
      </w:r>
      <w:r w:rsidRPr="00CD1AC9">
        <w:rPr>
          <w:rFonts w:ascii="Times New Roman" w:eastAsia="Calibri" w:hAnsi="Times New Roman" w:cs="Times New Roman"/>
          <w:sz w:val="24"/>
          <w:szCs w:val="24"/>
        </w:rPr>
        <w:t>o thresholds of management activity have been set for most species</w:t>
      </w:r>
      <w:r>
        <w:rPr>
          <w:rFonts w:ascii="Times New Roman" w:eastAsia="Calibri" w:hAnsi="Times New Roman" w:cs="Times New Roman"/>
          <w:sz w:val="24"/>
          <w:szCs w:val="24"/>
        </w:rPr>
        <w:t xml:space="preserve">.  </w:t>
      </w:r>
      <w:r w:rsidRPr="00CD1AC9">
        <w:rPr>
          <w:rFonts w:ascii="Times New Roman" w:eastAsia="Calibri" w:hAnsi="Times New Roman" w:cs="Times New Roman"/>
          <w:sz w:val="24"/>
          <w:szCs w:val="24"/>
        </w:rPr>
        <w:t xml:space="preserve">The examination of cumulative effects is also very weak </w:t>
      </w:r>
      <w:r w:rsidR="003D6934">
        <w:rPr>
          <w:rFonts w:ascii="Times New Roman" w:eastAsia="Calibri" w:hAnsi="Times New Roman" w:cs="Times New Roman"/>
          <w:sz w:val="24"/>
          <w:szCs w:val="24"/>
        </w:rPr>
        <w:t>and the nearby Hungry Ridge and End of the World projects are not even mentioned in the proposed action document.  These two very large projects are expected to remove over</w:t>
      </w:r>
      <w:r w:rsidR="00016685">
        <w:rPr>
          <w:rFonts w:ascii="Times New Roman" w:eastAsia="Calibri" w:hAnsi="Times New Roman" w:cs="Times New Roman"/>
          <w:sz w:val="24"/>
          <w:szCs w:val="24"/>
        </w:rPr>
        <w:t xml:space="preserve"> 317-million board feet of timber.  Hungry Ridge is less than five miles from the Twenty-mile project area and the End of the World project is located just to the west of Hungry Ridge.</w:t>
      </w:r>
    </w:p>
    <w:p w:rsidR="004235E4" w:rsidRPr="00CD1AC9" w:rsidRDefault="004235E4" w:rsidP="004235E4">
      <w:pPr>
        <w:contextualSpacing/>
        <w:rPr>
          <w:rFonts w:ascii="Times New Roman" w:eastAsia="Calibri" w:hAnsi="Times New Roman" w:cs="Times New Roman"/>
          <w:sz w:val="24"/>
          <w:szCs w:val="24"/>
        </w:rPr>
      </w:pPr>
    </w:p>
    <w:p w:rsidR="004235E4" w:rsidRPr="00CD1AC9" w:rsidRDefault="004235E4" w:rsidP="004235E4">
      <w:pPr>
        <w:contextualSpacing/>
        <w:rPr>
          <w:rFonts w:ascii="Times New Roman" w:eastAsia="Calibri" w:hAnsi="Times New Roman" w:cs="Times New Roman"/>
          <w:sz w:val="24"/>
          <w:szCs w:val="24"/>
        </w:rPr>
      </w:pPr>
      <w:r w:rsidRPr="00CD1AC9">
        <w:rPr>
          <w:rFonts w:ascii="Times New Roman" w:eastAsia="Calibri" w:hAnsi="Times New Roman" w:cs="Times New Roman"/>
          <w:sz w:val="24"/>
          <w:szCs w:val="24"/>
        </w:rPr>
        <w:t>Schultz (2010) outlined most of these problems in a critique of Forest Service wildlife analysis.  Schultz found that the Forest Service often relies on stand exam</w:t>
      </w:r>
      <w:r w:rsidR="00BA09FD">
        <w:rPr>
          <w:rFonts w:ascii="Times New Roman" w:eastAsia="Calibri" w:hAnsi="Times New Roman" w:cs="Times New Roman"/>
          <w:sz w:val="24"/>
          <w:szCs w:val="24"/>
        </w:rPr>
        <w:t xml:space="preserve"> (USDA 2016)</w:t>
      </w:r>
      <w:r w:rsidRPr="00CD1AC9">
        <w:rPr>
          <w:rFonts w:ascii="Times New Roman" w:eastAsia="Calibri" w:hAnsi="Times New Roman" w:cs="Times New Roman"/>
          <w:sz w:val="24"/>
          <w:szCs w:val="24"/>
        </w:rPr>
        <w:t xml:space="preserve"> queries to determine acres of suitable habitat, but then makes no interpretation as to what that loss of habitat means to the species.  Similar to what has been done on t</w:t>
      </w:r>
      <w:r>
        <w:rPr>
          <w:rFonts w:ascii="Times New Roman" w:eastAsia="Calibri" w:hAnsi="Times New Roman" w:cs="Times New Roman"/>
          <w:sz w:val="24"/>
          <w:szCs w:val="24"/>
        </w:rPr>
        <w:t xml:space="preserve">he Twenty-mile </w:t>
      </w:r>
      <w:r w:rsidRPr="00CD1AC9">
        <w:rPr>
          <w:rFonts w:ascii="Times New Roman" w:eastAsia="Calibri" w:hAnsi="Times New Roman" w:cs="Times New Roman"/>
          <w:sz w:val="24"/>
          <w:szCs w:val="24"/>
        </w:rPr>
        <w:t>project</w:t>
      </w:r>
      <w:r>
        <w:rPr>
          <w:rFonts w:ascii="Times New Roman" w:eastAsia="Calibri" w:hAnsi="Times New Roman" w:cs="Times New Roman"/>
          <w:sz w:val="24"/>
          <w:szCs w:val="24"/>
        </w:rPr>
        <w:t>,</w:t>
      </w:r>
      <w:r w:rsidRPr="00CD1AC9">
        <w:rPr>
          <w:rFonts w:ascii="Times New Roman" w:eastAsia="Calibri" w:hAnsi="Times New Roman" w:cs="Times New Roman"/>
          <w:sz w:val="24"/>
          <w:szCs w:val="24"/>
        </w:rPr>
        <w:t xml:space="preserve"> they fail to set meaningful thresholds and assume that habitat losses are insignificant.   Schultz (2010) concludes that </w:t>
      </w:r>
      <w:bookmarkStart w:id="0" w:name="_Hlk132101202"/>
      <w:r w:rsidRPr="00CD1AC9">
        <w:rPr>
          <w:rFonts w:ascii="Times New Roman" w:eastAsia="Calibri" w:hAnsi="Times New Roman" w:cs="Times New Roman"/>
          <w:sz w:val="24"/>
          <w:szCs w:val="24"/>
        </w:rPr>
        <w:t>“the lack of management thresholds allows small portions of habitat to be eliminated incrementally without any signal when the loss of habitat might constitute a significant cumulative impact.”</w:t>
      </w:r>
    </w:p>
    <w:p w:rsidR="004235E4" w:rsidRPr="00CD1AC9" w:rsidRDefault="004235E4" w:rsidP="004235E4">
      <w:pPr>
        <w:contextualSpacing/>
        <w:rPr>
          <w:rFonts w:ascii="Times New Roman" w:eastAsia="Calibri" w:hAnsi="Times New Roman" w:cs="Times New Roman"/>
          <w:sz w:val="24"/>
          <w:szCs w:val="24"/>
        </w:rPr>
      </w:pPr>
    </w:p>
    <w:bookmarkEnd w:id="0"/>
    <w:p w:rsidR="004235E4" w:rsidRPr="00CD1AC9" w:rsidRDefault="004235E4" w:rsidP="004235E4">
      <w:pPr>
        <w:contextualSpacing/>
        <w:rPr>
          <w:rFonts w:ascii="Times New Roman" w:eastAsia="Calibri" w:hAnsi="Times New Roman" w:cs="Times New Roman"/>
          <w:sz w:val="24"/>
          <w:szCs w:val="24"/>
        </w:rPr>
      </w:pPr>
      <w:r w:rsidRPr="00CD1AC9">
        <w:rPr>
          <w:rFonts w:ascii="Times New Roman" w:eastAsia="Calibri" w:hAnsi="Times New Roman" w:cs="Times New Roman"/>
          <w:sz w:val="24"/>
          <w:szCs w:val="24"/>
        </w:rPr>
        <w:t>Schultz (2010) also examined the Sampson assessment</w:t>
      </w:r>
      <w:r w:rsidR="00787FE1">
        <w:rPr>
          <w:rFonts w:ascii="Times New Roman" w:eastAsia="Calibri" w:hAnsi="Times New Roman" w:cs="Times New Roman"/>
          <w:sz w:val="24"/>
          <w:szCs w:val="24"/>
        </w:rPr>
        <w:t>s</w:t>
      </w:r>
      <w:r w:rsidRPr="00CD1AC9">
        <w:rPr>
          <w:rFonts w:ascii="Times New Roman" w:eastAsia="Calibri" w:hAnsi="Times New Roman" w:cs="Times New Roman"/>
          <w:sz w:val="24"/>
          <w:szCs w:val="24"/>
        </w:rPr>
        <w:t xml:space="preserve"> (Sampson 2006a and 2006b) which </w:t>
      </w:r>
      <w:r w:rsidR="00787FE1">
        <w:rPr>
          <w:rFonts w:ascii="Times New Roman" w:eastAsia="Calibri" w:hAnsi="Times New Roman" w:cs="Times New Roman"/>
          <w:sz w:val="24"/>
          <w:szCs w:val="24"/>
        </w:rPr>
        <w:t>are</w:t>
      </w:r>
      <w:r w:rsidRPr="00CD1AC9">
        <w:rPr>
          <w:rFonts w:ascii="Times New Roman" w:eastAsia="Calibri" w:hAnsi="Times New Roman" w:cs="Times New Roman"/>
          <w:sz w:val="24"/>
          <w:szCs w:val="24"/>
        </w:rPr>
        <w:t xml:space="preserve"> the mentioned in the discussion of several project area wildlife species. She states that the Sampson assessment “suffers from several problems, the most prominent being that the analysis is based on habitat availability, which alone is insufficient for understanding the status of populations (Noon et al. 2003, Mills 2007)”.  Her recommendations generally call for more peer review of large</w:t>
      </w:r>
      <w:r>
        <w:rPr>
          <w:rFonts w:ascii="Times New Roman" w:eastAsia="Calibri" w:hAnsi="Times New Roman" w:cs="Times New Roman"/>
          <w:sz w:val="24"/>
          <w:szCs w:val="24"/>
        </w:rPr>
        <w:t>-</w:t>
      </w:r>
      <w:r w:rsidRPr="00CD1AC9">
        <w:rPr>
          <w:rFonts w:ascii="Times New Roman" w:eastAsia="Calibri" w:hAnsi="Times New Roman" w:cs="Times New Roman"/>
          <w:sz w:val="24"/>
          <w:szCs w:val="24"/>
        </w:rPr>
        <w:t>scale assessments and project level management guidelines.  She suggests that we must adopt more robust scientifically sound monitoring and measurable objectives and thresholds if we are to be successful in meeting obligation of maintaining viable populations of all native and desirable non-native wildlife species.  This has not been done on th</w:t>
      </w:r>
      <w:r>
        <w:rPr>
          <w:rFonts w:ascii="Times New Roman" w:eastAsia="Calibri" w:hAnsi="Times New Roman" w:cs="Times New Roman"/>
          <w:sz w:val="24"/>
          <w:szCs w:val="24"/>
        </w:rPr>
        <w:t>e</w:t>
      </w:r>
      <w:r w:rsidR="00016685">
        <w:rPr>
          <w:rFonts w:ascii="Times New Roman" w:eastAsia="Calibri" w:hAnsi="Times New Roman" w:cs="Times New Roman"/>
          <w:sz w:val="24"/>
          <w:szCs w:val="24"/>
        </w:rPr>
        <w:t xml:space="preserve"> Twenty-mile</w:t>
      </w:r>
      <w:r>
        <w:rPr>
          <w:rFonts w:ascii="Times New Roman" w:eastAsia="Calibri" w:hAnsi="Times New Roman" w:cs="Times New Roman"/>
          <w:sz w:val="24"/>
          <w:szCs w:val="24"/>
        </w:rPr>
        <w:t xml:space="preserve"> </w:t>
      </w:r>
      <w:r w:rsidRPr="00CD1AC9">
        <w:rPr>
          <w:rFonts w:ascii="Times New Roman" w:eastAsia="Calibri" w:hAnsi="Times New Roman" w:cs="Times New Roman"/>
          <w:sz w:val="24"/>
          <w:szCs w:val="24"/>
        </w:rPr>
        <w:t>project.</w:t>
      </w:r>
    </w:p>
    <w:p w:rsidR="004235E4" w:rsidRPr="00CD1AC9" w:rsidRDefault="004235E4" w:rsidP="004235E4">
      <w:pPr>
        <w:contextualSpacing/>
        <w:rPr>
          <w:rFonts w:ascii="Times New Roman" w:eastAsia="Calibri" w:hAnsi="Times New Roman" w:cs="Times New Roman"/>
          <w:sz w:val="24"/>
          <w:szCs w:val="24"/>
        </w:rPr>
      </w:pPr>
    </w:p>
    <w:p w:rsidR="004235E4" w:rsidRPr="00CD1AC9" w:rsidRDefault="004235E4" w:rsidP="004235E4">
      <w:pPr>
        <w:contextualSpacing/>
        <w:rPr>
          <w:rFonts w:ascii="Times New Roman" w:eastAsia="Calibri" w:hAnsi="Times New Roman" w:cs="Times New Roman"/>
          <w:sz w:val="24"/>
          <w:szCs w:val="24"/>
        </w:rPr>
      </w:pPr>
      <w:r w:rsidRPr="00CD1AC9">
        <w:rPr>
          <w:rFonts w:ascii="Times New Roman" w:eastAsia="Calibri" w:hAnsi="Times New Roman" w:cs="Times New Roman"/>
          <w:sz w:val="24"/>
          <w:szCs w:val="24"/>
        </w:rPr>
        <w:t>An interesting observation of the Sampson assessment is that it focuses on short</w:t>
      </w:r>
      <w:r>
        <w:rPr>
          <w:rFonts w:ascii="Times New Roman" w:eastAsia="Calibri" w:hAnsi="Times New Roman" w:cs="Times New Roman"/>
          <w:sz w:val="24"/>
          <w:szCs w:val="24"/>
        </w:rPr>
        <w:t>-</w:t>
      </w:r>
      <w:r w:rsidRPr="00CD1AC9">
        <w:rPr>
          <w:rFonts w:ascii="Times New Roman" w:eastAsia="Calibri" w:hAnsi="Times New Roman" w:cs="Times New Roman"/>
          <w:sz w:val="24"/>
          <w:szCs w:val="24"/>
        </w:rPr>
        <w:t>term viability and long-term viability using what is called the 50/500 rule (Bessinger 2002).   In fact, all six species considered in Sampson’s analysis are all evaluated for short</w:t>
      </w:r>
      <w:r>
        <w:rPr>
          <w:rFonts w:ascii="Times New Roman" w:eastAsia="Calibri" w:hAnsi="Times New Roman" w:cs="Times New Roman"/>
          <w:sz w:val="24"/>
          <w:szCs w:val="24"/>
        </w:rPr>
        <w:t>-</w:t>
      </w:r>
      <w:r w:rsidRPr="00CD1AC9">
        <w:rPr>
          <w:rFonts w:ascii="Times New Roman" w:eastAsia="Calibri" w:hAnsi="Times New Roman" w:cs="Times New Roman"/>
          <w:sz w:val="24"/>
          <w:szCs w:val="24"/>
        </w:rPr>
        <w:t xml:space="preserve">term viability using this “rule of thumb”.  Sampson did not evaluate long-term viability for the fisher and marten, but he did do if for the goshawk, pileated woodpecker, flammulated owl and black-backed woodpecker.   Sampson concluded that “In regard to long-term viability, this conservation assessment has found that long-term habitat conditions in terms of Representativeness, Redundancy, and Resiliency are “low” for all species.”  </w:t>
      </w:r>
    </w:p>
    <w:p w:rsidR="004235E4" w:rsidRPr="00CD1AC9" w:rsidRDefault="004235E4" w:rsidP="004235E4">
      <w:pPr>
        <w:contextualSpacing/>
        <w:rPr>
          <w:rFonts w:ascii="Times New Roman" w:eastAsia="Calibri" w:hAnsi="Times New Roman" w:cs="Times New Roman"/>
          <w:sz w:val="24"/>
          <w:szCs w:val="24"/>
        </w:rPr>
      </w:pPr>
    </w:p>
    <w:p w:rsidR="004235E4" w:rsidRPr="00CD1AC9" w:rsidRDefault="004235E4" w:rsidP="004235E4">
      <w:pPr>
        <w:contextualSpacing/>
        <w:rPr>
          <w:rFonts w:ascii="Times New Roman" w:eastAsia="Calibri" w:hAnsi="Times New Roman" w:cs="Times New Roman"/>
          <w:sz w:val="24"/>
          <w:szCs w:val="24"/>
        </w:rPr>
      </w:pPr>
      <w:r w:rsidRPr="00CD1AC9">
        <w:rPr>
          <w:rFonts w:ascii="Times New Roman" w:eastAsia="Calibri" w:hAnsi="Times New Roman" w:cs="Times New Roman"/>
          <w:sz w:val="24"/>
          <w:szCs w:val="24"/>
        </w:rPr>
        <w:t>The</w:t>
      </w:r>
      <w:r w:rsidR="00573D72">
        <w:rPr>
          <w:rFonts w:ascii="Times New Roman" w:eastAsia="Calibri" w:hAnsi="Times New Roman" w:cs="Times New Roman"/>
          <w:sz w:val="24"/>
          <w:szCs w:val="24"/>
        </w:rPr>
        <w:t xml:space="preserve"> Twenty-mile</w:t>
      </w:r>
      <w:r w:rsidRPr="00CD1AC9">
        <w:rPr>
          <w:rFonts w:ascii="Times New Roman" w:eastAsia="Calibri" w:hAnsi="Times New Roman" w:cs="Times New Roman"/>
          <w:sz w:val="24"/>
          <w:szCs w:val="24"/>
        </w:rPr>
        <w:t xml:space="preserve"> wildlife analysis does not mention Sampson’s long-term viability conclusions, and only focuses on his short-term projections which are based on maintaining 50 individuals (25 male and 25 female).  In his analysis, Sampson merely uses home range size for each species and </w:t>
      </w:r>
      <w:r w:rsidRPr="00CD1AC9">
        <w:rPr>
          <w:rFonts w:ascii="Times New Roman" w:eastAsia="Calibri" w:hAnsi="Times New Roman" w:cs="Times New Roman"/>
          <w:sz w:val="24"/>
          <w:szCs w:val="24"/>
        </w:rPr>
        <w:lastRenderedPageBreak/>
        <w:t>makes assumptions of overlap in ranges of males and females.  Home range size is then multiplied by the effective population size (n</w:t>
      </w:r>
      <w:r w:rsidRPr="00CD1AC9">
        <w:rPr>
          <w:rFonts w:ascii="Times New Roman" w:eastAsia="Calibri" w:hAnsi="Times New Roman" w:cs="Times New Roman"/>
          <w:sz w:val="24"/>
          <w:szCs w:val="24"/>
          <w:vertAlign w:val="subscript"/>
        </w:rPr>
        <w:t xml:space="preserve">e - </w:t>
      </w:r>
      <w:r w:rsidRPr="00CD1AC9">
        <w:rPr>
          <w:rFonts w:ascii="Times New Roman" w:eastAsia="Calibri" w:hAnsi="Times New Roman" w:cs="Times New Roman"/>
          <w:sz w:val="24"/>
          <w:szCs w:val="24"/>
        </w:rPr>
        <w:t xml:space="preserve">a number that includes young and non-breeding individuals - Allendorf and Ryman 2002) and this is projected as the amount of habitat required to maintain a minimal viable population in the short-term. This simplistic approach ignores a multitude of factors and makes no assumptions about habitat loss or change over time.  For the fisher and marten, Samson uses a “critical habitat threshold” as calculated in another publication (Smallwood 2002).  Some of these numbers have been reported in the </w:t>
      </w:r>
      <w:r w:rsidR="00573D72">
        <w:rPr>
          <w:rFonts w:ascii="Times New Roman" w:eastAsia="Calibri" w:hAnsi="Times New Roman" w:cs="Times New Roman"/>
          <w:sz w:val="24"/>
          <w:szCs w:val="24"/>
        </w:rPr>
        <w:t xml:space="preserve">Proposed </w:t>
      </w:r>
      <w:r>
        <w:rPr>
          <w:rFonts w:ascii="Times New Roman" w:eastAsia="Calibri" w:hAnsi="Times New Roman" w:cs="Times New Roman"/>
          <w:sz w:val="24"/>
          <w:szCs w:val="24"/>
        </w:rPr>
        <w:t>A</w:t>
      </w:r>
      <w:r w:rsidR="00573D72">
        <w:rPr>
          <w:rFonts w:ascii="Times New Roman" w:eastAsia="Calibri" w:hAnsi="Times New Roman" w:cs="Times New Roman"/>
          <w:sz w:val="24"/>
          <w:szCs w:val="24"/>
        </w:rPr>
        <w:t>ction</w:t>
      </w:r>
      <w:r w:rsidRPr="00CD1AC9">
        <w:rPr>
          <w:rFonts w:ascii="Times New Roman" w:eastAsia="Calibri" w:hAnsi="Times New Roman" w:cs="Times New Roman"/>
          <w:sz w:val="24"/>
          <w:szCs w:val="24"/>
        </w:rPr>
        <w:t xml:space="preserve"> for the various species of concern.</w:t>
      </w:r>
    </w:p>
    <w:p w:rsidR="004235E4" w:rsidRPr="00CD1AC9" w:rsidRDefault="004235E4" w:rsidP="004235E4">
      <w:pPr>
        <w:contextualSpacing/>
        <w:rPr>
          <w:rFonts w:ascii="Times New Roman" w:eastAsia="Calibri" w:hAnsi="Times New Roman" w:cs="Times New Roman"/>
          <w:sz w:val="24"/>
          <w:szCs w:val="24"/>
        </w:rPr>
      </w:pPr>
    </w:p>
    <w:p w:rsidR="004235E4" w:rsidRPr="00CD1AC9" w:rsidRDefault="004235E4" w:rsidP="004235E4">
      <w:pPr>
        <w:contextualSpacing/>
        <w:rPr>
          <w:rFonts w:ascii="Times New Roman" w:eastAsia="Calibri" w:hAnsi="Times New Roman" w:cs="Times New Roman"/>
          <w:sz w:val="24"/>
          <w:szCs w:val="24"/>
        </w:rPr>
      </w:pPr>
      <w:r w:rsidRPr="00CD1AC9">
        <w:rPr>
          <w:rFonts w:ascii="Times New Roman" w:eastAsia="Calibri" w:hAnsi="Times New Roman" w:cs="Times New Roman"/>
          <w:sz w:val="24"/>
          <w:szCs w:val="24"/>
        </w:rPr>
        <w:t>There are several problems with such an approach and the risk to the species would be extremely high if any of the species ever reached these levels in the Northern Region.  Surely, all six species would be listed as endangered if this w</w:t>
      </w:r>
      <w:r w:rsidR="00520705">
        <w:rPr>
          <w:rFonts w:ascii="Times New Roman" w:eastAsia="Calibri" w:hAnsi="Times New Roman" w:cs="Times New Roman"/>
          <w:sz w:val="24"/>
          <w:szCs w:val="24"/>
        </w:rPr>
        <w:t>ere</w:t>
      </w:r>
      <w:r w:rsidRPr="00CD1AC9">
        <w:rPr>
          <w:rFonts w:ascii="Times New Roman" w:eastAsia="Calibri" w:hAnsi="Times New Roman" w:cs="Times New Roman"/>
          <w:sz w:val="24"/>
          <w:szCs w:val="24"/>
        </w:rPr>
        <w:t xml:space="preserve"> to occur and the probabilities for their continued existence would be very low. There is also no way that National Forest Management Act (NFMA) and Endangered Species Act (ESA) requirements could be met of maintaining species across their range and within individual National Forests with such an approach.  Mills (2007) captured the futility of such approach in his book on Conservation of Wildlife Populations: “MVP is problematic for both philosophical and scientific reasons.  Philosophically, it seems questionable to presume to manage for the minimum number of individuals that could persist on this planet. Scientifically, the problem is that we simply cannot correctly determine a single minimum number of individuals that will be viable for the long term, because of inherent uncertainty in nature and management….”</w:t>
      </w:r>
    </w:p>
    <w:p w:rsidR="004235E4" w:rsidRPr="00CD1AC9" w:rsidRDefault="004235E4" w:rsidP="004235E4">
      <w:pPr>
        <w:contextualSpacing/>
        <w:rPr>
          <w:rFonts w:ascii="Times New Roman" w:eastAsia="Calibri" w:hAnsi="Times New Roman" w:cs="Times New Roman"/>
          <w:sz w:val="24"/>
          <w:szCs w:val="24"/>
        </w:rPr>
      </w:pPr>
    </w:p>
    <w:p w:rsidR="004235E4" w:rsidRDefault="004235E4" w:rsidP="004235E4">
      <w:pPr>
        <w:autoSpaceDE w:val="0"/>
        <w:autoSpaceDN w:val="0"/>
        <w:adjustRightInd w:val="0"/>
        <w:spacing w:after="0"/>
        <w:rPr>
          <w:rFonts w:ascii="Times New Roman" w:eastAsia="TTE1DB0090t00" w:hAnsi="Times New Roman" w:cs="Times New Roman"/>
          <w:sz w:val="24"/>
          <w:szCs w:val="24"/>
        </w:rPr>
      </w:pPr>
      <w:r w:rsidRPr="00CD1AC9">
        <w:rPr>
          <w:rFonts w:ascii="Times New Roman" w:eastAsia="Calibri" w:hAnsi="Times New Roman" w:cs="Times New Roman"/>
          <w:sz w:val="24"/>
          <w:szCs w:val="24"/>
        </w:rPr>
        <w:t>Sampson also admits that “</w:t>
      </w:r>
      <w:r w:rsidRPr="00CD1AC9">
        <w:rPr>
          <w:rFonts w:ascii="Times New Roman" w:eastAsia="TTE1DB0090t00" w:hAnsi="Times New Roman" w:cs="Times New Roman"/>
          <w:sz w:val="24"/>
          <w:szCs w:val="24"/>
        </w:rPr>
        <w:t>Methods to estimate canopy closure, forest structure, and dominant forest type may differ among the studies referred to in this assessment and from those used by the Forest Service to estimate these habitat characteristics” and that “FIA sample points affected within the prior 10 years by either timber harvest or fire are excluded in the estimates of habitat for the four species” and finally that “FIA does not adequately sample rare habitats”.   This especially concerning given the reliance on the FIA queries to identify suitable habitat and the fact that the data used in the analysis is now over 2</w:t>
      </w:r>
      <w:r w:rsidR="00520705">
        <w:rPr>
          <w:rFonts w:ascii="Times New Roman" w:eastAsia="TTE1DB0090t00" w:hAnsi="Times New Roman" w:cs="Times New Roman"/>
          <w:sz w:val="24"/>
          <w:szCs w:val="24"/>
        </w:rPr>
        <w:t>5</w:t>
      </w:r>
      <w:r w:rsidRPr="00CD1AC9">
        <w:rPr>
          <w:rFonts w:ascii="Times New Roman" w:eastAsia="TTE1DB0090t00" w:hAnsi="Times New Roman" w:cs="Times New Roman"/>
          <w:sz w:val="24"/>
          <w:szCs w:val="24"/>
        </w:rPr>
        <w:t xml:space="preserve"> years old.</w:t>
      </w:r>
    </w:p>
    <w:p w:rsidR="004235E4" w:rsidRDefault="004235E4" w:rsidP="004235E4">
      <w:pPr>
        <w:autoSpaceDE w:val="0"/>
        <w:autoSpaceDN w:val="0"/>
        <w:adjustRightInd w:val="0"/>
        <w:spacing w:after="0"/>
        <w:rPr>
          <w:rFonts w:ascii="Times New Roman" w:eastAsia="TTE1DB0090t00" w:hAnsi="Times New Roman" w:cs="Times New Roman"/>
          <w:sz w:val="24"/>
          <w:szCs w:val="24"/>
        </w:rPr>
      </w:pPr>
    </w:p>
    <w:p w:rsidR="004235E4" w:rsidRPr="00CD1AC9" w:rsidRDefault="004235E4" w:rsidP="004235E4">
      <w:pPr>
        <w:autoSpaceDE w:val="0"/>
        <w:autoSpaceDN w:val="0"/>
        <w:adjustRightInd w:val="0"/>
        <w:spacing w:after="0"/>
        <w:rPr>
          <w:rFonts w:ascii="Times New Roman" w:eastAsia="TTE1DB0090t00" w:hAnsi="Times New Roman" w:cs="Times New Roman"/>
          <w:sz w:val="24"/>
          <w:szCs w:val="24"/>
        </w:rPr>
      </w:pPr>
      <w:r w:rsidRPr="00CD1AC9">
        <w:rPr>
          <w:rFonts w:ascii="Times New Roman" w:eastAsia="TTE1DB0090t00" w:hAnsi="Times New Roman" w:cs="Times New Roman"/>
          <w:sz w:val="24"/>
          <w:szCs w:val="24"/>
        </w:rPr>
        <w:t>Since the Sampson short-term viability analysis was completed, we have seen more wildfires</w:t>
      </w:r>
      <w:r>
        <w:rPr>
          <w:rFonts w:ascii="Times New Roman" w:eastAsia="TTE1DB0090t00" w:hAnsi="Times New Roman" w:cs="Times New Roman"/>
          <w:sz w:val="24"/>
          <w:szCs w:val="24"/>
        </w:rPr>
        <w:t xml:space="preserve"> and the level of timber harvest has increased on the Nez Perce – Clearwater National Forest.  </w:t>
      </w:r>
      <w:r w:rsidR="000A50E8">
        <w:rPr>
          <w:rFonts w:ascii="Times New Roman" w:eastAsia="TTE1DB0090t00" w:hAnsi="Times New Roman" w:cs="Times New Roman"/>
          <w:sz w:val="24"/>
          <w:szCs w:val="24"/>
        </w:rPr>
        <w:t>Recent</w:t>
      </w:r>
      <w:r w:rsidR="00A17E31">
        <w:rPr>
          <w:rFonts w:ascii="Times New Roman" w:eastAsia="TTE1DB0090t00" w:hAnsi="Times New Roman" w:cs="Times New Roman"/>
          <w:sz w:val="24"/>
          <w:szCs w:val="24"/>
        </w:rPr>
        <w:t xml:space="preserve"> annual sale offerings have increased from approximately 50-MMBF at the time of Sampson’s report to over 90-MMBF today.  Projects like Twenty-mile, Hungry Ridge and End of the World suggest that the Nez Perce-Clearwater intends to move those numbers higher. </w:t>
      </w:r>
      <w:r w:rsidR="000A50E8">
        <w:rPr>
          <w:rFonts w:ascii="Times New Roman" w:hAnsi="Times New Roman" w:cs="Times New Roman"/>
          <w:sz w:val="24"/>
          <w:szCs w:val="24"/>
          <w:shd w:val="clear" w:color="auto" w:fill="FFFFFF"/>
        </w:rPr>
        <w:t>Th</w:t>
      </w:r>
      <w:r w:rsidR="00FB5446">
        <w:rPr>
          <w:rFonts w:ascii="Times New Roman" w:hAnsi="Times New Roman" w:cs="Times New Roman"/>
          <w:sz w:val="24"/>
          <w:szCs w:val="24"/>
          <w:shd w:val="clear" w:color="auto" w:fill="FFFFFF"/>
        </w:rPr>
        <w:t>is is further evidenced by</w:t>
      </w:r>
      <w:r w:rsidR="000A50E8">
        <w:rPr>
          <w:rFonts w:ascii="Times New Roman" w:hAnsi="Times New Roman" w:cs="Times New Roman"/>
          <w:sz w:val="24"/>
          <w:szCs w:val="24"/>
          <w:shd w:val="clear" w:color="auto" w:fill="FFFFFF"/>
        </w:rPr>
        <w:t xml:space="preserve"> several other nearby projects such as Green Horse, Limber Elk and Red Siegel</w:t>
      </w:r>
      <w:r w:rsidR="00FB5446">
        <w:rPr>
          <w:rFonts w:ascii="Times New Roman" w:hAnsi="Times New Roman" w:cs="Times New Roman"/>
          <w:sz w:val="24"/>
          <w:szCs w:val="24"/>
          <w:shd w:val="clear" w:color="auto" w:fill="FFFFFF"/>
        </w:rPr>
        <w:t xml:space="preserve"> and </w:t>
      </w:r>
      <w:r w:rsidR="000A50E8" w:rsidRPr="0042389D">
        <w:rPr>
          <w:rFonts w:ascii="Times New Roman" w:hAnsi="Times New Roman" w:cs="Times New Roman"/>
          <w:sz w:val="24"/>
          <w:szCs w:val="24"/>
          <w:shd w:val="clear" w:color="auto" w:fill="FFFFFF"/>
        </w:rPr>
        <w:t xml:space="preserve">the multitude of other projects that are occurring </w:t>
      </w:r>
      <w:r w:rsidR="000A50E8">
        <w:rPr>
          <w:rFonts w:ascii="Times New Roman" w:hAnsi="Times New Roman" w:cs="Times New Roman"/>
          <w:sz w:val="24"/>
          <w:szCs w:val="24"/>
        </w:rPr>
        <w:t xml:space="preserve">across the Nez Perce – Clearwater </w:t>
      </w:r>
      <w:r w:rsidR="00850FF3">
        <w:rPr>
          <w:rFonts w:ascii="Times New Roman" w:hAnsi="Times New Roman" w:cs="Times New Roman"/>
          <w:sz w:val="24"/>
          <w:szCs w:val="24"/>
        </w:rPr>
        <w:t xml:space="preserve">NF </w:t>
      </w:r>
      <w:r w:rsidR="00FB5446">
        <w:rPr>
          <w:rFonts w:ascii="Times New Roman" w:hAnsi="Times New Roman" w:cs="Times New Roman"/>
          <w:sz w:val="24"/>
          <w:szCs w:val="24"/>
        </w:rPr>
        <w:t xml:space="preserve">such </w:t>
      </w:r>
      <w:r w:rsidR="000A50E8" w:rsidRPr="00D87A11">
        <w:rPr>
          <w:rFonts w:ascii="Times New Roman" w:hAnsi="Times New Roman" w:cs="Times New Roman"/>
          <w:sz w:val="24"/>
          <w:szCs w:val="24"/>
        </w:rPr>
        <w:t xml:space="preserve">as, Center Johnson, </w:t>
      </w:r>
      <w:r w:rsidR="000A50E8" w:rsidRPr="00D87A11">
        <w:rPr>
          <w:rFonts w:ascii="Times New Roman" w:eastAsia="Calibri" w:hAnsi="Times New Roman" w:cs="Times New Roman"/>
          <w:sz w:val="24"/>
          <w:szCs w:val="24"/>
        </w:rPr>
        <w:t>Clear Creek</w:t>
      </w:r>
      <w:r w:rsidR="000A50E8" w:rsidRPr="00D87A11">
        <w:rPr>
          <w:rFonts w:ascii="Times New Roman" w:hAnsi="Times New Roman" w:cs="Times New Roman"/>
          <w:sz w:val="24"/>
          <w:szCs w:val="24"/>
        </w:rPr>
        <w:t xml:space="preserve">, </w:t>
      </w:r>
      <w:r w:rsidR="000A50E8" w:rsidRPr="00D87A11">
        <w:rPr>
          <w:rFonts w:ascii="Times New Roman" w:eastAsia="Calibri" w:hAnsi="Times New Roman" w:cs="Times New Roman"/>
          <w:sz w:val="24"/>
          <w:szCs w:val="24"/>
        </w:rPr>
        <w:t>Crane Point,</w:t>
      </w:r>
      <w:r w:rsidR="000A50E8" w:rsidRPr="00D87A11">
        <w:rPr>
          <w:rFonts w:ascii="Times New Roman" w:hAnsi="Times New Roman" w:cs="Times New Roman"/>
          <w:sz w:val="24"/>
          <w:szCs w:val="24"/>
        </w:rPr>
        <w:t xml:space="preserve"> </w:t>
      </w:r>
      <w:r w:rsidR="000A50E8" w:rsidRPr="00D87A11">
        <w:rPr>
          <w:rFonts w:ascii="Times New Roman" w:eastAsia="Calibri" w:hAnsi="Times New Roman" w:cs="Times New Roman"/>
          <w:sz w:val="24"/>
          <w:szCs w:val="24"/>
        </w:rPr>
        <w:t>Dead Laundry, Dixie-Comstock Community, East Saddle</w:t>
      </w:r>
      <w:r w:rsidR="000A50E8" w:rsidRPr="00D87A11">
        <w:rPr>
          <w:rFonts w:ascii="Times New Roman" w:hAnsi="Times New Roman" w:cs="Times New Roman"/>
          <w:sz w:val="24"/>
          <w:szCs w:val="24"/>
        </w:rPr>
        <w:t xml:space="preserve">, </w:t>
      </w:r>
      <w:r w:rsidR="000A50E8" w:rsidRPr="00D87A11">
        <w:rPr>
          <w:rFonts w:ascii="Times New Roman" w:eastAsia="Calibri" w:hAnsi="Times New Roman" w:cs="Times New Roman"/>
          <w:sz w:val="24"/>
          <w:szCs w:val="24"/>
        </w:rPr>
        <w:t>French Larch, Gold Hill,</w:t>
      </w:r>
      <w:r w:rsidR="000A50E8">
        <w:rPr>
          <w:rFonts w:ascii="Times New Roman" w:eastAsia="Calibri" w:hAnsi="Times New Roman" w:cs="Times New Roman"/>
          <w:sz w:val="24"/>
          <w:szCs w:val="24"/>
        </w:rPr>
        <w:t xml:space="preserve"> </w:t>
      </w:r>
      <w:r w:rsidR="000A50E8" w:rsidRPr="00D87A11">
        <w:rPr>
          <w:rFonts w:ascii="Times New Roman" w:eastAsia="Calibri" w:hAnsi="Times New Roman" w:cs="Times New Roman"/>
          <w:sz w:val="24"/>
          <w:szCs w:val="24"/>
        </w:rPr>
        <w:t>Histloc Fuels,</w:t>
      </w:r>
      <w:r w:rsidR="000A50E8" w:rsidRPr="00D87A11">
        <w:rPr>
          <w:rFonts w:ascii="Times New Roman" w:hAnsi="Times New Roman" w:cs="Times New Roman"/>
          <w:sz w:val="24"/>
          <w:szCs w:val="24"/>
        </w:rPr>
        <w:t xml:space="preserve"> </w:t>
      </w:r>
      <w:r w:rsidR="000A50E8" w:rsidRPr="00D87A11">
        <w:rPr>
          <w:rFonts w:ascii="Times New Roman" w:eastAsia="Calibri" w:hAnsi="Times New Roman" w:cs="Times New Roman"/>
          <w:sz w:val="24"/>
          <w:szCs w:val="24"/>
        </w:rPr>
        <w:t xml:space="preserve">Johnson Bar, </w:t>
      </w:r>
      <w:r w:rsidR="000A50E8" w:rsidRPr="00D87A11">
        <w:rPr>
          <w:rFonts w:ascii="Times New Roman" w:hAnsi="Times New Roman" w:cs="Times New Roman"/>
          <w:sz w:val="24"/>
          <w:szCs w:val="24"/>
        </w:rPr>
        <w:t>Little Boulder</w:t>
      </w:r>
      <w:r w:rsidR="000A50E8" w:rsidRPr="00D87A11">
        <w:rPr>
          <w:rFonts w:ascii="Times New Roman" w:eastAsia="Calibri" w:hAnsi="Times New Roman" w:cs="Times New Roman"/>
          <w:sz w:val="24"/>
          <w:szCs w:val="24"/>
        </w:rPr>
        <w:t xml:space="preserve">, </w:t>
      </w:r>
      <w:r w:rsidR="000A50E8" w:rsidRPr="00D87A11">
        <w:rPr>
          <w:rFonts w:ascii="Times New Roman" w:hAnsi="Times New Roman" w:cs="Times New Roman"/>
          <w:sz w:val="24"/>
          <w:szCs w:val="24"/>
        </w:rPr>
        <w:t>Lolo Creek,</w:t>
      </w:r>
      <w:r w:rsidR="000A50E8" w:rsidRPr="00D87A11">
        <w:rPr>
          <w:rFonts w:ascii="Times New Roman" w:eastAsia="Calibri" w:hAnsi="Times New Roman" w:cs="Times New Roman"/>
          <w:sz w:val="24"/>
          <w:szCs w:val="24"/>
        </w:rPr>
        <w:t xml:space="preserve"> Lowell WUI, Lower Orogrande, Newsome Fuels, Northside Powell, Orogrande Community, Parachute Fuel, Pete King, </w:t>
      </w:r>
      <w:r w:rsidR="000A50E8" w:rsidRPr="00D87A11">
        <w:rPr>
          <w:rFonts w:ascii="Times New Roman" w:hAnsi="Times New Roman" w:cs="Times New Roman"/>
          <w:sz w:val="24"/>
          <w:szCs w:val="24"/>
        </w:rPr>
        <w:t>Red Moose Divide</w:t>
      </w:r>
      <w:r w:rsidR="000A50E8" w:rsidRPr="00D87A11">
        <w:rPr>
          <w:rFonts w:ascii="Times New Roman" w:eastAsia="Calibri" w:hAnsi="Times New Roman" w:cs="Times New Roman"/>
          <w:sz w:val="24"/>
          <w:szCs w:val="24"/>
        </w:rPr>
        <w:t xml:space="preserve">, </w:t>
      </w:r>
      <w:r w:rsidR="000A50E8" w:rsidRPr="00D87A11">
        <w:rPr>
          <w:rFonts w:ascii="Times New Roman" w:hAnsi="Times New Roman" w:cs="Times New Roman"/>
          <w:sz w:val="24"/>
          <w:szCs w:val="24"/>
        </w:rPr>
        <w:t>Section 16,</w:t>
      </w:r>
      <w:r w:rsidR="000A50E8" w:rsidRPr="00D87A11">
        <w:rPr>
          <w:rFonts w:ascii="Times New Roman" w:eastAsia="Calibri" w:hAnsi="Times New Roman" w:cs="Times New Roman"/>
          <w:sz w:val="24"/>
          <w:szCs w:val="24"/>
        </w:rPr>
        <w:t xml:space="preserve"> Smith Ridge, </w:t>
      </w:r>
      <w:r w:rsidR="000A50E8" w:rsidRPr="00D87A11">
        <w:rPr>
          <w:rFonts w:ascii="Times New Roman" w:hAnsi="Times New Roman" w:cs="Times New Roman"/>
          <w:sz w:val="24"/>
          <w:szCs w:val="24"/>
        </w:rPr>
        <w:t>Stray Creek</w:t>
      </w:r>
      <w:r w:rsidR="000A50E8" w:rsidRPr="00D87A11">
        <w:rPr>
          <w:rFonts w:ascii="Times New Roman" w:eastAsia="Calibri" w:hAnsi="Times New Roman" w:cs="Times New Roman"/>
          <w:sz w:val="24"/>
          <w:szCs w:val="24"/>
        </w:rPr>
        <w:t xml:space="preserve">, </w:t>
      </w:r>
      <w:r w:rsidR="000A50E8" w:rsidRPr="00D87A11">
        <w:rPr>
          <w:rFonts w:ascii="Times New Roman" w:hAnsi="Times New Roman" w:cs="Times New Roman"/>
          <w:sz w:val="24"/>
          <w:szCs w:val="24"/>
        </w:rPr>
        <w:t>Tinker Bugs, White Pine, Windy Shingle and Longleaf</w:t>
      </w:r>
      <w:r w:rsidR="00FB5446">
        <w:rPr>
          <w:rFonts w:ascii="Times New Roman" w:eastAsia="TTE1DB0090t00" w:hAnsi="Times New Roman" w:cs="Times New Roman"/>
          <w:sz w:val="24"/>
          <w:szCs w:val="24"/>
        </w:rPr>
        <w:t>.</w:t>
      </w:r>
    </w:p>
    <w:p w:rsidR="004235E4" w:rsidRPr="00CD1AC9" w:rsidRDefault="004235E4" w:rsidP="004235E4">
      <w:pPr>
        <w:contextualSpacing/>
        <w:rPr>
          <w:rFonts w:ascii="Times New Roman" w:eastAsia="Calibri" w:hAnsi="Times New Roman" w:cs="Times New Roman"/>
          <w:sz w:val="24"/>
          <w:szCs w:val="24"/>
        </w:rPr>
      </w:pPr>
    </w:p>
    <w:p w:rsidR="004235E4" w:rsidRPr="00CD1AC9" w:rsidRDefault="004235E4" w:rsidP="004235E4">
      <w:pPr>
        <w:contextualSpacing/>
        <w:rPr>
          <w:rFonts w:ascii="Times New Roman" w:eastAsia="Calibri" w:hAnsi="Times New Roman" w:cs="Times New Roman"/>
          <w:sz w:val="24"/>
          <w:szCs w:val="24"/>
        </w:rPr>
      </w:pPr>
      <w:r w:rsidRPr="00CD1AC9">
        <w:rPr>
          <w:rFonts w:ascii="Times New Roman" w:eastAsia="Calibri" w:hAnsi="Times New Roman" w:cs="Times New Roman"/>
          <w:sz w:val="24"/>
          <w:szCs w:val="24"/>
        </w:rPr>
        <w:lastRenderedPageBreak/>
        <w:t>I therefore object to the use of the Sampson short-term viability analysis in the</w:t>
      </w:r>
      <w:r w:rsidR="00FB5446">
        <w:rPr>
          <w:rFonts w:ascii="Times New Roman" w:eastAsia="Calibri" w:hAnsi="Times New Roman" w:cs="Times New Roman"/>
          <w:sz w:val="24"/>
          <w:szCs w:val="24"/>
        </w:rPr>
        <w:t xml:space="preserve"> Proposed Action</w:t>
      </w:r>
      <w:r w:rsidRPr="00CD1AC9">
        <w:rPr>
          <w:rFonts w:ascii="Times New Roman" w:eastAsia="Calibri" w:hAnsi="Times New Roman" w:cs="Times New Roman"/>
          <w:sz w:val="24"/>
          <w:szCs w:val="24"/>
        </w:rPr>
        <w:t xml:space="preserve">.  The short-term viability analysis is scientifically unsound and it is very doubtful it could sustain scientific peer review.  The analysis is clearly out of date and does </w:t>
      </w:r>
      <w:r>
        <w:rPr>
          <w:rFonts w:ascii="Times New Roman" w:eastAsia="Calibri" w:hAnsi="Times New Roman" w:cs="Times New Roman"/>
          <w:sz w:val="24"/>
          <w:szCs w:val="24"/>
        </w:rPr>
        <w:t xml:space="preserve">not </w:t>
      </w:r>
      <w:r w:rsidRPr="00CD1AC9">
        <w:rPr>
          <w:rFonts w:ascii="Times New Roman" w:eastAsia="Calibri" w:hAnsi="Times New Roman" w:cs="Times New Roman"/>
          <w:sz w:val="24"/>
          <w:szCs w:val="24"/>
        </w:rPr>
        <w:t>reflect recent increases in both logging and wildfire.  Schultz (2010) captured this sentiment in her critique</w:t>
      </w:r>
      <w:r>
        <w:rPr>
          <w:rFonts w:ascii="Times New Roman" w:eastAsia="Calibri" w:hAnsi="Times New Roman" w:cs="Times New Roman"/>
          <w:sz w:val="24"/>
          <w:szCs w:val="24"/>
        </w:rPr>
        <w:t xml:space="preserve"> of the Sampson report</w:t>
      </w:r>
      <w:r w:rsidRPr="00CD1AC9">
        <w:rPr>
          <w:rFonts w:ascii="Times New Roman" w:eastAsia="Calibri" w:hAnsi="Times New Roman" w:cs="Times New Roman"/>
          <w:sz w:val="24"/>
          <w:szCs w:val="24"/>
        </w:rPr>
        <w:t>: “some interviewees also thought the work should be peer reviewed, especially if it was conducted by USFS management, and several were skeptical that it would survive such review.”  I agree with the reviewers.</w:t>
      </w:r>
    </w:p>
    <w:p w:rsidR="004235E4" w:rsidRPr="00CD1AC9" w:rsidRDefault="004235E4" w:rsidP="004235E4">
      <w:pPr>
        <w:contextualSpacing/>
        <w:rPr>
          <w:rFonts w:ascii="Times New Roman" w:eastAsia="Calibri" w:hAnsi="Times New Roman" w:cs="Times New Roman"/>
          <w:sz w:val="24"/>
          <w:szCs w:val="24"/>
        </w:rPr>
      </w:pPr>
    </w:p>
    <w:p w:rsidR="004235E4" w:rsidRPr="00CD1AC9" w:rsidRDefault="004235E4" w:rsidP="004235E4">
      <w:pPr>
        <w:contextualSpacing/>
        <w:rPr>
          <w:rFonts w:ascii="Times New Roman" w:eastAsia="Calibri" w:hAnsi="Times New Roman" w:cs="Times New Roman"/>
          <w:sz w:val="24"/>
          <w:szCs w:val="24"/>
        </w:rPr>
      </w:pPr>
      <w:r w:rsidRPr="00CD1AC9">
        <w:rPr>
          <w:rFonts w:ascii="Times New Roman" w:eastAsia="Calibri" w:hAnsi="Times New Roman" w:cs="Times New Roman"/>
          <w:sz w:val="24"/>
          <w:szCs w:val="24"/>
        </w:rPr>
        <w:t xml:space="preserve">The </w:t>
      </w:r>
      <w:r w:rsidR="00C262AB">
        <w:rPr>
          <w:rFonts w:ascii="Times New Roman" w:eastAsia="Calibri" w:hAnsi="Times New Roman" w:cs="Times New Roman"/>
          <w:sz w:val="24"/>
          <w:szCs w:val="24"/>
        </w:rPr>
        <w:t xml:space="preserve">wildlife </w:t>
      </w:r>
      <w:r w:rsidRPr="00CD1AC9">
        <w:rPr>
          <w:rFonts w:ascii="Times New Roman" w:eastAsia="Calibri" w:hAnsi="Times New Roman" w:cs="Times New Roman"/>
          <w:sz w:val="24"/>
          <w:szCs w:val="24"/>
        </w:rPr>
        <w:t xml:space="preserve">analysis assumes the project will not contribute to cumulative habitat losses at the Forest level, when the Nez Perce/Clearwater has no idea what the cumulative impact of numerous past and proposed projects are having on the species of concern. </w:t>
      </w:r>
      <w:r>
        <w:rPr>
          <w:rFonts w:ascii="Times New Roman" w:eastAsia="Calibri" w:hAnsi="Times New Roman" w:cs="Times New Roman"/>
          <w:sz w:val="24"/>
          <w:szCs w:val="24"/>
        </w:rPr>
        <w:t>While I am encouraged to see that the Forest has included some project level monitoring for species like the goshawk</w:t>
      </w:r>
      <w:r w:rsidR="00FB5446">
        <w:rPr>
          <w:rFonts w:ascii="Times New Roman" w:eastAsia="Calibri" w:hAnsi="Times New Roman" w:cs="Times New Roman"/>
          <w:sz w:val="24"/>
          <w:szCs w:val="24"/>
        </w:rPr>
        <w:t xml:space="preserve"> and fisher</w:t>
      </w:r>
      <w:r>
        <w:rPr>
          <w:rFonts w:ascii="Times New Roman" w:eastAsia="Calibri" w:hAnsi="Times New Roman" w:cs="Times New Roman"/>
          <w:sz w:val="24"/>
          <w:szCs w:val="24"/>
        </w:rPr>
        <w:t>, I am concerned that it has been</w:t>
      </w:r>
      <w:r w:rsidRPr="00CD1AC9">
        <w:rPr>
          <w:rFonts w:ascii="Times New Roman" w:eastAsia="Calibri" w:hAnsi="Times New Roman" w:cs="Times New Roman"/>
          <w:sz w:val="24"/>
          <w:szCs w:val="24"/>
        </w:rPr>
        <w:t xml:space="preserve"> over 30</w:t>
      </w:r>
      <w:r>
        <w:rPr>
          <w:rFonts w:ascii="Times New Roman" w:eastAsia="Calibri" w:hAnsi="Times New Roman" w:cs="Times New Roman"/>
          <w:sz w:val="24"/>
          <w:szCs w:val="24"/>
        </w:rPr>
        <w:t>-</w:t>
      </w:r>
      <w:r w:rsidRPr="00CD1AC9">
        <w:rPr>
          <w:rFonts w:ascii="Times New Roman" w:eastAsia="Calibri" w:hAnsi="Times New Roman" w:cs="Times New Roman"/>
          <w:sz w:val="24"/>
          <w:szCs w:val="24"/>
        </w:rPr>
        <w:t>years since the current Forest Plan was signed, yet there is currently no statistically reliable monitoring information on the impacts of Forest Service activities on any wildlife species of concern.  With the possible exception of elk (populations monitored by the Idaho Fish and Game) and the North Idaho Elk Guidelines</w:t>
      </w:r>
      <w:r>
        <w:rPr>
          <w:rFonts w:ascii="Times New Roman" w:eastAsia="Calibri" w:hAnsi="Times New Roman" w:cs="Times New Roman"/>
          <w:sz w:val="24"/>
          <w:szCs w:val="24"/>
        </w:rPr>
        <w:t xml:space="preserve"> (Servheen et al. 1997)</w:t>
      </w:r>
      <w:r w:rsidRPr="00CD1AC9">
        <w:rPr>
          <w:rFonts w:ascii="Times New Roman" w:eastAsia="Calibri" w:hAnsi="Times New Roman" w:cs="Times New Roman"/>
          <w:sz w:val="24"/>
          <w:szCs w:val="24"/>
        </w:rPr>
        <w:t>, there is no habitat proxy that is being used on the Forest that has any field verification.   For example, it has not been confirmed that old growth standards are truly protecting old growth-related species like the fisher, goshawk, pine marten and pileated woodpecker.</w:t>
      </w:r>
    </w:p>
    <w:p w:rsidR="004235E4" w:rsidRPr="00CD1AC9" w:rsidRDefault="004235E4" w:rsidP="004235E4">
      <w:pPr>
        <w:contextualSpacing/>
        <w:rPr>
          <w:rFonts w:ascii="Times New Roman" w:eastAsia="Calibri" w:hAnsi="Times New Roman" w:cs="Times New Roman"/>
          <w:sz w:val="24"/>
          <w:szCs w:val="24"/>
        </w:rPr>
      </w:pPr>
    </w:p>
    <w:p w:rsidR="00850FF3" w:rsidRDefault="004235E4" w:rsidP="00520705">
      <w:pPr>
        <w:spacing w:before="240"/>
        <w:contextualSpacing/>
        <w:rPr>
          <w:rFonts w:ascii="Times New Roman" w:hAnsi="Times New Roman" w:cs="Times New Roman"/>
          <w:sz w:val="24"/>
          <w:szCs w:val="24"/>
        </w:rPr>
      </w:pPr>
      <w:r w:rsidRPr="00CD1AC9">
        <w:rPr>
          <w:rFonts w:ascii="Times New Roman" w:eastAsia="Calibri" w:hAnsi="Times New Roman" w:cs="Times New Roman"/>
          <w:sz w:val="24"/>
          <w:szCs w:val="24"/>
        </w:rPr>
        <w:t xml:space="preserve">The Forest Service is fond of the argument that viability cannot be discussed at the project level, but they then use habitat numbers outside of the project area to defend excessive development within the individual project area.  They rationalize that sufficient habitat is available in other areas to make up for losses within the project area.  Under this scenario, no project ever creates a significant impact and species are lost by “10,000 cuts” as project after project is allowed to proceed.  The Forest Service cannot have it both ways; either they need to have project designs that create minimal impacts to species of concern, or they need to have monitoring information that confirms their habitat proxies are “providing for a diversity of plant and animal communities based on the suitability and capability of the specific land area” as required by the National Forest Management Act. </w:t>
      </w:r>
    </w:p>
    <w:p w:rsidR="00520705" w:rsidRPr="00520705" w:rsidRDefault="00520705" w:rsidP="00520705">
      <w:pPr>
        <w:spacing w:before="240"/>
        <w:contextualSpacing/>
        <w:rPr>
          <w:rFonts w:ascii="Times New Roman" w:hAnsi="Times New Roman" w:cs="Times New Roman"/>
          <w:sz w:val="24"/>
          <w:szCs w:val="24"/>
        </w:rPr>
      </w:pPr>
    </w:p>
    <w:p w:rsidR="000A6022" w:rsidRDefault="000A6022" w:rsidP="00D034E8">
      <w:pPr>
        <w:pBdr>
          <w:top w:val="nil"/>
          <w:left w:val="nil"/>
          <w:bottom w:val="nil"/>
          <w:right w:val="nil"/>
          <w:between w:val="nil"/>
        </w:pBdr>
        <w:spacing w:line="240" w:lineRule="auto"/>
        <w:rPr>
          <w:rFonts w:ascii="Times New Roman" w:hAnsi="Times New Roman" w:cs="Times New Roman"/>
          <w:sz w:val="24"/>
          <w:szCs w:val="24"/>
        </w:rPr>
      </w:pPr>
      <w:r w:rsidRPr="00D87A11">
        <w:rPr>
          <w:rFonts w:ascii="Times New Roman" w:hAnsi="Times New Roman" w:cs="Times New Roman"/>
          <w:sz w:val="24"/>
          <w:szCs w:val="24"/>
        </w:rPr>
        <w:t xml:space="preserve">My </w:t>
      </w:r>
      <w:r w:rsidR="00520705">
        <w:rPr>
          <w:rFonts w:ascii="Times New Roman" w:hAnsi="Times New Roman" w:cs="Times New Roman"/>
          <w:sz w:val="24"/>
          <w:szCs w:val="24"/>
        </w:rPr>
        <w:t xml:space="preserve">specific </w:t>
      </w:r>
      <w:r w:rsidRPr="00D87A11">
        <w:rPr>
          <w:rFonts w:ascii="Times New Roman" w:hAnsi="Times New Roman" w:cs="Times New Roman"/>
          <w:sz w:val="24"/>
          <w:szCs w:val="24"/>
        </w:rPr>
        <w:t xml:space="preserve">comments </w:t>
      </w:r>
      <w:r w:rsidR="00D034E8" w:rsidRPr="00D87A11">
        <w:rPr>
          <w:rFonts w:ascii="Times New Roman" w:hAnsi="Times New Roman" w:cs="Times New Roman"/>
          <w:sz w:val="24"/>
          <w:szCs w:val="24"/>
        </w:rPr>
        <w:t xml:space="preserve">here </w:t>
      </w:r>
      <w:r w:rsidRPr="00D87A11">
        <w:rPr>
          <w:rFonts w:ascii="Times New Roman" w:hAnsi="Times New Roman" w:cs="Times New Roman"/>
          <w:sz w:val="24"/>
          <w:szCs w:val="24"/>
        </w:rPr>
        <w:t>largely focus on the protection</w:t>
      </w:r>
      <w:r w:rsidR="00AE30EF">
        <w:rPr>
          <w:rFonts w:ascii="Times New Roman" w:hAnsi="Times New Roman" w:cs="Times New Roman"/>
          <w:sz w:val="24"/>
          <w:szCs w:val="24"/>
        </w:rPr>
        <w:t xml:space="preserve"> of species that utilize older forests</w:t>
      </w:r>
      <w:r w:rsidR="00850FF3">
        <w:rPr>
          <w:rFonts w:ascii="Times New Roman" w:hAnsi="Times New Roman" w:cs="Times New Roman"/>
          <w:sz w:val="24"/>
          <w:szCs w:val="24"/>
        </w:rPr>
        <w:t>, but it should be recognized that n</w:t>
      </w:r>
      <w:r w:rsidRPr="00D87A11">
        <w:rPr>
          <w:rFonts w:ascii="Times New Roman" w:hAnsi="Times New Roman" w:cs="Times New Roman"/>
          <w:sz w:val="24"/>
          <w:szCs w:val="24"/>
        </w:rPr>
        <w:t xml:space="preserve">umerous other more common species that have no special status like forest owls, song birds and small mammals will also likely benefit from the protection of </w:t>
      </w:r>
      <w:r w:rsidR="00850FF3">
        <w:rPr>
          <w:rFonts w:ascii="Times New Roman" w:hAnsi="Times New Roman" w:cs="Times New Roman"/>
          <w:sz w:val="24"/>
          <w:szCs w:val="24"/>
        </w:rPr>
        <w:t>older forest</w:t>
      </w:r>
      <w:r w:rsidRPr="00D87A11">
        <w:rPr>
          <w:rFonts w:ascii="Times New Roman" w:hAnsi="Times New Roman" w:cs="Times New Roman"/>
          <w:sz w:val="24"/>
          <w:szCs w:val="24"/>
        </w:rPr>
        <w:t xml:space="preserve"> habitat. </w:t>
      </w:r>
    </w:p>
    <w:p w:rsidR="001138E0" w:rsidRPr="001138E0" w:rsidRDefault="001138E0" w:rsidP="00D034E8">
      <w:pPr>
        <w:pBdr>
          <w:top w:val="nil"/>
          <w:left w:val="nil"/>
          <w:bottom w:val="nil"/>
          <w:right w:val="nil"/>
          <w:between w:val="nil"/>
        </w:pBdr>
        <w:spacing w:line="240" w:lineRule="auto"/>
        <w:rPr>
          <w:rFonts w:ascii="Times New Roman" w:hAnsi="Times New Roman" w:cs="Times New Roman"/>
          <w:b/>
          <w:bCs/>
          <w:sz w:val="24"/>
          <w:szCs w:val="24"/>
        </w:rPr>
      </w:pPr>
      <w:r w:rsidRPr="001138E0">
        <w:rPr>
          <w:rFonts w:ascii="Times New Roman" w:hAnsi="Times New Roman" w:cs="Times New Roman"/>
          <w:b/>
          <w:bCs/>
          <w:sz w:val="24"/>
          <w:szCs w:val="24"/>
        </w:rPr>
        <w:t>Fisher</w:t>
      </w:r>
    </w:p>
    <w:p w:rsidR="000A6022" w:rsidRPr="00D87A11" w:rsidRDefault="00B81A15" w:rsidP="00D034E8">
      <w:pPr>
        <w:pBdr>
          <w:top w:val="nil"/>
          <w:left w:val="nil"/>
          <w:bottom w:val="nil"/>
          <w:right w:val="nil"/>
          <w:between w:val="nil"/>
        </w:pBdr>
        <w:spacing w:line="240" w:lineRule="auto"/>
        <w:rPr>
          <w:rFonts w:ascii="Times New Roman" w:hAnsi="Times New Roman" w:cs="Times New Roman"/>
          <w:sz w:val="24"/>
          <w:szCs w:val="24"/>
        </w:rPr>
      </w:pPr>
      <w:r>
        <w:rPr>
          <w:rFonts w:ascii="Times New Roman" w:hAnsi="Times New Roman" w:cs="Times New Roman"/>
          <w:sz w:val="24"/>
          <w:szCs w:val="24"/>
        </w:rPr>
        <w:t>According to the Proposed Action document, t</w:t>
      </w:r>
      <w:r w:rsidR="000A6022" w:rsidRPr="00D87A11">
        <w:rPr>
          <w:rFonts w:ascii="Times New Roman" w:hAnsi="Times New Roman" w:cs="Times New Roman"/>
          <w:sz w:val="24"/>
          <w:szCs w:val="24"/>
        </w:rPr>
        <w:t xml:space="preserve">he </w:t>
      </w:r>
      <w:r w:rsidR="001138E0">
        <w:rPr>
          <w:rFonts w:ascii="Times New Roman" w:hAnsi="Times New Roman" w:cs="Times New Roman"/>
          <w:sz w:val="24"/>
          <w:szCs w:val="24"/>
        </w:rPr>
        <w:t xml:space="preserve">Twenty-mile </w:t>
      </w:r>
      <w:r w:rsidR="000A6022" w:rsidRPr="00D87A11">
        <w:rPr>
          <w:rFonts w:ascii="Times New Roman" w:hAnsi="Times New Roman" w:cs="Times New Roman"/>
          <w:sz w:val="24"/>
          <w:szCs w:val="24"/>
        </w:rPr>
        <w:t xml:space="preserve">project area is </w:t>
      </w:r>
      <w:r w:rsidR="001138E0">
        <w:rPr>
          <w:rFonts w:ascii="Times New Roman" w:hAnsi="Times New Roman" w:cs="Times New Roman"/>
          <w:sz w:val="24"/>
          <w:szCs w:val="24"/>
        </w:rPr>
        <w:t>15,105</w:t>
      </w:r>
      <w:r w:rsidR="000A6022" w:rsidRPr="00D87A11">
        <w:rPr>
          <w:rFonts w:ascii="Times New Roman" w:hAnsi="Times New Roman" w:cs="Times New Roman"/>
          <w:sz w:val="24"/>
          <w:szCs w:val="24"/>
        </w:rPr>
        <w:t xml:space="preserve">-acres and contains </w:t>
      </w:r>
      <w:r w:rsidR="001138E0">
        <w:rPr>
          <w:rFonts w:ascii="Times New Roman" w:hAnsi="Times New Roman" w:cs="Times New Roman"/>
          <w:sz w:val="24"/>
          <w:szCs w:val="24"/>
        </w:rPr>
        <w:t>350</w:t>
      </w:r>
      <w:r w:rsidR="000A6022" w:rsidRPr="00D87A11">
        <w:rPr>
          <w:rFonts w:ascii="Times New Roman" w:hAnsi="Times New Roman" w:cs="Times New Roman"/>
          <w:sz w:val="24"/>
          <w:szCs w:val="24"/>
        </w:rPr>
        <w:t xml:space="preserve">-acres of forests that have an average diameter of 20+ inches and </w:t>
      </w:r>
      <w:r w:rsidR="001138E0">
        <w:rPr>
          <w:rFonts w:ascii="Times New Roman" w:hAnsi="Times New Roman" w:cs="Times New Roman"/>
          <w:sz w:val="24"/>
          <w:szCs w:val="24"/>
        </w:rPr>
        <w:t>7,975</w:t>
      </w:r>
      <w:r w:rsidR="000A6022" w:rsidRPr="00D87A11">
        <w:rPr>
          <w:rFonts w:ascii="Times New Roman" w:hAnsi="Times New Roman" w:cs="Times New Roman"/>
          <w:sz w:val="24"/>
          <w:szCs w:val="24"/>
        </w:rPr>
        <w:t>-acres that have an average diameter of 15-19+ inches</w:t>
      </w:r>
      <w:r w:rsidR="001138E0">
        <w:rPr>
          <w:rFonts w:ascii="Times New Roman" w:hAnsi="Times New Roman" w:cs="Times New Roman"/>
          <w:sz w:val="24"/>
          <w:szCs w:val="24"/>
        </w:rPr>
        <w:t>.</w:t>
      </w:r>
      <w:r w:rsidR="000A6022" w:rsidRPr="00D87A11">
        <w:rPr>
          <w:rFonts w:ascii="Times New Roman" w:hAnsi="Times New Roman" w:cs="Times New Roman"/>
          <w:sz w:val="24"/>
          <w:szCs w:val="24"/>
        </w:rPr>
        <w:t xml:space="preserve">  These stands represent the mature forest component on the landscape that is discussed by Sauder and Rachlow (2014) and this acreage currently represents </w:t>
      </w:r>
      <w:r w:rsidR="001138E0">
        <w:rPr>
          <w:rFonts w:ascii="Times New Roman" w:hAnsi="Times New Roman" w:cs="Times New Roman"/>
          <w:sz w:val="24"/>
          <w:szCs w:val="24"/>
        </w:rPr>
        <w:t>55</w:t>
      </w:r>
      <w:r w:rsidR="000A6022" w:rsidRPr="00D87A11">
        <w:rPr>
          <w:rFonts w:ascii="Times New Roman" w:hAnsi="Times New Roman" w:cs="Times New Roman"/>
          <w:sz w:val="24"/>
          <w:szCs w:val="24"/>
        </w:rPr>
        <w:t>.</w:t>
      </w:r>
      <w:r w:rsidR="001138E0">
        <w:rPr>
          <w:rFonts w:ascii="Times New Roman" w:hAnsi="Times New Roman" w:cs="Times New Roman"/>
          <w:sz w:val="24"/>
          <w:szCs w:val="24"/>
        </w:rPr>
        <w:t>1</w:t>
      </w:r>
      <w:r w:rsidR="000A6022" w:rsidRPr="00D87A11">
        <w:rPr>
          <w:rFonts w:ascii="Times New Roman" w:hAnsi="Times New Roman" w:cs="Times New Roman"/>
          <w:sz w:val="24"/>
          <w:szCs w:val="24"/>
        </w:rPr>
        <w:t xml:space="preserve">% of the project area.  According to the Vegetation Report there are approximately </w:t>
      </w:r>
      <w:r w:rsidR="00E16025">
        <w:rPr>
          <w:rFonts w:ascii="Times New Roman" w:hAnsi="Times New Roman" w:cs="Times New Roman"/>
          <w:sz w:val="24"/>
          <w:szCs w:val="24"/>
        </w:rPr>
        <w:t>296</w:t>
      </w:r>
      <w:r w:rsidR="000A6022" w:rsidRPr="00D87A11">
        <w:rPr>
          <w:rFonts w:ascii="Times New Roman" w:hAnsi="Times New Roman" w:cs="Times New Roman"/>
          <w:sz w:val="24"/>
          <w:szCs w:val="24"/>
        </w:rPr>
        <w:t>-acres of shrub or herbaceous cover (</w:t>
      </w:r>
      <w:r w:rsidR="00E16025">
        <w:rPr>
          <w:rFonts w:ascii="Times New Roman" w:hAnsi="Times New Roman" w:cs="Times New Roman"/>
          <w:sz w:val="24"/>
          <w:szCs w:val="24"/>
        </w:rPr>
        <w:t>2</w:t>
      </w:r>
      <w:r w:rsidR="000A6022" w:rsidRPr="00D87A11">
        <w:rPr>
          <w:rFonts w:ascii="Times New Roman" w:hAnsi="Times New Roman" w:cs="Times New Roman"/>
          <w:sz w:val="24"/>
          <w:szCs w:val="24"/>
        </w:rPr>
        <w:t xml:space="preserve">% of the project area), which would </w:t>
      </w:r>
      <w:r w:rsidR="000A6022" w:rsidRPr="00D87A11">
        <w:rPr>
          <w:rFonts w:ascii="Times New Roman" w:hAnsi="Times New Roman" w:cs="Times New Roman"/>
          <w:sz w:val="24"/>
          <w:szCs w:val="24"/>
        </w:rPr>
        <w:lastRenderedPageBreak/>
        <w:t>represent the open areas described by Sauder and Rachlow (2014).  These conditions would provide ideal habitat for the fisher and other species that rely on older forests since there are very few openings and an abundance of mature forest.</w:t>
      </w:r>
    </w:p>
    <w:p w:rsidR="005B354C" w:rsidRPr="00D87A11" w:rsidRDefault="000A6022" w:rsidP="0058535C">
      <w:pPr>
        <w:pBdr>
          <w:top w:val="nil"/>
          <w:left w:val="nil"/>
          <w:bottom w:val="nil"/>
          <w:right w:val="nil"/>
          <w:between w:val="nil"/>
        </w:pBdr>
        <w:spacing w:line="240" w:lineRule="auto"/>
        <w:rPr>
          <w:rFonts w:ascii="Times New Roman" w:hAnsi="Times New Roman" w:cs="Times New Roman"/>
          <w:sz w:val="24"/>
          <w:szCs w:val="24"/>
        </w:rPr>
      </w:pPr>
      <w:r w:rsidRPr="00D87A11">
        <w:rPr>
          <w:rFonts w:ascii="Times New Roman" w:hAnsi="Times New Roman" w:cs="Times New Roman"/>
          <w:sz w:val="24"/>
          <w:szCs w:val="24"/>
        </w:rPr>
        <w:t xml:space="preserve">Sauder and Rachlow (2014) found individual fishers “selected landscapes for home ranges, with larger, more contiguous patches of mature forest and reduced amounts of open areas.  Landscapes that had &gt;50% mature forest arranged in connected, complex shapes with few isolated patches, and open areas comprising &lt;5% of the landscape characterized a forest pattern selected by fishers in our study.” </w:t>
      </w:r>
    </w:p>
    <w:p w:rsidR="002276C7" w:rsidRDefault="00E16025" w:rsidP="0058535C">
      <w:pPr>
        <w:pBdr>
          <w:top w:val="nil"/>
          <w:left w:val="nil"/>
          <w:bottom w:val="nil"/>
          <w:right w:val="nil"/>
          <w:between w:val="nil"/>
        </w:pBdr>
        <w:spacing w:line="240" w:lineRule="auto"/>
        <w:rPr>
          <w:rFonts w:ascii="Times New Roman" w:hAnsi="Times New Roman" w:cs="Times New Roman"/>
          <w:sz w:val="24"/>
          <w:szCs w:val="24"/>
        </w:rPr>
      </w:pPr>
      <w:r>
        <w:rPr>
          <w:rFonts w:ascii="Times New Roman" w:hAnsi="Times New Roman" w:cs="Times New Roman"/>
          <w:sz w:val="24"/>
          <w:szCs w:val="24"/>
        </w:rPr>
        <w:t xml:space="preserve">The proposed action document discusses the Sauder and Rachlow (2014) findings, but does not do a complete analysis of the impacts of the proposed action on the fisher.  </w:t>
      </w:r>
      <w:r w:rsidR="009C1683">
        <w:rPr>
          <w:rFonts w:ascii="Times New Roman" w:hAnsi="Times New Roman" w:cs="Times New Roman"/>
          <w:sz w:val="24"/>
          <w:szCs w:val="24"/>
        </w:rPr>
        <w:t xml:space="preserve">The proposed action analysis suggests that two HUC 12 watersheds were utilized for the fisher analysis, but does not display the boundaries of these watersheds.  Presumably, </w:t>
      </w:r>
      <w:r w:rsidR="005671F3">
        <w:rPr>
          <w:rFonts w:ascii="Times New Roman" w:hAnsi="Times New Roman" w:cs="Times New Roman"/>
          <w:sz w:val="24"/>
          <w:szCs w:val="24"/>
        </w:rPr>
        <w:t>one of the analysis areas is centered on the Twenty-mile watershed which is approximately 14,570-acres when the acreage in the Gospel Hump Wilderness area is included.  This acreage corresponds</w:t>
      </w:r>
      <w:r w:rsidR="002276C7">
        <w:rPr>
          <w:rFonts w:ascii="Times New Roman" w:hAnsi="Times New Roman" w:cs="Times New Roman"/>
          <w:sz w:val="24"/>
          <w:szCs w:val="24"/>
        </w:rPr>
        <w:t xml:space="preserve"> to the acreage reported in the proposed action document. </w:t>
      </w:r>
      <w:r w:rsidR="00B201AA">
        <w:rPr>
          <w:rFonts w:ascii="Times New Roman" w:hAnsi="Times New Roman" w:cs="Times New Roman"/>
          <w:sz w:val="24"/>
          <w:szCs w:val="24"/>
        </w:rPr>
        <w:t xml:space="preserve">The project area </w:t>
      </w:r>
      <w:r w:rsidR="00AB23F8">
        <w:rPr>
          <w:rFonts w:ascii="Times New Roman" w:hAnsi="Times New Roman" w:cs="Times New Roman"/>
          <w:sz w:val="24"/>
          <w:szCs w:val="24"/>
        </w:rPr>
        <w:t xml:space="preserve">(excluding wilderness) </w:t>
      </w:r>
      <w:r w:rsidR="00B201AA">
        <w:rPr>
          <w:rFonts w:ascii="Times New Roman" w:hAnsi="Times New Roman" w:cs="Times New Roman"/>
          <w:sz w:val="24"/>
          <w:szCs w:val="24"/>
        </w:rPr>
        <w:t>contains approximately</w:t>
      </w:r>
      <w:r w:rsidR="00AB23F8">
        <w:rPr>
          <w:rFonts w:ascii="Times New Roman" w:hAnsi="Times New Roman" w:cs="Times New Roman"/>
          <w:sz w:val="24"/>
          <w:szCs w:val="24"/>
        </w:rPr>
        <w:t xml:space="preserve"> 11,940-acres of the Twenty-mile watershed.</w:t>
      </w:r>
    </w:p>
    <w:p w:rsidR="00C91182" w:rsidRDefault="002276C7" w:rsidP="0058535C">
      <w:pPr>
        <w:pBdr>
          <w:top w:val="nil"/>
          <w:left w:val="nil"/>
          <w:bottom w:val="nil"/>
          <w:right w:val="nil"/>
          <w:between w:val="nil"/>
        </w:pBdr>
        <w:spacing w:line="240" w:lineRule="auto"/>
        <w:rPr>
          <w:rFonts w:ascii="Times New Roman" w:hAnsi="Times New Roman" w:cs="Times New Roman"/>
          <w:sz w:val="24"/>
          <w:szCs w:val="24"/>
        </w:rPr>
      </w:pPr>
      <w:r>
        <w:rPr>
          <w:rFonts w:ascii="Times New Roman" w:hAnsi="Times New Roman" w:cs="Times New Roman"/>
          <w:sz w:val="24"/>
          <w:szCs w:val="24"/>
        </w:rPr>
        <w:t xml:space="preserve">The boundary of the other analysis area is very unclear and is termed the Wing Creek – South Fork of the Clearwater River analysis area.  It is listed as </w:t>
      </w:r>
      <w:r w:rsidR="00B201AA">
        <w:rPr>
          <w:rFonts w:ascii="Times New Roman" w:hAnsi="Times New Roman" w:cs="Times New Roman"/>
          <w:sz w:val="24"/>
          <w:szCs w:val="24"/>
        </w:rPr>
        <w:t>14,607-acres in the proposed action document</w:t>
      </w:r>
      <w:r w:rsidR="00AB23F8">
        <w:rPr>
          <w:rFonts w:ascii="Times New Roman" w:hAnsi="Times New Roman" w:cs="Times New Roman"/>
          <w:sz w:val="24"/>
          <w:szCs w:val="24"/>
        </w:rPr>
        <w:t xml:space="preserve"> but </w:t>
      </w:r>
      <w:r w:rsidR="00337766">
        <w:rPr>
          <w:rFonts w:ascii="Times New Roman" w:hAnsi="Times New Roman" w:cs="Times New Roman"/>
          <w:sz w:val="24"/>
          <w:szCs w:val="24"/>
        </w:rPr>
        <w:t>the acreage</w:t>
      </w:r>
      <w:r w:rsidR="00AB23F8">
        <w:rPr>
          <w:rFonts w:ascii="Times New Roman" w:hAnsi="Times New Roman" w:cs="Times New Roman"/>
          <w:sz w:val="24"/>
          <w:szCs w:val="24"/>
        </w:rPr>
        <w:t xml:space="preserve"> in the project area only account</w:t>
      </w:r>
      <w:r w:rsidR="00337766">
        <w:rPr>
          <w:rFonts w:ascii="Times New Roman" w:hAnsi="Times New Roman" w:cs="Times New Roman"/>
          <w:sz w:val="24"/>
          <w:szCs w:val="24"/>
        </w:rPr>
        <w:t>s</w:t>
      </w:r>
      <w:r w:rsidR="00AB23F8">
        <w:rPr>
          <w:rFonts w:ascii="Times New Roman" w:hAnsi="Times New Roman" w:cs="Times New Roman"/>
          <w:sz w:val="24"/>
          <w:szCs w:val="24"/>
        </w:rPr>
        <w:t xml:space="preserve"> for 3,165-acres.  Project area lands </w:t>
      </w:r>
      <w:r w:rsidR="00C91182">
        <w:rPr>
          <w:rFonts w:ascii="Times New Roman" w:hAnsi="Times New Roman" w:cs="Times New Roman"/>
          <w:sz w:val="24"/>
          <w:szCs w:val="24"/>
        </w:rPr>
        <w:t xml:space="preserve">located outside of the Twenty-mile drainage </w:t>
      </w:r>
      <w:r w:rsidR="00AB23F8">
        <w:rPr>
          <w:rFonts w:ascii="Times New Roman" w:hAnsi="Times New Roman" w:cs="Times New Roman"/>
          <w:sz w:val="24"/>
          <w:szCs w:val="24"/>
        </w:rPr>
        <w:t xml:space="preserve">are found in the </w:t>
      </w:r>
      <w:r w:rsidR="00C91182">
        <w:rPr>
          <w:rFonts w:ascii="Times New Roman" w:hAnsi="Times New Roman" w:cs="Times New Roman"/>
          <w:sz w:val="24"/>
          <w:szCs w:val="24"/>
        </w:rPr>
        <w:t>small Rainy-Day drainage and</w:t>
      </w:r>
      <w:r w:rsidR="00AB23F8">
        <w:rPr>
          <w:rFonts w:ascii="Times New Roman" w:hAnsi="Times New Roman" w:cs="Times New Roman"/>
          <w:sz w:val="24"/>
          <w:szCs w:val="24"/>
        </w:rPr>
        <w:t xml:space="preserve"> several </w:t>
      </w:r>
      <w:r w:rsidR="00C91182">
        <w:rPr>
          <w:rFonts w:ascii="Times New Roman" w:hAnsi="Times New Roman" w:cs="Times New Roman"/>
          <w:sz w:val="24"/>
          <w:szCs w:val="24"/>
        </w:rPr>
        <w:t xml:space="preserve">other </w:t>
      </w:r>
      <w:r w:rsidR="00AB23F8">
        <w:rPr>
          <w:rFonts w:ascii="Times New Roman" w:hAnsi="Times New Roman" w:cs="Times New Roman"/>
          <w:sz w:val="24"/>
          <w:szCs w:val="24"/>
        </w:rPr>
        <w:t>small face drainages that flow directly into the South Fork of the Clearwater River</w:t>
      </w:r>
      <w:r w:rsidR="005C022B">
        <w:rPr>
          <w:rFonts w:ascii="Times New Roman" w:hAnsi="Times New Roman" w:cs="Times New Roman"/>
          <w:sz w:val="24"/>
          <w:szCs w:val="24"/>
        </w:rPr>
        <w:t xml:space="preserve"> (Figure 1)</w:t>
      </w:r>
      <w:r w:rsidR="00C91182">
        <w:rPr>
          <w:rFonts w:ascii="Times New Roman" w:hAnsi="Times New Roman" w:cs="Times New Roman"/>
          <w:sz w:val="24"/>
          <w:szCs w:val="24"/>
        </w:rPr>
        <w:t>.  There is no project area activity in the Wing Creek drainage.</w:t>
      </w:r>
    </w:p>
    <w:p w:rsidR="000D3078" w:rsidRDefault="004A3A22" w:rsidP="0058535C">
      <w:pPr>
        <w:pBdr>
          <w:top w:val="nil"/>
          <w:left w:val="nil"/>
          <w:bottom w:val="nil"/>
          <w:right w:val="nil"/>
          <w:between w:val="nil"/>
        </w:pBdr>
        <w:spacing w:line="240" w:lineRule="auto"/>
        <w:rPr>
          <w:rFonts w:ascii="Times New Roman" w:hAnsi="Times New Roman" w:cs="Times New Roman"/>
          <w:sz w:val="24"/>
          <w:szCs w:val="24"/>
        </w:rPr>
      </w:pPr>
      <w:r>
        <w:rPr>
          <w:rFonts w:ascii="Times New Roman" w:hAnsi="Times New Roman" w:cs="Times New Roman"/>
          <w:sz w:val="24"/>
          <w:szCs w:val="24"/>
        </w:rPr>
        <w:t>The fisher analysis should have</w:t>
      </w:r>
      <w:r w:rsidR="0042389D">
        <w:rPr>
          <w:rFonts w:ascii="Times New Roman" w:hAnsi="Times New Roman" w:cs="Times New Roman"/>
          <w:sz w:val="24"/>
          <w:szCs w:val="24"/>
        </w:rPr>
        <w:t xml:space="preserve"> </w:t>
      </w:r>
      <w:r>
        <w:rPr>
          <w:rFonts w:ascii="Times New Roman" w:hAnsi="Times New Roman" w:cs="Times New Roman"/>
          <w:sz w:val="24"/>
          <w:szCs w:val="24"/>
        </w:rPr>
        <w:t xml:space="preserve">centered on the </w:t>
      </w:r>
      <w:r w:rsidR="000D3078">
        <w:rPr>
          <w:rFonts w:ascii="Times New Roman" w:hAnsi="Times New Roman" w:cs="Times New Roman"/>
          <w:sz w:val="24"/>
          <w:szCs w:val="24"/>
        </w:rPr>
        <w:t xml:space="preserve">15,105-acre project area for estimating direct impacts to the fisher, </w:t>
      </w:r>
      <w:r>
        <w:rPr>
          <w:rFonts w:ascii="Times New Roman" w:hAnsi="Times New Roman" w:cs="Times New Roman"/>
          <w:sz w:val="24"/>
          <w:szCs w:val="24"/>
        </w:rPr>
        <w:t>since</w:t>
      </w:r>
      <w:r w:rsidR="000D3078">
        <w:rPr>
          <w:rFonts w:ascii="Times New Roman" w:hAnsi="Times New Roman" w:cs="Times New Roman"/>
          <w:sz w:val="24"/>
          <w:szCs w:val="24"/>
        </w:rPr>
        <w:t xml:space="preserve"> the project area is so close in </w:t>
      </w:r>
      <w:r w:rsidR="000D3078" w:rsidRPr="00D87A11">
        <w:rPr>
          <w:rFonts w:ascii="Times New Roman" w:hAnsi="Times New Roman" w:cs="Times New Roman"/>
          <w:sz w:val="24"/>
          <w:szCs w:val="24"/>
        </w:rPr>
        <w:t>size</w:t>
      </w:r>
      <w:r w:rsidR="000D3078">
        <w:rPr>
          <w:rFonts w:ascii="Times New Roman" w:hAnsi="Times New Roman" w:cs="Times New Roman"/>
          <w:sz w:val="24"/>
          <w:szCs w:val="24"/>
        </w:rPr>
        <w:t xml:space="preserve"> to that </w:t>
      </w:r>
      <w:r w:rsidR="000D3078" w:rsidRPr="00D87A11">
        <w:rPr>
          <w:rFonts w:ascii="Times New Roman" w:hAnsi="Times New Roman" w:cs="Times New Roman"/>
          <w:sz w:val="24"/>
          <w:szCs w:val="24"/>
        </w:rPr>
        <w:t>of a female fisher</w:t>
      </w:r>
      <w:r w:rsidR="00337766">
        <w:rPr>
          <w:rFonts w:ascii="Times New Roman" w:hAnsi="Times New Roman" w:cs="Times New Roman"/>
          <w:sz w:val="24"/>
          <w:szCs w:val="24"/>
        </w:rPr>
        <w:t>,</w:t>
      </w:r>
      <w:r w:rsidR="000D3078" w:rsidRPr="00D87A11">
        <w:rPr>
          <w:rFonts w:ascii="Times New Roman" w:hAnsi="Times New Roman" w:cs="Times New Roman"/>
          <w:sz w:val="24"/>
          <w:szCs w:val="24"/>
        </w:rPr>
        <w:t xml:space="preserve"> which has been reported to be approximately 12,200-acres (Sauder and Rachlow 2014)</w:t>
      </w:r>
      <w:r w:rsidR="000D3078">
        <w:rPr>
          <w:rFonts w:ascii="Times New Roman" w:hAnsi="Times New Roman" w:cs="Times New Roman"/>
          <w:sz w:val="24"/>
          <w:szCs w:val="24"/>
        </w:rPr>
        <w:t>.</w:t>
      </w:r>
      <w:r w:rsidR="00787FE1">
        <w:rPr>
          <w:rFonts w:ascii="Times New Roman" w:hAnsi="Times New Roman" w:cs="Times New Roman"/>
          <w:sz w:val="24"/>
          <w:szCs w:val="24"/>
        </w:rPr>
        <w:t xml:space="preserve">  Adding large areas outside of the project area only serves to dilute </w:t>
      </w:r>
      <w:r w:rsidR="00617AC2">
        <w:rPr>
          <w:rFonts w:ascii="Times New Roman" w:hAnsi="Times New Roman" w:cs="Times New Roman"/>
          <w:sz w:val="24"/>
          <w:szCs w:val="24"/>
        </w:rPr>
        <w:t>the direct impacts of the project.</w:t>
      </w:r>
    </w:p>
    <w:p w:rsidR="009E29F0" w:rsidRDefault="00C91182" w:rsidP="0058535C">
      <w:pPr>
        <w:pBdr>
          <w:top w:val="nil"/>
          <w:left w:val="nil"/>
          <w:bottom w:val="nil"/>
          <w:right w:val="nil"/>
          <w:between w:val="nil"/>
        </w:pBdr>
        <w:spacing w:line="240" w:lineRule="auto"/>
        <w:rPr>
          <w:rFonts w:ascii="Times New Roman" w:hAnsi="Times New Roman" w:cs="Times New Roman"/>
          <w:sz w:val="24"/>
          <w:szCs w:val="24"/>
        </w:rPr>
      </w:pPr>
      <w:r>
        <w:rPr>
          <w:rFonts w:ascii="Times New Roman" w:hAnsi="Times New Roman" w:cs="Times New Roman"/>
          <w:sz w:val="24"/>
          <w:szCs w:val="24"/>
        </w:rPr>
        <w:t>The proposed action analysis asserts that both analysis areas maintain 50% mature forest, but no analysis of the amount of open habitat that will be created by the project is included.</w:t>
      </w:r>
      <w:r w:rsidR="004A3A22">
        <w:rPr>
          <w:rFonts w:ascii="Times New Roman" w:hAnsi="Times New Roman" w:cs="Times New Roman"/>
          <w:sz w:val="24"/>
          <w:szCs w:val="24"/>
        </w:rPr>
        <w:t xml:space="preserve">  The proposed action will regenerate 1,822-acres</w:t>
      </w:r>
      <w:r w:rsidR="000D3078">
        <w:rPr>
          <w:rFonts w:ascii="Times New Roman" w:hAnsi="Times New Roman" w:cs="Times New Roman"/>
          <w:sz w:val="24"/>
          <w:szCs w:val="24"/>
        </w:rPr>
        <w:t xml:space="preserve"> (12.1%</w:t>
      </w:r>
      <w:r w:rsidR="00FD7908">
        <w:rPr>
          <w:rFonts w:ascii="Times New Roman" w:hAnsi="Times New Roman" w:cs="Times New Roman"/>
          <w:sz w:val="24"/>
          <w:szCs w:val="24"/>
        </w:rPr>
        <w:t xml:space="preserve"> of the project area</w:t>
      </w:r>
      <w:r w:rsidR="000D3078">
        <w:rPr>
          <w:rFonts w:ascii="Times New Roman" w:hAnsi="Times New Roman" w:cs="Times New Roman"/>
          <w:sz w:val="24"/>
          <w:szCs w:val="24"/>
        </w:rPr>
        <w:t>)</w:t>
      </w:r>
      <w:r w:rsidR="00FD7908">
        <w:rPr>
          <w:rFonts w:ascii="Times New Roman" w:hAnsi="Times New Roman" w:cs="Times New Roman"/>
          <w:sz w:val="24"/>
          <w:szCs w:val="24"/>
        </w:rPr>
        <w:t xml:space="preserve">, </w:t>
      </w:r>
      <w:r w:rsidR="004A3A22">
        <w:rPr>
          <w:rFonts w:ascii="Times New Roman" w:hAnsi="Times New Roman" w:cs="Times New Roman"/>
          <w:sz w:val="24"/>
          <w:szCs w:val="24"/>
        </w:rPr>
        <w:t>thin 387-acres</w:t>
      </w:r>
      <w:r w:rsidR="000D3078">
        <w:rPr>
          <w:rFonts w:ascii="Times New Roman" w:hAnsi="Times New Roman" w:cs="Times New Roman"/>
          <w:sz w:val="24"/>
          <w:szCs w:val="24"/>
        </w:rPr>
        <w:t xml:space="preserve"> (2</w:t>
      </w:r>
      <w:r w:rsidR="00FD7908">
        <w:rPr>
          <w:rFonts w:ascii="Times New Roman" w:hAnsi="Times New Roman" w:cs="Times New Roman"/>
          <w:sz w:val="24"/>
          <w:szCs w:val="24"/>
        </w:rPr>
        <w:t>.</w:t>
      </w:r>
      <w:r w:rsidR="000D3078">
        <w:rPr>
          <w:rFonts w:ascii="Times New Roman" w:hAnsi="Times New Roman" w:cs="Times New Roman"/>
          <w:sz w:val="24"/>
          <w:szCs w:val="24"/>
        </w:rPr>
        <w:t>6%</w:t>
      </w:r>
      <w:r w:rsidR="00220006">
        <w:rPr>
          <w:rFonts w:ascii="Times New Roman" w:hAnsi="Times New Roman" w:cs="Times New Roman"/>
          <w:sz w:val="24"/>
          <w:szCs w:val="24"/>
        </w:rPr>
        <w:t xml:space="preserve"> </w:t>
      </w:r>
      <w:r w:rsidR="00FD7908">
        <w:rPr>
          <w:rFonts w:ascii="Times New Roman" w:hAnsi="Times New Roman" w:cs="Times New Roman"/>
          <w:sz w:val="24"/>
          <w:szCs w:val="24"/>
        </w:rPr>
        <w:t xml:space="preserve">of the project area) and conduct prescribed burning on </w:t>
      </w:r>
      <w:r w:rsidR="004A3A22">
        <w:rPr>
          <w:rFonts w:ascii="Times New Roman" w:hAnsi="Times New Roman" w:cs="Times New Roman"/>
          <w:sz w:val="24"/>
          <w:szCs w:val="24"/>
        </w:rPr>
        <w:t>6,807-acres</w:t>
      </w:r>
      <w:r w:rsidR="00FD7908">
        <w:rPr>
          <w:rFonts w:ascii="Times New Roman" w:hAnsi="Times New Roman" w:cs="Times New Roman"/>
          <w:sz w:val="24"/>
          <w:szCs w:val="24"/>
        </w:rPr>
        <w:t>.  If just 10% of this burning results in the opening of the canopy there will be another 680-acres of new openings (4.5 % of the project area</w:t>
      </w:r>
      <w:r w:rsidR="00220006">
        <w:rPr>
          <w:rFonts w:ascii="Times New Roman" w:hAnsi="Times New Roman" w:cs="Times New Roman"/>
          <w:sz w:val="24"/>
          <w:szCs w:val="24"/>
        </w:rPr>
        <w:t>)</w:t>
      </w:r>
      <w:r w:rsidR="00FD7908">
        <w:rPr>
          <w:rFonts w:ascii="Times New Roman" w:hAnsi="Times New Roman" w:cs="Times New Roman"/>
          <w:sz w:val="24"/>
          <w:szCs w:val="24"/>
        </w:rPr>
        <w:t>.  Using these numbers</w:t>
      </w:r>
      <w:r w:rsidR="009E29F0">
        <w:rPr>
          <w:rFonts w:ascii="Times New Roman" w:hAnsi="Times New Roman" w:cs="Times New Roman"/>
          <w:sz w:val="24"/>
          <w:szCs w:val="24"/>
        </w:rPr>
        <w:t xml:space="preserve"> </w:t>
      </w:r>
      <w:r w:rsidR="00337766">
        <w:rPr>
          <w:rFonts w:ascii="Times New Roman" w:hAnsi="Times New Roman" w:cs="Times New Roman"/>
          <w:sz w:val="24"/>
          <w:szCs w:val="24"/>
        </w:rPr>
        <w:t xml:space="preserve">(Table 1) </w:t>
      </w:r>
      <w:r w:rsidR="009E29F0">
        <w:rPr>
          <w:rFonts w:ascii="Times New Roman" w:hAnsi="Times New Roman" w:cs="Times New Roman"/>
          <w:sz w:val="24"/>
          <w:szCs w:val="24"/>
        </w:rPr>
        <w:t>and assuming that intermediate treatments move mature forest to the other category</w:t>
      </w:r>
      <w:r w:rsidR="00FD7908">
        <w:rPr>
          <w:rFonts w:ascii="Times New Roman" w:hAnsi="Times New Roman" w:cs="Times New Roman"/>
          <w:sz w:val="24"/>
          <w:szCs w:val="24"/>
        </w:rPr>
        <w:t xml:space="preserve">, the project proposal </w:t>
      </w:r>
      <w:r w:rsidR="00220006">
        <w:rPr>
          <w:rFonts w:ascii="Times New Roman" w:hAnsi="Times New Roman" w:cs="Times New Roman"/>
          <w:sz w:val="24"/>
          <w:szCs w:val="24"/>
        </w:rPr>
        <w:t xml:space="preserve">would drop the amount of mature forest to 5436-acres (36% of the project area) and increase the amount of opening to </w:t>
      </w:r>
      <w:r w:rsidR="009E29F0">
        <w:rPr>
          <w:rFonts w:ascii="Times New Roman" w:hAnsi="Times New Roman" w:cs="Times New Roman"/>
          <w:sz w:val="24"/>
          <w:szCs w:val="24"/>
        </w:rPr>
        <w:t>2,798-acres (18.5% of the project area).   According to the Sauder</w:t>
      </w:r>
      <w:r w:rsidR="00614A8C">
        <w:rPr>
          <w:rFonts w:ascii="Times New Roman" w:hAnsi="Times New Roman" w:cs="Times New Roman"/>
          <w:sz w:val="24"/>
          <w:szCs w:val="24"/>
        </w:rPr>
        <w:t xml:space="preserve"> and Rachlow</w:t>
      </w:r>
      <w:r w:rsidR="009E29F0">
        <w:rPr>
          <w:rFonts w:ascii="Times New Roman" w:hAnsi="Times New Roman" w:cs="Times New Roman"/>
          <w:sz w:val="24"/>
          <w:szCs w:val="24"/>
        </w:rPr>
        <w:t xml:space="preserve"> publication this would reduce the probability of fisher occupancy to around 20%.</w:t>
      </w:r>
    </w:p>
    <w:p w:rsidR="00C91182" w:rsidRPr="0042389D" w:rsidRDefault="001E26D7" w:rsidP="0058535C">
      <w:pPr>
        <w:pBdr>
          <w:top w:val="nil"/>
          <w:left w:val="nil"/>
          <w:bottom w:val="nil"/>
          <w:right w:val="nil"/>
          <w:between w:val="nil"/>
        </w:pBdr>
        <w:spacing w:line="240" w:lineRule="auto"/>
        <w:rPr>
          <w:rFonts w:ascii="Times New Roman" w:hAnsi="Times New Roman" w:cs="Times New Roman"/>
          <w:sz w:val="24"/>
          <w:szCs w:val="24"/>
        </w:rPr>
      </w:pPr>
      <w:r w:rsidRPr="0042389D">
        <w:rPr>
          <w:rFonts w:ascii="Times New Roman" w:hAnsi="Times New Roman" w:cs="Times New Roman"/>
          <w:sz w:val="24"/>
          <w:szCs w:val="24"/>
        </w:rPr>
        <w:t xml:space="preserve">This analysis does not even account for the fact that 10 openings </w:t>
      </w:r>
      <w:r w:rsidR="00337766">
        <w:rPr>
          <w:rFonts w:ascii="Times New Roman" w:hAnsi="Times New Roman" w:cs="Times New Roman"/>
          <w:sz w:val="24"/>
          <w:szCs w:val="24"/>
        </w:rPr>
        <w:t xml:space="preserve">created by regeneration harvest will be </w:t>
      </w:r>
      <w:r w:rsidRPr="0042389D">
        <w:rPr>
          <w:rFonts w:ascii="Times New Roman" w:hAnsi="Times New Roman" w:cs="Times New Roman"/>
          <w:sz w:val="24"/>
          <w:szCs w:val="24"/>
        </w:rPr>
        <w:t>over 40-acres in size and unbelievably one opening is proposed to be 642-acres, two more exceed 200-acres and three more exceed 100-acres.   Fishers can be expected to avoid these large</w:t>
      </w:r>
      <w:r w:rsidR="0042389D" w:rsidRPr="0042389D">
        <w:rPr>
          <w:rFonts w:ascii="Times New Roman" w:hAnsi="Times New Roman" w:cs="Times New Roman"/>
          <w:sz w:val="24"/>
          <w:szCs w:val="24"/>
        </w:rPr>
        <w:t xml:space="preserve"> cutting units as well as any other large openings that will be created by prescribed burning.  </w:t>
      </w:r>
    </w:p>
    <w:p w:rsidR="00FE62D6" w:rsidRDefault="0042389D" w:rsidP="00D016FB">
      <w:pPr>
        <w:spacing w:line="240" w:lineRule="auto"/>
        <w:rPr>
          <w:rFonts w:ascii="Times New Roman" w:hAnsi="Times New Roman" w:cs="Times New Roman"/>
          <w:sz w:val="24"/>
          <w:szCs w:val="24"/>
          <w:shd w:val="clear" w:color="auto" w:fill="FFFFFF"/>
        </w:rPr>
      </w:pPr>
      <w:r w:rsidRPr="0042389D">
        <w:rPr>
          <w:rFonts w:ascii="Times New Roman" w:hAnsi="Times New Roman" w:cs="Times New Roman"/>
          <w:sz w:val="24"/>
          <w:szCs w:val="24"/>
        </w:rPr>
        <w:t xml:space="preserve">The proposed action </w:t>
      </w:r>
      <w:r w:rsidR="00F116AA">
        <w:rPr>
          <w:rFonts w:ascii="Times New Roman" w:hAnsi="Times New Roman" w:cs="Times New Roman"/>
          <w:sz w:val="24"/>
          <w:szCs w:val="24"/>
        </w:rPr>
        <w:t xml:space="preserve">does not examine cumulative effects for the fisher and </w:t>
      </w:r>
      <w:r w:rsidRPr="0042389D">
        <w:rPr>
          <w:rFonts w:ascii="Times New Roman" w:hAnsi="Times New Roman" w:cs="Times New Roman"/>
          <w:sz w:val="24"/>
          <w:szCs w:val="24"/>
        </w:rPr>
        <w:t>claims</w:t>
      </w:r>
      <w:r w:rsidRPr="0042389D">
        <w:rPr>
          <w:rFonts w:ascii="Times New Roman" w:hAnsi="Times New Roman" w:cs="Times New Roman"/>
          <w:sz w:val="24"/>
          <w:szCs w:val="24"/>
          <w:shd w:val="clear" w:color="auto" w:fill="FFFFFF"/>
        </w:rPr>
        <w:t xml:space="preserve"> “Connectivity exists to large swaths of fisher habitat just outside the</w:t>
      </w:r>
      <w:r w:rsidR="00F116AA">
        <w:rPr>
          <w:rFonts w:ascii="Times New Roman" w:hAnsi="Times New Roman" w:cs="Times New Roman"/>
          <w:sz w:val="24"/>
          <w:szCs w:val="24"/>
          <w:shd w:val="clear" w:color="auto" w:fill="FFFFFF"/>
        </w:rPr>
        <w:t xml:space="preserve"> </w:t>
      </w:r>
      <w:r w:rsidRPr="0042389D">
        <w:rPr>
          <w:rFonts w:ascii="Times New Roman" w:hAnsi="Times New Roman" w:cs="Times New Roman"/>
          <w:sz w:val="24"/>
          <w:szCs w:val="24"/>
          <w:shd w:val="clear" w:color="auto" w:fill="FFFFFF"/>
        </w:rPr>
        <w:t>project area boundary”</w:t>
      </w:r>
      <w:r w:rsidR="00F116AA">
        <w:rPr>
          <w:rFonts w:ascii="Times New Roman" w:hAnsi="Times New Roman" w:cs="Times New Roman"/>
          <w:sz w:val="24"/>
          <w:szCs w:val="24"/>
          <w:shd w:val="clear" w:color="auto" w:fill="FFFFFF"/>
        </w:rPr>
        <w:t>.  The</w:t>
      </w:r>
      <w:r w:rsidR="007A7644">
        <w:rPr>
          <w:rFonts w:ascii="Times New Roman" w:hAnsi="Times New Roman" w:cs="Times New Roman"/>
          <w:sz w:val="24"/>
          <w:szCs w:val="24"/>
          <w:shd w:val="clear" w:color="auto" w:fill="FFFFFF"/>
        </w:rPr>
        <w:t>re</w:t>
      </w:r>
      <w:r w:rsidR="00F116AA">
        <w:rPr>
          <w:rFonts w:ascii="Times New Roman" w:hAnsi="Times New Roman" w:cs="Times New Roman"/>
          <w:sz w:val="24"/>
          <w:szCs w:val="24"/>
          <w:shd w:val="clear" w:color="auto" w:fill="FFFFFF"/>
        </w:rPr>
        <w:t xml:space="preserve"> is no </w:t>
      </w:r>
      <w:r w:rsidR="00F116AA">
        <w:rPr>
          <w:rFonts w:ascii="Times New Roman" w:hAnsi="Times New Roman" w:cs="Times New Roman"/>
          <w:sz w:val="24"/>
          <w:szCs w:val="24"/>
          <w:shd w:val="clear" w:color="auto" w:fill="FFFFFF"/>
        </w:rPr>
        <w:lastRenderedPageBreak/>
        <w:t xml:space="preserve">mention of the nearby Hungry Ridge project that is only five miles away from the project area and will create significant impacts to fisher </w:t>
      </w:r>
      <w:r w:rsidR="007A7644">
        <w:rPr>
          <w:rFonts w:ascii="Times New Roman" w:hAnsi="Times New Roman" w:cs="Times New Roman"/>
          <w:sz w:val="24"/>
          <w:szCs w:val="24"/>
          <w:shd w:val="clear" w:color="auto" w:fill="FFFFFF"/>
        </w:rPr>
        <w:t>habitat</w:t>
      </w:r>
      <w:r w:rsidR="00FE62D6">
        <w:rPr>
          <w:rFonts w:ascii="Times New Roman" w:hAnsi="Times New Roman" w:cs="Times New Roman"/>
          <w:sz w:val="24"/>
          <w:szCs w:val="24"/>
          <w:shd w:val="clear" w:color="auto" w:fill="FFFFFF"/>
        </w:rPr>
        <w:t xml:space="preserve"> (Figure 1)</w:t>
      </w:r>
      <w:r w:rsidR="00D016FB">
        <w:rPr>
          <w:rFonts w:ascii="Times New Roman" w:hAnsi="Times New Roman" w:cs="Times New Roman"/>
          <w:sz w:val="24"/>
          <w:szCs w:val="24"/>
          <w:shd w:val="clear" w:color="auto" w:fill="FFFFFF"/>
        </w:rPr>
        <w:t>.</w:t>
      </w:r>
    </w:p>
    <w:p w:rsidR="007A7644" w:rsidRPr="00D87A11" w:rsidRDefault="007A7644" w:rsidP="007A7644">
      <w:pPr>
        <w:spacing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 xml:space="preserve">There are also several other nearby projects such as End of the World, Green Horse, Limber Elk and Red Siegel.  Not </w:t>
      </w:r>
      <w:r w:rsidR="0042389D" w:rsidRPr="0042389D">
        <w:rPr>
          <w:rFonts w:ascii="Times New Roman" w:hAnsi="Times New Roman" w:cs="Times New Roman"/>
          <w:sz w:val="24"/>
          <w:szCs w:val="24"/>
          <w:shd w:val="clear" w:color="auto" w:fill="FFFFFF"/>
        </w:rPr>
        <w:t>to mention the multitude of other projects that are occurring within fisher habitat</w:t>
      </w:r>
      <w:r w:rsidRPr="007A7644">
        <w:rPr>
          <w:rFonts w:ascii="Times New Roman" w:hAnsi="Times New Roman" w:cs="Times New Roman"/>
          <w:sz w:val="24"/>
          <w:szCs w:val="24"/>
        </w:rPr>
        <w:t xml:space="preserve"> </w:t>
      </w:r>
      <w:r w:rsidR="005C022B">
        <w:rPr>
          <w:rFonts w:ascii="Times New Roman" w:hAnsi="Times New Roman" w:cs="Times New Roman"/>
          <w:sz w:val="24"/>
          <w:szCs w:val="24"/>
        </w:rPr>
        <w:t xml:space="preserve">across the Nez Perce – Clearwater </w:t>
      </w:r>
      <w:r w:rsidRPr="00D87A11">
        <w:rPr>
          <w:rFonts w:ascii="Times New Roman" w:hAnsi="Times New Roman" w:cs="Times New Roman"/>
          <w:sz w:val="24"/>
          <w:szCs w:val="24"/>
        </w:rPr>
        <w:t xml:space="preserve">as, Center Johnson, </w:t>
      </w:r>
      <w:r w:rsidRPr="00D87A11">
        <w:rPr>
          <w:rFonts w:ascii="Times New Roman" w:eastAsia="Calibri" w:hAnsi="Times New Roman" w:cs="Times New Roman"/>
          <w:sz w:val="24"/>
          <w:szCs w:val="24"/>
        </w:rPr>
        <w:t>Clear Creek</w:t>
      </w:r>
      <w:r w:rsidRPr="00D87A11">
        <w:rPr>
          <w:rFonts w:ascii="Times New Roman" w:hAnsi="Times New Roman" w:cs="Times New Roman"/>
          <w:sz w:val="24"/>
          <w:szCs w:val="24"/>
        </w:rPr>
        <w:t xml:space="preserve">, </w:t>
      </w:r>
      <w:r w:rsidRPr="00D87A11">
        <w:rPr>
          <w:rFonts w:ascii="Times New Roman" w:eastAsia="Calibri" w:hAnsi="Times New Roman" w:cs="Times New Roman"/>
          <w:sz w:val="24"/>
          <w:szCs w:val="24"/>
        </w:rPr>
        <w:t>Crane Point,</w:t>
      </w:r>
      <w:r w:rsidRPr="00D87A11">
        <w:rPr>
          <w:rFonts w:ascii="Times New Roman" w:hAnsi="Times New Roman" w:cs="Times New Roman"/>
          <w:sz w:val="24"/>
          <w:szCs w:val="24"/>
        </w:rPr>
        <w:t xml:space="preserve"> </w:t>
      </w:r>
      <w:r w:rsidRPr="00D87A11">
        <w:rPr>
          <w:rFonts w:ascii="Times New Roman" w:eastAsia="Calibri" w:hAnsi="Times New Roman" w:cs="Times New Roman"/>
          <w:sz w:val="24"/>
          <w:szCs w:val="24"/>
        </w:rPr>
        <w:t>Dead Laundry, Dixie-Comstock Community, East Saddle</w:t>
      </w:r>
      <w:r w:rsidRPr="00D87A11">
        <w:rPr>
          <w:rFonts w:ascii="Times New Roman" w:hAnsi="Times New Roman" w:cs="Times New Roman"/>
          <w:sz w:val="24"/>
          <w:szCs w:val="24"/>
        </w:rPr>
        <w:t xml:space="preserve">, </w:t>
      </w:r>
      <w:r w:rsidRPr="00D87A11">
        <w:rPr>
          <w:rFonts w:ascii="Times New Roman" w:eastAsia="Calibri" w:hAnsi="Times New Roman" w:cs="Times New Roman"/>
          <w:sz w:val="24"/>
          <w:szCs w:val="24"/>
        </w:rPr>
        <w:t>French Larch, Gold Hill,</w:t>
      </w:r>
      <w:r>
        <w:rPr>
          <w:rFonts w:ascii="Times New Roman" w:eastAsia="Calibri" w:hAnsi="Times New Roman" w:cs="Times New Roman"/>
          <w:sz w:val="24"/>
          <w:szCs w:val="24"/>
        </w:rPr>
        <w:t xml:space="preserve"> </w:t>
      </w:r>
      <w:r w:rsidRPr="00D87A11">
        <w:rPr>
          <w:rFonts w:ascii="Times New Roman" w:eastAsia="Calibri" w:hAnsi="Times New Roman" w:cs="Times New Roman"/>
          <w:sz w:val="24"/>
          <w:szCs w:val="24"/>
        </w:rPr>
        <w:t>Histloc Fuels,</w:t>
      </w:r>
      <w:r w:rsidRPr="00D87A11">
        <w:rPr>
          <w:rFonts w:ascii="Times New Roman" w:hAnsi="Times New Roman" w:cs="Times New Roman"/>
          <w:sz w:val="24"/>
          <w:szCs w:val="24"/>
        </w:rPr>
        <w:t xml:space="preserve"> </w:t>
      </w:r>
      <w:r w:rsidRPr="00D87A11">
        <w:rPr>
          <w:rFonts w:ascii="Times New Roman" w:eastAsia="Calibri" w:hAnsi="Times New Roman" w:cs="Times New Roman"/>
          <w:sz w:val="24"/>
          <w:szCs w:val="24"/>
        </w:rPr>
        <w:t xml:space="preserve">Johnson Bar, </w:t>
      </w:r>
      <w:r w:rsidRPr="00D87A11">
        <w:rPr>
          <w:rFonts w:ascii="Times New Roman" w:hAnsi="Times New Roman" w:cs="Times New Roman"/>
          <w:sz w:val="24"/>
          <w:szCs w:val="24"/>
        </w:rPr>
        <w:t>Little Boulder</w:t>
      </w:r>
      <w:r w:rsidRPr="00D87A11">
        <w:rPr>
          <w:rFonts w:ascii="Times New Roman" w:eastAsia="Calibri" w:hAnsi="Times New Roman" w:cs="Times New Roman"/>
          <w:sz w:val="24"/>
          <w:szCs w:val="24"/>
        </w:rPr>
        <w:t xml:space="preserve">, </w:t>
      </w:r>
      <w:r w:rsidRPr="00D87A11">
        <w:rPr>
          <w:rFonts w:ascii="Times New Roman" w:hAnsi="Times New Roman" w:cs="Times New Roman"/>
          <w:sz w:val="24"/>
          <w:szCs w:val="24"/>
        </w:rPr>
        <w:t>Lolo Creek,</w:t>
      </w:r>
      <w:r w:rsidRPr="00D87A11">
        <w:rPr>
          <w:rFonts w:ascii="Times New Roman" w:eastAsia="Calibri" w:hAnsi="Times New Roman" w:cs="Times New Roman"/>
          <w:sz w:val="24"/>
          <w:szCs w:val="24"/>
        </w:rPr>
        <w:t xml:space="preserve"> Lowell WUI, Lower Orogrande, Newsome Fuels, Northside Powell, Orogrande Community, Parachute Fuel, Pete King, </w:t>
      </w:r>
      <w:r w:rsidRPr="00D87A11">
        <w:rPr>
          <w:rFonts w:ascii="Times New Roman" w:hAnsi="Times New Roman" w:cs="Times New Roman"/>
          <w:sz w:val="24"/>
          <w:szCs w:val="24"/>
        </w:rPr>
        <w:t>Red Moose Divide</w:t>
      </w:r>
      <w:r w:rsidRPr="00D87A11">
        <w:rPr>
          <w:rFonts w:ascii="Times New Roman" w:eastAsia="Calibri" w:hAnsi="Times New Roman" w:cs="Times New Roman"/>
          <w:sz w:val="24"/>
          <w:szCs w:val="24"/>
        </w:rPr>
        <w:t xml:space="preserve">, </w:t>
      </w:r>
      <w:r w:rsidRPr="00D87A11">
        <w:rPr>
          <w:rFonts w:ascii="Times New Roman" w:hAnsi="Times New Roman" w:cs="Times New Roman"/>
          <w:sz w:val="24"/>
          <w:szCs w:val="24"/>
        </w:rPr>
        <w:t>Section 16,</w:t>
      </w:r>
      <w:r w:rsidRPr="00D87A11">
        <w:rPr>
          <w:rFonts w:ascii="Times New Roman" w:eastAsia="Calibri" w:hAnsi="Times New Roman" w:cs="Times New Roman"/>
          <w:sz w:val="24"/>
          <w:szCs w:val="24"/>
        </w:rPr>
        <w:t xml:space="preserve"> Smith Ridge, </w:t>
      </w:r>
      <w:r w:rsidRPr="00D87A11">
        <w:rPr>
          <w:rFonts w:ascii="Times New Roman" w:hAnsi="Times New Roman" w:cs="Times New Roman"/>
          <w:sz w:val="24"/>
          <w:szCs w:val="24"/>
        </w:rPr>
        <w:t>Stray Creek</w:t>
      </w:r>
      <w:r w:rsidRPr="00D87A11">
        <w:rPr>
          <w:rFonts w:ascii="Times New Roman" w:eastAsia="Calibri" w:hAnsi="Times New Roman" w:cs="Times New Roman"/>
          <w:sz w:val="24"/>
          <w:szCs w:val="24"/>
        </w:rPr>
        <w:t xml:space="preserve">, </w:t>
      </w:r>
      <w:r w:rsidRPr="00D87A11">
        <w:rPr>
          <w:rFonts w:ascii="Times New Roman" w:hAnsi="Times New Roman" w:cs="Times New Roman"/>
          <w:sz w:val="24"/>
          <w:szCs w:val="24"/>
        </w:rPr>
        <w:t xml:space="preserve">Tinker Bugs, White Pine, Windy Shingle and Longleaf. </w:t>
      </w:r>
    </w:p>
    <w:p w:rsidR="007A7644" w:rsidRPr="00D87A11" w:rsidRDefault="007A7644" w:rsidP="007A7644">
      <w:pPr>
        <w:spacing w:line="240" w:lineRule="auto"/>
        <w:rPr>
          <w:rFonts w:ascii="Times New Roman" w:hAnsi="Times New Roman" w:cs="Times New Roman"/>
          <w:sz w:val="24"/>
          <w:szCs w:val="24"/>
        </w:rPr>
      </w:pPr>
      <w:r w:rsidRPr="00D87A11">
        <w:rPr>
          <w:rFonts w:ascii="Times New Roman" w:hAnsi="Times New Roman" w:cs="Times New Roman"/>
          <w:sz w:val="24"/>
          <w:szCs w:val="24"/>
        </w:rPr>
        <w:t>Most of these proposed projects occur in low elevation areas preferred by the fisher and they will harvest and fragment thousands of acres of mature forest in an area that has been termed the roaded front.  These are the most productive areas on the Nez Perce-Clearwater National Forest and the best habitat for the fisher because of the productive forest types that are found there.  Sauder and Rachlow (2014) report that “in our study area, composition and configuration of roadless areas differed significantly from occupied fisher home ranges, suggesting that roadless areas might not be preferred fisher habitat in this region.  The abundance of open areas was significantly higher and the proximity of mature forest patches was significantly reduced in roadless landscapes relative to occupied fisher home ranges.  The Sauder and Rachlow (2014) study was conducted on the Nez Perce-Clearwater National Forest.</w:t>
      </w:r>
    </w:p>
    <w:p w:rsidR="005C022B" w:rsidRPr="00FE62D6" w:rsidRDefault="005C022B">
      <w:pPr>
        <w:rPr>
          <w:rFonts w:ascii="Times New Roman" w:hAnsi="Times New Roman" w:cs="Times New Roman"/>
          <w:sz w:val="24"/>
          <w:szCs w:val="24"/>
        </w:rPr>
      </w:pPr>
      <w:r>
        <w:rPr>
          <w:rFonts w:ascii="Times New Roman" w:hAnsi="Times New Roman" w:cs="Times New Roman"/>
          <w:b/>
          <w:bCs/>
          <w:sz w:val="24"/>
          <w:szCs w:val="24"/>
        </w:rPr>
        <w:br w:type="page"/>
      </w:r>
    </w:p>
    <w:p w:rsidR="000A6022" w:rsidRDefault="000A6022" w:rsidP="005C022B">
      <w:pPr>
        <w:pBdr>
          <w:top w:val="nil"/>
          <w:left w:val="nil"/>
          <w:bottom w:val="nil"/>
          <w:right w:val="nil"/>
          <w:between w:val="nil"/>
        </w:pBdr>
        <w:rPr>
          <w:rFonts w:ascii="Times New Roman" w:hAnsi="Times New Roman" w:cs="Times New Roman"/>
          <w:b/>
          <w:bCs/>
          <w:sz w:val="24"/>
          <w:szCs w:val="24"/>
        </w:rPr>
      </w:pPr>
      <w:r w:rsidRPr="00D87A11">
        <w:rPr>
          <w:rFonts w:ascii="Times New Roman" w:hAnsi="Times New Roman" w:cs="Times New Roman"/>
          <w:b/>
          <w:bCs/>
          <w:sz w:val="24"/>
          <w:szCs w:val="24"/>
        </w:rPr>
        <w:lastRenderedPageBreak/>
        <w:t xml:space="preserve">Figure 1 </w:t>
      </w:r>
      <w:r w:rsidR="005C022B">
        <w:rPr>
          <w:rFonts w:ascii="Times New Roman" w:hAnsi="Times New Roman" w:cs="Times New Roman"/>
          <w:b/>
          <w:bCs/>
          <w:sz w:val="24"/>
          <w:szCs w:val="24"/>
        </w:rPr>
        <w:t>–</w:t>
      </w:r>
      <w:r w:rsidRPr="00D87A11">
        <w:rPr>
          <w:rFonts w:ascii="Times New Roman" w:hAnsi="Times New Roman" w:cs="Times New Roman"/>
          <w:b/>
          <w:bCs/>
          <w:sz w:val="24"/>
          <w:szCs w:val="24"/>
        </w:rPr>
        <w:t xml:space="preserve"> </w:t>
      </w:r>
      <w:r w:rsidR="005C022B">
        <w:rPr>
          <w:rFonts w:ascii="Times New Roman" w:hAnsi="Times New Roman" w:cs="Times New Roman"/>
          <w:b/>
          <w:bCs/>
          <w:sz w:val="24"/>
          <w:szCs w:val="24"/>
        </w:rPr>
        <w:t>Twenty-Mile Project Area Drainages and</w:t>
      </w:r>
      <w:r w:rsidR="00337766">
        <w:rPr>
          <w:rFonts w:ascii="Times New Roman" w:hAnsi="Times New Roman" w:cs="Times New Roman"/>
          <w:b/>
          <w:bCs/>
          <w:sz w:val="24"/>
          <w:szCs w:val="24"/>
        </w:rPr>
        <w:t xml:space="preserve"> Proximity of the</w:t>
      </w:r>
      <w:r w:rsidR="005C022B">
        <w:rPr>
          <w:rFonts w:ascii="Times New Roman" w:hAnsi="Times New Roman" w:cs="Times New Roman"/>
          <w:b/>
          <w:bCs/>
          <w:sz w:val="24"/>
          <w:szCs w:val="24"/>
        </w:rPr>
        <w:t xml:space="preserve"> Hungry Ridge Project </w:t>
      </w:r>
    </w:p>
    <w:p w:rsidR="005C022B" w:rsidRDefault="005C022B" w:rsidP="005C022B">
      <w:pPr>
        <w:pBdr>
          <w:top w:val="nil"/>
          <w:left w:val="nil"/>
          <w:bottom w:val="nil"/>
          <w:right w:val="nil"/>
          <w:between w:val="nil"/>
        </w:pBd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extent cx="5620534" cy="4201111"/>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a:extLst>
                        <a:ext uri="{28A0092B-C50C-407E-A947-70E740481C1C}">
                          <a14:useLocalDpi xmlns:a14="http://schemas.microsoft.com/office/drawing/2010/main" val="0"/>
                        </a:ext>
                      </a:extLst>
                    </a:blip>
                    <a:stretch>
                      <a:fillRect/>
                    </a:stretch>
                  </pic:blipFill>
                  <pic:spPr>
                    <a:xfrm>
                      <a:off x="0" y="0"/>
                      <a:ext cx="5620534" cy="4201111"/>
                    </a:xfrm>
                    <a:prstGeom prst="rect">
                      <a:avLst/>
                    </a:prstGeom>
                  </pic:spPr>
                </pic:pic>
              </a:graphicData>
            </a:graphic>
          </wp:inline>
        </w:drawing>
      </w:r>
    </w:p>
    <w:p w:rsidR="005C022B" w:rsidRPr="005C022B" w:rsidRDefault="005C022B" w:rsidP="005C022B">
      <w:pPr>
        <w:pBdr>
          <w:top w:val="nil"/>
          <w:left w:val="nil"/>
          <w:bottom w:val="nil"/>
          <w:right w:val="nil"/>
          <w:between w:val="nil"/>
        </w:pBdr>
        <w:rPr>
          <w:rFonts w:ascii="Times New Roman" w:hAnsi="Times New Roman" w:cs="Times New Roman"/>
          <w:b/>
          <w:bCs/>
          <w:sz w:val="24"/>
          <w:szCs w:val="24"/>
        </w:rPr>
      </w:pPr>
    </w:p>
    <w:p w:rsidR="00FE62D6" w:rsidRDefault="00FE62D6">
      <w:pPr>
        <w:rPr>
          <w:rFonts w:ascii="Times New Roman" w:hAnsi="Times New Roman" w:cs="Times New Roman"/>
          <w:b/>
          <w:bCs/>
          <w:sz w:val="24"/>
          <w:szCs w:val="24"/>
        </w:rPr>
      </w:pPr>
      <w:r>
        <w:rPr>
          <w:rFonts w:ascii="Times New Roman" w:hAnsi="Times New Roman" w:cs="Times New Roman"/>
          <w:b/>
          <w:bCs/>
          <w:sz w:val="24"/>
          <w:szCs w:val="24"/>
        </w:rPr>
        <w:br w:type="page"/>
      </w:r>
    </w:p>
    <w:p w:rsidR="000A6022" w:rsidRPr="00D87A11" w:rsidRDefault="000A6022" w:rsidP="002D34DA">
      <w:pPr>
        <w:pBdr>
          <w:top w:val="nil"/>
          <w:left w:val="nil"/>
          <w:bottom w:val="nil"/>
          <w:right w:val="nil"/>
          <w:between w:val="nil"/>
        </w:pBdr>
        <w:rPr>
          <w:rFonts w:ascii="Times New Roman" w:hAnsi="Times New Roman" w:cs="Times New Roman"/>
          <w:b/>
          <w:bCs/>
          <w:sz w:val="24"/>
          <w:szCs w:val="24"/>
        </w:rPr>
      </w:pPr>
      <w:r w:rsidRPr="00D87A11">
        <w:rPr>
          <w:rFonts w:ascii="Times New Roman" w:hAnsi="Times New Roman" w:cs="Times New Roman"/>
          <w:b/>
          <w:bCs/>
          <w:sz w:val="24"/>
          <w:szCs w:val="24"/>
        </w:rPr>
        <w:lastRenderedPageBreak/>
        <w:t xml:space="preserve">Table </w:t>
      </w:r>
      <w:r w:rsidR="00744708" w:rsidRPr="00D87A11">
        <w:rPr>
          <w:rFonts w:ascii="Times New Roman" w:hAnsi="Times New Roman" w:cs="Times New Roman"/>
          <w:b/>
          <w:bCs/>
          <w:sz w:val="24"/>
          <w:szCs w:val="24"/>
        </w:rPr>
        <w:t>1</w:t>
      </w:r>
      <w:r w:rsidRPr="00D87A11">
        <w:rPr>
          <w:rFonts w:ascii="Times New Roman" w:hAnsi="Times New Roman" w:cs="Times New Roman"/>
          <w:b/>
          <w:bCs/>
          <w:sz w:val="24"/>
          <w:szCs w:val="24"/>
        </w:rPr>
        <w:t xml:space="preserve"> – Current </w:t>
      </w:r>
      <w:r w:rsidR="00D016FB">
        <w:rPr>
          <w:rFonts w:ascii="Times New Roman" w:hAnsi="Times New Roman" w:cs="Times New Roman"/>
          <w:b/>
          <w:bCs/>
          <w:sz w:val="24"/>
          <w:szCs w:val="24"/>
        </w:rPr>
        <w:t>and Expected H</w:t>
      </w:r>
      <w:r w:rsidRPr="00D87A11">
        <w:rPr>
          <w:rFonts w:ascii="Times New Roman" w:hAnsi="Times New Roman" w:cs="Times New Roman"/>
          <w:b/>
          <w:bCs/>
          <w:sz w:val="24"/>
          <w:szCs w:val="24"/>
        </w:rPr>
        <w:t xml:space="preserve">abitat </w:t>
      </w:r>
      <w:r w:rsidR="00D016FB">
        <w:rPr>
          <w:rFonts w:ascii="Times New Roman" w:hAnsi="Times New Roman" w:cs="Times New Roman"/>
          <w:b/>
          <w:bCs/>
          <w:sz w:val="24"/>
          <w:szCs w:val="24"/>
        </w:rPr>
        <w:t>C</w:t>
      </w:r>
      <w:r w:rsidRPr="00D87A11">
        <w:rPr>
          <w:rFonts w:ascii="Times New Roman" w:hAnsi="Times New Roman" w:cs="Times New Roman"/>
          <w:b/>
          <w:bCs/>
          <w:sz w:val="24"/>
          <w:szCs w:val="24"/>
        </w:rPr>
        <w:t xml:space="preserve">onditions </w:t>
      </w:r>
      <w:r w:rsidR="00D016FB">
        <w:rPr>
          <w:rFonts w:ascii="Times New Roman" w:hAnsi="Times New Roman" w:cs="Times New Roman"/>
          <w:b/>
          <w:bCs/>
          <w:sz w:val="24"/>
          <w:szCs w:val="24"/>
        </w:rPr>
        <w:t xml:space="preserve">After Project </w:t>
      </w:r>
      <w:r w:rsidR="00566C05">
        <w:rPr>
          <w:rFonts w:ascii="Times New Roman" w:hAnsi="Times New Roman" w:cs="Times New Roman"/>
          <w:b/>
          <w:bCs/>
          <w:sz w:val="24"/>
          <w:szCs w:val="24"/>
        </w:rPr>
        <w:t>I</w:t>
      </w:r>
      <w:r w:rsidR="00D016FB">
        <w:rPr>
          <w:rFonts w:ascii="Times New Roman" w:hAnsi="Times New Roman" w:cs="Times New Roman"/>
          <w:b/>
          <w:bCs/>
          <w:sz w:val="24"/>
          <w:szCs w:val="24"/>
        </w:rPr>
        <w:t xml:space="preserve">mplementation </w:t>
      </w:r>
      <w:r w:rsidRPr="00D87A11">
        <w:rPr>
          <w:rFonts w:ascii="Times New Roman" w:hAnsi="Times New Roman" w:cs="Times New Roman"/>
          <w:b/>
          <w:bCs/>
          <w:sz w:val="24"/>
          <w:szCs w:val="24"/>
        </w:rPr>
        <w:t>based on 2011 Vmap Data (USDA Forest Service</w:t>
      </w:r>
      <w:r w:rsidR="001169CB">
        <w:rPr>
          <w:rFonts w:ascii="Times New Roman" w:hAnsi="Times New Roman" w:cs="Times New Roman"/>
          <w:b/>
          <w:bCs/>
          <w:sz w:val="24"/>
          <w:szCs w:val="24"/>
        </w:rPr>
        <w:t xml:space="preserve"> 2021</w:t>
      </w:r>
      <w:r w:rsidRPr="00D87A11">
        <w:rPr>
          <w:rFonts w:ascii="Times New Roman" w:hAnsi="Times New Roman" w:cs="Times New Roman"/>
          <w:b/>
          <w:bCs/>
          <w:sz w:val="24"/>
          <w:szCs w:val="24"/>
        </w:rPr>
        <w:t>) and the recommendations of Sauder and Rachlow (2014).</w:t>
      </w:r>
    </w:p>
    <w:tbl>
      <w:tblPr>
        <w:tblStyle w:val="PlainTable1"/>
        <w:tblW w:w="0" w:type="auto"/>
        <w:tblLook w:val="04A0" w:firstRow="1" w:lastRow="0" w:firstColumn="1" w:lastColumn="0" w:noHBand="0" w:noVBand="1"/>
      </w:tblPr>
      <w:tblGrid>
        <w:gridCol w:w="2351"/>
        <w:gridCol w:w="990"/>
        <w:gridCol w:w="1101"/>
        <w:gridCol w:w="1088"/>
        <w:gridCol w:w="978"/>
        <w:gridCol w:w="915"/>
        <w:gridCol w:w="994"/>
        <w:gridCol w:w="933"/>
      </w:tblGrid>
      <w:tr w:rsidR="00E50306" w:rsidRPr="00D87A11" w:rsidTr="001468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50306" w:rsidRPr="00D87A11" w:rsidRDefault="00E50306" w:rsidP="005F2F4F">
            <w:r w:rsidRPr="00D87A11">
              <w:t>Fisher AA</w:t>
            </w:r>
          </w:p>
        </w:tc>
        <w:tc>
          <w:tcPr>
            <w:tcW w:w="0" w:type="auto"/>
          </w:tcPr>
          <w:p w:rsidR="00E50306" w:rsidRPr="00D87A11" w:rsidRDefault="00E50306" w:rsidP="005F2F4F">
            <w:pPr>
              <w:cnfStyle w:val="100000000000" w:firstRow="1" w:lastRow="0" w:firstColumn="0" w:lastColumn="0" w:oddVBand="0" w:evenVBand="0" w:oddHBand="0" w:evenHBand="0" w:firstRowFirstColumn="0" w:firstRowLastColumn="0" w:lastRowFirstColumn="0" w:lastRowLastColumn="0"/>
            </w:pPr>
            <w:r w:rsidRPr="00D87A11">
              <w:t>Area (Ac)</w:t>
            </w:r>
          </w:p>
        </w:tc>
        <w:tc>
          <w:tcPr>
            <w:tcW w:w="0" w:type="auto"/>
          </w:tcPr>
          <w:p w:rsidR="00E50306" w:rsidRPr="00D87A11" w:rsidRDefault="00E50306" w:rsidP="005F2F4F">
            <w:pPr>
              <w:cnfStyle w:val="100000000000" w:firstRow="1" w:lastRow="0" w:firstColumn="0" w:lastColumn="0" w:oddVBand="0" w:evenVBand="0" w:oddHBand="0" w:evenHBand="0" w:firstRowFirstColumn="0" w:firstRowLastColumn="0" w:lastRowFirstColumn="0" w:lastRowLastColumn="0"/>
            </w:pPr>
            <w:r w:rsidRPr="00D87A11">
              <w:t>Mature Ac</w:t>
            </w:r>
          </w:p>
        </w:tc>
        <w:tc>
          <w:tcPr>
            <w:tcW w:w="0" w:type="auto"/>
          </w:tcPr>
          <w:p w:rsidR="00E50306" w:rsidRPr="00D87A11" w:rsidRDefault="00E50306" w:rsidP="005F2F4F">
            <w:pPr>
              <w:cnfStyle w:val="100000000000" w:firstRow="1" w:lastRow="0" w:firstColumn="0" w:lastColumn="0" w:oddVBand="0" w:evenVBand="0" w:oddHBand="0" w:evenHBand="0" w:firstRowFirstColumn="0" w:firstRowLastColumn="0" w:lastRowFirstColumn="0" w:lastRowLastColumn="0"/>
            </w:pPr>
            <w:r w:rsidRPr="00D87A11">
              <w:t xml:space="preserve">Mature </w:t>
            </w:r>
            <w:r>
              <w:t>%</w:t>
            </w:r>
          </w:p>
        </w:tc>
        <w:tc>
          <w:tcPr>
            <w:tcW w:w="0" w:type="auto"/>
          </w:tcPr>
          <w:p w:rsidR="00E50306" w:rsidRPr="00D87A11" w:rsidRDefault="00E50306" w:rsidP="005F2F4F">
            <w:pPr>
              <w:cnfStyle w:val="100000000000" w:firstRow="1" w:lastRow="0" w:firstColumn="0" w:lastColumn="0" w:oddVBand="0" w:evenVBand="0" w:oddHBand="0" w:evenHBand="0" w:firstRowFirstColumn="0" w:firstRowLastColumn="0" w:lastRowFirstColumn="0" w:lastRowLastColumn="0"/>
            </w:pPr>
            <w:r w:rsidRPr="00D87A11">
              <w:t>Open (Ac)</w:t>
            </w:r>
          </w:p>
        </w:tc>
        <w:tc>
          <w:tcPr>
            <w:tcW w:w="0" w:type="auto"/>
          </w:tcPr>
          <w:p w:rsidR="00E50306" w:rsidRPr="00D87A11" w:rsidRDefault="00E50306" w:rsidP="005F2F4F">
            <w:pPr>
              <w:cnfStyle w:val="100000000000" w:firstRow="1" w:lastRow="0" w:firstColumn="0" w:lastColumn="0" w:oddVBand="0" w:evenVBand="0" w:oddHBand="0" w:evenHBand="0" w:firstRowFirstColumn="0" w:firstRowLastColumn="0" w:lastRowFirstColumn="0" w:lastRowLastColumn="0"/>
            </w:pPr>
            <w:r w:rsidRPr="00D87A11">
              <w:t xml:space="preserve">Open </w:t>
            </w:r>
            <w:r>
              <w:t>%</w:t>
            </w:r>
          </w:p>
        </w:tc>
        <w:tc>
          <w:tcPr>
            <w:tcW w:w="0" w:type="auto"/>
          </w:tcPr>
          <w:p w:rsidR="00E50306" w:rsidRPr="00D87A11" w:rsidRDefault="00E50306" w:rsidP="005F2F4F">
            <w:pPr>
              <w:cnfStyle w:val="100000000000" w:firstRow="1" w:lastRow="0" w:firstColumn="0" w:lastColumn="0" w:oddVBand="0" w:evenVBand="0" w:oddHBand="0" w:evenHBand="0" w:firstRowFirstColumn="0" w:firstRowLastColumn="0" w:lastRowFirstColumn="0" w:lastRowLastColumn="0"/>
            </w:pPr>
            <w:r>
              <w:t>Other (Ac)</w:t>
            </w:r>
          </w:p>
        </w:tc>
        <w:tc>
          <w:tcPr>
            <w:tcW w:w="0" w:type="auto"/>
          </w:tcPr>
          <w:p w:rsidR="00E50306" w:rsidRPr="00D87A11" w:rsidRDefault="00E50306" w:rsidP="005F2F4F">
            <w:pPr>
              <w:cnfStyle w:val="100000000000" w:firstRow="1" w:lastRow="0" w:firstColumn="0" w:lastColumn="0" w:oddVBand="0" w:evenVBand="0" w:oddHBand="0" w:evenHBand="0" w:firstRowFirstColumn="0" w:firstRowLastColumn="0" w:lastRowFirstColumn="0" w:lastRowLastColumn="0"/>
            </w:pPr>
            <w:r>
              <w:t>Other %</w:t>
            </w:r>
          </w:p>
        </w:tc>
      </w:tr>
      <w:tr w:rsidR="00E50306" w:rsidRPr="00D87A11" w:rsidTr="00146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50306" w:rsidRPr="00D87A11" w:rsidRDefault="00E50306" w:rsidP="005F2F4F">
            <w:bookmarkStart w:id="1" w:name="_Hlk82084195"/>
            <w:r>
              <w:t>Project Area (Exist Cond</w:t>
            </w:r>
            <w:r w:rsidR="00614A8C">
              <w:t>ition</w:t>
            </w:r>
            <w:r>
              <w:t>)</w:t>
            </w:r>
          </w:p>
        </w:tc>
        <w:tc>
          <w:tcPr>
            <w:tcW w:w="0" w:type="auto"/>
          </w:tcPr>
          <w:p w:rsidR="00E50306" w:rsidRPr="00D87A11" w:rsidRDefault="00E50306" w:rsidP="005F2F4F">
            <w:pPr>
              <w:cnfStyle w:val="000000100000" w:firstRow="0" w:lastRow="0" w:firstColumn="0" w:lastColumn="0" w:oddVBand="0" w:evenVBand="0" w:oddHBand="1" w:evenHBand="0" w:firstRowFirstColumn="0" w:firstRowLastColumn="0" w:lastRowFirstColumn="0" w:lastRowLastColumn="0"/>
            </w:pPr>
            <w:r>
              <w:t>15,105</w:t>
            </w:r>
          </w:p>
        </w:tc>
        <w:tc>
          <w:tcPr>
            <w:tcW w:w="0" w:type="auto"/>
          </w:tcPr>
          <w:p w:rsidR="00E50306" w:rsidRPr="00D87A11" w:rsidRDefault="00E50306" w:rsidP="005F2F4F">
            <w:pPr>
              <w:cnfStyle w:val="000000100000" w:firstRow="0" w:lastRow="0" w:firstColumn="0" w:lastColumn="0" w:oddVBand="0" w:evenVBand="0" w:oddHBand="1" w:evenHBand="0" w:firstRowFirstColumn="0" w:firstRowLastColumn="0" w:lastRowFirstColumn="0" w:lastRowLastColumn="0"/>
            </w:pPr>
            <w:r>
              <w:t>8,325</w:t>
            </w:r>
          </w:p>
        </w:tc>
        <w:tc>
          <w:tcPr>
            <w:tcW w:w="0" w:type="auto"/>
          </w:tcPr>
          <w:p w:rsidR="00E50306" w:rsidRPr="00D87A11" w:rsidRDefault="003F51ED" w:rsidP="005F2F4F">
            <w:pPr>
              <w:cnfStyle w:val="000000100000" w:firstRow="0" w:lastRow="0" w:firstColumn="0" w:lastColumn="0" w:oddVBand="0" w:evenVBand="0" w:oddHBand="1" w:evenHBand="0" w:firstRowFirstColumn="0" w:firstRowLastColumn="0" w:lastRowFirstColumn="0" w:lastRowLastColumn="0"/>
            </w:pPr>
            <w:r>
              <w:t>55</w:t>
            </w:r>
            <w:r w:rsidR="00E50306" w:rsidRPr="00D87A11">
              <w:t>.</w:t>
            </w:r>
            <w:r>
              <w:t>1</w:t>
            </w:r>
            <w:r w:rsidR="00E50306" w:rsidRPr="00D87A11">
              <w:t>%</w:t>
            </w:r>
          </w:p>
        </w:tc>
        <w:tc>
          <w:tcPr>
            <w:tcW w:w="0" w:type="auto"/>
          </w:tcPr>
          <w:p w:rsidR="00E50306" w:rsidRPr="00D87A11" w:rsidRDefault="00E50306" w:rsidP="005F2F4F">
            <w:pPr>
              <w:cnfStyle w:val="000000100000" w:firstRow="0" w:lastRow="0" w:firstColumn="0" w:lastColumn="0" w:oddVBand="0" w:evenVBand="0" w:oddHBand="1" w:evenHBand="0" w:firstRowFirstColumn="0" w:firstRowLastColumn="0" w:lastRowFirstColumn="0" w:lastRowLastColumn="0"/>
            </w:pPr>
            <w:r>
              <w:t>296</w:t>
            </w:r>
          </w:p>
        </w:tc>
        <w:tc>
          <w:tcPr>
            <w:tcW w:w="0" w:type="auto"/>
          </w:tcPr>
          <w:p w:rsidR="00E50306" w:rsidRPr="00D87A11" w:rsidRDefault="003F51ED" w:rsidP="005F2F4F">
            <w:pPr>
              <w:cnfStyle w:val="000000100000" w:firstRow="0" w:lastRow="0" w:firstColumn="0" w:lastColumn="0" w:oddVBand="0" w:evenVBand="0" w:oddHBand="1" w:evenHBand="0" w:firstRowFirstColumn="0" w:firstRowLastColumn="0" w:lastRowFirstColumn="0" w:lastRowLastColumn="0"/>
            </w:pPr>
            <w:r>
              <w:t>2</w:t>
            </w:r>
            <w:r w:rsidR="00E50306" w:rsidRPr="00D87A11">
              <w:t>.</w:t>
            </w:r>
            <w:r>
              <w:t>0</w:t>
            </w:r>
            <w:r w:rsidR="00E50306" w:rsidRPr="00D87A11">
              <w:t>%</w:t>
            </w:r>
          </w:p>
        </w:tc>
        <w:tc>
          <w:tcPr>
            <w:tcW w:w="0" w:type="auto"/>
          </w:tcPr>
          <w:p w:rsidR="00E50306" w:rsidRPr="00D87A11" w:rsidRDefault="003774E1" w:rsidP="005F2F4F">
            <w:pPr>
              <w:cnfStyle w:val="000000100000" w:firstRow="0" w:lastRow="0" w:firstColumn="0" w:lastColumn="0" w:oddVBand="0" w:evenVBand="0" w:oddHBand="1" w:evenHBand="0" w:firstRowFirstColumn="0" w:firstRowLastColumn="0" w:lastRowFirstColumn="0" w:lastRowLastColumn="0"/>
            </w:pPr>
            <w:r>
              <w:t>6,484</w:t>
            </w:r>
          </w:p>
        </w:tc>
        <w:tc>
          <w:tcPr>
            <w:tcW w:w="0" w:type="auto"/>
          </w:tcPr>
          <w:p w:rsidR="00E50306" w:rsidRPr="00D87A11" w:rsidRDefault="00130901" w:rsidP="005F2F4F">
            <w:pPr>
              <w:cnfStyle w:val="000000100000" w:firstRow="0" w:lastRow="0" w:firstColumn="0" w:lastColumn="0" w:oddVBand="0" w:evenVBand="0" w:oddHBand="1" w:evenHBand="0" w:firstRowFirstColumn="0" w:firstRowLastColumn="0" w:lastRowFirstColumn="0" w:lastRowLastColumn="0"/>
            </w:pPr>
            <w:r>
              <w:t>42.9%</w:t>
            </w:r>
          </w:p>
        </w:tc>
      </w:tr>
      <w:tr w:rsidR="00E50306" w:rsidRPr="00D87A11" w:rsidTr="0014685D">
        <w:tc>
          <w:tcPr>
            <w:cnfStyle w:val="001000000000" w:firstRow="0" w:lastRow="0" w:firstColumn="1" w:lastColumn="0" w:oddVBand="0" w:evenVBand="0" w:oddHBand="0" w:evenHBand="0" w:firstRowFirstColumn="0" w:firstRowLastColumn="0" w:lastRowFirstColumn="0" w:lastRowLastColumn="0"/>
            <w:tcW w:w="0" w:type="auto"/>
          </w:tcPr>
          <w:p w:rsidR="00E50306" w:rsidRDefault="00E50306" w:rsidP="005F2F4F">
            <w:r>
              <w:t>Regen</w:t>
            </w:r>
          </w:p>
        </w:tc>
        <w:tc>
          <w:tcPr>
            <w:tcW w:w="0" w:type="auto"/>
          </w:tcPr>
          <w:p w:rsidR="00E50306" w:rsidRDefault="00E50306" w:rsidP="005F2F4F">
            <w:pPr>
              <w:cnfStyle w:val="000000000000" w:firstRow="0" w:lastRow="0" w:firstColumn="0" w:lastColumn="0" w:oddVBand="0" w:evenVBand="0" w:oddHBand="0" w:evenHBand="0" w:firstRowFirstColumn="0" w:firstRowLastColumn="0" w:lastRowFirstColumn="0" w:lastRowLastColumn="0"/>
            </w:pPr>
          </w:p>
        </w:tc>
        <w:tc>
          <w:tcPr>
            <w:tcW w:w="0" w:type="auto"/>
          </w:tcPr>
          <w:p w:rsidR="00E50306" w:rsidRDefault="00E50306" w:rsidP="005F2F4F">
            <w:pPr>
              <w:cnfStyle w:val="000000000000" w:firstRow="0" w:lastRow="0" w:firstColumn="0" w:lastColumn="0" w:oddVBand="0" w:evenVBand="0" w:oddHBand="0" w:evenHBand="0" w:firstRowFirstColumn="0" w:firstRowLastColumn="0" w:lastRowFirstColumn="0" w:lastRowLastColumn="0"/>
            </w:pPr>
            <w:r>
              <w:t>-1822</w:t>
            </w:r>
          </w:p>
        </w:tc>
        <w:tc>
          <w:tcPr>
            <w:tcW w:w="0" w:type="auto"/>
          </w:tcPr>
          <w:p w:rsidR="00E50306" w:rsidRPr="00D87A11" w:rsidRDefault="00E50306" w:rsidP="005F2F4F">
            <w:pPr>
              <w:cnfStyle w:val="000000000000" w:firstRow="0" w:lastRow="0" w:firstColumn="0" w:lastColumn="0" w:oddVBand="0" w:evenVBand="0" w:oddHBand="0" w:evenHBand="0" w:firstRowFirstColumn="0" w:firstRowLastColumn="0" w:lastRowFirstColumn="0" w:lastRowLastColumn="0"/>
            </w:pPr>
          </w:p>
        </w:tc>
        <w:tc>
          <w:tcPr>
            <w:tcW w:w="0" w:type="auto"/>
          </w:tcPr>
          <w:p w:rsidR="00E50306" w:rsidRDefault="003F51ED" w:rsidP="005F2F4F">
            <w:pPr>
              <w:cnfStyle w:val="000000000000" w:firstRow="0" w:lastRow="0" w:firstColumn="0" w:lastColumn="0" w:oddVBand="0" w:evenVBand="0" w:oddHBand="0" w:evenHBand="0" w:firstRowFirstColumn="0" w:firstRowLastColumn="0" w:lastRowFirstColumn="0" w:lastRowLastColumn="0"/>
            </w:pPr>
            <w:r>
              <w:t>+1822</w:t>
            </w:r>
          </w:p>
        </w:tc>
        <w:tc>
          <w:tcPr>
            <w:tcW w:w="0" w:type="auto"/>
          </w:tcPr>
          <w:p w:rsidR="00E50306" w:rsidRPr="00D87A11" w:rsidRDefault="00E50306" w:rsidP="005F2F4F">
            <w:pPr>
              <w:cnfStyle w:val="000000000000" w:firstRow="0" w:lastRow="0" w:firstColumn="0" w:lastColumn="0" w:oddVBand="0" w:evenVBand="0" w:oddHBand="0" w:evenHBand="0" w:firstRowFirstColumn="0" w:firstRowLastColumn="0" w:lastRowFirstColumn="0" w:lastRowLastColumn="0"/>
            </w:pPr>
          </w:p>
        </w:tc>
        <w:tc>
          <w:tcPr>
            <w:tcW w:w="0" w:type="auto"/>
          </w:tcPr>
          <w:p w:rsidR="00E50306" w:rsidRPr="00D87A11" w:rsidRDefault="00E50306" w:rsidP="005F2F4F">
            <w:pPr>
              <w:cnfStyle w:val="000000000000" w:firstRow="0" w:lastRow="0" w:firstColumn="0" w:lastColumn="0" w:oddVBand="0" w:evenVBand="0" w:oddHBand="0" w:evenHBand="0" w:firstRowFirstColumn="0" w:firstRowLastColumn="0" w:lastRowFirstColumn="0" w:lastRowLastColumn="0"/>
            </w:pPr>
          </w:p>
        </w:tc>
        <w:tc>
          <w:tcPr>
            <w:tcW w:w="0" w:type="auto"/>
          </w:tcPr>
          <w:p w:rsidR="00E50306" w:rsidRPr="00D87A11" w:rsidRDefault="00E50306" w:rsidP="005F2F4F">
            <w:pPr>
              <w:cnfStyle w:val="000000000000" w:firstRow="0" w:lastRow="0" w:firstColumn="0" w:lastColumn="0" w:oddVBand="0" w:evenVBand="0" w:oddHBand="0" w:evenHBand="0" w:firstRowFirstColumn="0" w:firstRowLastColumn="0" w:lastRowFirstColumn="0" w:lastRowLastColumn="0"/>
            </w:pPr>
          </w:p>
        </w:tc>
      </w:tr>
      <w:tr w:rsidR="00E50306" w:rsidRPr="00D87A11" w:rsidTr="00146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50306" w:rsidRDefault="00E50306" w:rsidP="005F2F4F">
            <w:r>
              <w:t>Intermediate</w:t>
            </w:r>
          </w:p>
        </w:tc>
        <w:tc>
          <w:tcPr>
            <w:tcW w:w="0" w:type="auto"/>
          </w:tcPr>
          <w:p w:rsidR="00E50306" w:rsidRDefault="00E50306" w:rsidP="005F2F4F">
            <w:pPr>
              <w:cnfStyle w:val="000000100000" w:firstRow="0" w:lastRow="0" w:firstColumn="0" w:lastColumn="0" w:oddVBand="0" w:evenVBand="0" w:oddHBand="1" w:evenHBand="0" w:firstRowFirstColumn="0" w:firstRowLastColumn="0" w:lastRowFirstColumn="0" w:lastRowLastColumn="0"/>
            </w:pPr>
          </w:p>
        </w:tc>
        <w:tc>
          <w:tcPr>
            <w:tcW w:w="0" w:type="auto"/>
          </w:tcPr>
          <w:p w:rsidR="00E50306" w:rsidRDefault="003F51ED" w:rsidP="005F2F4F">
            <w:pPr>
              <w:cnfStyle w:val="000000100000" w:firstRow="0" w:lastRow="0" w:firstColumn="0" w:lastColumn="0" w:oddVBand="0" w:evenVBand="0" w:oddHBand="1" w:evenHBand="0" w:firstRowFirstColumn="0" w:firstRowLastColumn="0" w:lastRowFirstColumn="0" w:lastRowLastColumn="0"/>
            </w:pPr>
            <w:r>
              <w:t>-387</w:t>
            </w:r>
          </w:p>
        </w:tc>
        <w:tc>
          <w:tcPr>
            <w:tcW w:w="0" w:type="auto"/>
          </w:tcPr>
          <w:p w:rsidR="00E50306" w:rsidRPr="00D87A11" w:rsidRDefault="00E50306" w:rsidP="005F2F4F">
            <w:pPr>
              <w:cnfStyle w:val="000000100000" w:firstRow="0" w:lastRow="0" w:firstColumn="0" w:lastColumn="0" w:oddVBand="0" w:evenVBand="0" w:oddHBand="1" w:evenHBand="0" w:firstRowFirstColumn="0" w:firstRowLastColumn="0" w:lastRowFirstColumn="0" w:lastRowLastColumn="0"/>
            </w:pPr>
          </w:p>
        </w:tc>
        <w:tc>
          <w:tcPr>
            <w:tcW w:w="0" w:type="auto"/>
          </w:tcPr>
          <w:p w:rsidR="00E50306" w:rsidRDefault="00E50306" w:rsidP="005F2F4F">
            <w:pPr>
              <w:cnfStyle w:val="000000100000" w:firstRow="0" w:lastRow="0" w:firstColumn="0" w:lastColumn="0" w:oddVBand="0" w:evenVBand="0" w:oddHBand="1" w:evenHBand="0" w:firstRowFirstColumn="0" w:firstRowLastColumn="0" w:lastRowFirstColumn="0" w:lastRowLastColumn="0"/>
            </w:pPr>
          </w:p>
        </w:tc>
        <w:tc>
          <w:tcPr>
            <w:tcW w:w="0" w:type="auto"/>
          </w:tcPr>
          <w:p w:rsidR="00E50306" w:rsidRPr="00D87A11" w:rsidRDefault="00E50306" w:rsidP="005F2F4F">
            <w:pPr>
              <w:cnfStyle w:val="000000100000" w:firstRow="0" w:lastRow="0" w:firstColumn="0" w:lastColumn="0" w:oddVBand="0" w:evenVBand="0" w:oddHBand="1" w:evenHBand="0" w:firstRowFirstColumn="0" w:firstRowLastColumn="0" w:lastRowFirstColumn="0" w:lastRowLastColumn="0"/>
            </w:pPr>
          </w:p>
        </w:tc>
        <w:tc>
          <w:tcPr>
            <w:tcW w:w="0" w:type="auto"/>
          </w:tcPr>
          <w:p w:rsidR="00E50306" w:rsidRPr="00D87A11" w:rsidRDefault="003F51ED" w:rsidP="005F2F4F">
            <w:pPr>
              <w:cnfStyle w:val="000000100000" w:firstRow="0" w:lastRow="0" w:firstColumn="0" w:lastColumn="0" w:oddVBand="0" w:evenVBand="0" w:oddHBand="1" w:evenHBand="0" w:firstRowFirstColumn="0" w:firstRowLastColumn="0" w:lastRowFirstColumn="0" w:lastRowLastColumn="0"/>
            </w:pPr>
            <w:r>
              <w:t>+387</w:t>
            </w:r>
          </w:p>
        </w:tc>
        <w:tc>
          <w:tcPr>
            <w:tcW w:w="0" w:type="auto"/>
          </w:tcPr>
          <w:p w:rsidR="00E50306" w:rsidRPr="00D87A11" w:rsidRDefault="00E50306" w:rsidP="005F2F4F">
            <w:pPr>
              <w:cnfStyle w:val="000000100000" w:firstRow="0" w:lastRow="0" w:firstColumn="0" w:lastColumn="0" w:oddVBand="0" w:evenVBand="0" w:oddHBand="1" w:evenHBand="0" w:firstRowFirstColumn="0" w:firstRowLastColumn="0" w:lastRowFirstColumn="0" w:lastRowLastColumn="0"/>
            </w:pPr>
          </w:p>
        </w:tc>
      </w:tr>
      <w:tr w:rsidR="00E50306" w:rsidRPr="00D87A11" w:rsidTr="0014685D">
        <w:tc>
          <w:tcPr>
            <w:cnfStyle w:val="001000000000" w:firstRow="0" w:lastRow="0" w:firstColumn="1" w:lastColumn="0" w:oddVBand="0" w:evenVBand="0" w:oddHBand="0" w:evenHBand="0" w:firstRowFirstColumn="0" w:firstRowLastColumn="0" w:lastRowFirstColumn="0" w:lastRowLastColumn="0"/>
            <w:tcW w:w="0" w:type="auto"/>
          </w:tcPr>
          <w:p w:rsidR="00E50306" w:rsidRDefault="00E50306" w:rsidP="005F2F4F">
            <w:r>
              <w:t>Prescribed Fire</w:t>
            </w:r>
          </w:p>
        </w:tc>
        <w:tc>
          <w:tcPr>
            <w:tcW w:w="0" w:type="auto"/>
          </w:tcPr>
          <w:p w:rsidR="00E50306" w:rsidRDefault="00E50306" w:rsidP="005F2F4F">
            <w:pPr>
              <w:cnfStyle w:val="000000000000" w:firstRow="0" w:lastRow="0" w:firstColumn="0" w:lastColumn="0" w:oddVBand="0" w:evenVBand="0" w:oddHBand="0" w:evenHBand="0" w:firstRowFirstColumn="0" w:firstRowLastColumn="0" w:lastRowFirstColumn="0" w:lastRowLastColumn="0"/>
            </w:pPr>
          </w:p>
        </w:tc>
        <w:tc>
          <w:tcPr>
            <w:tcW w:w="0" w:type="auto"/>
          </w:tcPr>
          <w:p w:rsidR="00E50306" w:rsidRDefault="003F51ED" w:rsidP="005F2F4F">
            <w:pPr>
              <w:cnfStyle w:val="000000000000" w:firstRow="0" w:lastRow="0" w:firstColumn="0" w:lastColumn="0" w:oddVBand="0" w:evenVBand="0" w:oddHBand="0" w:evenHBand="0" w:firstRowFirstColumn="0" w:firstRowLastColumn="0" w:lastRowFirstColumn="0" w:lastRowLastColumn="0"/>
            </w:pPr>
            <w:r>
              <w:t>-680</w:t>
            </w:r>
          </w:p>
        </w:tc>
        <w:tc>
          <w:tcPr>
            <w:tcW w:w="0" w:type="auto"/>
          </w:tcPr>
          <w:p w:rsidR="00E50306" w:rsidRPr="00D87A11" w:rsidRDefault="00E50306" w:rsidP="005F2F4F">
            <w:pPr>
              <w:cnfStyle w:val="000000000000" w:firstRow="0" w:lastRow="0" w:firstColumn="0" w:lastColumn="0" w:oddVBand="0" w:evenVBand="0" w:oddHBand="0" w:evenHBand="0" w:firstRowFirstColumn="0" w:firstRowLastColumn="0" w:lastRowFirstColumn="0" w:lastRowLastColumn="0"/>
            </w:pPr>
          </w:p>
        </w:tc>
        <w:tc>
          <w:tcPr>
            <w:tcW w:w="0" w:type="auto"/>
          </w:tcPr>
          <w:p w:rsidR="00E50306" w:rsidRDefault="003774E1" w:rsidP="005F2F4F">
            <w:pPr>
              <w:cnfStyle w:val="000000000000" w:firstRow="0" w:lastRow="0" w:firstColumn="0" w:lastColumn="0" w:oddVBand="0" w:evenVBand="0" w:oddHBand="0" w:evenHBand="0" w:firstRowFirstColumn="0" w:firstRowLastColumn="0" w:lastRowFirstColumn="0" w:lastRowLastColumn="0"/>
            </w:pPr>
            <w:r>
              <w:t>+680</w:t>
            </w:r>
          </w:p>
        </w:tc>
        <w:tc>
          <w:tcPr>
            <w:tcW w:w="0" w:type="auto"/>
          </w:tcPr>
          <w:p w:rsidR="00E50306" w:rsidRPr="00D87A11" w:rsidRDefault="00E50306" w:rsidP="005F2F4F">
            <w:pPr>
              <w:cnfStyle w:val="000000000000" w:firstRow="0" w:lastRow="0" w:firstColumn="0" w:lastColumn="0" w:oddVBand="0" w:evenVBand="0" w:oddHBand="0" w:evenHBand="0" w:firstRowFirstColumn="0" w:firstRowLastColumn="0" w:lastRowFirstColumn="0" w:lastRowLastColumn="0"/>
            </w:pPr>
          </w:p>
        </w:tc>
        <w:tc>
          <w:tcPr>
            <w:tcW w:w="0" w:type="auto"/>
          </w:tcPr>
          <w:p w:rsidR="00E50306" w:rsidRPr="00D87A11" w:rsidRDefault="00E50306" w:rsidP="005F2F4F">
            <w:pPr>
              <w:cnfStyle w:val="000000000000" w:firstRow="0" w:lastRow="0" w:firstColumn="0" w:lastColumn="0" w:oddVBand="0" w:evenVBand="0" w:oddHBand="0" w:evenHBand="0" w:firstRowFirstColumn="0" w:firstRowLastColumn="0" w:lastRowFirstColumn="0" w:lastRowLastColumn="0"/>
            </w:pPr>
          </w:p>
        </w:tc>
        <w:tc>
          <w:tcPr>
            <w:tcW w:w="0" w:type="auto"/>
          </w:tcPr>
          <w:p w:rsidR="00E50306" w:rsidRPr="00D87A11" w:rsidRDefault="00E50306" w:rsidP="005F2F4F">
            <w:pPr>
              <w:cnfStyle w:val="000000000000" w:firstRow="0" w:lastRow="0" w:firstColumn="0" w:lastColumn="0" w:oddVBand="0" w:evenVBand="0" w:oddHBand="0" w:evenHBand="0" w:firstRowFirstColumn="0" w:firstRowLastColumn="0" w:lastRowFirstColumn="0" w:lastRowLastColumn="0"/>
            </w:pPr>
          </w:p>
        </w:tc>
      </w:tr>
      <w:tr w:rsidR="003F51ED" w:rsidRPr="00D87A11" w:rsidTr="00146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F51ED" w:rsidRDefault="003F51ED" w:rsidP="005F2F4F">
            <w:r>
              <w:t>After Project Implementation</w:t>
            </w:r>
          </w:p>
        </w:tc>
        <w:tc>
          <w:tcPr>
            <w:tcW w:w="0" w:type="auto"/>
          </w:tcPr>
          <w:p w:rsidR="003F51ED" w:rsidRDefault="003F51ED" w:rsidP="005F2F4F">
            <w:pPr>
              <w:cnfStyle w:val="000000100000" w:firstRow="0" w:lastRow="0" w:firstColumn="0" w:lastColumn="0" w:oddVBand="0" w:evenVBand="0" w:oddHBand="1" w:evenHBand="0" w:firstRowFirstColumn="0" w:firstRowLastColumn="0" w:lastRowFirstColumn="0" w:lastRowLastColumn="0"/>
            </w:pPr>
          </w:p>
        </w:tc>
        <w:tc>
          <w:tcPr>
            <w:tcW w:w="0" w:type="auto"/>
          </w:tcPr>
          <w:p w:rsidR="003F51ED" w:rsidRDefault="003F51ED" w:rsidP="005F2F4F">
            <w:pPr>
              <w:cnfStyle w:val="000000100000" w:firstRow="0" w:lastRow="0" w:firstColumn="0" w:lastColumn="0" w:oddVBand="0" w:evenVBand="0" w:oddHBand="1" w:evenHBand="0" w:firstRowFirstColumn="0" w:firstRowLastColumn="0" w:lastRowFirstColumn="0" w:lastRowLastColumn="0"/>
            </w:pPr>
            <w:r>
              <w:t>5436</w:t>
            </w:r>
          </w:p>
        </w:tc>
        <w:tc>
          <w:tcPr>
            <w:tcW w:w="0" w:type="auto"/>
          </w:tcPr>
          <w:p w:rsidR="003F51ED" w:rsidRPr="00D87A11" w:rsidRDefault="00130901" w:rsidP="005F2F4F">
            <w:pPr>
              <w:cnfStyle w:val="000000100000" w:firstRow="0" w:lastRow="0" w:firstColumn="0" w:lastColumn="0" w:oddVBand="0" w:evenVBand="0" w:oddHBand="1" w:evenHBand="0" w:firstRowFirstColumn="0" w:firstRowLastColumn="0" w:lastRowFirstColumn="0" w:lastRowLastColumn="0"/>
            </w:pPr>
            <w:r>
              <w:t>36.0%</w:t>
            </w:r>
          </w:p>
        </w:tc>
        <w:tc>
          <w:tcPr>
            <w:tcW w:w="0" w:type="auto"/>
          </w:tcPr>
          <w:p w:rsidR="003F51ED" w:rsidRDefault="003774E1" w:rsidP="005F2F4F">
            <w:pPr>
              <w:cnfStyle w:val="000000100000" w:firstRow="0" w:lastRow="0" w:firstColumn="0" w:lastColumn="0" w:oddVBand="0" w:evenVBand="0" w:oddHBand="1" w:evenHBand="0" w:firstRowFirstColumn="0" w:firstRowLastColumn="0" w:lastRowFirstColumn="0" w:lastRowLastColumn="0"/>
            </w:pPr>
            <w:r>
              <w:t>2</w:t>
            </w:r>
            <w:r w:rsidR="00337766">
              <w:t>,798</w:t>
            </w:r>
          </w:p>
        </w:tc>
        <w:tc>
          <w:tcPr>
            <w:tcW w:w="0" w:type="auto"/>
          </w:tcPr>
          <w:p w:rsidR="003F51ED" w:rsidRPr="00D87A11" w:rsidRDefault="00130901" w:rsidP="005F2F4F">
            <w:pPr>
              <w:cnfStyle w:val="000000100000" w:firstRow="0" w:lastRow="0" w:firstColumn="0" w:lastColumn="0" w:oddVBand="0" w:evenVBand="0" w:oddHBand="1" w:evenHBand="0" w:firstRowFirstColumn="0" w:firstRowLastColumn="0" w:lastRowFirstColumn="0" w:lastRowLastColumn="0"/>
            </w:pPr>
            <w:r>
              <w:t>1</w:t>
            </w:r>
            <w:r w:rsidR="00337766">
              <w:t>8.5</w:t>
            </w:r>
            <w:r>
              <w:t>%</w:t>
            </w:r>
          </w:p>
        </w:tc>
        <w:tc>
          <w:tcPr>
            <w:tcW w:w="0" w:type="auto"/>
          </w:tcPr>
          <w:p w:rsidR="003F51ED" w:rsidRPr="00D87A11" w:rsidRDefault="00130901" w:rsidP="005F2F4F">
            <w:pPr>
              <w:cnfStyle w:val="000000100000" w:firstRow="0" w:lastRow="0" w:firstColumn="0" w:lastColumn="0" w:oddVBand="0" w:evenVBand="0" w:oddHBand="1" w:evenHBand="0" w:firstRowFirstColumn="0" w:firstRowLastColumn="0" w:lastRowFirstColumn="0" w:lastRowLastColumn="0"/>
            </w:pPr>
            <w:r>
              <w:t>6871</w:t>
            </w:r>
          </w:p>
        </w:tc>
        <w:tc>
          <w:tcPr>
            <w:tcW w:w="0" w:type="auto"/>
          </w:tcPr>
          <w:p w:rsidR="003F51ED" w:rsidRPr="00D87A11" w:rsidRDefault="00337766" w:rsidP="005F2F4F">
            <w:pPr>
              <w:cnfStyle w:val="000000100000" w:firstRow="0" w:lastRow="0" w:firstColumn="0" w:lastColumn="0" w:oddVBand="0" w:evenVBand="0" w:oddHBand="1" w:evenHBand="0" w:firstRowFirstColumn="0" w:firstRowLastColumn="0" w:lastRowFirstColumn="0" w:lastRowLastColumn="0"/>
            </w:pPr>
            <w:r>
              <w:t>45.5%</w:t>
            </w:r>
          </w:p>
        </w:tc>
      </w:tr>
    </w:tbl>
    <w:bookmarkEnd w:id="1"/>
    <w:p w:rsidR="00FE62D6" w:rsidRDefault="00FE62D6" w:rsidP="000A6022">
      <w:pPr>
        <w:rPr>
          <w:rFonts w:ascii="Times New Roman" w:hAnsi="Times New Roman" w:cs="Times New Roman"/>
          <w:b/>
          <w:bCs/>
          <w:sz w:val="24"/>
          <w:szCs w:val="24"/>
        </w:rPr>
      </w:pPr>
      <w:r>
        <w:rPr>
          <w:rFonts w:ascii="Times New Roman" w:hAnsi="Times New Roman" w:cs="Times New Roman"/>
          <w:b/>
          <w:bCs/>
          <w:sz w:val="24"/>
          <w:szCs w:val="24"/>
        </w:rPr>
        <w:t xml:space="preserve"> </w:t>
      </w:r>
    </w:p>
    <w:p w:rsidR="000A6022" w:rsidRPr="00FE62D6" w:rsidRDefault="000A6022" w:rsidP="000A6022">
      <w:pPr>
        <w:rPr>
          <w:rFonts w:ascii="Times New Roman" w:hAnsi="Times New Roman" w:cs="Times New Roman"/>
          <w:b/>
          <w:bCs/>
          <w:sz w:val="24"/>
          <w:szCs w:val="24"/>
        </w:rPr>
      </w:pPr>
      <w:r w:rsidRPr="00D87A11">
        <w:rPr>
          <w:rFonts w:ascii="Times New Roman" w:hAnsi="Times New Roman" w:cs="Times New Roman"/>
          <w:sz w:val="24"/>
          <w:szCs w:val="24"/>
        </w:rPr>
        <w:t xml:space="preserve">1 Analysis assumes regeneration harvest units will be converted from mature forest to openings following timber harvest.  </w:t>
      </w:r>
    </w:p>
    <w:p w:rsidR="00FE62D6" w:rsidRDefault="000A6022" w:rsidP="000A6022">
      <w:pPr>
        <w:rPr>
          <w:rFonts w:ascii="Times New Roman" w:hAnsi="Times New Roman" w:cs="Times New Roman"/>
          <w:sz w:val="24"/>
          <w:szCs w:val="24"/>
        </w:rPr>
      </w:pPr>
      <w:r w:rsidRPr="00D87A11">
        <w:rPr>
          <w:rFonts w:ascii="Times New Roman" w:hAnsi="Times New Roman" w:cs="Times New Roman"/>
          <w:sz w:val="24"/>
          <w:szCs w:val="24"/>
        </w:rPr>
        <w:t xml:space="preserve">2 – Analysis assumes commercial thinning units will be converted from mature forests (Vmap Size Class 15-19”) to the “other” category following logging. </w:t>
      </w:r>
    </w:p>
    <w:p w:rsidR="000A6022" w:rsidRPr="00D87A11" w:rsidRDefault="000A6022" w:rsidP="002D34DA">
      <w:pPr>
        <w:spacing w:line="240" w:lineRule="auto"/>
        <w:rPr>
          <w:rFonts w:ascii="Times New Roman" w:hAnsi="Times New Roman" w:cs="Times New Roman"/>
          <w:sz w:val="24"/>
          <w:szCs w:val="24"/>
        </w:rPr>
      </w:pPr>
      <w:r w:rsidRPr="00D87A11">
        <w:rPr>
          <w:rFonts w:ascii="Times New Roman" w:hAnsi="Times New Roman" w:cs="Times New Roman"/>
          <w:sz w:val="24"/>
          <w:szCs w:val="24"/>
        </w:rPr>
        <w:t xml:space="preserve">The results of the analysis suggest </w:t>
      </w:r>
      <w:r w:rsidR="007F7C76">
        <w:rPr>
          <w:rFonts w:ascii="Times New Roman" w:hAnsi="Times New Roman" w:cs="Times New Roman"/>
          <w:sz w:val="24"/>
          <w:szCs w:val="24"/>
        </w:rPr>
        <w:t xml:space="preserve">that </w:t>
      </w:r>
      <w:r w:rsidRPr="00D87A11">
        <w:rPr>
          <w:rFonts w:ascii="Times New Roman" w:hAnsi="Times New Roman" w:cs="Times New Roman"/>
          <w:sz w:val="24"/>
          <w:szCs w:val="24"/>
        </w:rPr>
        <w:t xml:space="preserve">the </w:t>
      </w:r>
      <w:r w:rsidR="007F7C76">
        <w:rPr>
          <w:rFonts w:ascii="Times New Roman" w:hAnsi="Times New Roman" w:cs="Times New Roman"/>
          <w:sz w:val="24"/>
          <w:szCs w:val="24"/>
        </w:rPr>
        <w:t>potential for occupancy of the project area will be reduced from the existing situation of near 100% of potential to 20% of potential a</w:t>
      </w:r>
      <w:r w:rsidRPr="00D87A11">
        <w:rPr>
          <w:rFonts w:ascii="Times New Roman" w:hAnsi="Times New Roman" w:cs="Times New Roman"/>
          <w:sz w:val="24"/>
          <w:szCs w:val="24"/>
        </w:rPr>
        <w:t>ccording to Sauder and Rachlow (2014</w:t>
      </w:r>
      <w:r w:rsidR="007F7C76">
        <w:rPr>
          <w:rFonts w:ascii="Times New Roman" w:hAnsi="Times New Roman" w:cs="Times New Roman"/>
          <w:sz w:val="24"/>
          <w:szCs w:val="24"/>
        </w:rPr>
        <w:t>).  This is largely the result of the creation of s</w:t>
      </w:r>
      <w:r w:rsidR="007F7C76" w:rsidRPr="00D87A11">
        <w:rPr>
          <w:rFonts w:ascii="Times New Roman" w:hAnsi="Times New Roman" w:cs="Times New Roman"/>
          <w:sz w:val="24"/>
          <w:szCs w:val="24"/>
        </w:rPr>
        <w:t>everal new openings will be created as a result of regeneration harvest and th</w:t>
      </w:r>
      <w:r w:rsidR="007F7C76">
        <w:rPr>
          <w:rFonts w:ascii="Times New Roman" w:hAnsi="Times New Roman" w:cs="Times New Roman"/>
          <w:sz w:val="24"/>
          <w:szCs w:val="24"/>
        </w:rPr>
        <w:t xml:space="preserve">e </w:t>
      </w:r>
      <w:r w:rsidR="007F7C76" w:rsidRPr="00D87A11">
        <w:rPr>
          <w:rFonts w:ascii="Times New Roman" w:hAnsi="Times New Roman" w:cs="Times New Roman"/>
          <w:sz w:val="24"/>
          <w:szCs w:val="24"/>
        </w:rPr>
        <w:t xml:space="preserve">corresponding loss of mature forest (Table </w:t>
      </w:r>
      <w:r w:rsidR="007F7C76">
        <w:rPr>
          <w:rFonts w:ascii="Times New Roman" w:hAnsi="Times New Roman" w:cs="Times New Roman"/>
          <w:sz w:val="24"/>
          <w:szCs w:val="24"/>
        </w:rPr>
        <w:t>1)</w:t>
      </w:r>
      <w:r w:rsidR="007F7C76" w:rsidRPr="00D87A11">
        <w:rPr>
          <w:rFonts w:ascii="Times New Roman" w:hAnsi="Times New Roman" w:cs="Times New Roman"/>
          <w:sz w:val="24"/>
          <w:szCs w:val="24"/>
        </w:rPr>
        <w:t xml:space="preserve">.  </w:t>
      </w:r>
    </w:p>
    <w:p w:rsidR="000A6022" w:rsidRPr="00D87A11" w:rsidRDefault="000A6022" w:rsidP="00772699">
      <w:pPr>
        <w:spacing w:line="240" w:lineRule="auto"/>
        <w:rPr>
          <w:rFonts w:ascii="Times New Roman" w:hAnsi="Times New Roman" w:cs="Times New Roman"/>
          <w:sz w:val="24"/>
          <w:szCs w:val="24"/>
        </w:rPr>
      </w:pPr>
      <w:r w:rsidRPr="00D87A11">
        <w:rPr>
          <w:rFonts w:ascii="Times New Roman" w:hAnsi="Times New Roman" w:cs="Times New Roman"/>
          <w:sz w:val="24"/>
          <w:szCs w:val="24"/>
        </w:rPr>
        <w:t xml:space="preserve">Canopy closure would be significantly reduced </w:t>
      </w:r>
      <w:r w:rsidR="00772699" w:rsidRPr="00D87A11">
        <w:rPr>
          <w:rFonts w:ascii="Times New Roman" w:hAnsi="Times New Roman" w:cs="Times New Roman"/>
          <w:sz w:val="24"/>
          <w:szCs w:val="24"/>
        </w:rPr>
        <w:t xml:space="preserve">in intermediate harvest units </w:t>
      </w:r>
      <w:r w:rsidRPr="00D87A11">
        <w:rPr>
          <w:rFonts w:ascii="Times New Roman" w:hAnsi="Times New Roman" w:cs="Times New Roman"/>
          <w:sz w:val="24"/>
          <w:szCs w:val="24"/>
        </w:rPr>
        <w:t xml:space="preserve">and such treatments will remove most stand components that are important to the fisher and other species that utilize older forests.  Although a few snags and decadent trees may be retained according to </w:t>
      </w:r>
      <w:r w:rsidR="00252D8E">
        <w:rPr>
          <w:rFonts w:ascii="Times New Roman" w:hAnsi="Times New Roman" w:cs="Times New Roman"/>
          <w:sz w:val="24"/>
          <w:szCs w:val="24"/>
        </w:rPr>
        <w:t>the Proposed Action</w:t>
      </w:r>
      <w:r w:rsidRPr="00D87A11">
        <w:rPr>
          <w:rFonts w:ascii="Times New Roman" w:hAnsi="Times New Roman" w:cs="Times New Roman"/>
          <w:sz w:val="24"/>
          <w:szCs w:val="24"/>
        </w:rPr>
        <w:t xml:space="preserve">, trees with evidence of decay, disease or insect infestation will generally be removed.  Downed logs, snags and understory plants will also be removed and skid trails or cable corridors will be required for logging.  These treatments will cause additional impacts to canopy closure and understory vegetation.  </w:t>
      </w:r>
    </w:p>
    <w:p w:rsidR="00252D8E" w:rsidRDefault="000A6022" w:rsidP="00056D41">
      <w:pPr>
        <w:spacing w:line="240" w:lineRule="auto"/>
        <w:rPr>
          <w:rFonts w:ascii="Times New Roman" w:hAnsi="Times New Roman" w:cs="Times New Roman"/>
          <w:sz w:val="24"/>
          <w:szCs w:val="24"/>
        </w:rPr>
      </w:pPr>
      <w:r w:rsidRPr="00D87A11">
        <w:rPr>
          <w:rFonts w:ascii="Times New Roman" w:hAnsi="Times New Roman" w:cs="Times New Roman"/>
          <w:sz w:val="24"/>
          <w:szCs w:val="24"/>
        </w:rPr>
        <w:t>Use of stands that have been sanitized by intermediate harvest treatments by fishers and other species that utilize older forests is debatable, and I am unaware of any scientific study that suggests that fishers or other species that utilize older forests are attracted to stands that have been treated in this manner.  I therefore considered such stands as moving from the mature forest to the “other” category in my analysis.  Thus, the analysis predicts significant declines in the mature forest component and suggests that fishers would likely avoid such intensively</w:t>
      </w:r>
      <w:r w:rsidR="00252D8E">
        <w:rPr>
          <w:rFonts w:ascii="Times New Roman" w:hAnsi="Times New Roman" w:cs="Times New Roman"/>
          <w:sz w:val="24"/>
          <w:szCs w:val="24"/>
        </w:rPr>
        <w:t xml:space="preserve"> </w:t>
      </w:r>
      <w:r w:rsidRPr="00D87A11">
        <w:rPr>
          <w:rFonts w:ascii="Times New Roman" w:hAnsi="Times New Roman" w:cs="Times New Roman"/>
          <w:sz w:val="24"/>
          <w:szCs w:val="24"/>
        </w:rPr>
        <w:t>managed area</w:t>
      </w:r>
      <w:r w:rsidR="00252D8E">
        <w:rPr>
          <w:rFonts w:ascii="Times New Roman" w:hAnsi="Times New Roman" w:cs="Times New Roman"/>
          <w:sz w:val="24"/>
          <w:szCs w:val="24"/>
        </w:rPr>
        <w:t>s</w:t>
      </w:r>
      <w:r w:rsidRPr="00D87A11">
        <w:rPr>
          <w:rFonts w:ascii="Times New Roman" w:hAnsi="Times New Roman" w:cs="Times New Roman"/>
          <w:sz w:val="24"/>
          <w:szCs w:val="24"/>
        </w:rPr>
        <w:t>.  This is exactly what I would expect to occur as a result of implementation of th</w:t>
      </w:r>
      <w:r w:rsidR="00056D41" w:rsidRPr="00D87A11">
        <w:rPr>
          <w:rFonts w:ascii="Times New Roman" w:hAnsi="Times New Roman" w:cs="Times New Roman"/>
          <w:sz w:val="24"/>
          <w:szCs w:val="24"/>
        </w:rPr>
        <w:t>is</w:t>
      </w:r>
      <w:r w:rsidR="00252D8E">
        <w:rPr>
          <w:rFonts w:ascii="Times New Roman" w:hAnsi="Times New Roman" w:cs="Times New Roman"/>
          <w:sz w:val="24"/>
          <w:szCs w:val="24"/>
        </w:rPr>
        <w:t xml:space="preserve"> </w:t>
      </w:r>
      <w:r w:rsidRPr="00D87A11">
        <w:rPr>
          <w:rFonts w:ascii="Times New Roman" w:hAnsi="Times New Roman" w:cs="Times New Roman"/>
          <w:sz w:val="24"/>
          <w:szCs w:val="24"/>
        </w:rPr>
        <w:t>large project.</w:t>
      </w:r>
    </w:p>
    <w:p w:rsidR="000A6022" w:rsidRDefault="00252D8E" w:rsidP="00056D41">
      <w:pPr>
        <w:spacing w:line="240" w:lineRule="auto"/>
        <w:rPr>
          <w:rFonts w:ascii="Times New Roman" w:hAnsi="Times New Roman" w:cs="Times New Roman"/>
          <w:sz w:val="24"/>
          <w:szCs w:val="24"/>
        </w:rPr>
      </w:pPr>
      <w:r>
        <w:rPr>
          <w:rFonts w:ascii="Times New Roman" w:hAnsi="Times New Roman" w:cs="Times New Roman"/>
          <w:sz w:val="24"/>
          <w:szCs w:val="24"/>
        </w:rPr>
        <w:t>Likewise</w:t>
      </w:r>
      <w:r w:rsidR="00130E02">
        <w:rPr>
          <w:rFonts w:ascii="Times New Roman" w:hAnsi="Times New Roman" w:cs="Times New Roman"/>
          <w:sz w:val="24"/>
          <w:szCs w:val="24"/>
        </w:rPr>
        <w:t xml:space="preserve">, </w:t>
      </w:r>
      <w:r>
        <w:rPr>
          <w:rFonts w:ascii="Times New Roman" w:hAnsi="Times New Roman" w:cs="Times New Roman"/>
          <w:sz w:val="24"/>
          <w:szCs w:val="24"/>
        </w:rPr>
        <w:t>there is a large amount of proposed prescribed burning in the project area.  It is intended that burning would be conducted at low to moderate intensities</w:t>
      </w:r>
      <w:r w:rsidR="00130E02">
        <w:rPr>
          <w:rFonts w:ascii="Times New Roman" w:hAnsi="Times New Roman" w:cs="Times New Roman"/>
          <w:sz w:val="24"/>
          <w:szCs w:val="24"/>
        </w:rPr>
        <w:t>, but some removal of overstory trees is anticipated.  I have conservatively estimated that this activity will create openings in 10% of the prescribed burn units.</w:t>
      </w:r>
    </w:p>
    <w:p w:rsidR="006064B7" w:rsidRDefault="006064B7" w:rsidP="00056D41">
      <w:pPr>
        <w:spacing w:line="240" w:lineRule="auto"/>
        <w:rPr>
          <w:rFonts w:ascii="Times New Roman" w:hAnsi="Times New Roman" w:cs="Times New Roman"/>
          <w:sz w:val="24"/>
          <w:szCs w:val="24"/>
        </w:rPr>
      </w:pPr>
    </w:p>
    <w:p w:rsidR="006064B7" w:rsidRDefault="006064B7" w:rsidP="00056D41">
      <w:pPr>
        <w:spacing w:line="240" w:lineRule="auto"/>
        <w:rPr>
          <w:rFonts w:ascii="Times New Roman" w:hAnsi="Times New Roman" w:cs="Times New Roman"/>
          <w:sz w:val="24"/>
          <w:szCs w:val="24"/>
        </w:rPr>
      </w:pPr>
      <w:r>
        <w:rPr>
          <w:rFonts w:ascii="Times New Roman" w:hAnsi="Times New Roman" w:cs="Times New Roman"/>
          <w:sz w:val="24"/>
          <w:szCs w:val="24"/>
        </w:rPr>
        <w:t>In summary, the proposed project is highly likely to displace fisher use from the project area and is similar to what I have seen on many other projects on the Nez Perce Clearwater NF.  The nearby Hungry Ridge proposal reduces the potential for occupancy to 10% in three potential home ranges found in that project area.  Similar impacts can be expected in the End of the World Green Horse, Red Seigel and Limber Pine project areas where there are similar levels of timber harvest in conjunction with large regeneration units like we see in this proposal.   Although, I don’t recall that any of th</w:t>
      </w:r>
      <w:r w:rsidR="00A115CF">
        <w:rPr>
          <w:rFonts w:ascii="Times New Roman" w:hAnsi="Times New Roman" w:cs="Times New Roman"/>
          <w:sz w:val="24"/>
          <w:szCs w:val="24"/>
        </w:rPr>
        <w:t>e</w:t>
      </w:r>
      <w:r>
        <w:rPr>
          <w:rFonts w:ascii="Times New Roman" w:hAnsi="Times New Roman" w:cs="Times New Roman"/>
          <w:sz w:val="24"/>
          <w:szCs w:val="24"/>
        </w:rPr>
        <w:t>se other projects had a 642-acre regeneration harvest unit.</w:t>
      </w:r>
    </w:p>
    <w:p w:rsidR="00641D24" w:rsidRDefault="00641D24" w:rsidP="00056D41">
      <w:pPr>
        <w:spacing w:line="240" w:lineRule="auto"/>
        <w:rPr>
          <w:rFonts w:ascii="Times New Roman" w:hAnsi="Times New Roman" w:cs="Times New Roman"/>
          <w:b/>
          <w:bCs/>
          <w:sz w:val="24"/>
          <w:szCs w:val="24"/>
        </w:rPr>
      </w:pPr>
      <w:r w:rsidRPr="00641D24">
        <w:rPr>
          <w:rFonts w:ascii="Times New Roman" w:hAnsi="Times New Roman" w:cs="Times New Roman"/>
          <w:b/>
          <w:bCs/>
          <w:sz w:val="24"/>
          <w:szCs w:val="24"/>
        </w:rPr>
        <w:t>Goshawk</w:t>
      </w:r>
    </w:p>
    <w:p w:rsidR="00641D24" w:rsidRPr="003B62AA" w:rsidRDefault="00641D24" w:rsidP="00056D41">
      <w:pPr>
        <w:spacing w:line="240" w:lineRule="auto"/>
        <w:rPr>
          <w:rFonts w:ascii="Times New Roman" w:hAnsi="Times New Roman" w:cs="Times New Roman"/>
          <w:sz w:val="24"/>
          <w:szCs w:val="24"/>
        </w:rPr>
      </w:pPr>
      <w:r w:rsidRPr="003B62AA">
        <w:rPr>
          <w:rFonts w:ascii="Times New Roman" w:hAnsi="Times New Roman" w:cs="Times New Roman"/>
          <w:sz w:val="24"/>
          <w:szCs w:val="24"/>
        </w:rPr>
        <w:t>The Proposed Action document suggests there are 11,247-acres of potential goshawk habitat in the project area, but makes no mention of how this acreage was determined.  Of this acreage 4,563</w:t>
      </w:r>
      <w:r w:rsidR="009D1EE3" w:rsidRPr="003B62AA">
        <w:rPr>
          <w:rFonts w:ascii="Times New Roman" w:hAnsi="Times New Roman" w:cs="Times New Roman"/>
          <w:sz w:val="24"/>
          <w:szCs w:val="24"/>
        </w:rPr>
        <w:t>-</w:t>
      </w:r>
      <w:r w:rsidRPr="003B62AA">
        <w:rPr>
          <w:rFonts w:ascii="Times New Roman" w:hAnsi="Times New Roman" w:cs="Times New Roman"/>
          <w:sz w:val="24"/>
          <w:szCs w:val="24"/>
        </w:rPr>
        <w:t xml:space="preserve">acres is considered nesting </w:t>
      </w:r>
      <w:r w:rsidR="009D1EE3" w:rsidRPr="003B62AA">
        <w:rPr>
          <w:rFonts w:ascii="Times New Roman" w:hAnsi="Times New Roman" w:cs="Times New Roman"/>
          <w:sz w:val="24"/>
          <w:szCs w:val="24"/>
        </w:rPr>
        <w:t xml:space="preserve">and remaining acreage is considered foraging habitat.  Once again, there is no information regarding the differences in nesting and foraging habitat. Timber harvest is expected to impact 17% of the foraging habitat and 25% of the nesting habitat.  Prescribed fire treatment areas overlap with an additional 44% of the foraging habitat and </w:t>
      </w:r>
      <w:r w:rsidR="00316B94" w:rsidRPr="003B62AA">
        <w:rPr>
          <w:rFonts w:ascii="Times New Roman" w:hAnsi="Times New Roman" w:cs="Times New Roman"/>
          <w:sz w:val="24"/>
          <w:szCs w:val="24"/>
        </w:rPr>
        <w:t xml:space="preserve">56% of the nesting habitat.  </w:t>
      </w:r>
    </w:p>
    <w:p w:rsidR="00F72692" w:rsidRDefault="00316B94" w:rsidP="00056D41">
      <w:pPr>
        <w:spacing w:line="240" w:lineRule="auto"/>
        <w:rPr>
          <w:rFonts w:ascii="Times New Roman" w:hAnsi="Times New Roman" w:cs="Times New Roman"/>
          <w:sz w:val="24"/>
          <w:szCs w:val="24"/>
          <w:shd w:val="clear" w:color="auto" w:fill="FFFFFF"/>
        </w:rPr>
      </w:pPr>
      <w:r w:rsidRPr="003B62AA">
        <w:rPr>
          <w:rFonts w:ascii="Times New Roman" w:hAnsi="Times New Roman" w:cs="Times New Roman"/>
          <w:sz w:val="24"/>
          <w:szCs w:val="24"/>
        </w:rPr>
        <w:t>Despite the fact that their own analysis suggests that 61% of the foraging habitat and 81% of the nesting habitat could be impacted by the proposal, the analysis still concludes</w:t>
      </w:r>
      <w:r w:rsidR="003B62AA">
        <w:rPr>
          <w:rFonts w:ascii="Times New Roman" w:hAnsi="Times New Roman" w:cs="Times New Roman"/>
          <w:sz w:val="24"/>
          <w:szCs w:val="24"/>
        </w:rPr>
        <w:t xml:space="preserve"> “</w:t>
      </w:r>
      <w:r w:rsidRPr="003B62AA">
        <w:rPr>
          <w:rFonts w:ascii="Times New Roman" w:hAnsi="Times New Roman" w:cs="Times New Roman"/>
          <w:sz w:val="24"/>
          <w:szCs w:val="24"/>
        </w:rPr>
        <w:t>that</w:t>
      </w:r>
      <w:r w:rsidR="003B62AA" w:rsidRPr="003B62AA">
        <w:rPr>
          <w:rFonts w:ascii="Times New Roman" w:hAnsi="Times New Roman" w:cs="Times New Roman"/>
          <w:sz w:val="24"/>
          <w:szCs w:val="24"/>
        </w:rPr>
        <w:t xml:space="preserve"> G</w:t>
      </w:r>
      <w:r w:rsidR="003B62AA" w:rsidRPr="003B62AA">
        <w:rPr>
          <w:rFonts w:ascii="Times New Roman" w:hAnsi="Times New Roman" w:cs="Times New Roman"/>
          <w:sz w:val="24"/>
          <w:szCs w:val="24"/>
          <w:shd w:val="clear" w:color="auto" w:fill="FFFFFF"/>
        </w:rPr>
        <w:t>oshawk habitat</w:t>
      </w:r>
      <w:r w:rsidR="003B62AA">
        <w:rPr>
          <w:rFonts w:ascii="Times New Roman" w:hAnsi="Times New Roman" w:cs="Times New Roman"/>
          <w:sz w:val="24"/>
          <w:szCs w:val="24"/>
          <w:shd w:val="clear" w:color="auto" w:fill="FFFFFF"/>
        </w:rPr>
        <w:t xml:space="preserve"> </w:t>
      </w:r>
      <w:r w:rsidR="003B62AA" w:rsidRPr="003B62AA">
        <w:rPr>
          <w:rFonts w:ascii="Times New Roman" w:hAnsi="Times New Roman" w:cs="Times New Roman"/>
          <w:sz w:val="24"/>
          <w:szCs w:val="24"/>
          <w:shd w:val="clear" w:color="auto" w:fill="FFFFFF"/>
        </w:rPr>
        <w:t>is well-represented and available throughout the Forests and exceeds that required to maintain viable</w:t>
      </w:r>
      <w:r w:rsidR="003B62AA">
        <w:rPr>
          <w:rFonts w:ascii="Times New Roman" w:hAnsi="Times New Roman" w:cs="Times New Roman"/>
          <w:sz w:val="24"/>
          <w:szCs w:val="24"/>
        </w:rPr>
        <w:t xml:space="preserve"> </w:t>
      </w:r>
      <w:r w:rsidR="003B62AA" w:rsidRPr="003B62AA">
        <w:rPr>
          <w:rFonts w:ascii="Times New Roman" w:hAnsi="Times New Roman" w:cs="Times New Roman"/>
          <w:sz w:val="24"/>
          <w:szCs w:val="24"/>
          <w:shd w:val="clear" w:color="auto" w:fill="FFFFFF"/>
        </w:rPr>
        <w:t>populations at the regional scale.</w:t>
      </w:r>
      <w:r w:rsidR="003B62AA">
        <w:rPr>
          <w:rFonts w:ascii="Times New Roman" w:hAnsi="Times New Roman" w:cs="Times New Roman"/>
          <w:sz w:val="24"/>
          <w:szCs w:val="24"/>
          <w:shd w:val="clear" w:color="auto" w:fill="FFFFFF"/>
        </w:rPr>
        <w:t xml:space="preserve">”  </w:t>
      </w:r>
      <w:r w:rsidR="00F72692">
        <w:rPr>
          <w:rFonts w:ascii="Times New Roman" w:hAnsi="Times New Roman" w:cs="Times New Roman"/>
          <w:sz w:val="24"/>
          <w:szCs w:val="24"/>
          <w:shd w:val="clear" w:color="auto" w:fill="FFFFFF"/>
        </w:rPr>
        <w:t xml:space="preserve"> The analysis does not make any projections of direct impacts to goshawk habitat from all of this activity.</w:t>
      </w:r>
    </w:p>
    <w:p w:rsidR="003603F0" w:rsidRDefault="003603F0" w:rsidP="003603F0">
      <w:pPr>
        <w:spacing w:before="240"/>
        <w:contextualSpacing/>
        <w:rPr>
          <w:rFonts w:ascii="Times New Roman" w:eastAsia="Times New Roman" w:hAnsi="Times New Roman" w:cs="Times New Roman"/>
          <w:sz w:val="24"/>
          <w:szCs w:val="24"/>
        </w:rPr>
      </w:pPr>
      <w:r w:rsidRPr="00AD498E">
        <w:rPr>
          <w:rFonts w:ascii="Times New Roman" w:eastAsia="Times New Roman" w:hAnsi="Times New Roman" w:cs="Times New Roman"/>
          <w:sz w:val="24"/>
          <w:szCs w:val="24"/>
        </w:rPr>
        <w:t xml:space="preserve">Moser (2007) reported that, </w:t>
      </w:r>
      <w:r>
        <w:rPr>
          <w:rFonts w:ascii="Times New Roman" w:eastAsia="Times New Roman" w:hAnsi="Times New Roman" w:cs="Times New Roman"/>
          <w:sz w:val="24"/>
          <w:szCs w:val="24"/>
        </w:rPr>
        <w:t xml:space="preserve">goshawk </w:t>
      </w:r>
      <w:r w:rsidRPr="00AD498E">
        <w:rPr>
          <w:rFonts w:ascii="Times New Roman" w:eastAsia="Times New Roman" w:hAnsi="Times New Roman" w:cs="Times New Roman"/>
          <w:sz w:val="24"/>
          <w:szCs w:val="24"/>
        </w:rPr>
        <w:t xml:space="preserve">home range size was largely related to nesting success and the amount of opening and mature forest within the home range.  Birds of both sexes with successful nests generally had smaller home ranges.  For example, males with successful nests (N=4) had an average home range size of 9,657 acres and females with successful nests (N=8) had an average home range size of 6,600 acres.   Male bird home range size increased as the number of openings in the home range increased and the amount of closed canopy forest decreased, but these factors weren’t significant for female birds. Studies in other areas have reported smaller home range sizes in the neighborhood of 5,000-6,000 acres (Reynolds et al. 1992).  </w:t>
      </w:r>
    </w:p>
    <w:p w:rsidR="003603F0" w:rsidRPr="00AE2FED" w:rsidRDefault="003603F0" w:rsidP="003603F0">
      <w:pPr>
        <w:spacing w:before="240"/>
        <w:contextualSpacing/>
        <w:rPr>
          <w:rFonts w:ascii="Times New Roman" w:eastAsia="Times New Roman" w:hAnsi="Times New Roman" w:cs="Times New Roman"/>
          <w:sz w:val="24"/>
          <w:szCs w:val="24"/>
        </w:rPr>
      </w:pPr>
    </w:p>
    <w:p w:rsidR="003603F0" w:rsidRPr="00AD498E" w:rsidRDefault="003603F0" w:rsidP="003603F0">
      <w:pPr>
        <w:rPr>
          <w:rFonts w:ascii="Times New Roman" w:hAnsi="Times New Roman" w:cs="Times New Roman"/>
          <w:sz w:val="24"/>
          <w:szCs w:val="24"/>
        </w:rPr>
      </w:pPr>
      <w:r>
        <w:rPr>
          <w:rFonts w:ascii="Times New Roman" w:hAnsi="Times New Roman" w:cs="Times New Roman"/>
          <w:sz w:val="24"/>
          <w:szCs w:val="24"/>
        </w:rPr>
        <w:t xml:space="preserve">Thus the 15,105-acre project area would likely support two to three female goshawk home ranges.   Based on the amount of potential habitat identified in their report, the proposed action document </w:t>
      </w:r>
      <w:r w:rsidR="000E6620">
        <w:rPr>
          <w:rFonts w:ascii="Times New Roman" w:hAnsi="Times New Roman" w:cs="Times New Roman"/>
          <w:sz w:val="24"/>
          <w:szCs w:val="24"/>
        </w:rPr>
        <w:t xml:space="preserve">does </w:t>
      </w:r>
      <w:r>
        <w:rPr>
          <w:rFonts w:ascii="Times New Roman" w:hAnsi="Times New Roman" w:cs="Times New Roman"/>
          <w:sz w:val="24"/>
          <w:szCs w:val="24"/>
        </w:rPr>
        <w:t xml:space="preserve">suggest that the project area would support two female home ranges.  There is no mention why </w:t>
      </w:r>
      <w:r w:rsidR="00280DC7">
        <w:rPr>
          <w:rFonts w:ascii="Times New Roman" w:hAnsi="Times New Roman" w:cs="Times New Roman"/>
          <w:sz w:val="24"/>
          <w:szCs w:val="24"/>
        </w:rPr>
        <w:t>3,858-acres of the project area is considered unsuitable in this heavily forested landscape.</w:t>
      </w:r>
    </w:p>
    <w:p w:rsidR="003603F0" w:rsidRDefault="003603F0" w:rsidP="003603F0">
      <w:pPr>
        <w:spacing w:before="240"/>
        <w:contextualSpacing/>
        <w:rPr>
          <w:rFonts w:ascii="Times New Roman" w:eastAsia="Times New Roman" w:hAnsi="Times New Roman" w:cs="Times New Roman"/>
          <w:sz w:val="24"/>
          <w:szCs w:val="24"/>
        </w:rPr>
      </w:pPr>
      <w:r w:rsidRPr="00AD498E">
        <w:rPr>
          <w:rFonts w:ascii="Times New Roman" w:eastAsia="Times New Roman" w:hAnsi="Times New Roman" w:cs="Times New Roman"/>
          <w:sz w:val="24"/>
          <w:szCs w:val="24"/>
        </w:rPr>
        <w:t xml:space="preserve">Reynolds et al. (1992) suggest that at least 180 acres of suitable nesting habitat be maintained in each goshawk home range.  This nesting habitat be maintained in uncut blocks of at least 30 acres in size and that at least three suitable nesting areas be maintained in each home range.  </w:t>
      </w:r>
      <w:r w:rsidRPr="00AD498E">
        <w:rPr>
          <w:rFonts w:ascii="Times New Roman" w:hAnsi="Times New Roman" w:cs="Times New Roman"/>
          <w:sz w:val="24"/>
          <w:szCs w:val="24"/>
        </w:rPr>
        <w:t xml:space="preserve">Regional direction based on </w:t>
      </w:r>
      <w:bookmarkStart w:id="2" w:name="_Hlk27025826"/>
      <w:r w:rsidRPr="00AD498E">
        <w:rPr>
          <w:rFonts w:ascii="Times New Roman" w:hAnsi="Times New Roman" w:cs="Times New Roman"/>
          <w:sz w:val="24"/>
          <w:szCs w:val="24"/>
        </w:rPr>
        <w:t xml:space="preserve">Clough (2000) </w:t>
      </w:r>
      <w:bookmarkEnd w:id="2"/>
      <w:r w:rsidRPr="00AD498E">
        <w:rPr>
          <w:rFonts w:ascii="Times New Roman" w:hAnsi="Times New Roman" w:cs="Times New Roman"/>
          <w:sz w:val="24"/>
          <w:szCs w:val="24"/>
        </w:rPr>
        <w:t xml:space="preserve">suggests the amount of nesting habitat should be increased to at least 240-acres and uncut nesting areas be increased to 40-acres. </w:t>
      </w:r>
      <w:r>
        <w:rPr>
          <w:rFonts w:ascii="Times New Roman" w:hAnsi="Times New Roman" w:cs="Times New Roman"/>
          <w:sz w:val="24"/>
          <w:szCs w:val="24"/>
        </w:rPr>
        <w:t xml:space="preserve">Reynolds </w:t>
      </w:r>
      <w:r>
        <w:rPr>
          <w:rFonts w:ascii="Times New Roman" w:hAnsi="Times New Roman" w:cs="Times New Roman"/>
          <w:sz w:val="24"/>
          <w:szCs w:val="24"/>
        </w:rPr>
        <w:lastRenderedPageBreak/>
        <w:t xml:space="preserve">recommends a </w:t>
      </w:r>
      <w:r w:rsidRPr="00AD498E">
        <w:rPr>
          <w:rFonts w:ascii="Times New Roman" w:eastAsia="Times New Roman" w:hAnsi="Times New Roman" w:cs="Times New Roman"/>
          <w:sz w:val="24"/>
          <w:szCs w:val="24"/>
        </w:rPr>
        <w:t>suitable post-fledging area</w:t>
      </w:r>
      <w:r>
        <w:rPr>
          <w:rFonts w:ascii="Times New Roman" w:eastAsia="Times New Roman" w:hAnsi="Times New Roman" w:cs="Times New Roman"/>
          <w:sz w:val="24"/>
          <w:szCs w:val="24"/>
        </w:rPr>
        <w:t xml:space="preserve"> of</w:t>
      </w:r>
      <w:r w:rsidRPr="00AD498E">
        <w:rPr>
          <w:rFonts w:ascii="Times New Roman" w:eastAsia="Times New Roman" w:hAnsi="Times New Roman" w:cs="Times New Roman"/>
          <w:sz w:val="24"/>
          <w:szCs w:val="24"/>
        </w:rPr>
        <w:t xml:space="preserve"> at least 420</w:t>
      </w:r>
      <w:r>
        <w:rPr>
          <w:rFonts w:ascii="Times New Roman" w:eastAsia="Times New Roman" w:hAnsi="Times New Roman" w:cs="Times New Roman"/>
          <w:sz w:val="24"/>
          <w:szCs w:val="24"/>
        </w:rPr>
        <w:t>-</w:t>
      </w:r>
      <w:r w:rsidRPr="00AD498E">
        <w:rPr>
          <w:rFonts w:ascii="Times New Roman" w:eastAsia="Times New Roman" w:hAnsi="Times New Roman" w:cs="Times New Roman"/>
          <w:sz w:val="24"/>
          <w:szCs w:val="24"/>
        </w:rPr>
        <w:t>acres in size with at least 60% old forest</w:t>
      </w:r>
      <w:r w:rsidR="000E6620">
        <w:rPr>
          <w:rFonts w:ascii="Times New Roman" w:eastAsia="Times New Roman" w:hAnsi="Times New Roman" w:cs="Times New Roman"/>
          <w:sz w:val="24"/>
          <w:szCs w:val="24"/>
        </w:rPr>
        <w:t xml:space="preserve"> </w:t>
      </w:r>
      <w:r w:rsidRPr="00AD498E">
        <w:rPr>
          <w:rFonts w:ascii="Times New Roman" w:eastAsia="Times New Roman" w:hAnsi="Times New Roman" w:cs="Times New Roman"/>
          <w:sz w:val="24"/>
          <w:szCs w:val="24"/>
        </w:rPr>
        <w:t xml:space="preserve">surrounding the potential nest stands.  </w:t>
      </w:r>
    </w:p>
    <w:p w:rsidR="003603F0" w:rsidRDefault="003603F0" w:rsidP="003603F0">
      <w:pPr>
        <w:spacing w:before="240"/>
        <w:contextualSpacing/>
        <w:rPr>
          <w:rFonts w:ascii="Times New Roman" w:eastAsia="Times New Roman" w:hAnsi="Times New Roman" w:cs="Times New Roman"/>
          <w:sz w:val="24"/>
          <w:szCs w:val="24"/>
        </w:rPr>
      </w:pPr>
    </w:p>
    <w:p w:rsidR="003603F0" w:rsidRPr="00AD498E" w:rsidRDefault="003603F0" w:rsidP="003603F0">
      <w:pPr>
        <w:rPr>
          <w:rFonts w:ascii="Times New Roman" w:hAnsi="Times New Roman" w:cs="Times New Roman"/>
          <w:sz w:val="24"/>
          <w:szCs w:val="24"/>
        </w:rPr>
      </w:pPr>
      <w:r w:rsidRPr="00AD498E">
        <w:rPr>
          <w:rFonts w:ascii="Times New Roman" w:hAnsi="Times New Roman" w:cs="Times New Roman"/>
          <w:sz w:val="24"/>
          <w:szCs w:val="24"/>
        </w:rPr>
        <w:t>Thus, the Reynolds et al. (1992) guidelines actually require maintaining more than 180 or 240</w:t>
      </w:r>
      <w:r>
        <w:rPr>
          <w:rFonts w:ascii="Times New Roman" w:hAnsi="Times New Roman" w:cs="Times New Roman"/>
          <w:sz w:val="24"/>
          <w:szCs w:val="24"/>
        </w:rPr>
        <w:t>-</w:t>
      </w:r>
      <w:r w:rsidRPr="00AD498E">
        <w:rPr>
          <w:rFonts w:ascii="Times New Roman" w:hAnsi="Times New Roman" w:cs="Times New Roman"/>
          <w:sz w:val="24"/>
          <w:szCs w:val="24"/>
        </w:rPr>
        <w:t xml:space="preserve">acres of mature forest in each goshawk home range. The exact amount of mature forest to be maintained is dependent on the configuration of the existing nesting habitat and the composition of the surrounding post-fledgling areas. This needs to be determined prior to timber harvest based on the location of identified nesting habitat. </w:t>
      </w:r>
      <w:r>
        <w:rPr>
          <w:rFonts w:ascii="Times New Roman" w:hAnsi="Times New Roman" w:cs="Times New Roman"/>
          <w:sz w:val="24"/>
          <w:szCs w:val="24"/>
        </w:rPr>
        <w:t>A</w:t>
      </w:r>
      <w:r w:rsidRPr="00AD498E">
        <w:rPr>
          <w:rFonts w:ascii="Times New Roman" w:hAnsi="Times New Roman" w:cs="Times New Roman"/>
          <w:sz w:val="24"/>
          <w:szCs w:val="24"/>
        </w:rPr>
        <w:t>llowing post-fledging areas to be extensively harvested after the active nesting season (Aug 15</w:t>
      </w:r>
      <w:r w:rsidRPr="00AD498E">
        <w:rPr>
          <w:rFonts w:ascii="Times New Roman" w:hAnsi="Times New Roman" w:cs="Times New Roman"/>
          <w:sz w:val="24"/>
          <w:szCs w:val="24"/>
          <w:vertAlign w:val="superscript"/>
        </w:rPr>
        <w:t>th</w:t>
      </w:r>
      <w:r w:rsidRPr="00AD498E">
        <w:rPr>
          <w:rFonts w:ascii="Times New Roman" w:hAnsi="Times New Roman" w:cs="Times New Roman"/>
          <w:sz w:val="24"/>
          <w:szCs w:val="24"/>
        </w:rPr>
        <w:t>) will likely assure that the nesting area will be abandoned in the following year.  This approach</w:t>
      </w:r>
      <w:r>
        <w:rPr>
          <w:rFonts w:ascii="Times New Roman" w:hAnsi="Times New Roman" w:cs="Times New Roman"/>
          <w:sz w:val="24"/>
          <w:szCs w:val="24"/>
        </w:rPr>
        <w:t xml:space="preserve"> is proposed in the</w:t>
      </w:r>
      <w:r w:rsidR="00280DC7">
        <w:rPr>
          <w:rFonts w:ascii="Times New Roman" w:hAnsi="Times New Roman" w:cs="Times New Roman"/>
          <w:sz w:val="24"/>
          <w:szCs w:val="24"/>
        </w:rPr>
        <w:t xml:space="preserve"> Twenty-mile </w:t>
      </w:r>
      <w:r>
        <w:rPr>
          <w:rFonts w:ascii="Times New Roman" w:hAnsi="Times New Roman" w:cs="Times New Roman"/>
          <w:sz w:val="24"/>
          <w:szCs w:val="24"/>
        </w:rPr>
        <w:t>project and several other projects on the Nez Perce – Clearwater NF</w:t>
      </w:r>
      <w:r w:rsidR="00280DC7">
        <w:rPr>
          <w:rFonts w:ascii="Times New Roman" w:hAnsi="Times New Roman" w:cs="Times New Roman"/>
          <w:sz w:val="24"/>
          <w:szCs w:val="24"/>
        </w:rPr>
        <w:t>.  This</w:t>
      </w:r>
      <w:r w:rsidRPr="00AD498E">
        <w:rPr>
          <w:rFonts w:ascii="Times New Roman" w:hAnsi="Times New Roman" w:cs="Times New Roman"/>
          <w:sz w:val="24"/>
          <w:szCs w:val="24"/>
        </w:rPr>
        <w:t xml:space="preserve"> provides little assurance of long-term protection of goshawk habitat. </w:t>
      </w:r>
    </w:p>
    <w:p w:rsidR="003603F0" w:rsidRPr="00AD498E" w:rsidRDefault="003603F0" w:rsidP="003603F0">
      <w:pPr>
        <w:spacing w:before="240"/>
        <w:contextualSpacing/>
        <w:rPr>
          <w:rFonts w:ascii="Times New Roman" w:eastAsia="Times New Roman" w:hAnsi="Times New Roman" w:cs="Times New Roman"/>
          <w:sz w:val="24"/>
          <w:szCs w:val="24"/>
        </w:rPr>
      </w:pPr>
      <w:r w:rsidRPr="00AD498E">
        <w:rPr>
          <w:rFonts w:ascii="Times New Roman" w:eastAsia="Times New Roman" w:hAnsi="Times New Roman" w:cs="Times New Roman"/>
          <w:sz w:val="24"/>
          <w:szCs w:val="24"/>
        </w:rPr>
        <w:t>When possible, Reynolds et al. (1992) recommend three additional replacement nesting areas.  This recommendation fits well with the findings of Moser and Garton (2009) who found that alternate nest sites will be used within the home range if the previous year’s nest site is lost for some reason.  Foraging habitat should maintain the diversity of conditions that Reynolds et al. (1992) discusses in his management guidelines.  Th</w:t>
      </w:r>
      <w:r w:rsidR="000E6620">
        <w:rPr>
          <w:rFonts w:ascii="Times New Roman" w:eastAsia="Times New Roman" w:hAnsi="Times New Roman" w:cs="Times New Roman"/>
          <w:sz w:val="24"/>
          <w:szCs w:val="24"/>
        </w:rPr>
        <w:t xml:space="preserve">is </w:t>
      </w:r>
      <w:r w:rsidRPr="00AD498E">
        <w:rPr>
          <w:rFonts w:ascii="Times New Roman" w:eastAsia="Times New Roman" w:hAnsi="Times New Roman" w:cs="Times New Roman"/>
          <w:sz w:val="24"/>
          <w:szCs w:val="24"/>
        </w:rPr>
        <w:t>mean</w:t>
      </w:r>
      <w:r w:rsidR="000E6620">
        <w:rPr>
          <w:rFonts w:ascii="Times New Roman" w:eastAsia="Times New Roman" w:hAnsi="Times New Roman" w:cs="Times New Roman"/>
          <w:sz w:val="24"/>
          <w:szCs w:val="24"/>
        </w:rPr>
        <w:t>s maintaining</w:t>
      </w:r>
      <w:r w:rsidRPr="00AD498E">
        <w:rPr>
          <w:rFonts w:ascii="Times New Roman" w:eastAsia="Times New Roman" w:hAnsi="Times New Roman" w:cs="Times New Roman"/>
          <w:sz w:val="24"/>
          <w:szCs w:val="24"/>
        </w:rPr>
        <w:t xml:space="preserve"> a sufficient component of older forest stands along with some stands in younger age classes.</w:t>
      </w:r>
    </w:p>
    <w:p w:rsidR="003603F0" w:rsidRPr="00AD498E" w:rsidRDefault="003603F0" w:rsidP="003603F0">
      <w:pPr>
        <w:spacing w:before="240"/>
        <w:contextualSpacing/>
        <w:rPr>
          <w:rFonts w:ascii="Times New Roman" w:eastAsia="Times New Roman" w:hAnsi="Times New Roman" w:cs="Times New Roman"/>
          <w:sz w:val="24"/>
          <w:szCs w:val="24"/>
        </w:rPr>
      </w:pPr>
    </w:p>
    <w:p w:rsidR="00F72692" w:rsidRDefault="003603F0" w:rsidP="00A115CF">
      <w:pPr>
        <w:spacing w:before="240"/>
        <w:contextualSpacing/>
        <w:rPr>
          <w:rFonts w:ascii="Times New Roman" w:eastAsia="Times New Roman" w:hAnsi="Times New Roman" w:cs="Times New Roman"/>
          <w:sz w:val="24"/>
          <w:szCs w:val="24"/>
        </w:rPr>
      </w:pPr>
      <w:r w:rsidRPr="00AD498E">
        <w:rPr>
          <w:rFonts w:ascii="Times New Roman" w:eastAsia="Times New Roman" w:hAnsi="Times New Roman" w:cs="Times New Roman"/>
          <w:sz w:val="24"/>
          <w:szCs w:val="24"/>
        </w:rPr>
        <w:t xml:space="preserve">Moser and Garton (2009) tested </w:t>
      </w:r>
      <w:r>
        <w:rPr>
          <w:rFonts w:ascii="Times New Roman" w:eastAsia="Times New Roman" w:hAnsi="Times New Roman" w:cs="Times New Roman"/>
          <w:sz w:val="24"/>
          <w:szCs w:val="24"/>
        </w:rPr>
        <w:t>Reynolds et al. (1992) recommendation for leaving 60% mature forest in the post-fledgling area</w:t>
      </w:r>
      <w:r w:rsidRPr="00AD498E">
        <w:rPr>
          <w:rFonts w:ascii="Times New Roman" w:eastAsia="Times New Roman" w:hAnsi="Times New Roman" w:cs="Times New Roman"/>
          <w:sz w:val="24"/>
          <w:szCs w:val="24"/>
        </w:rPr>
        <w:t xml:space="preserve"> by experimentally clearcutting mature stands in the post-fledgling area after the nesting season (average harvest unit size 104 acres). When Moser and Garton (2009) experimentally clear-cut in the post</w:t>
      </w:r>
      <w:r>
        <w:rPr>
          <w:rFonts w:ascii="Times New Roman" w:eastAsia="Times New Roman" w:hAnsi="Times New Roman" w:cs="Times New Roman"/>
          <w:sz w:val="24"/>
          <w:szCs w:val="24"/>
        </w:rPr>
        <w:t>-</w:t>
      </w:r>
      <w:r w:rsidRPr="00AD498E">
        <w:rPr>
          <w:rFonts w:ascii="Times New Roman" w:eastAsia="Times New Roman" w:hAnsi="Times New Roman" w:cs="Times New Roman"/>
          <w:sz w:val="24"/>
          <w:szCs w:val="24"/>
        </w:rPr>
        <w:t>fledgling area they found goshawks, re-nested when approximately 39% of the post-fledging area (164 acres) remained as mature forest (potential nesting habitat).  From their work, Moser and Garton (2009) suggested that the amount of mature forest in the post-fledgling area could potentially be reduced to 39%, but this will likely place greater risk on the species (</w:t>
      </w:r>
      <w:r w:rsidRPr="00AD498E">
        <w:rPr>
          <w:rFonts w:ascii="Times New Roman" w:hAnsi="Times New Roman" w:cs="Times New Roman"/>
          <w:sz w:val="24"/>
          <w:szCs w:val="24"/>
        </w:rPr>
        <w:t xml:space="preserve">Clough 2000) </w:t>
      </w:r>
      <w:r w:rsidRPr="00AD498E">
        <w:rPr>
          <w:rFonts w:ascii="Times New Roman" w:eastAsia="Times New Roman" w:hAnsi="Times New Roman" w:cs="Times New Roman"/>
          <w:sz w:val="24"/>
          <w:szCs w:val="24"/>
        </w:rPr>
        <w:t xml:space="preserve">and I think the more conservative approach suggested by Reynolds is more appropriate for National Forest management.  </w:t>
      </w:r>
    </w:p>
    <w:p w:rsidR="00A115CF" w:rsidRPr="00A115CF" w:rsidRDefault="00A115CF" w:rsidP="00A115CF">
      <w:pPr>
        <w:spacing w:before="240"/>
        <w:contextualSpacing/>
        <w:rPr>
          <w:rFonts w:ascii="Times New Roman" w:eastAsia="Times New Roman" w:hAnsi="Times New Roman" w:cs="Times New Roman"/>
          <w:sz w:val="24"/>
          <w:szCs w:val="24"/>
        </w:rPr>
      </w:pPr>
    </w:p>
    <w:p w:rsidR="00F72692" w:rsidRDefault="00280DC7" w:rsidP="00056D41">
      <w:pPr>
        <w:spacing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 goshawk analysis does not display the location of nesting habitat or potential post-fledgling areas within the project area and it is very unclear how potential habitat will be directly impacted.  </w:t>
      </w:r>
      <w:r w:rsidR="008E2406">
        <w:rPr>
          <w:rFonts w:ascii="Times New Roman" w:hAnsi="Times New Roman" w:cs="Times New Roman"/>
          <w:sz w:val="24"/>
          <w:szCs w:val="24"/>
          <w:shd w:val="clear" w:color="auto" w:fill="FFFFFF"/>
        </w:rPr>
        <w:t xml:space="preserve"> Timber harvest is very concentrated along the existing road system in the northern and southeast portions of the project area and it is quite likely that goshawks will be displaced from these areas.   There is a good possibility that at least one existing home range will be lost to all of this activity.</w:t>
      </w:r>
    </w:p>
    <w:p w:rsidR="00316B94" w:rsidRDefault="003B62AA" w:rsidP="00056D41">
      <w:pPr>
        <w:spacing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w:t>
      </w:r>
      <w:r w:rsidR="00280DC7">
        <w:rPr>
          <w:rFonts w:ascii="Times New Roman" w:hAnsi="Times New Roman" w:cs="Times New Roman"/>
          <w:sz w:val="24"/>
          <w:szCs w:val="24"/>
          <w:shd w:val="clear" w:color="auto" w:fill="FFFFFF"/>
        </w:rPr>
        <w:t>e</w:t>
      </w:r>
      <w:r>
        <w:rPr>
          <w:rFonts w:ascii="Times New Roman" w:hAnsi="Times New Roman" w:cs="Times New Roman"/>
          <w:sz w:val="24"/>
          <w:szCs w:val="24"/>
          <w:shd w:val="clear" w:color="auto" w:fill="FFFFFF"/>
        </w:rPr>
        <w:t xml:space="preserve"> determination </w:t>
      </w:r>
      <w:r w:rsidR="00280DC7">
        <w:rPr>
          <w:rFonts w:ascii="Times New Roman" w:hAnsi="Times New Roman" w:cs="Times New Roman"/>
          <w:sz w:val="24"/>
          <w:szCs w:val="24"/>
          <w:shd w:val="clear" w:color="auto" w:fill="FFFFFF"/>
        </w:rPr>
        <w:t xml:space="preserve">of cumulative impacts </w:t>
      </w:r>
      <w:r>
        <w:rPr>
          <w:rFonts w:ascii="Times New Roman" w:hAnsi="Times New Roman" w:cs="Times New Roman"/>
          <w:sz w:val="24"/>
          <w:szCs w:val="24"/>
          <w:shd w:val="clear" w:color="auto" w:fill="FFFFFF"/>
        </w:rPr>
        <w:t xml:space="preserve">is largely based on the outdated </w:t>
      </w:r>
      <w:r w:rsidR="00B27018">
        <w:rPr>
          <w:rFonts w:ascii="Times New Roman" w:hAnsi="Times New Roman" w:cs="Times New Roman"/>
          <w:sz w:val="24"/>
          <w:szCs w:val="24"/>
          <w:shd w:val="clear" w:color="auto" w:fill="FFFFFF"/>
        </w:rPr>
        <w:t xml:space="preserve">findings of </w:t>
      </w:r>
      <w:r>
        <w:rPr>
          <w:rFonts w:ascii="Times New Roman" w:hAnsi="Times New Roman" w:cs="Times New Roman"/>
          <w:sz w:val="24"/>
          <w:szCs w:val="24"/>
          <w:shd w:val="clear" w:color="auto" w:fill="FFFFFF"/>
        </w:rPr>
        <w:t>Sampson (2006</w:t>
      </w:r>
      <w:r w:rsidR="000F1454">
        <w:rPr>
          <w:rFonts w:ascii="Times New Roman" w:hAnsi="Times New Roman" w:cs="Times New Roman"/>
          <w:sz w:val="24"/>
          <w:szCs w:val="24"/>
          <w:shd w:val="clear" w:color="auto" w:fill="FFFFFF"/>
        </w:rPr>
        <w:t>b</w:t>
      </w:r>
      <w:r>
        <w:rPr>
          <w:rFonts w:ascii="Times New Roman" w:hAnsi="Times New Roman" w:cs="Times New Roman"/>
          <w:sz w:val="24"/>
          <w:szCs w:val="24"/>
          <w:shd w:val="clear" w:color="auto" w:fill="FFFFFF"/>
        </w:rPr>
        <w:t xml:space="preserve">) and </w:t>
      </w:r>
      <w:r w:rsidR="00B27018">
        <w:rPr>
          <w:rFonts w:ascii="Times New Roman" w:hAnsi="Times New Roman" w:cs="Times New Roman"/>
          <w:sz w:val="24"/>
          <w:szCs w:val="24"/>
          <w:shd w:val="clear" w:color="auto" w:fill="FFFFFF"/>
        </w:rPr>
        <w:t>Bush and Lundberg (2008).</w:t>
      </w:r>
      <w:r w:rsidR="000F1454">
        <w:rPr>
          <w:rFonts w:ascii="Times New Roman" w:hAnsi="Times New Roman" w:cs="Times New Roman"/>
          <w:sz w:val="24"/>
          <w:szCs w:val="24"/>
          <w:shd w:val="clear" w:color="auto" w:fill="FFFFFF"/>
        </w:rPr>
        <w:t xml:space="preserve"> </w:t>
      </w:r>
      <w:r w:rsidR="008E2406">
        <w:rPr>
          <w:rFonts w:ascii="Times New Roman" w:hAnsi="Times New Roman" w:cs="Times New Roman"/>
          <w:sz w:val="24"/>
          <w:szCs w:val="24"/>
          <w:shd w:val="clear" w:color="auto" w:fill="FFFFFF"/>
        </w:rPr>
        <w:t xml:space="preserve">  The analysis makes no mention of nearby timber sales such as Hungry Ridge and End of the World.  </w:t>
      </w:r>
      <w:r w:rsidR="000F1454">
        <w:rPr>
          <w:rFonts w:ascii="Times New Roman" w:hAnsi="Times New Roman" w:cs="Times New Roman"/>
          <w:sz w:val="24"/>
          <w:szCs w:val="24"/>
          <w:shd w:val="clear" w:color="auto" w:fill="FFFFFF"/>
        </w:rPr>
        <w:t>Sampson</w:t>
      </w:r>
      <w:r w:rsidR="0067060B">
        <w:rPr>
          <w:rFonts w:ascii="Times New Roman" w:hAnsi="Times New Roman" w:cs="Times New Roman"/>
          <w:sz w:val="24"/>
          <w:szCs w:val="24"/>
          <w:shd w:val="clear" w:color="auto" w:fill="FFFFFF"/>
        </w:rPr>
        <w:t xml:space="preserve"> (2006b)</w:t>
      </w:r>
      <w:r w:rsidR="000F1454">
        <w:rPr>
          <w:rFonts w:ascii="Times New Roman" w:hAnsi="Times New Roman" w:cs="Times New Roman"/>
          <w:sz w:val="24"/>
          <w:szCs w:val="24"/>
          <w:shd w:val="clear" w:color="auto" w:fill="FFFFFF"/>
        </w:rPr>
        <w:t xml:space="preserve"> estimated that </w:t>
      </w:r>
      <w:r w:rsidR="0067060B">
        <w:rPr>
          <w:rFonts w:ascii="Times New Roman" w:hAnsi="Times New Roman" w:cs="Times New Roman"/>
          <w:sz w:val="24"/>
          <w:szCs w:val="24"/>
          <w:shd w:val="clear" w:color="auto" w:fill="FFFFFF"/>
        </w:rPr>
        <w:t xml:space="preserve">only </w:t>
      </w:r>
      <w:r w:rsidR="000F1454">
        <w:rPr>
          <w:rFonts w:ascii="Times New Roman" w:hAnsi="Times New Roman" w:cs="Times New Roman"/>
          <w:sz w:val="24"/>
          <w:szCs w:val="24"/>
          <w:shd w:val="clear" w:color="auto" w:fill="FFFFFF"/>
        </w:rPr>
        <w:t>3</w:t>
      </w:r>
      <w:r w:rsidR="0067060B">
        <w:rPr>
          <w:rFonts w:ascii="Times New Roman" w:hAnsi="Times New Roman" w:cs="Times New Roman"/>
          <w:sz w:val="24"/>
          <w:szCs w:val="24"/>
          <w:shd w:val="clear" w:color="auto" w:fill="FFFFFF"/>
        </w:rPr>
        <w:t>0,147-acres goshawk habitat would be necessary to support a viable population of goshawks in the entire Northern Region.  Considering a 5,000-acre home range</w:t>
      </w:r>
      <w:r w:rsidR="00FD79F9">
        <w:rPr>
          <w:rFonts w:ascii="Times New Roman" w:hAnsi="Times New Roman" w:cs="Times New Roman"/>
          <w:sz w:val="24"/>
          <w:szCs w:val="24"/>
          <w:shd w:val="clear" w:color="auto" w:fill="FFFFFF"/>
        </w:rPr>
        <w:t>,</w:t>
      </w:r>
      <w:r w:rsidR="0067060B">
        <w:rPr>
          <w:rFonts w:ascii="Times New Roman" w:hAnsi="Times New Roman" w:cs="Times New Roman"/>
          <w:sz w:val="24"/>
          <w:szCs w:val="24"/>
          <w:shd w:val="clear" w:color="auto" w:fill="FFFFFF"/>
        </w:rPr>
        <w:t xml:space="preserve"> this estimate would only support 6 nesting pairs of goshawks which is hardly a </w:t>
      </w:r>
      <w:r w:rsidR="00FD79F9">
        <w:rPr>
          <w:rFonts w:ascii="Times New Roman" w:hAnsi="Times New Roman" w:cs="Times New Roman"/>
          <w:sz w:val="24"/>
          <w:szCs w:val="24"/>
          <w:shd w:val="clear" w:color="auto" w:fill="FFFFFF"/>
        </w:rPr>
        <w:t>viable population.</w:t>
      </w:r>
    </w:p>
    <w:p w:rsidR="00761B6D" w:rsidRDefault="00FD79F9" w:rsidP="00056D41">
      <w:pPr>
        <w:spacing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Estimates </w:t>
      </w:r>
      <w:r w:rsidR="000E6620">
        <w:rPr>
          <w:rFonts w:ascii="Times New Roman" w:hAnsi="Times New Roman" w:cs="Times New Roman"/>
          <w:sz w:val="24"/>
          <w:szCs w:val="24"/>
          <w:shd w:val="clear" w:color="auto" w:fill="FFFFFF"/>
        </w:rPr>
        <w:t xml:space="preserve">of existing habitat </w:t>
      </w:r>
      <w:r>
        <w:rPr>
          <w:rFonts w:ascii="Times New Roman" w:hAnsi="Times New Roman" w:cs="Times New Roman"/>
          <w:sz w:val="24"/>
          <w:szCs w:val="24"/>
          <w:shd w:val="clear" w:color="auto" w:fill="FFFFFF"/>
        </w:rPr>
        <w:t>from Bush and Lundberg (2008) are based on FIA data and suggest there are 47,117-acres of nesting habitat</w:t>
      </w:r>
      <w:r w:rsidR="00BC64A3">
        <w:rPr>
          <w:rFonts w:ascii="Times New Roman" w:hAnsi="Times New Roman" w:cs="Times New Roman"/>
          <w:sz w:val="24"/>
          <w:szCs w:val="24"/>
          <w:shd w:val="clear" w:color="auto" w:fill="FFFFFF"/>
        </w:rPr>
        <w:t>, 275,166-acres of post-fledging habitat</w:t>
      </w:r>
      <w:r>
        <w:rPr>
          <w:rFonts w:ascii="Times New Roman" w:hAnsi="Times New Roman" w:cs="Times New Roman"/>
          <w:sz w:val="24"/>
          <w:szCs w:val="24"/>
          <w:shd w:val="clear" w:color="auto" w:fill="FFFFFF"/>
        </w:rPr>
        <w:t xml:space="preserve"> and 682,261-acres of foraging habitat</w:t>
      </w:r>
      <w:r w:rsidR="00AE30EF">
        <w:rPr>
          <w:rFonts w:ascii="Times New Roman" w:hAnsi="Times New Roman" w:cs="Times New Roman"/>
          <w:sz w:val="24"/>
          <w:szCs w:val="24"/>
          <w:shd w:val="clear" w:color="auto" w:fill="FFFFFF"/>
        </w:rPr>
        <w:t xml:space="preserve"> on the Nez Perce National Forest.</w:t>
      </w:r>
      <w:r w:rsidR="00EC7EFF">
        <w:rPr>
          <w:rFonts w:ascii="Times New Roman" w:hAnsi="Times New Roman" w:cs="Times New Roman"/>
          <w:sz w:val="24"/>
          <w:szCs w:val="24"/>
          <w:shd w:val="clear" w:color="auto" w:fill="FFFFFF"/>
        </w:rPr>
        <w:t xml:space="preserve"> </w:t>
      </w:r>
      <w:r w:rsidR="00BC64A3">
        <w:rPr>
          <w:rFonts w:ascii="Times New Roman" w:hAnsi="Times New Roman" w:cs="Times New Roman"/>
          <w:sz w:val="24"/>
          <w:szCs w:val="24"/>
          <w:shd w:val="clear" w:color="auto" w:fill="FFFFFF"/>
        </w:rPr>
        <w:t xml:space="preserve"> </w:t>
      </w:r>
      <w:r w:rsidR="00761B6D">
        <w:rPr>
          <w:rFonts w:ascii="Times New Roman" w:hAnsi="Times New Roman" w:cs="Times New Roman"/>
          <w:sz w:val="24"/>
          <w:szCs w:val="24"/>
          <w:shd w:val="clear" w:color="auto" w:fill="FFFFFF"/>
        </w:rPr>
        <w:t>The main criteria for estimating n</w:t>
      </w:r>
      <w:r w:rsidR="00BC64A3">
        <w:rPr>
          <w:rFonts w:ascii="Times New Roman" w:hAnsi="Times New Roman" w:cs="Times New Roman"/>
          <w:sz w:val="24"/>
          <w:szCs w:val="24"/>
          <w:shd w:val="clear" w:color="auto" w:fill="FFFFFF"/>
        </w:rPr>
        <w:t xml:space="preserve">esting habitat </w:t>
      </w:r>
      <w:r w:rsidR="00761B6D">
        <w:rPr>
          <w:rFonts w:ascii="Times New Roman" w:hAnsi="Times New Roman" w:cs="Times New Roman"/>
          <w:sz w:val="24"/>
          <w:szCs w:val="24"/>
          <w:shd w:val="clear" w:color="auto" w:fill="FFFFFF"/>
        </w:rPr>
        <w:t xml:space="preserve">are </w:t>
      </w:r>
      <w:r w:rsidR="00BC64A3">
        <w:rPr>
          <w:rFonts w:ascii="Times New Roman" w:hAnsi="Times New Roman" w:cs="Times New Roman"/>
          <w:sz w:val="24"/>
          <w:szCs w:val="24"/>
          <w:shd w:val="clear" w:color="auto" w:fill="FFFFFF"/>
        </w:rPr>
        <w:t>defined as a stand</w:t>
      </w:r>
      <w:r w:rsidR="008E0EBF">
        <w:rPr>
          <w:rFonts w:ascii="Times New Roman" w:hAnsi="Times New Roman" w:cs="Times New Roman"/>
          <w:sz w:val="24"/>
          <w:szCs w:val="24"/>
          <w:shd w:val="clear" w:color="auto" w:fill="FFFFFF"/>
        </w:rPr>
        <w:t xml:space="preserve"> with </w:t>
      </w:r>
      <w:bookmarkStart w:id="3" w:name="_Hlk132176098"/>
      <w:r w:rsidR="008E0EBF">
        <w:rPr>
          <w:rFonts w:ascii="Times New Roman" w:hAnsi="Times New Roman" w:cs="Times New Roman"/>
          <w:sz w:val="24"/>
          <w:szCs w:val="24"/>
          <w:shd w:val="clear" w:color="auto" w:fill="FFFFFF"/>
        </w:rPr>
        <w:t xml:space="preserve">a basal area weighted average diameter of 13-18 inches and canopy cover of 34-71%, </w:t>
      </w:r>
      <w:bookmarkEnd w:id="3"/>
      <w:r w:rsidR="008E0EBF">
        <w:rPr>
          <w:rFonts w:ascii="Times New Roman" w:hAnsi="Times New Roman" w:cs="Times New Roman"/>
          <w:sz w:val="24"/>
          <w:szCs w:val="24"/>
          <w:shd w:val="clear" w:color="auto" w:fill="FFFFFF"/>
        </w:rPr>
        <w:t>post-fledgling habitat</w:t>
      </w:r>
      <w:r w:rsidR="00761B6D">
        <w:rPr>
          <w:rFonts w:ascii="Times New Roman" w:hAnsi="Times New Roman" w:cs="Times New Roman"/>
          <w:sz w:val="24"/>
          <w:szCs w:val="24"/>
          <w:shd w:val="clear" w:color="auto" w:fill="FFFFFF"/>
        </w:rPr>
        <w:t xml:space="preserve"> is defined as a stand with</w:t>
      </w:r>
      <w:r w:rsidR="008E0EBF">
        <w:rPr>
          <w:rFonts w:ascii="Times New Roman" w:hAnsi="Times New Roman" w:cs="Times New Roman"/>
          <w:sz w:val="24"/>
          <w:szCs w:val="24"/>
          <w:shd w:val="clear" w:color="auto" w:fill="FFFFFF"/>
        </w:rPr>
        <w:t xml:space="preserve"> a basal area weighted average diameter of 7+ inches and canopy cover of 50+%, </w:t>
      </w:r>
      <w:r w:rsidR="00761B6D">
        <w:rPr>
          <w:rFonts w:ascii="Times New Roman" w:hAnsi="Times New Roman" w:cs="Times New Roman"/>
          <w:sz w:val="24"/>
          <w:szCs w:val="24"/>
          <w:shd w:val="clear" w:color="auto" w:fill="FFFFFF"/>
        </w:rPr>
        <w:t xml:space="preserve">and </w:t>
      </w:r>
      <w:r w:rsidR="008E0EBF">
        <w:rPr>
          <w:rFonts w:ascii="Times New Roman" w:hAnsi="Times New Roman" w:cs="Times New Roman"/>
          <w:sz w:val="24"/>
          <w:szCs w:val="24"/>
          <w:shd w:val="clear" w:color="auto" w:fill="FFFFFF"/>
        </w:rPr>
        <w:t>foraging habitat is merely defined as having 40+ percent canopy cover.</w:t>
      </w:r>
      <w:r w:rsidR="00761B6D">
        <w:rPr>
          <w:rFonts w:ascii="Times New Roman" w:hAnsi="Times New Roman" w:cs="Times New Roman"/>
          <w:sz w:val="24"/>
          <w:szCs w:val="24"/>
          <w:shd w:val="clear" w:color="auto" w:fill="FFFFFF"/>
        </w:rPr>
        <w:t xml:space="preserve">  There are other secondary criteria related to vertical structure, basal area and tree species.</w:t>
      </w:r>
    </w:p>
    <w:p w:rsidR="002E03D8" w:rsidRPr="002E03D8" w:rsidRDefault="00043B99" w:rsidP="002E03D8">
      <w:pPr>
        <w:spacing w:line="240" w:lineRule="auto"/>
        <w:rPr>
          <w:rFonts w:ascii="Times New Roman" w:hAnsi="Times New Roman" w:cs="Times New Roman"/>
          <w:sz w:val="24"/>
          <w:szCs w:val="24"/>
        </w:rPr>
      </w:pPr>
      <w:r w:rsidRPr="002E03D8">
        <w:rPr>
          <w:rFonts w:ascii="Times New Roman" w:hAnsi="Times New Roman" w:cs="Times New Roman"/>
          <w:sz w:val="24"/>
          <w:szCs w:val="24"/>
        </w:rPr>
        <w:t>These liberal interpretations</w:t>
      </w:r>
      <w:r w:rsidR="002E03D8">
        <w:rPr>
          <w:rFonts w:ascii="Times New Roman" w:hAnsi="Times New Roman" w:cs="Times New Roman"/>
          <w:sz w:val="24"/>
          <w:szCs w:val="24"/>
        </w:rPr>
        <w:t xml:space="preserve"> (especially for post-fledgling and foraging habitat)</w:t>
      </w:r>
      <w:r w:rsidRPr="002E03D8">
        <w:rPr>
          <w:rFonts w:ascii="Times New Roman" w:hAnsi="Times New Roman" w:cs="Times New Roman"/>
          <w:sz w:val="24"/>
          <w:szCs w:val="24"/>
        </w:rPr>
        <w:t xml:space="preserve"> do not agree with the literature and have not been updated in 15-years.  </w:t>
      </w:r>
      <w:r w:rsidR="002E03D8" w:rsidRPr="002E03D8">
        <w:rPr>
          <w:rFonts w:ascii="Times New Roman" w:hAnsi="Times New Roman" w:cs="Times New Roman"/>
          <w:sz w:val="24"/>
          <w:szCs w:val="24"/>
        </w:rPr>
        <w:t xml:space="preserve">They </w:t>
      </w:r>
      <w:r w:rsidR="002E03D8" w:rsidRPr="002E03D8">
        <w:rPr>
          <w:rFonts w:ascii="Times New Roman" w:hAnsi="Times New Roman" w:cs="Times New Roman"/>
          <w:sz w:val="24"/>
          <w:szCs w:val="24"/>
          <w:shd w:val="clear" w:color="auto" w:fill="FFFFFF"/>
        </w:rPr>
        <w:t xml:space="preserve">do not reflect both the increase in logging and wildfire that has occurred in recent years. </w:t>
      </w:r>
      <w:r w:rsidRPr="002E03D8">
        <w:rPr>
          <w:rFonts w:ascii="Times New Roman" w:hAnsi="Times New Roman" w:cs="Times New Roman"/>
          <w:sz w:val="24"/>
          <w:szCs w:val="24"/>
        </w:rPr>
        <w:t xml:space="preserve">The analysis is not </w:t>
      </w:r>
      <w:r w:rsidR="002E03D8" w:rsidRPr="002E03D8">
        <w:rPr>
          <w:rFonts w:ascii="Times New Roman" w:hAnsi="Times New Roman" w:cs="Times New Roman"/>
          <w:sz w:val="24"/>
          <w:szCs w:val="24"/>
        </w:rPr>
        <w:t>spatially</w:t>
      </w:r>
      <w:r w:rsidRPr="002E03D8">
        <w:rPr>
          <w:rFonts w:ascii="Times New Roman" w:hAnsi="Times New Roman" w:cs="Times New Roman"/>
          <w:sz w:val="24"/>
          <w:szCs w:val="24"/>
        </w:rPr>
        <w:t xml:space="preserve"> specific and there is no analysis of the proximity of nesting and post-fledgling habitat. </w:t>
      </w:r>
    </w:p>
    <w:p w:rsidR="00761B6D" w:rsidRPr="00617AC2" w:rsidRDefault="00761B6D" w:rsidP="00617AC2">
      <w:pPr>
        <w:spacing w:line="240" w:lineRule="auto"/>
        <w:rPr>
          <w:rFonts w:ascii="Times New Roman" w:hAnsi="Times New Roman" w:cs="Times New Roman"/>
          <w:sz w:val="24"/>
          <w:szCs w:val="24"/>
          <w:shd w:val="clear" w:color="auto" w:fill="FFFFFF"/>
        </w:rPr>
      </w:pPr>
      <w:r w:rsidRPr="002E03D8">
        <w:rPr>
          <w:rFonts w:ascii="Times New Roman" w:hAnsi="Times New Roman" w:cs="Times New Roman"/>
          <w:sz w:val="24"/>
          <w:szCs w:val="24"/>
        </w:rPr>
        <w:t xml:space="preserve">Moser and Garton (2009) reported that all goshawk nests examined in their study area were found in stands who’s average DBH of overstory trees was over 12.2 inches and all nest stands had </w:t>
      </w:r>
      <w:r w:rsidRPr="002E03D8">
        <w:rPr>
          <w:rFonts w:ascii="Times New Roman" w:hAnsi="Times New Roman" w:cs="Times New Roman"/>
          <w:sz w:val="24"/>
          <w:szCs w:val="24"/>
          <w:u w:val="single"/>
        </w:rPr>
        <w:t>&gt;</w:t>
      </w:r>
      <w:r w:rsidRPr="002E03D8">
        <w:rPr>
          <w:rFonts w:ascii="Times New Roman" w:hAnsi="Times New Roman" w:cs="Times New Roman"/>
          <w:sz w:val="24"/>
          <w:szCs w:val="24"/>
        </w:rPr>
        <w:t xml:space="preserve"> 70% overstory tree canopy.  They described their findings as being similar to those described by Hayward and Escano (1989).  Hayward and Escano reported that nesting habitat “may be described as mature to overmature conifer forest with a closed canopy (75-85% cover) ….”  Moser and Garton state “this classification corresponds with Reynolds et al. (1992) vegetation structural stages four to six”.</w:t>
      </w:r>
    </w:p>
    <w:p w:rsidR="00761B6D" w:rsidRPr="002E03D8" w:rsidRDefault="00761B6D" w:rsidP="00761B6D">
      <w:pPr>
        <w:pStyle w:val="ListParagraph"/>
        <w:spacing w:before="240"/>
        <w:ind w:left="0"/>
      </w:pPr>
      <w:r w:rsidRPr="002E03D8">
        <w:t xml:space="preserve">Reynolds et al. (1992) describe foraging areas as a “mosaic of vegetation interspersed throughout the foraging area”.  The indicate “the majority (60%) of the foraging area should ultimately be in the three older age classes VSSs (4,5,6), approximately 20% in each”.   In mixed species stands they suggest the VSS 6 stands have a minimum crown closure of 60%, VSS 5 stands have a minimum crown closure of 50% and one third of VSS 4 stands have a minimum crown closure of 60% and the remaining two-thirds of VSS-4 stands have a minimum crown closure of 40%.   Reynolds et al. (1992) classify VSS-6 as old forest exceeding 24 inches DBH, VSS-5 as mature forest 18-24 inches DBH and VSS-4 as mid-aged forest 12-18 inches DBH.  </w:t>
      </w:r>
    </w:p>
    <w:p w:rsidR="00761B6D" w:rsidRPr="002E03D8" w:rsidRDefault="00761B6D" w:rsidP="00761B6D">
      <w:pPr>
        <w:pStyle w:val="ListParagraph"/>
        <w:spacing w:before="240"/>
        <w:ind w:left="0"/>
      </w:pPr>
    </w:p>
    <w:p w:rsidR="00761B6D" w:rsidRDefault="00055B49" w:rsidP="00056D41">
      <w:pPr>
        <w:spacing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In summary, the goshawk analysis makes no estimate of direct impacts in the project area.  It ignores the cumulative impact of nearby projects and relies on a questionable analysis of species viability and an outdated and very liberal interpretation of potential goshawk habitat across the Nez Perce NF.  The analysis needs to be redone.</w:t>
      </w:r>
    </w:p>
    <w:p w:rsidR="006D05C5" w:rsidRPr="006D05C5" w:rsidRDefault="006D05C5" w:rsidP="00056D41">
      <w:pPr>
        <w:spacing w:line="240" w:lineRule="auto"/>
        <w:rPr>
          <w:rFonts w:ascii="Times New Roman" w:hAnsi="Times New Roman" w:cs="Times New Roman"/>
          <w:b/>
          <w:bCs/>
          <w:sz w:val="24"/>
          <w:szCs w:val="24"/>
          <w:shd w:val="clear" w:color="auto" w:fill="FFFFFF"/>
        </w:rPr>
      </w:pPr>
      <w:r w:rsidRPr="006D05C5">
        <w:rPr>
          <w:rFonts w:ascii="Times New Roman" w:hAnsi="Times New Roman" w:cs="Times New Roman"/>
          <w:b/>
          <w:bCs/>
          <w:sz w:val="24"/>
          <w:szCs w:val="24"/>
          <w:shd w:val="clear" w:color="auto" w:fill="FFFFFF"/>
        </w:rPr>
        <w:t>Pileated Woodpecker</w:t>
      </w:r>
    </w:p>
    <w:p w:rsidR="006D05C5" w:rsidRPr="00911992" w:rsidRDefault="006D05C5" w:rsidP="00056D41">
      <w:pPr>
        <w:spacing w:line="240" w:lineRule="auto"/>
        <w:rPr>
          <w:rFonts w:ascii="Times New Roman" w:hAnsi="Times New Roman" w:cs="Times New Roman"/>
          <w:sz w:val="24"/>
          <w:szCs w:val="24"/>
          <w:shd w:val="clear" w:color="auto" w:fill="FFFFFF"/>
        </w:rPr>
      </w:pPr>
      <w:r w:rsidRPr="00911992">
        <w:rPr>
          <w:rFonts w:ascii="Times New Roman" w:hAnsi="Times New Roman" w:cs="Times New Roman"/>
          <w:sz w:val="24"/>
          <w:szCs w:val="24"/>
          <w:shd w:val="clear" w:color="auto" w:fill="FFFFFF"/>
        </w:rPr>
        <w:t>The Proposed Action document suggests there are 10,509-acres of pileated woodpecker habitat in the project area and 195-acres of nesting habitat.  The Forest Service analysis suggests that this is enough habitat to support 10 nesting pairs of pileated woodpeckers whose average home range is estimated at approximately 1,000-acres.</w:t>
      </w:r>
      <w:r w:rsidR="00911992" w:rsidRPr="00911992">
        <w:rPr>
          <w:rFonts w:ascii="Times New Roman" w:hAnsi="Times New Roman" w:cs="Times New Roman"/>
          <w:sz w:val="24"/>
          <w:szCs w:val="24"/>
          <w:shd w:val="clear" w:color="auto" w:fill="FFFFFF"/>
        </w:rPr>
        <w:t xml:space="preserve"> Once again there are no maps or details that display how potential habitat was identified.</w:t>
      </w:r>
    </w:p>
    <w:p w:rsidR="00EA54A3" w:rsidRPr="00EA54A3" w:rsidRDefault="0096475B" w:rsidP="00EA54A3">
      <w:pPr>
        <w:spacing w:line="240" w:lineRule="auto"/>
        <w:rPr>
          <w:rFonts w:ascii="Times New Roman" w:hAnsi="Times New Roman" w:cs="Times New Roman"/>
          <w:sz w:val="24"/>
          <w:szCs w:val="24"/>
          <w:shd w:val="clear" w:color="auto" w:fill="FFFFFF"/>
        </w:rPr>
      </w:pPr>
      <w:r w:rsidRPr="00911992">
        <w:rPr>
          <w:rFonts w:ascii="Times New Roman" w:hAnsi="Times New Roman" w:cs="Times New Roman"/>
          <w:sz w:val="24"/>
          <w:szCs w:val="24"/>
          <w:shd w:val="clear" w:color="auto" w:fill="FFFFFF"/>
        </w:rPr>
        <w:t xml:space="preserve">The Forest Service has estimated that timber harvest would impact 17% of the foraging habitat and 8% of the nesting habitat.   Prescribed fire would impact an additional 47% of the foraging habitat and 31% of the nesting habitat.   </w:t>
      </w:r>
      <w:r w:rsidR="005D2611" w:rsidRPr="00911992">
        <w:rPr>
          <w:rFonts w:ascii="Times New Roman" w:hAnsi="Times New Roman" w:cs="Times New Roman"/>
          <w:sz w:val="24"/>
          <w:szCs w:val="24"/>
          <w:shd w:val="clear" w:color="auto" w:fill="FFFFFF"/>
        </w:rPr>
        <w:t>According to the Forest Service analysis implementation of these activities will result in a loss of two currently suitable home ranges</w:t>
      </w:r>
      <w:r w:rsidR="00911992" w:rsidRPr="00911992">
        <w:rPr>
          <w:rFonts w:ascii="Times New Roman" w:hAnsi="Times New Roman" w:cs="Times New Roman"/>
          <w:sz w:val="24"/>
          <w:szCs w:val="24"/>
          <w:shd w:val="clear" w:color="auto" w:fill="FFFFFF"/>
        </w:rPr>
        <w:t>.  The Forest Service sums up their conclusions by stating “While</w:t>
      </w:r>
      <w:r w:rsidR="00911992">
        <w:rPr>
          <w:rFonts w:ascii="Times New Roman" w:hAnsi="Times New Roman" w:cs="Times New Roman"/>
          <w:sz w:val="24"/>
          <w:szCs w:val="24"/>
        </w:rPr>
        <w:t xml:space="preserve"> </w:t>
      </w:r>
      <w:r w:rsidR="00911992" w:rsidRPr="00911992">
        <w:rPr>
          <w:rFonts w:ascii="Times New Roman" w:hAnsi="Times New Roman" w:cs="Times New Roman"/>
          <w:sz w:val="24"/>
          <w:szCs w:val="24"/>
          <w:shd w:val="clear" w:color="auto" w:fill="FFFFFF"/>
        </w:rPr>
        <w:t xml:space="preserve">woodpecker occupancy in the project area may be </w:t>
      </w:r>
      <w:r w:rsidR="00911992" w:rsidRPr="00911992">
        <w:rPr>
          <w:rFonts w:ascii="Times New Roman" w:hAnsi="Times New Roman" w:cs="Times New Roman"/>
          <w:sz w:val="24"/>
          <w:szCs w:val="24"/>
          <w:shd w:val="clear" w:color="auto" w:fill="FFFFFF"/>
        </w:rPr>
        <w:lastRenderedPageBreak/>
        <w:t>reduced by the proposed activities, habitat is well</w:t>
      </w:r>
      <w:r w:rsidR="00911992">
        <w:rPr>
          <w:rFonts w:ascii="Times New Roman" w:hAnsi="Times New Roman" w:cs="Times New Roman"/>
          <w:sz w:val="24"/>
          <w:szCs w:val="24"/>
        </w:rPr>
        <w:t xml:space="preserve"> </w:t>
      </w:r>
      <w:r w:rsidR="00911992" w:rsidRPr="00911992">
        <w:rPr>
          <w:rFonts w:ascii="Times New Roman" w:hAnsi="Times New Roman" w:cs="Times New Roman"/>
          <w:sz w:val="24"/>
          <w:szCs w:val="24"/>
          <w:shd w:val="clear" w:color="auto" w:fill="FFFFFF"/>
        </w:rPr>
        <w:t>represented across the Fore</w:t>
      </w:r>
      <w:r w:rsidR="00EA54A3" w:rsidRPr="00911992">
        <w:rPr>
          <w:rFonts w:ascii="Times New Roman" w:hAnsi="Times New Roman" w:cs="Times New Roman"/>
          <w:sz w:val="24"/>
          <w:szCs w:val="24"/>
          <w:shd w:val="clear" w:color="auto" w:fill="FFFFFF"/>
        </w:rPr>
        <w:t>st and exceeds that which is estimated as necessary to maintain viable</w:t>
      </w:r>
      <w:r w:rsidR="00EA54A3">
        <w:rPr>
          <w:rFonts w:ascii="Times New Roman" w:hAnsi="Times New Roman" w:cs="Times New Roman"/>
          <w:sz w:val="24"/>
          <w:szCs w:val="24"/>
        </w:rPr>
        <w:t xml:space="preserve"> </w:t>
      </w:r>
      <w:r w:rsidR="00EA54A3" w:rsidRPr="00911992">
        <w:rPr>
          <w:rFonts w:ascii="Times New Roman" w:hAnsi="Times New Roman" w:cs="Times New Roman"/>
          <w:sz w:val="24"/>
          <w:szCs w:val="24"/>
          <w:shd w:val="clear" w:color="auto" w:fill="FFFFFF"/>
        </w:rPr>
        <w:t>populations at the regional scale.”</w:t>
      </w:r>
      <w:r w:rsidR="00EA54A3">
        <w:rPr>
          <w:rFonts w:ascii="Times New Roman" w:hAnsi="Times New Roman" w:cs="Times New Roman"/>
          <w:sz w:val="24"/>
          <w:szCs w:val="24"/>
          <w:shd w:val="clear" w:color="auto" w:fill="FFFFFF"/>
        </w:rPr>
        <w:t xml:space="preserve">  </w:t>
      </w:r>
    </w:p>
    <w:p w:rsidR="00EA54A3" w:rsidRDefault="00EA54A3" w:rsidP="00EA54A3">
      <w:pPr>
        <w:pStyle w:val="ListParagraph"/>
        <w:spacing w:before="240"/>
        <w:ind w:left="0"/>
      </w:pPr>
      <w:r>
        <w:t xml:space="preserve">The pileated woodpecker analysis is not spatially explicit.  While it is mentioned in the Proposed Action that the </w:t>
      </w:r>
      <w:r w:rsidRPr="00FB1876">
        <w:t xml:space="preserve">average home range size of </w:t>
      </w:r>
      <w:r>
        <w:t xml:space="preserve">pileated woodpeckers is </w:t>
      </w:r>
      <w:r w:rsidRPr="00FB1876">
        <w:t>approximately 1</w:t>
      </w:r>
      <w:r>
        <w:t>,</w:t>
      </w:r>
      <w:r w:rsidRPr="00FB1876">
        <w:t>005 acres (Bull et al. 1992)</w:t>
      </w:r>
      <w:r>
        <w:t xml:space="preserve"> and that the project area would likely support ten nesting pairs.  These areas are not identified </w:t>
      </w:r>
      <w:r w:rsidR="00EF005A">
        <w:t>nor are any calculations apparent that actually display the suitability of potential home ranges.</w:t>
      </w:r>
    </w:p>
    <w:p w:rsidR="00EA54A3" w:rsidRDefault="00EA54A3" w:rsidP="00EA54A3">
      <w:pPr>
        <w:pStyle w:val="ListParagraph"/>
        <w:spacing w:before="240"/>
        <w:ind w:left="0"/>
      </w:pPr>
    </w:p>
    <w:p w:rsidR="00EA54A3" w:rsidRDefault="00EF005A" w:rsidP="00EA54A3">
      <w:pPr>
        <w:pStyle w:val="ListParagraph"/>
        <w:spacing w:before="240"/>
        <w:ind w:left="0"/>
      </w:pPr>
      <w:r>
        <w:t>M</w:t>
      </w:r>
      <w:r w:rsidR="00EA54A3">
        <w:t>ethods of determining home range suitability are available in publications by</w:t>
      </w:r>
      <w:r w:rsidR="00EA54A3" w:rsidRPr="00FB1876">
        <w:t xml:space="preserve"> Bull and Holthausen (1993) and Bull et al. (2007).  These publications </w:t>
      </w:r>
      <w:r w:rsidR="00EA54A3">
        <w:t xml:space="preserve">are not utilized in the pileated woodpecker analysis.  </w:t>
      </w:r>
      <w:r w:rsidR="00EA54A3" w:rsidRPr="00FB1876">
        <w:t xml:space="preserve">Using the Bull publications would have given the Nez Perce/Clearwater National Forest a way of evaluating habitat potential and setting cumulative habitat thresholds where habitat loss becomes significant (Schultz 2010).  Such an analysis would have been based on the latest scientific information and would </w:t>
      </w:r>
      <w:r w:rsidR="00EA54A3">
        <w:t xml:space="preserve">display </w:t>
      </w:r>
      <w:r w:rsidR="00EA54A3" w:rsidRPr="00FB1876">
        <w:t>some concern for maintaining management indicator species</w:t>
      </w:r>
      <w:r w:rsidR="00EA54A3">
        <w:t xml:space="preserve"> within the project area.</w:t>
      </w:r>
      <w:r w:rsidR="00EA54A3" w:rsidRPr="00FB1876">
        <w:t xml:space="preserve"> </w:t>
      </w:r>
    </w:p>
    <w:p w:rsidR="00EA54A3" w:rsidRDefault="00EA54A3" w:rsidP="00EA54A3">
      <w:pPr>
        <w:pStyle w:val="ListParagraph"/>
        <w:spacing w:before="240"/>
        <w:ind w:left="0"/>
      </w:pPr>
    </w:p>
    <w:p w:rsidR="00EA54A3" w:rsidRDefault="00EA54A3" w:rsidP="00EA54A3">
      <w:pPr>
        <w:pStyle w:val="ListParagraph"/>
        <w:spacing w:before="240"/>
        <w:ind w:left="0"/>
      </w:pPr>
      <w:r w:rsidRPr="00FB1876">
        <w:t>Bull and Holthausen (1993) recommend that approximately 25% of the home range be old growth and 50% be mature forest.   They suggested that 50% of the area should have stands with greater than 60% canopy closure and at least 40% should remain unlogged (any type of logging).  Follow up work (Bull et al. 2007) found that bird density did not change in 30 years (despite major infestations of spruce budworm) in home ranges meeting these guidelines, unless extensive regeneration harvesting (like that proposed on the</w:t>
      </w:r>
      <w:r w:rsidR="006A1CA2">
        <w:t xml:space="preserve"> Twenty-mile </w:t>
      </w:r>
      <w:r w:rsidRPr="00FB1876">
        <w:t xml:space="preserve">project) had occurred in the home range.  They defined extensive regeneration harvest as 25% of the area. They also examined nesting success and found that birds that successfully produced young had on average 85% of their home range unlogged and </w:t>
      </w:r>
      <w:r>
        <w:t xml:space="preserve">less than </w:t>
      </w:r>
      <w:r w:rsidRPr="00FB1876">
        <w:t>15% logged</w:t>
      </w:r>
      <w:r>
        <w:t xml:space="preserve"> with </w:t>
      </w:r>
      <w:r w:rsidRPr="00FB1876">
        <w:t>any type of logging including fuel reductions.  Whereas unsuccessful nesters had 62% of the home range unlogged and 38% logged (Bull et al. 2007).</w:t>
      </w:r>
    </w:p>
    <w:p w:rsidR="00EA54A3" w:rsidRDefault="00EA54A3" w:rsidP="00EA54A3">
      <w:pPr>
        <w:pStyle w:val="ListParagraph"/>
        <w:spacing w:before="240"/>
        <w:ind w:left="0"/>
      </w:pPr>
    </w:p>
    <w:p w:rsidR="00EA54A3" w:rsidRDefault="00EA54A3" w:rsidP="00EA54A3">
      <w:pPr>
        <w:pStyle w:val="ListParagraph"/>
        <w:spacing w:before="240"/>
        <w:ind w:left="0"/>
      </w:pPr>
      <w:r>
        <w:t xml:space="preserve">In order to conduct such an analysis, it would be necessary to identify potential or theoretical home ranges across the project area.  Home ranges should be roughly 1,000-acres in size and it is best if topographical features are utilized to define the home ranges </w:t>
      </w:r>
      <w:r w:rsidR="001A35BD">
        <w:t>and that</w:t>
      </w:r>
      <w:r>
        <w:t xml:space="preserve"> all potentially suitable acreage in the project area is included.  This assures that there is no overlap or unevaluated acreage in the project area.</w:t>
      </w:r>
      <w:r w:rsidR="006A1CA2">
        <w:t xml:space="preserve">  I</w:t>
      </w:r>
      <w:r w:rsidR="00E208D7">
        <w:t>f areas of lodgepole pine (3,84</w:t>
      </w:r>
      <w:r w:rsidR="001A35BD">
        <w:t xml:space="preserve">0-acres) </w:t>
      </w:r>
      <w:r w:rsidR="00E208D7">
        <w:t>are eliminated</w:t>
      </w:r>
      <w:r w:rsidR="001A35BD">
        <w:t xml:space="preserve">, </w:t>
      </w:r>
      <w:r w:rsidR="00F40C85">
        <w:t>ten</w:t>
      </w:r>
      <w:r w:rsidR="001A35BD">
        <w:t xml:space="preserve"> potential home ranges for </w:t>
      </w:r>
      <w:r w:rsidR="006A1CA2">
        <w:t>the 15</w:t>
      </w:r>
      <w:r w:rsidR="00201803">
        <w:t xml:space="preserve">,105-acre project area could </w:t>
      </w:r>
      <w:r w:rsidR="001A35BD">
        <w:t xml:space="preserve">be close to accurate, but it appears more impact will </w:t>
      </w:r>
      <w:r w:rsidR="00201803">
        <w:t xml:space="preserve">actually </w:t>
      </w:r>
      <w:r w:rsidR="001A35BD">
        <w:t xml:space="preserve">occur that predicted in the </w:t>
      </w:r>
      <w:r w:rsidR="00F40C85">
        <w:t>P</w:t>
      </w:r>
      <w:r w:rsidR="001A35BD">
        <w:t xml:space="preserve">roposed </w:t>
      </w:r>
      <w:r w:rsidR="00F40C85">
        <w:t>A</w:t>
      </w:r>
      <w:r w:rsidR="001A35BD">
        <w:t xml:space="preserve">ction.  Regeneration harvest is very concentrated </w:t>
      </w:r>
      <w:r w:rsidR="00AE30EF">
        <w:t>a</w:t>
      </w:r>
      <w:r w:rsidR="001A35BD">
        <w:t>nd it is unlikely that intervening leave strips between harvest units will offer much habitat for pileated woodpeckers</w:t>
      </w:r>
      <w:r w:rsidR="00F40C85">
        <w:t>.  With 1822-acres of regeneration harvest it is more likely that three or four potential home range</w:t>
      </w:r>
      <w:r w:rsidR="00AE30EF">
        <w:t>s would be eliminated.</w:t>
      </w:r>
      <w:r w:rsidR="00F40C85">
        <w:t xml:space="preserve"> </w:t>
      </w:r>
    </w:p>
    <w:p w:rsidR="00AE30EF" w:rsidRDefault="00AE30EF" w:rsidP="00EA54A3">
      <w:pPr>
        <w:pStyle w:val="ListParagraph"/>
        <w:spacing w:before="240"/>
        <w:ind w:left="0"/>
      </w:pPr>
    </w:p>
    <w:p w:rsidR="00F77F8E" w:rsidRDefault="00EA54A3" w:rsidP="00F77F8E">
      <w:pPr>
        <w:pStyle w:val="ListParagraph"/>
        <w:spacing w:before="240"/>
        <w:ind w:left="0"/>
      </w:pPr>
      <w:r>
        <w:t xml:space="preserve">Cumulative impacts have not been adequately addressed in the pileated woodpecker analysis and the analysis for other species. </w:t>
      </w:r>
      <w:r w:rsidR="006A1CA2">
        <w:t xml:space="preserve"> There is no mention of nearby projects such as Hungry Ridge</w:t>
      </w:r>
      <w:r>
        <w:t xml:space="preserve"> </w:t>
      </w:r>
      <w:r w:rsidR="00F40C85">
        <w:t>or End of the World.</w:t>
      </w:r>
      <w:r>
        <w:t xml:space="preserve"> </w:t>
      </w:r>
      <w:r w:rsidR="00F77F8E">
        <w:t>Once again</w:t>
      </w:r>
      <w:r w:rsidR="004C071E">
        <w:t>,</w:t>
      </w:r>
      <w:r w:rsidR="00F77F8E">
        <w:t xml:space="preserve"> the Forest Service relies on the Sampson (2006a, 2006b) and Bush and Lundberg (2008) reports to support their claims that habitat is “well represented” and will “ma</w:t>
      </w:r>
      <w:r w:rsidR="004C071E">
        <w:t>intain viable populations at the regional scale.” These documents</w:t>
      </w:r>
      <w:r w:rsidR="00F77F8E">
        <w:t xml:space="preserve"> are treated as static and there is no accounting for changes (timber sales and wildfires) that have occurred in the </w:t>
      </w:r>
      <w:r w:rsidR="004C071E">
        <w:t>fifteen</w:t>
      </w:r>
      <w:r w:rsidR="00F77F8E">
        <w:t xml:space="preserve"> to </w:t>
      </w:r>
      <w:r w:rsidR="004C071E">
        <w:t xml:space="preserve">seventeen </w:t>
      </w:r>
      <w:r w:rsidR="00F77F8E">
        <w:t xml:space="preserve">years since these reports were produced.  </w:t>
      </w:r>
      <w:r w:rsidR="00F77F8E" w:rsidRPr="00FB1876">
        <w:t xml:space="preserve">It is ironic that the </w:t>
      </w:r>
      <w:r w:rsidR="004C071E">
        <w:t xml:space="preserve">proposed action </w:t>
      </w:r>
      <w:r w:rsidR="004C071E">
        <w:lastRenderedPageBreak/>
        <w:t>document</w:t>
      </w:r>
      <w:r w:rsidR="00F77F8E" w:rsidRPr="00FB1876">
        <w:t xml:space="preserve"> uses the Samson (2006b) short-term viability analysis and the Bush and Lundberg 2008 habitat estimates as a way to show that pileated woodpeckers are being maintained at the Forest level and that the </w:t>
      </w:r>
      <w:r w:rsidR="004C071E">
        <w:t>Twenty-mile</w:t>
      </w:r>
      <w:r w:rsidR="00F77F8E">
        <w:t xml:space="preserve"> </w:t>
      </w:r>
      <w:r w:rsidR="00F77F8E" w:rsidRPr="00FB1876">
        <w:t xml:space="preserve">project will not contribute to cumulative impacts. </w:t>
      </w:r>
    </w:p>
    <w:p w:rsidR="00F77F8E" w:rsidRDefault="00F77F8E" w:rsidP="00F77F8E">
      <w:pPr>
        <w:pStyle w:val="ListParagraph"/>
        <w:spacing w:before="240"/>
        <w:ind w:left="0"/>
      </w:pPr>
    </w:p>
    <w:p w:rsidR="00F77F8E" w:rsidRPr="00FC2B46" w:rsidRDefault="00F77F8E" w:rsidP="00F77F8E">
      <w:pPr>
        <w:pStyle w:val="ListParagraph"/>
        <w:spacing w:before="240"/>
        <w:ind w:left="0"/>
      </w:pPr>
      <w:r w:rsidRPr="00FB1876">
        <w:t>Th</w:t>
      </w:r>
      <w:r>
        <w:t>e Bush and Lundberg (2008) numbers are based on a</w:t>
      </w:r>
      <w:r w:rsidRPr="00FB1876">
        <w:t xml:space="preserve"> simplistic query of FIA data is not spatially explicit and relies on meaningless definition of pileated woodpecker habitat that is not supported by the available literature (Bull and Holthausen 1993, McClelland and McClelland 1999, Mellen et al.1992).   Nesting habitat is simply defined as a stand with one dead tree per acre over 15 inches DBH and foraging habitat is defined as a stand with one dead tree per acres over 9 inches DBH.  This is not a defensible description of pileated woodpecker habitat and makes the analysis pretty much meaningless.</w:t>
      </w:r>
      <w:r>
        <w:t xml:space="preserve">  There is no requirement for the snags to be part of a mature stand and 15-inch DBH snags are not suitable for nesting by this species.</w:t>
      </w:r>
      <w:r w:rsidRPr="00FB1876">
        <w:t xml:space="preserve"> </w:t>
      </w:r>
      <w:r>
        <w:t xml:space="preserve">  If methods used in the Sampson, Bush and Lundberg had been utilized in the project area it is likely that </w:t>
      </w:r>
      <w:r w:rsidRPr="00FC2B46">
        <w:t xml:space="preserve">most of the stands in the </w:t>
      </w:r>
      <w:r w:rsidR="004C071E" w:rsidRPr="00FC2B46">
        <w:t xml:space="preserve">project </w:t>
      </w:r>
      <w:r w:rsidRPr="00FC2B46">
        <w:t>area would have been classified as nesting habitat.</w:t>
      </w:r>
    </w:p>
    <w:p w:rsidR="004C071E" w:rsidRPr="00FC2B46" w:rsidRDefault="004C071E" w:rsidP="00F77F8E">
      <w:pPr>
        <w:pStyle w:val="ListParagraph"/>
        <w:spacing w:before="240"/>
        <w:ind w:left="0"/>
      </w:pPr>
    </w:p>
    <w:p w:rsidR="00FC2B46" w:rsidRPr="00FC2B46" w:rsidRDefault="00AE30EF" w:rsidP="00FC2B46">
      <w:pPr>
        <w:contextualSpacing/>
        <w:rPr>
          <w:rFonts w:ascii="Times New Roman" w:eastAsia="Calibri" w:hAnsi="Times New Roman" w:cs="Times New Roman"/>
          <w:sz w:val="24"/>
          <w:szCs w:val="24"/>
        </w:rPr>
      </w:pPr>
      <w:r w:rsidRPr="00FC2B46">
        <w:rPr>
          <w:rFonts w:ascii="Times New Roman" w:hAnsi="Times New Roman" w:cs="Times New Roman"/>
          <w:sz w:val="24"/>
          <w:szCs w:val="24"/>
        </w:rPr>
        <w:t>In summary, the Twenty-mile pileated analysis shows the exact problem that</w:t>
      </w:r>
      <w:r w:rsidR="00F72C4A" w:rsidRPr="00FC2B46">
        <w:rPr>
          <w:rFonts w:ascii="Times New Roman" w:eastAsia="Calibri" w:hAnsi="Times New Roman" w:cs="Times New Roman"/>
          <w:sz w:val="24"/>
          <w:szCs w:val="24"/>
        </w:rPr>
        <w:t xml:space="preserve"> Schultz (2010) identified in her analysis of Forest</w:t>
      </w:r>
      <w:r w:rsidR="00FC2B46">
        <w:rPr>
          <w:rFonts w:ascii="Times New Roman" w:eastAsia="Calibri" w:hAnsi="Times New Roman" w:cs="Times New Roman"/>
          <w:sz w:val="24"/>
          <w:szCs w:val="24"/>
        </w:rPr>
        <w:t xml:space="preserve"> Service wildlife</w:t>
      </w:r>
      <w:r w:rsidR="00F72C4A" w:rsidRPr="00FC2B46">
        <w:rPr>
          <w:rFonts w:ascii="Times New Roman" w:eastAsia="Calibri" w:hAnsi="Times New Roman" w:cs="Times New Roman"/>
          <w:sz w:val="24"/>
          <w:szCs w:val="24"/>
        </w:rPr>
        <w:t xml:space="preserve">   Based on their own analysis the Forest Service does identify some loss of pileated woodpecker habitat, but this loss if pretty much dismissed by the idea that there is plenty of habitat in locations outside of the project are</w:t>
      </w:r>
      <w:r w:rsidR="00FC2B46">
        <w:rPr>
          <w:rFonts w:ascii="Times New Roman" w:eastAsia="Calibri" w:hAnsi="Times New Roman" w:cs="Times New Roman"/>
          <w:sz w:val="24"/>
          <w:szCs w:val="24"/>
        </w:rPr>
        <w:t>a.   Impacts of habitat fragmentation also As Schultz (2010)</w:t>
      </w:r>
      <w:r w:rsidRPr="00FC2B46">
        <w:rPr>
          <w:rFonts w:ascii="Times New Roman" w:hAnsi="Times New Roman" w:cs="Times New Roman"/>
          <w:sz w:val="24"/>
          <w:szCs w:val="24"/>
        </w:rPr>
        <w:t xml:space="preserve"> </w:t>
      </w:r>
      <w:r w:rsidR="00FC2B46" w:rsidRPr="00FC2B46">
        <w:rPr>
          <w:rFonts w:ascii="Times New Roman" w:eastAsia="Calibri" w:hAnsi="Times New Roman" w:cs="Times New Roman"/>
          <w:sz w:val="24"/>
          <w:szCs w:val="24"/>
        </w:rPr>
        <w:t>“the lack of management thresholds allows small portions of habitat to be eliminated incrementally without any signal when the loss of habitat might constitute a significant cumulative impact.”</w:t>
      </w:r>
    </w:p>
    <w:p w:rsidR="00FC2B46" w:rsidRDefault="00FC2B46" w:rsidP="00056D41">
      <w:pPr>
        <w:spacing w:line="240" w:lineRule="auto"/>
        <w:rPr>
          <w:rFonts w:ascii="Times New Roman" w:eastAsia="Times New Roman" w:hAnsi="Times New Roman" w:cs="Times New Roman"/>
          <w:sz w:val="24"/>
          <w:szCs w:val="24"/>
        </w:rPr>
      </w:pPr>
    </w:p>
    <w:p w:rsidR="00FB5446" w:rsidRPr="006D05C5" w:rsidRDefault="00734029" w:rsidP="00056D41">
      <w:pPr>
        <w:spacing w:line="24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American </w:t>
      </w:r>
      <w:r w:rsidR="00FB5446" w:rsidRPr="006D05C5">
        <w:rPr>
          <w:rFonts w:ascii="Times New Roman" w:hAnsi="Times New Roman" w:cs="Times New Roman"/>
          <w:b/>
          <w:bCs/>
          <w:sz w:val="24"/>
          <w:szCs w:val="24"/>
          <w:shd w:val="clear" w:color="auto" w:fill="FFFFFF"/>
        </w:rPr>
        <w:t>Marten</w:t>
      </w:r>
    </w:p>
    <w:p w:rsidR="00734029" w:rsidRPr="001D710C" w:rsidRDefault="00734029" w:rsidP="00243213">
      <w:pPr>
        <w:spacing w:before="240"/>
        <w:contextualSpacing/>
        <w:rPr>
          <w:rFonts w:ascii="Times New Roman" w:hAnsi="Times New Roman" w:cs="Times New Roman"/>
          <w:sz w:val="24"/>
          <w:szCs w:val="24"/>
        </w:rPr>
      </w:pPr>
      <w:r w:rsidRPr="001D710C">
        <w:rPr>
          <w:rFonts w:ascii="Times New Roman" w:hAnsi="Times New Roman" w:cs="Times New Roman"/>
          <w:sz w:val="24"/>
          <w:szCs w:val="24"/>
        </w:rPr>
        <w:t>The Proposed Action document suggests there 10,312-acres of marten habitat in the project area.   Timber harvest is estimated to impact 18% of this acreage and the planned prescribed burning overlaps with 48% of th</w:t>
      </w:r>
      <w:r w:rsidR="0099177E" w:rsidRPr="001D710C">
        <w:rPr>
          <w:rFonts w:ascii="Times New Roman" w:hAnsi="Times New Roman" w:cs="Times New Roman"/>
          <w:sz w:val="24"/>
          <w:szCs w:val="24"/>
        </w:rPr>
        <w:t>e suitable habitat</w:t>
      </w:r>
      <w:r w:rsidR="00153D8E" w:rsidRPr="001D710C">
        <w:rPr>
          <w:rFonts w:ascii="Times New Roman" w:hAnsi="Times New Roman" w:cs="Times New Roman"/>
          <w:sz w:val="24"/>
          <w:szCs w:val="24"/>
        </w:rPr>
        <w:t>.  There are no maps and information regarding how these acreages were identified.</w:t>
      </w:r>
      <w:r w:rsidR="00091109" w:rsidRPr="001D710C">
        <w:rPr>
          <w:rFonts w:ascii="Times New Roman" w:hAnsi="Times New Roman" w:cs="Times New Roman"/>
          <w:sz w:val="24"/>
          <w:szCs w:val="24"/>
        </w:rPr>
        <w:t xml:space="preserve"> Once </w:t>
      </w:r>
      <w:r w:rsidR="001D710C" w:rsidRPr="001D710C">
        <w:rPr>
          <w:rFonts w:ascii="Times New Roman" w:hAnsi="Times New Roman" w:cs="Times New Roman"/>
          <w:sz w:val="24"/>
          <w:szCs w:val="24"/>
        </w:rPr>
        <w:t>again,</w:t>
      </w:r>
      <w:r w:rsidR="00091109" w:rsidRPr="001D710C">
        <w:rPr>
          <w:rFonts w:ascii="Times New Roman" w:hAnsi="Times New Roman" w:cs="Times New Roman"/>
          <w:sz w:val="24"/>
          <w:szCs w:val="24"/>
        </w:rPr>
        <w:t xml:space="preserve"> the conclusion is that</w:t>
      </w:r>
      <w:r w:rsidR="001D710C" w:rsidRPr="001D710C">
        <w:rPr>
          <w:rFonts w:ascii="Times New Roman" w:hAnsi="Times New Roman" w:cs="Times New Roman"/>
          <w:sz w:val="24"/>
          <w:szCs w:val="24"/>
          <w:shd w:val="clear" w:color="auto" w:fill="FFFFFF"/>
        </w:rPr>
        <w:t xml:space="preserve"> “Concentrated areas of marten habitat exist both east and west of the project area boundary, making it</w:t>
      </w:r>
      <w:r w:rsidR="001D710C" w:rsidRPr="001D710C">
        <w:rPr>
          <w:rFonts w:ascii="Times New Roman" w:hAnsi="Times New Roman" w:cs="Times New Roman"/>
          <w:sz w:val="24"/>
          <w:szCs w:val="24"/>
        </w:rPr>
        <w:t xml:space="preserve"> </w:t>
      </w:r>
      <w:r w:rsidR="001D710C" w:rsidRPr="001D710C">
        <w:rPr>
          <w:rFonts w:ascii="Times New Roman" w:hAnsi="Times New Roman" w:cs="Times New Roman"/>
          <w:sz w:val="24"/>
          <w:szCs w:val="24"/>
          <w:shd w:val="clear" w:color="auto" w:fill="FFFFFF"/>
        </w:rPr>
        <w:t>unlikely that the level of harvest and burning associated with project will significantly reduce marten</w:t>
      </w:r>
      <w:r w:rsidR="001D710C" w:rsidRPr="001D710C">
        <w:rPr>
          <w:rFonts w:ascii="Times New Roman" w:hAnsi="Times New Roman" w:cs="Times New Roman"/>
          <w:sz w:val="24"/>
          <w:szCs w:val="24"/>
        </w:rPr>
        <w:t xml:space="preserve"> </w:t>
      </w:r>
      <w:r w:rsidR="001D710C" w:rsidRPr="001D710C">
        <w:rPr>
          <w:rFonts w:ascii="Times New Roman" w:hAnsi="Times New Roman" w:cs="Times New Roman"/>
          <w:sz w:val="24"/>
          <w:szCs w:val="24"/>
          <w:shd w:val="clear" w:color="auto" w:fill="FFFFFF"/>
        </w:rPr>
        <w:t>occupancy of the area. Additionally, marten habitat is well-represented and available throughout the</w:t>
      </w:r>
      <w:r w:rsidR="001D710C" w:rsidRPr="001D710C">
        <w:rPr>
          <w:rFonts w:ascii="Times New Roman" w:hAnsi="Times New Roman" w:cs="Times New Roman"/>
          <w:sz w:val="24"/>
          <w:szCs w:val="24"/>
        </w:rPr>
        <w:t xml:space="preserve"> </w:t>
      </w:r>
      <w:r w:rsidR="001D710C" w:rsidRPr="001D710C">
        <w:rPr>
          <w:rFonts w:ascii="Times New Roman" w:hAnsi="Times New Roman" w:cs="Times New Roman"/>
          <w:sz w:val="24"/>
          <w:szCs w:val="24"/>
          <w:shd w:val="clear" w:color="auto" w:fill="FFFFFF"/>
        </w:rPr>
        <w:t>Forest and exceeds that which is estimated as necessary to maintain viable populations at the regional</w:t>
      </w:r>
      <w:r w:rsidR="001D710C" w:rsidRPr="001D710C">
        <w:rPr>
          <w:rFonts w:ascii="Times New Roman" w:hAnsi="Times New Roman" w:cs="Times New Roman"/>
          <w:sz w:val="24"/>
          <w:szCs w:val="24"/>
        </w:rPr>
        <w:t xml:space="preserve"> </w:t>
      </w:r>
      <w:r w:rsidR="001D710C" w:rsidRPr="001D710C">
        <w:rPr>
          <w:rFonts w:ascii="Times New Roman" w:hAnsi="Times New Roman" w:cs="Times New Roman"/>
          <w:sz w:val="24"/>
          <w:szCs w:val="24"/>
          <w:shd w:val="clear" w:color="auto" w:fill="FFFFFF"/>
        </w:rPr>
        <w:t>scale.”</w:t>
      </w:r>
    </w:p>
    <w:p w:rsidR="00734029" w:rsidRPr="001D710C" w:rsidRDefault="00734029" w:rsidP="00243213">
      <w:pPr>
        <w:spacing w:before="240"/>
        <w:contextualSpacing/>
        <w:rPr>
          <w:rFonts w:ascii="Times New Roman" w:hAnsi="Times New Roman" w:cs="Times New Roman"/>
          <w:sz w:val="24"/>
          <w:szCs w:val="24"/>
        </w:rPr>
      </w:pPr>
    </w:p>
    <w:p w:rsidR="00243213" w:rsidRPr="00153D8E" w:rsidRDefault="00153D8E" w:rsidP="00243213">
      <w:pPr>
        <w:spacing w:before="240"/>
        <w:contextualSpacing/>
        <w:rPr>
          <w:rFonts w:ascii="Times New Roman" w:hAnsi="Times New Roman" w:cs="Times New Roman"/>
          <w:sz w:val="24"/>
          <w:szCs w:val="24"/>
        </w:rPr>
      </w:pPr>
      <w:r w:rsidRPr="001D710C">
        <w:rPr>
          <w:rFonts w:ascii="Times New Roman" w:hAnsi="Times New Roman" w:cs="Times New Roman"/>
          <w:sz w:val="24"/>
          <w:szCs w:val="24"/>
        </w:rPr>
        <w:t>It appears that the</w:t>
      </w:r>
      <w:r w:rsidR="00243213" w:rsidRPr="001D710C">
        <w:rPr>
          <w:rFonts w:ascii="Times New Roman" w:hAnsi="Times New Roman" w:cs="Times New Roman"/>
          <w:sz w:val="24"/>
          <w:szCs w:val="24"/>
        </w:rPr>
        <w:t xml:space="preserve"> pine marten analysis relies strictly on data base queries </w:t>
      </w:r>
      <w:r w:rsidRPr="001D710C">
        <w:rPr>
          <w:rFonts w:ascii="Times New Roman" w:hAnsi="Times New Roman" w:cs="Times New Roman"/>
          <w:sz w:val="24"/>
          <w:szCs w:val="24"/>
        </w:rPr>
        <w:t>to identify potential habitat</w:t>
      </w:r>
      <w:r w:rsidR="00243213" w:rsidRPr="001D710C">
        <w:rPr>
          <w:rFonts w:ascii="Times New Roman" w:hAnsi="Times New Roman" w:cs="Times New Roman"/>
          <w:sz w:val="24"/>
          <w:szCs w:val="24"/>
        </w:rPr>
        <w:t>.  The analysis is not spatially explicit and fails to recognize more recent literature on the effect that habitat fragmentation on the pine marten.  For example, numerous recent studies have found that the species is particularly</w:t>
      </w:r>
      <w:r w:rsidR="00243213" w:rsidRPr="00153D8E">
        <w:rPr>
          <w:rFonts w:ascii="Times New Roman" w:hAnsi="Times New Roman" w:cs="Times New Roman"/>
          <w:sz w:val="24"/>
          <w:szCs w:val="24"/>
        </w:rPr>
        <w:t xml:space="preserve"> vulnerable to habitat fragmentation (Webb and Boyce 2009, Hargis et al. 1999, Moriarty et al. 2011, Potvin et al. 2000, Wasserman et al. 2012).  For example, Hargis et al. (1999) reported that “Martens were nearly absent from landscapes having &gt;25% non-forest cover, even though forest connectivity was still present.”  Avoidance of openings is well documented in the literature (Potvin et al. 2000, Koehler and Hornocker 1977, Chapin et al. 1998 and Wasserman et al. 2012)</w:t>
      </w:r>
    </w:p>
    <w:p w:rsidR="00243213" w:rsidRPr="00153D8E" w:rsidRDefault="00243213" w:rsidP="00243213">
      <w:pPr>
        <w:spacing w:before="240"/>
        <w:contextualSpacing/>
        <w:rPr>
          <w:rFonts w:ascii="Times New Roman" w:hAnsi="Times New Roman" w:cs="Times New Roman"/>
          <w:sz w:val="24"/>
          <w:szCs w:val="24"/>
        </w:rPr>
      </w:pPr>
    </w:p>
    <w:p w:rsidR="00243213" w:rsidRPr="00153D8E" w:rsidRDefault="00243213" w:rsidP="00243213">
      <w:pPr>
        <w:spacing w:before="240"/>
        <w:contextualSpacing/>
        <w:rPr>
          <w:rFonts w:ascii="Times New Roman" w:hAnsi="Times New Roman" w:cs="Times New Roman"/>
          <w:sz w:val="24"/>
          <w:szCs w:val="24"/>
        </w:rPr>
      </w:pPr>
      <w:r w:rsidRPr="00153D8E">
        <w:rPr>
          <w:rFonts w:ascii="Times New Roman" w:hAnsi="Times New Roman" w:cs="Times New Roman"/>
          <w:sz w:val="24"/>
          <w:szCs w:val="24"/>
        </w:rPr>
        <w:t xml:space="preserve">The Nez Perce/Clearwater National Forest needs to do a better job of identifying fragmentation impacts on the pine marten on the </w:t>
      </w:r>
      <w:r w:rsidR="00734029" w:rsidRPr="00153D8E">
        <w:rPr>
          <w:rFonts w:ascii="Times New Roman" w:hAnsi="Times New Roman" w:cs="Times New Roman"/>
          <w:sz w:val="24"/>
          <w:szCs w:val="24"/>
        </w:rPr>
        <w:t>Twenty-mile</w:t>
      </w:r>
      <w:r w:rsidRPr="00153D8E">
        <w:rPr>
          <w:rFonts w:ascii="Times New Roman" w:hAnsi="Times New Roman" w:cs="Times New Roman"/>
          <w:sz w:val="24"/>
          <w:szCs w:val="24"/>
        </w:rPr>
        <w:t xml:space="preserve"> project.  I suggest that suitable habitat for the pine marten needs to be mapped at the project level. The findings of Wasserman et al. 2012 should prove useful in defining this habitat.  They found that and elevation of 4,593 (1400 meters) was the peak elevation for the probability of marten presence and that the probability of marten presence declined as elevation either increased or decreased.  Like many other studies they found that marten presence was positively influenced by the amount of mature closed canopy forest and negatively influenced by high road densities, non-stocked clearcuts and habitat fragmentation.  They also found that marten make use heavy use of western red cedar stands occurring in these higher elevation areas.  Use of spruce/fir forests was less than reported in some other studies such as Koehler and Hornocker (1997).  </w:t>
      </w:r>
    </w:p>
    <w:p w:rsidR="00243213" w:rsidRPr="00153D8E" w:rsidRDefault="00243213" w:rsidP="00243213">
      <w:pPr>
        <w:spacing w:before="240"/>
        <w:contextualSpacing/>
        <w:rPr>
          <w:rFonts w:ascii="Times New Roman" w:hAnsi="Times New Roman" w:cs="Times New Roman"/>
          <w:sz w:val="24"/>
          <w:szCs w:val="24"/>
        </w:rPr>
      </w:pPr>
    </w:p>
    <w:p w:rsidR="00243213" w:rsidRDefault="00243213" w:rsidP="00243213">
      <w:pPr>
        <w:spacing w:before="240"/>
        <w:contextualSpacing/>
        <w:rPr>
          <w:rFonts w:ascii="Times New Roman" w:hAnsi="Times New Roman" w:cs="Times New Roman"/>
          <w:sz w:val="24"/>
          <w:szCs w:val="24"/>
        </w:rPr>
      </w:pPr>
      <w:r w:rsidRPr="00153D8E">
        <w:rPr>
          <w:rFonts w:ascii="Times New Roman" w:hAnsi="Times New Roman" w:cs="Times New Roman"/>
          <w:sz w:val="24"/>
          <w:szCs w:val="24"/>
        </w:rPr>
        <w:t xml:space="preserve">Theoretical home ranges should then be delineated within the suitable habitat and that fragmentation effects examined.  Home range estimates are highly variable for marten (Buskirk and McDonald 1989, Powell 1994) and no good estimates are available for Idaho in the literature.  I suggest using the findings of Bull and Heater (2001) who found that female home ranges averaged 3,500 acres in nearby Northeastern Oregon.  They report that home ranges do not overlap significantly in the same sex, but larger male home ranges (6,700 acres) often overlap female home ranges.  The number of theoretical home ranges that the </w:t>
      </w:r>
      <w:r w:rsidR="00285130">
        <w:rPr>
          <w:rFonts w:ascii="Times New Roman" w:hAnsi="Times New Roman" w:cs="Times New Roman"/>
          <w:sz w:val="24"/>
          <w:szCs w:val="24"/>
        </w:rPr>
        <w:t xml:space="preserve">15,105-acre </w:t>
      </w:r>
      <w:r w:rsidRPr="00153D8E">
        <w:rPr>
          <w:rFonts w:ascii="Times New Roman" w:hAnsi="Times New Roman" w:cs="Times New Roman"/>
          <w:sz w:val="24"/>
          <w:szCs w:val="24"/>
        </w:rPr>
        <w:t>project area can support will be dependent on the amount of suitable habitat</w:t>
      </w:r>
      <w:r w:rsidR="00285130">
        <w:rPr>
          <w:rFonts w:ascii="Times New Roman" w:hAnsi="Times New Roman" w:cs="Times New Roman"/>
          <w:sz w:val="24"/>
          <w:szCs w:val="24"/>
        </w:rPr>
        <w:t xml:space="preserve"> and it is expected to be 3 or 4 female home ranges.</w:t>
      </w:r>
    </w:p>
    <w:p w:rsidR="00285130" w:rsidRPr="00153D8E" w:rsidRDefault="00285130" w:rsidP="00243213">
      <w:pPr>
        <w:spacing w:before="240"/>
        <w:contextualSpacing/>
        <w:rPr>
          <w:rFonts w:ascii="Times New Roman" w:hAnsi="Times New Roman" w:cs="Times New Roman"/>
          <w:sz w:val="24"/>
          <w:szCs w:val="24"/>
        </w:rPr>
      </w:pPr>
    </w:p>
    <w:p w:rsidR="00243213" w:rsidRPr="00153D8E" w:rsidRDefault="00243213" w:rsidP="00243213">
      <w:pPr>
        <w:spacing w:before="240"/>
        <w:contextualSpacing/>
        <w:rPr>
          <w:rFonts w:ascii="Times New Roman" w:hAnsi="Times New Roman" w:cs="Times New Roman"/>
          <w:sz w:val="24"/>
          <w:szCs w:val="24"/>
        </w:rPr>
      </w:pPr>
      <w:r w:rsidRPr="00153D8E">
        <w:rPr>
          <w:rFonts w:ascii="Times New Roman" w:hAnsi="Times New Roman" w:cs="Times New Roman"/>
          <w:sz w:val="24"/>
          <w:szCs w:val="24"/>
        </w:rPr>
        <w:t xml:space="preserve">Timber harvest should be then limited to actions that do not create extensive open areas in these home ranges.  For example, Wasserman et al. (2012) report the probability of marten detection drops from 0.5 to 0.4 when the landscape is composed of 15% non-stocked clearcuts.  Hargis et al. (1999) report little use of home ranges (landscapes) that have greater than 25% open habitat.  Such an analysis would give a much more scientifically based projection of the impact of the proposed project on marten habitat and more appropriately deal with fragmentation and habitat arrangement impacts that have been ignored in the current analysis. </w:t>
      </w:r>
    </w:p>
    <w:p w:rsidR="00243213" w:rsidRPr="00153D8E" w:rsidRDefault="00243213" w:rsidP="00243213">
      <w:pPr>
        <w:spacing w:before="240"/>
        <w:contextualSpacing/>
        <w:rPr>
          <w:rFonts w:ascii="Times New Roman" w:hAnsi="Times New Roman" w:cs="Times New Roman"/>
          <w:sz w:val="24"/>
          <w:szCs w:val="24"/>
        </w:rPr>
      </w:pPr>
    </w:p>
    <w:p w:rsidR="00243213" w:rsidRDefault="00243213" w:rsidP="00243213">
      <w:pPr>
        <w:spacing w:before="240"/>
        <w:contextualSpacing/>
        <w:rPr>
          <w:rFonts w:ascii="Times New Roman" w:hAnsi="Times New Roman" w:cs="Times New Roman"/>
          <w:sz w:val="24"/>
          <w:szCs w:val="24"/>
        </w:rPr>
      </w:pPr>
      <w:r w:rsidRPr="00153D8E">
        <w:rPr>
          <w:rFonts w:ascii="Times New Roman" w:hAnsi="Times New Roman" w:cs="Times New Roman"/>
          <w:sz w:val="24"/>
          <w:szCs w:val="24"/>
        </w:rPr>
        <w:t xml:space="preserve">Wasserman et al. (2012) point out four main management implications of their work that have implications for marten habitat in the project area.  First, is “that marten select habitat at multiple spatial scales, selecting home ranges within unfragmented landscapes with high canopy closure and low road density…”  Second is “the importance of low fragmentation, middle elevation forests” and third is that timber harvest in northern Idaho National Forest System lands was disproportionately concentrated in high-productivity and highly valuable middle-elevation mesic forest types”. These stands are the exact target of actions on the </w:t>
      </w:r>
      <w:r w:rsidR="00BD1E81">
        <w:rPr>
          <w:rFonts w:ascii="Times New Roman" w:hAnsi="Times New Roman" w:cs="Times New Roman"/>
          <w:sz w:val="24"/>
          <w:szCs w:val="24"/>
        </w:rPr>
        <w:t>Twenty-mile</w:t>
      </w:r>
      <w:r w:rsidRPr="00153D8E">
        <w:rPr>
          <w:rFonts w:ascii="Times New Roman" w:hAnsi="Times New Roman" w:cs="Times New Roman"/>
          <w:sz w:val="24"/>
          <w:szCs w:val="24"/>
        </w:rPr>
        <w:t xml:space="preserve"> project.  Fourth, “marten are highly sensitive to road density and patch density” and that “abandoned and decommissioned roads that do not appear on current travel plan maps still have substantial impact on marten habitat.  </w:t>
      </w:r>
      <w:r w:rsidR="003E4866">
        <w:rPr>
          <w:rFonts w:ascii="Times New Roman" w:hAnsi="Times New Roman" w:cs="Times New Roman"/>
          <w:sz w:val="24"/>
          <w:szCs w:val="24"/>
        </w:rPr>
        <w:t>The proposed action will construct 10-miles of new temporary road and maintain 36 miles of existing road some of which are currently grown over.   Access restrictions will also be eased on 8-miles of existing road.</w:t>
      </w:r>
    </w:p>
    <w:p w:rsidR="001D710C" w:rsidRDefault="001D710C" w:rsidP="00243213">
      <w:pPr>
        <w:spacing w:before="240"/>
        <w:contextualSpacing/>
        <w:rPr>
          <w:rFonts w:ascii="Times New Roman" w:hAnsi="Times New Roman" w:cs="Times New Roman"/>
          <w:sz w:val="24"/>
          <w:szCs w:val="24"/>
        </w:rPr>
      </w:pPr>
    </w:p>
    <w:p w:rsidR="00BD1E81" w:rsidRDefault="001D710C" w:rsidP="0014111A">
      <w:pPr>
        <w:spacing w:before="240"/>
        <w:contextualSpacing/>
        <w:rPr>
          <w:rFonts w:ascii="Times New Roman" w:hAnsi="Times New Roman" w:cs="Times New Roman"/>
          <w:sz w:val="24"/>
          <w:szCs w:val="24"/>
        </w:rPr>
      </w:pPr>
      <w:r>
        <w:rPr>
          <w:rFonts w:ascii="Times New Roman" w:hAnsi="Times New Roman" w:cs="Times New Roman"/>
          <w:sz w:val="24"/>
          <w:szCs w:val="24"/>
        </w:rPr>
        <w:t>Direct impacts to marten habitat are apparent due to habitat fragmentation in the northern and southeast portions of the project area where the large number of proposed regeneration harvest units will cause significant habitat fragmentation.  This fragmentation</w:t>
      </w:r>
      <w:r w:rsidR="001A371C">
        <w:rPr>
          <w:rFonts w:ascii="Times New Roman" w:hAnsi="Times New Roman" w:cs="Times New Roman"/>
          <w:sz w:val="24"/>
          <w:szCs w:val="24"/>
        </w:rPr>
        <w:t xml:space="preserve"> along with the very large harvest units that are proposed are likely to displace marten from those areas.  It can be expected that at least one female home range will be lost as a result of the project.</w:t>
      </w:r>
    </w:p>
    <w:p w:rsidR="0014111A" w:rsidRPr="00F453CD" w:rsidRDefault="0014111A" w:rsidP="0014111A">
      <w:pPr>
        <w:spacing w:before="240"/>
        <w:contextualSpacing/>
        <w:rPr>
          <w:rFonts w:ascii="Times New Roman" w:hAnsi="Times New Roman" w:cs="Times New Roman"/>
          <w:sz w:val="24"/>
          <w:szCs w:val="24"/>
        </w:rPr>
      </w:pPr>
    </w:p>
    <w:p w:rsidR="00091109" w:rsidRDefault="0099177E" w:rsidP="00056D41">
      <w:pPr>
        <w:spacing w:line="240" w:lineRule="auto"/>
        <w:rPr>
          <w:rFonts w:ascii="Times New Roman" w:hAnsi="Times New Roman" w:cs="Times New Roman"/>
          <w:sz w:val="24"/>
          <w:szCs w:val="24"/>
        </w:rPr>
      </w:pPr>
      <w:r w:rsidRPr="00F453CD">
        <w:rPr>
          <w:rFonts w:ascii="Times New Roman" w:hAnsi="Times New Roman" w:cs="Times New Roman"/>
          <w:sz w:val="24"/>
          <w:szCs w:val="24"/>
        </w:rPr>
        <w:t xml:space="preserve">Once again, the analysis of cumulative impacts relies on the outdated Sampson (2006b) </w:t>
      </w:r>
      <w:r w:rsidR="00F453CD">
        <w:rPr>
          <w:rFonts w:ascii="Times New Roman" w:hAnsi="Times New Roman" w:cs="Times New Roman"/>
          <w:sz w:val="24"/>
          <w:szCs w:val="24"/>
        </w:rPr>
        <w:t xml:space="preserve">viability </w:t>
      </w:r>
      <w:r w:rsidRPr="00F453CD">
        <w:rPr>
          <w:rFonts w:ascii="Times New Roman" w:hAnsi="Times New Roman" w:cs="Times New Roman"/>
          <w:sz w:val="24"/>
          <w:szCs w:val="24"/>
        </w:rPr>
        <w:t>analysis and the Bush</w:t>
      </w:r>
      <w:r w:rsidR="00F453CD" w:rsidRPr="00F453CD">
        <w:rPr>
          <w:rFonts w:ascii="Times New Roman" w:hAnsi="Times New Roman" w:cs="Times New Roman"/>
          <w:sz w:val="24"/>
          <w:szCs w:val="24"/>
        </w:rPr>
        <w:t xml:space="preserve"> and Lundberg (2008)</w:t>
      </w:r>
      <w:r w:rsidR="00F453CD">
        <w:rPr>
          <w:rFonts w:ascii="Times New Roman" w:hAnsi="Times New Roman" w:cs="Times New Roman"/>
          <w:sz w:val="24"/>
          <w:szCs w:val="24"/>
        </w:rPr>
        <w:t xml:space="preserve"> habitat analysis</w:t>
      </w:r>
      <w:r w:rsidR="001D710C">
        <w:rPr>
          <w:rFonts w:ascii="Times New Roman" w:hAnsi="Times New Roman" w:cs="Times New Roman"/>
          <w:sz w:val="24"/>
          <w:szCs w:val="24"/>
        </w:rPr>
        <w:t xml:space="preserve"> and ignores the impacts</w:t>
      </w:r>
      <w:r w:rsidR="001A371C">
        <w:rPr>
          <w:rFonts w:ascii="Times New Roman" w:hAnsi="Times New Roman" w:cs="Times New Roman"/>
          <w:sz w:val="24"/>
          <w:szCs w:val="24"/>
        </w:rPr>
        <w:t xml:space="preserve"> of other nearby</w:t>
      </w:r>
      <w:r w:rsidR="00F453CD">
        <w:rPr>
          <w:rFonts w:ascii="Times New Roman" w:hAnsi="Times New Roman" w:cs="Times New Roman"/>
          <w:sz w:val="24"/>
          <w:szCs w:val="24"/>
        </w:rPr>
        <w:t xml:space="preserve">.   </w:t>
      </w:r>
      <w:r w:rsidR="00C6401E">
        <w:rPr>
          <w:rFonts w:ascii="Times New Roman" w:hAnsi="Times New Roman" w:cs="Times New Roman"/>
          <w:sz w:val="24"/>
          <w:szCs w:val="24"/>
        </w:rPr>
        <w:t>The Sampson (2006b) analysis suggests viability for the American Marten would be maintained by 3459-acres of habitat across the entirety of Region One.  This is the home range size of a single female marten and does make any sense.  Bush and Lundberg (2008) suggest there are 1</w:t>
      </w:r>
      <w:r w:rsidR="00091109">
        <w:rPr>
          <w:rFonts w:ascii="Times New Roman" w:hAnsi="Times New Roman" w:cs="Times New Roman"/>
          <w:sz w:val="24"/>
          <w:szCs w:val="24"/>
        </w:rPr>
        <w:t>,002,659-acres of marten habitat on the Nez Perce National Forest.   Once again this is an FIA analysis that does not consider habitat fragmentation.   The query is based on stands with an average diameter of greater than 9-inches DBH and a crown closure of greater than 30%.  A wide variety of tree species groupings are also included in the query criteria.</w:t>
      </w:r>
      <w:r w:rsidR="0014111A">
        <w:rPr>
          <w:rFonts w:ascii="Times New Roman" w:hAnsi="Times New Roman" w:cs="Times New Roman"/>
          <w:sz w:val="24"/>
          <w:szCs w:val="24"/>
        </w:rPr>
        <w:t xml:space="preserve">   These criteria seem very liberal for a species that prefers older mature forests with closed canopies.</w:t>
      </w:r>
    </w:p>
    <w:p w:rsidR="0014111A" w:rsidRPr="00575ABD" w:rsidRDefault="0014111A" w:rsidP="00056D41">
      <w:pPr>
        <w:spacing w:line="240" w:lineRule="auto"/>
        <w:rPr>
          <w:rFonts w:ascii="Times New Roman" w:hAnsi="Times New Roman" w:cs="Times New Roman"/>
          <w:b/>
          <w:bCs/>
          <w:sz w:val="24"/>
          <w:szCs w:val="24"/>
        </w:rPr>
      </w:pPr>
      <w:r w:rsidRPr="00575ABD">
        <w:rPr>
          <w:rFonts w:ascii="Times New Roman" w:hAnsi="Times New Roman" w:cs="Times New Roman"/>
          <w:b/>
          <w:bCs/>
          <w:sz w:val="24"/>
          <w:szCs w:val="24"/>
        </w:rPr>
        <w:t>Elk</w:t>
      </w:r>
    </w:p>
    <w:p w:rsidR="0014111A" w:rsidRPr="00575ABD" w:rsidRDefault="0014111A" w:rsidP="00056D41">
      <w:pPr>
        <w:spacing w:line="240" w:lineRule="auto"/>
        <w:rPr>
          <w:rFonts w:ascii="Times New Roman" w:hAnsi="Times New Roman" w:cs="Times New Roman"/>
          <w:sz w:val="24"/>
          <w:szCs w:val="24"/>
        </w:rPr>
      </w:pPr>
      <w:r w:rsidRPr="00575ABD">
        <w:rPr>
          <w:rFonts w:ascii="Times New Roman" w:hAnsi="Times New Roman" w:cs="Times New Roman"/>
          <w:sz w:val="24"/>
          <w:szCs w:val="24"/>
        </w:rPr>
        <w:t xml:space="preserve">The Proposed Action document suggests there are four elk habitat analysis areas in the project area and that all four analysis areas are currently above </w:t>
      </w:r>
      <w:r w:rsidR="00DD57A4" w:rsidRPr="00575ABD">
        <w:rPr>
          <w:rFonts w:ascii="Times New Roman" w:hAnsi="Times New Roman" w:cs="Times New Roman"/>
          <w:sz w:val="24"/>
          <w:szCs w:val="24"/>
        </w:rPr>
        <w:t xml:space="preserve">Forest Plan </w:t>
      </w:r>
      <w:r w:rsidRPr="00575ABD">
        <w:rPr>
          <w:rFonts w:ascii="Times New Roman" w:hAnsi="Times New Roman" w:cs="Times New Roman"/>
          <w:sz w:val="24"/>
          <w:szCs w:val="24"/>
        </w:rPr>
        <w:t>standard</w:t>
      </w:r>
      <w:r w:rsidR="00DD57A4" w:rsidRPr="00575ABD">
        <w:rPr>
          <w:rFonts w:ascii="Times New Roman" w:hAnsi="Times New Roman" w:cs="Times New Roman"/>
          <w:sz w:val="24"/>
          <w:szCs w:val="24"/>
        </w:rPr>
        <w:t>s</w:t>
      </w:r>
      <w:r w:rsidRPr="00575ABD">
        <w:rPr>
          <w:rFonts w:ascii="Times New Roman" w:hAnsi="Times New Roman" w:cs="Times New Roman"/>
          <w:sz w:val="24"/>
          <w:szCs w:val="24"/>
        </w:rPr>
        <w:t xml:space="preserve">.   </w:t>
      </w:r>
      <w:r w:rsidR="00D66FE4" w:rsidRPr="00575ABD">
        <w:rPr>
          <w:rFonts w:ascii="Times New Roman" w:hAnsi="Times New Roman" w:cs="Times New Roman"/>
          <w:sz w:val="24"/>
          <w:szCs w:val="24"/>
        </w:rPr>
        <w:t xml:space="preserve">Results of </w:t>
      </w:r>
      <w:r w:rsidR="00DD57A4" w:rsidRPr="00575ABD">
        <w:rPr>
          <w:rFonts w:ascii="Times New Roman" w:hAnsi="Times New Roman" w:cs="Times New Roman"/>
          <w:sz w:val="24"/>
          <w:szCs w:val="24"/>
        </w:rPr>
        <w:t xml:space="preserve">the </w:t>
      </w:r>
      <w:r w:rsidR="00D66FE4" w:rsidRPr="00575ABD">
        <w:rPr>
          <w:rFonts w:ascii="Times New Roman" w:hAnsi="Times New Roman" w:cs="Times New Roman"/>
          <w:sz w:val="24"/>
          <w:szCs w:val="24"/>
        </w:rPr>
        <w:t xml:space="preserve">calculations </w:t>
      </w:r>
      <w:r w:rsidR="003040AD" w:rsidRPr="00575ABD">
        <w:rPr>
          <w:rFonts w:ascii="Times New Roman" w:hAnsi="Times New Roman" w:cs="Times New Roman"/>
          <w:sz w:val="24"/>
          <w:szCs w:val="24"/>
        </w:rPr>
        <w:t xml:space="preserve">(Servheen 1997) </w:t>
      </w:r>
      <w:r w:rsidR="003040AD">
        <w:rPr>
          <w:rFonts w:ascii="Times New Roman" w:hAnsi="Times New Roman" w:cs="Times New Roman"/>
          <w:sz w:val="24"/>
          <w:szCs w:val="24"/>
        </w:rPr>
        <w:t>f</w:t>
      </w:r>
      <w:r w:rsidR="00D66FE4" w:rsidRPr="00575ABD">
        <w:rPr>
          <w:rFonts w:ascii="Times New Roman" w:hAnsi="Times New Roman" w:cs="Times New Roman"/>
          <w:sz w:val="24"/>
          <w:szCs w:val="24"/>
        </w:rPr>
        <w:t xml:space="preserve">or the existing condition </w:t>
      </w:r>
      <w:r w:rsidR="00DD57A4" w:rsidRPr="00575ABD">
        <w:rPr>
          <w:rFonts w:ascii="Times New Roman" w:hAnsi="Times New Roman" w:cs="Times New Roman"/>
          <w:sz w:val="24"/>
          <w:szCs w:val="24"/>
        </w:rPr>
        <w:t>of</w:t>
      </w:r>
      <w:r w:rsidR="00D66FE4" w:rsidRPr="00575ABD">
        <w:rPr>
          <w:rFonts w:ascii="Times New Roman" w:hAnsi="Times New Roman" w:cs="Times New Roman"/>
          <w:sz w:val="24"/>
          <w:szCs w:val="24"/>
        </w:rPr>
        <w:t xml:space="preserve"> these four areas are included in the Proposed Action document</w:t>
      </w:r>
      <w:r w:rsidR="003040AD">
        <w:rPr>
          <w:rFonts w:ascii="Times New Roman" w:hAnsi="Times New Roman" w:cs="Times New Roman"/>
          <w:sz w:val="24"/>
          <w:szCs w:val="24"/>
        </w:rPr>
        <w:t xml:space="preserve"> (Table 3-24)</w:t>
      </w:r>
      <w:r w:rsidR="00734FBC">
        <w:rPr>
          <w:rFonts w:ascii="Times New Roman" w:hAnsi="Times New Roman" w:cs="Times New Roman"/>
          <w:sz w:val="24"/>
          <w:szCs w:val="24"/>
        </w:rPr>
        <w:t>. T</w:t>
      </w:r>
      <w:r w:rsidR="00DD57A4" w:rsidRPr="00575ABD">
        <w:rPr>
          <w:rFonts w:ascii="Times New Roman" w:hAnsi="Times New Roman" w:cs="Times New Roman"/>
          <w:sz w:val="24"/>
          <w:szCs w:val="24"/>
        </w:rPr>
        <w:t>he</w:t>
      </w:r>
      <w:r w:rsidR="00734FBC">
        <w:rPr>
          <w:rFonts w:ascii="Times New Roman" w:hAnsi="Times New Roman" w:cs="Times New Roman"/>
          <w:sz w:val="24"/>
          <w:szCs w:val="24"/>
        </w:rPr>
        <w:t xml:space="preserve"> results of the</w:t>
      </w:r>
      <w:r w:rsidR="00DD57A4" w:rsidRPr="00575ABD">
        <w:rPr>
          <w:rFonts w:ascii="Times New Roman" w:hAnsi="Times New Roman" w:cs="Times New Roman"/>
          <w:sz w:val="24"/>
          <w:szCs w:val="24"/>
        </w:rPr>
        <w:t xml:space="preserve"> impacts of the proposed action</w:t>
      </w:r>
      <w:r w:rsidR="00734FBC">
        <w:rPr>
          <w:rFonts w:ascii="Times New Roman" w:hAnsi="Times New Roman" w:cs="Times New Roman"/>
          <w:sz w:val="24"/>
          <w:szCs w:val="24"/>
        </w:rPr>
        <w:t xml:space="preserve"> are also displayed </w:t>
      </w:r>
      <w:r w:rsidR="00C02A7B">
        <w:rPr>
          <w:rFonts w:ascii="Times New Roman" w:hAnsi="Times New Roman" w:cs="Times New Roman"/>
          <w:sz w:val="24"/>
          <w:szCs w:val="24"/>
        </w:rPr>
        <w:t xml:space="preserve">in Table 3-25 and indicate </w:t>
      </w:r>
      <w:r w:rsidR="00DD57A4" w:rsidRPr="00575ABD">
        <w:rPr>
          <w:rFonts w:ascii="Times New Roman" w:hAnsi="Times New Roman" w:cs="Times New Roman"/>
          <w:sz w:val="24"/>
          <w:szCs w:val="24"/>
        </w:rPr>
        <w:t>that</w:t>
      </w:r>
      <w:r w:rsidR="00C02A7B">
        <w:rPr>
          <w:rFonts w:ascii="Times New Roman" w:hAnsi="Times New Roman" w:cs="Times New Roman"/>
          <w:sz w:val="24"/>
          <w:szCs w:val="24"/>
        </w:rPr>
        <w:t xml:space="preserve"> e</w:t>
      </w:r>
      <w:r w:rsidR="00DD57A4" w:rsidRPr="00575ABD">
        <w:rPr>
          <w:rFonts w:ascii="Times New Roman" w:hAnsi="Times New Roman" w:cs="Times New Roman"/>
          <w:sz w:val="24"/>
          <w:szCs w:val="24"/>
        </w:rPr>
        <w:t>lk habitat effectiveness would remain above Forest Plan Objectives in all four EAAs.” There are no maps or background information displaying the actual data that support these conclusions.</w:t>
      </w:r>
    </w:p>
    <w:p w:rsidR="00575ABD" w:rsidRPr="00575ABD" w:rsidRDefault="00DD57A4" w:rsidP="00575ABD">
      <w:pPr>
        <w:spacing w:line="240" w:lineRule="auto"/>
        <w:rPr>
          <w:rFonts w:ascii="Times New Roman" w:hAnsi="Times New Roman" w:cs="Times New Roman"/>
          <w:sz w:val="24"/>
          <w:szCs w:val="24"/>
        </w:rPr>
      </w:pPr>
      <w:r w:rsidRPr="00575ABD">
        <w:rPr>
          <w:rFonts w:ascii="Times New Roman" w:hAnsi="Times New Roman" w:cs="Times New Roman"/>
          <w:sz w:val="24"/>
          <w:szCs w:val="24"/>
        </w:rPr>
        <w:t>I find it very hard to believe that elk habitat effectiveness would remain above standard in all four units give</w:t>
      </w:r>
      <w:r w:rsidR="00575ABD" w:rsidRPr="00575ABD">
        <w:rPr>
          <w:rFonts w:ascii="Times New Roman" w:hAnsi="Times New Roman" w:cs="Times New Roman"/>
          <w:sz w:val="24"/>
          <w:szCs w:val="24"/>
        </w:rPr>
        <w:t>n</w:t>
      </w:r>
      <w:r w:rsidRPr="00575ABD">
        <w:rPr>
          <w:rFonts w:ascii="Times New Roman" w:hAnsi="Times New Roman" w:cs="Times New Roman"/>
          <w:sz w:val="24"/>
          <w:szCs w:val="24"/>
        </w:rPr>
        <w:t xml:space="preserve"> the size of </w:t>
      </w:r>
      <w:r w:rsidR="00575ABD" w:rsidRPr="00575ABD">
        <w:rPr>
          <w:rFonts w:ascii="Times New Roman" w:hAnsi="Times New Roman" w:cs="Times New Roman"/>
          <w:sz w:val="24"/>
          <w:szCs w:val="24"/>
        </w:rPr>
        <w:t xml:space="preserve">the </w:t>
      </w:r>
      <w:r w:rsidRPr="00575ABD">
        <w:rPr>
          <w:rFonts w:ascii="Times New Roman" w:hAnsi="Times New Roman" w:cs="Times New Roman"/>
          <w:sz w:val="24"/>
          <w:szCs w:val="24"/>
        </w:rPr>
        <w:t>proposed harvest units</w:t>
      </w:r>
      <w:r w:rsidR="00575ABD" w:rsidRPr="00575ABD">
        <w:rPr>
          <w:rFonts w:ascii="Times New Roman" w:hAnsi="Times New Roman" w:cs="Times New Roman"/>
          <w:sz w:val="24"/>
          <w:szCs w:val="24"/>
        </w:rPr>
        <w:t xml:space="preserve"> and concentration of proposed activities.  </w:t>
      </w:r>
      <w:r w:rsidR="00575ABD" w:rsidRPr="00575ABD">
        <w:rPr>
          <w:rFonts w:ascii="Times New Roman" w:hAnsi="Times New Roman" w:cs="Times New Roman"/>
          <w:bCs/>
          <w:sz w:val="24"/>
          <w:szCs w:val="24"/>
        </w:rPr>
        <w:t>Several large openings will be created that will be over 100-acres in size</w:t>
      </w:r>
      <w:r w:rsidR="00575ABD">
        <w:rPr>
          <w:rFonts w:ascii="Times New Roman" w:hAnsi="Times New Roman" w:cs="Times New Roman"/>
          <w:bCs/>
          <w:sz w:val="24"/>
          <w:szCs w:val="24"/>
        </w:rPr>
        <w:t xml:space="preserve"> and little cover will be retained be</w:t>
      </w:r>
      <w:r w:rsidR="00575ABD" w:rsidRPr="00575ABD">
        <w:rPr>
          <w:rFonts w:ascii="Times New Roman" w:hAnsi="Times New Roman" w:cs="Times New Roman"/>
          <w:bCs/>
          <w:sz w:val="24"/>
          <w:szCs w:val="24"/>
        </w:rPr>
        <w:t xml:space="preserve">.  Big game (especially deer and elk) will not </w:t>
      </w:r>
      <w:r w:rsidR="003040AD">
        <w:rPr>
          <w:rFonts w:ascii="Times New Roman" w:hAnsi="Times New Roman" w:cs="Times New Roman"/>
          <w:bCs/>
          <w:sz w:val="24"/>
          <w:szCs w:val="24"/>
        </w:rPr>
        <w:t xml:space="preserve">fully </w:t>
      </w:r>
      <w:r w:rsidR="00575ABD" w:rsidRPr="00575ABD">
        <w:rPr>
          <w:rFonts w:ascii="Times New Roman" w:hAnsi="Times New Roman" w:cs="Times New Roman"/>
          <w:bCs/>
          <w:sz w:val="24"/>
          <w:szCs w:val="24"/>
        </w:rPr>
        <w:t xml:space="preserve">utilize these large openings.  </w:t>
      </w:r>
      <w:r w:rsidR="00575ABD" w:rsidRPr="00575ABD">
        <w:rPr>
          <w:rFonts w:ascii="Times New Roman" w:hAnsi="Times New Roman" w:cs="Times New Roman"/>
          <w:sz w:val="24"/>
          <w:szCs w:val="24"/>
        </w:rPr>
        <w:t xml:space="preserve">The elk guidelines (Servheen et al. 1997) stress that in order to be fully utilized, openings need to be less than 500 feet from cover and be bordered on all sides by cover not less than 800 feet in width. According to the guidelines “elk forage is present in openings and under forest canopies, and quantity is usually not a limiting factor on summer range.”  </w:t>
      </w:r>
    </w:p>
    <w:p w:rsidR="0014111A" w:rsidRPr="00F453CD" w:rsidRDefault="00575ABD" w:rsidP="00056D41">
      <w:pPr>
        <w:spacing w:line="240" w:lineRule="auto"/>
        <w:rPr>
          <w:rFonts w:ascii="Times New Roman" w:hAnsi="Times New Roman" w:cs="Times New Roman"/>
          <w:sz w:val="24"/>
          <w:szCs w:val="24"/>
        </w:rPr>
      </w:pPr>
      <w:r w:rsidRPr="00575ABD">
        <w:rPr>
          <w:rFonts w:ascii="Times New Roman" w:hAnsi="Times New Roman" w:cs="Times New Roman"/>
          <w:sz w:val="24"/>
          <w:szCs w:val="24"/>
        </w:rPr>
        <w:t>Please display maps and background calculations for your elk analysis in your final EA</w:t>
      </w:r>
      <w:r>
        <w:rPr>
          <w:rFonts w:ascii="Times New Roman" w:hAnsi="Times New Roman" w:cs="Times New Roman"/>
          <w:sz w:val="24"/>
          <w:szCs w:val="24"/>
        </w:rPr>
        <w:t>.</w:t>
      </w:r>
    </w:p>
    <w:p w:rsidR="00EC0A52" w:rsidRDefault="00BD1E81" w:rsidP="00056D41">
      <w:pPr>
        <w:spacing w:line="240" w:lineRule="auto"/>
        <w:rPr>
          <w:rFonts w:ascii="Times New Roman" w:hAnsi="Times New Roman" w:cs="Times New Roman"/>
          <w:b/>
          <w:bCs/>
          <w:sz w:val="24"/>
          <w:szCs w:val="24"/>
        </w:rPr>
      </w:pPr>
      <w:r w:rsidRPr="00F453CD">
        <w:rPr>
          <w:rFonts w:ascii="Times New Roman" w:hAnsi="Times New Roman" w:cs="Times New Roman"/>
          <w:b/>
          <w:bCs/>
          <w:sz w:val="24"/>
          <w:szCs w:val="24"/>
        </w:rPr>
        <w:t>Moose</w:t>
      </w:r>
    </w:p>
    <w:p w:rsidR="00EC0A52" w:rsidRDefault="00EC0A52" w:rsidP="00EC0A52">
      <w:pPr>
        <w:pStyle w:val="ListParagraph"/>
        <w:spacing w:before="240"/>
        <w:ind w:left="0"/>
      </w:pPr>
      <w:r>
        <w:t>Previous studies of moose habitat on the Nez Perce National Forest have documented the importance of dense understories of Pacific yew stands under old-growth grand fir communities (Pierce and Peek 1984).  The importance of these habitats has been documented in the Forest Plan with a special management area (MA-21) and local habitat management guidelines that have been developed based on that past research (Peek et al. 1987).</w:t>
      </w:r>
      <w:r w:rsidR="00BB2A0D">
        <w:t xml:space="preserve">  </w:t>
      </w:r>
      <w:r>
        <w:t xml:space="preserve">The guidelines suggest that no more than 45% of MA 21 should be in age classes younger than 90 years and that no more than 14% should be logged in any 30-year period. </w:t>
      </w:r>
    </w:p>
    <w:p w:rsidR="00EC0A52" w:rsidRDefault="00EC0A52" w:rsidP="00EC0A52">
      <w:pPr>
        <w:pStyle w:val="ListParagraph"/>
        <w:spacing w:before="240"/>
        <w:ind w:left="0"/>
      </w:pPr>
    </w:p>
    <w:p w:rsidR="00EC0A52" w:rsidRDefault="00EC0A52" w:rsidP="00EC0A52">
      <w:pPr>
        <w:pStyle w:val="ListParagraph"/>
        <w:spacing w:before="240"/>
        <w:ind w:left="0"/>
      </w:pPr>
      <w:r>
        <w:t xml:space="preserve">Management area direction for MA-21 has a standard that only lands under 35% slope are suitable for timber harvest and that only 5% of the </w:t>
      </w:r>
      <w:r w:rsidRPr="007E6E10">
        <w:rPr>
          <w:b/>
        </w:rPr>
        <w:t>suitable</w:t>
      </w:r>
      <w:r>
        <w:t xml:space="preserve"> acreage can be harvested each decade.  Suitable lands (those under 35% slope) are to be managed on a 210-year rotation.  Harvested stands are to be managed to maintain 50% of the live Pacific yew component.</w:t>
      </w:r>
    </w:p>
    <w:p w:rsidR="00EC0A52" w:rsidRDefault="00EC0A52" w:rsidP="00EC0A52">
      <w:pPr>
        <w:pStyle w:val="ListParagraph"/>
        <w:spacing w:before="240"/>
        <w:ind w:left="0"/>
      </w:pPr>
    </w:p>
    <w:p w:rsidR="006F6C13" w:rsidRDefault="00EC0A52" w:rsidP="00EC0A52">
      <w:pPr>
        <w:pStyle w:val="ListParagraph"/>
        <w:spacing w:before="240"/>
        <w:ind w:left="0"/>
      </w:pPr>
      <w:r>
        <w:t xml:space="preserve">The </w:t>
      </w:r>
      <w:r w:rsidR="006F6C13">
        <w:t xml:space="preserve">Proposed Action document suggests that 28% of Management Area 21 is scheduled for timber harvest and </w:t>
      </w:r>
      <w:r>
        <w:t>does not list how much of MA-21 is under 35% slope</w:t>
      </w:r>
      <w:r w:rsidR="006F6C13">
        <w:t>.  Prescribed burning will impact another 21% of MA-21</w:t>
      </w:r>
      <w:r w:rsidR="00BB2A0D">
        <w:t xml:space="preserve"> according to the Proposed Action document</w:t>
      </w:r>
      <w:r w:rsidR="006F6C13">
        <w:t>.  This level of activity appears to be a violation of the</w:t>
      </w:r>
      <w:r w:rsidR="00BB2A0D">
        <w:t xml:space="preserve"> Nez Perce Forest Plan</w:t>
      </w:r>
      <w:r w:rsidR="00734FBC">
        <w:t xml:space="preserve"> and is unexplained in the Proposed Action document.</w:t>
      </w:r>
    </w:p>
    <w:p w:rsidR="00E23B4F" w:rsidRDefault="00E23B4F" w:rsidP="00EC0A52">
      <w:pPr>
        <w:pStyle w:val="ListParagraph"/>
        <w:spacing w:before="240"/>
        <w:ind w:left="0"/>
      </w:pPr>
    </w:p>
    <w:p w:rsidR="00E23B4F" w:rsidRDefault="00E23B4F" w:rsidP="00E23B4F">
      <w:pPr>
        <w:pStyle w:val="ListParagraph"/>
        <w:spacing w:before="240"/>
        <w:ind w:left="0"/>
        <w:jc w:val="both"/>
        <w:rPr>
          <w:b/>
          <w:bCs/>
        </w:rPr>
      </w:pPr>
      <w:r w:rsidRPr="00E23B4F">
        <w:rPr>
          <w:b/>
          <w:bCs/>
        </w:rPr>
        <w:t>Aquatics</w:t>
      </w:r>
    </w:p>
    <w:p w:rsidR="00695393" w:rsidRDefault="00695393" w:rsidP="00E23B4F">
      <w:pPr>
        <w:pStyle w:val="ListParagraph"/>
        <w:spacing w:before="240"/>
        <w:ind w:left="0"/>
        <w:jc w:val="both"/>
        <w:rPr>
          <w:b/>
          <w:bCs/>
        </w:rPr>
      </w:pPr>
    </w:p>
    <w:p w:rsidR="00A25A0A" w:rsidRDefault="00695393" w:rsidP="00E23B4F">
      <w:pPr>
        <w:pStyle w:val="ListParagraph"/>
        <w:spacing w:before="240"/>
        <w:ind w:left="0"/>
        <w:jc w:val="both"/>
      </w:pPr>
      <w:r w:rsidRPr="0021683E">
        <w:t>The watershed and fisheries analysis predicts that sediment production will remain under Forest Plan standards and there will be no fisheries impacts.  The analysis accurately suggests that sediment impacts must be analyzed in true watersheds such as Twenty-mile Creek</w:t>
      </w:r>
      <w:r w:rsidR="0021683E">
        <w:t xml:space="preserve"> and Rainy Day Creek.  However,</w:t>
      </w:r>
      <w:r w:rsidR="00A25A0A">
        <w:t xml:space="preserve"> </w:t>
      </w:r>
      <w:r w:rsidR="0021683E">
        <w:t>analysis</w:t>
      </w:r>
      <w:r w:rsidR="00A25A0A">
        <w:t xml:space="preserve"> in the Wing Creek South Fork Clearwater HUC 12 analysis area</w:t>
      </w:r>
      <w:r w:rsidR="0021683E">
        <w:t xml:space="preserve"> does not utilize</w:t>
      </w:r>
      <w:r w:rsidR="002E70F7">
        <w:t xml:space="preserve"> a</w:t>
      </w:r>
      <w:r w:rsidR="0021683E">
        <w:t xml:space="preserve"> true watershed for the evaluation road density and water yield.</w:t>
      </w:r>
      <w:r w:rsidR="00A25A0A">
        <w:t xml:space="preserve">  Cutting units in this HUC 12 analysis area are either found in Rainy Day Creek or </w:t>
      </w:r>
      <w:r w:rsidR="00F22982">
        <w:t xml:space="preserve">within small </w:t>
      </w:r>
      <w:r w:rsidR="00A25A0A">
        <w:t>face drainages that drain directly into the South Fork of the Clearwater River.</w:t>
      </w:r>
      <w:r w:rsidR="00243830">
        <w:t xml:space="preserve"> Portions of the Wing Creek South Fork Clearwater HUC12 analysis area outside of the project area are not displayed in the Proposed Action Document.</w:t>
      </w:r>
    </w:p>
    <w:p w:rsidR="00A25A0A" w:rsidRDefault="00A25A0A" w:rsidP="00E23B4F">
      <w:pPr>
        <w:pStyle w:val="ListParagraph"/>
        <w:spacing w:before="240"/>
        <w:ind w:left="0"/>
        <w:jc w:val="both"/>
      </w:pPr>
    </w:p>
    <w:p w:rsidR="00E23B4F" w:rsidRDefault="00A25A0A" w:rsidP="00243830">
      <w:pPr>
        <w:pStyle w:val="ListParagraph"/>
        <w:spacing w:before="240"/>
        <w:ind w:left="0"/>
        <w:jc w:val="both"/>
      </w:pPr>
      <w:r>
        <w:t xml:space="preserve">The greatest risk that </w:t>
      </w:r>
      <w:r w:rsidR="00243830">
        <w:t xml:space="preserve">proposed harvest </w:t>
      </w:r>
      <w:r>
        <w:t xml:space="preserve">units pose </w:t>
      </w:r>
      <w:r w:rsidR="00F22982">
        <w:t xml:space="preserve">to water quality is the increased potential for landslides on the steep slopes above the South Fork. </w:t>
      </w:r>
      <w:r w:rsidR="002E70F7">
        <w:t>I am most concerned about</w:t>
      </w:r>
      <w:r w:rsidR="00243830">
        <w:t xml:space="preserve"> units 21, 22, 23 and 24</w:t>
      </w:r>
      <w:r w:rsidR="002E70F7">
        <w:t xml:space="preserve"> </w:t>
      </w:r>
      <w:r w:rsidR="00243830">
        <w:t>that appear to be on steeper slopes above the South Fork and</w:t>
      </w:r>
      <w:r w:rsidR="00F22982">
        <w:t xml:space="preserve"> </w:t>
      </w:r>
      <w:r w:rsidR="00243830">
        <w:t xml:space="preserve">may create increased risk of mass failure along road 1875.  </w:t>
      </w:r>
    </w:p>
    <w:p w:rsidR="00243830" w:rsidRDefault="00243830" w:rsidP="00243830">
      <w:pPr>
        <w:pStyle w:val="ListParagraph"/>
        <w:spacing w:before="240"/>
        <w:ind w:left="0"/>
        <w:jc w:val="both"/>
      </w:pPr>
    </w:p>
    <w:p w:rsidR="00243830" w:rsidRDefault="00243830" w:rsidP="00243830">
      <w:pPr>
        <w:pStyle w:val="ListParagraph"/>
        <w:spacing w:before="240"/>
        <w:ind w:left="0"/>
        <w:jc w:val="both"/>
      </w:pPr>
      <w:r>
        <w:t>I also wonder about the proposed prescribed burning in the Twenty-mile Creek drainage.  The proposed burn is quite large</w:t>
      </w:r>
      <w:r w:rsidR="00365C5F">
        <w:t xml:space="preserve"> (6,807-acres) and will impact 100% of the West Fork of Twenty-mile Creek and a large portion of </w:t>
      </w:r>
      <w:r w:rsidR="00932AC6">
        <w:t xml:space="preserve">the </w:t>
      </w:r>
      <w:r w:rsidR="00365C5F">
        <w:t xml:space="preserve">remaining drainage which </w:t>
      </w:r>
      <w:r w:rsidR="002A3F71">
        <w:t>will be</w:t>
      </w:r>
      <w:r w:rsidR="00365C5F">
        <w:t xml:space="preserve"> impacted by </w:t>
      </w:r>
      <w:r w:rsidR="00B5792C">
        <w:t xml:space="preserve">both burning and </w:t>
      </w:r>
      <w:r w:rsidR="00365C5F">
        <w:t>proposed timber harvest.</w:t>
      </w:r>
      <w:r w:rsidR="00932AC6">
        <w:t xml:space="preserve">  The area contains steep slopes and the species composition, which is dominated by grand fir, is not conducive to under burning.  There is a high potential for this under burning to get out of hand and create much more open area than what is predicted by the Forest Service.  It is also questionable what value the proposed unburning would accomplish in mature stands that are now </w:t>
      </w:r>
      <w:r w:rsidR="00FA6DC1">
        <w:t>dominated</w:t>
      </w:r>
      <w:r w:rsidR="00932AC6">
        <w:t xml:space="preserve"> by mature grand fir. </w:t>
      </w:r>
      <w:r w:rsidR="00FA6DC1">
        <w:t>Should the proposed under burning get out of hand there could be serious consequence to water quality.</w:t>
      </w:r>
    </w:p>
    <w:p w:rsidR="00243830" w:rsidRDefault="00243830" w:rsidP="00243830">
      <w:pPr>
        <w:pStyle w:val="ListParagraph"/>
        <w:spacing w:before="240"/>
        <w:ind w:left="0"/>
        <w:jc w:val="both"/>
      </w:pPr>
    </w:p>
    <w:p w:rsidR="00E23B4F" w:rsidRPr="00E23B4F" w:rsidRDefault="00E23B4F" w:rsidP="00EC0A52">
      <w:pPr>
        <w:pStyle w:val="ListParagraph"/>
        <w:spacing w:before="240"/>
        <w:ind w:left="0"/>
        <w:rPr>
          <w:b/>
          <w:bCs/>
        </w:rPr>
      </w:pPr>
      <w:r w:rsidRPr="00E23B4F">
        <w:rPr>
          <w:b/>
          <w:bCs/>
        </w:rPr>
        <w:t>Wild and Scenic River Corridor</w:t>
      </w:r>
    </w:p>
    <w:p w:rsidR="006F6C13" w:rsidRPr="00E23B4F" w:rsidRDefault="006F6C13" w:rsidP="00EC0A52">
      <w:pPr>
        <w:pStyle w:val="ListParagraph"/>
        <w:spacing w:before="240"/>
        <w:ind w:left="0"/>
        <w:rPr>
          <w:b/>
          <w:bCs/>
        </w:rPr>
      </w:pPr>
    </w:p>
    <w:p w:rsidR="00E23B4F" w:rsidRDefault="00E23B4F" w:rsidP="00EC0A52">
      <w:pPr>
        <w:pStyle w:val="ListParagraph"/>
        <w:spacing w:before="240"/>
        <w:ind w:left="0"/>
      </w:pPr>
      <w:r>
        <w:t>Why is it necessary to conduct 24-acres of regeneration harvest in the</w:t>
      </w:r>
      <w:r w:rsidR="00B27B65">
        <w:t xml:space="preserve"> </w:t>
      </w:r>
      <w:r w:rsidR="001C5029">
        <w:t xml:space="preserve">eligible </w:t>
      </w:r>
      <w:r>
        <w:t>wild and scenic river corridor</w:t>
      </w:r>
      <w:r w:rsidR="00F751B3">
        <w:t xml:space="preserve"> and timber harvest in units 22, 23 and 24</w:t>
      </w:r>
      <w:r>
        <w:t>?</w:t>
      </w:r>
      <w:r w:rsidR="00B27B65">
        <w:t xml:space="preserve">  Unit 24 is 18-acres and entirely in the wild and scenic river corridor.   Unit 22 is actually 19-acres and the Forest Service has estimated that six-acres </w:t>
      </w:r>
      <w:r w:rsidR="001C5029">
        <w:t xml:space="preserve">will be in the wild and scenic </w:t>
      </w:r>
      <w:r w:rsidR="00546B7F">
        <w:t xml:space="preserve">river </w:t>
      </w:r>
      <w:r w:rsidR="001C5029">
        <w:t xml:space="preserve">corridor.  Unit 23 </w:t>
      </w:r>
      <w:r w:rsidR="00546B7F">
        <w:t>(26-acres</w:t>
      </w:r>
      <w:r w:rsidR="00B40474">
        <w:t xml:space="preserve">) is located between the other two units and appears to be just outside of the eligible wild and scenic river corridor.   </w:t>
      </w:r>
      <w:r w:rsidR="00B40474">
        <w:lastRenderedPageBreak/>
        <w:t>All three units are located near existing switchbacks of road 1875 as it climbs out of the South Fork of the Clearwater River</w:t>
      </w:r>
      <w:r w:rsidR="005D503A">
        <w:t xml:space="preserve"> corridor</w:t>
      </w:r>
      <w:r w:rsidR="00B40474">
        <w:t>.</w:t>
      </w:r>
    </w:p>
    <w:p w:rsidR="00B40474" w:rsidRDefault="00B40474" w:rsidP="00EC0A52">
      <w:pPr>
        <w:pStyle w:val="ListParagraph"/>
        <w:spacing w:before="240"/>
        <w:ind w:left="0"/>
      </w:pPr>
    </w:p>
    <w:p w:rsidR="00B40474" w:rsidRDefault="00B40474" w:rsidP="00EC0A52">
      <w:pPr>
        <w:pStyle w:val="ListParagraph"/>
        <w:spacing w:before="240"/>
        <w:ind w:left="0"/>
      </w:pPr>
      <w:r>
        <w:t>While it is difficult to tell from the provided maps, it appears that most of the area involved with these three units is</w:t>
      </w:r>
      <w:r w:rsidR="005D503A">
        <w:t xml:space="preserve"> located in an area with a high probability of erosion or mass wasting. The units have the potential to increase landslide risk and the possibility of road failure near the existing road switchbacks.</w:t>
      </w:r>
      <w:r w:rsidR="004B3AEA">
        <w:t xml:space="preserve">  While the Proposed Action document claims that topography will hide most of the units from travelers using Highway 14, it still appears that the likelihood of the creation of a visual eyesore is high.  Should a landslide occur</w:t>
      </w:r>
      <w:r w:rsidR="00A151BD">
        <w:t>,</w:t>
      </w:r>
      <w:r w:rsidR="004B3AEA">
        <w:t xml:space="preserve"> there will be major concerns for </w:t>
      </w:r>
      <w:r w:rsidR="00A151BD">
        <w:t xml:space="preserve">both </w:t>
      </w:r>
      <w:r w:rsidR="004B3AEA">
        <w:t xml:space="preserve">fisheries and </w:t>
      </w:r>
      <w:r w:rsidR="00A151BD">
        <w:t>aesthetics</w:t>
      </w:r>
      <w:r w:rsidR="004B3AEA">
        <w:t>.</w:t>
      </w:r>
      <w:r w:rsidR="00A151BD">
        <w:t xml:space="preserve"> Please consider dropping these three units from your proposal.</w:t>
      </w:r>
    </w:p>
    <w:p w:rsidR="00255BB1" w:rsidRDefault="00255BB1" w:rsidP="00EC0A52">
      <w:pPr>
        <w:pStyle w:val="ListParagraph"/>
        <w:spacing w:before="240"/>
        <w:ind w:left="0"/>
      </w:pPr>
    </w:p>
    <w:p w:rsidR="00255BB1" w:rsidRPr="00255BB1" w:rsidRDefault="00255BB1" w:rsidP="00EC0A52">
      <w:pPr>
        <w:pStyle w:val="ListParagraph"/>
        <w:spacing w:before="240"/>
        <w:ind w:left="0"/>
        <w:rPr>
          <w:b/>
          <w:bCs/>
        </w:rPr>
      </w:pPr>
      <w:r w:rsidRPr="00255BB1">
        <w:rPr>
          <w:b/>
          <w:bCs/>
        </w:rPr>
        <w:t>Summary</w:t>
      </w:r>
      <w:r>
        <w:rPr>
          <w:b/>
          <w:bCs/>
        </w:rPr>
        <w:t xml:space="preserve"> and suggested modifications of the proposal</w:t>
      </w:r>
    </w:p>
    <w:p w:rsidR="006F6C13" w:rsidRDefault="006F6C13" w:rsidP="00EC0A52">
      <w:pPr>
        <w:pStyle w:val="ListParagraph"/>
        <w:spacing w:before="240"/>
        <w:ind w:left="0"/>
      </w:pPr>
    </w:p>
    <w:p w:rsidR="009C44E8" w:rsidRDefault="007B7F21" w:rsidP="000D26D7">
      <w:pPr>
        <w:pStyle w:val="ListParagraph"/>
        <w:spacing w:before="240"/>
        <w:ind w:left="0"/>
      </w:pPr>
      <w:r>
        <w:t xml:space="preserve">In summary, I believe </w:t>
      </w:r>
      <w:r w:rsidR="00255BB1">
        <w:t>several of the proposed harvest units, especially those over 100-acres need to be reduced in size</w:t>
      </w:r>
      <w:r w:rsidR="001B0FC5">
        <w:t xml:space="preserve"> and number</w:t>
      </w:r>
      <w:r w:rsidR="00255BB1">
        <w:t>.  Units on the steep slopes of the South Fork of the Clearwater River tha</w:t>
      </w:r>
      <w:r w:rsidR="000D26D7">
        <w:t>t</w:t>
      </w:r>
      <w:r w:rsidR="00255BB1">
        <w:t xml:space="preserve"> are </w:t>
      </w:r>
      <w:r w:rsidR="000D26D7">
        <w:t xml:space="preserve">within the Wild and Scenic River corridor or located </w:t>
      </w:r>
      <w:r w:rsidR="00255BB1">
        <w:t xml:space="preserve">near the beginning of Road 1875 </w:t>
      </w:r>
      <w:r w:rsidR="000D26D7">
        <w:t xml:space="preserve">need to be dropped. If </w:t>
      </w:r>
      <w:r w:rsidR="00111C0A">
        <w:t xml:space="preserve">there are </w:t>
      </w:r>
      <w:r w:rsidR="000D26D7">
        <w:t>any old growth stands</w:t>
      </w:r>
      <w:r w:rsidR="00302E8E">
        <w:t xml:space="preserve"> as defined</w:t>
      </w:r>
      <w:r w:rsidR="00B316E9">
        <w:t xml:space="preserve"> in Appendix N of the Forest Plan</w:t>
      </w:r>
      <w:r w:rsidR="000D26D7">
        <w:t xml:space="preserve"> or replacement stands in MA</w:t>
      </w:r>
      <w:r w:rsidR="00111C0A">
        <w:t xml:space="preserve">-20 that are being harvested these also need to be dropped.  Cutting in MA-21 </w:t>
      </w:r>
      <w:r w:rsidR="00B5792C">
        <w:t xml:space="preserve">(moose habitat) </w:t>
      </w:r>
      <w:r w:rsidR="00111C0A">
        <w:t xml:space="preserve">needs to be redesigned to conform with Forest Plan standards. </w:t>
      </w:r>
      <w:r w:rsidR="009C44E8">
        <w:t xml:space="preserve"> There is no need to open grown over roads to create a second route to Sourdough Point and the number and size of cutting units on flat ground near existing roads needs to be reduced.</w:t>
      </w:r>
    </w:p>
    <w:p w:rsidR="009C44E8" w:rsidRDefault="009C44E8" w:rsidP="000D26D7">
      <w:pPr>
        <w:pStyle w:val="ListParagraph"/>
        <w:spacing w:before="240"/>
        <w:ind w:left="0"/>
      </w:pPr>
    </w:p>
    <w:p w:rsidR="00EC0A52" w:rsidRDefault="00111C0A" w:rsidP="000D26D7">
      <w:pPr>
        <w:pStyle w:val="ListParagraph"/>
        <w:spacing w:before="240"/>
        <w:ind w:left="0"/>
      </w:pPr>
      <w:r>
        <w:t xml:space="preserve">I see </w:t>
      </w:r>
      <w:r w:rsidR="000D26D7">
        <w:t xml:space="preserve">no need for the proposed emergency designation by the Regional Forester and believe the proposed prescribed burning needs to be significantly refined and limited in scope to high risk stands. </w:t>
      </w:r>
      <w:r w:rsidR="00EC0A52">
        <w:t xml:space="preserve"> </w:t>
      </w:r>
      <w:r>
        <w:t>It is hard to believe the entire 6,807-burn</w:t>
      </w:r>
      <w:r w:rsidR="00803CD7">
        <w:t xml:space="preserve"> area needs treatment.</w:t>
      </w:r>
      <w:r>
        <w:t xml:space="preserve"> More emphasis needs to be</w:t>
      </w:r>
      <w:r w:rsidR="00803CD7">
        <w:t xml:space="preserve"> on the protection of habitat for sensitive and management indicator species like the fisher, goshawk, pileated woodpecker and the pine marten.</w:t>
      </w:r>
      <w:r w:rsidR="00AA4C20">
        <w:t xml:space="preserve">  The cumulative impact of Hungry Ridge and other nearby projects also needs to be discussed.</w:t>
      </w:r>
    </w:p>
    <w:p w:rsidR="00EC0A52" w:rsidRPr="00F453CD" w:rsidRDefault="00EC0A52" w:rsidP="00056D41">
      <w:pPr>
        <w:spacing w:line="240" w:lineRule="auto"/>
        <w:rPr>
          <w:rFonts w:ascii="Times New Roman" w:hAnsi="Times New Roman" w:cs="Times New Roman"/>
          <w:b/>
          <w:bCs/>
          <w:sz w:val="24"/>
          <w:szCs w:val="24"/>
        </w:rPr>
      </w:pPr>
    </w:p>
    <w:p w:rsidR="00641D24" w:rsidRPr="00153D8E" w:rsidRDefault="00641D24" w:rsidP="00056D41">
      <w:pPr>
        <w:spacing w:line="240" w:lineRule="auto"/>
        <w:rPr>
          <w:rFonts w:ascii="Times New Roman" w:hAnsi="Times New Roman" w:cs="Times New Roman"/>
          <w:b/>
          <w:bCs/>
          <w:sz w:val="24"/>
          <w:szCs w:val="24"/>
        </w:rPr>
      </w:pPr>
    </w:p>
    <w:p w:rsidR="00CF0344" w:rsidRPr="00D87A11" w:rsidRDefault="00CF0344" w:rsidP="00961027">
      <w:pPr>
        <w:spacing w:line="240" w:lineRule="auto"/>
        <w:ind w:left="5040" w:firstLine="720"/>
        <w:rPr>
          <w:rFonts w:ascii="Times New Roman" w:hAnsi="Times New Roman" w:cs="Times New Roman"/>
          <w:sz w:val="24"/>
          <w:szCs w:val="24"/>
        </w:rPr>
      </w:pPr>
    </w:p>
    <w:p w:rsidR="00CD21AE" w:rsidRPr="00D87A11" w:rsidRDefault="00CD21AE" w:rsidP="00961027">
      <w:pPr>
        <w:spacing w:line="240" w:lineRule="auto"/>
        <w:ind w:left="5040" w:firstLine="720"/>
        <w:rPr>
          <w:rFonts w:ascii="Times New Roman" w:hAnsi="Times New Roman" w:cs="Times New Roman"/>
          <w:sz w:val="24"/>
          <w:szCs w:val="24"/>
        </w:rPr>
      </w:pPr>
      <w:r w:rsidRPr="00D87A11">
        <w:rPr>
          <w:rFonts w:ascii="Times New Roman" w:hAnsi="Times New Roman" w:cs="Times New Roman"/>
          <w:sz w:val="24"/>
          <w:szCs w:val="24"/>
        </w:rPr>
        <w:t xml:space="preserve">Sincerely, </w:t>
      </w:r>
    </w:p>
    <w:p w:rsidR="008D6E3E" w:rsidRPr="00D87A11" w:rsidRDefault="00CD21AE" w:rsidP="00961027">
      <w:pPr>
        <w:spacing w:line="240" w:lineRule="auto"/>
        <w:ind w:left="5040" w:firstLine="720"/>
        <w:rPr>
          <w:rFonts w:ascii="Times New Roman" w:hAnsi="Times New Roman" w:cs="Times New Roman"/>
          <w:sz w:val="24"/>
          <w:szCs w:val="24"/>
        </w:rPr>
      </w:pPr>
      <w:r w:rsidRPr="00D87A11">
        <w:rPr>
          <w:rFonts w:ascii="Times New Roman" w:hAnsi="Times New Roman" w:cs="Times New Roman"/>
          <w:sz w:val="24"/>
          <w:szCs w:val="24"/>
        </w:rPr>
        <w:t>/s/ Harry R. Jageman</w:t>
      </w:r>
    </w:p>
    <w:p w:rsidR="0083424B" w:rsidRDefault="0083424B">
      <w:pPr>
        <w:rPr>
          <w:rFonts w:ascii="Times New Roman" w:hAnsi="Times New Roman" w:cs="Times New Roman"/>
          <w:sz w:val="24"/>
          <w:szCs w:val="24"/>
        </w:rPr>
      </w:pPr>
      <w:r>
        <w:rPr>
          <w:rFonts w:ascii="Times New Roman" w:hAnsi="Times New Roman" w:cs="Times New Roman"/>
          <w:sz w:val="24"/>
          <w:szCs w:val="24"/>
        </w:rPr>
        <w:br w:type="page"/>
      </w:r>
    </w:p>
    <w:p w:rsidR="00562E8A" w:rsidRPr="00737D90" w:rsidRDefault="00562E8A" w:rsidP="00825993">
      <w:pPr>
        <w:keepNext/>
        <w:jc w:val="center"/>
        <w:rPr>
          <w:rFonts w:ascii="Times New Roman" w:hAnsi="Times New Roman" w:cs="Times New Roman"/>
          <w:sz w:val="24"/>
          <w:szCs w:val="24"/>
        </w:rPr>
      </w:pPr>
      <w:r w:rsidRPr="00737D90">
        <w:rPr>
          <w:rFonts w:ascii="Times New Roman" w:hAnsi="Times New Roman" w:cs="Times New Roman"/>
          <w:sz w:val="24"/>
          <w:szCs w:val="24"/>
        </w:rPr>
        <w:lastRenderedPageBreak/>
        <w:t>Literature Cited</w:t>
      </w:r>
    </w:p>
    <w:p w:rsidR="00462BCF" w:rsidRPr="00737D90" w:rsidRDefault="00462BCF" w:rsidP="00462BCF">
      <w:pPr>
        <w:autoSpaceDE w:val="0"/>
        <w:autoSpaceDN w:val="0"/>
        <w:adjustRightInd w:val="0"/>
        <w:spacing w:after="0" w:line="240" w:lineRule="auto"/>
        <w:rPr>
          <w:rFonts w:ascii="Times New Roman" w:hAnsi="Times New Roman" w:cs="Times New Roman"/>
          <w:color w:val="000000"/>
          <w:sz w:val="24"/>
          <w:szCs w:val="24"/>
        </w:rPr>
      </w:pPr>
      <w:r w:rsidRPr="00737D90">
        <w:rPr>
          <w:rFonts w:ascii="Times New Roman" w:hAnsi="Times New Roman" w:cs="Times New Roman"/>
          <w:color w:val="000000"/>
          <w:sz w:val="24"/>
          <w:szCs w:val="24"/>
        </w:rPr>
        <w:t>Allendorf, F. W., and N. Ryman. 2002. The role of genetics in population viability analysis. Pages 50-85 in Population viability analysis. S.R. Bessinger, and D.R. McCullough, editors. University of Chicago Press, Chicago, Illinois, USA.</w:t>
      </w:r>
    </w:p>
    <w:p w:rsidR="00462BCF" w:rsidRPr="00737D90" w:rsidRDefault="00462BCF" w:rsidP="00462BCF">
      <w:pPr>
        <w:autoSpaceDE w:val="0"/>
        <w:autoSpaceDN w:val="0"/>
        <w:adjustRightInd w:val="0"/>
        <w:spacing w:after="0" w:line="240" w:lineRule="auto"/>
        <w:rPr>
          <w:rFonts w:ascii="Times New Roman" w:hAnsi="Times New Roman" w:cs="Times New Roman"/>
          <w:color w:val="000000"/>
          <w:sz w:val="24"/>
          <w:szCs w:val="24"/>
        </w:rPr>
      </w:pPr>
    </w:p>
    <w:p w:rsidR="00462BCF" w:rsidRPr="00737D90" w:rsidRDefault="00462BCF" w:rsidP="00462BCF">
      <w:pPr>
        <w:autoSpaceDE w:val="0"/>
        <w:autoSpaceDN w:val="0"/>
        <w:adjustRightInd w:val="0"/>
        <w:spacing w:after="0" w:line="240" w:lineRule="auto"/>
        <w:rPr>
          <w:rFonts w:ascii="Times New Roman" w:eastAsia="TTE1DB0090t00" w:hAnsi="Times New Roman" w:cs="Times New Roman"/>
          <w:sz w:val="24"/>
          <w:szCs w:val="24"/>
        </w:rPr>
      </w:pPr>
      <w:r w:rsidRPr="00737D90">
        <w:rPr>
          <w:rFonts w:ascii="Times New Roman" w:eastAsia="TTE1DB0090t00" w:hAnsi="Times New Roman" w:cs="Times New Roman"/>
          <w:sz w:val="24"/>
          <w:szCs w:val="24"/>
        </w:rPr>
        <w:t>Beissinger, S. R. 2002. Population viability analysis: past, present and future. Pages 5-17 in</w:t>
      </w:r>
    </w:p>
    <w:p w:rsidR="00462BCF" w:rsidRPr="00737D90" w:rsidRDefault="00462BCF" w:rsidP="00462BCF">
      <w:pPr>
        <w:autoSpaceDE w:val="0"/>
        <w:autoSpaceDN w:val="0"/>
        <w:adjustRightInd w:val="0"/>
        <w:spacing w:after="0" w:line="240" w:lineRule="auto"/>
        <w:rPr>
          <w:rFonts w:ascii="Times New Roman" w:eastAsia="TTE1DB0090t00" w:hAnsi="Times New Roman" w:cs="Times New Roman"/>
          <w:sz w:val="24"/>
          <w:szCs w:val="24"/>
        </w:rPr>
      </w:pPr>
      <w:r w:rsidRPr="00737D90">
        <w:rPr>
          <w:rFonts w:ascii="Times New Roman" w:eastAsia="TTE1DB0090t00" w:hAnsi="Times New Roman" w:cs="Times New Roman"/>
          <w:sz w:val="24"/>
          <w:szCs w:val="24"/>
        </w:rPr>
        <w:t>Population Viability Analysis. S. R. Beissinger, and D. R. McCullough, editors. University of</w:t>
      </w:r>
    </w:p>
    <w:p w:rsidR="00462BCF" w:rsidRPr="00737D90" w:rsidRDefault="00462BCF" w:rsidP="00462BCF">
      <w:pPr>
        <w:autoSpaceDE w:val="0"/>
        <w:autoSpaceDN w:val="0"/>
        <w:adjustRightInd w:val="0"/>
        <w:spacing w:after="0" w:line="240" w:lineRule="auto"/>
        <w:rPr>
          <w:rFonts w:ascii="Times New Roman" w:hAnsi="Times New Roman" w:cs="Times New Roman"/>
          <w:color w:val="000000"/>
          <w:sz w:val="24"/>
          <w:szCs w:val="24"/>
        </w:rPr>
      </w:pPr>
      <w:r w:rsidRPr="00737D90">
        <w:rPr>
          <w:rFonts w:ascii="Times New Roman" w:eastAsia="TTE1DB0090t00" w:hAnsi="Times New Roman" w:cs="Times New Roman"/>
          <w:sz w:val="24"/>
          <w:szCs w:val="24"/>
        </w:rPr>
        <w:t>Chicago Press, Chicago, Illinois, USA.</w:t>
      </w:r>
    </w:p>
    <w:p w:rsidR="00462BCF" w:rsidRPr="00737D90" w:rsidRDefault="00462BCF" w:rsidP="00462BCF">
      <w:pPr>
        <w:pStyle w:val="ListParagraph"/>
        <w:spacing w:before="240"/>
        <w:ind w:left="0"/>
      </w:pPr>
      <w:r w:rsidRPr="00737D90">
        <w:t>Bull, E.L., R.S. Holthausen, and M.G. Henjum. 1992. Roost trees used by Pileated Woodpeckers in northeastern Oregon. Journal of Wildlife Management 56: 786- 793.</w:t>
      </w:r>
    </w:p>
    <w:p w:rsidR="00462BCF" w:rsidRPr="00737D90" w:rsidRDefault="00462BCF" w:rsidP="00462BCF">
      <w:pPr>
        <w:pStyle w:val="ListParagraph"/>
        <w:spacing w:before="240"/>
        <w:ind w:left="0"/>
      </w:pPr>
    </w:p>
    <w:p w:rsidR="00562E8A" w:rsidRPr="00737D90" w:rsidRDefault="00562E8A" w:rsidP="003505C2">
      <w:pPr>
        <w:autoSpaceDE w:val="0"/>
        <w:autoSpaceDN w:val="0"/>
        <w:adjustRightInd w:val="0"/>
        <w:rPr>
          <w:rFonts w:ascii="Times New Roman" w:eastAsia="TTE1DB0090t00" w:hAnsi="Times New Roman" w:cs="Times New Roman"/>
          <w:sz w:val="24"/>
          <w:szCs w:val="24"/>
        </w:rPr>
      </w:pPr>
      <w:r w:rsidRPr="00737D90">
        <w:rPr>
          <w:rFonts w:ascii="Times New Roman" w:eastAsia="TTE1DB0090t00" w:hAnsi="Times New Roman" w:cs="Times New Roman"/>
          <w:sz w:val="24"/>
          <w:szCs w:val="24"/>
        </w:rPr>
        <w:t>Bull, E. L., and R. S. Holthausen. 1993. Habitat use and management of pileated woodpeckers in northeastern Oregon. Journal of Wildlife Management 57: 335-345.</w:t>
      </w:r>
      <w:bookmarkStart w:id="4" w:name="_Hlk79309642"/>
    </w:p>
    <w:p w:rsidR="00462BCF" w:rsidRPr="00737D90" w:rsidRDefault="00462BCF" w:rsidP="00462BCF">
      <w:pPr>
        <w:autoSpaceDE w:val="0"/>
        <w:autoSpaceDN w:val="0"/>
        <w:adjustRightInd w:val="0"/>
        <w:spacing w:after="0" w:line="240" w:lineRule="auto"/>
        <w:rPr>
          <w:rFonts w:ascii="Times New Roman" w:hAnsi="Times New Roman" w:cs="Times New Roman"/>
          <w:sz w:val="24"/>
          <w:szCs w:val="24"/>
        </w:rPr>
      </w:pPr>
      <w:r w:rsidRPr="00737D90">
        <w:rPr>
          <w:rFonts w:ascii="Times New Roman" w:hAnsi="Times New Roman" w:cs="Times New Roman"/>
          <w:sz w:val="24"/>
          <w:szCs w:val="24"/>
        </w:rPr>
        <w:t>Bull, E. L. and T. W. Heater. 2000. Resting and denning sites of American martens in northeastern Oregon. Northwest Science, 74(3): 179-185</w:t>
      </w:r>
    </w:p>
    <w:p w:rsidR="00462BCF" w:rsidRPr="00737D90" w:rsidRDefault="00462BCF" w:rsidP="00462BCF">
      <w:pPr>
        <w:autoSpaceDE w:val="0"/>
        <w:autoSpaceDN w:val="0"/>
        <w:adjustRightInd w:val="0"/>
        <w:spacing w:after="0" w:line="240" w:lineRule="auto"/>
        <w:rPr>
          <w:rFonts w:ascii="Times New Roman" w:eastAsia="TTE1DB0090t00" w:hAnsi="Times New Roman" w:cs="Times New Roman"/>
          <w:sz w:val="24"/>
          <w:szCs w:val="24"/>
        </w:rPr>
      </w:pPr>
    </w:p>
    <w:p w:rsidR="000C602A" w:rsidRDefault="00462BCF" w:rsidP="00785F1A">
      <w:pPr>
        <w:autoSpaceDE w:val="0"/>
        <w:autoSpaceDN w:val="0"/>
        <w:adjustRightInd w:val="0"/>
        <w:spacing w:after="0" w:line="240" w:lineRule="auto"/>
        <w:rPr>
          <w:rFonts w:ascii="Times New Roman" w:hAnsi="Times New Roman" w:cs="Times New Roman"/>
          <w:sz w:val="24"/>
          <w:szCs w:val="24"/>
        </w:rPr>
      </w:pPr>
      <w:r w:rsidRPr="00737D90">
        <w:rPr>
          <w:rFonts w:ascii="Times New Roman" w:hAnsi="Times New Roman" w:cs="Times New Roman"/>
          <w:sz w:val="24"/>
          <w:szCs w:val="24"/>
        </w:rPr>
        <w:t>Bull, E. L., N. Nielsen-Pincus, B.C. Wales, and J.L. Hayes. 2007. The influence of disturbance events on pileated woodpeckers in Northeastern Oregon.  Forest Ecology and Management 243:320-329.</w:t>
      </w:r>
    </w:p>
    <w:p w:rsidR="00785F1A" w:rsidRPr="00785F1A" w:rsidRDefault="00785F1A" w:rsidP="00785F1A">
      <w:pPr>
        <w:autoSpaceDE w:val="0"/>
        <w:autoSpaceDN w:val="0"/>
        <w:adjustRightInd w:val="0"/>
        <w:spacing w:after="0" w:line="240" w:lineRule="auto"/>
        <w:rPr>
          <w:rFonts w:ascii="Times New Roman" w:hAnsi="Times New Roman" w:cs="Times New Roman"/>
          <w:sz w:val="24"/>
          <w:szCs w:val="24"/>
        </w:rPr>
      </w:pPr>
    </w:p>
    <w:p w:rsidR="00B27018" w:rsidRPr="00737D90" w:rsidRDefault="00B27018" w:rsidP="003505C2">
      <w:pPr>
        <w:autoSpaceDE w:val="0"/>
        <w:autoSpaceDN w:val="0"/>
        <w:adjustRightInd w:val="0"/>
        <w:rPr>
          <w:rFonts w:ascii="Times New Roman" w:hAnsi="Times New Roman" w:cs="Times New Roman"/>
          <w:sz w:val="24"/>
          <w:szCs w:val="24"/>
          <w:shd w:val="clear" w:color="auto" w:fill="FFFFFF"/>
        </w:rPr>
      </w:pPr>
      <w:r w:rsidRPr="00737D90">
        <w:rPr>
          <w:rFonts w:ascii="Times New Roman" w:hAnsi="Times New Roman" w:cs="Times New Roman"/>
          <w:sz w:val="24"/>
          <w:szCs w:val="24"/>
          <w:shd w:val="clear" w:color="auto" w:fill="FFFFFF"/>
        </w:rPr>
        <w:t>Bush, R. and R. Lundberg. 2008. Wildlife habitat estimate updates for the Region 1 conservation</w:t>
      </w:r>
      <w:r w:rsidRPr="00737D90">
        <w:rPr>
          <w:rFonts w:ascii="Times New Roman" w:hAnsi="Times New Roman" w:cs="Times New Roman"/>
          <w:sz w:val="24"/>
          <w:szCs w:val="24"/>
        </w:rPr>
        <w:br/>
      </w:r>
      <w:r w:rsidRPr="00737D90">
        <w:rPr>
          <w:rFonts w:ascii="Times New Roman" w:hAnsi="Times New Roman" w:cs="Times New Roman"/>
          <w:sz w:val="24"/>
          <w:szCs w:val="24"/>
          <w:shd w:val="clear" w:color="auto" w:fill="FFFFFF"/>
        </w:rPr>
        <w:t>assessment. USDA Forest Service Region 1. Missoula, Montana, USA. 22 pp.</w:t>
      </w:r>
    </w:p>
    <w:p w:rsidR="001327B6" w:rsidRPr="00737D90" w:rsidRDefault="001327B6" w:rsidP="00DD09B4">
      <w:pPr>
        <w:spacing w:line="240" w:lineRule="auto"/>
        <w:rPr>
          <w:rFonts w:ascii="Times New Roman" w:hAnsi="Times New Roman" w:cs="Times New Roman"/>
          <w:sz w:val="24"/>
          <w:szCs w:val="24"/>
        </w:rPr>
      </w:pPr>
      <w:r w:rsidRPr="00737D90">
        <w:rPr>
          <w:rFonts w:ascii="Times New Roman" w:hAnsi="Times New Roman" w:cs="Times New Roman"/>
          <w:sz w:val="24"/>
          <w:szCs w:val="24"/>
        </w:rPr>
        <w:t>Buskirk, S.W. and L.L. McDonald. 1989. Analysis of variability in home-range size of the American marten. Journal of Wildlife Management 53: 997-1004.</w:t>
      </w:r>
    </w:p>
    <w:p w:rsidR="00785F1A" w:rsidRDefault="00DD09B4" w:rsidP="00785F1A">
      <w:pPr>
        <w:spacing w:after="0" w:line="240" w:lineRule="auto"/>
        <w:jc w:val="both"/>
        <w:rPr>
          <w:rFonts w:ascii="Times New Roman" w:hAnsi="Times New Roman" w:cs="Times New Roman"/>
          <w:sz w:val="24"/>
          <w:szCs w:val="24"/>
        </w:rPr>
      </w:pPr>
      <w:r w:rsidRPr="00737D90">
        <w:rPr>
          <w:rFonts w:ascii="Times New Roman" w:hAnsi="Times New Roman" w:cs="Times New Roman"/>
          <w:sz w:val="24"/>
          <w:szCs w:val="24"/>
        </w:rPr>
        <w:t>Chapin, T. G., D. J. Harrison, and D. D. Katnik. 1998. Influence of landscape pattern on habitat use by American marten in an industrial forest. Conservation Biology 12:96-227.</w:t>
      </w:r>
    </w:p>
    <w:p w:rsidR="00785F1A" w:rsidRDefault="00785F1A" w:rsidP="00785F1A">
      <w:pPr>
        <w:spacing w:after="0" w:line="240" w:lineRule="auto"/>
        <w:jc w:val="both"/>
        <w:rPr>
          <w:rFonts w:ascii="Times New Roman" w:hAnsi="Times New Roman" w:cs="Times New Roman"/>
          <w:sz w:val="24"/>
          <w:szCs w:val="24"/>
        </w:rPr>
      </w:pPr>
    </w:p>
    <w:p w:rsidR="00785F1A" w:rsidRPr="002A1305" w:rsidRDefault="00785F1A" w:rsidP="00785F1A">
      <w:pPr>
        <w:spacing w:after="0" w:line="240" w:lineRule="auto"/>
        <w:jc w:val="both"/>
        <w:rPr>
          <w:rFonts w:ascii="Times New Roman" w:hAnsi="Times New Roman" w:cs="Times New Roman"/>
          <w:sz w:val="24"/>
          <w:szCs w:val="24"/>
        </w:rPr>
      </w:pPr>
      <w:r w:rsidRPr="002A1305">
        <w:rPr>
          <w:rFonts w:ascii="Times New Roman" w:hAnsi="Times New Roman" w:cs="Times New Roman"/>
          <w:sz w:val="24"/>
          <w:szCs w:val="24"/>
        </w:rPr>
        <w:t>Clough, Lorraine T. 2000. Nesting Habitat Selection and Productivity of Northern Goshawks in West Central Montana</w:t>
      </w:r>
    </w:p>
    <w:p w:rsidR="001327B6" w:rsidRPr="00737D90" w:rsidRDefault="001327B6" w:rsidP="001327B6">
      <w:pPr>
        <w:spacing w:after="0" w:line="240" w:lineRule="auto"/>
        <w:rPr>
          <w:rFonts w:ascii="Times New Roman" w:hAnsi="Times New Roman" w:cs="Times New Roman"/>
          <w:sz w:val="24"/>
          <w:szCs w:val="24"/>
        </w:rPr>
      </w:pPr>
    </w:p>
    <w:p w:rsidR="00EA26AB" w:rsidRPr="00737D90" w:rsidRDefault="00EA26AB" w:rsidP="00EA26AB">
      <w:pPr>
        <w:spacing w:after="0"/>
        <w:jc w:val="both"/>
        <w:rPr>
          <w:rFonts w:ascii="Times New Roman" w:hAnsi="Times New Roman" w:cs="Times New Roman"/>
          <w:sz w:val="24"/>
          <w:szCs w:val="24"/>
        </w:rPr>
      </w:pPr>
      <w:r w:rsidRPr="00737D90">
        <w:rPr>
          <w:rFonts w:ascii="Times New Roman" w:hAnsi="Times New Roman" w:cs="Times New Roman"/>
          <w:sz w:val="24"/>
          <w:szCs w:val="24"/>
        </w:rPr>
        <w:t>Cooper, S. V., K. E. Neiman, and D.W. Roberts. 1991.  Forest habitat types of northern Idaho: a second approximation. U.S. Forest Service, Intermountain Research Station, General Technical Report INT-236.</w:t>
      </w:r>
    </w:p>
    <w:p w:rsidR="00562E8A" w:rsidRPr="00737D90" w:rsidRDefault="00562E8A" w:rsidP="00562E8A">
      <w:pPr>
        <w:pStyle w:val="ListParagraph"/>
        <w:spacing w:before="240"/>
        <w:ind w:left="0"/>
        <w:rPr>
          <w:rStyle w:val="apple-converted-space"/>
          <w:color w:val="000000"/>
          <w:shd w:val="clear" w:color="auto" w:fill="FFFFFF"/>
        </w:rPr>
      </w:pPr>
      <w:r w:rsidRPr="00737D90">
        <w:rPr>
          <w:bCs/>
          <w:color w:val="000000"/>
          <w:shd w:val="clear" w:color="auto" w:fill="FFFFFF"/>
        </w:rPr>
        <w:t>Green, P., J. Joy, D. Sirucek, W. Hann, A. Zack, and B. Naumann.</w:t>
      </w:r>
      <w:r w:rsidRPr="00737D90">
        <w:rPr>
          <w:rStyle w:val="apple-converted-space"/>
          <w:color w:val="000000"/>
          <w:shd w:val="clear" w:color="auto" w:fill="FFFFFF"/>
        </w:rPr>
        <w:t> </w:t>
      </w:r>
      <w:r w:rsidRPr="00737D90">
        <w:rPr>
          <w:color w:val="000000"/>
          <w:shd w:val="clear" w:color="auto" w:fill="FFFFFF"/>
        </w:rPr>
        <w:t>1992.</w:t>
      </w:r>
      <w:r w:rsidRPr="00737D90">
        <w:rPr>
          <w:rStyle w:val="apple-converted-space"/>
          <w:color w:val="000000"/>
          <w:shd w:val="clear" w:color="auto" w:fill="FFFFFF"/>
        </w:rPr>
        <w:t> </w:t>
      </w:r>
      <w:r w:rsidRPr="00737D90">
        <w:rPr>
          <w:iCs/>
          <w:color w:val="000000"/>
          <w:shd w:val="clear" w:color="auto" w:fill="FFFFFF"/>
        </w:rPr>
        <w:t>Old-growth Forest types of the Northern Region.</w:t>
      </w:r>
      <w:r w:rsidRPr="00737D90">
        <w:rPr>
          <w:rStyle w:val="apple-converted-space"/>
          <w:color w:val="000000"/>
          <w:shd w:val="clear" w:color="auto" w:fill="FFFFFF"/>
        </w:rPr>
        <w:t> </w:t>
      </w:r>
      <w:r w:rsidRPr="00737D90">
        <w:rPr>
          <w:color w:val="000000"/>
          <w:shd w:val="clear" w:color="auto" w:fill="FFFFFF"/>
        </w:rPr>
        <w:t>U.S. Forest Service, Northern Region R1, Missoula, MT</w:t>
      </w:r>
      <w:r w:rsidRPr="00737D90">
        <w:rPr>
          <w:rStyle w:val="apple-converted-space"/>
          <w:color w:val="000000"/>
          <w:shd w:val="clear" w:color="auto" w:fill="FFFFFF"/>
        </w:rPr>
        <w:t>.</w:t>
      </w:r>
    </w:p>
    <w:p w:rsidR="00AB443E" w:rsidRPr="00737D90" w:rsidRDefault="00AB443E" w:rsidP="00562E8A">
      <w:pPr>
        <w:pStyle w:val="ListParagraph"/>
        <w:spacing w:before="240"/>
        <w:ind w:left="0"/>
        <w:rPr>
          <w:rStyle w:val="apple-converted-space"/>
          <w:color w:val="000000"/>
          <w:shd w:val="clear" w:color="auto" w:fill="FFFFFF"/>
        </w:rPr>
      </w:pPr>
      <w:r w:rsidRPr="00737D90">
        <w:rPr>
          <w:rStyle w:val="apple-converted-space"/>
          <w:color w:val="000000"/>
          <w:shd w:val="clear" w:color="auto" w:fill="FFFFFF"/>
        </w:rPr>
        <w:t xml:space="preserve"> </w:t>
      </w:r>
    </w:p>
    <w:p w:rsidR="00AB443E" w:rsidRPr="00737D90" w:rsidRDefault="00AB443E" w:rsidP="00AB443E">
      <w:pPr>
        <w:autoSpaceDE w:val="0"/>
        <w:autoSpaceDN w:val="0"/>
        <w:adjustRightInd w:val="0"/>
        <w:spacing w:after="0" w:line="240" w:lineRule="auto"/>
        <w:rPr>
          <w:rFonts w:ascii="Times New Roman" w:hAnsi="Times New Roman" w:cs="Times New Roman"/>
          <w:color w:val="000000"/>
          <w:sz w:val="24"/>
          <w:szCs w:val="24"/>
        </w:rPr>
      </w:pPr>
      <w:r w:rsidRPr="00737D90">
        <w:rPr>
          <w:rFonts w:ascii="Times New Roman" w:hAnsi="Times New Roman" w:cs="Times New Roman"/>
          <w:color w:val="000000"/>
          <w:sz w:val="24"/>
          <w:szCs w:val="24"/>
        </w:rPr>
        <w:t>Haig, I.T. 1932.  Second growth yield, stand and volume tables for the western white pine type. Technical Bulletin 323. United States Department of Agriculture, Washington, D.C.</w:t>
      </w:r>
    </w:p>
    <w:bookmarkEnd w:id="4"/>
    <w:p w:rsidR="00AB443E" w:rsidRPr="00737D90" w:rsidRDefault="00AB443E" w:rsidP="00562E8A">
      <w:pPr>
        <w:spacing w:before="240"/>
        <w:contextualSpacing/>
        <w:rPr>
          <w:rFonts w:ascii="Times New Roman" w:hAnsi="Times New Roman" w:cs="Times New Roman"/>
          <w:sz w:val="24"/>
          <w:szCs w:val="24"/>
        </w:rPr>
      </w:pPr>
    </w:p>
    <w:p w:rsidR="001327B6" w:rsidRPr="00737D90" w:rsidRDefault="00562E8A" w:rsidP="001327B6">
      <w:pPr>
        <w:spacing w:before="240" w:line="240" w:lineRule="auto"/>
        <w:contextualSpacing/>
        <w:rPr>
          <w:rFonts w:ascii="Times New Roman" w:hAnsi="Times New Roman" w:cs="Times New Roman"/>
          <w:sz w:val="24"/>
          <w:szCs w:val="24"/>
        </w:rPr>
      </w:pPr>
      <w:r w:rsidRPr="00737D90">
        <w:rPr>
          <w:rFonts w:ascii="Times New Roman" w:hAnsi="Times New Roman" w:cs="Times New Roman"/>
          <w:sz w:val="24"/>
          <w:szCs w:val="24"/>
        </w:rPr>
        <w:t>Hargis, C. D., J. A. Bissonette, and D. L. Turner. 1999. The influence of forest fragmentation and landscape pattern on American martens. Journal of Applied Ecology 36: 157-172.</w:t>
      </w:r>
      <w:r w:rsidR="00DD09B4" w:rsidRPr="00737D90">
        <w:rPr>
          <w:rFonts w:ascii="Times New Roman" w:hAnsi="Times New Roman" w:cs="Times New Roman"/>
          <w:sz w:val="24"/>
          <w:szCs w:val="24"/>
        </w:rPr>
        <w:t xml:space="preserve"> </w:t>
      </w:r>
    </w:p>
    <w:p w:rsidR="001169CB" w:rsidRDefault="001169CB" w:rsidP="001327B6">
      <w:pPr>
        <w:autoSpaceDE w:val="0"/>
        <w:autoSpaceDN w:val="0"/>
        <w:adjustRightInd w:val="0"/>
        <w:spacing w:after="0" w:line="240" w:lineRule="auto"/>
        <w:rPr>
          <w:rFonts w:ascii="Times New Roman" w:hAnsi="Times New Roman" w:cs="Times New Roman"/>
          <w:sz w:val="24"/>
          <w:szCs w:val="24"/>
        </w:rPr>
      </w:pPr>
    </w:p>
    <w:p w:rsidR="001327B6" w:rsidRPr="00737D90" w:rsidRDefault="001327B6" w:rsidP="001327B6">
      <w:pPr>
        <w:autoSpaceDE w:val="0"/>
        <w:autoSpaceDN w:val="0"/>
        <w:adjustRightInd w:val="0"/>
        <w:spacing w:after="0" w:line="240" w:lineRule="auto"/>
        <w:rPr>
          <w:rFonts w:ascii="Times New Roman" w:hAnsi="Times New Roman" w:cs="Times New Roman"/>
          <w:sz w:val="24"/>
          <w:szCs w:val="24"/>
        </w:rPr>
      </w:pPr>
      <w:r w:rsidRPr="00737D90">
        <w:rPr>
          <w:rFonts w:ascii="Times New Roman" w:hAnsi="Times New Roman" w:cs="Times New Roman"/>
          <w:sz w:val="24"/>
          <w:szCs w:val="24"/>
        </w:rPr>
        <w:lastRenderedPageBreak/>
        <w:t xml:space="preserve">Hayward, G.D. and R.E. Escano. 1989. Goshawk nest-site characteristics in western Montana and northern Idaho. Condor 91:476–479. </w:t>
      </w:r>
    </w:p>
    <w:p w:rsidR="00DD09B4" w:rsidRPr="00737D90" w:rsidRDefault="00DD09B4" w:rsidP="00DD09B4">
      <w:pPr>
        <w:pStyle w:val="ListParagraph"/>
        <w:spacing w:before="240"/>
        <w:ind w:left="0"/>
      </w:pPr>
      <w:r w:rsidRPr="00737D90">
        <w:t>Koehler, G. H. and M. G. Hornocker. 1977. Fire effects on marten habitat in the Selway Bitteroot Wilderness. Journal of Wildlife Management. 41: 500-505.</w:t>
      </w:r>
    </w:p>
    <w:p w:rsidR="00DD09B4" w:rsidRPr="00737D90" w:rsidRDefault="00DD09B4" w:rsidP="00DD09B4">
      <w:pPr>
        <w:pStyle w:val="ListParagraph"/>
        <w:spacing w:before="240"/>
        <w:ind w:left="0"/>
      </w:pPr>
    </w:p>
    <w:p w:rsidR="00DD09B4" w:rsidRDefault="00DD09B4" w:rsidP="00DD09B4">
      <w:pPr>
        <w:autoSpaceDE w:val="0"/>
        <w:autoSpaceDN w:val="0"/>
        <w:adjustRightInd w:val="0"/>
        <w:spacing w:after="0" w:line="240" w:lineRule="auto"/>
        <w:rPr>
          <w:rFonts w:ascii="Times New Roman" w:eastAsia="TTE1DB0090t00" w:hAnsi="Times New Roman" w:cs="Times New Roman"/>
          <w:sz w:val="24"/>
          <w:szCs w:val="24"/>
        </w:rPr>
      </w:pPr>
      <w:r w:rsidRPr="00737D90">
        <w:rPr>
          <w:rFonts w:ascii="Times New Roman" w:eastAsia="TTE1DB0090t00" w:hAnsi="Times New Roman" w:cs="Times New Roman"/>
          <w:sz w:val="24"/>
          <w:szCs w:val="24"/>
        </w:rPr>
        <w:t>McClelland, B. R., and P. T. McClelland. 1999. Pileated woodpecker nest and roost trees in Montana: links with old growth and forest "health." Wildlife Society Bulletin 27: 846- 857.</w:t>
      </w:r>
    </w:p>
    <w:p w:rsidR="00A30E23" w:rsidRDefault="00A30E23" w:rsidP="00DD09B4">
      <w:pPr>
        <w:autoSpaceDE w:val="0"/>
        <w:autoSpaceDN w:val="0"/>
        <w:adjustRightInd w:val="0"/>
        <w:spacing w:after="0" w:line="240" w:lineRule="auto"/>
        <w:rPr>
          <w:rFonts w:ascii="Times New Roman" w:eastAsia="TTE1DB0090t00" w:hAnsi="Times New Roman" w:cs="Times New Roman"/>
          <w:sz w:val="24"/>
          <w:szCs w:val="24"/>
        </w:rPr>
      </w:pPr>
    </w:p>
    <w:p w:rsidR="00A30E23" w:rsidRPr="00CD1AC9" w:rsidRDefault="00A30E23" w:rsidP="00A30E23">
      <w:pPr>
        <w:autoSpaceDE w:val="0"/>
        <w:autoSpaceDN w:val="0"/>
        <w:adjustRightInd w:val="0"/>
        <w:spacing w:after="0" w:line="240" w:lineRule="auto"/>
        <w:rPr>
          <w:rFonts w:ascii="Times New Roman" w:eastAsia="TTE1DB0090t00" w:hAnsi="Times New Roman" w:cs="Times New Roman"/>
          <w:sz w:val="24"/>
          <w:szCs w:val="24"/>
        </w:rPr>
      </w:pPr>
      <w:r w:rsidRPr="00CD1AC9">
        <w:rPr>
          <w:rFonts w:ascii="Times New Roman" w:eastAsia="TTE1DB0090t00" w:hAnsi="Times New Roman" w:cs="Times New Roman"/>
          <w:sz w:val="24"/>
          <w:szCs w:val="24"/>
        </w:rPr>
        <w:t xml:space="preserve">Mellen, T. K., C. E. </w:t>
      </w:r>
      <w:proofErr w:type="spellStart"/>
      <w:r w:rsidRPr="00CD1AC9">
        <w:rPr>
          <w:rFonts w:ascii="Times New Roman" w:eastAsia="TTE1DB0090t00" w:hAnsi="Times New Roman" w:cs="Times New Roman"/>
          <w:sz w:val="24"/>
          <w:szCs w:val="24"/>
        </w:rPr>
        <w:t>Meslow</w:t>
      </w:r>
      <w:proofErr w:type="spellEnd"/>
      <w:r w:rsidRPr="00CD1AC9">
        <w:rPr>
          <w:rFonts w:ascii="Times New Roman" w:eastAsia="TTE1DB0090t00" w:hAnsi="Times New Roman" w:cs="Times New Roman"/>
          <w:sz w:val="24"/>
          <w:szCs w:val="24"/>
        </w:rPr>
        <w:t>, and R. W. Mannan. 1992. Summertime home range and habitat</w:t>
      </w:r>
    </w:p>
    <w:p w:rsidR="00A30E23" w:rsidRDefault="00A30E23" w:rsidP="00A30E23">
      <w:pPr>
        <w:autoSpaceDE w:val="0"/>
        <w:autoSpaceDN w:val="0"/>
        <w:adjustRightInd w:val="0"/>
        <w:spacing w:after="0" w:line="240" w:lineRule="auto"/>
        <w:rPr>
          <w:rFonts w:ascii="Times New Roman" w:eastAsia="TTE1DB0090t00" w:hAnsi="Times New Roman" w:cs="Times New Roman"/>
          <w:sz w:val="24"/>
          <w:szCs w:val="24"/>
        </w:rPr>
      </w:pPr>
      <w:r w:rsidRPr="00CD1AC9">
        <w:rPr>
          <w:rFonts w:ascii="Times New Roman" w:eastAsia="TTE1DB0090t00" w:hAnsi="Times New Roman" w:cs="Times New Roman"/>
          <w:sz w:val="24"/>
          <w:szCs w:val="24"/>
        </w:rPr>
        <w:t>use of pileated woodpeckers in Western Oregon. Journal of Wildlife Management 56: 96-103.</w:t>
      </w:r>
    </w:p>
    <w:p w:rsidR="00A30E23" w:rsidRDefault="00A30E23" w:rsidP="00A30E23">
      <w:pPr>
        <w:autoSpaceDE w:val="0"/>
        <w:autoSpaceDN w:val="0"/>
        <w:adjustRightInd w:val="0"/>
        <w:spacing w:after="0" w:line="240" w:lineRule="auto"/>
        <w:rPr>
          <w:rFonts w:ascii="Times New Roman" w:eastAsia="TTE1DB0090t00" w:hAnsi="Times New Roman" w:cs="Times New Roman"/>
          <w:sz w:val="24"/>
          <w:szCs w:val="24"/>
        </w:rPr>
      </w:pPr>
    </w:p>
    <w:p w:rsidR="00DD09B4" w:rsidRPr="00737D90" w:rsidRDefault="00DD09B4" w:rsidP="00DD09B4">
      <w:pPr>
        <w:autoSpaceDE w:val="0"/>
        <w:autoSpaceDN w:val="0"/>
        <w:adjustRightInd w:val="0"/>
        <w:spacing w:after="0" w:line="240" w:lineRule="auto"/>
        <w:rPr>
          <w:rFonts w:ascii="Times New Roman" w:eastAsia="TTE1DB0090t00" w:hAnsi="Times New Roman" w:cs="Times New Roman"/>
          <w:sz w:val="24"/>
          <w:szCs w:val="24"/>
        </w:rPr>
      </w:pPr>
      <w:r w:rsidRPr="00737D90">
        <w:rPr>
          <w:rFonts w:ascii="Times New Roman" w:eastAsia="TTE1DB0090t00" w:hAnsi="Times New Roman" w:cs="Times New Roman"/>
          <w:sz w:val="24"/>
          <w:szCs w:val="24"/>
        </w:rPr>
        <w:t>Mills, L. S. 2007.  Conservation of wildlife populations: demography, genetics and management. Blackwell Publishing, Malden, MA, USA</w:t>
      </w:r>
    </w:p>
    <w:p w:rsidR="001327B6" w:rsidRPr="00737D90" w:rsidRDefault="001327B6" w:rsidP="001327B6">
      <w:pPr>
        <w:shd w:val="clear" w:color="auto" w:fill="FFFFFF"/>
        <w:spacing w:before="100" w:beforeAutospacing="1" w:after="100" w:afterAutospacing="1" w:line="240" w:lineRule="auto"/>
        <w:outlineLvl w:val="0"/>
        <w:rPr>
          <w:rFonts w:ascii="Times New Roman" w:hAnsi="Times New Roman" w:cs="Times New Roman"/>
          <w:sz w:val="24"/>
          <w:szCs w:val="24"/>
        </w:rPr>
      </w:pPr>
      <w:r w:rsidRPr="00737D90">
        <w:rPr>
          <w:rFonts w:ascii="Times New Roman" w:hAnsi="Times New Roman" w:cs="Times New Roman"/>
          <w:kern w:val="36"/>
          <w:sz w:val="24"/>
          <w:szCs w:val="24"/>
        </w:rPr>
        <w:t xml:space="preserve">Moriarty, K.M., W.J. Zielinski and E.D. Forsman. 2011. Decline in American Marten Occupancy Rates at Sagehen Experimental Forest, California. </w:t>
      </w:r>
      <w:r w:rsidRPr="00737D90">
        <w:rPr>
          <w:rFonts w:ascii="Times New Roman" w:hAnsi="Times New Roman" w:cs="Times New Roman"/>
          <w:iCs/>
          <w:sz w:val="24"/>
          <w:szCs w:val="24"/>
        </w:rPr>
        <w:t>Journal of Wildlife Management</w:t>
      </w:r>
      <w:r w:rsidRPr="00737D90">
        <w:rPr>
          <w:rFonts w:ascii="Times New Roman" w:hAnsi="Times New Roman" w:cs="Times New Roman"/>
          <w:kern w:val="36"/>
          <w:sz w:val="24"/>
          <w:szCs w:val="24"/>
        </w:rPr>
        <w:t xml:space="preserve">. </w:t>
      </w:r>
      <w:r w:rsidRPr="00737D90">
        <w:rPr>
          <w:rFonts w:ascii="Times New Roman" w:hAnsi="Times New Roman" w:cs="Times New Roman"/>
          <w:sz w:val="24"/>
          <w:szCs w:val="24"/>
        </w:rPr>
        <w:t>75:1774-1787.</w:t>
      </w:r>
    </w:p>
    <w:p w:rsidR="00562E8A" w:rsidRPr="00737D90" w:rsidRDefault="001327B6" w:rsidP="001327B6">
      <w:pPr>
        <w:shd w:val="clear" w:color="auto" w:fill="FFFFFF"/>
        <w:spacing w:before="100" w:beforeAutospacing="1" w:after="100" w:afterAutospacing="1" w:line="240" w:lineRule="auto"/>
        <w:outlineLvl w:val="0"/>
        <w:rPr>
          <w:rFonts w:ascii="Times New Roman" w:hAnsi="Times New Roman" w:cs="Times New Roman"/>
          <w:sz w:val="24"/>
          <w:szCs w:val="24"/>
        </w:rPr>
      </w:pPr>
      <w:r w:rsidRPr="00737D90">
        <w:rPr>
          <w:rFonts w:ascii="Times New Roman" w:hAnsi="Times New Roman" w:cs="Times New Roman"/>
          <w:sz w:val="24"/>
          <w:szCs w:val="24"/>
        </w:rPr>
        <w:t>Moser, B.W. 2007. Space use and ecology of goshawks in northern Idaho. Ph.D. dissertation, Univ. of Idaho, Moscow, ID U.S.A</w:t>
      </w:r>
    </w:p>
    <w:p w:rsidR="00562E8A" w:rsidRPr="00737D90" w:rsidRDefault="00562E8A" w:rsidP="00562E8A">
      <w:pPr>
        <w:shd w:val="clear" w:color="auto" w:fill="FFFFFF"/>
        <w:spacing w:before="100" w:beforeAutospacing="1" w:after="100" w:afterAutospacing="1"/>
        <w:outlineLvl w:val="0"/>
        <w:rPr>
          <w:rFonts w:ascii="Times New Roman" w:hAnsi="Times New Roman" w:cs="Times New Roman"/>
          <w:sz w:val="24"/>
          <w:szCs w:val="24"/>
        </w:rPr>
      </w:pPr>
      <w:r w:rsidRPr="00737D90">
        <w:rPr>
          <w:rFonts w:ascii="Times New Roman" w:hAnsi="Times New Roman" w:cs="Times New Roman"/>
          <w:sz w:val="24"/>
          <w:szCs w:val="24"/>
        </w:rPr>
        <w:t>Moser, B.W., and E.O. Garton. 2009. Short-term effects of timber harvest and weather on Northern Goshawk reproduction in northern Idaho. J. Raptor Res. 43, 1–10.</w:t>
      </w:r>
    </w:p>
    <w:p w:rsidR="00057622" w:rsidRPr="00737D90" w:rsidRDefault="00057622" w:rsidP="00057622">
      <w:pPr>
        <w:shd w:val="clear" w:color="auto" w:fill="FFFFFF"/>
        <w:spacing w:before="100" w:beforeAutospacing="1" w:after="100" w:afterAutospacing="1" w:line="240" w:lineRule="auto"/>
        <w:outlineLvl w:val="0"/>
        <w:rPr>
          <w:rFonts w:ascii="Times New Roman" w:hAnsi="Times New Roman" w:cs="Times New Roman"/>
          <w:sz w:val="24"/>
          <w:szCs w:val="24"/>
        </w:rPr>
      </w:pPr>
      <w:r w:rsidRPr="00737D90">
        <w:rPr>
          <w:rFonts w:ascii="Times New Roman" w:hAnsi="Times New Roman" w:cs="Times New Roman"/>
          <w:sz w:val="24"/>
          <w:szCs w:val="24"/>
        </w:rPr>
        <w:t>Noon B. R., D. D. Murphy, S. R. Beissinger, M. L. Shaffer, and D. DellaSala. 2003. Conservation planning for U.S. national forests: conducting comprehensive biodiversity assessments. BioScience 53:1217– 1220</w:t>
      </w:r>
    </w:p>
    <w:p w:rsidR="00BB2A0D" w:rsidRPr="00737D90" w:rsidRDefault="00BB2A0D" w:rsidP="00BB2A0D">
      <w:pPr>
        <w:autoSpaceDE w:val="0"/>
        <w:autoSpaceDN w:val="0"/>
        <w:adjustRightInd w:val="0"/>
        <w:spacing w:after="0" w:line="240" w:lineRule="auto"/>
        <w:rPr>
          <w:rFonts w:ascii="Times New Roman" w:hAnsi="Times New Roman" w:cs="Times New Roman"/>
          <w:sz w:val="24"/>
          <w:szCs w:val="24"/>
        </w:rPr>
      </w:pPr>
      <w:r w:rsidRPr="00737D90">
        <w:rPr>
          <w:rFonts w:ascii="Times New Roman" w:hAnsi="Times New Roman" w:cs="Times New Roman"/>
          <w:sz w:val="24"/>
          <w:szCs w:val="24"/>
        </w:rPr>
        <w:t>Peek, J.M., D.J. Pierce, D. C. Graham, and D.L. Davis. 1987.  Moose habitat use and implications for forest management in North-central Idaho. Proceedings – Second International Moose Symposium. Swedish Wildlife Research, Biltrevy, supplement 1, part one, 1987. pp. 195-199.</w:t>
      </w:r>
    </w:p>
    <w:p w:rsidR="00BB2A0D" w:rsidRPr="00737D90" w:rsidRDefault="00BB2A0D" w:rsidP="00BB2A0D">
      <w:pPr>
        <w:autoSpaceDE w:val="0"/>
        <w:autoSpaceDN w:val="0"/>
        <w:adjustRightInd w:val="0"/>
        <w:spacing w:after="0" w:line="240" w:lineRule="auto"/>
        <w:rPr>
          <w:rFonts w:ascii="Times New Roman" w:hAnsi="Times New Roman" w:cs="Times New Roman"/>
          <w:sz w:val="24"/>
          <w:szCs w:val="24"/>
        </w:rPr>
      </w:pPr>
    </w:p>
    <w:p w:rsidR="00BB2A0D" w:rsidRPr="00737D90" w:rsidRDefault="00BB2A0D" w:rsidP="00BB2A0D">
      <w:pPr>
        <w:autoSpaceDE w:val="0"/>
        <w:autoSpaceDN w:val="0"/>
        <w:adjustRightInd w:val="0"/>
        <w:spacing w:after="0" w:line="240" w:lineRule="auto"/>
        <w:rPr>
          <w:rFonts w:ascii="Times New Roman" w:hAnsi="Times New Roman" w:cs="Times New Roman"/>
          <w:sz w:val="24"/>
          <w:szCs w:val="24"/>
        </w:rPr>
      </w:pPr>
      <w:r w:rsidRPr="00737D90">
        <w:rPr>
          <w:rFonts w:ascii="Times New Roman" w:hAnsi="Times New Roman" w:cs="Times New Roman"/>
          <w:sz w:val="24"/>
          <w:szCs w:val="24"/>
        </w:rPr>
        <w:t>Pierce, D.J., and J.M. Peek. 1984.  Moose habitat use and selection patterns in north-central Idaho.  J. Wildl. Manage. 48:1335-1343.</w:t>
      </w:r>
    </w:p>
    <w:p w:rsidR="00BB2A0D" w:rsidRPr="00737D90" w:rsidRDefault="00BB2A0D" w:rsidP="00BB2A0D">
      <w:pPr>
        <w:autoSpaceDE w:val="0"/>
        <w:autoSpaceDN w:val="0"/>
        <w:adjustRightInd w:val="0"/>
        <w:spacing w:after="0" w:line="240" w:lineRule="auto"/>
        <w:rPr>
          <w:rFonts w:ascii="Times New Roman" w:hAnsi="Times New Roman" w:cs="Times New Roman"/>
          <w:sz w:val="24"/>
          <w:szCs w:val="24"/>
        </w:rPr>
      </w:pPr>
    </w:p>
    <w:p w:rsidR="00F62E4F" w:rsidRPr="00737D90" w:rsidRDefault="00F62E4F" w:rsidP="00F62E4F">
      <w:pPr>
        <w:spacing w:before="240" w:line="240" w:lineRule="auto"/>
        <w:contextualSpacing/>
        <w:rPr>
          <w:rFonts w:ascii="Times New Roman" w:hAnsi="Times New Roman" w:cs="Times New Roman"/>
          <w:sz w:val="24"/>
          <w:szCs w:val="24"/>
        </w:rPr>
      </w:pPr>
      <w:r w:rsidRPr="00737D90">
        <w:rPr>
          <w:rFonts w:ascii="Times New Roman" w:hAnsi="Times New Roman" w:cs="Times New Roman"/>
          <w:sz w:val="24"/>
          <w:szCs w:val="24"/>
        </w:rPr>
        <w:t xml:space="preserve">Potvin, F., L. Belanger, and K. Lowell. 1999. Marten habitat selection in a clearcut boreal landscape. Conservation Biology 14: 844-857. </w:t>
      </w:r>
    </w:p>
    <w:p w:rsidR="000C602A" w:rsidRPr="00737D90" w:rsidRDefault="000C602A" w:rsidP="00F62E4F">
      <w:pPr>
        <w:spacing w:before="240" w:line="240" w:lineRule="auto"/>
        <w:contextualSpacing/>
        <w:rPr>
          <w:rFonts w:ascii="Times New Roman" w:hAnsi="Times New Roman" w:cs="Times New Roman"/>
          <w:sz w:val="24"/>
          <w:szCs w:val="24"/>
        </w:rPr>
      </w:pPr>
    </w:p>
    <w:p w:rsidR="000C602A" w:rsidRPr="00737D90" w:rsidRDefault="000C602A" w:rsidP="000C602A">
      <w:pPr>
        <w:spacing w:before="240" w:line="240" w:lineRule="auto"/>
        <w:contextualSpacing/>
        <w:rPr>
          <w:rFonts w:ascii="Times New Roman" w:hAnsi="Times New Roman" w:cs="Times New Roman"/>
          <w:sz w:val="24"/>
          <w:szCs w:val="24"/>
        </w:rPr>
      </w:pPr>
      <w:r w:rsidRPr="00737D90">
        <w:rPr>
          <w:rFonts w:ascii="Times New Roman" w:hAnsi="Times New Roman" w:cs="Times New Roman"/>
          <w:sz w:val="24"/>
          <w:szCs w:val="24"/>
        </w:rPr>
        <w:t>Powell, R.A. 1994. Structure and spacing of Martes populations. in Martens, Sables, and Fishers: Biology and Conservation, pp.101-121. Edited by S.W. Buskirk, A.S. Harestad, M.G. Raphael and R.A. Powell. Cornell University Press: Ithaca, NY.</w:t>
      </w:r>
    </w:p>
    <w:p w:rsidR="000C602A" w:rsidRPr="00737D90" w:rsidRDefault="000C602A" w:rsidP="00F62E4F">
      <w:pPr>
        <w:spacing w:before="240" w:line="240" w:lineRule="auto"/>
        <w:contextualSpacing/>
        <w:rPr>
          <w:rFonts w:ascii="Times New Roman" w:hAnsi="Times New Roman" w:cs="Times New Roman"/>
          <w:sz w:val="24"/>
          <w:szCs w:val="24"/>
        </w:rPr>
      </w:pPr>
    </w:p>
    <w:p w:rsidR="00654285" w:rsidRPr="00737D90" w:rsidRDefault="00EA26AB" w:rsidP="00562E8A">
      <w:pPr>
        <w:shd w:val="clear" w:color="auto" w:fill="FFFFFF"/>
        <w:spacing w:before="100" w:beforeAutospacing="1" w:after="100" w:afterAutospacing="1"/>
        <w:rPr>
          <w:rFonts w:ascii="Times New Roman" w:hAnsi="Times New Roman" w:cs="Times New Roman"/>
          <w:color w:val="222222"/>
          <w:sz w:val="24"/>
          <w:szCs w:val="24"/>
        </w:rPr>
      </w:pPr>
      <w:r w:rsidRPr="00737D90">
        <w:rPr>
          <w:rFonts w:ascii="Times New Roman" w:hAnsi="Times New Roman" w:cs="Times New Roman"/>
          <w:sz w:val="24"/>
          <w:szCs w:val="24"/>
          <w:shd w:val="clear" w:color="auto" w:fill="FFFFFF"/>
        </w:rPr>
        <w:lastRenderedPageBreak/>
        <w:t>R</w:t>
      </w:r>
      <w:r w:rsidR="00654285" w:rsidRPr="00737D90">
        <w:rPr>
          <w:rFonts w:ascii="Times New Roman" w:hAnsi="Times New Roman" w:cs="Times New Roman"/>
          <w:sz w:val="24"/>
          <w:szCs w:val="24"/>
          <w:shd w:val="clear" w:color="auto" w:fill="FFFFFF"/>
        </w:rPr>
        <w:t>eyes, Brian, and Natalie Morgan. 2022. Estimates of Old Growth and Snag Density on the Nez</w:t>
      </w:r>
      <w:r w:rsidR="00654285" w:rsidRPr="00737D90">
        <w:rPr>
          <w:rFonts w:ascii="Times New Roman" w:hAnsi="Times New Roman" w:cs="Times New Roman"/>
          <w:sz w:val="24"/>
          <w:szCs w:val="24"/>
        </w:rPr>
        <w:br/>
      </w:r>
      <w:r w:rsidR="00654285" w:rsidRPr="00737D90">
        <w:rPr>
          <w:rFonts w:ascii="Times New Roman" w:hAnsi="Times New Roman" w:cs="Times New Roman"/>
          <w:sz w:val="24"/>
          <w:szCs w:val="24"/>
          <w:shd w:val="clear" w:color="auto" w:fill="FFFFFF"/>
        </w:rPr>
        <w:t>Perce National Forest. Region One Vegetation Classification, Mapping, Inventory and</w:t>
      </w:r>
      <w:r w:rsidR="00654285" w:rsidRPr="00737D90">
        <w:rPr>
          <w:rFonts w:ascii="Times New Roman" w:hAnsi="Times New Roman" w:cs="Times New Roman"/>
          <w:sz w:val="24"/>
          <w:szCs w:val="24"/>
        </w:rPr>
        <w:br/>
      </w:r>
      <w:r w:rsidR="00654285" w:rsidRPr="00737D90">
        <w:rPr>
          <w:rFonts w:ascii="Times New Roman" w:hAnsi="Times New Roman" w:cs="Times New Roman"/>
          <w:sz w:val="24"/>
          <w:szCs w:val="24"/>
          <w:shd w:val="clear" w:color="auto" w:fill="FFFFFF"/>
        </w:rPr>
        <w:t>Analysis Report 22-22 v2.0. USDA, Forest Service. Northern Region, Missoula, MT. 7p.</w:t>
      </w:r>
    </w:p>
    <w:p w:rsidR="00562E8A" w:rsidRPr="00737D90" w:rsidRDefault="00562E8A" w:rsidP="00562E8A">
      <w:pPr>
        <w:autoSpaceDE w:val="0"/>
        <w:autoSpaceDN w:val="0"/>
        <w:adjustRightInd w:val="0"/>
        <w:rPr>
          <w:rFonts w:ascii="Times New Roman" w:hAnsi="Times New Roman" w:cs="Times New Roman"/>
          <w:sz w:val="24"/>
          <w:szCs w:val="24"/>
        </w:rPr>
      </w:pPr>
      <w:r w:rsidRPr="00737D90">
        <w:rPr>
          <w:rFonts w:ascii="Times New Roman" w:hAnsi="Times New Roman" w:cs="Times New Roman"/>
          <w:sz w:val="24"/>
          <w:szCs w:val="24"/>
        </w:rPr>
        <w:t>Reynolds, R.T., R.T. Graham, M.H. Reiser, R.L. Bassett, P.L. Kennedy, D.A. Boyce, G. Goodwin, R. Smith, and E.L. Fisher. 1992. Management recommendations for the Northern Goshawk in the southwestern United States. USDA Forest Service General Technical Report RM-217, Fort Collins, CO U.S.A.</w:t>
      </w:r>
    </w:p>
    <w:p w:rsidR="000F1454" w:rsidRPr="00737D90" w:rsidRDefault="00B27018" w:rsidP="00562E8A">
      <w:pPr>
        <w:autoSpaceDE w:val="0"/>
        <w:autoSpaceDN w:val="0"/>
        <w:adjustRightInd w:val="0"/>
        <w:rPr>
          <w:rFonts w:ascii="Times New Roman" w:hAnsi="Times New Roman" w:cs="Times New Roman"/>
          <w:sz w:val="24"/>
          <w:szCs w:val="24"/>
          <w:shd w:val="clear" w:color="auto" w:fill="FFFFFF"/>
        </w:rPr>
      </w:pPr>
      <w:r w:rsidRPr="00737D90">
        <w:rPr>
          <w:rFonts w:ascii="Times New Roman" w:hAnsi="Times New Roman" w:cs="Times New Roman"/>
          <w:sz w:val="24"/>
          <w:szCs w:val="24"/>
          <w:shd w:val="clear" w:color="auto" w:fill="FFFFFF"/>
        </w:rPr>
        <w:t>Samson, F. B. 2006a. A conservation assessment of the northern goshawk, black-backed woodpecker,</w:t>
      </w:r>
      <w:r w:rsidR="005C39CA">
        <w:rPr>
          <w:rFonts w:ascii="Times New Roman" w:hAnsi="Times New Roman" w:cs="Times New Roman"/>
          <w:sz w:val="24"/>
          <w:szCs w:val="24"/>
          <w:shd w:val="clear" w:color="auto" w:fill="FFFFFF"/>
        </w:rPr>
        <w:t xml:space="preserve"> </w:t>
      </w:r>
      <w:r w:rsidRPr="00737D90">
        <w:rPr>
          <w:rFonts w:ascii="Times New Roman" w:hAnsi="Times New Roman" w:cs="Times New Roman"/>
          <w:sz w:val="24"/>
          <w:szCs w:val="24"/>
          <w:shd w:val="clear" w:color="auto" w:fill="FFFFFF"/>
        </w:rPr>
        <w:t>flammulated owl, and pileated woodpecker in the Northern Region, USDA Forest Service.</w:t>
      </w:r>
      <w:r w:rsidR="00DD09B4" w:rsidRPr="00737D90">
        <w:rPr>
          <w:rFonts w:ascii="Times New Roman" w:hAnsi="Times New Roman" w:cs="Times New Roman"/>
          <w:sz w:val="24"/>
          <w:szCs w:val="24"/>
        </w:rPr>
        <w:t xml:space="preserve"> </w:t>
      </w:r>
      <w:r w:rsidRPr="00737D90">
        <w:rPr>
          <w:rFonts w:ascii="Times New Roman" w:hAnsi="Times New Roman" w:cs="Times New Roman"/>
          <w:sz w:val="24"/>
          <w:szCs w:val="24"/>
          <w:shd w:val="clear" w:color="auto" w:fill="FFFFFF"/>
        </w:rPr>
        <w:t>Missoula, MT, USA. 161 pp.</w:t>
      </w:r>
    </w:p>
    <w:p w:rsidR="00B27018" w:rsidRPr="00737D90" w:rsidRDefault="000F1454" w:rsidP="00562E8A">
      <w:pPr>
        <w:autoSpaceDE w:val="0"/>
        <w:autoSpaceDN w:val="0"/>
        <w:adjustRightInd w:val="0"/>
        <w:rPr>
          <w:rFonts w:ascii="Times New Roman" w:hAnsi="Times New Roman" w:cs="Times New Roman"/>
          <w:sz w:val="24"/>
          <w:szCs w:val="24"/>
        </w:rPr>
      </w:pPr>
      <w:r w:rsidRPr="00737D90">
        <w:rPr>
          <w:rFonts w:ascii="Times New Roman" w:hAnsi="Times New Roman" w:cs="Times New Roman"/>
          <w:sz w:val="24"/>
          <w:szCs w:val="24"/>
          <w:shd w:val="clear" w:color="auto" w:fill="FFFFFF"/>
        </w:rPr>
        <w:t>Samson, F. B. 2006b. Habitat Estimates for Maintaining Viable Populations of the Northern Goshawk,</w:t>
      </w:r>
      <w:r w:rsidR="00016685" w:rsidRPr="00737D90">
        <w:rPr>
          <w:rFonts w:ascii="Times New Roman" w:hAnsi="Times New Roman" w:cs="Times New Roman"/>
          <w:sz w:val="24"/>
          <w:szCs w:val="24"/>
        </w:rPr>
        <w:t xml:space="preserve"> </w:t>
      </w:r>
      <w:r w:rsidRPr="00737D90">
        <w:rPr>
          <w:rFonts w:ascii="Times New Roman" w:hAnsi="Times New Roman" w:cs="Times New Roman"/>
          <w:sz w:val="24"/>
          <w:szCs w:val="24"/>
          <w:shd w:val="clear" w:color="auto" w:fill="FFFFFF"/>
        </w:rPr>
        <w:t>Black-backed Woodpecker, Flammulated Owl, Pileated Woodpecker, American Marten, and</w:t>
      </w:r>
      <w:r w:rsidR="00016685" w:rsidRPr="00737D90">
        <w:rPr>
          <w:rFonts w:ascii="Times New Roman" w:hAnsi="Times New Roman" w:cs="Times New Roman"/>
          <w:sz w:val="24"/>
          <w:szCs w:val="24"/>
        </w:rPr>
        <w:t xml:space="preserve"> </w:t>
      </w:r>
      <w:r w:rsidRPr="00737D90">
        <w:rPr>
          <w:rFonts w:ascii="Times New Roman" w:hAnsi="Times New Roman" w:cs="Times New Roman"/>
          <w:sz w:val="24"/>
          <w:szCs w:val="24"/>
          <w:shd w:val="clear" w:color="auto" w:fill="FFFFFF"/>
        </w:rPr>
        <w:t>Fisher. USDA Forest Service. Missoula, Montana. Version June 6, 2006.</w:t>
      </w:r>
    </w:p>
    <w:p w:rsidR="00562E8A" w:rsidRPr="00737D90" w:rsidRDefault="00562E8A" w:rsidP="00562E8A">
      <w:pPr>
        <w:autoSpaceDE w:val="0"/>
        <w:autoSpaceDN w:val="0"/>
        <w:adjustRightInd w:val="0"/>
        <w:rPr>
          <w:rFonts w:ascii="Times New Roman" w:hAnsi="Times New Roman" w:cs="Times New Roman"/>
          <w:sz w:val="24"/>
          <w:szCs w:val="24"/>
        </w:rPr>
      </w:pPr>
      <w:r w:rsidRPr="00737D90">
        <w:rPr>
          <w:rFonts w:ascii="Times New Roman" w:hAnsi="Times New Roman" w:cs="Times New Roman"/>
          <w:sz w:val="24"/>
          <w:szCs w:val="24"/>
        </w:rPr>
        <w:t>S</w:t>
      </w:r>
      <w:r w:rsidR="006A1CBB" w:rsidRPr="00737D90">
        <w:rPr>
          <w:rFonts w:ascii="Times New Roman" w:hAnsi="Times New Roman" w:cs="Times New Roman"/>
          <w:sz w:val="24"/>
          <w:szCs w:val="24"/>
        </w:rPr>
        <w:t>a</w:t>
      </w:r>
      <w:r w:rsidRPr="00737D90">
        <w:rPr>
          <w:rFonts w:ascii="Times New Roman" w:hAnsi="Times New Roman" w:cs="Times New Roman"/>
          <w:sz w:val="24"/>
          <w:szCs w:val="24"/>
        </w:rPr>
        <w:t>uder, J.D, and J.L. Rachlow. 2014. Both forest composition and configuration influence landscape scale habitat selection by fishers (</w:t>
      </w:r>
      <w:r w:rsidRPr="00737D90">
        <w:rPr>
          <w:rFonts w:ascii="Times New Roman" w:hAnsi="Times New Roman" w:cs="Times New Roman"/>
          <w:i/>
          <w:iCs/>
          <w:sz w:val="24"/>
          <w:szCs w:val="24"/>
        </w:rPr>
        <w:t>Pekania pennanti</w:t>
      </w:r>
      <w:r w:rsidRPr="00737D90">
        <w:rPr>
          <w:rFonts w:ascii="Times New Roman" w:hAnsi="Times New Roman" w:cs="Times New Roman"/>
          <w:sz w:val="24"/>
          <w:szCs w:val="24"/>
        </w:rPr>
        <w:t>) in mixed coniferous forests of the Northern Rocky Mountains. Forest Ecology and Management. 314:75‐84.</w:t>
      </w:r>
    </w:p>
    <w:p w:rsidR="00016685" w:rsidRPr="00737D90" w:rsidRDefault="00016685" w:rsidP="00016685">
      <w:pPr>
        <w:pStyle w:val="ListParagraph"/>
        <w:ind w:left="0"/>
      </w:pPr>
      <w:r w:rsidRPr="00737D90">
        <w:t>Schultz, C. 2010.  Challenges in connecting cumulative effects analysis to effective wildlife conservation planning. BioScience 60:545–551.</w:t>
      </w:r>
    </w:p>
    <w:p w:rsidR="00D66FE4" w:rsidRPr="00737D90" w:rsidRDefault="00D66FE4" w:rsidP="00016685">
      <w:pPr>
        <w:pStyle w:val="ListParagraph"/>
        <w:ind w:left="0"/>
      </w:pPr>
    </w:p>
    <w:p w:rsidR="00D66FE4" w:rsidRPr="00737D90" w:rsidRDefault="00D66FE4" w:rsidP="00D66FE4">
      <w:pPr>
        <w:autoSpaceDE w:val="0"/>
        <w:autoSpaceDN w:val="0"/>
        <w:adjustRightInd w:val="0"/>
        <w:spacing w:after="0" w:line="240" w:lineRule="auto"/>
        <w:rPr>
          <w:rFonts w:ascii="Times New Roman" w:hAnsi="Times New Roman" w:cs="Times New Roman"/>
          <w:sz w:val="24"/>
          <w:szCs w:val="24"/>
        </w:rPr>
      </w:pPr>
      <w:r w:rsidRPr="00737D90">
        <w:rPr>
          <w:rFonts w:ascii="Times New Roman" w:hAnsi="Times New Roman" w:cs="Times New Roman"/>
          <w:sz w:val="24"/>
          <w:szCs w:val="24"/>
        </w:rPr>
        <w:t>Servheen, G., S. Blair, D. Davis, M. Gratson, K. Leidenfrost, B. Stotts, J. White, and J. Bell. 1997. Interagency Guidelines for Evaluating and Managing Elk Habitats and Populations in Central Idaho. Wildlife Bulletin No. 11, Idaho Dept. of Fish and Game. 75p.</w:t>
      </w:r>
    </w:p>
    <w:p w:rsidR="00737D90" w:rsidRPr="00737D90" w:rsidRDefault="00737D90" w:rsidP="00D66FE4">
      <w:pPr>
        <w:autoSpaceDE w:val="0"/>
        <w:autoSpaceDN w:val="0"/>
        <w:adjustRightInd w:val="0"/>
        <w:spacing w:after="0" w:line="240" w:lineRule="auto"/>
        <w:rPr>
          <w:rFonts w:ascii="Times New Roman" w:hAnsi="Times New Roman" w:cs="Times New Roman"/>
          <w:sz w:val="24"/>
          <w:szCs w:val="24"/>
        </w:rPr>
      </w:pPr>
    </w:p>
    <w:p w:rsidR="00737D90" w:rsidRPr="00737D90" w:rsidRDefault="00737D90" w:rsidP="00D66FE4">
      <w:pPr>
        <w:autoSpaceDE w:val="0"/>
        <w:autoSpaceDN w:val="0"/>
        <w:adjustRightInd w:val="0"/>
        <w:spacing w:after="0" w:line="240" w:lineRule="auto"/>
        <w:rPr>
          <w:rFonts w:ascii="Times New Roman" w:eastAsia="TTE1DB0090t00" w:hAnsi="Times New Roman" w:cs="Times New Roman"/>
          <w:sz w:val="24"/>
          <w:szCs w:val="24"/>
        </w:rPr>
      </w:pPr>
      <w:r w:rsidRPr="00737D90">
        <w:rPr>
          <w:rFonts w:ascii="Times New Roman" w:eastAsia="TTE1DB0090t00" w:hAnsi="Times New Roman" w:cs="Times New Roman"/>
          <w:sz w:val="24"/>
          <w:szCs w:val="24"/>
        </w:rPr>
        <w:t>Smallwood, K. S. 2001. Scale domains of abundance amongst species of mammalian Carnivora. Environmental Management 26: 102-111.</w:t>
      </w:r>
    </w:p>
    <w:p w:rsidR="00562E8A" w:rsidRPr="00737D90" w:rsidRDefault="00562E8A" w:rsidP="00562E8A">
      <w:pPr>
        <w:shd w:val="clear" w:color="auto" w:fill="FFFFFF"/>
        <w:spacing w:before="100" w:beforeAutospacing="1" w:after="100" w:afterAutospacing="1"/>
        <w:rPr>
          <w:rFonts w:ascii="Times New Roman" w:hAnsi="Times New Roman" w:cs="Times New Roman"/>
          <w:sz w:val="24"/>
          <w:szCs w:val="24"/>
        </w:rPr>
      </w:pPr>
      <w:r w:rsidRPr="00737D90">
        <w:rPr>
          <w:rFonts w:ascii="Times New Roman" w:hAnsi="Times New Roman" w:cs="Times New Roman"/>
          <w:sz w:val="24"/>
          <w:szCs w:val="24"/>
        </w:rPr>
        <w:t>USDA Forest Service 1987. Nez Perce NF Forest Plan, Appendix N.</w:t>
      </w:r>
    </w:p>
    <w:p w:rsidR="00C74983" w:rsidRPr="00737D90" w:rsidRDefault="00562E8A" w:rsidP="00C74983">
      <w:pPr>
        <w:shd w:val="clear" w:color="auto" w:fill="FFFFFF"/>
        <w:spacing w:before="100" w:beforeAutospacing="1" w:after="100" w:afterAutospacing="1"/>
        <w:rPr>
          <w:rFonts w:ascii="Times New Roman" w:hAnsi="Times New Roman" w:cs="Times New Roman"/>
          <w:color w:val="222222"/>
          <w:sz w:val="24"/>
          <w:szCs w:val="24"/>
        </w:rPr>
      </w:pPr>
      <w:r w:rsidRPr="00737D90">
        <w:rPr>
          <w:rFonts w:ascii="Times New Roman" w:hAnsi="Times New Roman" w:cs="Times New Roman"/>
          <w:color w:val="222222"/>
          <w:sz w:val="24"/>
          <w:szCs w:val="24"/>
        </w:rPr>
        <w:t xml:space="preserve">USDA Forest Service 2016. </w:t>
      </w:r>
      <w:r w:rsidRPr="00737D90">
        <w:rPr>
          <w:rFonts w:ascii="Times New Roman" w:hAnsi="Times New Roman" w:cs="Times New Roman"/>
          <w:sz w:val="24"/>
          <w:szCs w:val="24"/>
        </w:rPr>
        <w:t xml:space="preserve">Region 1 Common Stand Exam and Inventory and Monitoring Protocols </w:t>
      </w:r>
      <w:hyperlink r:id="rId8" w:history="1">
        <w:r w:rsidR="00C74983" w:rsidRPr="00737D90">
          <w:rPr>
            <w:rStyle w:val="Hyperlink"/>
            <w:rFonts w:ascii="Times New Roman" w:hAnsi="Times New Roman" w:cs="Times New Roman"/>
            <w:sz w:val="24"/>
            <w:szCs w:val="24"/>
          </w:rPr>
          <w:t>https://www.fs.fed.us/nrm/documents/fsveg/cse_user_guides/R1_CSE_Append_v2016.pdf</w:t>
        </w:r>
      </w:hyperlink>
    </w:p>
    <w:p w:rsidR="00253281" w:rsidRPr="00737D90" w:rsidRDefault="00562E8A" w:rsidP="00C74983">
      <w:pPr>
        <w:shd w:val="clear" w:color="auto" w:fill="FFFFFF"/>
        <w:spacing w:before="100" w:beforeAutospacing="1" w:after="100" w:afterAutospacing="1"/>
        <w:rPr>
          <w:rStyle w:val="Hyperlink"/>
          <w:rFonts w:ascii="Times New Roman" w:hAnsi="Times New Roman" w:cs="Times New Roman"/>
          <w:sz w:val="24"/>
          <w:szCs w:val="24"/>
        </w:rPr>
      </w:pPr>
      <w:r w:rsidRPr="00737D90">
        <w:rPr>
          <w:rFonts w:ascii="Times New Roman" w:hAnsi="Times New Roman" w:cs="Times New Roman"/>
          <w:sz w:val="24"/>
          <w:szCs w:val="24"/>
        </w:rPr>
        <w:t>USDA Forest Service 2021. Northern Region Vegetation Mapping Project (VMAP)</w:t>
      </w:r>
      <w:r w:rsidR="00C74983" w:rsidRPr="00737D90">
        <w:rPr>
          <w:rFonts w:ascii="Times New Roman" w:hAnsi="Times New Roman" w:cs="Times New Roman"/>
          <w:sz w:val="24"/>
          <w:szCs w:val="24"/>
        </w:rPr>
        <w:t xml:space="preserve"> </w:t>
      </w:r>
      <w:hyperlink r:id="rId9" w:history="1">
        <w:r w:rsidR="00C74983" w:rsidRPr="00737D90">
          <w:rPr>
            <w:rStyle w:val="Hyperlink"/>
            <w:rFonts w:ascii="Times New Roman" w:hAnsi="Times New Roman" w:cs="Times New Roman"/>
            <w:sz w:val="24"/>
            <w:szCs w:val="24"/>
          </w:rPr>
          <w:t>https://www.fs.usda.gov/detailfull/r1/landmanagement/gis/?cid=stelprdb5331054&amp;width=fu</w:t>
        </w:r>
      </w:hyperlink>
    </w:p>
    <w:p w:rsidR="00DD09B4" w:rsidRPr="00737D90" w:rsidRDefault="00DD09B4" w:rsidP="00DD09B4">
      <w:pPr>
        <w:autoSpaceDE w:val="0"/>
        <w:autoSpaceDN w:val="0"/>
        <w:adjustRightInd w:val="0"/>
        <w:spacing w:after="0" w:line="240" w:lineRule="auto"/>
        <w:rPr>
          <w:rFonts w:ascii="Times New Roman" w:eastAsia="TTE1DB0090t00" w:hAnsi="Times New Roman" w:cs="Times New Roman"/>
          <w:sz w:val="24"/>
          <w:szCs w:val="24"/>
        </w:rPr>
      </w:pPr>
      <w:r w:rsidRPr="00737D90">
        <w:rPr>
          <w:rFonts w:ascii="Times New Roman" w:hAnsi="Times New Roman" w:cs="Times New Roman"/>
          <w:sz w:val="24"/>
          <w:szCs w:val="24"/>
        </w:rPr>
        <w:t>Waserrman, T. N., S.A. Cushman, and D.O. Wallin. 2012. Multi Scale Habitat Relationships of Martes Americana in Northern Idaho, U.S.A.  Environmental Sciences Faculty Publications. Paper 20.  http:// cedar.wwu.edu/esci_facpubs/20</w:t>
      </w:r>
    </w:p>
    <w:p w:rsidR="00897DC8" w:rsidRPr="00737D90" w:rsidRDefault="00DD09B4" w:rsidP="00737D90">
      <w:pPr>
        <w:shd w:val="clear" w:color="auto" w:fill="FFFFFF"/>
        <w:spacing w:before="100" w:beforeAutospacing="1" w:after="100" w:afterAutospacing="1" w:line="240" w:lineRule="auto"/>
        <w:rPr>
          <w:rFonts w:ascii="Times New Roman" w:hAnsi="Times New Roman" w:cs="Times New Roman"/>
          <w:color w:val="222222"/>
          <w:sz w:val="24"/>
          <w:szCs w:val="24"/>
        </w:rPr>
      </w:pPr>
      <w:r w:rsidRPr="00737D90">
        <w:rPr>
          <w:rFonts w:ascii="Times New Roman" w:hAnsi="Times New Roman" w:cs="Times New Roman"/>
          <w:color w:val="222222"/>
          <w:sz w:val="24"/>
          <w:szCs w:val="24"/>
        </w:rPr>
        <w:t>Webb, S. M., and M. S. Boyce. 2009. Marten fur harvests and landscape change in West-Central Alberta. Journal of Wildlife Management 73: 894-903.</w:t>
      </w:r>
    </w:p>
    <w:sectPr w:rsidR="00897DC8" w:rsidRPr="00737D90" w:rsidSect="00CB070E">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3769A" w:rsidRDefault="0063769A" w:rsidP="00CB070E">
      <w:pPr>
        <w:spacing w:after="0" w:line="240" w:lineRule="auto"/>
      </w:pPr>
      <w:r>
        <w:separator/>
      </w:r>
    </w:p>
  </w:endnote>
  <w:endnote w:type="continuationSeparator" w:id="0">
    <w:p w:rsidR="0063769A" w:rsidRDefault="0063769A" w:rsidP="00CB0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TE1DB0090t00">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4072315"/>
      <w:docPartObj>
        <w:docPartGallery w:val="Page Numbers (Bottom of Page)"/>
        <w:docPartUnique/>
      </w:docPartObj>
    </w:sdtPr>
    <w:sdtEndPr>
      <w:rPr>
        <w:noProof/>
      </w:rPr>
    </w:sdtEndPr>
    <w:sdtContent>
      <w:p w:rsidR="00CB070E" w:rsidRDefault="00CB070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B070E" w:rsidRDefault="00CB0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3769A" w:rsidRDefault="0063769A" w:rsidP="00CB070E">
      <w:pPr>
        <w:spacing w:after="0" w:line="240" w:lineRule="auto"/>
      </w:pPr>
      <w:r>
        <w:separator/>
      </w:r>
    </w:p>
  </w:footnote>
  <w:footnote w:type="continuationSeparator" w:id="0">
    <w:p w:rsidR="0063769A" w:rsidRDefault="0063769A" w:rsidP="00CB07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242"/>
    <w:rsid w:val="00004A2E"/>
    <w:rsid w:val="00016685"/>
    <w:rsid w:val="00043B99"/>
    <w:rsid w:val="0004558C"/>
    <w:rsid w:val="0004765E"/>
    <w:rsid w:val="00055B49"/>
    <w:rsid w:val="00056D41"/>
    <w:rsid w:val="00057622"/>
    <w:rsid w:val="000732E7"/>
    <w:rsid w:val="00073727"/>
    <w:rsid w:val="00075602"/>
    <w:rsid w:val="000822B8"/>
    <w:rsid w:val="00091109"/>
    <w:rsid w:val="000A324A"/>
    <w:rsid w:val="000A50E8"/>
    <w:rsid w:val="000A6022"/>
    <w:rsid w:val="000B1D0A"/>
    <w:rsid w:val="000B319C"/>
    <w:rsid w:val="000C31F4"/>
    <w:rsid w:val="000C602A"/>
    <w:rsid w:val="000D26D7"/>
    <w:rsid w:val="000D3078"/>
    <w:rsid w:val="000E315D"/>
    <w:rsid w:val="000E55D2"/>
    <w:rsid w:val="000E6620"/>
    <w:rsid w:val="000F1454"/>
    <w:rsid w:val="00101D89"/>
    <w:rsid w:val="001024F7"/>
    <w:rsid w:val="00111C0A"/>
    <w:rsid w:val="001138E0"/>
    <w:rsid w:val="00114AD2"/>
    <w:rsid w:val="001169CB"/>
    <w:rsid w:val="00124ADA"/>
    <w:rsid w:val="00130901"/>
    <w:rsid w:val="00130E02"/>
    <w:rsid w:val="001327B6"/>
    <w:rsid w:val="00137161"/>
    <w:rsid w:val="0014111A"/>
    <w:rsid w:val="00146971"/>
    <w:rsid w:val="00146C13"/>
    <w:rsid w:val="001526D2"/>
    <w:rsid w:val="00153D8E"/>
    <w:rsid w:val="0015460A"/>
    <w:rsid w:val="00154ED2"/>
    <w:rsid w:val="00156FD0"/>
    <w:rsid w:val="0016308D"/>
    <w:rsid w:val="00163C0F"/>
    <w:rsid w:val="00174F95"/>
    <w:rsid w:val="00176DEF"/>
    <w:rsid w:val="0018126A"/>
    <w:rsid w:val="001A35BD"/>
    <w:rsid w:val="001A371C"/>
    <w:rsid w:val="001B0FC5"/>
    <w:rsid w:val="001B1AAF"/>
    <w:rsid w:val="001C202E"/>
    <w:rsid w:val="001C28E0"/>
    <w:rsid w:val="001C5029"/>
    <w:rsid w:val="001D710C"/>
    <w:rsid w:val="001E072C"/>
    <w:rsid w:val="001E26D7"/>
    <w:rsid w:val="001E2EC3"/>
    <w:rsid w:val="001E3E73"/>
    <w:rsid w:val="001E5901"/>
    <w:rsid w:val="001F2EE9"/>
    <w:rsid w:val="00201803"/>
    <w:rsid w:val="0021683E"/>
    <w:rsid w:val="00217135"/>
    <w:rsid w:val="00220006"/>
    <w:rsid w:val="00221132"/>
    <w:rsid w:val="002276C7"/>
    <w:rsid w:val="002329C2"/>
    <w:rsid w:val="00236EB4"/>
    <w:rsid w:val="00243213"/>
    <w:rsid w:val="00243830"/>
    <w:rsid w:val="00252D8E"/>
    <w:rsid w:val="00253281"/>
    <w:rsid w:val="00255BB1"/>
    <w:rsid w:val="00257B23"/>
    <w:rsid w:val="00267B68"/>
    <w:rsid w:val="00277DC5"/>
    <w:rsid w:val="00280DC7"/>
    <w:rsid w:val="00285130"/>
    <w:rsid w:val="002859B8"/>
    <w:rsid w:val="002A3F71"/>
    <w:rsid w:val="002A7C1A"/>
    <w:rsid w:val="002B3A94"/>
    <w:rsid w:val="002D34DA"/>
    <w:rsid w:val="002D3E74"/>
    <w:rsid w:val="002E03D8"/>
    <w:rsid w:val="002E15C7"/>
    <w:rsid w:val="002E1C97"/>
    <w:rsid w:val="002E3288"/>
    <w:rsid w:val="002E70F7"/>
    <w:rsid w:val="002F5EC2"/>
    <w:rsid w:val="00302E8E"/>
    <w:rsid w:val="003040AD"/>
    <w:rsid w:val="0031690D"/>
    <w:rsid w:val="00316B94"/>
    <w:rsid w:val="003309E0"/>
    <w:rsid w:val="00337766"/>
    <w:rsid w:val="003505C2"/>
    <w:rsid w:val="00350E88"/>
    <w:rsid w:val="0035116F"/>
    <w:rsid w:val="003603F0"/>
    <w:rsid w:val="003621A0"/>
    <w:rsid w:val="00365C5F"/>
    <w:rsid w:val="003774E1"/>
    <w:rsid w:val="00384B72"/>
    <w:rsid w:val="003851FE"/>
    <w:rsid w:val="003A5D44"/>
    <w:rsid w:val="003B2F98"/>
    <w:rsid w:val="003B62AA"/>
    <w:rsid w:val="003B7909"/>
    <w:rsid w:val="003D3C20"/>
    <w:rsid w:val="003D5460"/>
    <w:rsid w:val="003D6934"/>
    <w:rsid w:val="003E037C"/>
    <w:rsid w:val="003E4866"/>
    <w:rsid w:val="003E6CBE"/>
    <w:rsid w:val="003F1C57"/>
    <w:rsid w:val="003F51ED"/>
    <w:rsid w:val="004235E4"/>
    <w:rsid w:val="0042389D"/>
    <w:rsid w:val="00423C3B"/>
    <w:rsid w:val="00427E5A"/>
    <w:rsid w:val="00430E64"/>
    <w:rsid w:val="004540F3"/>
    <w:rsid w:val="00462BCF"/>
    <w:rsid w:val="004716E2"/>
    <w:rsid w:val="00474A6C"/>
    <w:rsid w:val="004926ED"/>
    <w:rsid w:val="004A3A22"/>
    <w:rsid w:val="004B3AEA"/>
    <w:rsid w:val="004B6FB0"/>
    <w:rsid w:val="004C071E"/>
    <w:rsid w:val="004E55DC"/>
    <w:rsid w:val="004F2A2C"/>
    <w:rsid w:val="004F5493"/>
    <w:rsid w:val="00506AC2"/>
    <w:rsid w:val="00520705"/>
    <w:rsid w:val="005327E3"/>
    <w:rsid w:val="00537F9E"/>
    <w:rsid w:val="005442EC"/>
    <w:rsid w:val="00546B7F"/>
    <w:rsid w:val="005471DF"/>
    <w:rsid w:val="00555D7A"/>
    <w:rsid w:val="00562E8A"/>
    <w:rsid w:val="005663E0"/>
    <w:rsid w:val="00566C05"/>
    <w:rsid w:val="00566D87"/>
    <w:rsid w:val="005671F3"/>
    <w:rsid w:val="005713A4"/>
    <w:rsid w:val="00573D72"/>
    <w:rsid w:val="00575ABD"/>
    <w:rsid w:val="00577C05"/>
    <w:rsid w:val="0058535C"/>
    <w:rsid w:val="005A2D26"/>
    <w:rsid w:val="005B354C"/>
    <w:rsid w:val="005B7E3B"/>
    <w:rsid w:val="005C022B"/>
    <w:rsid w:val="005C39CA"/>
    <w:rsid w:val="005C7B37"/>
    <w:rsid w:val="005D0434"/>
    <w:rsid w:val="005D2611"/>
    <w:rsid w:val="005D503A"/>
    <w:rsid w:val="005D5863"/>
    <w:rsid w:val="005E6683"/>
    <w:rsid w:val="005F2896"/>
    <w:rsid w:val="005F781C"/>
    <w:rsid w:val="00603F8B"/>
    <w:rsid w:val="00605A62"/>
    <w:rsid w:val="00605C44"/>
    <w:rsid w:val="006064B7"/>
    <w:rsid w:val="00606913"/>
    <w:rsid w:val="00612C18"/>
    <w:rsid w:val="00613B86"/>
    <w:rsid w:val="00614A8C"/>
    <w:rsid w:val="006174FC"/>
    <w:rsid w:val="00617AC2"/>
    <w:rsid w:val="0062073D"/>
    <w:rsid w:val="00620933"/>
    <w:rsid w:val="00634ABD"/>
    <w:rsid w:val="00634FBC"/>
    <w:rsid w:val="00636943"/>
    <w:rsid w:val="0063740E"/>
    <w:rsid w:val="0063769A"/>
    <w:rsid w:val="00637C91"/>
    <w:rsid w:val="00641D24"/>
    <w:rsid w:val="006426F2"/>
    <w:rsid w:val="00654285"/>
    <w:rsid w:val="006657B7"/>
    <w:rsid w:val="0066644F"/>
    <w:rsid w:val="006665F9"/>
    <w:rsid w:val="006675FC"/>
    <w:rsid w:val="0067060B"/>
    <w:rsid w:val="00672AE4"/>
    <w:rsid w:val="00682790"/>
    <w:rsid w:val="006860F2"/>
    <w:rsid w:val="00695393"/>
    <w:rsid w:val="00696817"/>
    <w:rsid w:val="006A1CA2"/>
    <w:rsid w:val="006A1CBB"/>
    <w:rsid w:val="006A71C0"/>
    <w:rsid w:val="006B75C3"/>
    <w:rsid w:val="006D05C5"/>
    <w:rsid w:val="006E09A6"/>
    <w:rsid w:val="006F0D23"/>
    <w:rsid w:val="006F6C13"/>
    <w:rsid w:val="007213D5"/>
    <w:rsid w:val="00725720"/>
    <w:rsid w:val="00734029"/>
    <w:rsid w:val="00734FBC"/>
    <w:rsid w:val="00737D90"/>
    <w:rsid w:val="00741680"/>
    <w:rsid w:val="00744708"/>
    <w:rsid w:val="00754902"/>
    <w:rsid w:val="00761B6D"/>
    <w:rsid w:val="007641D7"/>
    <w:rsid w:val="00767D03"/>
    <w:rsid w:val="00772699"/>
    <w:rsid w:val="007842ED"/>
    <w:rsid w:val="00785F1A"/>
    <w:rsid w:val="00787FE1"/>
    <w:rsid w:val="007936D7"/>
    <w:rsid w:val="007A5B73"/>
    <w:rsid w:val="007A6A6C"/>
    <w:rsid w:val="007A7644"/>
    <w:rsid w:val="007B5908"/>
    <w:rsid w:val="007B7F21"/>
    <w:rsid w:val="007C08E1"/>
    <w:rsid w:val="007E2D62"/>
    <w:rsid w:val="007F0139"/>
    <w:rsid w:val="007F2546"/>
    <w:rsid w:val="007F7C76"/>
    <w:rsid w:val="008016D1"/>
    <w:rsid w:val="00803CD7"/>
    <w:rsid w:val="0081668F"/>
    <w:rsid w:val="008202D7"/>
    <w:rsid w:val="00825993"/>
    <w:rsid w:val="008306AC"/>
    <w:rsid w:val="0083314D"/>
    <w:rsid w:val="0083424B"/>
    <w:rsid w:val="00840047"/>
    <w:rsid w:val="00850FF3"/>
    <w:rsid w:val="00867F12"/>
    <w:rsid w:val="00883197"/>
    <w:rsid w:val="00887946"/>
    <w:rsid w:val="00895F9C"/>
    <w:rsid w:val="00897DC8"/>
    <w:rsid w:val="008B032A"/>
    <w:rsid w:val="008B17A7"/>
    <w:rsid w:val="008C4453"/>
    <w:rsid w:val="008D1016"/>
    <w:rsid w:val="008D69CA"/>
    <w:rsid w:val="008D6E3E"/>
    <w:rsid w:val="008D7D3B"/>
    <w:rsid w:val="008E0EBF"/>
    <w:rsid w:val="008E2406"/>
    <w:rsid w:val="008E5A4E"/>
    <w:rsid w:val="00902685"/>
    <w:rsid w:val="00911992"/>
    <w:rsid w:val="009176A9"/>
    <w:rsid w:val="009327A9"/>
    <w:rsid w:val="00932AC6"/>
    <w:rsid w:val="009337D6"/>
    <w:rsid w:val="009513B9"/>
    <w:rsid w:val="00961027"/>
    <w:rsid w:val="0096475B"/>
    <w:rsid w:val="0096718B"/>
    <w:rsid w:val="00982671"/>
    <w:rsid w:val="0099177E"/>
    <w:rsid w:val="009B54B2"/>
    <w:rsid w:val="009B69D6"/>
    <w:rsid w:val="009C1683"/>
    <w:rsid w:val="009C44E8"/>
    <w:rsid w:val="009C5750"/>
    <w:rsid w:val="009D1EE3"/>
    <w:rsid w:val="009E1E74"/>
    <w:rsid w:val="009E29F0"/>
    <w:rsid w:val="009F4933"/>
    <w:rsid w:val="00A115CF"/>
    <w:rsid w:val="00A151BD"/>
    <w:rsid w:val="00A17E31"/>
    <w:rsid w:val="00A25A0A"/>
    <w:rsid w:val="00A300EA"/>
    <w:rsid w:val="00A30E23"/>
    <w:rsid w:val="00A400CD"/>
    <w:rsid w:val="00A528A4"/>
    <w:rsid w:val="00A543E1"/>
    <w:rsid w:val="00A57E63"/>
    <w:rsid w:val="00A67E71"/>
    <w:rsid w:val="00A7340A"/>
    <w:rsid w:val="00A73694"/>
    <w:rsid w:val="00A839A8"/>
    <w:rsid w:val="00A85DEB"/>
    <w:rsid w:val="00AA4C20"/>
    <w:rsid w:val="00AB23F8"/>
    <w:rsid w:val="00AB443E"/>
    <w:rsid w:val="00AB7EA2"/>
    <w:rsid w:val="00AC046D"/>
    <w:rsid w:val="00AC394F"/>
    <w:rsid w:val="00AD0752"/>
    <w:rsid w:val="00AD380B"/>
    <w:rsid w:val="00AD56C5"/>
    <w:rsid w:val="00AD579B"/>
    <w:rsid w:val="00AE1844"/>
    <w:rsid w:val="00AE30EF"/>
    <w:rsid w:val="00AF1B0C"/>
    <w:rsid w:val="00AF571F"/>
    <w:rsid w:val="00B0281C"/>
    <w:rsid w:val="00B14676"/>
    <w:rsid w:val="00B201AA"/>
    <w:rsid w:val="00B27018"/>
    <w:rsid w:val="00B27B65"/>
    <w:rsid w:val="00B316E9"/>
    <w:rsid w:val="00B40474"/>
    <w:rsid w:val="00B5401E"/>
    <w:rsid w:val="00B54056"/>
    <w:rsid w:val="00B54F23"/>
    <w:rsid w:val="00B5792C"/>
    <w:rsid w:val="00B62F9E"/>
    <w:rsid w:val="00B64D09"/>
    <w:rsid w:val="00B81A15"/>
    <w:rsid w:val="00B85899"/>
    <w:rsid w:val="00B85EDC"/>
    <w:rsid w:val="00BA09FD"/>
    <w:rsid w:val="00BA1E84"/>
    <w:rsid w:val="00BA38F5"/>
    <w:rsid w:val="00BA647C"/>
    <w:rsid w:val="00BA76F5"/>
    <w:rsid w:val="00BB2A0D"/>
    <w:rsid w:val="00BB4FDA"/>
    <w:rsid w:val="00BC54DB"/>
    <w:rsid w:val="00BC64A3"/>
    <w:rsid w:val="00BD1E81"/>
    <w:rsid w:val="00BD2C7A"/>
    <w:rsid w:val="00BD4D03"/>
    <w:rsid w:val="00C02A7B"/>
    <w:rsid w:val="00C0582C"/>
    <w:rsid w:val="00C1697C"/>
    <w:rsid w:val="00C262AB"/>
    <w:rsid w:val="00C2708A"/>
    <w:rsid w:val="00C2728D"/>
    <w:rsid w:val="00C376EF"/>
    <w:rsid w:val="00C4027D"/>
    <w:rsid w:val="00C41A1D"/>
    <w:rsid w:val="00C426BD"/>
    <w:rsid w:val="00C559EC"/>
    <w:rsid w:val="00C62FF4"/>
    <w:rsid w:val="00C6401E"/>
    <w:rsid w:val="00C74983"/>
    <w:rsid w:val="00C75CB5"/>
    <w:rsid w:val="00C8646C"/>
    <w:rsid w:val="00C91182"/>
    <w:rsid w:val="00C92D75"/>
    <w:rsid w:val="00CB070E"/>
    <w:rsid w:val="00CB4353"/>
    <w:rsid w:val="00CD21AE"/>
    <w:rsid w:val="00CD56FA"/>
    <w:rsid w:val="00CE6BAD"/>
    <w:rsid w:val="00CF0344"/>
    <w:rsid w:val="00CF0A4F"/>
    <w:rsid w:val="00CF0B4B"/>
    <w:rsid w:val="00CF11FD"/>
    <w:rsid w:val="00CF5E3D"/>
    <w:rsid w:val="00D00242"/>
    <w:rsid w:val="00D016FB"/>
    <w:rsid w:val="00D034E8"/>
    <w:rsid w:val="00D05785"/>
    <w:rsid w:val="00D07473"/>
    <w:rsid w:val="00D201BE"/>
    <w:rsid w:val="00D242E8"/>
    <w:rsid w:val="00D25F9C"/>
    <w:rsid w:val="00D262C9"/>
    <w:rsid w:val="00D3027F"/>
    <w:rsid w:val="00D304CC"/>
    <w:rsid w:val="00D3413E"/>
    <w:rsid w:val="00D348FD"/>
    <w:rsid w:val="00D37D6D"/>
    <w:rsid w:val="00D45B65"/>
    <w:rsid w:val="00D645C4"/>
    <w:rsid w:val="00D66FE4"/>
    <w:rsid w:val="00D87A11"/>
    <w:rsid w:val="00D94C61"/>
    <w:rsid w:val="00DB2329"/>
    <w:rsid w:val="00DC2584"/>
    <w:rsid w:val="00DC418B"/>
    <w:rsid w:val="00DC603F"/>
    <w:rsid w:val="00DC6059"/>
    <w:rsid w:val="00DD09B4"/>
    <w:rsid w:val="00DD1D05"/>
    <w:rsid w:val="00DD3354"/>
    <w:rsid w:val="00DD37C6"/>
    <w:rsid w:val="00DD57A4"/>
    <w:rsid w:val="00DF29FD"/>
    <w:rsid w:val="00DF50CE"/>
    <w:rsid w:val="00E15155"/>
    <w:rsid w:val="00E16025"/>
    <w:rsid w:val="00E208D7"/>
    <w:rsid w:val="00E22A87"/>
    <w:rsid w:val="00E23B4F"/>
    <w:rsid w:val="00E26B0C"/>
    <w:rsid w:val="00E27A7C"/>
    <w:rsid w:val="00E3166E"/>
    <w:rsid w:val="00E3385E"/>
    <w:rsid w:val="00E50306"/>
    <w:rsid w:val="00E50565"/>
    <w:rsid w:val="00E94086"/>
    <w:rsid w:val="00E94BEE"/>
    <w:rsid w:val="00EA1325"/>
    <w:rsid w:val="00EA26AB"/>
    <w:rsid w:val="00EA2DE0"/>
    <w:rsid w:val="00EA54A3"/>
    <w:rsid w:val="00EB0E40"/>
    <w:rsid w:val="00EB2895"/>
    <w:rsid w:val="00EB77F6"/>
    <w:rsid w:val="00EC0A52"/>
    <w:rsid w:val="00EC7EFF"/>
    <w:rsid w:val="00ED2894"/>
    <w:rsid w:val="00EF005A"/>
    <w:rsid w:val="00EF4B4D"/>
    <w:rsid w:val="00F01FC5"/>
    <w:rsid w:val="00F116AA"/>
    <w:rsid w:val="00F2047A"/>
    <w:rsid w:val="00F22982"/>
    <w:rsid w:val="00F40C85"/>
    <w:rsid w:val="00F41E7A"/>
    <w:rsid w:val="00F42E0A"/>
    <w:rsid w:val="00F453CD"/>
    <w:rsid w:val="00F53944"/>
    <w:rsid w:val="00F62E4F"/>
    <w:rsid w:val="00F67D8C"/>
    <w:rsid w:val="00F72692"/>
    <w:rsid w:val="00F72C4A"/>
    <w:rsid w:val="00F751B3"/>
    <w:rsid w:val="00F77F8E"/>
    <w:rsid w:val="00F86D5C"/>
    <w:rsid w:val="00F90745"/>
    <w:rsid w:val="00FA09ED"/>
    <w:rsid w:val="00FA4515"/>
    <w:rsid w:val="00FA5FAE"/>
    <w:rsid w:val="00FA6DC1"/>
    <w:rsid w:val="00FB06E6"/>
    <w:rsid w:val="00FB5446"/>
    <w:rsid w:val="00FC28CA"/>
    <w:rsid w:val="00FC2B46"/>
    <w:rsid w:val="00FD2E95"/>
    <w:rsid w:val="00FD6A23"/>
    <w:rsid w:val="00FD7908"/>
    <w:rsid w:val="00FD79F9"/>
    <w:rsid w:val="00FE22CC"/>
    <w:rsid w:val="00FE2BAE"/>
    <w:rsid w:val="00FE62D6"/>
    <w:rsid w:val="00FE670A"/>
    <w:rsid w:val="00FF47B5"/>
    <w:rsid w:val="00FF642E"/>
    <w:rsid w:val="00FF7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9908F"/>
  <w15:chartTrackingRefBased/>
  <w15:docId w15:val="{81D7F333-ABBA-4175-9E3B-52F5A16AB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07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70E"/>
  </w:style>
  <w:style w:type="paragraph" w:styleId="Footer">
    <w:name w:val="footer"/>
    <w:basedOn w:val="Normal"/>
    <w:link w:val="FooterChar"/>
    <w:uiPriority w:val="99"/>
    <w:unhideWhenUsed/>
    <w:rsid w:val="00CB07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70E"/>
  </w:style>
  <w:style w:type="table" w:styleId="PlainTable1">
    <w:name w:val="Plain Table 1"/>
    <w:basedOn w:val="TableNormal"/>
    <w:uiPriority w:val="41"/>
    <w:rsid w:val="000A6022"/>
    <w:pPr>
      <w:spacing w:after="0" w:line="240" w:lineRule="auto"/>
    </w:pPr>
    <w:rPr>
      <w:rFonts w:ascii="Times New Roman" w:eastAsia="Times New Roman" w:hAnsi="Times New Roman" w:cs="Times New Roman"/>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562E8A"/>
    <w:pPr>
      <w:spacing w:after="0" w:line="240" w:lineRule="auto"/>
      <w:ind w:left="720"/>
      <w:contextualSpacing/>
    </w:pPr>
    <w:rPr>
      <w:rFonts w:ascii="Times New Roman" w:eastAsia="Times New Roman" w:hAnsi="Times New Roman" w:cs="Times New Roman"/>
      <w:sz w:val="24"/>
      <w:szCs w:val="24"/>
    </w:rPr>
  </w:style>
  <w:style w:type="character" w:styleId="Emphasis">
    <w:name w:val="Emphasis"/>
    <w:basedOn w:val="DefaultParagraphFont"/>
    <w:uiPriority w:val="20"/>
    <w:qFormat/>
    <w:rsid w:val="00562E8A"/>
    <w:rPr>
      <w:i/>
      <w:iCs/>
    </w:rPr>
  </w:style>
  <w:style w:type="character" w:customStyle="1" w:styleId="apple-converted-space">
    <w:name w:val="apple-converted-space"/>
    <w:basedOn w:val="DefaultParagraphFont"/>
    <w:rsid w:val="00562E8A"/>
  </w:style>
  <w:style w:type="character" w:styleId="Hyperlink">
    <w:name w:val="Hyperlink"/>
    <w:basedOn w:val="DefaultParagraphFont"/>
    <w:uiPriority w:val="99"/>
    <w:unhideWhenUsed/>
    <w:rsid w:val="00867F12"/>
    <w:rPr>
      <w:color w:val="0563C1" w:themeColor="hyperlink"/>
      <w:u w:val="single"/>
    </w:rPr>
  </w:style>
  <w:style w:type="character" w:styleId="UnresolvedMention">
    <w:name w:val="Unresolved Mention"/>
    <w:basedOn w:val="DefaultParagraphFont"/>
    <w:uiPriority w:val="99"/>
    <w:semiHidden/>
    <w:unhideWhenUsed/>
    <w:rsid w:val="00867F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fed.us/nrm/documents/fsveg/cse_user_guides/R1_CSE_Append_v2016.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fs.usda.gov/detailfull/r1/landmanagement/gis/?cid=stelprdb5331054&amp;width=f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48CCB-4EDA-4C19-B955-5A59D7C56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3870</TotalTime>
  <Pages>25</Pages>
  <Words>11117</Words>
  <Characters>63367</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dc:creator>
  <cp:keywords/>
  <dc:description/>
  <cp:lastModifiedBy>Harry Jageman</cp:lastModifiedBy>
  <cp:revision>97</cp:revision>
  <cp:lastPrinted>2023-04-18T14:33:00Z</cp:lastPrinted>
  <dcterms:created xsi:type="dcterms:W3CDTF">2023-04-08T16:55:00Z</dcterms:created>
  <dcterms:modified xsi:type="dcterms:W3CDTF">2023-04-18T15:16:00Z</dcterms:modified>
</cp:coreProperties>
</file>