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73A9" w14:textId="42E639E4" w:rsidR="00B25158" w:rsidRPr="006453D9" w:rsidRDefault="00B25158" w:rsidP="00B25158">
      <w:pPr>
        <w:pStyle w:val="MDPI11articletype"/>
      </w:pPr>
      <w:r w:rsidRPr="006453D9">
        <w:t>Communication</w:t>
      </w:r>
    </w:p>
    <w:p w14:paraId="2D7514E7" w14:textId="4D7678FF" w:rsidR="00B25158" w:rsidRPr="003B1AF1" w:rsidRDefault="00900E17" w:rsidP="00B25158">
      <w:pPr>
        <w:pStyle w:val="MDPI12title"/>
      </w:pPr>
      <w:r>
        <w:t>Giant Sequoia Reproduction in a Large High-severity Fire Patch, Sierra Nevada, California, USA</w:t>
      </w:r>
    </w:p>
    <w:p w14:paraId="7FAFBB27" w14:textId="7B4AB2A1" w:rsidR="00843474" w:rsidRDefault="00900E17" w:rsidP="00B25158">
      <w:pPr>
        <w:pStyle w:val="MDPI13authornames"/>
      </w:pPr>
      <w:r>
        <w:t>Chad T. Hanson</w:t>
      </w:r>
      <w:r>
        <w:rPr>
          <w:vertAlign w:val="superscript"/>
        </w:rPr>
        <w:t>1</w:t>
      </w:r>
      <w:r w:rsidR="00B25158" w:rsidRPr="001F31D1">
        <w:rPr>
          <w:vertAlign w:val="superscript"/>
        </w:rPr>
        <w:t>,</w:t>
      </w:r>
      <w:r w:rsidR="00B25158" w:rsidRPr="00331633">
        <w:t>*</w:t>
      </w:r>
    </w:p>
    <w:tbl>
      <w:tblPr>
        <w:tblpPr w:leftFromText="198" w:rightFromText="198" w:vertAnchor="page" w:horzAnchor="margin" w:tblpY="10194"/>
        <w:tblW w:w="2410" w:type="dxa"/>
        <w:tblLayout w:type="fixed"/>
        <w:tblCellMar>
          <w:left w:w="0" w:type="dxa"/>
          <w:right w:w="0" w:type="dxa"/>
        </w:tblCellMar>
        <w:tblLook w:val="04A0" w:firstRow="1" w:lastRow="0" w:firstColumn="1" w:lastColumn="0" w:noHBand="0" w:noVBand="1"/>
      </w:tblPr>
      <w:tblGrid>
        <w:gridCol w:w="2410"/>
      </w:tblGrid>
      <w:tr w:rsidR="00843474" w:rsidRPr="00CF7843" w14:paraId="6A7F2871" w14:textId="77777777" w:rsidTr="007D1F55">
        <w:tc>
          <w:tcPr>
            <w:tcW w:w="2410" w:type="dxa"/>
            <w:shd w:val="clear" w:color="auto" w:fill="auto"/>
          </w:tcPr>
          <w:p w14:paraId="79AFDB5B" w14:textId="70C29A27" w:rsidR="00843474" w:rsidRPr="00CF7843" w:rsidRDefault="00843474" w:rsidP="007D1F55">
            <w:pPr>
              <w:adjustRightInd w:val="0"/>
              <w:snapToGrid w:val="0"/>
              <w:spacing w:before="60" w:line="240" w:lineRule="atLeast"/>
              <w:ind w:right="113"/>
              <w:rPr>
                <w:rFonts w:eastAsia="DengXian"/>
                <w:bCs/>
                <w:sz w:val="14"/>
                <w:szCs w:val="14"/>
                <w:lang w:bidi="en-US"/>
              </w:rPr>
            </w:pPr>
          </w:p>
        </w:tc>
      </w:tr>
    </w:tbl>
    <w:p w14:paraId="3CC34ACE" w14:textId="30151989" w:rsidR="00B25158" w:rsidRPr="00D945EC" w:rsidRDefault="001526ED" w:rsidP="00900E17">
      <w:pPr>
        <w:pStyle w:val="MDPI16affiliation"/>
      </w:pPr>
      <w:r w:rsidRPr="001526ED">
        <w:rPr>
          <w:vertAlign w:val="superscript"/>
        </w:rPr>
        <w:t>1</w:t>
      </w:r>
      <w:r w:rsidR="00B25158" w:rsidRPr="00D945EC">
        <w:tab/>
      </w:r>
      <w:r w:rsidR="00900E17" w:rsidRPr="0060139F">
        <w:rPr>
          <w:rFonts w:ascii="Times New Roman" w:hAnsi="Times New Roman"/>
        </w:rPr>
        <w:t>Earth Island Institute, 2150 Allston Way, Suite 460, Berkeley, CA 94704, USA</w:t>
      </w:r>
      <w:r w:rsidR="00900E17">
        <w:rPr>
          <w:rFonts w:ascii="Times New Roman" w:hAnsi="Times New Roman"/>
        </w:rPr>
        <w:t xml:space="preserve"> </w:t>
      </w:r>
    </w:p>
    <w:p w14:paraId="2B198459" w14:textId="6F6DC4BD" w:rsidR="00B25158" w:rsidRPr="00550626" w:rsidRDefault="00B25158" w:rsidP="00B25158">
      <w:pPr>
        <w:pStyle w:val="MDPI16affiliation"/>
      </w:pPr>
      <w:r w:rsidRPr="00961A28">
        <w:rPr>
          <w:b/>
        </w:rPr>
        <w:t>*</w:t>
      </w:r>
      <w:r w:rsidRPr="00D945EC">
        <w:tab/>
        <w:t xml:space="preserve">Correspondence: </w:t>
      </w:r>
      <w:r w:rsidR="00900E17">
        <w:t>cthanson1@gmail.com</w:t>
      </w:r>
    </w:p>
    <w:p w14:paraId="78E00A06" w14:textId="77777777" w:rsidR="00900E17" w:rsidRDefault="00900E17" w:rsidP="00900E17">
      <w:pPr>
        <w:spacing w:line="240" w:lineRule="auto"/>
        <w:ind w:left="1530"/>
        <w:jc w:val="left"/>
        <w:rPr>
          <w:b/>
          <w:szCs w:val="18"/>
        </w:rPr>
      </w:pPr>
    </w:p>
    <w:p w14:paraId="30037B7B" w14:textId="0CC4E709" w:rsidR="00900E17" w:rsidRPr="00900E17" w:rsidRDefault="00B25158" w:rsidP="00900E17">
      <w:pPr>
        <w:spacing w:line="240" w:lineRule="auto"/>
        <w:ind w:left="1530"/>
        <w:jc w:val="left"/>
      </w:pPr>
      <w:r w:rsidRPr="00550626">
        <w:rPr>
          <w:b/>
          <w:szCs w:val="18"/>
        </w:rPr>
        <w:t xml:space="preserve">Abstract: </w:t>
      </w:r>
      <w:r w:rsidR="00900E17" w:rsidRPr="00900E17">
        <w:t>The giant sequoia (</w:t>
      </w:r>
      <w:r w:rsidR="00900E17" w:rsidRPr="00900E17">
        <w:rPr>
          <w:i/>
          <w:iCs/>
        </w:rPr>
        <w:t>Sequoiadendron giganteum</w:t>
      </w:r>
      <w:r w:rsidR="00900E17" w:rsidRPr="00900E17">
        <w:t>), naturally occurring in mixed-conifer forests of the southern and central Sierra Nevada mountains of California, USA, is the world’s largest species of tree. Giant sequoia reproduction has been severely lacking over the past century, due to fire exclusion in the sequoia groves, creating a significant threat to the conservation of this endangered tree species. This species has a well-documented relationship with mixed-severity fire, and tends to reproduce most abundantly in mixed/high-severity fire patches. However, giant sequoia reproduction in large high-severity fire patches has not been previously studied. I conducted a preliminary investigation of giant sequoia reproduction in a large high-severity fire patch, and nearby low/mixed-severity fire areas, in the Nelder Grove, which burned in 2017 in the Railroad fire. I found that giant sequoia reproduction was higher, more dominant, and growing faster in the large high-severity fire patch than in the low/mixed-severity fire areas, and that sequoia seedling/sapling density was positively correlated with percent shrub cover. These findings are good news for giant sequoias, particularly after some mature sequoias were killed in recent large fires. More research is needed in other large high-severity fire patches to determine whether a similar reproduction response occurs elsewhere.</w:t>
      </w:r>
    </w:p>
    <w:p w14:paraId="0CF71710" w14:textId="10A4F308" w:rsidR="00B25158" w:rsidRPr="00550626" w:rsidRDefault="00B25158" w:rsidP="00B25158">
      <w:pPr>
        <w:pStyle w:val="MDPI17abstract"/>
        <w:rPr>
          <w:szCs w:val="18"/>
        </w:rPr>
      </w:pPr>
    </w:p>
    <w:p w14:paraId="7E3C7449" w14:textId="369DDD40" w:rsidR="00B25158" w:rsidRPr="00900E17" w:rsidRDefault="00B25158" w:rsidP="00B25158">
      <w:pPr>
        <w:pStyle w:val="MDPI18keywords"/>
        <w:rPr>
          <w:bCs/>
          <w:szCs w:val="18"/>
        </w:rPr>
      </w:pPr>
      <w:r w:rsidRPr="00550626">
        <w:rPr>
          <w:b/>
          <w:szCs w:val="18"/>
        </w:rPr>
        <w:t>Keywords:</w:t>
      </w:r>
      <w:r w:rsidR="00900E17">
        <w:rPr>
          <w:bCs/>
          <w:szCs w:val="18"/>
        </w:rPr>
        <w:t xml:space="preserve"> giant sequoia; wildfire; high-severity; Sierra Nevada; forests</w:t>
      </w:r>
    </w:p>
    <w:p w14:paraId="70460C8D" w14:textId="77777777" w:rsidR="00B25158" w:rsidRPr="00550626" w:rsidRDefault="00B25158" w:rsidP="00B25158">
      <w:pPr>
        <w:pStyle w:val="MDPI19line"/>
      </w:pPr>
    </w:p>
    <w:p w14:paraId="69E4FFCE" w14:textId="77777777" w:rsidR="00B25158" w:rsidRDefault="00B25158" w:rsidP="001E137E">
      <w:pPr>
        <w:pStyle w:val="MDPI21heading1"/>
        <w:spacing w:line="240" w:lineRule="auto"/>
        <w:ind w:left="2040" w:firstLine="510"/>
        <w:contextualSpacing/>
        <w:jc w:val="both"/>
        <w:rPr>
          <w:lang w:eastAsia="zh-CN"/>
        </w:rPr>
      </w:pPr>
      <w:r w:rsidRPr="007F2582">
        <w:rPr>
          <w:lang w:eastAsia="zh-CN"/>
        </w:rPr>
        <w:t>1. Introduction</w:t>
      </w:r>
    </w:p>
    <w:p w14:paraId="244A810E" w14:textId="7DFF99A9" w:rsidR="00900E17" w:rsidRPr="00900E17" w:rsidRDefault="00900E17" w:rsidP="001E137E">
      <w:pPr>
        <w:spacing w:line="240" w:lineRule="auto"/>
        <w:ind w:left="2550" w:firstLine="510"/>
        <w:contextualSpacing/>
      </w:pPr>
      <w:r w:rsidRPr="00900E17">
        <w:t>The giant sequoia (</w:t>
      </w:r>
      <w:r w:rsidRPr="00900E17">
        <w:rPr>
          <w:i/>
          <w:iCs/>
        </w:rPr>
        <w:t>Sequoiadendron giganteum</w:t>
      </w:r>
      <w:r w:rsidRPr="00900E17">
        <w:t>) is the largest tree species on the planet, and it is also one of the rarest. Listed as an endangered species by the IUCN, only about 70 naturally-occurring giant sequoia groves remain (the number varies somewhat depending on the methods used to define groves by various agencies and entities). These groves span a total cumulative area of only 11,724 ha, on the western slope of the southern and central Sierra Nevada mountains, in California, USA, according to a recent U.S. government estimate, nearly all of which occurs on U.S. national forests and U.S. national parks</w:t>
      </w:r>
      <w:r w:rsidR="003F79C9">
        <w:t xml:space="preserve"> [1]</w:t>
      </w:r>
      <w:r w:rsidRPr="00900E17">
        <w:t xml:space="preserve">. </w:t>
      </w:r>
      <w:r w:rsidR="001E137E">
        <w:t xml:space="preserve"> </w:t>
      </w:r>
    </w:p>
    <w:p w14:paraId="62587608" w14:textId="1C5EA524" w:rsidR="00900E17" w:rsidRPr="00900E17" w:rsidRDefault="00900E17" w:rsidP="00900E17">
      <w:pPr>
        <w:spacing w:line="240" w:lineRule="auto"/>
        <w:ind w:left="2550" w:firstLine="510"/>
        <w:contextualSpacing/>
      </w:pPr>
      <w:r w:rsidRPr="00900E17">
        <w:t xml:space="preserve">The conservation of giant sequoias is closely linked to wildland fire. It has long been recognized that giant sequoia reproduction benefits from wildfires, which facilitate release of seeds from cones, turn thick duff and litter on the forest floor into a nutrient-rich bed of mineral, and increase seedling access to sunlight by killing some portion of the canopy </w:t>
      </w:r>
      <w:r w:rsidRPr="00900E17">
        <w:lastRenderedPageBreak/>
        <w:t>trees</w:t>
      </w:r>
      <w:r w:rsidR="003F79C9">
        <w:t xml:space="preserve"> [2-3]</w:t>
      </w:r>
      <w:r w:rsidRPr="00900E17">
        <w:t xml:space="preserve">. Indeed, a primary conservation threat to this species has been a “massive failure of sequoia reproduction in groves protected from fire” over the past century due to fire suppression policies </w:t>
      </w:r>
      <w:r w:rsidR="003F79C9">
        <w:t>[3]</w:t>
      </w:r>
      <w:r w:rsidRPr="00900E17">
        <w:t xml:space="preserve">. </w:t>
      </w:r>
    </w:p>
    <w:p w14:paraId="18FCCC43" w14:textId="0F7CF63F" w:rsidR="00900E17" w:rsidRPr="00900E17" w:rsidRDefault="00900E17" w:rsidP="00900E17">
      <w:pPr>
        <w:spacing w:line="240" w:lineRule="auto"/>
        <w:ind w:left="2550" w:firstLine="510"/>
        <w:contextualSpacing/>
      </w:pPr>
      <w:r w:rsidRPr="00900E17">
        <w:t xml:space="preserve">Mixed-severity and smaller high-severity fire patches, in particular, create good conditions for giant sequoia reproduction, as sequoias regenerate more abundantly, and grow more rapidly, in such areas, while low-severity fire results in very sparse levels of reproduction that may not be significantly different from unburned conditions </w:t>
      </w:r>
      <w:r w:rsidR="003F79C9">
        <w:t>[3-4]</w:t>
      </w:r>
      <w:r w:rsidRPr="00900E17">
        <w:t xml:space="preserve">. While giant sequoia reproduction has been reported to be high in smaller high-severity fire patches </w:t>
      </w:r>
      <w:r w:rsidR="006C5087">
        <w:t>[3]</w:t>
      </w:r>
      <w:r w:rsidRPr="00900E17">
        <w:t xml:space="preserve">, up to 20 ha in size </w:t>
      </w:r>
      <w:r w:rsidR="006C5087">
        <w:t>[4]</w:t>
      </w:r>
      <w:r w:rsidRPr="00900E17">
        <w:t xml:space="preserve">, there is a lack of research on reproduction in larger high-severity fire patches. </w:t>
      </w:r>
    </w:p>
    <w:p w14:paraId="4BFBC5E7" w14:textId="2C065CE0" w:rsidR="00900E17" w:rsidRPr="00900E17" w:rsidRDefault="00900E17" w:rsidP="00900E17">
      <w:pPr>
        <w:spacing w:line="240" w:lineRule="auto"/>
        <w:ind w:left="2550" w:firstLine="510"/>
        <w:contextualSpacing/>
      </w:pPr>
      <w:r w:rsidRPr="00900E17">
        <w:t xml:space="preserve">In the context of this gap in knowledge, U.S. land management agencies hypothesize that larger high-severity fire patches represent a significant conservation threat to giant sequoias, given the potential for such patches to kill mature sequoias and the unknown capacity for this species to reproduce within large high-severity fire patches, where live tree seed sources are far away </w:t>
      </w:r>
      <w:r w:rsidR="006C5087">
        <w:t>[5]</w:t>
      </w:r>
      <w:r w:rsidRPr="00900E17">
        <w:t xml:space="preserve">. Based on this hypothesis, the U.S. Forest Service, which oversees the management of approximately half of all extant giant sequoia groves </w:t>
      </w:r>
      <w:r w:rsidR="006C5087">
        <w:t>[5</w:t>
      </w:r>
      <w:r w:rsidR="00CE4358">
        <w:t>]</w:t>
      </w:r>
      <w:r w:rsidRPr="00900E17">
        <w:t xml:space="preserve">, currently emphasizes continued aggressive wildfire suppression, low-severity prescribed fires, and commercial timber sales conducted under the rubric of fuel reduction and restoration, either as forest thinning and group selection, or post-fire logging operations </w:t>
      </w:r>
      <w:r w:rsidR="006C5087">
        <w:t>[5]</w:t>
      </w:r>
      <w:r w:rsidRPr="00900E17">
        <w:t xml:space="preserve">. </w:t>
      </w:r>
    </w:p>
    <w:p w14:paraId="0A7E942C" w14:textId="3E3A3564" w:rsidR="00900E17" w:rsidRPr="00900E17" w:rsidRDefault="00900E17" w:rsidP="00900E17">
      <w:pPr>
        <w:spacing w:line="240" w:lineRule="auto"/>
        <w:ind w:left="2550" w:firstLine="510"/>
        <w:contextualSpacing/>
      </w:pPr>
      <w:r w:rsidRPr="00900E17">
        <w:t xml:space="preserve">Despite evidence indicating poor giant sequoia reproduction in low-severity fire areas and logged forests </w:t>
      </w:r>
      <w:r w:rsidR="006C5087">
        <w:t>[4,6]</w:t>
      </w:r>
      <w:r w:rsidRPr="00900E17">
        <w:t xml:space="preserve">, growing evidence suggesting questionable efficacy of fuel-reduction logging as a fire management strategy </w:t>
      </w:r>
      <w:r w:rsidR="003E4E72">
        <w:t>[7-9]</w:t>
      </w:r>
      <w:r w:rsidRPr="00900E17">
        <w:t xml:space="preserve">, and the well-documented conservation threat to giant sequoia persistence from fire suppression </w:t>
      </w:r>
      <w:r w:rsidR="003E4E72">
        <w:t>[3]</w:t>
      </w:r>
      <w:r w:rsidRPr="00900E17">
        <w:t xml:space="preserve">, this management approach nevertheless persists in the face of uncertainty regarding the relationship between giant sequoias and large high-severity fire patches. </w:t>
      </w:r>
    </w:p>
    <w:p w14:paraId="68E38AD1" w14:textId="77777777" w:rsidR="00900E17" w:rsidRPr="00900E17" w:rsidRDefault="00900E17" w:rsidP="00900E17">
      <w:pPr>
        <w:spacing w:line="240" w:lineRule="auto"/>
        <w:ind w:left="2550" w:firstLine="510"/>
        <w:contextualSpacing/>
      </w:pPr>
      <w:r w:rsidRPr="00900E17">
        <w:t xml:space="preserve">I conducted a preliminary analysis regarding giant sequoia reproduction in a large high-severity fire patch, and nearby low/mixed-severity fire areas, within the 5,023-ha Railroad fire of 2017 in the Nelder Grove of giant sequoias on Sierra National Forest, south of Yosemite National Park. I hypothesized that giant sequoia post-fire reproduction in the large high-severity fire patch would follow the same pattern previously documented for smaller high-severity fire patches. Specifically, I hypothesized that giant sequoia reproduction in the large high-severity fire patch would be more abundant, would comprise a larger proportion of total post-fire conifer regeneration, and would be taller than in the low/mixed-severity fire area. I also investigated whether any correlation exists between percent shrub cover and giant sequoia reproduction. </w:t>
      </w:r>
    </w:p>
    <w:p w14:paraId="1136827E" w14:textId="62230430" w:rsidR="00B25158" w:rsidRDefault="00B25158" w:rsidP="00900E17">
      <w:pPr>
        <w:pStyle w:val="MDPI31text"/>
        <w:spacing w:line="240" w:lineRule="auto"/>
        <w:contextualSpacing/>
      </w:pPr>
    </w:p>
    <w:p w14:paraId="7338CA87" w14:textId="77777777" w:rsidR="00B25158" w:rsidRPr="00FA04F1" w:rsidRDefault="00B25158" w:rsidP="00900E17">
      <w:pPr>
        <w:pStyle w:val="MDPI21heading1"/>
        <w:spacing w:line="240" w:lineRule="auto"/>
        <w:contextualSpacing/>
        <w:jc w:val="both"/>
      </w:pPr>
      <w:r w:rsidRPr="00FA04F1">
        <w:rPr>
          <w:lang w:eastAsia="zh-CN"/>
        </w:rPr>
        <w:t xml:space="preserve">2. </w:t>
      </w:r>
      <w:r w:rsidRPr="00FA04F1">
        <w:t>Materials and Methods</w:t>
      </w:r>
    </w:p>
    <w:p w14:paraId="081213C8" w14:textId="3F454523" w:rsidR="00900E17" w:rsidRPr="00900E17" w:rsidRDefault="00900E17" w:rsidP="00900E17">
      <w:pPr>
        <w:spacing w:line="240" w:lineRule="auto"/>
        <w:ind w:left="2550" w:firstLine="510"/>
        <w:contextualSpacing/>
      </w:pPr>
      <w:r w:rsidRPr="00900E17">
        <w:t xml:space="preserve">I surveyed the portions of the Nelder Grove that burned in the 2017 Railroad fire. This area, ranging from 1495 to 1575 m in elevation, is comprised of mixed-conifer forests dominated by </w:t>
      </w:r>
      <w:r w:rsidRPr="00900E17">
        <w:rPr>
          <w:rFonts w:eastAsia="Times New Roman"/>
        </w:rPr>
        <w:t>ponderosa pine (</w:t>
      </w:r>
      <w:r w:rsidRPr="00900E17">
        <w:rPr>
          <w:rFonts w:eastAsia="Times New Roman"/>
          <w:i/>
          <w:iCs/>
        </w:rPr>
        <w:t>Pinus ponderosa</w:t>
      </w:r>
      <w:r w:rsidRPr="00900E17">
        <w:rPr>
          <w:rFonts w:eastAsia="Times New Roman"/>
        </w:rPr>
        <w:t>), sugar pine (</w:t>
      </w:r>
      <w:r w:rsidRPr="00900E17">
        <w:rPr>
          <w:rFonts w:eastAsia="Times New Roman"/>
          <w:i/>
          <w:iCs/>
        </w:rPr>
        <w:t>P. lambertiana</w:t>
      </w:r>
      <w:r w:rsidRPr="00900E17">
        <w:rPr>
          <w:rFonts w:eastAsia="Times New Roman"/>
        </w:rPr>
        <w:t>), white fir (</w:t>
      </w:r>
      <w:r w:rsidRPr="00900E17">
        <w:rPr>
          <w:rFonts w:eastAsia="Times New Roman"/>
          <w:i/>
          <w:iCs/>
        </w:rPr>
        <w:t>Abies concolor</w:t>
      </w:r>
      <w:r w:rsidRPr="00900E17">
        <w:rPr>
          <w:rFonts w:eastAsia="Times New Roman"/>
        </w:rPr>
        <w:t>), incense-cedar (</w:t>
      </w:r>
      <w:r w:rsidRPr="00900E17">
        <w:rPr>
          <w:rFonts w:eastAsia="Times New Roman"/>
          <w:i/>
          <w:iCs/>
        </w:rPr>
        <w:t>Calocedrus decurrens</w:t>
      </w:r>
      <w:r w:rsidRPr="00900E17">
        <w:rPr>
          <w:rFonts w:eastAsia="Times New Roman"/>
        </w:rPr>
        <w:t>), giant sequoia (</w:t>
      </w:r>
      <w:r w:rsidRPr="00900E17">
        <w:rPr>
          <w:rFonts w:eastAsia="Times New Roman"/>
          <w:i/>
          <w:iCs/>
        </w:rPr>
        <w:t>Sequoiadendron giganteum</w:t>
      </w:r>
      <w:r w:rsidRPr="00900E17">
        <w:rPr>
          <w:rFonts w:eastAsia="Times New Roman"/>
        </w:rPr>
        <w:t xml:space="preserve">) in </w:t>
      </w:r>
      <w:r w:rsidRPr="00900E17">
        <w:rPr>
          <w:rFonts w:eastAsia="Times New Roman"/>
        </w:rPr>
        <w:lastRenderedPageBreak/>
        <w:t>certain locations, and California black oak (</w:t>
      </w:r>
      <w:r w:rsidRPr="00900E17">
        <w:rPr>
          <w:rFonts w:eastAsia="Times New Roman"/>
          <w:i/>
          <w:iCs/>
        </w:rPr>
        <w:t>Quercus kelloggii</w:t>
      </w:r>
      <w:r w:rsidRPr="00900E17">
        <w:rPr>
          <w:rFonts w:eastAsia="Times New Roman"/>
        </w:rPr>
        <w:t>), with shrubs mainly consisting of mountain whitethorn (</w:t>
      </w:r>
      <w:r w:rsidRPr="00900E17">
        <w:rPr>
          <w:rFonts w:eastAsia="Times New Roman"/>
          <w:i/>
          <w:iCs/>
        </w:rPr>
        <w:t>Ceanothus cordulatus</w:t>
      </w:r>
      <w:r w:rsidRPr="00900E17">
        <w:rPr>
          <w:rFonts w:eastAsia="Times New Roman"/>
        </w:rPr>
        <w:t>), deer brush (</w:t>
      </w:r>
      <w:r w:rsidRPr="00900E17">
        <w:rPr>
          <w:rFonts w:eastAsia="Times New Roman"/>
          <w:i/>
          <w:iCs/>
        </w:rPr>
        <w:t>C. integerrimus</w:t>
      </w:r>
      <w:r w:rsidRPr="00900E17">
        <w:rPr>
          <w:rFonts w:eastAsia="Times New Roman"/>
        </w:rPr>
        <w:t>), and greenleaf manzanita (</w:t>
      </w:r>
      <w:r w:rsidRPr="00900E17">
        <w:rPr>
          <w:rFonts w:eastAsia="Times New Roman"/>
          <w:i/>
          <w:iCs/>
        </w:rPr>
        <w:t>Arctostaphylos patula</w:t>
      </w:r>
      <w:r w:rsidRPr="00900E17">
        <w:rPr>
          <w:rFonts w:eastAsia="Times New Roman"/>
        </w:rPr>
        <w:t xml:space="preserve">). </w:t>
      </w:r>
    </w:p>
    <w:p w14:paraId="4B192ECB" w14:textId="381CCE8E" w:rsidR="009A300F" w:rsidRPr="009A300F" w:rsidRDefault="00900E17" w:rsidP="009A300F">
      <w:pPr>
        <w:spacing w:line="240" w:lineRule="auto"/>
        <w:ind w:left="2550" w:firstLine="510"/>
        <w:contextualSpacing/>
      </w:pPr>
      <w:r w:rsidRPr="00900E17">
        <w:t>The fire-affected areas in the Nelder Grove were not planted with sequoia or other tree seedlings following the fire, so all conifer reproduction was natural. I gathered data at plot locations on a grid with plot center points spaced 100 m apart in both the low/mixed-severity fire area and the large</w:t>
      </w:r>
      <w:r w:rsidR="00801529">
        <w:t xml:space="preserve"> (</w:t>
      </w:r>
      <w:r w:rsidR="00801529">
        <w:sym w:font="Symbol" w:char="F07E"/>
      </w:r>
      <w:r w:rsidR="00801529">
        <w:t>470 ha)</w:t>
      </w:r>
      <w:r w:rsidRPr="00900E17">
        <w:t xml:space="preserve"> high-severity fire patch (Fig</w:t>
      </w:r>
      <w:r w:rsidR="00CE4358">
        <w:t>ure</w:t>
      </w:r>
      <w:r w:rsidRPr="00900E17">
        <w:t xml:space="preserve"> 1). In both of these fire-severity conditions, I located the first plot at the base of the giant sequoia (live or dead) closest to the access road, orienting the grid to include the most plots without going beyond the fire boundaries and without locating plot center points &gt;50 m from the nearest giant sequoia (live or dead). In one giant sequoia clump, within the low/mixed-severity area, this yielded only one plot, given the lack of other nearby sequoias, while it yielded multiple plots in another portion of the low/mixed-severity area and the large high-severity fire patch. In the low/mixed-severity area, I oriented the grid NE/SW, while in the large high-severity fire patch I oriented the grid N/S (Fig. 1). Each plot had a 10-m radius. I measured all distances with a laser hypsometer. </w:t>
      </w:r>
    </w:p>
    <w:p w14:paraId="2024FCF0" w14:textId="77777777" w:rsidR="009A300F" w:rsidRPr="003D38A7" w:rsidRDefault="009A300F" w:rsidP="003F79C9">
      <w:pPr>
        <w:pStyle w:val="MDPI52figure"/>
        <w:ind w:left="2608"/>
        <w:rPr>
          <w:bCs/>
        </w:rPr>
      </w:pPr>
      <w:r w:rsidRPr="00071CD6">
        <w:rPr>
          <w:rFonts w:ascii="Times New Roman" w:hAnsi="Times New Roman"/>
          <w:noProof/>
        </w:rPr>
        <w:drawing>
          <wp:inline distT="0" distB="0" distL="0" distR="0" wp14:anchorId="7B72F92D" wp14:editId="73BD6A6A">
            <wp:extent cx="3222988" cy="4170947"/>
            <wp:effectExtent l="0" t="0" r="3175"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pic:nvPicPr>
                  <pic:blipFill>
                    <a:blip r:embed="rId8"/>
                    <a:stretch>
                      <a:fillRect/>
                    </a:stretch>
                  </pic:blipFill>
                  <pic:spPr>
                    <a:xfrm>
                      <a:off x="0" y="0"/>
                      <a:ext cx="3247688" cy="4202912"/>
                    </a:xfrm>
                    <a:prstGeom prst="rect">
                      <a:avLst/>
                    </a:prstGeom>
                  </pic:spPr>
                </pic:pic>
              </a:graphicData>
            </a:graphic>
          </wp:inline>
        </w:drawing>
      </w:r>
    </w:p>
    <w:p w14:paraId="086B28FD" w14:textId="22F1006A" w:rsidR="009A300F" w:rsidRPr="009A300F" w:rsidRDefault="009A300F" w:rsidP="003F79C9">
      <w:pPr>
        <w:pStyle w:val="MDPI51figurecaption"/>
        <w:jc w:val="center"/>
        <w:rPr>
          <w:bCs/>
        </w:rPr>
      </w:pPr>
      <w:r w:rsidRPr="00FA04F1">
        <w:rPr>
          <w:b/>
        </w:rPr>
        <w:t xml:space="preserve">Figure 1. </w:t>
      </w:r>
      <w:r>
        <w:rPr>
          <w:bCs/>
        </w:rPr>
        <w:t xml:space="preserve">The </w:t>
      </w:r>
      <w:proofErr w:type="spellStart"/>
      <w:r>
        <w:rPr>
          <w:bCs/>
        </w:rPr>
        <w:t>Nelder</w:t>
      </w:r>
      <w:proofErr w:type="spellEnd"/>
      <w:r>
        <w:rPr>
          <w:bCs/>
        </w:rPr>
        <w:t xml:space="preserve"> Grove study area within the Railroad fire of 2017.</w:t>
      </w:r>
    </w:p>
    <w:p w14:paraId="768C7866" w14:textId="77777777" w:rsidR="009A300F" w:rsidRPr="00900E17" w:rsidRDefault="009A300F" w:rsidP="00900E17">
      <w:pPr>
        <w:spacing w:line="240" w:lineRule="auto"/>
        <w:ind w:left="2550" w:firstLine="510"/>
        <w:contextualSpacing/>
      </w:pPr>
    </w:p>
    <w:p w14:paraId="33593773" w14:textId="77777777" w:rsidR="00900E17" w:rsidRPr="00900E17" w:rsidRDefault="00900E17" w:rsidP="00900E17">
      <w:pPr>
        <w:spacing w:line="240" w:lineRule="auto"/>
        <w:ind w:left="2550" w:firstLine="510"/>
        <w:contextualSpacing/>
      </w:pPr>
      <w:r w:rsidRPr="00900E17">
        <w:t xml:space="preserve">Within each plot, in July of 2021 (approximately four years post-fire), I recorded the distance (m) and height (m) of the closest post-fire regenerating giant sequoia and non-sequoia conifer seedling/sapling to the plot center. I converted this distance into stems/ha </w:t>
      </w:r>
      <w:r w:rsidRPr="00900E17">
        <w:lastRenderedPageBreak/>
        <w:t>for the closest sequoia and non-sequoia conifer seedling/sapling, respectively, in each plot by treating the distance as a radius and determining the area. For instance, if the closest sequoia seedling/sapling was two meters from the plot center, the area would be pi times the radius (two meters) squared = 12.56 m</w:t>
      </w:r>
      <w:r w:rsidRPr="00900E17">
        <w:rPr>
          <w:vertAlign w:val="superscript"/>
        </w:rPr>
        <w:t>2</w:t>
      </w:r>
      <w:r w:rsidRPr="00900E17">
        <w:t>, and the density would be one seedling/sapling per 12.6 m</w:t>
      </w:r>
      <w:r w:rsidRPr="00900E17">
        <w:rPr>
          <w:vertAlign w:val="superscript"/>
        </w:rPr>
        <w:t>2</w:t>
      </w:r>
      <w:r w:rsidRPr="00900E17">
        <w:t xml:space="preserve">, or 796/ha. If there were no sequoia or non-sequoia conifer seedlings/saplings in the plot, I recorded the stems/ha as zero for that category in that plot. </w:t>
      </w:r>
    </w:p>
    <w:p w14:paraId="231C777B" w14:textId="77777777" w:rsidR="00900E17" w:rsidRPr="00900E17" w:rsidRDefault="00900E17" w:rsidP="00900E17">
      <w:pPr>
        <w:spacing w:line="240" w:lineRule="auto"/>
        <w:ind w:left="2550" w:firstLine="510"/>
        <w:contextualSpacing/>
      </w:pPr>
      <w:r w:rsidRPr="00900E17">
        <w:t xml:space="preserve">Next, I recorded all sequoia and non-sequoia conifers, live and fire-killed, in the following diameter-at-breast height size classes: 25-50 cm; 51-100 cm; and 101-200 cm. I calculated the basal area, live and fire-killed, of sequoias and non-sequoia conifers by using the mid-point of each diameter category. </w:t>
      </w:r>
    </w:p>
    <w:p w14:paraId="7277AD01" w14:textId="77777777" w:rsidR="00900E17" w:rsidRPr="00900E17" w:rsidRDefault="00900E17" w:rsidP="00900E17">
      <w:pPr>
        <w:spacing w:line="240" w:lineRule="auto"/>
        <w:ind w:left="2550" w:firstLine="510"/>
        <w:contextualSpacing/>
      </w:pPr>
      <w:r w:rsidRPr="00900E17">
        <w:t xml:space="preserve">I also recorded percent shrub cover in each plot, in the following categories: &lt;25%, 25-50%, 51-75%, and &gt;75%. </w:t>
      </w:r>
    </w:p>
    <w:p w14:paraId="7A2E6AF1" w14:textId="1B6369F5" w:rsidR="00B25158" w:rsidRPr="00900E17" w:rsidRDefault="00900E17" w:rsidP="00900E17">
      <w:pPr>
        <w:spacing w:line="240" w:lineRule="auto"/>
        <w:ind w:left="2550" w:firstLine="510"/>
        <w:contextualSpacing/>
      </w:pPr>
      <w:r w:rsidRPr="00900E17">
        <w:t xml:space="preserve">I determined whether giant sequoia seedling/sapling density (stems/ha) was higher in the large high-severity fire patch compared to the low/mixed-severity areas using a Mann-Whitney test </w:t>
      </w:r>
      <w:r w:rsidR="003E4E72">
        <w:t>[10]</w:t>
      </w:r>
      <w:r w:rsidRPr="00900E17">
        <w:t xml:space="preserve"> (one-tailed test). I also used a Mann-Whitney test to determine whether the proportion of total post-fire conifer regeneration that is comprised by giant sequoias (sequoia seedling/sapling stems/ha divided by total conifer seedling/sapling stems/ha) was higher in the large high-severity fire patch than in the low/mixed-severity areas (one-tailed). Next, I used a Spearman’s rank correlation test </w:t>
      </w:r>
      <w:r w:rsidR="003E4E72">
        <w:t>[11-12]</w:t>
      </w:r>
      <w:r w:rsidRPr="00900E17">
        <w:t xml:space="preserve"> to determine whether giant sequoia seedlings/saplings were taller in plots with higher conifer basal area mortality from the Railroad fire (one-tailed). Last, I used a Spearman’s rank correlation test to determine whether there was any correlation between giant sequoia seedling/sapling density and percent shrub cover, using the mid-point of the percent shrub cover categories. For this last analysis, there was no basis in the existing scientific literature to predict how or whether shrub cover would influence giant sequoia reproduction, so I used a two-tailed test for this analysis. </w:t>
      </w:r>
    </w:p>
    <w:p w14:paraId="61C9ABBD" w14:textId="77777777" w:rsidR="00B25158" w:rsidRPr="001F31D1" w:rsidRDefault="00B25158" w:rsidP="00C97679">
      <w:pPr>
        <w:pStyle w:val="MDPI21heading1"/>
      </w:pPr>
      <w:r w:rsidRPr="001F31D1">
        <w:t>3. Results</w:t>
      </w:r>
    </w:p>
    <w:p w14:paraId="78FDD454" w14:textId="2C1B0641" w:rsidR="00482160" w:rsidRPr="00482160" w:rsidRDefault="00482160" w:rsidP="00482160">
      <w:pPr>
        <w:spacing w:line="240" w:lineRule="auto"/>
        <w:ind w:left="2550" w:firstLine="510"/>
        <w:contextualSpacing/>
      </w:pPr>
      <w:r w:rsidRPr="00482160">
        <w:t xml:space="preserve">Giant sequoia reproduction was significantly higher in the large high-severity fire patch than in the low/mixed-severity fire areas in the Railroad fire (U = 44.5, P = 0.006, Table 1). Similarly, in the large high-severity fire patch, giant sequoias comprised a significantly higher percentage of the total post-fire conifer regeneration than in the low/mixed-severity areas (U = 49, P &lt; 0.001, Table 2). </w:t>
      </w:r>
    </w:p>
    <w:p w14:paraId="4FA09B82" w14:textId="4549513B" w:rsidR="00541046" w:rsidRPr="009A300F" w:rsidRDefault="00482160" w:rsidP="009A300F">
      <w:pPr>
        <w:spacing w:line="240" w:lineRule="auto"/>
        <w:ind w:left="2550" w:firstLine="510"/>
        <w:contextualSpacing/>
      </w:pPr>
      <w:r w:rsidRPr="00482160">
        <w:t>Post-fire naturally regenerating sequoia seedlings/saplings were also significantly taller in plots with higher levels of basal area mortality from fire (r</w:t>
      </w:r>
      <w:r w:rsidRPr="00482160">
        <w:rPr>
          <w:vertAlign w:val="subscript"/>
        </w:rPr>
        <w:t>s</w:t>
      </w:r>
      <w:r w:rsidRPr="00482160">
        <w:t xml:space="preserve"> = 0.623, P = 0.270, Table 3), and sequoia reproduction was higher in plots with higher percent shrub cover (r</w:t>
      </w:r>
      <w:r w:rsidRPr="00482160">
        <w:rPr>
          <w:vertAlign w:val="subscript"/>
        </w:rPr>
        <w:t>s</w:t>
      </w:r>
      <w:r w:rsidRPr="00482160">
        <w:t xml:space="preserve"> = 0.836, P &lt; 0.001, Table 4). </w:t>
      </w:r>
    </w:p>
    <w:p w14:paraId="6387638E" w14:textId="749D6826" w:rsidR="00541046" w:rsidRDefault="00541046" w:rsidP="009A300F">
      <w:pPr>
        <w:pStyle w:val="MDPI41tablecaption"/>
        <w:ind w:left="0"/>
        <w:rPr>
          <w:b/>
        </w:rPr>
      </w:pPr>
    </w:p>
    <w:p w14:paraId="55B17FA0" w14:textId="77777777" w:rsidR="00CE4358" w:rsidRDefault="00CE4358" w:rsidP="009A300F">
      <w:pPr>
        <w:pStyle w:val="MDPI41tablecaption"/>
        <w:ind w:left="0"/>
        <w:rPr>
          <w:b/>
        </w:rPr>
      </w:pPr>
    </w:p>
    <w:p w14:paraId="072366BD" w14:textId="1E4B6FC1" w:rsidR="00B25158" w:rsidRPr="006306D0" w:rsidRDefault="00B25158" w:rsidP="001F2DF1">
      <w:pPr>
        <w:pStyle w:val="MDPI41tablecaption"/>
      </w:pPr>
      <w:r w:rsidRPr="006306D0">
        <w:rPr>
          <w:b/>
        </w:rPr>
        <w:t>Table 1.</w:t>
      </w:r>
      <w:r w:rsidRPr="006306D0">
        <w:t xml:space="preserve"> </w:t>
      </w:r>
      <w:r w:rsidR="005B1269" w:rsidRPr="006306D0">
        <w:rPr>
          <w:rFonts w:cs="Times New Roman"/>
        </w:rPr>
        <w:t xml:space="preserve">Giant sequoia reproduction density (stems/ha of seedlings/saplings) in plots within the large high-severity fire patch (Large HS) versus the low/mixed-severity (L/M) fire areas. </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162"/>
        <w:gridCol w:w="1800"/>
        <w:gridCol w:w="3895"/>
      </w:tblGrid>
      <w:tr w:rsidR="00B25158" w:rsidRPr="00CF7843" w14:paraId="206D3329" w14:textId="77777777" w:rsidTr="005B1269">
        <w:tc>
          <w:tcPr>
            <w:tcW w:w="2162" w:type="dxa"/>
            <w:tcBorders>
              <w:bottom w:val="single" w:sz="4" w:space="0" w:color="auto"/>
            </w:tcBorders>
            <w:shd w:val="clear" w:color="auto" w:fill="auto"/>
            <w:vAlign w:val="center"/>
          </w:tcPr>
          <w:p w14:paraId="74291256" w14:textId="0515EC9F" w:rsidR="00B25158" w:rsidRPr="007F7C8C" w:rsidRDefault="005B1269" w:rsidP="005B1269">
            <w:pPr>
              <w:pStyle w:val="MDPI42tablebody"/>
              <w:spacing w:line="240" w:lineRule="auto"/>
              <w:jc w:val="both"/>
              <w:rPr>
                <w:b/>
                <w:snapToGrid/>
              </w:rPr>
            </w:pPr>
            <w:r>
              <w:rPr>
                <w:b/>
                <w:snapToGrid/>
              </w:rPr>
              <w:lastRenderedPageBreak/>
              <w:t xml:space="preserve"> Large HS</w:t>
            </w:r>
          </w:p>
        </w:tc>
        <w:tc>
          <w:tcPr>
            <w:tcW w:w="1800" w:type="dxa"/>
            <w:tcBorders>
              <w:bottom w:val="single" w:sz="4" w:space="0" w:color="auto"/>
            </w:tcBorders>
            <w:shd w:val="clear" w:color="auto" w:fill="auto"/>
            <w:vAlign w:val="center"/>
          </w:tcPr>
          <w:p w14:paraId="66B1577D" w14:textId="119403B5" w:rsidR="00B25158" w:rsidRPr="007F7C8C" w:rsidRDefault="005B1269" w:rsidP="005B1269">
            <w:pPr>
              <w:pStyle w:val="MDPI42tablebody"/>
              <w:spacing w:line="240" w:lineRule="auto"/>
              <w:jc w:val="both"/>
              <w:rPr>
                <w:b/>
                <w:snapToGrid/>
              </w:rPr>
            </w:pPr>
            <w:r>
              <w:rPr>
                <w:b/>
                <w:snapToGrid/>
              </w:rPr>
              <w:t>L/M</w:t>
            </w:r>
          </w:p>
        </w:tc>
        <w:tc>
          <w:tcPr>
            <w:tcW w:w="3895" w:type="dxa"/>
            <w:tcBorders>
              <w:bottom w:val="single" w:sz="4" w:space="0" w:color="auto"/>
            </w:tcBorders>
            <w:shd w:val="clear" w:color="auto" w:fill="auto"/>
            <w:vAlign w:val="center"/>
          </w:tcPr>
          <w:p w14:paraId="3C764621" w14:textId="4266F149" w:rsidR="00B25158" w:rsidRPr="00EC560C" w:rsidRDefault="005B1269" w:rsidP="005B1269">
            <w:pPr>
              <w:pStyle w:val="MDPI42tablebody"/>
              <w:spacing w:line="240" w:lineRule="auto"/>
              <w:jc w:val="both"/>
              <w:rPr>
                <w:b/>
                <w:snapToGrid/>
                <w:vertAlign w:val="superscript"/>
              </w:rPr>
            </w:pPr>
            <w:r>
              <w:rPr>
                <w:b/>
                <w:snapToGrid/>
              </w:rPr>
              <w:t>Large HS Ranks</w:t>
            </w:r>
            <w:r w:rsidR="00EC560C">
              <w:rPr>
                <w:b/>
                <w:snapToGrid/>
                <w:vertAlign w:val="superscript"/>
              </w:rPr>
              <w:t>1</w:t>
            </w:r>
            <w:r>
              <w:rPr>
                <w:b/>
                <w:snapToGrid/>
              </w:rPr>
              <w:t xml:space="preserve">         L/M Ranks</w:t>
            </w:r>
            <w:r w:rsidR="00EC560C">
              <w:rPr>
                <w:b/>
                <w:snapToGrid/>
                <w:vertAlign w:val="superscript"/>
              </w:rPr>
              <w:t>2</w:t>
            </w:r>
          </w:p>
        </w:tc>
      </w:tr>
      <w:tr w:rsidR="00B25158" w:rsidRPr="00CF7843" w14:paraId="4259F0EF" w14:textId="77777777" w:rsidTr="005B1269">
        <w:tc>
          <w:tcPr>
            <w:tcW w:w="2162" w:type="dxa"/>
            <w:shd w:val="clear" w:color="auto" w:fill="auto"/>
            <w:vAlign w:val="center"/>
          </w:tcPr>
          <w:p w14:paraId="18507733" w14:textId="04C5AE8C" w:rsidR="00B25158" w:rsidRPr="00F220D4" w:rsidRDefault="005B1269" w:rsidP="005B1269">
            <w:pPr>
              <w:pStyle w:val="MDPI42tablebody"/>
              <w:spacing w:line="240" w:lineRule="auto"/>
              <w:jc w:val="both"/>
            </w:pPr>
            <w:r>
              <w:t xml:space="preserve">    796                      </w:t>
            </w:r>
          </w:p>
        </w:tc>
        <w:tc>
          <w:tcPr>
            <w:tcW w:w="1800" w:type="dxa"/>
            <w:shd w:val="clear" w:color="auto" w:fill="auto"/>
            <w:vAlign w:val="center"/>
          </w:tcPr>
          <w:p w14:paraId="61F9A80E" w14:textId="2095D7F8" w:rsidR="00B25158" w:rsidRPr="00F220D4" w:rsidRDefault="005B1269" w:rsidP="005B1269">
            <w:pPr>
              <w:pStyle w:val="MDPI42tablebody"/>
              <w:spacing w:line="240" w:lineRule="auto"/>
              <w:jc w:val="both"/>
            </w:pPr>
            <w:r>
              <w:t>199</w:t>
            </w:r>
          </w:p>
        </w:tc>
        <w:tc>
          <w:tcPr>
            <w:tcW w:w="3895" w:type="dxa"/>
            <w:shd w:val="clear" w:color="auto" w:fill="auto"/>
            <w:vAlign w:val="center"/>
          </w:tcPr>
          <w:p w14:paraId="41B11AB2" w14:textId="67A6BE2E" w:rsidR="00B25158" w:rsidRPr="00F220D4" w:rsidRDefault="005B1269" w:rsidP="005B1269">
            <w:pPr>
              <w:pStyle w:val="MDPI42tablebody"/>
              <w:spacing w:line="240" w:lineRule="auto"/>
              <w:jc w:val="both"/>
            </w:pPr>
            <w:r>
              <w:t xml:space="preserve">      1.5                      4.5</w:t>
            </w:r>
          </w:p>
        </w:tc>
      </w:tr>
      <w:tr w:rsidR="00B25158" w:rsidRPr="00CF7843" w14:paraId="49EF1EBF" w14:textId="77777777" w:rsidTr="005B1269">
        <w:tc>
          <w:tcPr>
            <w:tcW w:w="2162" w:type="dxa"/>
            <w:shd w:val="clear" w:color="auto" w:fill="auto"/>
            <w:vAlign w:val="center"/>
          </w:tcPr>
          <w:p w14:paraId="0F7CEB9A" w14:textId="6293AC91" w:rsidR="00B25158" w:rsidRPr="00F220D4" w:rsidRDefault="005B1269" w:rsidP="005B1269">
            <w:pPr>
              <w:pStyle w:val="MDPI42tablebody"/>
              <w:spacing w:line="240" w:lineRule="auto"/>
              <w:jc w:val="both"/>
            </w:pPr>
            <w:r>
              <w:t xml:space="preserve">    3185                </w:t>
            </w:r>
          </w:p>
        </w:tc>
        <w:tc>
          <w:tcPr>
            <w:tcW w:w="1800" w:type="dxa"/>
            <w:shd w:val="clear" w:color="auto" w:fill="auto"/>
            <w:vAlign w:val="center"/>
          </w:tcPr>
          <w:p w14:paraId="46672034" w14:textId="6ABA362B" w:rsidR="00B25158" w:rsidRPr="00F220D4" w:rsidRDefault="005B1269" w:rsidP="005B1269">
            <w:pPr>
              <w:pStyle w:val="MDPI42tablebody"/>
              <w:spacing w:line="240" w:lineRule="auto"/>
              <w:jc w:val="both"/>
            </w:pPr>
            <w:r>
              <w:t>0</w:t>
            </w:r>
          </w:p>
        </w:tc>
        <w:tc>
          <w:tcPr>
            <w:tcW w:w="3895" w:type="dxa"/>
            <w:shd w:val="clear" w:color="auto" w:fill="auto"/>
            <w:vAlign w:val="center"/>
          </w:tcPr>
          <w:p w14:paraId="7D4B39A3" w14:textId="1AD00883" w:rsidR="00B25158" w:rsidRPr="00F220D4" w:rsidRDefault="005B1269" w:rsidP="005B1269">
            <w:pPr>
              <w:pStyle w:val="MDPI42tablebody"/>
              <w:spacing w:line="240" w:lineRule="auto"/>
              <w:jc w:val="both"/>
            </w:pPr>
            <w:r>
              <w:t xml:space="preserve">      1.5                      8.0</w:t>
            </w:r>
          </w:p>
        </w:tc>
      </w:tr>
      <w:tr w:rsidR="005B1269" w:rsidRPr="00CF7843" w14:paraId="1C810329" w14:textId="77777777" w:rsidTr="005B1269">
        <w:tc>
          <w:tcPr>
            <w:tcW w:w="2162" w:type="dxa"/>
            <w:shd w:val="clear" w:color="auto" w:fill="auto"/>
            <w:vAlign w:val="center"/>
          </w:tcPr>
          <w:p w14:paraId="27B70824" w14:textId="7767C4C7" w:rsidR="005B1269" w:rsidRDefault="005B1269" w:rsidP="005B1269">
            <w:pPr>
              <w:pStyle w:val="MDPI42tablebody"/>
              <w:spacing w:line="240" w:lineRule="auto"/>
              <w:jc w:val="both"/>
            </w:pPr>
            <w:r>
              <w:t xml:space="preserve">    796                 </w:t>
            </w:r>
          </w:p>
        </w:tc>
        <w:tc>
          <w:tcPr>
            <w:tcW w:w="1800" w:type="dxa"/>
            <w:shd w:val="clear" w:color="auto" w:fill="auto"/>
            <w:vAlign w:val="center"/>
          </w:tcPr>
          <w:p w14:paraId="33C018AF" w14:textId="440DEBE2" w:rsidR="005B1269" w:rsidRDefault="005B1269" w:rsidP="005B1269">
            <w:pPr>
              <w:pStyle w:val="MDPI42tablebody"/>
              <w:spacing w:line="240" w:lineRule="auto"/>
              <w:jc w:val="both"/>
            </w:pPr>
            <w:r>
              <w:t xml:space="preserve">796                     </w:t>
            </w:r>
          </w:p>
        </w:tc>
        <w:tc>
          <w:tcPr>
            <w:tcW w:w="3895" w:type="dxa"/>
            <w:shd w:val="clear" w:color="auto" w:fill="auto"/>
            <w:vAlign w:val="center"/>
          </w:tcPr>
          <w:p w14:paraId="6B7FAF9D" w14:textId="7D0FBD36" w:rsidR="005B1269" w:rsidRDefault="005B1269" w:rsidP="005B1269">
            <w:pPr>
              <w:pStyle w:val="MDPI42tablebody"/>
              <w:spacing w:line="240" w:lineRule="auto"/>
              <w:jc w:val="both"/>
            </w:pPr>
            <w:r>
              <w:t xml:space="preserve">      4.5                      10.0</w:t>
            </w:r>
          </w:p>
        </w:tc>
      </w:tr>
      <w:tr w:rsidR="005B1269" w:rsidRPr="00CF7843" w14:paraId="16CBD448" w14:textId="77777777" w:rsidTr="005B1269">
        <w:tc>
          <w:tcPr>
            <w:tcW w:w="2162" w:type="dxa"/>
            <w:shd w:val="clear" w:color="auto" w:fill="auto"/>
            <w:vAlign w:val="center"/>
          </w:tcPr>
          <w:p w14:paraId="3A4F5F09" w14:textId="7CFF0115" w:rsidR="005B1269" w:rsidRDefault="005B1269" w:rsidP="005B1269">
            <w:pPr>
              <w:pStyle w:val="MDPI42tablebody"/>
              <w:spacing w:line="240" w:lineRule="auto"/>
              <w:jc w:val="both"/>
            </w:pPr>
            <w:r>
              <w:t xml:space="preserve">    354  </w:t>
            </w:r>
          </w:p>
        </w:tc>
        <w:tc>
          <w:tcPr>
            <w:tcW w:w="1800" w:type="dxa"/>
            <w:shd w:val="clear" w:color="auto" w:fill="auto"/>
            <w:vAlign w:val="center"/>
          </w:tcPr>
          <w:p w14:paraId="11FDB523" w14:textId="74A2C40C" w:rsidR="005B1269" w:rsidRDefault="005B1269" w:rsidP="005B1269">
            <w:pPr>
              <w:pStyle w:val="MDPI42tablebody"/>
              <w:spacing w:line="240" w:lineRule="auto"/>
              <w:jc w:val="both"/>
            </w:pPr>
            <w:r>
              <w:t>354</w:t>
            </w:r>
          </w:p>
        </w:tc>
        <w:tc>
          <w:tcPr>
            <w:tcW w:w="3895" w:type="dxa"/>
            <w:shd w:val="clear" w:color="auto" w:fill="auto"/>
            <w:vAlign w:val="center"/>
          </w:tcPr>
          <w:p w14:paraId="4D1AC386" w14:textId="090DA612" w:rsidR="005B1269" w:rsidRDefault="005B1269" w:rsidP="005B1269">
            <w:pPr>
              <w:pStyle w:val="MDPI42tablebody"/>
              <w:spacing w:line="240" w:lineRule="auto"/>
              <w:jc w:val="both"/>
            </w:pPr>
            <w:r>
              <w:t xml:space="preserve">      4.5                      12.5</w:t>
            </w:r>
          </w:p>
        </w:tc>
      </w:tr>
      <w:tr w:rsidR="005B1269" w:rsidRPr="00CF7843" w14:paraId="077E7C25" w14:textId="77777777" w:rsidTr="005B1269">
        <w:tc>
          <w:tcPr>
            <w:tcW w:w="2162" w:type="dxa"/>
            <w:shd w:val="clear" w:color="auto" w:fill="auto"/>
            <w:vAlign w:val="center"/>
          </w:tcPr>
          <w:p w14:paraId="0DD415EF" w14:textId="4518FC57" w:rsidR="005B1269" w:rsidRDefault="005B1269" w:rsidP="005B1269">
            <w:pPr>
              <w:pStyle w:val="MDPI42tablebody"/>
              <w:spacing w:line="240" w:lineRule="auto"/>
              <w:jc w:val="both"/>
            </w:pPr>
            <w:r>
              <w:t xml:space="preserve">    354 </w:t>
            </w:r>
          </w:p>
        </w:tc>
        <w:tc>
          <w:tcPr>
            <w:tcW w:w="1800" w:type="dxa"/>
            <w:shd w:val="clear" w:color="auto" w:fill="auto"/>
            <w:vAlign w:val="center"/>
          </w:tcPr>
          <w:p w14:paraId="1C5A2201" w14:textId="011DC2E2" w:rsidR="005B1269" w:rsidRDefault="005B1269" w:rsidP="005B1269">
            <w:pPr>
              <w:pStyle w:val="MDPI42tablebody"/>
              <w:spacing w:line="240" w:lineRule="auto"/>
              <w:jc w:val="both"/>
            </w:pPr>
            <w:r>
              <w:t xml:space="preserve">0 </w:t>
            </w:r>
          </w:p>
        </w:tc>
        <w:tc>
          <w:tcPr>
            <w:tcW w:w="3895" w:type="dxa"/>
            <w:shd w:val="clear" w:color="auto" w:fill="auto"/>
            <w:vAlign w:val="center"/>
          </w:tcPr>
          <w:p w14:paraId="48D75256" w14:textId="7FFFC348" w:rsidR="005B1269" w:rsidRDefault="005B1269" w:rsidP="005B1269">
            <w:pPr>
              <w:pStyle w:val="MDPI42tablebody"/>
              <w:spacing w:line="240" w:lineRule="auto"/>
              <w:jc w:val="both"/>
            </w:pPr>
            <w:r>
              <w:t xml:space="preserve">      4.5                      12.5</w:t>
            </w:r>
          </w:p>
        </w:tc>
      </w:tr>
      <w:tr w:rsidR="005B1269" w:rsidRPr="00CF7843" w14:paraId="3A1C6F35" w14:textId="77777777" w:rsidTr="005B1269">
        <w:tc>
          <w:tcPr>
            <w:tcW w:w="2162" w:type="dxa"/>
            <w:shd w:val="clear" w:color="auto" w:fill="auto"/>
            <w:vAlign w:val="center"/>
          </w:tcPr>
          <w:p w14:paraId="34704579" w14:textId="6B938E9D" w:rsidR="005B1269" w:rsidRDefault="005B1269" w:rsidP="005B1269">
            <w:pPr>
              <w:pStyle w:val="MDPI42tablebody"/>
              <w:spacing w:line="240" w:lineRule="auto"/>
              <w:jc w:val="both"/>
            </w:pPr>
            <w:r>
              <w:t xml:space="preserve">    3185 </w:t>
            </w:r>
          </w:p>
        </w:tc>
        <w:tc>
          <w:tcPr>
            <w:tcW w:w="1800" w:type="dxa"/>
            <w:shd w:val="clear" w:color="auto" w:fill="auto"/>
            <w:vAlign w:val="center"/>
          </w:tcPr>
          <w:p w14:paraId="5226138A" w14:textId="16D31154" w:rsidR="005B1269" w:rsidRDefault="005B1269" w:rsidP="005B1269">
            <w:pPr>
              <w:pStyle w:val="MDPI42tablebody"/>
              <w:spacing w:line="240" w:lineRule="auto"/>
              <w:jc w:val="both"/>
            </w:pPr>
            <w:r>
              <w:t>0</w:t>
            </w:r>
          </w:p>
        </w:tc>
        <w:tc>
          <w:tcPr>
            <w:tcW w:w="3895" w:type="dxa"/>
            <w:shd w:val="clear" w:color="auto" w:fill="auto"/>
            <w:vAlign w:val="center"/>
          </w:tcPr>
          <w:p w14:paraId="19C87425" w14:textId="291109E7" w:rsidR="005B1269" w:rsidRDefault="005B1269" w:rsidP="005B1269">
            <w:pPr>
              <w:pStyle w:val="MDPI42tablebody"/>
              <w:spacing w:line="240" w:lineRule="auto"/>
              <w:jc w:val="both"/>
            </w:pPr>
            <w:r>
              <w:t xml:space="preserve">      8.0                      12.5</w:t>
            </w:r>
          </w:p>
        </w:tc>
      </w:tr>
      <w:tr w:rsidR="005B1269" w:rsidRPr="00CF7843" w14:paraId="1DDF5497" w14:textId="77777777" w:rsidTr="005B1269">
        <w:tc>
          <w:tcPr>
            <w:tcW w:w="2162" w:type="dxa"/>
            <w:shd w:val="clear" w:color="auto" w:fill="auto"/>
            <w:vAlign w:val="center"/>
          </w:tcPr>
          <w:p w14:paraId="53F83556" w14:textId="7DAE348A" w:rsidR="005B1269" w:rsidRDefault="005B1269" w:rsidP="005B1269">
            <w:pPr>
              <w:pStyle w:val="MDPI42tablebody"/>
              <w:spacing w:line="240" w:lineRule="auto"/>
              <w:jc w:val="both"/>
            </w:pPr>
            <w:r>
              <w:t xml:space="preserve">    796</w:t>
            </w:r>
          </w:p>
        </w:tc>
        <w:tc>
          <w:tcPr>
            <w:tcW w:w="1800" w:type="dxa"/>
            <w:shd w:val="clear" w:color="auto" w:fill="auto"/>
            <w:vAlign w:val="center"/>
          </w:tcPr>
          <w:p w14:paraId="742313F5" w14:textId="0B046E33" w:rsidR="005B1269" w:rsidRDefault="005B1269" w:rsidP="005B1269">
            <w:pPr>
              <w:pStyle w:val="MDPI42tablebody"/>
              <w:spacing w:line="240" w:lineRule="auto"/>
              <w:jc w:val="both"/>
            </w:pPr>
            <w:r>
              <w:t>0</w:t>
            </w:r>
          </w:p>
        </w:tc>
        <w:tc>
          <w:tcPr>
            <w:tcW w:w="3895" w:type="dxa"/>
            <w:shd w:val="clear" w:color="auto" w:fill="auto"/>
            <w:vAlign w:val="center"/>
          </w:tcPr>
          <w:p w14:paraId="00C1978B" w14:textId="06227FCA" w:rsidR="005B1269" w:rsidRDefault="005B1269" w:rsidP="005B1269">
            <w:pPr>
              <w:pStyle w:val="MDPI42tablebody"/>
              <w:spacing w:line="240" w:lineRule="auto"/>
              <w:jc w:val="both"/>
            </w:pPr>
            <w:r>
              <w:t xml:space="preserve">      8.0                      12.5</w:t>
            </w:r>
          </w:p>
        </w:tc>
      </w:tr>
    </w:tbl>
    <w:p w14:paraId="75E0665D" w14:textId="19AA6216" w:rsidR="00907688" w:rsidRPr="00EC560C" w:rsidRDefault="00541046" w:rsidP="005B1269">
      <w:pPr>
        <w:pStyle w:val="MDPI43tablefooter"/>
        <w:rPr>
          <w:szCs w:val="18"/>
        </w:rPr>
      </w:pPr>
      <w:r>
        <w:rPr>
          <w:vertAlign w:val="superscript"/>
        </w:rPr>
        <w:t xml:space="preserve"> </w:t>
      </w:r>
      <w:r w:rsidR="00EC560C" w:rsidRPr="00EC560C">
        <w:rPr>
          <w:szCs w:val="18"/>
          <w:vertAlign w:val="superscript"/>
        </w:rPr>
        <w:t>1</w:t>
      </w:r>
      <w:r w:rsidR="00EC560C" w:rsidRPr="00EC560C">
        <w:rPr>
          <w:szCs w:val="18"/>
        </w:rPr>
        <w:t xml:space="preserve"> </w:t>
      </w:r>
      <w:r w:rsidR="00EC560C" w:rsidRPr="00EC560C">
        <w:rPr>
          <w:rFonts w:cs="Times New Roman"/>
          <w:szCs w:val="18"/>
        </w:rPr>
        <w:t>R</w:t>
      </w:r>
      <w:r w:rsidR="00EC560C" w:rsidRPr="00EC560C">
        <w:rPr>
          <w:rFonts w:cs="Times New Roman"/>
          <w:szCs w:val="18"/>
          <w:vertAlign w:val="subscript"/>
        </w:rPr>
        <w:t>1</w:t>
      </w:r>
      <w:r w:rsidR="00EC560C" w:rsidRPr="00EC560C">
        <w:rPr>
          <w:rFonts w:cs="Times New Roman"/>
          <w:szCs w:val="18"/>
        </w:rPr>
        <w:t xml:space="preserve"> = 32.5</w:t>
      </w:r>
    </w:p>
    <w:p w14:paraId="129FBBFA" w14:textId="7C5B7338" w:rsidR="005B1269" w:rsidRPr="00EC560C" w:rsidRDefault="00EC560C" w:rsidP="00EC560C">
      <w:pPr>
        <w:pStyle w:val="MDPI31text"/>
        <w:ind w:left="0" w:firstLine="0"/>
        <w:rPr>
          <w:sz w:val="18"/>
          <w:szCs w:val="18"/>
        </w:rPr>
      </w:pPr>
      <w:r w:rsidRPr="00EC560C">
        <w:rPr>
          <w:sz w:val="18"/>
          <w:szCs w:val="18"/>
        </w:rPr>
        <w:t xml:space="preserve">   </w:t>
      </w:r>
      <w:r w:rsidRPr="00EC560C">
        <w:rPr>
          <w:sz w:val="18"/>
          <w:szCs w:val="18"/>
        </w:rPr>
        <w:tab/>
      </w:r>
      <w:r w:rsidRPr="00EC560C">
        <w:rPr>
          <w:sz w:val="18"/>
          <w:szCs w:val="18"/>
        </w:rPr>
        <w:tab/>
      </w:r>
      <w:r w:rsidRPr="00EC560C">
        <w:rPr>
          <w:sz w:val="18"/>
          <w:szCs w:val="18"/>
        </w:rPr>
        <w:tab/>
      </w:r>
      <w:r w:rsidRPr="00EC560C">
        <w:rPr>
          <w:sz w:val="18"/>
          <w:szCs w:val="18"/>
        </w:rPr>
        <w:tab/>
      </w:r>
      <w:r w:rsidRPr="00EC560C">
        <w:rPr>
          <w:sz w:val="18"/>
          <w:szCs w:val="18"/>
        </w:rPr>
        <w:tab/>
        <w:t xml:space="preserve"> </w:t>
      </w:r>
      <w:r w:rsidRPr="00EC560C">
        <w:rPr>
          <w:sz w:val="18"/>
          <w:szCs w:val="18"/>
          <w:vertAlign w:val="superscript"/>
        </w:rPr>
        <w:t>2</w:t>
      </w:r>
      <w:r w:rsidRPr="00EC560C">
        <w:rPr>
          <w:sz w:val="18"/>
          <w:szCs w:val="18"/>
        </w:rPr>
        <w:t xml:space="preserve"> R</w:t>
      </w:r>
      <w:r w:rsidRPr="00EC560C">
        <w:rPr>
          <w:sz w:val="18"/>
          <w:szCs w:val="18"/>
          <w:vertAlign w:val="subscript"/>
        </w:rPr>
        <w:t>2</w:t>
      </w:r>
      <w:r w:rsidRPr="00EC560C">
        <w:rPr>
          <w:sz w:val="18"/>
          <w:szCs w:val="18"/>
        </w:rPr>
        <w:t xml:space="preserve"> = 72.5</w:t>
      </w:r>
    </w:p>
    <w:p w14:paraId="5B602CBE" w14:textId="113482A3" w:rsidR="00EC560C" w:rsidRDefault="00EC560C" w:rsidP="00EC560C">
      <w:pPr>
        <w:pStyle w:val="MDPI31text"/>
        <w:ind w:left="0" w:firstLine="0"/>
        <w:rPr>
          <w:rFonts w:ascii="Times New Roman" w:hAnsi="Times New Roman"/>
        </w:rPr>
      </w:pPr>
    </w:p>
    <w:p w14:paraId="26845599" w14:textId="7BF150C9" w:rsidR="00EC560C" w:rsidRDefault="00EC560C" w:rsidP="00EC560C">
      <w:pPr>
        <w:pStyle w:val="MDPI31text"/>
        <w:ind w:left="0" w:firstLine="0"/>
        <w:rPr>
          <w:rFonts w:ascii="Times New Roman" w:hAnsi="Times New Roman"/>
        </w:rPr>
      </w:pPr>
    </w:p>
    <w:p w14:paraId="73B537B0" w14:textId="77777777" w:rsidR="00EC560C" w:rsidRDefault="00EC560C" w:rsidP="00EC560C">
      <w:pPr>
        <w:pStyle w:val="MDPI31text"/>
        <w:ind w:left="0" w:firstLine="0"/>
        <w:rPr>
          <w:rFonts w:ascii="Times New Roman" w:hAnsi="Times New Roman"/>
        </w:rPr>
      </w:pPr>
    </w:p>
    <w:p w14:paraId="50DDA1D0" w14:textId="22D42C7E" w:rsidR="00EC560C" w:rsidRPr="006306D0" w:rsidRDefault="00EC560C" w:rsidP="00EC560C">
      <w:pPr>
        <w:pStyle w:val="MDPI41tablecaption"/>
      </w:pPr>
      <w:r w:rsidRPr="006306D0">
        <w:rPr>
          <w:b/>
        </w:rPr>
        <w:t>Table 2.</w:t>
      </w:r>
      <w:r w:rsidRPr="006306D0">
        <w:t xml:space="preserve"> </w:t>
      </w:r>
      <w:r w:rsidRPr="006306D0">
        <w:rPr>
          <w:rFonts w:cs="Times New Roman"/>
        </w:rPr>
        <w:t xml:space="preserve">The percentage of total post-fire conifer regeneration comprised by giant sequoias in the large high-severity fire patch (Large HS) versus the low/mixed-severity (L/M) fire areas. </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162"/>
        <w:gridCol w:w="1800"/>
        <w:gridCol w:w="3895"/>
      </w:tblGrid>
      <w:tr w:rsidR="00EC560C" w:rsidRPr="00CF7843" w14:paraId="06D38967" w14:textId="77777777" w:rsidTr="002F054B">
        <w:tc>
          <w:tcPr>
            <w:tcW w:w="2162" w:type="dxa"/>
            <w:tcBorders>
              <w:bottom w:val="single" w:sz="4" w:space="0" w:color="auto"/>
            </w:tcBorders>
            <w:shd w:val="clear" w:color="auto" w:fill="auto"/>
            <w:vAlign w:val="center"/>
          </w:tcPr>
          <w:p w14:paraId="619597C1" w14:textId="77777777" w:rsidR="00EC560C" w:rsidRPr="007F7C8C" w:rsidRDefault="00EC560C" w:rsidP="002F054B">
            <w:pPr>
              <w:pStyle w:val="MDPI42tablebody"/>
              <w:spacing w:line="240" w:lineRule="auto"/>
              <w:jc w:val="both"/>
              <w:rPr>
                <w:b/>
                <w:snapToGrid/>
              </w:rPr>
            </w:pPr>
            <w:r>
              <w:rPr>
                <w:b/>
                <w:snapToGrid/>
              </w:rPr>
              <w:t xml:space="preserve"> Large HS</w:t>
            </w:r>
          </w:p>
        </w:tc>
        <w:tc>
          <w:tcPr>
            <w:tcW w:w="1800" w:type="dxa"/>
            <w:tcBorders>
              <w:bottom w:val="single" w:sz="4" w:space="0" w:color="auto"/>
            </w:tcBorders>
            <w:shd w:val="clear" w:color="auto" w:fill="auto"/>
            <w:vAlign w:val="center"/>
          </w:tcPr>
          <w:p w14:paraId="42EBB63B" w14:textId="77777777" w:rsidR="00EC560C" w:rsidRPr="007F7C8C" w:rsidRDefault="00EC560C" w:rsidP="002F054B">
            <w:pPr>
              <w:pStyle w:val="MDPI42tablebody"/>
              <w:spacing w:line="240" w:lineRule="auto"/>
              <w:jc w:val="both"/>
              <w:rPr>
                <w:b/>
                <w:snapToGrid/>
              </w:rPr>
            </w:pPr>
            <w:r>
              <w:rPr>
                <w:b/>
                <w:snapToGrid/>
              </w:rPr>
              <w:t>L/M</w:t>
            </w:r>
          </w:p>
        </w:tc>
        <w:tc>
          <w:tcPr>
            <w:tcW w:w="3895" w:type="dxa"/>
            <w:tcBorders>
              <w:bottom w:val="single" w:sz="4" w:space="0" w:color="auto"/>
            </w:tcBorders>
            <w:shd w:val="clear" w:color="auto" w:fill="auto"/>
            <w:vAlign w:val="center"/>
          </w:tcPr>
          <w:p w14:paraId="67BADD95" w14:textId="77777777" w:rsidR="00EC560C" w:rsidRPr="00EC560C" w:rsidRDefault="00EC560C" w:rsidP="002F054B">
            <w:pPr>
              <w:pStyle w:val="MDPI42tablebody"/>
              <w:spacing w:line="240" w:lineRule="auto"/>
              <w:jc w:val="both"/>
              <w:rPr>
                <w:b/>
                <w:snapToGrid/>
                <w:vertAlign w:val="superscript"/>
              </w:rPr>
            </w:pPr>
            <w:r>
              <w:rPr>
                <w:b/>
                <w:snapToGrid/>
              </w:rPr>
              <w:t>Large HS Ranks</w:t>
            </w:r>
            <w:r>
              <w:rPr>
                <w:b/>
                <w:snapToGrid/>
                <w:vertAlign w:val="superscript"/>
              </w:rPr>
              <w:t>1</w:t>
            </w:r>
            <w:r>
              <w:rPr>
                <w:b/>
                <w:snapToGrid/>
              </w:rPr>
              <w:t xml:space="preserve">         L/M Ranks</w:t>
            </w:r>
            <w:r>
              <w:rPr>
                <w:b/>
                <w:snapToGrid/>
                <w:vertAlign w:val="superscript"/>
              </w:rPr>
              <w:t>2</w:t>
            </w:r>
          </w:p>
        </w:tc>
      </w:tr>
      <w:tr w:rsidR="00EC560C" w:rsidRPr="00CF7843" w14:paraId="41680BCF" w14:textId="77777777" w:rsidTr="002F054B">
        <w:tc>
          <w:tcPr>
            <w:tcW w:w="2162" w:type="dxa"/>
            <w:shd w:val="clear" w:color="auto" w:fill="auto"/>
            <w:vAlign w:val="center"/>
          </w:tcPr>
          <w:p w14:paraId="7C4AF9F3" w14:textId="2E774061" w:rsidR="00EC560C" w:rsidRPr="00F220D4" w:rsidRDefault="00EC560C" w:rsidP="002F054B">
            <w:pPr>
              <w:pStyle w:val="MDPI42tablebody"/>
              <w:spacing w:line="240" w:lineRule="auto"/>
              <w:jc w:val="both"/>
            </w:pPr>
            <w:r>
              <w:t xml:space="preserve">    100                      </w:t>
            </w:r>
          </w:p>
        </w:tc>
        <w:tc>
          <w:tcPr>
            <w:tcW w:w="1800" w:type="dxa"/>
            <w:shd w:val="clear" w:color="auto" w:fill="auto"/>
            <w:vAlign w:val="center"/>
          </w:tcPr>
          <w:p w14:paraId="6363CEB2" w14:textId="0343572A" w:rsidR="00EC560C" w:rsidRPr="00F220D4" w:rsidRDefault="00EC560C" w:rsidP="002F054B">
            <w:pPr>
              <w:pStyle w:val="MDPI42tablebody"/>
              <w:spacing w:line="240" w:lineRule="auto"/>
              <w:jc w:val="both"/>
            </w:pPr>
            <w:r>
              <w:t>3</w:t>
            </w:r>
          </w:p>
        </w:tc>
        <w:tc>
          <w:tcPr>
            <w:tcW w:w="3895" w:type="dxa"/>
            <w:shd w:val="clear" w:color="auto" w:fill="auto"/>
            <w:vAlign w:val="center"/>
          </w:tcPr>
          <w:p w14:paraId="06FD6067" w14:textId="7BB1999A" w:rsidR="00EC560C" w:rsidRPr="00F220D4" w:rsidRDefault="00EC560C" w:rsidP="002F054B">
            <w:pPr>
              <w:pStyle w:val="MDPI42tablebody"/>
              <w:spacing w:line="240" w:lineRule="auto"/>
              <w:jc w:val="both"/>
            </w:pPr>
            <w:r>
              <w:t xml:space="preserve">      2.5                      8.0</w:t>
            </w:r>
          </w:p>
        </w:tc>
      </w:tr>
      <w:tr w:rsidR="00EC560C" w:rsidRPr="00CF7843" w14:paraId="3B4CEB91" w14:textId="77777777" w:rsidTr="002F054B">
        <w:tc>
          <w:tcPr>
            <w:tcW w:w="2162" w:type="dxa"/>
            <w:shd w:val="clear" w:color="auto" w:fill="auto"/>
            <w:vAlign w:val="center"/>
          </w:tcPr>
          <w:p w14:paraId="4F99ED79" w14:textId="7E77D5D7" w:rsidR="00EC560C" w:rsidRPr="00F220D4" w:rsidRDefault="00EC560C" w:rsidP="002F054B">
            <w:pPr>
              <w:pStyle w:val="MDPI42tablebody"/>
              <w:spacing w:line="240" w:lineRule="auto"/>
              <w:jc w:val="both"/>
            </w:pPr>
            <w:r>
              <w:t xml:space="preserve">    100                </w:t>
            </w:r>
          </w:p>
        </w:tc>
        <w:tc>
          <w:tcPr>
            <w:tcW w:w="1800" w:type="dxa"/>
            <w:shd w:val="clear" w:color="auto" w:fill="auto"/>
            <w:vAlign w:val="center"/>
          </w:tcPr>
          <w:p w14:paraId="5F381CA9" w14:textId="77777777" w:rsidR="00EC560C" w:rsidRPr="00F220D4" w:rsidRDefault="00EC560C" w:rsidP="002F054B">
            <w:pPr>
              <w:pStyle w:val="MDPI42tablebody"/>
              <w:spacing w:line="240" w:lineRule="auto"/>
              <w:jc w:val="both"/>
            </w:pPr>
            <w:r>
              <w:t>0</w:t>
            </w:r>
          </w:p>
        </w:tc>
        <w:tc>
          <w:tcPr>
            <w:tcW w:w="3895" w:type="dxa"/>
            <w:shd w:val="clear" w:color="auto" w:fill="auto"/>
            <w:vAlign w:val="center"/>
          </w:tcPr>
          <w:p w14:paraId="06B07A35" w14:textId="353E4BF8" w:rsidR="00EC560C" w:rsidRPr="00F220D4" w:rsidRDefault="00EC560C" w:rsidP="002F054B">
            <w:pPr>
              <w:pStyle w:val="MDPI42tablebody"/>
              <w:spacing w:line="240" w:lineRule="auto"/>
              <w:jc w:val="both"/>
            </w:pPr>
            <w:r>
              <w:t xml:space="preserve">      2.5                      9.0</w:t>
            </w:r>
          </w:p>
        </w:tc>
      </w:tr>
      <w:tr w:rsidR="00EC560C" w:rsidRPr="00CF7843" w14:paraId="62B1A062" w14:textId="77777777" w:rsidTr="002F054B">
        <w:tc>
          <w:tcPr>
            <w:tcW w:w="2162" w:type="dxa"/>
            <w:shd w:val="clear" w:color="auto" w:fill="auto"/>
            <w:vAlign w:val="center"/>
          </w:tcPr>
          <w:p w14:paraId="10F5E8E1" w14:textId="713EB609" w:rsidR="00EC560C" w:rsidRDefault="00EC560C" w:rsidP="002F054B">
            <w:pPr>
              <w:pStyle w:val="MDPI42tablebody"/>
              <w:spacing w:line="240" w:lineRule="auto"/>
              <w:jc w:val="both"/>
            </w:pPr>
            <w:r>
              <w:t xml:space="preserve">    69                 </w:t>
            </w:r>
          </w:p>
        </w:tc>
        <w:tc>
          <w:tcPr>
            <w:tcW w:w="1800" w:type="dxa"/>
            <w:shd w:val="clear" w:color="auto" w:fill="auto"/>
            <w:vAlign w:val="center"/>
          </w:tcPr>
          <w:p w14:paraId="44F3B2FD" w14:textId="2A252C21" w:rsidR="00EC560C" w:rsidRDefault="00EC560C" w:rsidP="002F054B">
            <w:pPr>
              <w:pStyle w:val="MDPI42tablebody"/>
              <w:spacing w:line="240" w:lineRule="auto"/>
              <w:jc w:val="both"/>
            </w:pPr>
            <w:r>
              <w:t xml:space="preserve">20                     </w:t>
            </w:r>
          </w:p>
        </w:tc>
        <w:tc>
          <w:tcPr>
            <w:tcW w:w="3895" w:type="dxa"/>
            <w:shd w:val="clear" w:color="auto" w:fill="auto"/>
            <w:vAlign w:val="center"/>
          </w:tcPr>
          <w:p w14:paraId="5426770A" w14:textId="3C47A738" w:rsidR="00EC560C" w:rsidRDefault="00EC560C" w:rsidP="002F054B">
            <w:pPr>
              <w:pStyle w:val="MDPI42tablebody"/>
              <w:spacing w:line="240" w:lineRule="auto"/>
              <w:jc w:val="both"/>
            </w:pPr>
            <w:r>
              <w:t xml:space="preserve">      2.5                      10.0</w:t>
            </w:r>
          </w:p>
        </w:tc>
      </w:tr>
      <w:tr w:rsidR="00EC560C" w:rsidRPr="00CF7843" w14:paraId="6790F827" w14:textId="77777777" w:rsidTr="002F054B">
        <w:tc>
          <w:tcPr>
            <w:tcW w:w="2162" w:type="dxa"/>
            <w:shd w:val="clear" w:color="auto" w:fill="auto"/>
            <w:vAlign w:val="center"/>
          </w:tcPr>
          <w:p w14:paraId="5362C311" w14:textId="0B740F33" w:rsidR="00EC560C" w:rsidRDefault="00EC560C" w:rsidP="002F054B">
            <w:pPr>
              <w:pStyle w:val="MDPI42tablebody"/>
              <w:spacing w:line="240" w:lineRule="auto"/>
              <w:jc w:val="both"/>
            </w:pPr>
            <w:r>
              <w:t xml:space="preserve">    100  </w:t>
            </w:r>
          </w:p>
        </w:tc>
        <w:tc>
          <w:tcPr>
            <w:tcW w:w="1800" w:type="dxa"/>
            <w:shd w:val="clear" w:color="auto" w:fill="auto"/>
            <w:vAlign w:val="center"/>
          </w:tcPr>
          <w:p w14:paraId="0EE2397F" w14:textId="71ED20C3" w:rsidR="00EC560C" w:rsidRDefault="00EC560C" w:rsidP="002F054B">
            <w:pPr>
              <w:pStyle w:val="MDPI42tablebody"/>
              <w:spacing w:line="240" w:lineRule="auto"/>
              <w:jc w:val="both"/>
            </w:pPr>
            <w:r>
              <w:t>10</w:t>
            </w:r>
          </w:p>
        </w:tc>
        <w:tc>
          <w:tcPr>
            <w:tcW w:w="3895" w:type="dxa"/>
            <w:shd w:val="clear" w:color="auto" w:fill="auto"/>
            <w:vAlign w:val="center"/>
          </w:tcPr>
          <w:p w14:paraId="17C47A35" w14:textId="69C681B0" w:rsidR="00EC560C" w:rsidRDefault="00EC560C" w:rsidP="002F054B">
            <w:pPr>
              <w:pStyle w:val="MDPI42tablebody"/>
              <w:spacing w:line="240" w:lineRule="auto"/>
              <w:jc w:val="both"/>
            </w:pPr>
            <w:r>
              <w:t xml:space="preserve">      2.5                      12.5</w:t>
            </w:r>
          </w:p>
        </w:tc>
      </w:tr>
      <w:tr w:rsidR="00EC560C" w:rsidRPr="00CF7843" w14:paraId="3BC2F661" w14:textId="77777777" w:rsidTr="002F054B">
        <w:tc>
          <w:tcPr>
            <w:tcW w:w="2162" w:type="dxa"/>
            <w:shd w:val="clear" w:color="auto" w:fill="auto"/>
            <w:vAlign w:val="center"/>
          </w:tcPr>
          <w:p w14:paraId="3F8CD326" w14:textId="6D30CE73" w:rsidR="00EC560C" w:rsidRDefault="00EC560C" w:rsidP="002F054B">
            <w:pPr>
              <w:pStyle w:val="MDPI42tablebody"/>
              <w:spacing w:line="240" w:lineRule="auto"/>
              <w:jc w:val="both"/>
            </w:pPr>
            <w:r>
              <w:t xml:space="preserve">    74 </w:t>
            </w:r>
          </w:p>
        </w:tc>
        <w:tc>
          <w:tcPr>
            <w:tcW w:w="1800" w:type="dxa"/>
            <w:shd w:val="clear" w:color="auto" w:fill="auto"/>
            <w:vAlign w:val="center"/>
          </w:tcPr>
          <w:p w14:paraId="188D30A0" w14:textId="77777777" w:rsidR="00EC560C" w:rsidRDefault="00EC560C" w:rsidP="002F054B">
            <w:pPr>
              <w:pStyle w:val="MDPI42tablebody"/>
              <w:spacing w:line="240" w:lineRule="auto"/>
              <w:jc w:val="both"/>
            </w:pPr>
            <w:r>
              <w:t xml:space="preserve">0 </w:t>
            </w:r>
          </w:p>
        </w:tc>
        <w:tc>
          <w:tcPr>
            <w:tcW w:w="3895" w:type="dxa"/>
            <w:shd w:val="clear" w:color="auto" w:fill="auto"/>
            <w:vAlign w:val="center"/>
          </w:tcPr>
          <w:p w14:paraId="7B8F191A" w14:textId="5EEB121B" w:rsidR="00EC560C" w:rsidRDefault="00EC560C" w:rsidP="002F054B">
            <w:pPr>
              <w:pStyle w:val="MDPI42tablebody"/>
              <w:spacing w:line="240" w:lineRule="auto"/>
              <w:jc w:val="both"/>
            </w:pPr>
            <w:r>
              <w:t xml:space="preserve">      5.0                      12.5</w:t>
            </w:r>
          </w:p>
        </w:tc>
      </w:tr>
      <w:tr w:rsidR="00EC560C" w:rsidRPr="00CF7843" w14:paraId="21E46699" w14:textId="77777777" w:rsidTr="002F054B">
        <w:tc>
          <w:tcPr>
            <w:tcW w:w="2162" w:type="dxa"/>
            <w:shd w:val="clear" w:color="auto" w:fill="auto"/>
            <w:vAlign w:val="center"/>
          </w:tcPr>
          <w:p w14:paraId="4172AB80" w14:textId="6D527AB7" w:rsidR="00EC560C" w:rsidRDefault="00EC560C" w:rsidP="002F054B">
            <w:pPr>
              <w:pStyle w:val="MDPI42tablebody"/>
              <w:spacing w:line="240" w:lineRule="auto"/>
              <w:jc w:val="both"/>
            </w:pPr>
            <w:r>
              <w:t xml:space="preserve">    99 </w:t>
            </w:r>
          </w:p>
        </w:tc>
        <w:tc>
          <w:tcPr>
            <w:tcW w:w="1800" w:type="dxa"/>
            <w:shd w:val="clear" w:color="auto" w:fill="auto"/>
            <w:vAlign w:val="center"/>
          </w:tcPr>
          <w:p w14:paraId="672A132E" w14:textId="77777777" w:rsidR="00EC560C" w:rsidRDefault="00EC560C" w:rsidP="002F054B">
            <w:pPr>
              <w:pStyle w:val="MDPI42tablebody"/>
              <w:spacing w:line="240" w:lineRule="auto"/>
              <w:jc w:val="both"/>
            </w:pPr>
            <w:r>
              <w:t>0</w:t>
            </w:r>
          </w:p>
        </w:tc>
        <w:tc>
          <w:tcPr>
            <w:tcW w:w="3895" w:type="dxa"/>
            <w:shd w:val="clear" w:color="auto" w:fill="auto"/>
            <w:vAlign w:val="center"/>
          </w:tcPr>
          <w:p w14:paraId="542EC911" w14:textId="6F28ACD8" w:rsidR="00EC560C" w:rsidRDefault="00EC560C" w:rsidP="002F054B">
            <w:pPr>
              <w:pStyle w:val="MDPI42tablebody"/>
              <w:spacing w:line="240" w:lineRule="auto"/>
              <w:jc w:val="both"/>
            </w:pPr>
            <w:r>
              <w:t xml:space="preserve">      6.0                      12.5</w:t>
            </w:r>
          </w:p>
        </w:tc>
      </w:tr>
      <w:tr w:rsidR="00EC560C" w:rsidRPr="00CF7843" w14:paraId="6E4CA631" w14:textId="77777777" w:rsidTr="002F054B">
        <w:tc>
          <w:tcPr>
            <w:tcW w:w="2162" w:type="dxa"/>
            <w:shd w:val="clear" w:color="auto" w:fill="auto"/>
            <w:vAlign w:val="center"/>
          </w:tcPr>
          <w:p w14:paraId="5240B1C1" w14:textId="579BFD3B" w:rsidR="00EC560C" w:rsidRDefault="00EC560C" w:rsidP="002F054B">
            <w:pPr>
              <w:pStyle w:val="MDPI42tablebody"/>
              <w:spacing w:line="240" w:lineRule="auto"/>
              <w:jc w:val="both"/>
            </w:pPr>
            <w:r>
              <w:t xml:space="preserve">    100</w:t>
            </w:r>
          </w:p>
        </w:tc>
        <w:tc>
          <w:tcPr>
            <w:tcW w:w="1800" w:type="dxa"/>
            <w:shd w:val="clear" w:color="auto" w:fill="auto"/>
            <w:vAlign w:val="center"/>
          </w:tcPr>
          <w:p w14:paraId="16F01F78" w14:textId="77777777" w:rsidR="00EC560C" w:rsidRDefault="00EC560C" w:rsidP="002F054B">
            <w:pPr>
              <w:pStyle w:val="MDPI42tablebody"/>
              <w:spacing w:line="240" w:lineRule="auto"/>
              <w:jc w:val="both"/>
            </w:pPr>
            <w:r>
              <w:t>0</w:t>
            </w:r>
          </w:p>
        </w:tc>
        <w:tc>
          <w:tcPr>
            <w:tcW w:w="3895" w:type="dxa"/>
            <w:shd w:val="clear" w:color="auto" w:fill="auto"/>
            <w:vAlign w:val="center"/>
          </w:tcPr>
          <w:p w14:paraId="14F3F6B8" w14:textId="234E218E" w:rsidR="00EC560C" w:rsidRDefault="00EC560C" w:rsidP="002F054B">
            <w:pPr>
              <w:pStyle w:val="MDPI42tablebody"/>
              <w:spacing w:line="240" w:lineRule="auto"/>
              <w:jc w:val="both"/>
            </w:pPr>
            <w:r>
              <w:t xml:space="preserve">      7.0                      12.5</w:t>
            </w:r>
          </w:p>
        </w:tc>
      </w:tr>
    </w:tbl>
    <w:p w14:paraId="0D908C3B" w14:textId="27C713F8" w:rsidR="00EC560C" w:rsidRPr="00EC560C" w:rsidRDefault="00EC560C" w:rsidP="00EC560C">
      <w:pPr>
        <w:pStyle w:val="MDPI43tablefooter"/>
        <w:rPr>
          <w:szCs w:val="18"/>
        </w:rPr>
      </w:pPr>
      <w:r>
        <w:rPr>
          <w:vertAlign w:val="superscript"/>
        </w:rPr>
        <w:t xml:space="preserve"> </w:t>
      </w:r>
      <w:r w:rsidRPr="00EC560C">
        <w:rPr>
          <w:szCs w:val="18"/>
          <w:vertAlign w:val="superscript"/>
        </w:rPr>
        <w:t>1</w:t>
      </w:r>
      <w:r w:rsidRPr="00EC560C">
        <w:rPr>
          <w:szCs w:val="18"/>
        </w:rPr>
        <w:t xml:space="preserve"> </w:t>
      </w:r>
      <w:r w:rsidRPr="00EC560C">
        <w:rPr>
          <w:rFonts w:cs="Times New Roman"/>
          <w:szCs w:val="18"/>
        </w:rPr>
        <w:t>R</w:t>
      </w:r>
      <w:r w:rsidRPr="00EC560C">
        <w:rPr>
          <w:rFonts w:cs="Times New Roman"/>
          <w:szCs w:val="18"/>
          <w:vertAlign w:val="subscript"/>
        </w:rPr>
        <w:t>1</w:t>
      </w:r>
      <w:r w:rsidRPr="00EC560C">
        <w:rPr>
          <w:rFonts w:cs="Times New Roman"/>
          <w:szCs w:val="18"/>
        </w:rPr>
        <w:t xml:space="preserve"> = </w:t>
      </w:r>
      <w:r>
        <w:rPr>
          <w:rFonts w:cs="Times New Roman"/>
          <w:szCs w:val="18"/>
        </w:rPr>
        <w:t>28.0</w:t>
      </w:r>
    </w:p>
    <w:p w14:paraId="7D607298" w14:textId="182248E9" w:rsidR="00EC560C" w:rsidRPr="00EC560C" w:rsidRDefault="00EC560C" w:rsidP="00EC560C">
      <w:pPr>
        <w:pStyle w:val="MDPI31text"/>
        <w:ind w:left="0" w:firstLine="0"/>
        <w:rPr>
          <w:sz w:val="18"/>
          <w:szCs w:val="18"/>
        </w:rPr>
      </w:pPr>
      <w:r w:rsidRPr="00EC560C">
        <w:rPr>
          <w:sz w:val="18"/>
          <w:szCs w:val="18"/>
        </w:rPr>
        <w:t xml:space="preserve">   </w:t>
      </w:r>
      <w:r w:rsidRPr="00EC560C">
        <w:rPr>
          <w:sz w:val="18"/>
          <w:szCs w:val="18"/>
        </w:rPr>
        <w:tab/>
      </w:r>
      <w:r w:rsidRPr="00EC560C">
        <w:rPr>
          <w:sz w:val="18"/>
          <w:szCs w:val="18"/>
        </w:rPr>
        <w:tab/>
      </w:r>
      <w:r w:rsidRPr="00EC560C">
        <w:rPr>
          <w:sz w:val="18"/>
          <w:szCs w:val="18"/>
        </w:rPr>
        <w:tab/>
      </w:r>
      <w:r w:rsidRPr="00EC560C">
        <w:rPr>
          <w:sz w:val="18"/>
          <w:szCs w:val="18"/>
        </w:rPr>
        <w:tab/>
      </w:r>
      <w:r w:rsidRPr="00EC560C">
        <w:rPr>
          <w:sz w:val="18"/>
          <w:szCs w:val="18"/>
        </w:rPr>
        <w:tab/>
        <w:t xml:space="preserve"> </w:t>
      </w:r>
      <w:r w:rsidRPr="00EC560C">
        <w:rPr>
          <w:sz w:val="18"/>
          <w:szCs w:val="18"/>
          <w:vertAlign w:val="superscript"/>
        </w:rPr>
        <w:t>2</w:t>
      </w:r>
      <w:r w:rsidRPr="00EC560C">
        <w:rPr>
          <w:sz w:val="18"/>
          <w:szCs w:val="18"/>
        </w:rPr>
        <w:t xml:space="preserve"> R</w:t>
      </w:r>
      <w:r w:rsidRPr="00EC560C">
        <w:rPr>
          <w:sz w:val="18"/>
          <w:szCs w:val="18"/>
          <w:vertAlign w:val="subscript"/>
        </w:rPr>
        <w:t>2</w:t>
      </w:r>
      <w:r w:rsidRPr="00EC560C">
        <w:rPr>
          <w:sz w:val="18"/>
          <w:szCs w:val="18"/>
        </w:rPr>
        <w:t xml:space="preserve"> = 7</w:t>
      </w:r>
      <w:r>
        <w:rPr>
          <w:sz w:val="18"/>
          <w:szCs w:val="18"/>
        </w:rPr>
        <w:t>7.0</w:t>
      </w:r>
    </w:p>
    <w:p w14:paraId="2BF66FD8" w14:textId="78193623" w:rsidR="00EC560C" w:rsidRDefault="00EC560C" w:rsidP="00EC560C">
      <w:pPr>
        <w:pStyle w:val="MDPI31text"/>
        <w:ind w:left="0" w:firstLine="0"/>
        <w:rPr>
          <w:rFonts w:ascii="Times New Roman" w:hAnsi="Times New Roman"/>
        </w:rPr>
      </w:pPr>
    </w:p>
    <w:p w14:paraId="0664AAE2" w14:textId="6D550708" w:rsidR="00EC560C" w:rsidRDefault="00EC560C" w:rsidP="00EC560C">
      <w:pPr>
        <w:pStyle w:val="MDPI31text"/>
        <w:ind w:left="0" w:firstLine="0"/>
        <w:rPr>
          <w:sz w:val="18"/>
          <w:szCs w:val="18"/>
        </w:rPr>
      </w:pPr>
      <w:r>
        <w:rPr>
          <w:sz w:val="18"/>
          <w:szCs w:val="18"/>
        </w:rPr>
        <w:tab/>
      </w:r>
      <w:r>
        <w:rPr>
          <w:sz w:val="18"/>
          <w:szCs w:val="18"/>
        </w:rPr>
        <w:tab/>
      </w:r>
      <w:r>
        <w:rPr>
          <w:sz w:val="18"/>
          <w:szCs w:val="18"/>
        </w:rPr>
        <w:tab/>
      </w:r>
      <w:r>
        <w:rPr>
          <w:sz w:val="18"/>
          <w:szCs w:val="18"/>
        </w:rPr>
        <w:tab/>
      </w:r>
      <w:r>
        <w:rPr>
          <w:sz w:val="18"/>
          <w:szCs w:val="18"/>
        </w:rPr>
        <w:tab/>
      </w:r>
    </w:p>
    <w:p w14:paraId="71FBB75D" w14:textId="078521A1" w:rsidR="006306D0" w:rsidRDefault="006306D0" w:rsidP="00EC560C">
      <w:pPr>
        <w:pStyle w:val="MDPI31text"/>
        <w:ind w:left="0" w:firstLine="0"/>
        <w:rPr>
          <w:sz w:val="18"/>
          <w:szCs w:val="18"/>
        </w:rPr>
      </w:pPr>
      <w:r>
        <w:rPr>
          <w:sz w:val="18"/>
          <w:szCs w:val="18"/>
        </w:rPr>
        <w:tab/>
      </w:r>
      <w:r>
        <w:rPr>
          <w:sz w:val="18"/>
          <w:szCs w:val="18"/>
        </w:rPr>
        <w:tab/>
      </w:r>
      <w:r>
        <w:rPr>
          <w:sz w:val="18"/>
          <w:szCs w:val="18"/>
        </w:rPr>
        <w:tab/>
      </w:r>
      <w:r>
        <w:rPr>
          <w:sz w:val="18"/>
          <w:szCs w:val="18"/>
        </w:rPr>
        <w:tab/>
      </w:r>
      <w:r>
        <w:rPr>
          <w:sz w:val="18"/>
          <w:szCs w:val="18"/>
        </w:rPr>
        <w:tab/>
      </w:r>
    </w:p>
    <w:p w14:paraId="53A8EF8F" w14:textId="2757E13D" w:rsidR="006306D0" w:rsidRPr="006306D0" w:rsidRDefault="006306D0" w:rsidP="006306D0">
      <w:pPr>
        <w:spacing w:line="240" w:lineRule="auto"/>
        <w:ind w:left="2550"/>
        <w:contextualSpacing/>
        <w:rPr>
          <w:sz w:val="18"/>
          <w:szCs w:val="18"/>
        </w:rPr>
      </w:pPr>
      <w:r w:rsidRPr="006306D0">
        <w:rPr>
          <w:b/>
          <w:sz w:val="18"/>
          <w:szCs w:val="18"/>
        </w:rPr>
        <w:t>Table 3.</w:t>
      </w:r>
      <w:r w:rsidRPr="006306D0">
        <w:rPr>
          <w:sz w:val="18"/>
          <w:szCs w:val="18"/>
        </w:rPr>
        <w:t xml:space="preserve"> Giant sequoia seedling/sapling height (m) and percent conifer basal area (BA) mortality from fire. </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162"/>
        <w:gridCol w:w="1800"/>
        <w:gridCol w:w="3895"/>
      </w:tblGrid>
      <w:tr w:rsidR="006306D0" w:rsidRPr="00CF7843" w14:paraId="129CCB1E" w14:textId="77777777" w:rsidTr="002F054B">
        <w:tc>
          <w:tcPr>
            <w:tcW w:w="2162" w:type="dxa"/>
            <w:tcBorders>
              <w:bottom w:val="single" w:sz="4" w:space="0" w:color="auto"/>
            </w:tcBorders>
            <w:shd w:val="clear" w:color="auto" w:fill="auto"/>
            <w:vAlign w:val="center"/>
          </w:tcPr>
          <w:p w14:paraId="12FB2A27" w14:textId="31238AB9" w:rsidR="006306D0" w:rsidRPr="007F7C8C" w:rsidRDefault="006306D0" w:rsidP="002F054B">
            <w:pPr>
              <w:pStyle w:val="MDPI42tablebody"/>
              <w:spacing w:line="240" w:lineRule="auto"/>
              <w:jc w:val="both"/>
              <w:rPr>
                <w:b/>
                <w:snapToGrid/>
              </w:rPr>
            </w:pPr>
            <w:r>
              <w:rPr>
                <w:b/>
                <w:snapToGrid/>
              </w:rPr>
              <w:t xml:space="preserve">                Height</w:t>
            </w:r>
          </w:p>
        </w:tc>
        <w:tc>
          <w:tcPr>
            <w:tcW w:w="1800" w:type="dxa"/>
            <w:tcBorders>
              <w:bottom w:val="single" w:sz="4" w:space="0" w:color="auto"/>
            </w:tcBorders>
            <w:shd w:val="clear" w:color="auto" w:fill="auto"/>
            <w:vAlign w:val="center"/>
          </w:tcPr>
          <w:p w14:paraId="488CCE8B" w14:textId="2F89263B" w:rsidR="006306D0" w:rsidRPr="007F7C8C" w:rsidRDefault="006306D0" w:rsidP="002F054B">
            <w:pPr>
              <w:pStyle w:val="MDPI42tablebody"/>
              <w:spacing w:line="240" w:lineRule="auto"/>
              <w:jc w:val="both"/>
              <w:rPr>
                <w:b/>
                <w:snapToGrid/>
              </w:rPr>
            </w:pPr>
            <w:r>
              <w:rPr>
                <w:b/>
                <w:snapToGrid/>
              </w:rPr>
              <w:t xml:space="preserve"> </w:t>
            </w:r>
          </w:p>
        </w:tc>
        <w:tc>
          <w:tcPr>
            <w:tcW w:w="3895" w:type="dxa"/>
            <w:tcBorders>
              <w:bottom w:val="single" w:sz="4" w:space="0" w:color="auto"/>
            </w:tcBorders>
            <w:shd w:val="clear" w:color="auto" w:fill="auto"/>
            <w:vAlign w:val="center"/>
          </w:tcPr>
          <w:p w14:paraId="5CDC830F" w14:textId="3F7840B2" w:rsidR="006306D0" w:rsidRPr="00EC560C" w:rsidRDefault="006306D0" w:rsidP="002F054B">
            <w:pPr>
              <w:pStyle w:val="MDPI42tablebody"/>
              <w:spacing w:line="240" w:lineRule="auto"/>
              <w:jc w:val="both"/>
              <w:rPr>
                <w:b/>
                <w:snapToGrid/>
                <w:vertAlign w:val="superscript"/>
              </w:rPr>
            </w:pPr>
            <w:r>
              <w:rPr>
                <w:b/>
                <w:snapToGrid/>
              </w:rPr>
              <w:t xml:space="preserve">        % BA Mortality          </w:t>
            </w:r>
          </w:p>
        </w:tc>
      </w:tr>
      <w:tr w:rsidR="006306D0" w:rsidRPr="00CF7843" w14:paraId="405B2F36" w14:textId="77777777" w:rsidTr="002F054B">
        <w:tc>
          <w:tcPr>
            <w:tcW w:w="2162" w:type="dxa"/>
            <w:shd w:val="clear" w:color="auto" w:fill="auto"/>
            <w:vAlign w:val="center"/>
          </w:tcPr>
          <w:p w14:paraId="2428EA42" w14:textId="47B298C4" w:rsidR="006306D0" w:rsidRPr="00F220D4" w:rsidRDefault="006306D0" w:rsidP="002F054B">
            <w:pPr>
              <w:pStyle w:val="MDPI42tablebody"/>
              <w:spacing w:line="240" w:lineRule="auto"/>
              <w:jc w:val="both"/>
            </w:pPr>
            <w:r>
              <w:t xml:space="preserve">                   0.2       </w:t>
            </w:r>
          </w:p>
        </w:tc>
        <w:tc>
          <w:tcPr>
            <w:tcW w:w="1800" w:type="dxa"/>
            <w:shd w:val="clear" w:color="auto" w:fill="auto"/>
            <w:vAlign w:val="center"/>
          </w:tcPr>
          <w:p w14:paraId="50AFADD5" w14:textId="30B68777" w:rsidR="006306D0" w:rsidRPr="00F220D4" w:rsidRDefault="006306D0" w:rsidP="002F054B">
            <w:pPr>
              <w:pStyle w:val="MDPI42tablebody"/>
              <w:spacing w:line="240" w:lineRule="auto"/>
              <w:jc w:val="both"/>
            </w:pPr>
          </w:p>
        </w:tc>
        <w:tc>
          <w:tcPr>
            <w:tcW w:w="3895" w:type="dxa"/>
            <w:shd w:val="clear" w:color="auto" w:fill="auto"/>
            <w:vAlign w:val="center"/>
          </w:tcPr>
          <w:p w14:paraId="7EACA5A2" w14:textId="1F2D1614" w:rsidR="006306D0" w:rsidRPr="00F220D4" w:rsidRDefault="006306D0" w:rsidP="002F054B">
            <w:pPr>
              <w:pStyle w:val="MDPI42tablebody"/>
              <w:spacing w:line="240" w:lineRule="auto"/>
              <w:jc w:val="both"/>
            </w:pPr>
            <w:r>
              <w:t xml:space="preserve">                 13           </w:t>
            </w:r>
          </w:p>
        </w:tc>
      </w:tr>
      <w:tr w:rsidR="006306D0" w:rsidRPr="00CF7843" w14:paraId="2C43BEDE" w14:textId="77777777" w:rsidTr="002F054B">
        <w:tc>
          <w:tcPr>
            <w:tcW w:w="2162" w:type="dxa"/>
            <w:shd w:val="clear" w:color="auto" w:fill="auto"/>
            <w:vAlign w:val="center"/>
          </w:tcPr>
          <w:p w14:paraId="052F1219" w14:textId="39DBC740" w:rsidR="006306D0" w:rsidRPr="00F220D4" w:rsidRDefault="006306D0" w:rsidP="002F054B">
            <w:pPr>
              <w:pStyle w:val="MDPI42tablebody"/>
              <w:spacing w:line="240" w:lineRule="auto"/>
              <w:jc w:val="both"/>
            </w:pPr>
            <w:r>
              <w:t xml:space="preserve">                   0.2</w:t>
            </w:r>
          </w:p>
        </w:tc>
        <w:tc>
          <w:tcPr>
            <w:tcW w:w="1800" w:type="dxa"/>
            <w:shd w:val="clear" w:color="auto" w:fill="auto"/>
            <w:vAlign w:val="center"/>
          </w:tcPr>
          <w:p w14:paraId="79D5F6A3" w14:textId="6577B0ED" w:rsidR="006306D0" w:rsidRPr="00F220D4" w:rsidRDefault="006306D0" w:rsidP="002F054B">
            <w:pPr>
              <w:pStyle w:val="MDPI42tablebody"/>
              <w:spacing w:line="240" w:lineRule="auto"/>
              <w:jc w:val="both"/>
            </w:pPr>
          </w:p>
        </w:tc>
        <w:tc>
          <w:tcPr>
            <w:tcW w:w="3895" w:type="dxa"/>
            <w:shd w:val="clear" w:color="auto" w:fill="auto"/>
            <w:vAlign w:val="center"/>
          </w:tcPr>
          <w:p w14:paraId="2063B5D7" w14:textId="71F8BA2D" w:rsidR="006306D0" w:rsidRPr="00F220D4" w:rsidRDefault="006306D0" w:rsidP="002F054B">
            <w:pPr>
              <w:pStyle w:val="MDPI42tablebody"/>
              <w:spacing w:line="240" w:lineRule="auto"/>
              <w:jc w:val="both"/>
            </w:pPr>
            <w:r>
              <w:t xml:space="preserve">                 36          </w:t>
            </w:r>
          </w:p>
        </w:tc>
      </w:tr>
      <w:tr w:rsidR="006306D0" w:rsidRPr="00CF7843" w14:paraId="24716D61" w14:textId="77777777" w:rsidTr="002F054B">
        <w:tc>
          <w:tcPr>
            <w:tcW w:w="2162" w:type="dxa"/>
            <w:shd w:val="clear" w:color="auto" w:fill="auto"/>
            <w:vAlign w:val="center"/>
          </w:tcPr>
          <w:p w14:paraId="3DFE023F" w14:textId="33BE6B49" w:rsidR="006306D0" w:rsidRDefault="006306D0" w:rsidP="002F054B">
            <w:pPr>
              <w:pStyle w:val="MDPI42tablebody"/>
              <w:spacing w:line="240" w:lineRule="auto"/>
              <w:jc w:val="both"/>
            </w:pPr>
            <w:r>
              <w:t xml:space="preserve">                   0.2</w:t>
            </w:r>
          </w:p>
        </w:tc>
        <w:tc>
          <w:tcPr>
            <w:tcW w:w="1800" w:type="dxa"/>
            <w:shd w:val="clear" w:color="auto" w:fill="auto"/>
            <w:vAlign w:val="center"/>
          </w:tcPr>
          <w:p w14:paraId="54A8FC2F" w14:textId="0514785A" w:rsidR="006306D0" w:rsidRDefault="006306D0" w:rsidP="002F054B">
            <w:pPr>
              <w:pStyle w:val="MDPI42tablebody"/>
              <w:spacing w:line="240" w:lineRule="auto"/>
              <w:jc w:val="both"/>
            </w:pPr>
            <w:r>
              <w:t xml:space="preserve">                     </w:t>
            </w:r>
          </w:p>
        </w:tc>
        <w:tc>
          <w:tcPr>
            <w:tcW w:w="3895" w:type="dxa"/>
            <w:shd w:val="clear" w:color="auto" w:fill="auto"/>
            <w:vAlign w:val="center"/>
          </w:tcPr>
          <w:p w14:paraId="71DF73FC" w14:textId="173B493D" w:rsidR="006306D0" w:rsidRDefault="006306D0" w:rsidP="002F054B">
            <w:pPr>
              <w:pStyle w:val="MDPI42tablebody"/>
              <w:spacing w:line="240" w:lineRule="auto"/>
              <w:jc w:val="both"/>
            </w:pPr>
            <w:r>
              <w:t xml:space="preserve">                 100           </w:t>
            </w:r>
          </w:p>
        </w:tc>
      </w:tr>
      <w:tr w:rsidR="006306D0" w:rsidRPr="00CF7843" w14:paraId="24DC5D02" w14:textId="77777777" w:rsidTr="002F054B">
        <w:tc>
          <w:tcPr>
            <w:tcW w:w="2162" w:type="dxa"/>
            <w:shd w:val="clear" w:color="auto" w:fill="auto"/>
            <w:vAlign w:val="center"/>
          </w:tcPr>
          <w:p w14:paraId="2E7DEC32" w14:textId="3E77EF42" w:rsidR="006306D0" w:rsidRDefault="006306D0" w:rsidP="002F054B">
            <w:pPr>
              <w:pStyle w:val="MDPI42tablebody"/>
              <w:spacing w:line="240" w:lineRule="auto"/>
              <w:jc w:val="both"/>
            </w:pPr>
            <w:r>
              <w:t xml:space="preserve">                   0.5</w:t>
            </w:r>
          </w:p>
        </w:tc>
        <w:tc>
          <w:tcPr>
            <w:tcW w:w="1800" w:type="dxa"/>
            <w:shd w:val="clear" w:color="auto" w:fill="auto"/>
            <w:vAlign w:val="center"/>
          </w:tcPr>
          <w:p w14:paraId="2FDAF85B" w14:textId="7589D25F" w:rsidR="006306D0" w:rsidRDefault="006306D0" w:rsidP="002F054B">
            <w:pPr>
              <w:pStyle w:val="MDPI42tablebody"/>
              <w:spacing w:line="240" w:lineRule="auto"/>
              <w:jc w:val="both"/>
            </w:pPr>
          </w:p>
        </w:tc>
        <w:tc>
          <w:tcPr>
            <w:tcW w:w="3895" w:type="dxa"/>
            <w:shd w:val="clear" w:color="auto" w:fill="auto"/>
            <w:vAlign w:val="center"/>
          </w:tcPr>
          <w:p w14:paraId="7E768BC1" w14:textId="2CAE6583" w:rsidR="006306D0" w:rsidRDefault="006306D0" w:rsidP="002F054B">
            <w:pPr>
              <w:pStyle w:val="MDPI42tablebody"/>
              <w:spacing w:line="240" w:lineRule="auto"/>
              <w:jc w:val="both"/>
            </w:pPr>
            <w:r>
              <w:t xml:space="preserve">                 87           </w:t>
            </w:r>
          </w:p>
        </w:tc>
      </w:tr>
      <w:tr w:rsidR="006306D0" w:rsidRPr="00CF7843" w14:paraId="2014D35A" w14:textId="77777777" w:rsidTr="002F054B">
        <w:tc>
          <w:tcPr>
            <w:tcW w:w="2162" w:type="dxa"/>
            <w:shd w:val="clear" w:color="auto" w:fill="auto"/>
            <w:vAlign w:val="center"/>
          </w:tcPr>
          <w:p w14:paraId="34E8CCCD" w14:textId="6125E85B" w:rsidR="006306D0" w:rsidRDefault="006306D0" w:rsidP="002F054B">
            <w:pPr>
              <w:pStyle w:val="MDPI42tablebody"/>
              <w:spacing w:line="240" w:lineRule="auto"/>
              <w:jc w:val="both"/>
            </w:pPr>
            <w:r>
              <w:t xml:space="preserve">                   0.5</w:t>
            </w:r>
          </w:p>
        </w:tc>
        <w:tc>
          <w:tcPr>
            <w:tcW w:w="1800" w:type="dxa"/>
            <w:shd w:val="clear" w:color="auto" w:fill="auto"/>
            <w:vAlign w:val="center"/>
          </w:tcPr>
          <w:p w14:paraId="62059B5A" w14:textId="372C211B" w:rsidR="006306D0" w:rsidRDefault="006306D0" w:rsidP="002F054B">
            <w:pPr>
              <w:pStyle w:val="MDPI42tablebody"/>
              <w:spacing w:line="240" w:lineRule="auto"/>
              <w:jc w:val="both"/>
            </w:pPr>
          </w:p>
        </w:tc>
        <w:tc>
          <w:tcPr>
            <w:tcW w:w="3895" w:type="dxa"/>
            <w:shd w:val="clear" w:color="auto" w:fill="auto"/>
            <w:vAlign w:val="center"/>
          </w:tcPr>
          <w:p w14:paraId="0C25C575" w14:textId="21A970CE" w:rsidR="006306D0" w:rsidRDefault="006306D0" w:rsidP="002F054B">
            <w:pPr>
              <w:pStyle w:val="MDPI42tablebody"/>
              <w:spacing w:line="240" w:lineRule="auto"/>
              <w:jc w:val="both"/>
            </w:pPr>
            <w:r>
              <w:t xml:space="preserve">                 100        </w:t>
            </w:r>
          </w:p>
        </w:tc>
      </w:tr>
      <w:tr w:rsidR="006306D0" w:rsidRPr="00CF7843" w14:paraId="081026FC" w14:textId="77777777" w:rsidTr="002F054B">
        <w:tc>
          <w:tcPr>
            <w:tcW w:w="2162" w:type="dxa"/>
            <w:shd w:val="clear" w:color="auto" w:fill="auto"/>
            <w:vAlign w:val="center"/>
          </w:tcPr>
          <w:p w14:paraId="59FCDFDD" w14:textId="41C5A504" w:rsidR="006306D0" w:rsidRDefault="006306D0" w:rsidP="002F054B">
            <w:pPr>
              <w:pStyle w:val="MDPI42tablebody"/>
              <w:spacing w:line="240" w:lineRule="auto"/>
              <w:jc w:val="both"/>
            </w:pPr>
            <w:r>
              <w:t xml:space="preserve">                   0.5</w:t>
            </w:r>
          </w:p>
        </w:tc>
        <w:tc>
          <w:tcPr>
            <w:tcW w:w="1800" w:type="dxa"/>
            <w:shd w:val="clear" w:color="auto" w:fill="auto"/>
            <w:vAlign w:val="center"/>
          </w:tcPr>
          <w:p w14:paraId="5524F5A7" w14:textId="32FEE007" w:rsidR="006306D0" w:rsidRDefault="006306D0" w:rsidP="002F054B">
            <w:pPr>
              <w:pStyle w:val="MDPI42tablebody"/>
              <w:spacing w:line="240" w:lineRule="auto"/>
              <w:jc w:val="both"/>
            </w:pPr>
          </w:p>
        </w:tc>
        <w:tc>
          <w:tcPr>
            <w:tcW w:w="3895" w:type="dxa"/>
            <w:shd w:val="clear" w:color="auto" w:fill="auto"/>
            <w:vAlign w:val="center"/>
          </w:tcPr>
          <w:p w14:paraId="05F0F5BE" w14:textId="0701D8C8" w:rsidR="006306D0" w:rsidRDefault="006306D0" w:rsidP="002F054B">
            <w:pPr>
              <w:pStyle w:val="MDPI42tablebody"/>
              <w:spacing w:line="240" w:lineRule="auto"/>
              <w:jc w:val="both"/>
            </w:pPr>
            <w:r>
              <w:t xml:space="preserve">                 100        </w:t>
            </w:r>
          </w:p>
        </w:tc>
      </w:tr>
      <w:tr w:rsidR="006306D0" w:rsidRPr="00CF7843" w14:paraId="673482D6" w14:textId="77777777" w:rsidTr="002F054B">
        <w:tc>
          <w:tcPr>
            <w:tcW w:w="2162" w:type="dxa"/>
            <w:shd w:val="clear" w:color="auto" w:fill="auto"/>
            <w:vAlign w:val="center"/>
          </w:tcPr>
          <w:p w14:paraId="6EB4446C" w14:textId="7B1F8BA1" w:rsidR="006306D0" w:rsidRDefault="006306D0" w:rsidP="002F054B">
            <w:pPr>
              <w:pStyle w:val="MDPI42tablebody"/>
              <w:spacing w:line="240" w:lineRule="auto"/>
              <w:jc w:val="both"/>
            </w:pPr>
            <w:r>
              <w:t xml:space="preserve">                   1.0</w:t>
            </w:r>
          </w:p>
        </w:tc>
        <w:tc>
          <w:tcPr>
            <w:tcW w:w="1800" w:type="dxa"/>
            <w:shd w:val="clear" w:color="auto" w:fill="auto"/>
            <w:vAlign w:val="center"/>
          </w:tcPr>
          <w:p w14:paraId="14B1C9E4" w14:textId="76E53080" w:rsidR="006306D0" w:rsidRDefault="006306D0" w:rsidP="002F054B">
            <w:pPr>
              <w:pStyle w:val="MDPI42tablebody"/>
              <w:spacing w:line="240" w:lineRule="auto"/>
              <w:jc w:val="both"/>
            </w:pPr>
          </w:p>
        </w:tc>
        <w:tc>
          <w:tcPr>
            <w:tcW w:w="3895" w:type="dxa"/>
            <w:shd w:val="clear" w:color="auto" w:fill="auto"/>
            <w:vAlign w:val="center"/>
          </w:tcPr>
          <w:p w14:paraId="039ADD9D" w14:textId="07CE259E" w:rsidR="006306D0" w:rsidRDefault="006306D0" w:rsidP="002F054B">
            <w:pPr>
              <w:pStyle w:val="MDPI42tablebody"/>
              <w:spacing w:line="240" w:lineRule="auto"/>
              <w:jc w:val="both"/>
            </w:pPr>
            <w:r>
              <w:t xml:space="preserve">                 100        </w:t>
            </w:r>
          </w:p>
        </w:tc>
      </w:tr>
      <w:tr w:rsidR="006306D0" w:rsidRPr="00CF7843" w14:paraId="58B2F221" w14:textId="77777777" w:rsidTr="002F054B">
        <w:tc>
          <w:tcPr>
            <w:tcW w:w="2162" w:type="dxa"/>
            <w:shd w:val="clear" w:color="auto" w:fill="auto"/>
            <w:vAlign w:val="center"/>
          </w:tcPr>
          <w:p w14:paraId="6674DE4A" w14:textId="77FE8122" w:rsidR="006306D0" w:rsidRDefault="006306D0" w:rsidP="002F054B">
            <w:pPr>
              <w:pStyle w:val="MDPI42tablebody"/>
              <w:spacing w:line="240" w:lineRule="auto"/>
              <w:jc w:val="both"/>
            </w:pPr>
            <w:r>
              <w:t xml:space="preserve">                   1.0</w:t>
            </w:r>
          </w:p>
        </w:tc>
        <w:tc>
          <w:tcPr>
            <w:tcW w:w="1800" w:type="dxa"/>
            <w:shd w:val="clear" w:color="auto" w:fill="auto"/>
            <w:vAlign w:val="center"/>
          </w:tcPr>
          <w:p w14:paraId="2C809B85" w14:textId="77777777" w:rsidR="006306D0" w:rsidRDefault="006306D0" w:rsidP="002F054B">
            <w:pPr>
              <w:pStyle w:val="MDPI42tablebody"/>
              <w:spacing w:line="240" w:lineRule="auto"/>
              <w:jc w:val="both"/>
            </w:pPr>
          </w:p>
        </w:tc>
        <w:tc>
          <w:tcPr>
            <w:tcW w:w="3895" w:type="dxa"/>
            <w:shd w:val="clear" w:color="auto" w:fill="auto"/>
            <w:vAlign w:val="center"/>
          </w:tcPr>
          <w:p w14:paraId="5CDB009A" w14:textId="0223A433" w:rsidR="006306D0" w:rsidRDefault="006306D0" w:rsidP="002F054B">
            <w:pPr>
              <w:pStyle w:val="MDPI42tablebody"/>
              <w:spacing w:line="240" w:lineRule="auto"/>
              <w:jc w:val="both"/>
            </w:pPr>
            <w:r>
              <w:t xml:space="preserve">                 100</w:t>
            </w:r>
          </w:p>
        </w:tc>
      </w:tr>
      <w:tr w:rsidR="006306D0" w:rsidRPr="00CF7843" w14:paraId="1EA4A448" w14:textId="77777777" w:rsidTr="002F054B">
        <w:tc>
          <w:tcPr>
            <w:tcW w:w="2162" w:type="dxa"/>
            <w:shd w:val="clear" w:color="auto" w:fill="auto"/>
            <w:vAlign w:val="center"/>
          </w:tcPr>
          <w:p w14:paraId="434323F4" w14:textId="55518CBB" w:rsidR="006306D0" w:rsidRDefault="006306D0" w:rsidP="002F054B">
            <w:pPr>
              <w:pStyle w:val="MDPI42tablebody"/>
              <w:spacing w:line="240" w:lineRule="auto"/>
              <w:jc w:val="both"/>
            </w:pPr>
            <w:r>
              <w:t xml:space="preserve">                   1.5</w:t>
            </w:r>
          </w:p>
        </w:tc>
        <w:tc>
          <w:tcPr>
            <w:tcW w:w="1800" w:type="dxa"/>
            <w:shd w:val="clear" w:color="auto" w:fill="auto"/>
            <w:vAlign w:val="center"/>
          </w:tcPr>
          <w:p w14:paraId="01C723A8" w14:textId="77777777" w:rsidR="006306D0" w:rsidRDefault="006306D0" w:rsidP="002F054B">
            <w:pPr>
              <w:pStyle w:val="MDPI42tablebody"/>
              <w:spacing w:line="240" w:lineRule="auto"/>
              <w:jc w:val="both"/>
            </w:pPr>
          </w:p>
        </w:tc>
        <w:tc>
          <w:tcPr>
            <w:tcW w:w="3895" w:type="dxa"/>
            <w:shd w:val="clear" w:color="auto" w:fill="auto"/>
            <w:vAlign w:val="center"/>
          </w:tcPr>
          <w:p w14:paraId="4FAF999B" w14:textId="7ADFE58B" w:rsidR="006306D0" w:rsidRDefault="006306D0" w:rsidP="002F054B">
            <w:pPr>
              <w:pStyle w:val="MDPI42tablebody"/>
              <w:spacing w:line="240" w:lineRule="auto"/>
              <w:jc w:val="both"/>
            </w:pPr>
            <w:r>
              <w:t xml:space="preserve">                 100</w:t>
            </w:r>
          </w:p>
        </w:tc>
      </w:tr>
      <w:tr w:rsidR="006306D0" w:rsidRPr="00CF7843" w14:paraId="1089EC3E" w14:textId="77777777" w:rsidTr="002F054B">
        <w:tc>
          <w:tcPr>
            <w:tcW w:w="2162" w:type="dxa"/>
            <w:shd w:val="clear" w:color="auto" w:fill="auto"/>
            <w:vAlign w:val="center"/>
          </w:tcPr>
          <w:p w14:paraId="7E8FE6CA" w14:textId="2279A3F2" w:rsidR="006306D0" w:rsidRDefault="006306D0" w:rsidP="002F054B">
            <w:pPr>
              <w:pStyle w:val="MDPI42tablebody"/>
              <w:spacing w:line="240" w:lineRule="auto"/>
              <w:jc w:val="both"/>
            </w:pPr>
            <w:r>
              <w:t xml:space="preserve">                   1.5</w:t>
            </w:r>
          </w:p>
        </w:tc>
        <w:tc>
          <w:tcPr>
            <w:tcW w:w="1800" w:type="dxa"/>
            <w:shd w:val="clear" w:color="auto" w:fill="auto"/>
            <w:vAlign w:val="center"/>
          </w:tcPr>
          <w:p w14:paraId="7195BFF4" w14:textId="77777777" w:rsidR="006306D0" w:rsidRDefault="006306D0" w:rsidP="002F054B">
            <w:pPr>
              <w:pStyle w:val="MDPI42tablebody"/>
              <w:spacing w:line="240" w:lineRule="auto"/>
              <w:jc w:val="both"/>
            </w:pPr>
          </w:p>
        </w:tc>
        <w:tc>
          <w:tcPr>
            <w:tcW w:w="3895" w:type="dxa"/>
            <w:shd w:val="clear" w:color="auto" w:fill="auto"/>
            <w:vAlign w:val="center"/>
          </w:tcPr>
          <w:p w14:paraId="18F1D520" w14:textId="1D95B59A" w:rsidR="006306D0" w:rsidRDefault="006306D0" w:rsidP="002F054B">
            <w:pPr>
              <w:pStyle w:val="MDPI42tablebody"/>
              <w:spacing w:line="240" w:lineRule="auto"/>
              <w:jc w:val="both"/>
            </w:pPr>
            <w:r>
              <w:t xml:space="preserve">                 100</w:t>
            </w:r>
          </w:p>
        </w:tc>
      </w:tr>
    </w:tbl>
    <w:p w14:paraId="706ACCB6" w14:textId="1F5796B7" w:rsidR="006306D0" w:rsidRPr="00EC560C" w:rsidRDefault="006306D0" w:rsidP="006306D0">
      <w:pPr>
        <w:pStyle w:val="MDPI43tablefooter"/>
        <w:rPr>
          <w:szCs w:val="18"/>
        </w:rPr>
      </w:pPr>
      <w:r>
        <w:rPr>
          <w:vertAlign w:val="superscript"/>
        </w:rPr>
        <w:t xml:space="preserve"> </w:t>
      </w:r>
      <w:r>
        <w:rPr>
          <w:szCs w:val="18"/>
          <w:vertAlign w:val="superscript"/>
        </w:rPr>
        <w:t xml:space="preserve"> </w:t>
      </w:r>
    </w:p>
    <w:p w14:paraId="1967DB28" w14:textId="4C3C5355" w:rsidR="006306D0" w:rsidRPr="00EC560C" w:rsidRDefault="006306D0" w:rsidP="00EC560C">
      <w:pPr>
        <w:pStyle w:val="MDPI31text"/>
        <w:ind w:left="0" w:firstLine="0"/>
        <w:rPr>
          <w:sz w:val="18"/>
          <w:szCs w:val="18"/>
        </w:rPr>
      </w:pPr>
    </w:p>
    <w:p w14:paraId="1CB5074F" w14:textId="239AEC9C" w:rsidR="00F03C4D" w:rsidRDefault="00541046" w:rsidP="00C97679">
      <w:pPr>
        <w:pStyle w:val="MDPI31text"/>
      </w:pPr>
      <w:r>
        <w:t xml:space="preserve"> </w:t>
      </w:r>
    </w:p>
    <w:p w14:paraId="0973DE3D" w14:textId="3C4BB6DC" w:rsidR="000448FA" w:rsidRDefault="000448FA" w:rsidP="00C97679">
      <w:pPr>
        <w:pStyle w:val="MDPI31text"/>
      </w:pPr>
    </w:p>
    <w:p w14:paraId="2138FD5F" w14:textId="77777777" w:rsidR="000448FA" w:rsidRDefault="000448FA" w:rsidP="000448FA">
      <w:pPr>
        <w:spacing w:line="240" w:lineRule="auto"/>
        <w:ind w:left="2550"/>
        <w:contextualSpacing/>
        <w:rPr>
          <w:b/>
          <w:sz w:val="18"/>
          <w:szCs w:val="18"/>
        </w:rPr>
      </w:pPr>
    </w:p>
    <w:p w14:paraId="4C73A48F" w14:textId="77777777" w:rsidR="000448FA" w:rsidRDefault="000448FA" w:rsidP="000448FA">
      <w:pPr>
        <w:spacing w:line="480" w:lineRule="auto"/>
        <w:ind w:left="2550" w:firstLine="510"/>
        <w:rPr>
          <w:b/>
          <w:sz w:val="18"/>
          <w:szCs w:val="18"/>
        </w:rPr>
      </w:pPr>
    </w:p>
    <w:p w14:paraId="568ABBF5" w14:textId="3A2C317F" w:rsidR="000448FA" w:rsidRPr="000448FA" w:rsidRDefault="000448FA" w:rsidP="000448FA">
      <w:pPr>
        <w:spacing w:line="480" w:lineRule="auto"/>
        <w:ind w:left="2550" w:firstLine="510"/>
        <w:rPr>
          <w:rFonts w:ascii="Times New Roman" w:hAnsi="Times New Roman"/>
        </w:rPr>
      </w:pPr>
      <w:r w:rsidRPr="006306D0">
        <w:rPr>
          <w:b/>
          <w:sz w:val="18"/>
          <w:szCs w:val="18"/>
        </w:rPr>
        <w:t xml:space="preserve">Table </w:t>
      </w:r>
      <w:r>
        <w:rPr>
          <w:b/>
          <w:sz w:val="18"/>
          <w:szCs w:val="18"/>
        </w:rPr>
        <w:t>4</w:t>
      </w:r>
      <w:r w:rsidRPr="006306D0">
        <w:rPr>
          <w:b/>
          <w:sz w:val="18"/>
          <w:szCs w:val="18"/>
        </w:rPr>
        <w:t>.</w:t>
      </w:r>
      <w:r w:rsidRPr="006306D0">
        <w:rPr>
          <w:sz w:val="18"/>
          <w:szCs w:val="18"/>
        </w:rPr>
        <w:t xml:space="preserve"> </w:t>
      </w:r>
      <w:r w:rsidRPr="00A6775D">
        <w:rPr>
          <w:rFonts w:ascii="Times New Roman" w:hAnsi="Times New Roman"/>
        </w:rPr>
        <w:t xml:space="preserve">Giant sequoia seedling/sapling density (stems/ha) and percent shrub cover. </w:t>
      </w:r>
      <w:r w:rsidRPr="006306D0">
        <w:rPr>
          <w:sz w:val="18"/>
          <w:szCs w:val="18"/>
        </w:rPr>
        <w:t xml:space="preserve"> </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162"/>
        <w:gridCol w:w="1800"/>
        <w:gridCol w:w="3895"/>
      </w:tblGrid>
      <w:tr w:rsidR="000448FA" w:rsidRPr="00CF7843" w14:paraId="6A46312D" w14:textId="77777777" w:rsidTr="002F054B">
        <w:tc>
          <w:tcPr>
            <w:tcW w:w="2162" w:type="dxa"/>
            <w:tcBorders>
              <w:bottom w:val="single" w:sz="4" w:space="0" w:color="auto"/>
            </w:tcBorders>
            <w:shd w:val="clear" w:color="auto" w:fill="auto"/>
            <w:vAlign w:val="center"/>
          </w:tcPr>
          <w:p w14:paraId="235999D8" w14:textId="7FDDCBD1" w:rsidR="000448FA" w:rsidRPr="007F7C8C" w:rsidRDefault="000448FA" w:rsidP="002F054B">
            <w:pPr>
              <w:pStyle w:val="MDPI42tablebody"/>
              <w:spacing w:line="240" w:lineRule="auto"/>
              <w:jc w:val="both"/>
              <w:rPr>
                <w:b/>
                <w:snapToGrid/>
              </w:rPr>
            </w:pPr>
            <w:r>
              <w:rPr>
                <w:b/>
                <w:snapToGrid/>
              </w:rPr>
              <w:lastRenderedPageBreak/>
              <w:t xml:space="preserve">               Density</w:t>
            </w:r>
          </w:p>
        </w:tc>
        <w:tc>
          <w:tcPr>
            <w:tcW w:w="1800" w:type="dxa"/>
            <w:tcBorders>
              <w:bottom w:val="single" w:sz="4" w:space="0" w:color="auto"/>
            </w:tcBorders>
            <w:shd w:val="clear" w:color="auto" w:fill="auto"/>
            <w:vAlign w:val="center"/>
          </w:tcPr>
          <w:p w14:paraId="3F6FC644" w14:textId="77777777" w:rsidR="000448FA" w:rsidRPr="007F7C8C" w:rsidRDefault="000448FA" w:rsidP="002F054B">
            <w:pPr>
              <w:pStyle w:val="MDPI42tablebody"/>
              <w:spacing w:line="240" w:lineRule="auto"/>
              <w:jc w:val="both"/>
              <w:rPr>
                <w:b/>
                <w:snapToGrid/>
              </w:rPr>
            </w:pPr>
            <w:r>
              <w:rPr>
                <w:b/>
                <w:snapToGrid/>
              </w:rPr>
              <w:t xml:space="preserve"> </w:t>
            </w:r>
          </w:p>
        </w:tc>
        <w:tc>
          <w:tcPr>
            <w:tcW w:w="3895" w:type="dxa"/>
            <w:tcBorders>
              <w:bottom w:val="single" w:sz="4" w:space="0" w:color="auto"/>
            </w:tcBorders>
            <w:shd w:val="clear" w:color="auto" w:fill="auto"/>
            <w:vAlign w:val="center"/>
          </w:tcPr>
          <w:p w14:paraId="3E15ED87" w14:textId="135D121E" w:rsidR="000448FA" w:rsidRPr="00EC560C" w:rsidRDefault="000448FA" w:rsidP="002F054B">
            <w:pPr>
              <w:pStyle w:val="MDPI42tablebody"/>
              <w:spacing w:line="240" w:lineRule="auto"/>
              <w:jc w:val="both"/>
              <w:rPr>
                <w:b/>
                <w:snapToGrid/>
                <w:vertAlign w:val="superscript"/>
              </w:rPr>
            </w:pPr>
            <w:r>
              <w:rPr>
                <w:b/>
                <w:snapToGrid/>
              </w:rPr>
              <w:t xml:space="preserve">         % Shrub Cover          </w:t>
            </w:r>
          </w:p>
        </w:tc>
      </w:tr>
      <w:tr w:rsidR="000448FA" w:rsidRPr="00CF7843" w14:paraId="20FAB672" w14:textId="77777777" w:rsidTr="002F054B">
        <w:tc>
          <w:tcPr>
            <w:tcW w:w="2162" w:type="dxa"/>
            <w:shd w:val="clear" w:color="auto" w:fill="auto"/>
            <w:vAlign w:val="center"/>
          </w:tcPr>
          <w:p w14:paraId="21D98316" w14:textId="2B458E77" w:rsidR="000448FA" w:rsidRPr="00F220D4" w:rsidRDefault="000448FA" w:rsidP="002F054B">
            <w:pPr>
              <w:pStyle w:val="MDPI42tablebody"/>
              <w:spacing w:line="240" w:lineRule="auto"/>
              <w:jc w:val="both"/>
            </w:pPr>
            <w:r>
              <w:t xml:space="preserve">                   0       </w:t>
            </w:r>
          </w:p>
        </w:tc>
        <w:tc>
          <w:tcPr>
            <w:tcW w:w="1800" w:type="dxa"/>
            <w:shd w:val="clear" w:color="auto" w:fill="auto"/>
            <w:vAlign w:val="center"/>
          </w:tcPr>
          <w:p w14:paraId="3086A082" w14:textId="77777777" w:rsidR="000448FA" w:rsidRPr="00F220D4" w:rsidRDefault="000448FA" w:rsidP="002F054B">
            <w:pPr>
              <w:pStyle w:val="MDPI42tablebody"/>
              <w:spacing w:line="240" w:lineRule="auto"/>
              <w:jc w:val="both"/>
            </w:pPr>
          </w:p>
        </w:tc>
        <w:tc>
          <w:tcPr>
            <w:tcW w:w="3895" w:type="dxa"/>
            <w:shd w:val="clear" w:color="auto" w:fill="auto"/>
            <w:vAlign w:val="center"/>
          </w:tcPr>
          <w:p w14:paraId="37C879F0" w14:textId="77777777" w:rsidR="000448FA" w:rsidRPr="00F220D4" w:rsidRDefault="000448FA" w:rsidP="002F054B">
            <w:pPr>
              <w:pStyle w:val="MDPI42tablebody"/>
              <w:spacing w:line="240" w:lineRule="auto"/>
              <w:jc w:val="both"/>
            </w:pPr>
            <w:r>
              <w:t xml:space="preserve">                 13           </w:t>
            </w:r>
          </w:p>
        </w:tc>
      </w:tr>
      <w:tr w:rsidR="000448FA" w:rsidRPr="00CF7843" w14:paraId="7C6DCEA8" w14:textId="77777777" w:rsidTr="002F054B">
        <w:tc>
          <w:tcPr>
            <w:tcW w:w="2162" w:type="dxa"/>
            <w:shd w:val="clear" w:color="auto" w:fill="auto"/>
            <w:vAlign w:val="center"/>
          </w:tcPr>
          <w:p w14:paraId="4D35E71D" w14:textId="45575B1A" w:rsidR="000448FA" w:rsidRPr="00F220D4" w:rsidRDefault="000448FA" w:rsidP="002F054B">
            <w:pPr>
              <w:pStyle w:val="MDPI42tablebody"/>
              <w:spacing w:line="240" w:lineRule="auto"/>
              <w:jc w:val="both"/>
            </w:pPr>
            <w:r>
              <w:t xml:space="preserve">                   0</w:t>
            </w:r>
          </w:p>
        </w:tc>
        <w:tc>
          <w:tcPr>
            <w:tcW w:w="1800" w:type="dxa"/>
            <w:shd w:val="clear" w:color="auto" w:fill="auto"/>
            <w:vAlign w:val="center"/>
          </w:tcPr>
          <w:p w14:paraId="27F02A1D" w14:textId="77777777" w:rsidR="000448FA" w:rsidRPr="00F220D4" w:rsidRDefault="000448FA" w:rsidP="002F054B">
            <w:pPr>
              <w:pStyle w:val="MDPI42tablebody"/>
              <w:spacing w:line="240" w:lineRule="auto"/>
              <w:jc w:val="both"/>
            </w:pPr>
          </w:p>
        </w:tc>
        <w:tc>
          <w:tcPr>
            <w:tcW w:w="3895" w:type="dxa"/>
            <w:shd w:val="clear" w:color="auto" w:fill="auto"/>
            <w:vAlign w:val="center"/>
          </w:tcPr>
          <w:p w14:paraId="438C6790" w14:textId="6ECCAC92" w:rsidR="000448FA" w:rsidRPr="00F220D4" w:rsidRDefault="000448FA" w:rsidP="002F054B">
            <w:pPr>
              <w:pStyle w:val="MDPI42tablebody"/>
              <w:spacing w:line="240" w:lineRule="auto"/>
              <w:jc w:val="both"/>
            </w:pPr>
            <w:r>
              <w:t xml:space="preserve">                 13          </w:t>
            </w:r>
          </w:p>
        </w:tc>
      </w:tr>
      <w:tr w:rsidR="000448FA" w:rsidRPr="00CF7843" w14:paraId="055854AA" w14:textId="77777777" w:rsidTr="002F054B">
        <w:tc>
          <w:tcPr>
            <w:tcW w:w="2162" w:type="dxa"/>
            <w:shd w:val="clear" w:color="auto" w:fill="auto"/>
            <w:vAlign w:val="center"/>
          </w:tcPr>
          <w:p w14:paraId="1B9E10F3" w14:textId="43F5D98B" w:rsidR="000448FA" w:rsidRDefault="000448FA" w:rsidP="002F054B">
            <w:pPr>
              <w:pStyle w:val="MDPI42tablebody"/>
              <w:spacing w:line="240" w:lineRule="auto"/>
              <w:jc w:val="both"/>
            </w:pPr>
            <w:r>
              <w:t xml:space="preserve">                   0</w:t>
            </w:r>
          </w:p>
        </w:tc>
        <w:tc>
          <w:tcPr>
            <w:tcW w:w="1800" w:type="dxa"/>
            <w:shd w:val="clear" w:color="auto" w:fill="auto"/>
            <w:vAlign w:val="center"/>
          </w:tcPr>
          <w:p w14:paraId="19FCEEF4" w14:textId="77777777" w:rsidR="000448FA" w:rsidRDefault="000448FA" w:rsidP="002F054B">
            <w:pPr>
              <w:pStyle w:val="MDPI42tablebody"/>
              <w:spacing w:line="240" w:lineRule="auto"/>
              <w:jc w:val="both"/>
            </w:pPr>
            <w:r>
              <w:t xml:space="preserve">                     </w:t>
            </w:r>
          </w:p>
        </w:tc>
        <w:tc>
          <w:tcPr>
            <w:tcW w:w="3895" w:type="dxa"/>
            <w:shd w:val="clear" w:color="auto" w:fill="auto"/>
            <w:vAlign w:val="center"/>
          </w:tcPr>
          <w:p w14:paraId="1767D4B8" w14:textId="5EC81F96" w:rsidR="000448FA" w:rsidRDefault="000448FA" w:rsidP="002F054B">
            <w:pPr>
              <w:pStyle w:val="MDPI42tablebody"/>
              <w:spacing w:line="240" w:lineRule="auto"/>
              <w:jc w:val="both"/>
            </w:pPr>
            <w:r>
              <w:t xml:space="preserve">                 13           </w:t>
            </w:r>
          </w:p>
        </w:tc>
      </w:tr>
      <w:tr w:rsidR="000448FA" w:rsidRPr="00CF7843" w14:paraId="39441291" w14:textId="77777777" w:rsidTr="002F054B">
        <w:tc>
          <w:tcPr>
            <w:tcW w:w="2162" w:type="dxa"/>
            <w:shd w:val="clear" w:color="auto" w:fill="auto"/>
            <w:vAlign w:val="center"/>
          </w:tcPr>
          <w:p w14:paraId="28B4AB9E" w14:textId="242B0719" w:rsidR="000448FA" w:rsidRDefault="000448FA" w:rsidP="002F054B">
            <w:pPr>
              <w:pStyle w:val="MDPI42tablebody"/>
              <w:spacing w:line="240" w:lineRule="auto"/>
              <w:jc w:val="both"/>
            </w:pPr>
            <w:r>
              <w:t xml:space="preserve">                   0</w:t>
            </w:r>
          </w:p>
        </w:tc>
        <w:tc>
          <w:tcPr>
            <w:tcW w:w="1800" w:type="dxa"/>
            <w:shd w:val="clear" w:color="auto" w:fill="auto"/>
            <w:vAlign w:val="center"/>
          </w:tcPr>
          <w:p w14:paraId="3628862B" w14:textId="77777777" w:rsidR="000448FA" w:rsidRDefault="000448FA" w:rsidP="002F054B">
            <w:pPr>
              <w:pStyle w:val="MDPI42tablebody"/>
              <w:spacing w:line="240" w:lineRule="auto"/>
              <w:jc w:val="both"/>
            </w:pPr>
          </w:p>
        </w:tc>
        <w:tc>
          <w:tcPr>
            <w:tcW w:w="3895" w:type="dxa"/>
            <w:shd w:val="clear" w:color="auto" w:fill="auto"/>
            <w:vAlign w:val="center"/>
          </w:tcPr>
          <w:p w14:paraId="4BAFFB2F" w14:textId="093A3BFD" w:rsidR="000448FA" w:rsidRDefault="000448FA" w:rsidP="002F054B">
            <w:pPr>
              <w:pStyle w:val="MDPI42tablebody"/>
              <w:spacing w:line="240" w:lineRule="auto"/>
              <w:jc w:val="both"/>
            </w:pPr>
            <w:r>
              <w:t xml:space="preserve">                 13           </w:t>
            </w:r>
          </w:p>
        </w:tc>
      </w:tr>
      <w:tr w:rsidR="000448FA" w:rsidRPr="00CF7843" w14:paraId="2FDC9219" w14:textId="77777777" w:rsidTr="002F054B">
        <w:tc>
          <w:tcPr>
            <w:tcW w:w="2162" w:type="dxa"/>
            <w:shd w:val="clear" w:color="auto" w:fill="auto"/>
            <w:vAlign w:val="center"/>
          </w:tcPr>
          <w:p w14:paraId="03890C03" w14:textId="652D6D8E" w:rsidR="000448FA" w:rsidRDefault="000448FA" w:rsidP="002F054B">
            <w:pPr>
              <w:pStyle w:val="MDPI42tablebody"/>
              <w:spacing w:line="240" w:lineRule="auto"/>
              <w:jc w:val="both"/>
            </w:pPr>
            <w:r>
              <w:t xml:space="preserve">                   199</w:t>
            </w:r>
          </w:p>
        </w:tc>
        <w:tc>
          <w:tcPr>
            <w:tcW w:w="1800" w:type="dxa"/>
            <w:shd w:val="clear" w:color="auto" w:fill="auto"/>
            <w:vAlign w:val="center"/>
          </w:tcPr>
          <w:p w14:paraId="3B9E7F92" w14:textId="77777777" w:rsidR="000448FA" w:rsidRDefault="000448FA" w:rsidP="002F054B">
            <w:pPr>
              <w:pStyle w:val="MDPI42tablebody"/>
              <w:spacing w:line="240" w:lineRule="auto"/>
              <w:jc w:val="both"/>
            </w:pPr>
          </w:p>
        </w:tc>
        <w:tc>
          <w:tcPr>
            <w:tcW w:w="3895" w:type="dxa"/>
            <w:shd w:val="clear" w:color="auto" w:fill="auto"/>
            <w:vAlign w:val="center"/>
          </w:tcPr>
          <w:p w14:paraId="4A90CB85" w14:textId="0C8F66EB" w:rsidR="000448FA" w:rsidRDefault="000448FA" w:rsidP="002F054B">
            <w:pPr>
              <w:pStyle w:val="MDPI42tablebody"/>
              <w:spacing w:line="240" w:lineRule="auto"/>
              <w:jc w:val="both"/>
            </w:pPr>
            <w:r>
              <w:t xml:space="preserve">                 13        </w:t>
            </w:r>
          </w:p>
        </w:tc>
      </w:tr>
      <w:tr w:rsidR="000448FA" w:rsidRPr="00CF7843" w14:paraId="6E7A923A" w14:textId="77777777" w:rsidTr="002F054B">
        <w:tc>
          <w:tcPr>
            <w:tcW w:w="2162" w:type="dxa"/>
            <w:shd w:val="clear" w:color="auto" w:fill="auto"/>
            <w:vAlign w:val="center"/>
          </w:tcPr>
          <w:p w14:paraId="3BDD8852" w14:textId="28A75ACF" w:rsidR="000448FA" w:rsidRDefault="000448FA" w:rsidP="002F054B">
            <w:pPr>
              <w:pStyle w:val="MDPI42tablebody"/>
              <w:spacing w:line="240" w:lineRule="auto"/>
              <w:jc w:val="both"/>
            </w:pPr>
            <w:r>
              <w:t xml:space="preserve">                   354</w:t>
            </w:r>
          </w:p>
        </w:tc>
        <w:tc>
          <w:tcPr>
            <w:tcW w:w="1800" w:type="dxa"/>
            <w:shd w:val="clear" w:color="auto" w:fill="auto"/>
            <w:vAlign w:val="center"/>
          </w:tcPr>
          <w:p w14:paraId="3CC39751" w14:textId="77777777" w:rsidR="000448FA" w:rsidRDefault="000448FA" w:rsidP="002F054B">
            <w:pPr>
              <w:pStyle w:val="MDPI42tablebody"/>
              <w:spacing w:line="240" w:lineRule="auto"/>
              <w:jc w:val="both"/>
            </w:pPr>
          </w:p>
        </w:tc>
        <w:tc>
          <w:tcPr>
            <w:tcW w:w="3895" w:type="dxa"/>
            <w:shd w:val="clear" w:color="auto" w:fill="auto"/>
            <w:vAlign w:val="center"/>
          </w:tcPr>
          <w:p w14:paraId="3690DCFC" w14:textId="4BEAFDDB" w:rsidR="000448FA" w:rsidRDefault="000448FA" w:rsidP="002F054B">
            <w:pPr>
              <w:pStyle w:val="MDPI42tablebody"/>
              <w:spacing w:line="240" w:lineRule="auto"/>
              <w:jc w:val="both"/>
            </w:pPr>
            <w:r>
              <w:t xml:space="preserve">                 13        </w:t>
            </w:r>
          </w:p>
        </w:tc>
      </w:tr>
      <w:tr w:rsidR="000448FA" w:rsidRPr="00CF7843" w14:paraId="53AB72EF" w14:textId="77777777" w:rsidTr="002F054B">
        <w:tc>
          <w:tcPr>
            <w:tcW w:w="2162" w:type="dxa"/>
            <w:shd w:val="clear" w:color="auto" w:fill="auto"/>
            <w:vAlign w:val="center"/>
          </w:tcPr>
          <w:p w14:paraId="6F489D60" w14:textId="44DEA00E" w:rsidR="000448FA" w:rsidRDefault="000448FA" w:rsidP="002F054B">
            <w:pPr>
              <w:pStyle w:val="MDPI42tablebody"/>
              <w:spacing w:line="240" w:lineRule="auto"/>
              <w:jc w:val="both"/>
            </w:pPr>
            <w:r>
              <w:t xml:space="preserve">                   354</w:t>
            </w:r>
          </w:p>
        </w:tc>
        <w:tc>
          <w:tcPr>
            <w:tcW w:w="1800" w:type="dxa"/>
            <w:shd w:val="clear" w:color="auto" w:fill="auto"/>
            <w:vAlign w:val="center"/>
          </w:tcPr>
          <w:p w14:paraId="4FCA51B4" w14:textId="77777777" w:rsidR="000448FA" w:rsidRDefault="000448FA" w:rsidP="002F054B">
            <w:pPr>
              <w:pStyle w:val="MDPI42tablebody"/>
              <w:spacing w:line="240" w:lineRule="auto"/>
              <w:jc w:val="both"/>
            </w:pPr>
          </w:p>
        </w:tc>
        <w:tc>
          <w:tcPr>
            <w:tcW w:w="3895" w:type="dxa"/>
            <w:shd w:val="clear" w:color="auto" w:fill="auto"/>
            <w:vAlign w:val="center"/>
          </w:tcPr>
          <w:p w14:paraId="1FAD3A8A" w14:textId="4A4D46A5" w:rsidR="000448FA" w:rsidRDefault="000448FA" w:rsidP="002F054B">
            <w:pPr>
              <w:pStyle w:val="MDPI42tablebody"/>
              <w:spacing w:line="240" w:lineRule="auto"/>
              <w:jc w:val="both"/>
            </w:pPr>
            <w:r>
              <w:t xml:space="preserve">                 38        </w:t>
            </w:r>
          </w:p>
        </w:tc>
      </w:tr>
      <w:tr w:rsidR="000448FA" w:rsidRPr="00CF7843" w14:paraId="10A9E2BD" w14:textId="77777777" w:rsidTr="002F054B">
        <w:tc>
          <w:tcPr>
            <w:tcW w:w="2162" w:type="dxa"/>
            <w:shd w:val="clear" w:color="auto" w:fill="auto"/>
            <w:vAlign w:val="center"/>
          </w:tcPr>
          <w:p w14:paraId="73651A81" w14:textId="1320D383" w:rsidR="000448FA" w:rsidRDefault="000448FA" w:rsidP="002F054B">
            <w:pPr>
              <w:pStyle w:val="MDPI42tablebody"/>
              <w:spacing w:line="240" w:lineRule="auto"/>
              <w:jc w:val="both"/>
            </w:pPr>
            <w:r>
              <w:t xml:space="preserve">                   354</w:t>
            </w:r>
          </w:p>
        </w:tc>
        <w:tc>
          <w:tcPr>
            <w:tcW w:w="1800" w:type="dxa"/>
            <w:shd w:val="clear" w:color="auto" w:fill="auto"/>
            <w:vAlign w:val="center"/>
          </w:tcPr>
          <w:p w14:paraId="08B6C559" w14:textId="77777777" w:rsidR="000448FA" w:rsidRDefault="000448FA" w:rsidP="002F054B">
            <w:pPr>
              <w:pStyle w:val="MDPI42tablebody"/>
              <w:spacing w:line="240" w:lineRule="auto"/>
              <w:jc w:val="both"/>
            </w:pPr>
          </w:p>
        </w:tc>
        <w:tc>
          <w:tcPr>
            <w:tcW w:w="3895" w:type="dxa"/>
            <w:shd w:val="clear" w:color="auto" w:fill="auto"/>
            <w:vAlign w:val="center"/>
          </w:tcPr>
          <w:p w14:paraId="66BD8BD2" w14:textId="6A70E53B" w:rsidR="000448FA" w:rsidRDefault="000448FA" w:rsidP="002F054B">
            <w:pPr>
              <w:pStyle w:val="MDPI42tablebody"/>
              <w:spacing w:line="240" w:lineRule="auto"/>
              <w:jc w:val="both"/>
            </w:pPr>
            <w:r>
              <w:t xml:space="preserve">                 88</w:t>
            </w:r>
          </w:p>
        </w:tc>
      </w:tr>
      <w:tr w:rsidR="000448FA" w:rsidRPr="00CF7843" w14:paraId="7062055A" w14:textId="77777777" w:rsidTr="002F054B">
        <w:tc>
          <w:tcPr>
            <w:tcW w:w="2162" w:type="dxa"/>
            <w:shd w:val="clear" w:color="auto" w:fill="auto"/>
            <w:vAlign w:val="center"/>
          </w:tcPr>
          <w:p w14:paraId="606C3244" w14:textId="5D27CFAC" w:rsidR="000448FA" w:rsidRDefault="000448FA" w:rsidP="002F054B">
            <w:pPr>
              <w:pStyle w:val="MDPI42tablebody"/>
              <w:spacing w:line="240" w:lineRule="auto"/>
              <w:jc w:val="both"/>
            </w:pPr>
            <w:r>
              <w:t xml:space="preserve">                   796</w:t>
            </w:r>
          </w:p>
        </w:tc>
        <w:tc>
          <w:tcPr>
            <w:tcW w:w="1800" w:type="dxa"/>
            <w:shd w:val="clear" w:color="auto" w:fill="auto"/>
            <w:vAlign w:val="center"/>
          </w:tcPr>
          <w:p w14:paraId="31D15117" w14:textId="77777777" w:rsidR="000448FA" w:rsidRDefault="000448FA" w:rsidP="002F054B">
            <w:pPr>
              <w:pStyle w:val="MDPI42tablebody"/>
              <w:spacing w:line="240" w:lineRule="auto"/>
              <w:jc w:val="both"/>
            </w:pPr>
          </w:p>
        </w:tc>
        <w:tc>
          <w:tcPr>
            <w:tcW w:w="3895" w:type="dxa"/>
            <w:shd w:val="clear" w:color="auto" w:fill="auto"/>
            <w:vAlign w:val="center"/>
          </w:tcPr>
          <w:p w14:paraId="4620B8E5" w14:textId="24CDF549" w:rsidR="000448FA" w:rsidRDefault="000448FA" w:rsidP="002F054B">
            <w:pPr>
              <w:pStyle w:val="MDPI42tablebody"/>
              <w:spacing w:line="240" w:lineRule="auto"/>
              <w:jc w:val="both"/>
            </w:pPr>
            <w:r>
              <w:t xml:space="preserve">                 38</w:t>
            </w:r>
          </w:p>
        </w:tc>
      </w:tr>
      <w:tr w:rsidR="000448FA" w:rsidRPr="00CF7843" w14:paraId="30545E6E" w14:textId="77777777" w:rsidTr="002F054B">
        <w:tc>
          <w:tcPr>
            <w:tcW w:w="2162" w:type="dxa"/>
            <w:shd w:val="clear" w:color="auto" w:fill="auto"/>
            <w:vAlign w:val="center"/>
          </w:tcPr>
          <w:p w14:paraId="7B743791" w14:textId="5B5A7C31" w:rsidR="000448FA" w:rsidRDefault="000448FA" w:rsidP="002F054B">
            <w:pPr>
              <w:pStyle w:val="MDPI42tablebody"/>
              <w:spacing w:line="240" w:lineRule="auto"/>
              <w:jc w:val="both"/>
            </w:pPr>
            <w:r>
              <w:t xml:space="preserve">                   796</w:t>
            </w:r>
          </w:p>
        </w:tc>
        <w:tc>
          <w:tcPr>
            <w:tcW w:w="1800" w:type="dxa"/>
            <w:shd w:val="clear" w:color="auto" w:fill="auto"/>
            <w:vAlign w:val="center"/>
          </w:tcPr>
          <w:p w14:paraId="3484A8D7" w14:textId="77777777" w:rsidR="000448FA" w:rsidRDefault="000448FA" w:rsidP="002F054B">
            <w:pPr>
              <w:pStyle w:val="MDPI42tablebody"/>
              <w:spacing w:line="240" w:lineRule="auto"/>
              <w:jc w:val="both"/>
            </w:pPr>
          </w:p>
        </w:tc>
        <w:tc>
          <w:tcPr>
            <w:tcW w:w="3895" w:type="dxa"/>
            <w:shd w:val="clear" w:color="auto" w:fill="auto"/>
            <w:vAlign w:val="center"/>
          </w:tcPr>
          <w:p w14:paraId="604E20FC" w14:textId="008A23B8" w:rsidR="000448FA" w:rsidRDefault="000448FA" w:rsidP="002F054B">
            <w:pPr>
              <w:pStyle w:val="MDPI42tablebody"/>
              <w:spacing w:line="240" w:lineRule="auto"/>
              <w:jc w:val="both"/>
            </w:pPr>
            <w:r>
              <w:t xml:space="preserve">                 38</w:t>
            </w:r>
          </w:p>
        </w:tc>
      </w:tr>
      <w:tr w:rsidR="000448FA" w:rsidRPr="00CF7843" w14:paraId="19443BB8" w14:textId="77777777" w:rsidTr="002F054B">
        <w:tc>
          <w:tcPr>
            <w:tcW w:w="2162" w:type="dxa"/>
            <w:shd w:val="clear" w:color="auto" w:fill="auto"/>
            <w:vAlign w:val="center"/>
          </w:tcPr>
          <w:p w14:paraId="3F46AA16" w14:textId="7C4A808C" w:rsidR="000448FA" w:rsidRDefault="000448FA" w:rsidP="002F054B">
            <w:pPr>
              <w:pStyle w:val="MDPI42tablebody"/>
              <w:spacing w:line="240" w:lineRule="auto"/>
              <w:jc w:val="both"/>
            </w:pPr>
            <w:r>
              <w:t xml:space="preserve">                   796</w:t>
            </w:r>
          </w:p>
        </w:tc>
        <w:tc>
          <w:tcPr>
            <w:tcW w:w="1800" w:type="dxa"/>
            <w:shd w:val="clear" w:color="auto" w:fill="auto"/>
            <w:vAlign w:val="center"/>
          </w:tcPr>
          <w:p w14:paraId="14F7DBC5" w14:textId="77777777" w:rsidR="000448FA" w:rsidRDefault="000448FA" w:rsidP="002F054B">
            <w:pPr>
              <w:pStyle w:val="MDPI42tablebody"/>
              <w:spacing w:line="240" w:lineRule="auto"/>
              <w:jc w:val="both"/>
            </w:pPr>
          </w:p>
        </w:tc>
        <w:tc>
          <w:tcPr>
            <w:tcW w:w="3895" w:type="dxa"/>
            <w:shd w:val="clear" w:color="auto" w:fill="auto"/>
            <w:vAlign w:val="center"/>
          </w:tcPr>
          <w:p w14:paraId="03B6DCE0" w14:textId="795999BA" w:rsidR="000448FA" w:rsidRDefault="000448FA" w:rsidP="002F054B">
            <w:pPr>
              <w:pStyle w:val="MDPI42tablebody"/>
              <w:spacing w:line="240" w:lineRule="auto"/>
              <w:jc w:val="both"/>
            </w:pPr>
            <w:r>
              <w:t xml:space="preserve">                 63</w:t>
            </w:r>
          </w:p>
        </w:tc>
      </w:tr>
      <w:tr w:rsidR="000448FA" w:rsidRPr="00CF7843" w14:paraId="0E45403B" w14:textId="77777777" w:rsidTr="002F054B">
        <w:tc>
          <w:tcPr>
            <w:tcW w:w="2162" w:type="dxa"/>
            <w:shd w:val="clear" w:color="auto" w:fill="auto"/>
            <w:vAlign w:val="center"/>
          </w:tcPr>
          <w:p w14:paraId="29B11B1C" w14:textId="6E9318D4" w:rsidR="000448FA" w:rsidRDefault="000448FA" w:rsidP="002F054B">
            <w:pPr>
              <w:pStyle w:val="MDPI42tablebody"/>
              <w:spacing w:line="240" w:lineRule="auto"/>
              <w:jc w:val="both"/>
            </w:pPr>
            <w:r>
              <w:t xml:space="preserve">                   796</w:t>
            </w:r>
          </w:p>
        </w:tc>
        <w:tc>
          <w:tcPr>
            <w:tcW w:w="1800" w:type="dxa"/>
            <w:shd w:val="clear" w:color="auto" w:fill="auto"/>
            <w:vAlign w:val="center"/>
          </w:tcPr>
          <w:p w14:paraId="0A69D638" w14:textId="77777777" w:rsidR="000448FA" w:rsidRDefault="000448FA" w:rsidP="002F054B">
            <w:pPr>
              <w:pStyle w:val="MDPI42tablebody"/>
              <w:spacing w:line="240" w:lineRule="auto"/>
              <w:jc w:val="both"/>
            </w:pPr>
          </w:p>
        </w:tc>
        <w:tc>
          <w:tcPr>
            <w:tcW w:w="3895" w:type="dxa"/>
            <w:shd w:val="clear" w:color="auto" w:fill="auto"/>
            <w:vAlign w:val="center"/>
          </w:tcPr>
          <w:p w14:paraId="194BDC0B" w14:textId="6F170CF5" w:rsidR="000448FA" w:rsidRDefault="000448FA" w:rsidP="002F054B">
            <w:pPr>
              <w:pStyle w:val="MDPI42tablebody"/>
              <w:spacing w:line="240" w:lineRule="auto"/>
              <w:jc w:val="both"/>
            </w:pPr>
            <w:r>
              <w:t xml:space="preserve">                 88</w:t>
            </w:r>
          </w:p>
        </w:tc>
      </w:tr>
      <w:tr w:rsidR="000448FA" w:rsidRPr="00CF7843" w14:paraId="1AFBC3D5" w14:textId="77777777" w:rsidTr="002F054B">
        <w:tc>
          <w:tcPr>
            <w:tcW w:w="2162" w:type="dxa"/>
            <w:shd w:val="clear" w:color="auto" w:fill="auto"/>
            <w:vAlign w:val="center"/>
          </w:tcPr>
          <w:p w14:paraId="13285D0F" w14:textId="694D26A0" w:rsidR="000448FA" w:rsidRDefault="000448FA" w:rsidP="002F054B">
            <w:pPr>
              <w:pStyle w:val="MDPI42tablebody"/>
              <w:spacing w:line="240" w:lineRule="auto"/>
              <w:jc w:val="both"/>
            </w:pPr>
            <w:r>
              <w:t xml:space="preserve">                   3185</w:t>
            </w:r>
          </w:p>
        </w:tc>
        <w:tc>
          <w:tcPr>
            <w:tcW w:w="1800" w:type="dxa"/>
            <w:shd w:val="clear" w:color="auto" w:fill="auto"/>
            <w:vAlign w:val="center"/>
          </w:tcPr>
          <w:p w14:paraId="0E86BB54" w14:textId="77777777" w:rsidR="000448FA" w:rsidRDefault="000448FA" w:rsidP="002F054B">
            <w:pPr>
              <w:pStyle w:val="MDPI42tablebody"/>
              <w:spacing w:line="240" w:lineRule="auto"/>
              <w:jc w:val="both"/>
            </w:pPr>
          </w:p>
        </w:tc>
        <w:tc>
          <w:tcPr>
            <w:tcW w:w="3895" w:type="dxa"/>
            <w:shd w:val="clear" w:color="auto" w:fill="auto"/>
            <w:vAlign w:val="center"/>
          </w:tcPr>
          <w:p w14:paraId="61CD45CD" w14:textId="1A922755" w:rsidR="000448FA" w:rsidRDefault="000448FA" w:rsidP="002F054B">
            <w:pPr>
              <w:pStyle w:val="MDPI42tablebody"/>
              <w:spacing w:line="240" w:lineRule="auto"/>
              <w:jc w:val="both"/>
            </w:pPr>
            <w:r>
              <w:t xml:space="preserve">                 88</w:t>
            </w:r>
          </w:p>
        </w:tc>
      </w:tr>
      <w:tr w:rsidR="000448FA" w:rsidRPr="00CF7843" w14:paraId="21B91569" w14:textId="77777777" w:rsidTr="002F054B">
        <w:tc>
          <w:tcPr>
            <w:tcW w:w="2162" w:type="dxa"/>
            <w:shd w:val="clear" w:color="auto" w:fill="auto"/>
            <w:vAlign w:val="center"/>
          </w:tcPr>
          <w:p w14:paraId="17D79956" w14:textId="080B91AA" w:rsidR="000448FA" w:rsidRDefault="000448FA" w:rsidP="002F054B">
            <w:pPr>
              <w:pStyle w:val="MDPI42tablebody"/>
              <w:spacing w:line="240" w:lineRule="auto"/>
              <w:jc w:val="both"/>
            </w:pPr>
            <w:r>
              <w:t xml:space="preserve">                   3185</w:t>
            </w:r>
          </w:p>
        </w:tc>
        <w:tc>
          <w:tcPr>
            <w:tcW w:w="1800" w:type="dxa"/>
            <w:shd w:val="clear" w:color="auto" w:fill="auto"/>
            <w:vAlign w:val="center"/>
          </w:tcPr>
          <w:p w14:paraId="45223336" w14:textId="77777777" w:rsidR="000448FA" w:rsidRDefault="000448FA" w:rsidP="002F054B">
            <w:pPr>
              <w:pStyle w:val="MDPI42tablebody"/>
              <w:spacing w:line="240" w:lineRule="auto"/>
              <w:jc w:val="both"/>
            </w:pPr>
          </w:p>
        </w:tc>
        <w:tc>
          <w:tcPr>
            <w:tcW w:w="3895" w:type="dxa"/>
            <w:shd w:val="clear" w:color="auto" w:fill="auto"/>
            <w:vAlign w:val="center"/>
          </w:tcPr>
          <w:p w14:paraId="4C137695" w14:textId="39D28F9B" w:rsidR="000448FA" w:rsidRDefault="000448FA" w:rsidP="002F054B">
            <w:pPr>
              <w:pStyle w:val="MDPI42tablebody"/>
              <w:spacing w:line="240" w:lineRule="auto"/>
              <w:jc w:val="both"/>
            </w:pPr>
            <w:r>
              <w:t xml:space="preserve">                 88</w:t>
            </w:r>
          </w:p>
        </w:tc>
      </w:tr>
    </w:tbl>
    <w:p w14:paraId="2FB7779B" w14:textId="77777777" w:rsidR="000448FA" w:rsidRPr="00EC560C" w:rsidRDefault="000448FA" w:rsidP="000448FA">
      <w:pPr>
        <w:pStyle w:val="MDPI43tablefooter"/>
        <w:rPr>
          <w:szCs w:val="18"/>
        </w:rPr>
      </w:pPr>
      <w:r>
        <w:rPr>
          <w:vertAlign w:val="superscript"/>
        </w:rPr>
        <w:t xml:space="preserve"> </w:t>
      </w:r>
      <w:r>
        <w:rPr>
          <w:szCs w:val="18"/>
          <w:vertAlign w:val="superscript"/>
        </w:rPr>
        <w:t xml:space="preserve"> </w:t>
      </w:r>
    </w:p>
    <w:p w14:paraId="2C744063" w14:textId="77777777" w:rsidR="000448FA" w:rsidRPr="00EC560C" w:rsidRDefault="000448FA" w:rsidP="000448FA">
      <w:pPr>
        <w:pStyle w:val="MDPI31text"/>
        <w:ind w:left="0" w:firstLine="0"/>
        <w:rPr>
          <w:sz w:val="18"/>
          <w:szCs w:val="18"/>
        </w:rPr>
      </w:pPr>
    </w:p>
    <w:p w14:paraId="3FB2EE1D" w14:textId="02D6EFF5" w:rsidR="000448FA" w:rsidRPr="007F5918" w:rsidRDefault="000448FA" w:rsidP="000448FA">
      <w:pPr>
        <w:pStyle w:val="MDPI31text"/>
        <w:ind w:left="0" w:firstLine="0"/>
      </w:pPr>
    </w:p>
    <w:p w14:paraId="182DD2D6" w14:textId="3511D42B" w:rsidR="00B25158" w:rsidRDefault="00B25158" w:rsidP="00801529">
      <w:pPr>
        <w:pStyle w:val="MDPI21heading1"/>
      </w:pPr>
      <w:r w:rsidRPr="00325902">
        <w:t>4. Discussion</w:t>
      </w:r>
      <w:r w:rsidR="00801529">
        <w:t xml:space="preserve"> </w:t>
      </w:r>
    </w:p>
    <w:p w14:paraId="61E79D29" w14:textId="76E2F5D8" w:rsidR="004724BD" w:rsidRPr="004724BD" w:rsidRDefault="004724BD" w:rsidP="004724BD">
      <w:pPr>
        <w:spacing w:line="240" w:lineRule="auto"/>
        <w:ind w:left="2608" w:firstLine="452"/>
        <w:contextualSpacing/>
      </w:pPr>
      <w:r w:rsidRPr="004724BD">
        <w:t xml:space="preserve">In the Railroad fire of 2017, giant sequoia reproduction in the Nelder Grove followed a similar pattern to that described previously for much smaller high-severity fire patches </w:t>
      </w:r>
      <w:r w:rsidR="00CE4358">
        <w:t>[3-4]</w:t>
      </w:r>
      <w:r w:rsidRPr="004724BD">
        <w:t xml:space="preserve">. Giant sequoia reproduction was more abundant and more dominant (relative to other conifers), and was growing faster, in the large high-severity fire patch than in the low/mixed-severity fire areas. </w:t>
      </w:r>
    </w:p>
    <w:p w14:paraId="48EA4AE4" w14:textId="655433F2" w:rsidR="004724BD" w:rsidRPr="004724BD" w:rsidRDefault="004724BD" w:rsidP="004724BD">
      <w:pPr>
        <w:spacing w:line="240" w:lineRule="auto"/>
        <w:ind w:left="2550" w:firstLine="510"/>
        <w:contextualSpacing/>
      </w:pPr>
      <w:r w:rsidRPr="004724BD">
        <w:t xml:space="preserve">The height of giant sequoia seedlings and saplings varied widely, ranging from 0.2 m to 1.5 m, even within the large high-severity fire patch. This indicates that new sequoia reproduction occurred in successive years after the Railroad fire, consistent with the findings of Meyer and Safford (2011) </w:t>
      </w:r>
      <w:r w:rsidR="00CE4358">
        <w:t xml:space="preserve">[4] </w:t>
      </w:r>
      <w:r w:rsidRPr="004724BD">
        <w:t xml:space="preserve">in a 20-ha high-severity fire patch. That giant sequoias undergo post-fire regeneration in stages, over the course of years after a high-severity fire, is important to note. Areas that have little or no sequoia reproduction at one year post-fire may nevertheless have substantial reproduction in later years. </w:t>
      </w:r>
    </w:p>
    <w:p w14:paraId="66DBA399" w14:textId="4E6E5153" w:rsidR="004724BD" w:rsidRPr="004724BD" w:rsidRDefault="004724BD" w:rsidP="004724BD">
      <w:pPr>
        <w:spacing w:line="240" w:lineRule="auto"/>
        <w:ind w:left="2550" w:firstLine="510"/>
        <w:contextualSpacing/>
      </w:pPr>
      <w:r>
        <w:t>R</w:t>
      </w:r>
      <w:r w:rsidRPr="004724BD">
        <w:t>esults he</w:t>
      </w:r>
      <w:r>
        <w:t xml:space="preserve">re </w:t>
      </w:r>
      <w:r w:rsidR="00116396">
        <w:t>are</w:t>
      </w:r>
      <w:r w:rsidRPr="004724BD">
        <w:t xml:space="preserve"> preliminary. Giant sequoia reproduction has not previously been investigated in a large high-severity fire patch. More research is needed in other large high-severity fire patches, in other fires, including the 70,487-ha Castle lightning fire of 2020 and the 35,752-ha KNP Complex lightning fire of 2021, both of which swept through multiple sequoia groves. Moreover, while my plots were quite large relative to most post-fire conifer regeneration research (e.g., </w:t>
      </w:r>
      <w:r w:rsidR="00CE4358">
        <w:t>[13-14]</w:t>
      </w:r>
      <w:r w:rsidRPr="004724BD">
        <w:t xml:space="preserve">), the areas of the Nelder Grove that were occupied by giant sequoias, and which burned in the Railroad fire, were spatially limited and my sample sizes were small in both the large high-severity fire patch and the low/mixed-severity fire areas. Further, the result regarding percent shrub cover is unexpected, and more research is needed to determine the extent to which sequoia reproduction is most abundant with high shrub cover in other giant sequoia groves with recent high-severity fire. </w:t>
      </w:r>
    </w:p>
    <w:p w14:paraId="50B7A124" w14:textId="75EDD706" w:rsidR="004724BD" w:rsidRPr="004724BD" w:rsidRDefault="004724BD" w:rsidP="004724BD">
      <w:pPr>
        <w:spacing w:line="240" w:lineRule="auto"/>
        <w:ind w:left="2550" w:firstLine="510"/>
        <w:contextualSpacing/>
      </w:pPr>
      <w:r w:rsidRPr="004724BD">
        <w:t xml:space="preserve">Multiple lines of evidence from different sources document the occurrence of large high-severity fire patches historically, before fire suppression, in mixed-conifer forests of </w:t>
      </w:r>
      <w:r w:rsidRPr="004724BD">
        <w:lastRenderedPageBreak/>
        <w:t xml:space="preserve">the Sierra Nevada, including patches hundreds, and sometimes thousands, of hectares in size </w:t>
      </w:r>
      <w:r w:rsidR="00CE4358">
        <w:t>[15-16]</w:t>
      </w:r>
      <w:r w:rsidRPr="004724BD">
        <w:t xml:space="preserve">. It is beyond the scope of this analysis to investigate whether, or to what extent, large high-severity fire patches may have occasionally occurred historically in giant sequoia groves, but this will be a key question to address in future research. It is worth noting that giant sequoias defined as “mature”—those larger than 107 cm in diameter </w:t>
      </w:r>
      <w:r w:rsidR="00CE4358">
        <w:t>[1-2]</w:t>
      </w:r>
      <w:r w:rsidRPr="004724BD">
        <w:t xml:space="preserve">—are often somewhat younger than commonly believed, based on available data on size class distribution </w:t>
      </w:r>
      <w:r w:rsidR="00CE4358">
        <w:t>[17]</w:t>
      </w:r>
      <w:r w:rsidRPr="004724BD">
        <w:t xml:space="preserve"> and documented growth rates. A portion of the extant mature giant sequoias are, of course, ancient monarchs of such a size that they are likely to be one or two millennia old</w:t>
      </w:r>
      <w:r w:rsidR="00CE4358">
        <w:t xml:space="preserve"> [17-18]</w:t>
      </w:r>
      <w:r w:rsidRPr="004724BD">
        <w:t xml:space="preserve">. Most mature sequoias are much younger </w:t>
      </w:r>
      <w:r w:rsidR="00CE4358">
        <w:t>[17-18]</w:t>
      </w:r>
      <w:r w:rsidRPr="004724BD">
        <w:t xml:space="preserve">. While it can take approximately 200-250 years for giant sequoias to reach the 107-cm diameter size threshold </w:t>
      </w:r>
      <w:r w:rsidR="00CE4358">
        <w:t>[2,18]</w:t>
      </w:r>
      <w:r w:rsidRPr="004724BD">
        <w:t xml:space="preserve"> considered to be “mature” </w:t>
      </w:r>
      <w:r w:rsidR="00CE4358">
        <w:t>[1-2]</w:t>
      </w:r>
      <w:r w:rsidRPr="004724BD">
        <w:t xml:space="preserve">, giant sequoias can reach this size in less than a century </w:t>
      </w:r>
      <w:r w:rsidR="00CE4358">
        <w:t>[19-20]</w:t>
      </w:r>
      <w:r w:rsidRPr="004724BD">
        <w:t xml:space="preserve">, and sequoias &gt;250 cm in diameter can be as young as 200 years old in good growing conditions </w:t>
      </w:r>
      <w:r w:rsidR="00CE4358">
        <w:t>[20]</w:t>
      </w:r>
      <w:r w:rsidRPr="004724BD">
        <w:t xml:space="preserve">.  </w:t>
      </w:r>
    </w:p>
    <w:p w14:paraId="1191CDA3" w14:textId="00EC71B5" w:rsidR="00801529" w:rsidRDefault="00CB1618" w:rsidP="004724BD">
      <w:pPr>
        <w:spacing w:line="240" w:lineRule="auto"/>
        <w:ind w:left="2550" w:firstLine="510"/>
        <w:contextualSpacing/>
      </w:pPr>
      <w:r>
        <w:t>Similar to recent results regarding natural regeneration of coast redwoods</w:t>
      </w:r>
      <w:r w:rsidR="00E511B1">
        <w:t xml:space="preserve"> (</w:t>
      </w:r>
      <w:r w:rsidR="00E511B1" w:rsidRPr="00E511B1">
        <w:rPr>
          <w:i/>
          <w:iCs/>
        </w:rPr>
        <w:t>Sequoia sempervirens</w:t>
      </w:r>
      <w:r w:rsidR="00E511B1">
        <w:t>)</w:t>
      </w:r>
      <w:r>
        <w:t xml:space="preserve"> in high-severity fire patches [21], t</w:t>
      </w:r>
      <w:r w:rsidR="004724BD" w:rsidRPr="004724BD">
        <w:t xml:space="preserve">he results here are encouraging for the conservation of giant sequoias. Though approximately three dozen mature sequoias were killed in the Railroad fire </w:t>
      </w:r>
      <w:r w:rsidR="00CE4358">
        <w:t>[1]</w:t>
      </w:r>
      <w:r w:rsidR="004724BD" w:rsidRPr="004724BD">
        <w:t xml:space="preserve">, there are now thousands of young giant sequoias that are rapidly growing in the post-fire landscape, especially in the high-severity fire area, even a few hundred meters from the nearest </w:t>
      </w:r>
      <w:r w:rsidR="00A73F28">
        <w:t>live-tree edge, broadly consistent with findings for some other western North American conifer species [22-23]</w:t>
      </w:r>
      <w:r w:rsidR="004724BD" w:rsidRPr="004724BD">
        <w:t xml:space="preserve">. Though my results are preliminary, and though a portion of mature giant sequoias have been killed in recent large fires </w:t>
      </w:r>
      <w:r w:rsidR="00CE4358">
        <w:t>[1]</w:t>
      </w:r>
      <w:r w:rsidR="004724BD" w:rsidRPr="004724BD">
        <w:t xml:space="preserve">, my findings are nevertheless good news for an endangered species that has been experiencing a “massive failure” of reproduction for a century, due to wildfire exclusion </w:t>
      </w:r>
      <w:r w:rsidR="00CE4358">
        <w:t>[3]</w:t>
      </w:r>
      <w:r w:rsidR="004724BD" w:rsidRPr="004724BD">
        <w:t xml:space="preserve">. </w:t>
      </w:r>
    </w:p>
    <w:p w14:paraId="215D9DB2" w14:textId="663BBBD4" w:rsidR="00B25158" w:rsidRPr="00613B31" w:rsidRDefault="00B25158" w:rsidP="000C1F49">
      <w:pPr>
        <w:pStyle w:val="MDPI62BackMatter"/>
        <w:ind w:left="0"/>
      </w:pPr>
    </w:p>
    <w:p w14:paraId="1F776938" w14:textId="446DE9BE" w:rsidR="00B25158" w:rsidRPr="00613B31" w:rsidRDefault="00B25158" w:rsidP="00B25158">
      <w:pPr>
        <w:pStyle w:val="MDPI62BackMatter"/>
      </w:pPr>
      <w:r w:rsidRPr="00613B31">
        <w:rPr>
          <w:b/>
        </w:rPr>
        <w:t>Funding:</w:t>
      </w:r>
      <w:r w:rsidRPr="00613B31">
        <w:t xml:space="preserve"> This research was funded by</w:t>
      </w:r>
      <w:r w:rsidR="000C1F49">
        <w:t xml:space="preserve"> Environment Now foundation</w:t>
      </w:r>
      <w:r w:rsidRPr="00613B31">
        <w:t xml:space="preserve">, grant number </w:t>
      </w:r>
      <w:r w:rsidR="000C1F49">
        <w:t>2022.</w:t>
      </w:r>
      <w:r w:rsidRPr="00613B31">
        <w:t xml:space="preserve"> </w:t>
      </w:r>
      <w:r w:rsidR="000C1F49">
        <w:t xml:space="preserve"> </w:t>
      </w:r>
    </w:p>
    <w:p w14:paraId="430C3B9F" w14:textId="4BB1B3EE" w:rsidR="00C02203" w:rsidRPr="00613B31" w:rsidRDefault="00C02203" w:rsidP="00C02203">
      <w:pPr>
        <w:pStyle w:val="MDPI62BackMatter"/>
      </w:pPr>
      <w:bookmarkStart w:id="0" w:name="_Hlk60054323"/>
      <w:r w:rsidRPr="007D75A8">
        <w:rPr>
          <w:b/>
        </w:rPr>
        <w:t xml:space="preserve">Data Availability Statement: </w:t>
      </w:r>
      <w:r w:rsidR="000C1F49">
        <w:t xml:space="preserve">All data are reported herein. </w:t>
      </w:r>
    </w:p>
    <w:bookmarkEnd w:id="0"/>
    <w:p w14:paraId="47581808" w14:textId="3DBE66C2" w:rsidR="00B25158" w:rsidRPr="00613B31" w:rsidRDefault="00B25158" w:rsidP="00B25158">
      <w:pPr>
        <w:pStyle w:val="MDPI62BackMatter"/>
      </w:pPr>
      <w:r w:rsidRPr="00613B31">
        <w:rPr>
          <w:b/>
        </w:rPr>
        <w:t>Acknowledgments:</w:t>
      </w:r>
      <w:r w:rsidRPr="00613B31">
        <w:t xml:space="preserve"> </w:t>
      </w:r>
      <w:r w:rsidR="000C1F49">
        <w:t xml:space="preserve">I thank Environment Now for funding this research. </w:t>
      </w:r>
    </w:p>
    <w:p w14:paraId="199EB982" w14:textId="5CFD66E7" w:rsidR="00B25158" w:rsidRPr="00613B31" w:rsidRDefault="00B25158" w:rsidP="00B25158">
      <w:pPr>
        <w:pStyle w:val="MDPI62BackMatter"/>
      </w:pPr>
      <w:r w:rsidRPr="00613B31">
        <w:rPr>
          <w:b/>
        </w:rPr>
        <w:t>Conflicts of Interest:</w:t>
      </w:r>
      <w:r w:rsidRPr="00613B31">
        <w:t xml:space="preserve"> The author declare</w:t>
      </w:r>
      <w:r w:rsidR="000C1F49">
        <w:t>s</w:t>
      </w:r>
      <w:r w:rsidRPr="00613B31">
        <w:t xml:space="preserve"> no conflict of interest. The funders had no role in the design of the study; in the collection, analyses, or interpretation of data; in the writing of the manuscript, or in the decision to publish the results.</w:t>
      </w:r>
    </w:p>
    <w:p w14:paraId="690193C0" w14:textId="502E9968" w:rsidR="00B25158" w:rsidRPr="00CE4358" w:rsidRDefault="00290B81" w:rsidP="00CE4358">
      <w:pPr>
        <w:adjustRightInd w:val="0"/>
        <w:snapToGrid w:val="0"/>
        <w:spacing w:before="240" w:after="60" w:line="228" w:lineRule="auto"/>
        <w:ind w:left="2608"/>
        <w:rPr>
          <w:b/>
          <w:bCs/>
          <w:szCs w:val="18"/>
          <w:lang w:bidi="en-US"/>
        </w:rPr>
      </w:pPr>
      <w:r>
        <w:rPr>
          <w:b/>
          <w:bCs/>
          <w:szCs w:val="18"/>
          <w:lang w:bidi="en-US"/>
        </w:rPr>
        <w:br w:type="page"/>
      </w:r>
    </w:p>
    <w:p w14:paraId="16A5FA69" w14:textId="22626DD1" w:rsidR="00B25158" w:rsidRPr="00325902" w:rsidRDefault="00B25158" w:rsidP="003F79C9">
      <w:pPr>
        <w:pStyle w:val="MDPI21heading1"/>
        <w:ind w:left="0"/>
      </w:pPr>
      <w:r w:rsidRPr="00FA04F1">
        <w:lastRenderedPageBreak/>
        <w:t>References</w:t>
      </w:r>
    </w:p>
    <w:p w14:paraId="78844909" w14:textId="77777777" w:rsidR="00B25158" w:rsidRPr="00325902" w:rsidRDefault="00B25158" w:rsidP="003A4903">
      <w:pPr>
        <w:pStyle w:val="MDPI71References"/>
        <w:numPr>
          <w:ilvl w:val="0"/>
          <w:numId w:val="0"/>
        </w:numPr>
        <w:ind w:left="425"/>
      </w:pPr>
    </w:p>
    <w:p w14:paraId="458FBBC5" w14:textId="68F29BAD" w:rsidR="003F79C9" w:rsidRPr="003F79C9" w:rsidRDefault="003F79C9" w:rsidP="003F79C9">
      <w:pPr>
        <w:pStyle w:val="NormalWeb"/>
        <w:numPr>
          <w:ilvl w:val="0"/>
          <w:numId w:val="4"/>
        </w:numPr>
        <w:spacing w:line="240" w:lineRule="auto"/>
        <w:ind w:left="778" w:hanging="418"/>
        <w:contextualSpacing/>
        <w:rPr>
          <w:sz w:val="18"/>
          <w:szCs w:val="18"/>
        </w:rPr>
      </w:pPr>
      <w:r w:rsidRPr="003F79C9">
        <w:rPr>
          <w:sz w:val="18"/>
          <w:szCs w:val="18"/>
        </w:rPr>
        <w:t>Stephenson, N.</w:t>
      </w:r>
      <w:r w:rsidR="00C53B7C">
        <w:rPr>
          <w:sz w:val="18"/>
          <w:szCs w:val="18"/>
        </w:rPr>
        <w:t xml:space="preserve">; </w:t>
      </w:r>
      <w:r w:rsidRPr="003F79C9">
        <w:rPr>
          <w:sz w:val="18"/>
          <w:szCs w:val="18"/>
        </w:rPr>
        <w:t>Brigham</w:t>
      </w:r>
      <w:r w:rsidR="00C53B7C">
        <w:rPr>
          <w:sz w:val="18"/>
          <w:szCs w:val="18"/>
        </w:rPr>
        <w:t>, C</w:t>
      </w:r>
      <w:r w:rsidRPr="003F79C9">
        <w:rPr>
          <w:sz w:val="18"/>
          <w:szCs w:val="18"/>
        </w:rPr>
        <w:t>. Preliminary estimates of sequoia mortality in the 2020 Castle fire. U.S. National Park Service, Sequoia and Kings Canyon National Parks</w:t>
      </w:r>
      <w:r w:rsidR="00C53B7C">
        <w:rPr>
          <w:sz w:val="18"/>
          <w:szCs w:val="18"/>
        </w:rPr>
        <w:t>.</w:t>
      </w:r>
      <w:r w:rsidRPr="003F79C9">
        <w:rPr>
          <w:sz w:val="18"/>
          <w:szCs w:val="18"/>
        </w:rPr>
        <w:t xml:space="preserve"> Three Rivers, CA</w:t>
      </w:r>
      <w:r w:rsidR="00B464C6">
        <w:rPr>
          <w:sz w:val="18"/>
          <w:szCs w:val="18"/>
        </w:rPr>
        <w:t xml:space="preserve">, 2021. </w:t>
      </w:r>
    </w:p>
    <w:p w14:paraId="06565DB4" w14:textId="28D05AB8" w:rsidR="003F79C9" w:rsidRPr="003F79C9" w:rsidRDefault="003F79C9" w:rsidP="003F79C9">
      <w:pPr>
        <w:pStyle w:val="NormalWeb"/>
        <w:numPr>
          <w:ilvl w:val="0"/>
          <w:numId w:val="4"/>
        </w:numPr>
        <w:spacing w:line="240" w:lineRule="auto"/>
        <w:contextualSpacing/>
        <w:rPr>
          <w:sz w:val="18"/>
          <w:szCs w:val="18"/>
        </w:rPr>
      </w:pPr>
      <w:r w:rsidRPr="003F79C9">
        <w:rPr>
          <w:color w:val="000000" w:themeColor="text1"/>
          <w:sz w:val="18"/>
          <w:szCs w:val="18"/>
        </w:rPr>
        <w:t>Harvey, H.T., H.S. Shellhammer, and R.E. Stecker. Giant sequoia ecology. USDI National Park Service, Washington, D.C.</w:t>
      </w:r>
      <w:r w:rsidR="00B464C6">
        <w:rPr>
          <w:color w:val="000000" w:themeColor="text1"/>
          <w:sz w:val="18"/>
          <w:szCs w:val="18"/>
        </w:rPr>
        <w:t>, 1980.</w:t>
      </w:r>
      <w:r w:rsidRPr="003F79C9">
        <w:rPr>
          <w:color w:val="000000" w:themeColor="text1"/>
          <w:sz w:val="18"/>
          <w:szCs w:val="18"/>
        </w:rPr>
        <w:t xml:space="preserve"> </w:t>
      </w:r>
    </w:p>
    <w:p w14:paraId="376DB2DA" w14:textId="6CEC08B5" w:rsidR="003F79C9" w:rsidRPr="003F79C9" w:rsidRDefault="003F79C9" w:rsidP="003F79C9">
      <w:pPr>
        <w:pStyle w:val="NormalWeb"/>
        <w:numPr>
          <w:ilvl w:val="0"/>
          <w:numId w:val="4"/>
        </w:numPr>
        <w:spacing w:line="240" w:lineRule="auto"/>
        <w:contextualSpacing/>
        <w:rPr>
          <w:sz w:val="18"/>
          <w:szCs w:val="18"/>
        </w:rPr>
      </w:pPr>
      <w:r w:rsidRPr="003F79C9">
        <w:rPr>
          <w:sz w:val="18"/>
          <w:szCs w:val="18"/>
        </w:rPr>
        <w:t xml:space="preserve">Stephenson, N.L. Long-term dynamics of giant sequoia populations: implications for managing a pioneer species. Pages 56-63 in: P.S. Aune, technical coordinator. </w:t>
      </w:r>
      <w:r w:rsidR="00B464C6">
        <w:rPr>
          <w:sz w:val="18"/>
          <w:szCs w:val="18"/>
        </w:rPr>
        <w:t xml:space="preserve">In </w:t>
      </w:r>
      <w:r w:rsidRPr="00D91B23">
        <w:rPr>
          <w:sz w:val="18"/>
          <w:szCs w:val="18"/>
        </w:rPr>
        <w:t>The symposium on giant sequoias: their place in the ecosystem and society.</w:t>
      </w:r>
      <w:r w:rsidRPr="003F79C9">
        <w:rPr>
          <w:sz w:val="18"/>
          <w:szCs w:val="18"/>
        </w:rPr>
        <w:t xml:space="preserve"> USDA Forest Service Pacific Southwest Research Station</w:t>
      </w:r>
      <w:r w:rsidR="00D91B23">
        <w:rPr>
          <w:sz w:val="18"/>
          <w:szCs w:val="18"/>
        </w:rPr>
        <w:t>,</w:t>
      </w:r>
      <w:r w:rsidRPr="003F79C9">
        <w:rPr>
          <w:sz w:val="18"/>
          <w:szCs w:val="18"/>
        </w:rPr>
        <w:t xml:space="preserve"> General Technical Report PSW-GTR-151, Albany, CA</w:t>
      </w:r>
      <w:r w:rsidR="00B464C6">
        <w:rPr>
          <w:sz w:val="18"/>
          <w:szCs w:val="18"/>
        </w:rPr>
        <w:t>, 1994, pp. 56-63.</w:t>
      </w:r>
      <w:r w:rsidRPr="003F79C9">
        <w:rPr>
          <w:sz w:val="18"/>
          <w:szCs w:val="18"/>
        </w:rPr>
        <w:t xml:space="preserve">  </w:t>
      </w:r>
    </w:p>
    <w:p w14:paraId="27DCDC40" w14:textId="4DFE4C29" w:rsidR="003F79C9" w:rsidRPr="003F79C9" w:rsidRDefault="003F79C9" w:rsidP="003F79C9">
      <w:pPr>
        <w:pStyle w:val="NormalWeb"/>
        <w:numPr>
          <w:ilvl w:val="0"/>
          <w:numId w:val="4"/>
        </w:numPr>
        <w:spacing w:line="240" w:lineRule="auto"/>
        <w:contextualSpacing/>
        <w:rPr>
          <w:sz w:val="18"/>
          <w:szCs w:val="18"/>
        </w:rPr>
      </w:pPr>
      <w:r w:rsidRPr="003F79C9">
        <w:rPr>
          <w:color w:val="000000" w:themeColor="text1"/>
          <w:sz w:val="18"/>
          <w:szCs w:val="18"/>
        </w:rPr>
        <w:t>Meyer, M.D.</w:t>
      </w:r>
      <w:r w:rsidR="00D91B23">
        <w:rPr>
          <w:color w:val="000000" w:themeColor="text1"/>
          <w:sz w:val="18"/>
          <w:szCs w:val="18"/>
        </w:rPr>
        <w:t xml:space="preserve">; </w:t>
      </w:r>
      <w:r w:rsidRPr="003F79C9">
        <w:rPr>
          <w:color w:val="000000" w:themeColor="text1"/>
          <w:sz w:val="18"/>
          <w:szCs w:val="18"/>
        </w:rPr>
        <w:t>Safford</w:t>
      </w:r>
      <w:r w:rsidR="00D91B23">
        <w:rPr>
          <w:color w:val="000000" w:themeColor="text1"/>
          <w:sz w:val="18"/>
          <w:szCs w:val="18"/>
        </w:rPr>
        <w:t>, H.D.</w:t>
      </w:r>
      <w:r w:rsidRPr="003F79C9">
        <w:rPr>
          <w:color w:val="000000" w:themeColor="text1"/>
          <w:sz w:val="18"/>
          <w:szCs w:val="18"/>
        </w:rPr>
        <w:t xml:space="preserve"> Giant sequoia regeneration in groves exposed to wildfire and retention harvest. </w:t>
      </w:r>
      <w:r w:rsidRPr="00D91B23">
        <w:rPr>
          <w:i/>
          <w:iCs/>
          <w:color w:val="000000" w:themeColor="text1"/>
          <w:sz w:val="18"/>
          <w:szCs w:val="18"/>
        </w:rPr>
        <w:t>Fire Ecol</w:t>
      </w:r>
      <w:r w:rsidR="00D91B23">
        <w:rPr>
          <w:i/>
          <w:iCs/>
          <w:color w:val="000000" w:themeColor="text1"/>
          <w:sz w:val="18"/>
          <w:szCs w:val="18"/>
        </w:rPr>
        <w:t>.</w:t>
      </w:r>
      <w:r w:rsidR="00D91B23">
        <w:rPr>
          <w:color w:val="000000" w:themeColor="text1"/>
          <w:sz w:val="18"/>
          <w:szCs w:val="18"/>
        </w:rPr>
        <w:t xml:space="preserve"> </w:t>
      </w:r>
      <w:r w:rsidR="00D91B23" w:rsidRPr="00D91B23">
        <w:rPr>
          <w:b/>
          <w:bCs/>
          <w:color w:val="000000" w:themeColor="text1"/>
          <w:sz w:val="18"/>
          <w:szCs w:val="18"/>
        </w:rPr>
        <w:t>2011</w:t>
      </w:r>
      <w:r w:rsidR="00D91B23">
        <w:rPr>
          <w:color w:val="000000" w:themeColor="text1"/>
          <w:sz w:val="18"/>
          <w:szCs w:val="18"/>
        </w:rPr>
        <w:t>,</w:t>
      </w:r>
      <w:r w:rsidRPr="003F79C9">
        <w:rPr>
          <w:color w:val="000000" w:themeColor="text1"/>
          <w:sz w:val="18"/>
          <w:szCs w:val="18"/>
        </w:rPr>
        <w:t xml:space="preserve"> </w:t>
      </w:r>
      <w:r w:rsidRPr="00D91B23">
        <w:rPr>
          <w:i/>
          <w:iCs/>
          <w:sz w:val="18"/>
          <w:szCs w:val="18"/>
        </w:rPr>
        <w:t>7</w:t>
      </w:r>
      <w:r w:rsidR="00D91B23">
        <w:rPr>
          <w:sz w:val="18"/>
          <w:szCs w:val="18"/>
        </w:rPr>
        <w:t>,</w:t>
      </w:r>
      <w:r w:rsidRPr="003F79C9">
        <w:rPr>
          <w:sz w:val="18"/>
          <w:szCs w:val="18"/>
        </w:rPr>
        <w:t xml:space="preserve"> 2-16. </w:t>
      </w:r>
      <w:r>
        <w:rPr>
          <w:sz w:val="18"/>
          <w:szCs w:val="18"/>
        </w:rPr>
        <w:t xml:space="preserve"> </w:t>
      </w:r>
    </w:p>
    <w:p w14:paraId="75C44748" w14:textId="1953E60F" w:rsidR="006C5087" w:rsidRPr="003E4E72" w:rsidRDefault="006C5087" w:rsidP="006C5087">
      <w:pPr>
        <w:pStyle w:val="NormalWeb"/>
        <w:numPr>
          <w:ilvl w:val="0"/>
          <w:numId w:val="4"/>
        </w:numPr>
        <w:spacing w:line="240" w:lineRule="auto"/>
        <w:contextualSpacing/>
        <w:rPr>
          <w:sz w:val="18"/>
          <w:szCs w:val="18"/>
        </w:rPr>
      </w:pPr>
      <w:r w:rsidRPr="003E4E72">
        <w:rPr>
          <w:sz w:val="18"/>
          <w:szCs w:val="18"/>
        </w:rPr>
        <w:t>USDA.</w:t>
      </w:r>
      <w:r w:rsidR="00D91B23">
        <w:rPr>
          <w:sz w:val="18"/>
          <w:szCs w:val="18"/>
        </w:rPr>
        <w:t xml:space="preserve"> </w:t>
      </w:r>
      <w:r w:rsidRPr="003E4E72">
        <w:rPr>
          <w:sz w:val="18"/>
          <w:szCs w:val="18"/>
        </w:rPr>
        <w:t>Giant Sequoia National Monument, Final Environmental Impact Statement. U.S.D.A. Forest Service, Sequoia National Forest, Porterville, CA</w:t>
      </w:r>
      <w:r w:rsidR="00D91B23">
        <w:rPr>
          <w:sz w:val="18"/>
          <w:szCs w:val="18"/>
        </w:rPr>
        <w:t>, 2012.</w:t>
      </w:r>
    </w:p>
    <w:p w14:paraId="43191BB2" w14:textId="4DD1795A" w:rsidR="003F79C9" w:rsidRPr="003E4E72" w:rsidRDefault="006C5087" w:rsidP="006C5087">
      <w:pPr>
        <w:pStyle w:val="NormalWeb"/>
        <w:numPr>
          <w:ilvl w:val="0"/>
          <w:numId w:val="4"/>
        </w:numPr>
        <w:spacing w:line="240" w:lineRule="auto"/>
        <w:contextualSpacing/>
        <w:rPr>
          <w:sz w:val="18"/>
          <w:szCs w:val="18"/>
        </w:rPr>
      </w:pPr>
      <w:r w:rsidRPr="003E4E72">
        <w:rPr>
          <w:sz w:val="18"/>
          <w:szCs w:val="18"/>
        </w:rPr>
        <w:t>Stephens, S.L.</w:t>
      </w:r>
      <w:r w:rsidR="00D91B23">
        <w:rPr>
          <w:sz w:val="18"/>
          <w:szCs w:val="18"/>
        </w:rPr>
        <w:t>;</w:t>
      </w:r>
      <w:r w:rsidRPr="003E4E72">
        <w:rPr>
          <w:sz w:val="18"/>
          <w:szCs w:val="18"/>
        </w:rPr>
        <w:t xml:space="preserve"> Dulitz,</w:t>
      </w:r>
      <w:r w:rsidR="00D91B23">
        <w:rPr>
          <w:sz w:val="18"/>
          <w:szCs w:val="18"/>
        </w:rPr>
        <w:t xml:space="preserve"> D.J.;</w:t>
      </w:r>
      <w:r w:rsidRPr="003E4E72">
        <w:rPr>
          <w:sz w:val="18"/>
          <w:szCs w:val="18"/>
        </w:rPr>
        <w:t xml:space="preserve"> Martin</w:t>
      </w:r>
      <w:r w:rsidR="00D91B23">
        <w:rPr>
          <w:sz w:val="18"/>
          <w:szCs w:val="18"/>
        </w:rPr>
        <w:t>, R.E.</w:t>
      </w:r>
      <w:r w:rsidRPr="003E4E72">
        <w:rPr>
          <w:sz w:val="18"/>
          <w:szCs w:val="18"/>
        </w:rPr>
        <w:t xml:space="preserve"> Giant sequoia regeneration in group selection openings in the southern Sierra Nevada. </w:t>
      </w:r>
      <w:r w:rsidRPr="00D91B23">
        <w:rPr>
          <w:i/>
          <w:iCs/>
          <w:sz w:val="18"/>
          <w:szCs w:val="18"/>
        </w:rPr>
        <w:t>For</w:t>
      </w:r>
      <w:r w:rsidR="00D91B23">
        <w:rPr>
          <w:i/>
          <w:iCs/>
          <w:sz w:val="18"/>
          <w:szCs w:val="18"/>
        </w:rPr>
        <w:t>.</w:t>
      </w:r>
      <w:r w:rsidRPr="00D91B23">
        <w:rPr>
          <w:i/>
          <w:iCs/>
          <w:sz w:val="18"/>
          <w:szCs w:val="18"/>
        </w:rPr>
        <w:t xml:space="preserve"> Ecol</w:t>
      </w:r>
      <w:r w:rsidR="00D91B23">
        <w:rPr>
          <w:i/>
          <w:iCs/>
          <w:sz w:val="18"/>
          <w:szCs w:val="18"/>
        </w:rPr>
        <w:t xml:space="preserve">. </w:t>
      </w:r>
      <w:r w:rsidRPr="00D91B23">
        <w:rPr>
          <w:i/>
          <w:iCs/>
          <w:sz w:val="18"/>
          <w:szCs w:val="18"/>
        </w:rPr>
        <w:t>Manage</w:t>
      </w:r>
      <w:r w:rsidR="00D91B23">
        <w:rPr>
          <w:i/>
          <w:iCs/>
          <w:sz w:val="18"/>
          <w:szCs w:val="18"/>
        </w:rPr>
        <w:t>.</w:t>
      </w:r>
      <w:r w:rsidR="00D91B23">
        <w:rPr>
          <w:sz w:val="18"/>
          <w:szCs w:val="18"/>
        </w:rPr>
        <w:t xml:space="preserve"> </w:t>
      </w:r>
      <w:r w:rsidR="00D91B23" w:rsidRPr="00D91B23">
        <w:rPr>
          <w:b/>
          <w:bCs/>
          <w:sz w:val="18"/>
          <w:szCs w:val="18"/>
        </w:rPr>
        <w:t>1999</w:t>
      </w:r>
      <w:r w:rsidR="00D91B23">
        <w:rPr>
          <w:sz w:val="18"/>
          <w:szCs w:val="18"/>
        </w:rPr>
        <w:t xml:space="preserve">, </w:t>
      </w:r>
      <w:r w:rsidRPr="00D91B23">
        <w:rPr>
          <w:i/>
          <w:iCs/>
          <w:sz w:val="18"/>
          <w:szCs w:val="18"/>
        </w:rPr>
        <w:t>120</w:t>
      </w:r>
      <w:r w:rsidR="00D91B23">
        <w:rPr>
          <w:sz w:val="18"/>
          <w:szCs w:val="18"/>
        </w:rPr>
        <w:t>,</w:t>
      </w:r>
      <w:r w:rsidRPr="003E4E72">
        <w:rPr>
          <w:sz w:val="18"/>
          <w:szCs w:val="18"/>
        </w:rPr>
        <w:t xml:space="preserve"> 89-95.</w:t>
      </w:r>
    </w:p>
    <w:p w14:paraId="5431EE10" w14:textId="77777777" w:rsidR="003E4E72" w:rsidRPr="003E4E72" w:rsidRDefault="003E4E72" w:rsidP="003E4E72">
      <w:pPr>
        <w:numPr>
          <w:ilvl w:val="0"/>
          <w:numId w:val="4"/>
        </w:numPr>
        <w:spacing w:before="100" w:beforeAutospacing="1" w:after="100" w:afterAutospacing="1" w:line="240" w:lineRule="auto"/>
        <w:rPr>
          <w:rFonts w:eastAsia="Times New Roman"/>
          <w:noProof w:val="0"/>
          <w:color w:val="auto"/>
          <w:sz w:val="18"/>
          <w:szCs w:val="18"/>
          <w:lang w:eastAsia="en-US"/>
        </w:rPr>
      </w:pPr>
      <w:r w:rsidRPr="003E4E72">
        <w:rPr>
          <w:rFonts w:eastAsia="Times New Roman"/>
          <w:noProof w:val="0"/>
          <w:color w:val="auto"/>
          <w:sz w:val="18"/>
          <w:szCs w:val="18"/>
          <w:lang w:eastAsia="en-US"/>
        </w:rPr>
        <w:t xml:space="preserve">Cruz, M.G.; Alexander, M.E.; Dam, J.E. Using modeled surface and crown fire behavior characteristics to evaluate fuel treatment effectiveness: A caution. </w:t>
      </w:r>
      <w:r w:rsidRPr="003E4E72">
        <w:rPr>
          <w:rFonts w:eastAsia="Times New Roman"/>
          <w:i/>
          <w:iCs/>
          <w:noProof w:val="0"/>
          <w:color w:val="auto"/>
          <w:sz w:val="18"/>
          <w:szCs w:val="18"/>
          <w:lang w:eastAsia="en-US"/>
        </w:rPr>
        <w:t xml:space="preserve">For. Sci. </w:t>
      </w:r>
      <w:r w:rsidRPr="003E4E72">
        <w:rPr>
          <w:rFonts w:eastAsia="Times New Roman"/>
          <w:b/>
          <w:bCs/>
          <w:noProof w:val="0"/>
          <w:color w:val="auto"/>
          <w:sz w:val="18"/>
          <w:szCs w:val="18"/>
          <w:lang w:eastAsia="en-US"/>
        </w:rPr>
        <w:t>2014</w:t>
      </w:r>
      <w:r w:rsidRPr="003E4E72">
        <w:rPr>
          <w:rFonts w:eastAsia="Times New Roman"/>
          <w:noProof w:val="0"/>
          <w:color w:val="auto"/>
          <w:sz w:val="18"/>
          <w:szCs w:val="18"/>
          <w:lang w:eastAsia="en-US"/>
        </w:rPr>
        <w:t xml:space="preserve">, </w:t>
      </w:r>
      <w:r w:rsidRPr="003E4E72">
        <w:rPr>
          <w:rFonts w:eastAsia="Times New Roman"/>
          <w:i/>
          <w:iCs/>
          <w:noProof w:val="0"/>
          <w:color w:val="auto"/>
          <w:sz w:val="18"/>
          <w:szCs w:val="18"/>
          <w:lang w:eastAsia="en-US"/>
        </w:rPr>
        <w:t>60</w:t>
      </w:r>
      <w:r w:rsidRPr="003E4E72">
        <w:rPr>
          <w:rFonts w:eastAsia="Times New Roman"/>
          <w:noProof w:val="0"/>
          <w:color w:val="auto"/>
          <w:sz w:val="18"/>
          <w:szCs w:val="18"/>
          <w:lang w:eastAsia="en-US"/>
        </w:rPr>
        <w:t xml:space="preserve">, 1000–1004. </w:t>
      </w:r>
    </w:p>
    <w:p w14:paraId="407BA88F" w14:textId="6FA56771" w:rsidR="003E4E72" w:rsidRPr="003E4E72" w:rsidRDefault="003E4E72" w:rsidP="003E4E72">
      <w:pPr>
        <w:numPr>
          <w:ilvl w:val="0"/>
          <w:numId w:val="4"/>
        </w:numPr>
        <w:spacing w:before="100" w:beforeAutospacing="1" w:after="100" w:afterAutospacing="1" w:line="240" w:lineRule="auto"/>
        <w:rPr>
          <w:rFonts w:eastAsia="Times New Roman"/>
          <w:noProof w:val="0"/>
          <w:color w:val="auto"/>
          <w:sz w:val="18"/>
          <w:szCs w:val="18"/>
          <w:lang w:eastAsia="en-US"/>
        </w:rPr>
      </w:pPr>
      <w:r w:rsidRPr="003E4E72">
        <w:rPr>
          <w:rFonts w:eastAsia="Times New Roman"/>
          <w:noProof w:val="0"/>
          <w:color w:val="auto"/>
          <w:sz w:val="18"/>
          <w:szCs w:val="18"/>
          <w:lang w:eastAsia="en-US"/>
        </w:rPr>
        <w:t xml:space="preserve">Bradley, C.M.; Hanson, C.T.; </w:t>
      </w:r>
      <w:proofErr w:type="spellStart"/>
      <w:r w:rsidRPr="003E4E72">
        <w:rPr>
          <w:rFonts w:eastAsia="Times New Roman"/>
          <w:noProof w:val="0"/>
          <w:color w:val="auto"/>
          <w:sz w:val="18"/>
          <w:szCs w:val="18"/>
          <w:lang w:eastAsia="en-US"/>
        </w:rPr>
        <w:t>DellaSala</w:t>
      </w:r>
      <w:proofErr w:type="spellEnd"/>
      <w:r w:rsidRPr="003E4E72">
        <w:rPr>
          <w:rFonts w:eastAsia="Times New Roman"/>
          <w:noProof w:val="0"/>
          <w:color w:val="auto"/>
          <w:sz w:val="18"/>
          <w:szCs w:val="18"/>
          <w:lang w:eastAsia="en-US"/>
        </w:rPr>
        <w:t xml:space="preserve">, D.A. Does increased forest protection correspond to higher fire severity in frequent-fire forests of the western USA? </w:t>
      </w:r>
      <w:r w:rsidRPr="003E4E72">
        <w:rPr>
          <w:rFonts w:eastAsia="Times New Roman"/>
          <w:i/>
          <w:iCs/>
          <w:noProof w:val="0"/>
          <w:color w:val="auto"/>
          <w:sz w:val="18"/>
          <w:szCs w:val="18"/>
          <w:lang w:eastAsia="en-US"/>
        </w:rPr>
        <w:t xml:space="preserve">Ecosphere </w:t>
      </w:r>
      <w:r w:rsidRPr="003E4E72">
        <w:rPr>
          <w:rFonts w:eastAsia="Times New Roman"/>
          <w:b/>
          <w:bCs/>
          <w:noProof w:val="0"/>
          <w:color w:val="auto"/>
          <w:sz w:val="18"/>
          <w:szCs w:val="18"/>
          <w:lang w:eastAsia="en-US"/>
        </w:rPr>
        <w:t>2016</w:t>
      </w:r>
      <w:r w:rsidRPr="003E4E72">
        <w:rPr>
          <w:rFonts w:eastAsia="Times New Roman"/>
          <w:noProof w:val="0"/>
          <w:color w:val="auto"/>
          <w:sz w:val="18"/>
          <w:szCs w:val="18"/>
          <w:lang w:eastAsia="en-US"/>
        </w:rPr>
        <w:t xml:space="preserve">, </w:t>
      </w:r>
      <w:r w:rsidRPr="003E4E72">
        <w:rPr>
          <w:rFonts w:eastAsia="Times New Roman"/>
          <w:i/>
          <w:iCs/>
          <w:noProof w:val="0"/>
          <w:color w:val="auto"/>
          <w:sz w:val="18"/>
          <w:szCs w:val="18"/>
          <w:lang w:eastAsia="en-US"/>
        </w:rPr>
        <w:t>7</w:t>
      </w:r>
      <w:r w:rsidRPr="003E4E72">
        <w:rPr>
          <w:rFonts w:eastAsia="Times New Roman"/>
          <w:noProof w:val="0"/>
          <w:color w:val="auto"/>
          <w:sz w:val="18"/>
          <w:szCs w:val="18"/>
          <w:lang w:eastAsia="en-US"/>
        </w:rPr>
        <w:t xml:space="preserve">, e01492. </w:t>
      </w:r>
    </w:p>
    <w:p w14:paraId="203C1A83" w14:textId="77777777" w:rsidR="003E4E72" w:rsidRPr="003E4E72" w:rsidRDefault="003E4E72" w:rsidP="003E4E72">
      <w:pPr>
        <w:numPr>
          <w:ilvl w:val="0"/>
          <w:numId w:val="4"/>
        </w:numPr>
        <w:spacing w:before="100" w:beforeAutospacing="1" w:after="100" w:afterAutospacing="1" w:line="240" w:lineRule="auto"/>
        <w:rPr>
          <w:rFonts w:eastAsia="Times New Roman"/>
          <w:noProof w:val="0"/>
          <w:color w:val="auto"/>
          <w:sz w:val="18"/>
          <w:szCs w:val="18"/>
          <w:lang w:eastAsia="en-US"/>
        </w:rPr>
      </w:pPr>
      <w:r w:rsidRPr="003E4E72">
        <w:rPr>
          <w:rFonts w:eastAsia="Times New Roman"/>
          <w:noProof w:val="0"/>
          <w:color w:val="auto"/>
          <w:sz w:val="18"/>
          <w:szCs w:val="18"/>
          <w:lang w:eastAsia="en-US"/>
        </w:rPr>
        <w:t xml:space="preserve">Hanson, C.T. Is “Fuel Reduction” Justified as Fire Management in Spotted Owl Habitat? </w:t>
      </w:r>
      <w:r w:rsidRPr="003E4E72">
        <w:rPr>
          <w:rFonts w:eastAsia="Times New Roman"/>
          <w:i/>
          <w:iCs/>
          <w:noProof w:val="0"/>
          <w:color w:val="auto"/>
          <w:sz w:val="18"/>
          <w:szCs w:val="18"/>
          <w:lang w:eastAsia="en-US"/>
        </w:rPr>
        <w:t xml:space="preserve">Birds </w:t>
      </w:r>
      <w:r w:rsidRPr="003E4E72">
        <w:rPr>
          <w:rFonts w:eastAsia="Times New Roman"/>
          <w:b/>
          <w:bCs/>
          <w:noProof w:val="0"/>
          <w:color w:val="auto"/>
          <w:sz w:val="18"/>
          <w:szCs w:val="18"/>
          <w:lang w:eastAsia="en-US"/>
        </w:rPr>
        <w:t>2021</w:t>
      </w:r>
      <w:r w:rsidRPr="003E4E72">
        <w:rPr>
          <w:rFonts w:eastAsia="Times New Roman"/>
          <w:noProof w:val="0"/>
          <w:color w:val="auto"/>
          <w:sz w:val="18"/>
          <w:szCs w:val="18"/>
          <w:lang w:eastAsia="en-US"/>
        </w:rPr>
        <w:t xml:space="preserve">, </w:t>
      </w:r>
      <w:r w:rsidRPr="003E4E72">
        <w:rPr>
          <w:rFonts w:eastAsia="Times New Roman"/>
          <w:i/>
          <w:iCs/>
          <w:noProof w:val="0"/>
          <w:color w:val="auto"/>
          <w:sz w:val="18"/>
          <w:szCs w:val="18"/>
          <w:lang w:eastAsia="en-US"/>
        </w:rPr>
        <w:t>2</w:t>
      </w:r>
      <w:r w:rsidRPr="003E4E72">
        <w:rPr>
          <w:rFonts w:eastAsia="Times New Roman"/>
          <w:noProof w:val="0"/>
          <w:color w:val="auto"/>
          <w:sz w:val="18"/>
          <w:szCs w:val="18"/>
          <w:lang w:eastAsia="en-US"/>
        </w:rPr>
        <w:t xml:space="preserve">, 395–403. </w:t>
      </w:r>
    </w:p>
    <w:p w14:paraId="0EC8D44C" w14:textId="18CA3410" w:rsidR="003E4E72" w:rsidRPr="003E4E72" w:rsidRDefault="003E4E72" w:rsidP="003E4E72">
      <w:pPr>
        <w:numPr>
          <w:ilvl w:val="0"/>
          <w:numId w:val="4"/>
        </w:numPr>
        <w:spacing w:before="100" w:beforeAutospacing="1" w:after="100" w:afterAutospacing="1" w:line="240" w:lineRule="auto"/>
        <w:rPr>
          <w:rFonts w:eastAsia="Times New Roman"/>
          <w:noProof w:val="0"/>
          <w:color w:val="auto"/>
          <w:sz w:val="18"/>
          <w:szCs w:val="18"/>
          <w:lang w:eastAsia="en-US"/>
        </w:rPr>
      </w:pPr>
      <w:proofErr w:type="spellStart"/>
      <w:r w:rsidRPr="003E4E72">
        <w:rPr>
          <w:rFonts w:eastAsia="Times New Roman"/>
          <w:noProof w:val="0"/>
          <w:color w:val="auto"/>
          <w:sz w:val="18"/>
          <w:szCs w:val="18"/>
          <w:lang w:eastAsia="en-US"/>
        </w:rPr>
        <w:t>Zar</w:t>
      </w:r>
      <w:proofErr w:type="spellEnd"/>
      <w:r w:rsidRPr="003E4E72">
        <w:rPr>
          <w:rFonts w:eastAsia="Times New Roman"/>
          <w:noProof w:val="0"/>
          <w:color w:val="auto"/>
          <w:sz w:val="18"/>
          <w:szCs w:val="18"/>
          <w:lang w:eastAsia="en-US"/>
        </w:rPr>
        <w:t xml:space="preserve">, J.H. </w:t>
      </w:r>
      <w:r w:rsidRPr="003E4E72">
        <w:rPr>
          <w:rFonts w:eastAsia="Times New Roman"/>
          <w:i/>
          <w:iCs/>
          <w:noProof w:val="0"/>
          <w:color w:val="auto"/>
          <w:sz w:val="18"/>
          <w:szCs w:val="18"/>
          <w:lang w:eastAsia="en-US"/>
        </w:rPr>
        <w:t>Biostatistical Analysis</w:t>
      </w:r>
      <w:r w:rsidRPr="003E4E72">
        <w:rPr>
          <w:rFonts w:eastAsia="Times New Roman"/>
          <w:noProof w:val="0"/>
          <w:color w:val="auto"/>
          <w:sz w:val="18"/>
          <w:szCs w:val="18"/>
          <w:lang w:eastAsia="en-US"/>
        </w:rPr>
        <w:t xml:space="preserve">, 5th ed.; Prentice Hall: Upper Saddle River, NJ, USA, 2010. </w:t>
      </w:r>
    </w:p>
    <w:p w14:paraId="45EC6E66" w14:textId="77777777" w:rsidR="003E4E72" w:rsidRPr="00CE4358" w:rsidRDefault="003E4E72" w:rsidP="003E4E72">
      <w:pPr>
        <w:numPr>
          <w:ilvl w:val="0"/>
          <w:numId w:val="4"/>
        </w:numPr>
        <w:spacing w:before="100" w:beforeAutospacing="1" w:after="100" w:afterAutospacing="1" w:line="240" w:lineRule="auto"/>
        <w:jc w:val="left"/>
        <w:rPr>
          <w:rFonts w:eastAsia="Times New Roman"/>
          <w:noProof w:val="0"/>
          <w:color w:val="auto"/>
          <w:sz w:val="18"/>
          <w:szCs w:val="18"/>
          <w:lang w:eastAsia="en-US"/>
        </w:rPr>
      </w:pPr>
      <w:r w:rsidRPr="003E4E72">
        <w:rPr>
          <w:rFonts w:eastAsia="Times New Roman"/>
          <w:noProof w:val="0"/>
          <w:color w:val="auto"/>
          <w:sz w:val="18"/>
          <w:szCs w:val="18"/>
          <w:lang w:eastAsia="en-US"/>
        </w:rPr>
        <w:t xml:space="preserve">Rosner, A. </w:t>
      </w:r>
      <w:r w:rsidRPr="003E4E72">
        <w:rPr>
          <w:rFonts w:eastAsia="Times New Roman"/>
          <w:i/>
          <w:iCs/>
          <w:noProof w:val="0"/>
          <w:color w:val="auto"/>
          <w:sz w:val="18"/>
          <w:szCs w:val="18"/>
          <w:lang w:eastAsia="en-US"/>
        </w:rPr>
        <w:t>Fundamentals of Biostatistics</w:t>
      </w:r>
      <w:r w:rsidRPr="003E4E72">
        <w:rPr>
          <w:rFonts w:eastAsia="Times New Roman"/>
          <w:noProof w:val="0"/>
          <w:color w:val="auto"/>
          <w:sz w:val="18"/>
          <w:szCs w:val="18"/>
          <w:lang w:eastAsia="en-US"/>
        </w:rPr>
        <w:t xml:space="preserve">, 5th ed.; Duxbury: Pacific Grove, CA, USA, 2000. </w:t>
      </w:r>
    </w:p>
    <w:p w14:paraId="5E2937E7" w14:textId="77777777" w:rsidR="00CE4358" w:rsidRPr="00CE4358" w:rsidRDefault="003E4E72" w:rsidP="00CE4358">
      <w:pPr>
        <w:numPr>
          <w:ilvl w:val="0"/>
          <w:numId w:val="4"/>
        </w:numPr>
        <w:spacing w:before="100" w:beforeAutospacing="1" w:after="100" w:afterAutospacing="1" w:line="240" w:lineRule="auto"/>
        <w:jc w:val="left"/>
        <w:rPr>
          <w:rFonts w:eastAsia="Times New Roman"/>
          <w:noProof w:val="0"/>
          <w:color w:val="auto"/>
          <w:sz w:val="18"/>
          <w:szCs w:val="18"/>
          <w:lang w:eastAsia="en-US"/>
        </w:rPr>
      </w:pPr>
      <w:r w:rsidRPr="003E4E72">
        <w:rPr>
          <w:rFonts w:eastAsia="Times New Roman"/>
          <w:noProof w:val="0"/>
          <w:color w:val="auto"/>
          <w:sz w:val="18"/>
          <w:szCs w:val="18"/>
          <w:lang w:eastAsia="en-US"/>
        </w:rPr>
        <w:t xml:space="preserve">Glantz, S.A. </w:t>
      </w:r>
      <w:r w:rsidRPr="003E4E72">
        <w:rPr>
          <w:rFonts w:eastAsia="Times New Roman"/>
          <w:i/>
          <w:iCs/>
          <w:noProof w:val="0"/>
          <w:color w:val="auto"/>
          <w:sz w:val="18"/>
          <w:szCs w:val="18"/>
          <w:lang w:eastAsia="en-US"/>
        </w:rPr>
        <w:t>Primer of Biostatistics</w:t>
      </w:r>
      <w:r w:rsidRPr="003E4E72">
        <w:rPr>
          <w:rFonts w:eastAsia="Times New Roman"/>
          <w:noProof w:val="0"/>
          <w:color w:val="auto"/>
          <w:sz w:val="18"/>
          <w:szCs w:val="18"/>
          <w:lang w:eastAsia="en-US"/>
        </w:rPr>
        <w:t xml:space="preserve">, 6th ed.; McGraw-Hill: New York, NY, USA, 2005. </w:t>
      </w:r>
    </w:p>
    <w:p w14:paraId="389383B9" w14:textId="194BFF45" w:rsidR="00CE4358" w:rsidRPr="00CE4358" w:rsidRDefault="00CE4358" w:rsidP="00CE4358">
      <w:pPr>
        <w:numPr>
          <w:ilvl w:val="0"/>
          <w:numId w:val="4"/>
        </w:numPr>
        <w:spacing w:before="100" w:beforeAutospacing="1" w:after="100" w:afterAutospacing="1" w:line="240" w:lineRule="auto"/>
        <w:jc w:val="left"/>
        <w:rPr>
          <w:rFonts w:eastAsia="Times New Roman"/>
          <w:noProof w:val="0"/>
          <w:color w:val="auto"/>
          <w:sz w:val="18"/>
          <w:szCs w:val="18"/>
          <w:lang w:eastAsia="en-US"/>
        </w:rPr>
      </w:pPr>
      <w:r w:rsidRPr="00CE4358">
        <w:rPr>
          <w:sz w:val="18"/>
          <w:szCs w:val="18"/>
        </w:rPr>
        <w:t>Collins, B.M.</w:t>
      </w:r>
      <w:r w:rsidR="00970F3C">
        <w:rPr>
          <w:sz w:val="18"/>
          <w:szCs w:val="18"/>
        </w:rPr>
        <w:t xml:space="preserve">; </w:t>
      </w:r>
      <w:r w:rsidRPr="00CE4358">
        <w:rPr>
          <w:sz w:val="18"/>
          <w:szCs w:val="18"/>
        </w:rPr>
        <w:t>Roller</w:t>
      </w:r>
      <w:r w:rsidR="00970F3C">
        <w:rPr>
          <w:sz w:val="18"/>
          <w:szCs w:val="18"/>
        </w:rPr>
        <w:t>, G.B.</w:t>
      </w:r>
      <w:r w:rsidRPr="00CE4358">
        <w:rPr>
          <w:sz w:val="18"/>
          <w:szCs w:val="18"/>
        </w:rPr>
        <w:t xml:space="preserve">. Early forest dynamics in stand- replacing fire patches in the northern Sierra Nevada, California, USA. </w:t>
      </w:r>
      <w:r w:rsidRPr="00970F3C">
        <w:rPr>
          <w:i/>
          <w:iCs/>
          <w:sz w:val="18"/>
          <w:szCs w:val="18"/>
        </w:rPr>
        <w:t>Landscape Ecol</w:t>
      </w:r>
      <w:r w:rsidR="00970F3C">
        <w:rPr>
          <w:i/>
          <w:iCs/>
          <w:sz w:val="18"/>
          <w:szCs w:val="18"/>
        </w:rPr>
        <w:t>.</w:t>
      </w:r>
      <w:r w:rsidR="00970F3C">
        <w:rPr>
          <w:sz w:val="18"/>
          <w:szCs w:val="18"/>
        </w:rPr>
        <w:t xml:space="preserve"> </w:t>
      </w:r>
      <w:r w:rsidR="00970F3C" w:rsidRPr="00970F3C">
        <w:rPr>
          <w:b/>
          <w:bCs/>
          <w:sz w:val="18"/>
          <w:szCs w:val="18"/>
        </w:rPr>
        <w:t>2013</w:t>
      </w:r>
      <w:r w:rsidR="00970F3C">
        <w:rPr>
          <w:sz w:val="18"/>
          <w:szCs w:val="18"/>
        </w:rPr>
        <w:t>,</w:t>
      </w:r>
      <w:r w:rsidRPr="00CE4358">
        <w:rPr>
          <w:sz w:val="18"/>
          <w:szCs w:val="18"/>
        </w:rPr>
        <w:t xml:space="preserve"> </w:t>
      </w:r>
      <w:r w:rsidRPr="00970F3C">
        <w:rPr>
          <w:i/>
          <w:iCs/>
          <w:sz w:val="18"/>
          <w:szCs w:val="18"/>
        </w:rPr>
        <w:t>28</w:t>
      </w:r>
      <w:r w:rsidR="00970F3C">
        <w:rPr>
          <w:sz w:val="18"/>
          <w:szCs w:val="18"/>
        </w:rPr>
        <w:t>,</w:t>
      </w:r>
      <w:r w:rsidRPr="00CE4358">
        <w:rPr>
          <w:sz w:val="18"/>
          <w:szCs w:val="18"/>
        </w:rPr>
        <w:t xml:space="preserve"> 1801–1813. </w:t>
      </w:r>
    </w:p>
    <w:p w14:paraId="21D94CE1" w14:textId="3C1789C3" w:rsidR="00CE4358" w:rsidRPr="00CE4358" w:rsidRDefault="00CE4358" w:rsidP="00CE4358">
      <w:pPr>
        <w:pStyle w:val="NormalWeb"/>
        <w:numPr>
          <w:ilvl w:val="0"/>
          <w:numId w:val="4"/>
        </w:numPr>
        <w:spacing w:line="240" w:lineRule="auto"/>
        <w:contextualSpacing/>
        <w:rPr>
          <w:sz w:val="18"/>
          <w:szCs w:val="18"/>
        </w:rPr>
      </w:pPr>
      <w:r w:rsidRPr="00CE4358">
        <w:rPr>
          <w:sz w:val="18"/>
          <w:szCs w:val="18"/>
        </w:rPr>
        <w:t>Welch, K.R.</w:t>
      </w:r>
      <w:r w:rsidR="00970F3C">
        <w:rPr>
          <w:sz w:val="18"/>
          <w:szCs w:val="18"/>
        </w:rPr>
        <w:t>;</w:t>
      </w:r>
      <w:r w:rsidRPr="00CE4358">
        <w:rPr>
          <w:sz w:val="18"/>
          <w:szCs w:val="18"/>
        </w:rPr>
        <w:t xml:space="preserve"> Safford, </w:t>
      </w:r>
      <w:r w:rsidR="00970F3C">
        <w:rPr>
          <w:sz w:val="18"/>
          <w:szCs w:val="18"/>
        </w:rPr>
        <w:t xml:space="preserve">H.D.; </w:t>
      </w:r>
      <w:r w:rsidRPr="00CE4358">
        <w:rPr>
          <w:sz w:val="18"/>
          <w:szCs w:val="18"/>
        </w:rPr>
        <w:t>Young</w:t>
      </w:r>
      <w:r w:rsidR="00970F3C">
        <w:rPr>
          <w:sz w:val="18"/>
          <w:szCs w:val="18"/>
        </w:rPr>
        <w:t>, T.P</w:t>
      </w:r>
      <w:r w:rsidRPr="00CE4358">
        <w:rPr>
          <w:sz w:val="18"/>
          <w:szCs w:val="18"/>
        </w:rPr>
        <w:t xml:space="preserve">. Predicting conifer establishment post wildfire in mixed conifer forests of the North American Mediterranean-climate zone. </w:t>
      </w:r>
      <w:r w:rsidRPr="00970F3C">
        <w:rPr>
          <w:i/>
          <w:iCs/>
          <w:sz w:val="18"/>
          <w:szCs w:val="18"/>
        </w:rPr>
        <w:t>Ecosphere</w:t>
      </w:r>
      <w:r w:rsidR="00970F3C">
        <w:rPr>
          <w:sz w:val="18"/>
          <w:szCs w:val="18"/>
        </w:rPr>
        <w:t xml:space="preserve"> </w:t>
      </w:r>
      <w:r w:rsidR="00970F3C" w:rsidRPr="00970F3C">
        <w:rPr>
          <w:b/>
          <w:bCs/>
          <w:sz w:val="18"/>
          <w:szCs w:val="18"/>
        </w:rPr>
        <w:t>2016</w:t>
      </w:r>
      <w:r w:rsidR="00970F3C">
        <w:rPr>
          <w:sz w:val="18"/>
          <w:szCs w:val="18"/>
        </w:rPr>
        <w:t>,</w:t>
      </w:r>
      <w:r w:rsidRPr="00CE4358">
        <w:rPr>
          <w:i/>
          <w:iCs/>
          <w:sz w:val="18"/>
          <w:szCs w:val="18"/>
        </w:rPr>
        <w:t xml:space="preserve"> </w:t>
      </w:r>
      <w:r w:rsidRPr="00970F3C">
        <w:rPr>
          <w:i/>
          <w:iCs/>
          <w:sz w:val="18"/>
          <w:szCs w:val="18"/>
        </w:rPr>
        <w:t>7</w:t>
      </w:r>
      <w:r w:rsidR="00970F3C">
        <w:rPr>
          <w:sz w:val="18"/>
          <w:szCs w:val="18"/>
        </w:rPr>
        <w:t xml:space="preserve">, </w:t>
      </w:r>
      <w:r w:rsidRPr="00CE4358">
        <w:rPr>
          <w:sz w:val="18"/>
          <w:szCs w:val="18"/>
        </w:rPr>
        <w:t xml:space="preserve">Article e01609. </w:t>
      </w:r>
    </w:p>
    <w:p w14:paraId="2494D85B" w14:textId="4C7BABE0" w:rsidR="00CE4358" w:rsidRPr="00CE4358" w:rsidRDefault="00CE4358" w:rsidP="00CE4358">
      <w:pPr>
        <w:pStyle w:val="NormalWeb"/>
        <w:numPr>
          <w:ilvl w:val="0"/>
          <w:numId w:val="4"/>
        </w:numPr>
        <w:spacing w:line="240" w:lineRule="auto"/>
        <w:contextualSpacing/>
        <w:rPr>
          <w:sz w:val="18"/>
          <w:szCs w:val="18"/>
        </w:rPr>
      </w:pPr>
      <w:r w:rsidRPr="00CE4358">
        <w:rPr>
          <w:rFonts w:eastAsia="Times New Roman"/>
          <w:noProof w:val="0"/>
          <w:color w:val="auto"/>
          <w:sz w:val="18"/>
          <w:szCs w:val="18"/>
          <w:lang w:eastAsia="en-US"/>
        </w:rPr>
        <w:t xml:space="preserve">Baker, W.L. Historical forest structure and fire in Sierran mixed-conifer forests reconstructed from General Land Office survey data. </w:t>
      </w:r>
      <w:r w:rsidRPr="00CE4358">
        <w:rPr>
          <w:rFonts w:eastAsia="Times New Roman"/>
          <w:i/>
          <w:iCs/>
          <w:noProof w:val="0"/>
          <w:color w:val="auto"/>
          <w:sz w:val="18"/>
          <w:szCs w:val="18"/>
          <w:lang w:eastAsia="en-US"/>
        </w:rPr>
        <w:t xml:space="preserve">Ecosphere </w:t>
      </w:r>
      <w:r w:rsidRPr="00CE4358">
        <w:rPr>
          <w:rFonts w:eastAsia="Times New Roman"/>
          <w:b/>
          <w:bCs/>
          <w:noProof w:val="0"/>
          <w:color w:val="auto"/>
          <w:sz w:val="18"/>
          <w:szCs w:val="18"/>
          <w:lang w:eastAsia="en-US"/>
        </w:rPr>
        <w:t>2014</w:t>
      </w:r>
      <w:r w:rsidRPr="00CE4358">
        <w:rPr>
          <w:rFonts w:eastAsia="Times New Roman"/>
          <w:noProof w:val="0"/>
          <w:color w:val="auto"/>
          <w:sz w:val="18"/>
          <w:szCs w:val="18"/>
          <w:lang w:eastAsia="en-US"/>
        </w:rPr>
        <w:t xml:space="preserve">, </w:t>
      </w:r>
      <w:r w:rsidRPr="00CE4358">
        <w:rPr>
          <w:rFonts w:eastAsia="Times New Roman"/>
          <w:i/>
          <w:iCs/>
          <w:noProof w:val="0"/>
          <w:color w:val="auto"/>
          <w:sz w:val="18"/>
          <w:szCs w:val="18"/>
          <w:lang w:eastAsia="en-US"/>
        </w:rPr>
        <w:t>5</w:t>
      </w:r>
      <w:r w:rsidRPr="00CE4358">
        <w:rPr>
          <w:rFonts w:eastAsia="Times New Roman"/>
          <w:noProof w:val="0"/>
          <w:color w:val="auto"/>
          <w:sz w:val="18"/>
          <w:szCs w:val="18"/>
          <w:lang w:eastAsia="en-US"/>
        </w:rPr>
        <w:t xml:space="preserve">, 79. </w:t>
      </w:r>
    </w:p>
    <w:p w14:paraId="3F7D9AC6" w14:textId="4E218985" w:rsidR="00CE4358" w:rsidRPr="00CE4358" w:rsidRDefault="00CE4358" w:rsidP="00CE4358">
      <w:pPr>
        <w:pStyle w:val="NormalWeb"/>
        <w:numPr>
          <w:ilvl w:val="0"/>
          <w:numId w:val="4"/>
        </w:numPr>
        <w:spacing w:line="240" w:lineRule="auto"/>
        <w:contextualSpacing/>
        <w:rPr>
          <w:sz w:val="18"/>
          <w:szCs w:val="18"/>
        </w:rPr>
      </w:pPr>
      <w:r w:rsidRPr="00970F3C">
        <w:rPr>
          <w:sz w:val="18"/>
          <w:szCs w:val="18"/>
        </w:rPr>
        <w:t>DellaSala, D.A</w:t>
      </w:r>
      <w:r w:rsidR="00970F3C">
        <w:rPr>
          <w:sz w:val="18"/>
          <w:szCs w:val="18"/>
        </w:rPr>
        <w:t xml:space="preserve">.; </w:t>
      </w:r>
      <w:r w:rsidRPr="00970F3C">
        <w:rPr>
          <w:sz w:val="18"/>
          <w:szCs w:val="18"/>
        </w:rPr>
        <w:t>Hanson</w:t>
      </w:r>
      <w:r w:rsidR="00970F3C" w:rsidRPr="00970F3C">
        <w:rPr>
          <w:sz w:val="18"/>
          <w:szCs w:val="18"/>
        </w:rPr>
        <w:t>, C.T.</w:t>
      </w:r>
      <w:r w:rsidRPr="00970F3C">
        <w:rPr>
          <w:sz w:val="18"/>
          <w:szCs w:val="18"/>
        </w:rPr>
        <w:t xml:space="preserve"> </w:t>
      </w:r>
      <w:r w:rsidRPr="00CE4358">
        <w:rPr>
          <w:sz w:val="18"/>
          <w:szCs w:val="18"/>
        </w:rPr>
        <w:t xml:space="preserve">Are wildland fires increasing large patches of complex early seral forest habitat? </w:t>
      </w:r>
      <w:r w:rsidRPr="00970F3C">
        <w:rPr>
          <w:i/>
          <w:iCs/>
          <w:sz w:val="18"/>
          <w:szCs w:val="18"/>
        </w:rPr>
        <w:t>Diversity</w:t>
      </w:r>
      <w:r w:rsidR="00970F3C">
        <w:rPr>
          <w:sz w:val="18"/>
          <w:szCs w:val="18"/>
        </w:rPr>
        <w:t xml:space="preserve"> </w:t>
      </w:r>
      <w:r w:rsidR="00970F3C" w:rsidRPr="00970F3C">
        <w:rPr>
          <w:b/>
          <w:bCs/>
          <w:sz w:val="18"/>
          <w:szCs w:val="18"/>
        </w:rPr>
        <w:t>2019</w:t>
      </w:r>
      <w:r w:rsidR="00970F3C">
        <w:rPr>
          <w:sz w:val="18"/>
          <w:szCs w:val="18"/>
        </w:rPr>
        <w:t>,</w:t>
      </w:r>
      <w:r w:rsidRPr="00CE4358">
        <w:rPr>
          <w:sz w:val="18"/>
          <w:szCs w:val="18"/>
        </w:rPr>
        <w:t xml:space="preserve"> </w:t>
      </w:r>
      <w:r w:rsidRPr="00970F3C">
        <w:rPr>
          <w:i/>
          <w:iCs/>
          <w:sz w:val="18"/>
          <w:szCs w:val="18"/>
        </w:rPr>
        <w:t>11</w:t>
      </w:r>
      <w:r w:rsidR="00970F3C">
        <w:rPr>
          <w:sz w:val="18"/>
          <w:szCs w:val="18"/>
        </w:rPr>
        <w:t>,</w:t>
      </w:r>
      <w:r w:rsidRPr="00CE4358">
        <w:rPr>
          <w:sz w:val="18"/>
          <w:szCs w:val="18"/>
        </w:rPr>
        <w:t xml:space="preserve"> Article 157.</w:t>
      </w:r>
    </w:p>
    <w:p w14:paraId="44BC0ED9" w14:textId="27052120" w:rsidR="00CE4358" w:rsidRDefault="00CE4358" w:rsidP="00CE4358">
      <w:pPr>
        <w:pStyle w:val="ListParagraph"/>
        <w:numPr>
          <w:ilvl w:val="0"/>
          <w:numId w:val="4"/>
        </w:numPr>
        <w:spacing w:before="100" w:beforeAutospacing="1" w:after="100" w:afterAutospacing="1" w:line="240" w:lineRule="auto"/>
        <w:rPr>
          <w:rFonts w:eastAsia="Times New Roman"/>
          <w:sz w:val="18"/>
          <w:szCs w:val="18"/>
        </w:rPr>
      </w:pPr>
      <w:r w:rsidRPr="00CE4358">
        <w:rPr>
          <w:rFonts w:eastAsia="Times New Roman"/>
          <w:sz w:val="18"/>
          <w:szCs w:val="18"/>
        </w:rPr>
        <w:t xml:space="preserve">Rundel, P.W. Community structure and stability in the giant sequoia groves of the Sierra Nevada, California. </w:t>
      </w:r>
      <w:r w:rsidRPr="00970F3C">
        <w:rPr>
          <w:rFonts w:eastAsia="Times New Roman"/>
          <w:i/>
          <w:iCs/>
          <w:sz w:val="18"/>
          <w:szCs w:val="18"/>
        </w:rPr>
        <w:t>Amer</w:t>
      </w:r>
      <w:r w:rsidR="00970F3C">
        <w:rPr>
          <w:rFonts w:eastAsia="Times New Roman"/>
          <w:i/>
          <w:iCs/>
          <w:sz w:val="18"/>
          <w:szCs w:val="18"/>
        </w:rPr>
        <w:t>.</w:t>
      </w:r>
      <w:r w:rsidRPr="00970F3C">
        <w:rPr>
          <w:rFonts w:eastAsia="Times New Roman"/>
          <w:i/>
          <w:iCs/>
          <w:sz w:val="18"/>
          <w:szCs w:val="18"/>
        </w:rPr>
        <w:t xml:space="preserve"> Midland Na</w:t>
      </w:r>
      <w:r w:rsidR="00970F3C">
        <w:rPr>
          <w:rFonts w:eastAsia="Times New Roman"/>
          <w:i/>
          <w:iCs/>
          <w:sz w:val="18"/>
          <w:szCs w:val="18"/>
        </w:rPr>
        <w:t>t.</w:t>
      </w:r>
      <w:r w:rsidR="00970F3C">
        <w:rPr>
          <w:rFonts w:eastAsia="Times New Roman"/>
          <w:sz w:val="18"/>
          <w:szCs w:val="18"/>
        </w:rPr>
        <w:t xml:space="preserve"> </w:t>
      </w:r>
      <w:r w:rsidR="00970F3C" w:rsidRPr="00970F3C">
        <w:rPr>
          <w:rFonts w:eastAsia="Times New Roman"/>
          <w:b/>
          <w:bCs/>
          <w:sz w:val="18"/>
          <w:szCs w:val="18"/>
        </w:rPr>
        <w:t>1971</w:t>
      </w:r>
      <w:r w:rsidR="00970F3C">
        <w:rPr>
          <w:rFonts w:eastAsia="Times New Roman"/>
          <w:sz w:val="18"/>
          <w:szCs w:val="18"/>
        </w:rPr>
        <w:t>,</w:t>
      </w:r>
      <w:r w:rsidRPr="00CE4358">
        <w:rPr>
          <w:rFonts w:eastAsia="Times New Roman"/>
          <w:sz w:val="18"/>
          <w:szCs w:val="18"/>
        </w:rPr>
        <w:t xml:space="preserve"> </w:t>
      </w:r>
      <w:r w:rsidRPr="00970F3C">
        <w:rPr>
          <w:rFonts w:eastAsia="Times New Roman"/>
          <w:i/>
          <w:iCs/>
          <w:sz w:val="18"/>
          <w:szCs w:val="18"/>
        </w:rPr>
        <w:t>85</w:t>
      </w:r>
      <w:r w:rsidR="00970F3C">
        <w:rPr>
          <w:rFonts w:eastAsia="Times New Roman"/>
          <w:sz w:val="18"/>
          <w:szCs w:val="18"/>
        </w:rPr>
        <w:t>,</w:t>
      </w:r>
      <w:r w:rsidRPr="00CE4358">
        <w:rPr>
          <w:rFonts w:eastAsia="Times New Roman"/>
          <w:sz w:val="18"/>
          <w:szCs w:val="18"/>
        </w:rPr>
        <w:t xml:space="preserve"> 478-492. </w:t>
      </w:r>
    </w:p>
    <w:p w14:paraId="7D5A53E2" w14:textId="226B0127" w:rsidR="00CE4358" w:rsidRDefault="00CE4358" w:rsidP="00CE4358">
      <w:pPr>
        <w:pStyle w:val="NormalWeb"/>
        <w:numPr>
          <w:ilvl w:val="0"/>
          <w:numId w:val="4"/>
        </w:numPr>
        <w:spacing w:line="240" w:lineRule="auto"/>
        <w:contextualSpacing/>
        <w:rPr>
          <w:sz w:val="18"/>
          <w:szCs w:val="18"/>
        </w:rPr>
      </w:pPr>
      <w:r w:rsidRPr="003F79C9">
        <w:rPr>
          <w:sz w:val="18"/>
          <w:szCs w:val="18"/>
        </w:rPr>
        <w:t>Stephenson, N.L.</w:t>
      </w:r>
      <w:r w:rsidR="00970F3C">
        <w:rPr>
          <w:sz w:val="18"/>
          <w:szCs w:val="18"/>
        </w:rPr>
        <w:t xml:space="preserve">; </w:t>
      </w:r>
      <w:r w:rsidRPr="003F79C9">
        <w:rPr>
          <w:sz w:val="18"/>
          <w:szCs w:val="18"/>
        </w:rPr>
        <w:t>Demetry</w:t>
      </w:r>
      <w:r w:rsidR="00970F3C">
        <w:rPr>
          <w:sz w:val="18"/>
          <w:szCs w:val="18"/>
        </w:rPr>
        <w:t>, A.</w:t>
      </w:r>
      <w:r w:rsidRPr="003F79C9">
        <w:rPr>
          <w:sz w:val="18"/>
          <w:szCs w:val="18"/>
        </w:rPr>
        <w:t xml:space="preserve"> Estimating ages of giant sequoias. </w:t>
      </w:r>
      <w:r w:rsidRPr="00970F3C">
        <w:rPr>
          <w:i/>
          <w:iCs/>
          <w:sz w:val="18"/>
          <w:szCs w:val="18"/>
        </w:rPr>
        <w:t>Can</w:t>
      </w:r>
      <w:r w:rsidR="00970F3C">
        <w:rPr>
          <w:i/>
          <w:iCs/>
          <w:sz w:val="18"/>
          <w:szCs w:val="18"/>
        </w:rPr>
        <w:t>.</w:t>
      </w:r>
      <w:r w:rsidRPr="00970F3C">
        <w:rPr>
          <w:i/>
          <w:iCs/>
          <w:sz w:val="18"/>
          <w:szCs w:val="18"/>
        </w:rPr>
        <w:t xml:space="preserve"> J</w:t>
      </w:r>
      <w:r w:rsidR="00970F3C">
        <w:rPr>
          <w:i/>
          <w:iCs/>
          <w:sz w:val="18"/>
          <w:szCs w:val="18"/>
        </w:rPr>
        <w:t xml:space="preserve">. </w:t>
      </w:r>
      <w:r w:rsidRPr="00970F3C">
        <w:rPr>
          <w:i/>
          <w:iCs/>
          <w:sz w:val="18"/>
          <w:szCs w:val="18"/>
        </w:rPr>
        <w:t>For</w:t>
      </w:r>
      <w:r w:rsidR="00970F3C">
        <w:rPr>
          <w:i/>
          <w:iCs/>
          <w:sz w:val="18"/>
          <w:szCs w:val="18"/>
        </w:rPr>
        <w:t>.</w:t>
      </w:r>
      <w:r w:rsidRPr="00970F3C">
        <w:rPr>
          <w:i/>
          <w:iCs/>
          <w:sz w:val="18"/>
          <w:szCs w:val="18"/>
        </w:rPr>
        <w:t xml:space="preserve"> Res</w:t>
      </w:r>
      <w:r w:rsidR="00970F3C">
        <w:rPr>
          <w:i/>
          <w:iCs/>
          <w:sz w:val="18"/>
          <w:szCs w:val="18"/>
        </w:rPr>
        <w:t>.</w:t>
      </w:r>
      <w:r w:rsidR="00970F3C">
        <w:rPr>
          <w:sz w:val="18"/>
          <w:szCs w:val="18"/>
        </w:rPr>
        <w:t xml:space="preserve"> </w:t>
      </w:r>
      <w:r w:rsidR="00970F3C" w:rsidRPr="00970F3C">
        <w:rPr>
          <w:b/>
          <w:bCs/>
          <w:sz w:val="18"/>
          <w:szCs w:val="18"/>
        </w:rPr>
        <w:t>1995</w:t>
      </w:r>
      <w:r w:rsidR="00970F3C">
        <w:rPr>
          <w:sz w:val="18"/>
          <w:szCs w:val="18"/>
        </w:rPr>
        <w:t>,</w:t>
      </w:r>
      <w:r w:rsidRPr="003F79C9">
        <w:rPr>
          <w:sz w:val="18"/>
          <w:szCs w:val="18"/>
        </w:rPr>
        <w:t xml:space="preserve"> </w:t>
      </w:r>
      <w:r w:rsidRPr="00970F3C">
        <w:rPr>
          <w:i/>
          <w:iCs/>
          <w:sz w:val="18"/>
          <w:szCs w:val="18"/>
        </w:rPr>
        <w:t>25</w:t>
      </w:r>
      <w:r w:rsidR="00970F3C">
        <w:rPr>
          <w:sz w:val="18"/>
          <w:szCs w:val="18"/>
        </w:rPr>
        <w:t>,</w:t>
      </w:r>
      <w:r w:rsidRPr="003F79C9">
        <w:rPr>
          <w:sz w:val="18"/>
          <w:szCs w:val="18"/>
        </w:rPr>
        <w:t xml:space="preserve"> 223-233. </w:t>
      </w:r>
    </w:p>
    <w:p w14:paraId="1E6C602B" w14:textId="14D01209" w:rsidR="00CE4358" w:rsidRPr="00854C5A" w:rsidRDefault="00CE4358" w:rsidP="00CE4358">
      <w:pPr>
        <w:pStyle w:val="NormalWeb"/>
        <w:numPr>
          <w:ilvl w:val="0"/>
          <w:numId w:val="4"/>
        </w:numPr>
        <w:spacing w:line="240" w:lineRule="auto"/>
        <w:contextualSpacing/>
        <w:rPr>
          <w:sz w:val="18"/>
          <w:szCs w:val="18"/>
        </w:rPr>
      </w:pPr>
      <w:r w:rsidRPr="003F79C9">
        <w:rPr>
          <w:sz w:val="18"/>
          <w:szCs w:val="18"/>
        </w:rPr>
        <w:t>Stohlgren, T.J. Resilience of a heavily logged grove of giant sequoia (</w:t>
      </w:r>
      <w:r w:rsidRPr="003F79C9">
        <w:rPr>
          <w:i/>
          <w:iCs/>
          <w:sz w:val="18"/>
          <w:szCs w:val="18"/>
        </w:rPr>
        <w:t>Sequoiadendron giganteum</w:t>
      </w:r>
      <w:r w:rsidRPr="003F79C9">
        <w:rPr>
          <w:sz w:val="18"/>
          <w:szCs w:val="18"/>
        </w:rPr>
        <w:t xml:space="preserve">) in Kings Canyon National </w:t>
      </w:r>
      <w:r w:rsidRPr="00854C5A">
        <w:rPr>
          <w:sz w:val="18"/>
          <w:szCs w:val="18"/>
        </w:rPr>
        <w:t xml:space="preserve">Park, California. </w:t>
      </w:r>
      <w:r w:rsidRPr="00854C5A">
        <w:rPr>
          <w:i/>
          <w:iCs/>
          <w:sz w:val="18"/>
          <w:szCs w:val="18"/>
        </w:rPr>
        <w:t>For</w:t>
      </w:r>
      <w:r w:rsidR="00970F3C" w:rsidRPr="00854C5A">
        <w:rPr>
          <w:i/>
          <w:iCs/>
          <w:sz w:val="18"/>
          <w:szCs w:val="18"/>
        </w:rPr>
        <w:t>.</w:t>
      </w:r>
      <w:r w:rsidRPr="00854C5A">
        <w:rPr>
          <w:i/>
          <w:iCs/>
          <w:sz w:val="18"/>
          <w:szCs w:val="18"/>
        </w:rPr>
        <w:t xml:space="preserve"> Ecol</w:t>
      </w:r>
      <w:r w:rsidR="00970F3C" w:rsidRPr="00854C5A">
        <w:rPr>
          <w:i/>
          <w:iCs/>
          <w:sz w:val="18"/>
          <w:szCs w:val="18"/>
        </w:rPr>
        <w:t>.</w:t>
      </w:r>
      <w:r w:rsidRPr="00854C5A">
        <w:rPr>
          <w:i/>
          <w:iCs/>
          <w:sz w:val="18"/>
          <w:szCs w:val="18"/>
        </w:rPr>
        <w:t xml:space="preserve"> Manage</w:t>
      </w:r>
      <w:r w:rsidR="00970F3C" w:rsidRPr="00854C5A">
        <w:rPr>
          <w:i/>
          <w:iCs/>
          <w:sz w:val="18"/>
          <w:szCs w:val="18"/>
        </w:rPr>
        <w:t>.</w:t>
      </w:r>
      <w:r w:rsidR="00970F3C" w:rsidRPr="00854C5A">
        <w:rPr>
          <w:sz w:val="18"/>
          <w:szCs w:val="18"/>
        </w:rPr>
        <w:t xml:space="preserve"> </w:t>
      </w:r>
      <w:r w:rsidR="00970F3C" w:rsidRPr="00854C5A">
        <w:rPr>
          <w:b/>
          <w:bCs/>
          <w:sz w:val="18"/>
          <w:szCs w:val="18"/>
        </w:rPr>
        <w:t>1992</w:t>
      </w:r>
      <w:r w:rsidR="00970F3C" w:rsidRPr="00854C5A">
        <w:rPr>
          <w:sz w:val="18"/>
          <w:szCs w:val="18"/>
        </w:rPr>
        <w:t>,</w:t>
      </w:r>
      <w:r w:rsidRPr="00854C5A">
        <w:rPr>
          <w:sz w:val="18"/>
          <w:szCs w:val="18"/>
        </w:rPr>
        <w:t xml:space="preserve"> </w:t>
      </w:r>
      <w:r w:rsidRPr="00854C5A">
        <w:rPr>
          <w:i/>
          <w:iCs/>
          <w:sz w:val="18"/>
          <w:szCs w:val="18"/>
        </w:rPr>
        <w:t>54</w:t>
      </w:r>
      <w:r w:rsidR="00970F3C" w:rsidRPr="00854C5A">
        <w:rPr>
          <w:sz w:val="18"/>
          <w:szCs w:val="18"/>
        </w:rPr>
        <w:t>,</w:t>
      </w:r>
      <w:r w:rsidRPr="00854C5A">
        <w:rPr>
          <w:sz w:val="18"/>
          <w:szCs w:val="18"/>
        </w:rPr>
        <w:t xml:space="preserve"> 115-140.</w:t>
      </w:r>
    </w:p>
    <w:p w14:paraId="4F202116" w14:textId="0489028B" w:rsidR="00CE4358" w:rsidRPr="00854C5A" w:rsidRDefault="00CE4358" w:rsidP="00CE4358">
      <w:pPr>
        <w:pStyle w:val="NormalWeb"/>
        <w:numPr>
          <w:ilvl w:val="0"/>
          <w:numId w:val="4"/>
        </w:numPr>
        <w:spacing w:line="240" w:lineRule="auto"/>
        <w:contextualSpacing/>
        <w:rPr>
          <w:sz w:val="18"/>
          <w:szCs w:val="18"/>
        </w:rPr>
      </w:pPr>
      <w:r w:rsidRPr="00854C5A">
        <w:rPr>
          <w:sz w:val="18"/>
          <w:szCs w:val="18"/>
        </w:rPr>
        <w:t>Willard, D. Selected perspectives on the giant sequoia groves. U.S.D.A. Forest Service, Gen. Tech. Rpt. PSW-151</w:t>
      </w:r>
      <w:r w:rsidR="00970F3C" w:rsidRPr="00854C5A">
        <w:rPr>
          <w:sz w:val="18"/>
          <w:szCs w:val="18"/>
        </w:rPr>
        <w:t>,</w:t>
      </w:r>
      <w:r w:rsidRPr="00854C5A">
        <w:rPr>
          <w:sz w:val="18"/>
          <w:szCs w:val="18"/>
        </w:rPr>
        <w:t xml:space="preserve"> U.S. Forest Service Pacific Southwest Research Station, CA</w:t>
      </w:r>
      <w:r w:rsidR="00970F3C" w:rsidRPr="00854C5A">
        <w:rPr>
          <w:sz w:val="18"/>
          <w:szCs w:val="18"/>
        </w:rPr>
        <w:t>, 1994.</w:t>
      </w:r>
    </w:p>
    <w:p w14:paraId="173330BE" w14:textId="1F86C89D" w:rsidR="00854C5A" w:rsidRDefault="00854C5A" w:rsidP="00854C5A">
      <w:pPr>
        <w:pStyle w:val="ListParagraph"/>
        <w:numPr>
          <w:ilvl w:val="0"/>
          <w:numId w:val="4"/>
        </w:numPr>
        <w:spacing w:before="100" w:beforeAutospacing="1" w:after="100" w:afterAutospacing="1" w:line="240" w:lineRule="auto"/>
        <w:jc w:val="left"/>
        <w:rPr>
          <w:rFonts w:eastAsia="Times New Roman"/>
          <w:noProof w:val="0"/>
          <w:color w:val="auto"/>
          <w:sz w:val="18"/>
          <w:szCs w:val="18"/>
          <w:lang w:eastAsia="en-US"/>
        </w:rPr>
      </w:pPr>
      <w:proofErr w:type="spellStart"/>
      <w:r w:rsidRPr="00854C5A">
        <w:rPr>
          <w:rFonts w:eastAsia="Times New Roman"/>
          <w:noProof w:val="0"/>
          <w:color w:val="auto"/>
          <w:sz w:val="18"/>
          <w:szCs w:val="18"/>
          <w:lang w:eastAsia="en-US"/>
        </w:rPr>
        <w:t>Mahdizadeh,M</w:t>
      </w:r>
      <w:proofErr w:type="spellEnd"/>
      <w:r w:rsidRPr="00854C5A">
        <w:rPr>
          <w:rFonts w:eastAsia="Times New Roman"/>
          <w:noProof w:val="0"/>
          <w:color w:val="auto"/>
          <w:sz w:val="18"/>
          <w:szCs w:val="18"/>
          <w:lang w:eastAsia="en-US"/>
        </w:rPr>
        <w:t>.;</w:t>
      </w:r>
      <w:r>
        <w:rPr>
          <w:rFonts w:eastAsia="Times New Roman"/>
          <w:noProof w:val="0"/>
          <w:color w:val="auto"/>
          <w:sz w:val="18"/>
          <w:szCs w:val="18"/>
          <w:lang w:eastAsia="en-US"/>
        </w:rPr>
        <w:t xml:space="preserve"> </w:t>
      </w:r>
      <w:r w:rsidRPr="00854C5A">
        <w:rPr>
          <w:rFonts w:eastAsia="Times New Roman"/>
          <w:noProof w:val="0"/>
          <w:color w:val="auto"/>
          <w:sz w:val="18"/>
          <w:szCs w:val="18"/>
          <w:lang w:eastAsia="en-US"/>
        </w:rPr>
        <w:t>Russell, W. Initial Floristic Response to High Severity Wildfire in an Old-Growth Coast Redwood (</w:t>
      </w:r>
      <w:r w:rsidRPr="00854C5A">
        <w:rPr>
          <w:rFonts w:eastAsia="Times New Roman"/>
          <w:i/>
          <w:iCs/>
          <w:noProof w:val="0"/>
          <w:color w:val="auto"/>
          <w:sz w:val="18"/>
          <w:szCs w:val="18"/>
          <w:lang w:eastAsia="en-US"/>
        </w:rPr>
        <w:t xml:space="preserve">Sequoia sempervirens </w:t>
      </w:r>
      <w:r w:rsidRPr="00854C5A">
        <w:rPr>
          <w:rFonts w:eastAsia="Times New Roman"/>
          <w:noProof w:val="0"/>
          <w:color w:val="auto"/>
          <w:sz w:val="18"/>
          <w:szCs w:val="18"/>
          <w:lang w:eastAsia="en-US"/>
        </w:rPr>
        <w:t xml:space="preserve">(D. Don) </w:t>
      </w:r>
      <w:proofErr w:type="spellStart"/>
      <w:r w:rsidRPr="00854C5A">
        <w:rPr>
          <w:rFonts w:eastAsia="Times New Roman"/>
          <w:noProof w:val="0"/>
          <w:color w:val="auto"/>
          <w:sz w:val="18"/>
          <w:szCs w:val="18"/>
          <w:lang w:eastAsia="en-US"/>
        </w:rPr>
        <w:t>Endl</w:t>
      </w:r>
      <w:proofErr w:type="spellEnd"/>
      <w:r w:rsidRPr="00854C5A">
        <w:rPr>
          <w:rFonts w:eastAsia="Times New Roman"/>
          <w:noProof w:val="0"/>
          <w:color w:val="auto"/>
          <w:sz w:val="18"/>
          <w:szCs w:val="18"/>
          <w:lang w:eastAsia="en-US"/>
        </w:rPr>
        <w:t xml:space="preserve">.) Forest. </w:t>
      </w:r>
      <w:r w:rsidRPr="00854C5A">
        <w:rPr>
          <w:rFonts w:eastAsia="Times New Roman"/>
          <w:i/>
          <w:iCs/>
          <w:noProof w:val="0"/>
          <w:color w:val="auto"/>
          <w:sz w:val="18"/>
          <w:szCs w:val="18"/>
          <w:lang w:eastAsia="en-US"/>
        </w:rPr>
        <w:t xml:space="preserve">Forests </w:t>
      </w:r>
      <w:r w:rsidRPr="00854C5A">
        <w:rPr>
          <w:rFonts w:eastAsia="Times New Roman"/>
          <w:b/>
          <w:bCs/>
          <w:noProof w:val="0"/>
          <w:color w:val="auto"/>
          <w:sz w:val="18"/>
          <w:szCs w:val="18"/>
          <w:lang w:eastAsia="en-US"/>
        </w:rPr>
        <w:t>2021</w:t>
      </w:r>
      <w:r w:rsidRPr="00854C5A">
        <w:rPr>
          <w:rFonts w:eastAsia="Times New Roman"/>
          <w:noProof w:val="0"/>
          <w:color w:val="auto"/>
          <w:sz w:val="18"/>
          <w:szCs w:val="18"/>
          <w:lang w:eastAsia="en-US"/>
        </w:rPr>
        <w:t xml:space="preserve">, </w:t>
      </w:r>
      <w:r w:rsidRPr="00854C5A">
        <w:rPr>
          <w:rFonts w:eastAsia="Times New Roman"/>
          <w:i/>
          <w:iCs/>
          <w:noProof w:val="0"/>
          <w:color w:val="auto"/>
          <w:sz w:val="18"/>
          <w:szCs w:val="18"/>
          <w:lang w:eastAsia="en-US"/>
        </w:rPr>
        <w:t>12</w:t>
      </w:r>
      <w:r w:rsidRPr="00854C5A">
        <w:rPr>
          <w:rFonts w:eastAsia="Times New Roman"/>
          <w:noProof w:val="0"/>
          <w:color w:val="auto"/>
          <w:sz w:val="18"/>
          <w:szCs w:val="18"/>
          <w:lang w:eastAsia="en-US"/>
        </w:rPr>
        <w:t xml:space="preserve">,1135. </w:t>
      </w:r>
    </w:p>
    <w:p w14:paraId="48DECF8F" w14:textId="76CDB4ED" w:rsidR="00B25158" w:rsidRPr="00A73F28" w:rsidRDefault="00A73F28" w:rsidP="00A73F28">
      <w:pPr>
        <w:pStyle w:val="ListParagraph"/>
        <w:numPr>
          <w:ilvl w:val="0"/>
          <w:numId w:val="4"/>
        </w:numPr>
        <w:spacing w:before="100" w:beforeAutospacing="1" w:after="100" w:afterAutospacing="1" w:line="240" w:lineRule="auto"/>
        <w:ind w:left="778" w:hanging="418"/>
        <w:rPr>
          <w:rFonts w:eastAsia="Times New Roman"/>
          <w:noProof w:val="0"/>
          <w:color w:val="auto"/>
          <w:sz w:val="18"/>
          <w:szCs w:val="18"/>
          <w:lang w:eastAsia="en-US"/>
        </w:rPr>
      </w:pPr>
      <w:proofErr w:type="spellStart"/>
      <w:r w:rsidRPr="00A73F28">
        <w:rPr>
          <w:rFonts w:eastAsia="Times New Roman"/>
          <w:noProof w:val="0"/>
          <w:color w:val="auto"/>
          <w:sz w:val="18"/>
          <w:szCs w:val="18"/>
          <w:lang w:eastAsia="en-US"/>
        </w:rPr>
        <w:t>Pounden</w:t>
      </w:r>
      <w:proofErr w:type="spellEnd"/>
      <w:r w:rsidRPr="00A73F28">
        <w:rPr>
          <w:rFonts w:eastAsia="Times New Roman"/>
          <w:noProof w:val="0"/>
          <w:color w:val="auto"/>
          <w:sz w:val="18"/>
          <w:szCs w:val="18"/>
          <w:lang w:eastAsia="en-US"/>
        </w:rPr>
        <w:t xml:space="preserve">, E.; Greene, D.F.; </w:t>
      </w:r>
      <w:proofErr w:type="spellStart"/>
      <w:r w:rsidRPr="00A73F28">
        <w:rPr>
          <w:rFonts w:eastAsia="Times New Roman"/>
          <w:noProof w:val="0"/>
          <w:color w:val="auto"/>
          <w:sz w:val="18"/>
          <w:szCs w:val="18"/>
          <w:lang w:eastAsia="en-US"/>
        </w:rPr>
        <w:t>Michaletz</w:t>
      </w:r>
      <w:proofErr w:type="spellEnd"/>
      <w:r w:rsidRPr="00A73F28">
        <w:rPr>
          <w:rFonts w:eastAsia="Times New Roman"/>
          <w:noProof w:val="0"/>
          <w:color w:val="auto"/>
          <w:sz w:val="18"/>
          <w:szCs w:val="18"/>
          <w:lang w:eastAsia="en-US"/>
        </w:rPr>
        <w:t xml:space="preserve">, S.T. Non-serotinous woody plants behave as aerial seed bank species when a late-summer wildfire coincides with a mast year. </w:t>
      </w:r>
      <w:r w:rsidRPr="00A73F28">
        <w:rPr>
          <w:rFonts w:eastAsia="Times New Roman"/>
          <w:i/>
          <w:iCs/>
          <w:noProof w:val="0"/>
          <w:color w:val="auto"/>
          <w:sz w:val="18"/>
          <w:szCs w:val="18"/>
          <w:lang w:eastAsia="en-US"/>
        </w:rPr>
        <w:t xml:space="preserve">Ecol. </w:t>
      </w:r>
      <w:proofErr w:type="spellStart"/>
      <w:r w:rsidRPr="00A73F28">
        <w:rPr>
          <w:rFonts w:eastAsia="Times New Roman"/>
          <w:i/>
          <w:iCs/>
          <w:noProof w:val="0"/>
          <w:color w:val="auto"/>
          <w:sz w:val="18"/>
          <w:szCs w:val="18"/>
          <w:lang w:eastAsia="en-US"/>
        </w:rPr>
        <w:t>Evol</w:t>
      </w:r>
      <w:proofErr w:type="spellEnd"/>
      <w:r w:rsidRPr="00A73F28">
        <w:rPr>
          <w:rFonts w:eastAsia="Times New Roman"/>
          <w:i/>
          <w:iCs/>
          <w:noProof w:val="0"/>
          <w:color w:val="auto"/>
          <w:sz w:val="18"/>
          <w:szCs w:val="18"/>
          <w:lang w:eastAsia="en-US"/>
        </w:rPr>
        <w:t>.</w:t>
      </w:r>
      <w:r w:rsidRPr="00A73F28">
        <w:rPr>
          <w:rFonts w:eastAsia="Times New Roman"/>
          <w:noProof w:val="0"/>
          <w:color w:val="auto"/>
          <w:sz w:val="18"/>
          <w:szCs w:val="18"/>
          <w:lang w:eastAsia="en-US"/>
        </w:rPr>
        <w:t xml:space="preserve"> </w:t>
      </w:r>
      <w:r w:rsidRPr="00A73F28">
        <w:rPr>
          <w:rFonts w:eastAsia="Times New Roman"/>
          <w:b/>
          <w:bCs/>
          <w:noProof w:val="0"/>
          <w:color w:val="auto"/>
          <w:sz w:val="18"/>
          <w:szCs w:val="18"/>
          <w:lang w:eastAsia="en-US"/>
        </w:rPr>
        <w:t>2014</w:t>
      </w:r>
      <w:r w:rsidRPr="00A73F28">
        <w:rPr>
          <w:rFonts w:eastAsia="Times New Roman"/>
          <w:noProof w:val="0"/>
          <w:color w:val="auto"/>
          <w:sz w:val="18"/>
          <w:szCs w:val="18"/>
          <w:lang w:eastAsia="en-US"/>
        </w:rPr>
        <w:t xml:space="preserve">, </w:t>
      </w:r>
      <w:r w:rsidRPr="00A73F28">
        <w:rPr>
          <w:rFonts w:eastAsia="Times New Roman"/>
          <w:i/>
          <w:iCs/>
          <w:noProof w:val="0"/>
          <w:color w:val="auto"/>
          <w:sz w:val="18"/>
          <w:szCs w:val="18"/>
          <w:lang w:eastAsia="en-US"/>
        </w:rPr>
        <w:t>4</w:t>
      </w:r>
      <w:r w:rsidRPr="00A73F28">
        <w:rPr>
          <w:rFonts w:eastAsia="Times New Roman"/>
          <w:noProof w:val="0"/>
          <w:color w:val="auto"/>
          <w:sz w:val="18"/>
          <w:szCs w:val="18"/>
          <w:lang w:eastAsia="en-US"/>
        </w:rPr>
        <w:t xml:space="preserve">, 3830-3840. </w:t>
      </w:r>
    </w:p>
    <w:p w14:paraId="4CA2E754" w14:textId="3D0517B6" w:rsidR="00A73F28" w:rsidRPr="00A73F28" w:rsidRDefault="00A73F28" w:rsidP="00A73F28">
      <w:pPr>
        <w:pStyle w:val="ListParagraph"/>
        <w:numPr>
          <w:ilvl w:val="0"/>
          <w:numId w:val="4"/>
        </w:numPr>
        <w:spacing w:before="100" w:beforeAutospacing="1" w:after="100" w:afterAutospacing="1" w:line="240" w:lineRule="auto"/>
        <w:ind w:left="778" w:hanging="418"/>
        <w:rPr>
          <w:rFonts w:eastAsia="Times New Roman"/>
          <w:noProof w:val="0"/>
          <w:color w:val="auto"/>
          <w:sz w:val="18"/>
          <w:szCs w:val="18"/>
          <w:lang w:eastAsia="en-US"/>
        </w:rPr>
      </w:pPr>
      <w:r w:rsidRPr="00A73F28">
        <w:rPr>
          <w:rFonts w:eastAsia="TimesNewRomanPSMT"/>
          <w:noProof w:val="0"/>
          <w:color w:val="auto"/>
          <w:sz w:val="18"/>
          <w:szCs w:val="18"/>
          <w:lang w:eastAsia="en-US"/>
        </w:rPr>
        <w:lastRenderedPageBreak/>
        <w:t>Hanson, C.T.</w:t>
      </w:r>
      <w:r>
        <w:rPr>
          <w:rFonts w:eastAsia="TimesNewRomanPSMT"/>
          <w:noProof w:val="0"/>
          <w:color w:val="auto"/>
          <w:sz w:val="18"/>
          <w:szCs w:val="18"/>
          <w:lang w:eastAsia="en-US"/>
        </w:rPr>
        <w:t xml:space="preserve">; </w:t>
      </w:r>
      <w:r w:rsidRPr="00A73F28">
        <w:rPr>
          <w:rFonts w:eastAsia="TimesNewRomanPSMT"/>
          <w:noProof w:val="0"/>
          <w:color w:val="auto"/>
          <w:sz w:val="18"/>
          <w:szCs w:val="18"/>
          <w:lang w:eastAsia="en-US"/>
        </w:rPr>
        <w:t>Chi</w:t>
      </w:r>
      <w:r>
        <w:rPr>
          <w:rFonts w:eastAsia="TimesNewRomanPSMT"/>
          <w:noProof w:val="0"/>
          <w:color w:val="auto"/>
          <w:sz w:val="18"/>
          <w:szCs w:val="18"/>
          <w:lang w:eastAsia="en-US"/>
        </w:rPr>
        <w:t>, T.Y</w:t>
      </w:r>
      <w:r w:rsidRPr="00A73F28">
        <w:rPr>
          <w:rFonts w:eastAsia="TimesNewRomanPSMT"/>
          <w:noProof w:val="0"/>
          <w:color w:val="auto"/>
          <w:sz w:val="18"/>
          <w:szCs w:val="18"/>
          <w:lang w:eastAsia="en-US"/>
        </w:rPr>
        <w:t xml:space="preserve">. Impacts of postfire management are unjustified in spotted owl habitat. </w:t>
      </w:r>
      <w:r w:rsidRPr="00A73F28">
        <w:rPr>
          <w:rFonts w:eastAsia="TimesNewRomanPSMT"/>
          <w:i/>
          <w:iCs/>
          <w:noProof w:val="0"/>
          <w:color w:val="auto"/>
          <w:sz w:val="18"/>
          <w:szCs w:val="18"/>
          <w:lang w:eastAsia="en-US"/>
        </w:rPr>
        <w:t>Frontiers Ecol</w:t>
      </w:r>
      <w:r>
        <w:rPr>
          <w:rFonts w:eastAsia="TimesNewRomanPSMT"/>
          <w:i/>
          <w:iCs/>
          <w:noProof w:val="0"/>
          <w:color w:val="auto"/>
          <w:sz w:val="18"/>
          <w:szCs w:val="18"/>
          <w:lang w:eastAsia="en-US"/>
        </w:rPr>
        <w:t xml:space="preserve">. </w:t>
      </w:r>
      <w:proofErr w:type="spellStart"/>
      <w:r w:rsidRPr="00A73F28">
        <w:rPr>
          <w:rFonts w:eastAsia="TimesNewRomanPSMT"/>
          <w:i/>
          <w:iCs/>
          <w:noProof w:val="0"/>
          <w:color w:val="auto"/>
          <w:sz w:val="18"/>
          <w:szCs w:val="18"/>
          <w:lang w:eastAsia="en-US"/>
        </w:rPr>
        <w:t>Evol</w:t>
      </w:r>
      <w:proofErr w:type="spellEnd"/>
      <w:r>
        <w:rPr>
          <w:rFonts w:eastAsia="TimesNewRomanPSMT"/>
          <w:i/>
          <w:iCs/>
          <w:noProof w:val="0"/>
          <w:color w:val="auto"/>
          <w:sz w:val="18"/>
          <w:szCs w:val="18"/>
          <w:lang w:eastAsia="en-US"/>
        </w:rPr>
        <w:t>.</w:t>
      </w:r>
      <w:r>
        <w:rPr>
          <w:rFonts w:eastAsia="TimesNewRomanPSMT"/>
          <w:noProof w:val="0"/>
          <w:color w:val="auto"/>
          <w:sz w:val="18"/>
          <w:szCs w:val="18"/>
          <w:lang w:eastAsia="en-US"/>
        </w:rPr>
        <w:t xml:space="preserve"> </w:t>
      </w:r>
      <w:r w:rsidRPr="00A73F28">
        <w:rPr>
          <w:rFonts w:eastAsia="TimesNewRomanPSMT"/>
          <w:b/>
          <w:bCs/>
          <w:noProof w:val="0"/>
          <w:color w:val="auto"/>
          <w:sz w:val="18"/>
          <w:szCs w:val="18"/>
          <w:lang w:eastAsia="en-US"/>
        </w:rPr>
        <w:t>2021</w:t>
      </w:r>
      <w:r>
        <w:rPr>
          <w:rFonts w:eastAsia="TimesNewRomanPSMT"/>
          <w:noProof w:val="0"/>
          <w:color w:val="auto"/>
          <w:sz w:val="18"/>
          <w:szCs w:val="18"/>
          <w:lang w:eastAsia="en-US"/>
        </w:rPr>
        <w:t>,</w:t>
      </w:r>
      <w:r w:rsidRPr="00A73F28">
        <w:rPr>
          <w:rFonts w:eastAsia="TimesNewRomanPSMT"/>
          <w:noProof w:val="0"/>
          <w:color w:val="auto"/>
          <w:sz w:val="18"/>
          <w:szCs w:val="18"/>
          <w:lang w:eastAsia="en-US"/>
        </w:rPr>
        <w:t xml:space="preserve"> </w:t>
      </w:r>
      <w:r w:rsidRPr="00A73F28">
        <w:rPr>
          <w:rFonts w:eastAsia="Times New Roman"/>
          <w:i/>
          <w:iCs/>
          <w:noProof w:val="0"/>
          <w:color w:val="auto"/>
          <w:sz w:val="18"/>
          <w:szCs w:val="18"/>
          <w:lang w:eastAsia="en-US"/>
        </w:rPr>
        <w:t>9</w:t>
      </w:r>
      <w:r>
        <w:rPr>
          <w:rFonts w:eastAsia="TimesNewRomanPSMT" w:cs="TimesNewRomanPSMT"/>
          <w:noProof w:val="0"/>
          <w:color w:val="auto"/>
          <w:sz w:val="18"/>
          <w:szCs w:val="18"/>
          <w:lang w:eastAsia="en-US"/>
        </w:rPr>
        <w:t>,</w:t>
      </w:r>
      <w:r w:rsidRPr="00A73F28">
        <w:rPr>
          <w:rFonts w:eastAsia="TimesNewRomanPSMT" w:cs="TimesNewRomanPSMT"/>
          <w:noProof w:val="0"/>
          <w:color w:val="auto"/>
          <w:sz w:val="18"/>
          <w:szCs w:val="18"/>
          <w:lang w:eastAsia="en-US"/>
        </w:rPr>
        <w:t xml:space="preserve"> Article 596282. </w:t>
      </w:r>
    </w:p>
    <w:sectPr w:rsidR="00A73F28" w:rsidRPr="00A73F28" w:rsidSect="006E1EFA">
      <w:headerReference w:type="even" r:id="rId9"/>
      <w:headerReference w:type="default" r:id="rId10"/>
      <w:footerReference w:type="default" r:id="rId11"/>
      <w:headerReference w:type="first" r:id="rId12"/>
      <w:footerReference w:type="first" r:id="rId13"/>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179BF" w14:textId="77777777" w:rsidR="005C5E00" w:rsidRDefault="005C5E00">
      <w:pPr>
        <w:spacing w:line="240" w:lineRule="auto"/>
      </w:pPr>
      <w:r>
        <w:separator/>
      </w:r>
    </w:p>
  </w:endnote>
  <w:endnote w:type="continuationSeparator" w:id="0">
    <w:p w14:paraId="6A6FA44E" w14:textId="77777777" w:rsidR="005C5E00" w:rsidRDefault="005C5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80"/>
    <w:family w:val="auto"/>
    <w:notTrueType/>
    <w:pitch w:val="default"/>
    <w:sig w:usb0="00002A87" w:usb1="08070000" w:usb2="00000010" w:usb3="00000000" w:csb0="0002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B4EA" w14:textId="77777777" w:rsidR="00564F1E" w:rsidRPr="0074274C" w:rsidRDefault="00564F1E" w:rsidP="00564F1E">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C2A6" w14:textId="77777777" w:rsidR="005C649A" w:rsidRDefault="005C649A" w:rsidP="00007244">
    <w:pPr>
      <w:pStyle w:val="MDPIfooterfirstpage"/>
      <w:pBdr>
        <w:top w:val="single" w:sz="4" w:space="0" w:color="000000"/>
      </w:pBdr>
      <w:adjustRightInd w:val="0"/>
      <w:snapToGrid w:val="0"/>
      <w:spacing w:before="480" w:line="100" w:lineRule="exact"/>
      <w:rPr>
        <w:i/>
        <w:szCs w:val="16"/>
      </w:rPr>
    </w:pPr>
  </w:p>
  <w:p w14:paraId="7B6D265B" w14:textId="480EE549" w:rsidR="00564F1E" w:rsidRPr="008B308E" w:rsidRDefault="00564F1E" w:rsidP="00066958">
    <w:pPr>
      <w:pStyle w:val="MDPIfooterfirstpage"/>
      <w:tabs>
        <w:tab w:val="clear" w:pos="8845"/>
        <w:tab w:val="right" w:pos="10466"/>
      </w:tabs>
      <w:spacing w:line="240" w:lineRule="auto"/>
      <w:jc w:val="both"/>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A61BF" w14:textId="77777777" w:rsidR="005C5E00" w:rsidRDefault="005C5E00">
      <w:pPr>
        <w:spacing w:line="240" w:lineRule="auto"/>
      </w:pPr>
      <w:r>
        <w:separator/>
      </w:r>
    </w:p>
  </w:footnote>
  <w:footnote w:type="continuationSeparator" w:id="0">
    <w:p w14:paraId="13BB9061" w14:textId="77777777" w:rsidR="005C5E00" w:rsidRDefault="005C5E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3E9AC" w14:textId="77777777" w:rsidR="00564F1E" w:rsidRDefault="00564F1E" w:rsidP="00564F1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9A45" w14:textId="3438ADF3" w:rsidR="005C649A" w:rsidRDefault="00880BDA" w:rsidP="00066958">
    <w:pPr>
      <w:tabs>
        <w:tab w:val="right" w:pos="10466"/>
      </w:tabs>
      <w:adjustRightInd w:val="0"/>
      <w:snapToGrid w:val="0"/>
      <w:spacing w:line="240" w:lineRule="auto"/>
      <w:rPr>
        <w:sz w:val="16"/>
      </w:rPr>
    </w:pPr>
    <w:r>
      <w:rPr>
        <w:i/>
        <w:sz w:val="16"/>
      </w:rPr>
      <w:t xml:space="preserve"> </w:t>
    </w:r>
    <w:r>
      <w:rPr>
        <w:b/>
        <w:sz w:val="16"/>
      </w:rPr>
      <w:t xml:space="preserve"> </w:t>
    </w:r>
    <w:r w:rsidR="00066958">
      <w:rPr>
        <w:sz w:val="16"/>
      </w:rPr>
      <w:tab/>
    </w:r>
    <w:r w:rsidR="00260F53">
      <w:rPr>
        <w:sz w:val="16"/>
      </w:rPr>
      <w:fldChar w:fldCharType="begin"/>
    </w:r>
    <w:r w:rsidR="00260F53">
      <w:rPr>
        <w:sz w:val="16"/>
      </w:rPr>
      <w:instrText xml:space="preserve"> PAGE   \* MERGEFORMAT </w:instrText>
    </w:r>
    <w:r w:rsidR="00260F53">
      <w:rPr>
        <w:sz w:val="16"/>
      </w:rPr>
      <w:fldChar w:fldCharType="separate"/>
    </w:r>
    <w:r w:rsidR="00CE5CDF">
      <w:rPr>
        <w:sz w:val="16"/>
      </w:rPr>
      <w:t>5</w:t>
    </w:r>
    <w:r w:rsidR="00260F53">
      <w:rPr>
        <w:sz w:val="16"/>
      </w:rPr>
      <w:fldChar w:fldCharType="end"/>
    </w:r>
    <w:r w:rsidR="00260F53">
      <w:rPr>
        <w:sz w:val="16"/>
      </w:rPr>
      <w:t xml:space="preserve"> of </w:t>
    </w:r>
    <w:r w:rsidR="00260F53">
      <w:rPr>
        <w:sz w:val="16"/>
      </w:rPr>
      <w:fldChar w:fldCharType="begin"/>
    </w:r>
    <w:r w:rsidR="00260F53">
      <w:rPr>
        <w:sz w:val="16"/>
      </w:rPr>
      <w:instrText xml:space="preserve"> NUMPAGES   \* MERGEFORMAT </w:instrText>
    </w:r>
    <w:r w:rsidR="00260F53">
      <w:rPr>
        <w:sz w:val="16"/>
      </w:rPr>
      <w:fldChar w:fldCharType="separate"/>
    </w:r>
    <w:r w:rsidR="00CE5CDF">
      <w:rPr>
        <w:sz w:val="16"/>
      </w:rPr>
      <w:t>5</w:t>
    </w:r>
    <w:r w:rsidR="00260F53">
      <w:rPr>
        <w:sz w:val="16"/>
      </w:rPr>
      <w:fldChar w:fldCharType="end"/>
    </w:r>
  </w:p>
  <w:p w14:paraId="68EA1963" w14:textId="77777777" w:rsidR="00564F1E" w:rsidRPr="00E439CF" w:rsidRDefault="00564F1E" w:rsidP="0000724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5C649A" w:rsidRPr="00066958" w14:paraId="25B1D826" w14:textId="77777777" w:rsidTr="00843474">
      <w:trPr>
        <w:trHeight w:val="686"/>
      </w:trPr>
      <w:tc>
        <w:tcPr>
          <w:tcW w:w="3679" w:type="dxa"/>
          <w:shd w:val="clear" w:color="auto" w:fill="auto"/>
          <w:vAlign w:val="center"/>
        </w:tcPr>
        <w:p w14:paraId="42C10E0F" w14:textId="42F14437" w:rsidR="005C649A" w:rsidRPr="00CF7843" w:rsidRDefault="005C649A" w:rsidP="00066958">
          <w:pPr>
            <w:pStyle w:val="Header"/>
            <w:pBdr>
              <w:bottom w:val="none" w:sz="0" w:space="0" w:color="auto"/>
            </w:pBdr>
            <w:jc w:val="left"/>
            <w:rPr>
              <w:rFonts w:eastAsia="DengXian"/>
              <w:b/>
              <w:bCs/>
            </w:rPr>
          </w:pPr>
        </w:p>
      </w:tc>
      <w:tc>
        <w:tcPr>
          <w:tcW w:w="4535" w:type="dxa"/>
          <w:shd w:val="clear" w:color="auto" w:fill="auto"/>
          <w:vAlign w:val="center"/>
        </w:tcPr>
        <w:p w14:paraId="03452853" w14:textId="77777777" w:rsidR="005C649A" w:rsidRPr="00CF7843" w:rsidRDefault="005C649A" w:rsidP="00066958">
          <w:pPr>
            <w:pStyle w:val="Header"/>
            <w:pBdr>
              <w:bottom w:val="none" w:sz="0" w:space="0" w:color="auto"/>
            </w:pBdr>
            <w:rPr>
              <w:rFonts w:eastAsia="DengXian"/>
              <w:b/>
              <w:bCs/>
            </w:rPr>
          </w:pPr>
        </w:p>
      </w:tc>
      <w:tc>
        <w:tcPr>
          <w:tcW w:w="2273" w:type="dxa"/>
          <w:shd w:val="clear" w:color="auto" w:fill="auto"/>
          <w:vAlign w:val="center"/>
        </w:tcPr>
        <w:p w14:paraId="0F28A796" w14:textId="3CD2B976" w:rsidR="005C649A" w:rsidRPr="00CF7843" w:rsidRDefault="005C649A" w:rsidP="00843474">
          <w:pPr>
            <w:pStyle w:val="Header"/>
            <w:pBdr>
              <w:bottom w:val="none" w:sz="0" w:space="0" w:color="auto"/>
            </w:pBdr>
            <w:jc w:val="right"/>
            <w:rPr>
              <w:rFonts w:eastAsia="DengXian"/>
              <w:b/>
              <w:bCs/>
            </w:rPr>
          </w:pPr>
        </w:p>
      </w:tc>
    </w:tr>
  </w:tbl>
  <w:p w14:paraId="32BDEC31" w14:textId="77777777" w:rsidR="00564F1E" w:rsidRPr="005C649A" w:rsidRDefault="00564F1E" w:rsidP="0000724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3121A"/>
    <w:multiLevelType w:val="multilevel"/>
    <w:tmpl w:val="65921B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8B468F5"/>
    <w:multiLevelType w:val="hybridMultilevel"/>
    <w:tmpl w:val="EF88C194"/>
    <w:lvl w:ilvl="0" w:tplc="313054F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444C4E6D"/>
    <w:multiLevelType w:val="hybridMultilevel"/>
    <w:tmpl w:val="09042B84"/>
    <w:lvl w:ilvl="0" w:tplc="99000758">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945F8"/>
    <w:multiLevelType w:val="hybridMultilevel"/>
    <w:tmpl w:val="F40ADC8A"/>
    <w:lvl w:ilvl="0" w:tplc="91B44680">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6A0F68"/>
    <w:multiLevelType w:val="multilevel"/>
    <w:tmpl w:val="83526A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4EED2B8B"/>
    <w:multiLevelType w:val="multilevel"/>
    <w:tmpl w:val="675A40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F8437F7"/>
    <w:multiLevelType w:val="multilevel"/>
    <w:tmpl w:val="5D88B6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51DB1300"/>
    <w:multiLevelType w:val="multilevel"/>
    <w:tmpl w:val="3E56CDB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5" w15:restartNumberingAfterBreak="0">
    <w:nsid w:val="5ACA4F38"/>
    <w:multiLevelType w:val="hybridMultilevel"/>
    <w:tmpl w:val="C81A1AE8"/>
    <w:lvl w:ilvl="0" w:tplc="EC38BE6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6" w15:restartNumberingAfterBreak="0">
    <w:nsid w:val="5D5B237B"/>
    <w:multiLevelType w:val="multilevel"/>
    <w:tmpl w:val="99E0D2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670AFE"/>
    <w:multiLevelType w:val="multilevel"/>
    <w:tmpl w:val="B7FAA2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471940185">
    <w:abstractNumId w:val="4"/>
  </w:num>
  <w:num w:numId="2" w16cid:durableId="1546209493">
    <w:abstractNumId w:val="6"/>
  </w:num>
  <w:num w:numId="3" w16cid:durableId="981499250">
    <w:abstractNumId w:val="3"/>
  </w:num>
  <w:num w:numId="4" w16cid:durableId="1022903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04349">
    <w:abstractNumId w:val="5"/>
  </w:num>
  <w:num w:numId="6" w16cid:durableId="128983760">
    <w:abstractNumId w:val="14"/>
  </w:num>
  <w:num w:numId="7" w16cid:durableId="1049839219">
    <w:abstractNumId w:val="2"/>
  </w:num>
  <w:num w:numId="8" w16cid:durableId="862938472">
    <w:abstractNumId w:val="14"/>
  </w:num>
  <w:num w:numId="9" w16cid:durableId="1428504232">
    <w:abstractNumId w:val="2"/>
  </w:num>
  <w:num w:numId="10" w16cid:durableId="1314526321">
    <w:abstractNumId w:val="14"/>
  </w:num>
  <w:num w:numId="11" w16cid:durableId="1012757057">
    <w:abstractNumId w:val="2"/>
  </w:num>
  <w:num w:numId="12" w16cid:durableId="1234506199">
    <w:abstractNumId w:val="17"/>
  </w:num>
  <w:num w:numId="13" w16cid:durableId="125123648">
    <w:abstractNumId w:val="14"/>
  </w:num>
  <w:num w:numId="14" w16cid:durableId="1621378634">
    <w:abstractNumId w:val="2"/>
  </w:num>
  <w:num w:numId="15" w16cid:durableId="612126892">
    <w:abstractNumId w:val="1"/>
  </w:num>
  <w:num w:numId="16" w16cid:durableId="734399283">
    <w:abstractNumId w:val="13"/>
  </w:num>
  <w:num w:numId="17" w16cid:durableId="1347365042">
    <w:abstractNumId w:val="1"/>
  </w:num>
  <w:num w:numId="18" w16cid:durableId="224992431">
    <w:abstractNumId w:val="14"/>
  </w:num>
  <w:num w:numId="19" w16cid:durableId="815416907">
    <w:abstractNumId w:val="2"/>
  </w:num>
  <w:num w:numId="20" w16cid:durableId="479199771">
    <w:abstractNumId w:val="1"/>
  </w:num>
  <w:num w:numId="21" w16cid:durableId="12610237">
    <w:abstractNumId w:val="7"/>
  </w:num>
  <w:num w:numId="22" w16cid:durableId="30738218">
    <w:abstractNumId w:val="15"/>
  </w:num>
  <w:num w:numId="23" w16cid:durableId="1292830749">
    <w:abstractNumId w:val="8"/>
  </w:num>
  <w:num w:numId="24" w16cid:durableId="2116628296">
    <w:abstractNumId w:val="12"/>
  </w:num>
  <w:num w:numId="25" w16cid:durableId="1360739529">
    <w:abstractNumId w:val="11"/>
  </w:num>
  <w:num w:numId="26" w16cid:durableId="935331146">
    <w:abstractNumId w:val="9"/>
  </w:num>
  <w:num w:numId="27" w16cid:durableId="882138228">
    <w:abstractNumId w:val="16"/>
  </w:num>
  <w:num w:numId="28" w16cid:durableId="2105227290">
    <w:abstractNumId w:val="10"/>
  </w:num>
  <w:num w:numId="29" w16cid:durableId="1503424564">
    <w:abstractNumId w:val="18"/>
  </w:num>
  <w:num w:numId="30" w16cid:durableId="63622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oNotDisplayPageBoundaries/>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43"/>
    <w:rsid w:val="00007244"/>
    <w:rsid w:val="0001490C"/>
    <w:rsid w:val="000448FA"/>
    <w:rsid w:val="000522E2"/>
    <w:rsid w:val="0005407A"/>
    <w:rsid w:val="00063918"/>
    <w:rsid w:val="00066958"/>
    <w:rsid w:val="00075D86"/>
    <w:rsid w:val="00096A7C"/>
    <w:rsid w:val="000B690E"/>
    <w:rsid w:val="000C1F49"/>
    <w:rsid w:val="000C63B0"/>
    <w:rsid w:val="000E75BF"/>
    <w:rsid w:val="000F457F"/>
    <w:rsid w:val="000F52F1"/>
    <w:rsid w:val="00104410"/>
    <w:rsid w:val="00116396"/>
    <w:rsid w:val="001526ED"/>
    <w:rsid w:val="001678C8"/>
    <w:rsid w:val="00195FBC"/>
    <w:rsid w:val="001B510F"/>
    <w:rsid w:val="001D53A1"/>
    <w:rsid w:val="001E137E"/>
    <w:rsid w:val="001E2AEB"/>
    <w:rsid w:val="001F28C7"/>
    <w:rsid w:val="001F2DF1"/>
    <w:rsid w:val="00205D96"/>
    <w:rsid w:val="00215898"/>
    <w:rsid w:val="002208D8"/>
    <w:rsid w:val="00223DBF"/>
    <w:rsid w:val="00241698"/>
    <w:rsid w:val="00242E40"/>
    <w:rsid w:val="00243CAD"/>
    <w:rsid w:val="00260F53"/>
    <w:rsid w:val="00276443"/>
    <w:rsid w:val="0028378F"/>
    <w:rsid w:val="00290B81"/>
    <w:rsid w:val="002D2E6A"/>
    <w:rsid w:val="002F052C"/>
    <w:rsid w:val="00326141"/>
    <w:rsid w:val="003264CD"/>
    <w:rsid w:val="003717C1"/>
    <w:rsid w:val="00372CAB"/>
    <w:rsid w:val="00375766"/>
    <w:rsid w:val="003953EA"/>
    <w:rsid w:val="003A4903"/>
    <w:rsid w:val="003C7A2C"/>
    <w:rsid w:val="003C7E21"/>
    <w:rsid w:val="003D38A7"/>
    <w:rsid w:val="003E4E72"/>
    <w:rsid w:val="003F79C9"/>
    <w:rsid w:val="00401D30"/>
    <w:rsid w:val="00414688"/>
    <w:rsid w:val="00467272"/>
    <w:rsid w:val="004724BD"/>
    <w:rsid w:val="00482160"/>
    <w:rsid w:val="00482CC1"/>
    <w:rsid w:val="004925E4"/>
    <w:rsid w:val="004A526C"/>
    <w:rsid w:val="004B65A0"/>
    <w:rsid w:val="004C4420"/>
    <w:rsid w:val="004D51A0"/>
    <w:rsid w:val="004E4FC8"/>
    <w:rsid w:val="004F370E"/>
    <w:rsid w:val="005026E3"/>
    <w:rsid w:val="00527464"/>
    <w:rsid w:val="00535682"/>
    <w:rsid w:val="00541046"/>
    <w:rsid w:val="005639C1"/>
    <w:rsid w:val="00564F1E"/>
    <w:rsid w:val="00581EBD"/>
    <w:rsid w:val="00594390"/>
    <w:rsid w:val="005B04D1"/>
    <w:rsid w:val="005B1269"/>
    <w:rsid w:val="005C5E00"/>
    <w:rsid w:val="005C649A"/>
    <w:rsid w:val="005C7409"/>
    <w:rsid w:val="005D590D"/>
    <w:rsid w:val="005D7D40"/>
    <w:rsid w:val="005E29AC"/>
    <w:rsid w:val="005F5682"/>
    <w:rsid w:val="0060130B"/>
    <w:rsid w:val="006222C7"/>
    <w:rsid w:val="006306D0"/>
    <w:rsid w:val="00632DF6"/>
    <w:rsid w:val="006468B9"/>
    <w:rsid w:val="0066024C"/>
    <w:rsid w:val="00664321"/>
    <w:rsid w:val="00692393"/>
    <w:rsid w:val="006A5308"/>
    <w:rsid w:val="006A69FB"/>
    <w:rsid w:val="006A71F3"/>
    <w:rsid w:val="006C5087"/>
    <w:rsid w:val="006D46FD"/>
    <w:rsid w:val="006E1EFA"/>
    <w:rsid w:val="006E5DC0"/>
    <w:rsid w:val="006F66AA"/>
    <w:rsid w:val="006F7377"/>
    <w:rsid w:val="007116EA"/>
    <w:rsid w:val="00723985"/>
    <w:rsid w:val="00733362"/>
    <w:rsid w:val="00736BC1"/>
    <w:rsid w:val="007677F4"/>
    <w:rsid w:val="00782395"/>
    <w:rsid w:val="0079001F"/>
    <w:rsid w:val="007A6428"/>
    <w:rsid w:val="007B1499"/>
    <w:rsid w:val="007B4DDF"/>
    <w:rsid w:val="007D0374"/>
    <w:rsid w:val="007F524C"/>
    <w:rsid w:val="0080035A"/>
    <w:rsid w:val="00800F09"/>
    <w:rsid w:val="00801529"/>
    <w:rsid w:val="00816E83"/>
    <w:rsid w:val="008202BB"/>
    <w:rsid w:val="008424C4"/>
    <w:rsid w:val="00843474"/>
    <w:rsid w:val="0085159E"/>
    <w:rsid w:val="00854C5A"/>
    <w:rsid w:val="008607CE"/>
    <w:rsid w:val="00863451"/>
    <w:rsid w:val="0086465C"/>
    <w:rsid w:val="00880BDA"/>
    <w:rsid w:val="008D7541"/>
    <w:rsid w:val="008E0FCD"/>
    <w:rsid w:val="008E110D"/>
    <w:rsid w:val="008E4E3A"/>
    <w:rsid w:val="008E73C6"/>
    <w:rsid w:val="008F0F5F"/>
    <w:rsid w:val="00900E17"/>
    <w:rsid w:val="00907688"/>
    <w:rsid w:val="009226EF"/>
    <w:rsid w:val="00942CAA"/>
    <w:rsid w:val="00961A28"/>
    <w:rsid w:val="00970A04"/>
    <w:rsid w:val="00970F3C"/>
    <w:rsid w:val="009A300F"/>
    <w:rsid w:val="009A6495"/>
    <w:rsid w:val="009A67B9"/>
    <w:rsid w:val="009B3BA6"/>
    <w:rsid w:val="009E252C"/>
    <w:rsid w:val="009F70E6"/>
    <w:rsid w:val="00A0379A"/>
    <w:rsid w:val="00A04713"/>
    <w:rsid w:val="00A21CA8"/>
    <w:rsid w:val="00A5284A"/>
    <w:rsid w:val="00A64288"/>
    <w:rsid w:val="00A73F28"/>
    <w:rsid w:val="00A81300"/>
    <w:rsid w:val="00A97E67"/>
    <w:rsid w:val="00AB31BB"/>
    <w:rsid w:val="00AB38B1"/>
    <w:rsid w:val="00AB39BB"/>
    <w:rsid w:val="00B0778A"/>
    <w:rsid w:val="00B25158"/>
    <w:rsid w:val="00B41169"/>
    <w:rsid w:val="00B464C6"/>
    <w:rsid w:val="00B81514"/>
    <w:rsid w:val="00B93CB7"/>
    <w:rsid w:val="00BA2BBF"/>
    <w:rsid w:val="00BB20B7"/>
    <w:rsid w:val="00BD1250"/>
    <w:rsid w:val="00C00D57"/>
    <w:rsid w:val="00C01EF9"/>
    <w:rsid w:val="00C02203"/>
    <w:rsid w:val="00C10E51"/>
    <w:rsid w:val="00C17593"/>
    <w:rsid w:val="00C26973"/>
    <w:rsid w:val="00C26BBE"/>
    <w:rsid w:val="00C31145"/>
    <w:rsid w:val="00C53B7C"/>
    <w:rsid w:val="00C57FC9"/>
    <w:rsid w:val="00C732A9"/>
    <w:rsid w:val="00C97679"/>
    <w:rsid w:val="00CA1DBE"/>
    <w:rsid w:val="00CA643B"/>
    <w:rsid w:val="00CB1618"/>
    <w:rsid w:val="00CE34C6"/>
    <w:rsid w:val="00CE3AEE"/>
    <w:rsid w:val="00CE4358"/>
    <w:rsid w:val="00CE5CDF"/>
    <w:rsid w:val="00CF7843"/>
    <w:rsid w:val="00D2613E"/>
    <w:rsid w:val="00D53703"/>
    <w:rsid w:val="00D568C1"/>
    <w:rsid w:val="00D64F2A"/>
    <w:rsid w:val="00D7560C"/>
    <w:rsid w:val="00D7725D"/>
    <w:rsid w:val="00D9190E"/>
    <w:rsid w:val="00D91B23"/>
    <w:rsid w:val="00DC48E1"/>
    <w:rsid w:val="00DD1ABB"/>
    <w:rsid w:val="00DD4DBC"/>
    <w:rsid w:val="00DE7B0C"/>
    <w:rsid w:val="00DF26EE"/>
    <w:rsid w:val="00DF47D4"/>
    <w:rsid w:val="00E01DB2"/>
    <w:rsid w:val="00E03826"/>
    <w:rsid w:val="00E213D8"/>
    <w:rsid w:val="00E33373"/>
    <w:rsid w:val="00E422E1"/>
    <w:rsid w:val="00E511B1"/>
    <w:rsid w:val="00E51C1E"/>
    <w:rsid w:val="00E95B00"/>
    <w:rsid w:val="00EB2DB3"/>
    <w:rsid w:val="00EB75BA"/>
    <w:rsid w:val="00EC560C"/>
    <w:rsid w:val="00F03C4D"/>
    <w:rsid w:val="00F107CE"/>
    <w:rsid w:val="00F23F45"/>
    <w:rsid w:val="00F2581C"/>
    <w:rsid w:val="00F4221B"/>
    <w:rsid w:val="00F455BB"/>
    <w:rsid w:val="00F46849"/>
    <w:rsid w:val="00F739E9"/>
    <w:rsid w:val="00FD06BF"/>
    <w:rsid w:val="00FE1E41"/>
    <w:rsid w:val="00FE677B"/>
    <w:rsid w:val="00FF724F"/>
    <w:rsid w:val="00FF79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91D34"/>
  <w15:chartTrackingRefBased/>
  <w15:docId w15:val="{8B540DF6-0931-C745-AE43-2AFD2A59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158"/>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B25158"/>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B25158"/>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B25158"/>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B25158"/>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B25158"/>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B25158"/>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B25158"/>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B25158"/>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664321"/>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B25158"/>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25158"/>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B25158"/>
    <w:rPr>
      <w:rFonts w:ascii="Palatino Linotype" w:hAnsi="Palatino Linotype"/>
      <w:noProof/>
      <w:color w:val="000000"/>
      <w:szCs w:val="18"/>
    </w:rPr>
  </w:style>
  <w:style w:type="paragraph" w:styleId="Header">
    <w:name w:val="header"/>
    <w:basedOn w:val="Normal"/>
    <w:link w:val="HeaderChar"/>
    <w:uiPriority w:val="99"/>
    <w:rsid w:val="00B25158"/>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B25158"/>
    <w:rPr>
      <w:rFonts w:ascii="Palatino Linotype" w:hAnsi="Palatino Linotype"/>
      <w:noProof/>
      <w:color w:val="000000"/>
      <w:szCs w:val="18"/>
    </w:rPr>
  </w:style>
  <w:style w:type="paragraph" w:customStyle="1" w:styleId="MDPIheaderjournallogo">
    <w:name w:val="MDPI_header_journal_logo"/>
    <w:qFormat/>
    <w:rsid w:val="00B25158"/>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B25158"/>
    <w:pPr>
      <w:ind w:firstLine="0"/>
    </w:pPr>
  </w:style>
  <w:style w:type="paragraph" w:customStyle="1" w:styleId="MDPI31text">
    <w:name w:val="MDPI_3.1_text"/>
    <w:qFormat/>
    <w:rsid w:val="00242E4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B25158"/>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B25158"/>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B2515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B25158"/>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843474"/>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843474"/>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B25158"/>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B25158"/>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B25158"/>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E29AC"/>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B25158"/>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B25158"/>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B25158"/>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B25158"/>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B25158"/>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B25158"/>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B25158"/>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B25158"/>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B25158"/>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3A4903"/>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B25158"/>
    <w:rPr>
      <w:rFonts w:cs="Tahoma"/>
      <w:szCs w:val="18"/>
    </w:rPr>
  </w:style>
  <w:style w:type="character" w:customStyle="1" w:styleId="BalloonTextChar">
    <w:name w:val="Balloon Text Char"/>
    <w:link w:val="BalloonText"/>
    <w:uiPriority w:val="99"/>
    <w:rsid w:val="00B25158"/>
    <w:rPr>
      <w:rFonts w:ascii="Palatino Linotype" w:hAnsi="Palatino Linotype" w:cs="Tahoma"/>
      <w:noProof/>
      <w:color w:val="000000"/>
      <w:szCs w:val="18"/>
    </w:rPr>
  </w:style>
  <w:style w:type="character" w:styleId="LineNumber">
    <w:name w:val="line number"/>
    <w:uiPriority w:val="99"/>
    <w:rsid w:val="006E1EFA"/>
    <w:rPr>
      <w:rFonts w:ascii="Palatino Linotype" w:hAnsi="Palatino Linotype"/>
      <w:sz w:val="16"/>
    </w:rPr>
  </w:style>
  <w:style w:type="table" w:customStyle="1" w:styleId="MDPI41threelinetable">
    <w:name w:val="MDPI_4.1_three_line_table"/>
    <w:basedOn w:val="TableNormal"/>
    <w:uiPriority w:val="99"/>
    <w:rsid w:val="00B25158"/>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B25158"/>
    <w:rPr>
      <w:color w:val="0000FF"/>
      <w:u w:val="single"/>
    </w:rPr>
  </w:style>
  <w:style w:type="character" w:styleId="UnresolvedMention">
    <w:name w:val="Unresolved Mention"/>
    <w:uiPriority w:val="99"/>
    <w:semiHidden/>
    <w:unhideWhenUsed/>
    <w:rsid w:val="00414688"/>
    <w:rPr>
      <w:color w:val="605E5C"/>
      <w:shd w:val="clear" w:color="auto" w:fill="E1DFDD"/>
    </w:rPr>
  </w:style>
  <w:style w:type="table" w:styleId="PlainTable4">
    <w:name w:val="Plain Table 4"/>
    <w:basedOn w:val="TableNormal"/>
    <w:uiPriority w:val="44"/>
    <w:rsid w:val="0010441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B25158"/>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B25158"/>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B25158"/>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907688"/>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B25158"/>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B25158"/>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B25158"/>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B25158"/>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B25158"/>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B25158"/>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B25158"/>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B25158"/>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B25158"/>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B25158"/>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B25158"/>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B25158"/>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B25158"/>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B25158"/>
  </w:style>
  <w:style w:type="paragraph" w:styleId="Bibliography">
    <w:name w:val="Bibliography"/>
    <w:basedOn w:val="Normal"/>
    <w:next w:val="Normal"/>
    <w:uiPriority w:val="37"/>
    <w:semiHidden/>
    <w:unhideWhenUsed/>
    <w:rsid w:val="00B25158"/>
  </w:style>
  <w:style w:type="paragraph" w:styleId="BodyText">
    <w:name w:val="Body Text"/>
    <w:link w:val="BodyTextChar"/>
    <w:rsid w:val="00B25158"/>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B25158"/>
    <w:rPr>
      <w:rFonts w:ascii="Palatino Linotype" w:hAnsi="Palatino Linotype"/>
      <w:color w:val="000000"/>
      <w:sz w:val="24"/>
      <w:lang w:eastAsia="de-DE"/>
    </w:rPr>
  </w:style>
  <w:style w:type="character" w:styleId="CommentReference">
    <w:name w:val="annotation reference"/>
    <w:rsid w:val="00B25158"/>
    <w:rPr>
      <w:sz w:val="21"/>
      <w:szCs w:val="21"/>
    </w:rPr>
  </w:style>
  <w:style w:type="paragraph" w:styleId="CommentText">
    <w:name w:val="annotation text"/>
    <w:basedOn w:val="Normal"/>
    <w:link w:val="CommentTextChar"/>
    <w:rsid w:val="00B25158"/>
  </w:style>
  <w:style w:type="character" w:customStyle="1" w:styleId="CommentTextChar">
    <w:name w:val="Comment Text Char"/>
    <w:link w:val="CommentText"/>
    <w:rsid w:val="00B25158"/>
    <w:rPr>
      <w:rFonts w:ascii="Palatino Linotype" w:hAnsi="Palatino Linotype"/>
      <w:noProof/>
      <w:color w:val="000000"/>
    </w:rPr>
  </w:style>
  <w:style w:type="paragraph" w:styleId="CommentSubject">
    <w:name w:val="annotation subject"/>
    <w:basedOn w:val="CommentText"/>
    <w:next w:val="CommentText"/>
    <w:link w:val="CommentSubjectChar"/>
    <w:rsid w:val="00B25158"/>
    <w:rPr>
      <w:b/>
      <w:bCs/>
    </w:rPr>
  </w:style>
  <w:style w:type="character" w:customStyle="1" w:styleId="CommentSubjectChar">
    <w:name w:val="Comment Subject Char"/>
    <w:link w:val="CommentSubject"/>
    <w:rsid w:val="00B25158"/>
    <w:rPr>
      <w:rFonts w:ascii="Palatino Linotype" w:hAnsi="Palatino Linotype"/>
      <w:b/>
      <w:bCs/>
      <w:noProof/>
      <w:color w:val="000000"/>
    </w:rPr>
  </w:style>
  <w:style w:type="character" w:styleId="EndnoteReference">
    <w:name w:val="endnote reference"/>
    <w:rsid w:val="00B25158"/>
    <w:rPr>
      <w:vertAlign w:val="superscript"/>
    </w:rPr>
  </w:style>
  <w:style w:type="paragraph" w:styleId="EndnoteText">
    <w:name w:val="endnote text"/>
    <w:basedOn w:val="Normal"/>
    <w:link w:val="EndnoteTextChar"/>
    <w:semiHidden/>
    <w:unhideWhenUsed/>
    <w:rsid w:val="00B25158"/>
    <w:pPr>
      <w:spacing w:line="240" w:lineRule="auto"/>
    </w:pPr>
  </w:style>
  <w:style w:type="character" w:customStyle="1" w:styleId="EndnoteTextChar">
    <w:name w:val="Endnote Text Char"/>
    <w:link w:val="EndnoteText"/>
    <w:semiHidden/>
    <w:rsid w:val="00B25158"/>
    <w:rPr>
      <w:rFonts w:ascii="Palatino Linotype" w:hAnsi="Palatino Linotype"/>
      <w:noProof/>
      <w:color w:val="000000"/>
    </w:rPr>
  </w:style>
  <w:style w:type="character" w:styleId="FollowedHyperlink">
    <w:name w:val="FollowedHyperlink"/>
    <w:rsid w:val="00B25158"/>
    <w:rPr>
      <w:color w:val="954F72"/>
      <w:u w:val="single"/>
    </w:rPr>
  </w:style>
  <w:style w:type="paragraph" w:styleId="FootnoteText">
    <w:name w:val="footnote text"/>
    <w:basedOn w:val="Normal"/>
    <w:link w:val="FootnoteTextChar"/>
    <w:semiHidden/>
    <w:unhideWhenUsed/>
    <w:rsid w:val="00B25158"/>
    <w:pPr>
      <w:spacing w:line="240" w:lineRule="auto"/>
    </w:pPr>
  </w:style>
  <w:style w:type="character" w:customStyle="1" w:styleId="FootnoteTextChar">
    <w:name w:val="Footnote Text Char"/>
    <w:link w:val="FootnoteText"/>
    <w:semiHidden/>
    <w:rsid w:val="00B25158"/>
    <w:rPr>
      <w:rFonts w:ascii="Palatino Linotype" w:hAnsi="Palatino Linotype"/>
      <w:noProof/>
      <w:color w:val="000000"/>
    </w:rPr>
  </w:style>
  <w:style w:type="paragraph" w:styleId="NormalWeb">
    <w:name w:val="Normal (Web)"/>
    <w:basedOn w:val="Normal"/>
    <w:uiPriority w:val="99"/>
    <w:rsid w:val="00B25158"/>
    <w:rPr>
      <w:szCs w:val="24"/>
    </w:rPr>
  </w:style>
  <w:style w:type="paragraph" w:customStyle="1" w:styleId="MsoFootnoteText0">
    <w:name w:val="MsoFootnoteText"/>
    <w:basedOn w:val="NormalWeb"/>
    <w:qFormat/>
    <w:rsid w:val="00B25158"/>
    <w:rPr>
      <w:rFonts w:ascii="Times New Roman" w:hAnsi="Times New Roman"/>
    </w:rPr>
  </w:style>
  <w:style w:type="character" w:styleId="PageNumber">
    <w:name w:val="page number"/>
    <w:rsid w:val="00B25158"/>
  </w:style>
  <w:style w:type="character" w:styleId="PlaceholderText">
    <w:name w:val="Placeholder Text"/>
    <w:uiPriority w:val="99"/>
    <w:semiHidden/>
    <w:rsid w:val="00B25158"/>
    <w:rPr>
      <w:color w:val="808080"/>
    </w:rPr>
  </w:style>
  <w:style w:type="paragraph" w:customStyle="1" w:styleId="MDPI71FootNotes">
    <w:name w:val="MDPI_7.1_FootNotes"/>
    <w:qFormat/>
    <w:rsid w:val="006F66AA"/>
    <w:pPr>
      <w:numPr>
        <w:numId w:val="21"/>
      </w:numPr>
      <w:adjustRightInd w:val="0"/>
      <w:snapToGrid w:val="0"/>
      <w:spacing w:line="228" w:lineRule="auto"/>
    </w:pPr>
    <w:rPr>
      <w:rFonts w:ascii="Palatino Linotype" w:eastAsiaTheme="minorEastAsia" w:hAnsi="Palatino Linotype"/>
      <w:noProof/>
      <w:color w:val="000000"/>
      <w:sz w:val="18"/>
    </w:rPr>
  </w:style>
  <w:style w:type="character" w:styleId="FootnoteReference">
    <w:name w:val="footnote reference"/>
    <w:basedOn w:val="DefaultParagraphFont"/>
    <w:uiPriority w:val="99"/>
    <w:semiHidden/>
    <w:unhideWhenUsed/>
    <w:rsid w:val="00EC560C"/>
    <w:rPr>
      <w:vertAlign w:val="superscript"/>
    </w:rPr>
  </w:style>
  <w:style w:type="paragraph" w:styleId="ListParagraph">
    <w:name w:val="List Paragraph"/>
    <w:basedOn w:val="Normal"/>
    <w:uiPriority w:val="34"/>
    <w:qFormat/>
    <w:rsid w:val="00CE4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32176">
      <w:bodyDiv w:val="1"/>
      <w:marLeft w:val="0"/>
      <w:marRight w:val="0"/>
      <w:marTop w:val="0"/>
      <w:marBottom w:val="0"/>
      <w:divBdr>
        <w:top w:val="none" w:sz="0" w:space="0" w:color="auto"/>
        <w:left w:val="none" w:sz="0" w:space="0" w:color="auto"/>
        <w:bottom w:val="none" w:sz="0" w:space="0" w:color="auto"/>
        <w:right w:val="none" w:sz="0" w:space="0" w:color="auto"/>
      </w:divBdr>
      <w:divsChild>
        <w:div w:id="1527136494">
          <w:marLeft w:val="0"/>
          <w:marRight w:val="0"/>
          <w:marTop w:val="0"/>
          <w:marBottom w:val="0"/>
          <w:divBdr>
            <w:top w:val="none" w:sz="0" w:space="0" w:color="auto"/>
            <w:left w:val="none" w:sz="0" w:space="0" w:color="auto"/>
            <w:bottom w:val="none" w:sz="0" w:space="0" w:color="auto"/>
            <w:right w:val="none" w:sz="0" w:space="0" w:color="auto"/>
          </w:divBdr>
          <w:divsChild>
            <w:div w:id="2055734211">
              <w:marLeft w:val="0"/>
              <w:marRight w:val="0"/>
              <w:marTop w:val="0"/>
              <w:marBottom w:val="0"/>
              <w:divBdr>
                <w:top w:val="none" w:sz="0" w:space="0" w:color="auto"/>
                <w:left w:val="none" w:sz="0" w:space="0" w:color="auto"/>
                <w:bottom w:val="none" w:sz="0" w:space="0" w:color="auto"/>
                <w:right w:val="none" w:sz="0" w:space="0" w:color="auto"/>
              </w:divBdr>
              <w:divsChild>
                <w:div w:id="99078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33628">
      <w:bodyDiv w:val="1"/>
      <w:marLeft w:val="0"/>
      <w:marRight w:val="0"/>
      <w:marTop w:val="0"/>
      <w:marBottom w:val="0"/>
      <w:divBdr>
        <w:top w:val="none" w:sz="0" w:space="0" w:color="auto"/>
        <w:left w:val="none" w:sz="0" w:space="0" w:color="auto"/>
        <w:bottom w:val="none" w:sz="0" w:space="0" w:color="auto"/>
        <w:right w:val="none" w:sz="0" w:space="0" w:color="auto"/>
      </w:divBdr>
      <w:divsChild>
        <w:div w:id="900407049">
          <w:marLeft w:val="0"/>
          <w:marRight w:val="0"/>
          <w:marTop w:val="0"/>
          <w:marBottom w:val="0"/>
          <w:divBdr>
            <w:top w:val="none" w:sz="0" w:space="0" w:color="auto"/>
            <w:left w:val="none" w:sz="0" w:space="0" w:color="auto"/>
            <w:bottom w:val="none" w:sz="0" w:space="0" w:color="auto"/>
            <w:right w:val="none" w:sz="0" w:space="0" w:color="auto"/>
          </w:divBdr>
          <w:divsChild>
            <w:div w:id="598872186">
              <w:marLeft w:val="0"/>
              <w:marRight w:val="0"/>
              <w:marTop w:val="0"/>
              <w:marBottom w:val="0"/>
              <w:divBdr>
                <w:top w:val="none" w:sz="0" w:space="0" w:color="auto"/>
                <w:left w:val="none" w:sz="0" w:space="0" w:color="auto"/>
                <w:bottom w:val="none" w:sz="0" w:space="0" w:color="auto"/>
                <w:right w:val="none" w:sz="0" w:space="0" w:color="auto"/>
              </w:divBdr>
              <w:divsChild>
                <w:div w:id="16994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92782">
      <w:bodyDiv w:val="1"/>
      <w:marLeft w:val="0"/>
      <w:marRight w:val="0"/>
      <w:marTop w:val="0"/>
      <w:marBottom w:val="0"/>
      <w:divBdr>
        <w:top w:val="none" w:sz="0" w:space="0" w:color="auto"/>
        <w:left w:val="none" w:sz="0" w:space="0" w:color="auto"/>
        <w:bottom w:val="none" w:sz="0" w:space="0" w:color="auto"/>
        <w:right w:val="none" w:sz="0" w:space="0" w:color="auto"/>
      </w:divBdr>
      <w:divsChild>
        <w:div w:id="1791851172">
          <w:marLeft w:val="0"/>
          <w:marRight w:val="0"/>
          <w:marTop w:val="0"/>
          <w:marBottom w:val="0"/>
          <w:divBdr>
            <w:top w:val="none" w:sz="0" w:space="0" w:color="auto"/>
            <w:left w:val="none" w:sz="0" w:space="0" w:color="auto"/>
            <w:bottom w:val="none" w:sz="0" w:space="0" w:color="auto"/>
            <w:right w:val="none" w:sz="0" w:space="0" w:color="auto"/>
          </w:divBdr>
          <w:divsChild>
            <w:div w:id="149028960">
              <w:marLeft w:val="0"/>
              <w:marRight w:val="0"/>
              <w:marTop w:val="0"/>
              <w:marBottom w:val="0"/>
              <w:divBdr>
                <w:top w:val="none" w:sz="0" w:space="0" w:color="auto"/>
                <w:left w:val="none" w:sz="0" w:space="0" w:color="auto"/>
                <w:bottom w:val="none" w:sz="0" w:space="0" w:color="auto"/>
                <w:right w:val="none" w:sz="0" w:space="0" w:color="auto"/>
              </w:divBdr>
              <w:divsChild>
                <w:div w:id="16537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41601">
      <w:bodyDiv w:val="1"/>
      <w:marLeft w:val="0"/>
      <w:marRight w:val="0"/>
      <w:marTop w:val="0"/>
      <w:marBottom w:val="0"/>
      <w:divBdr>
        <w:top w:val="none" w:sz="0" w:space="0" w:color="auto"/>
        <w:left w:val="none" w:sz="0" w:space="0" w:color="auto"/>
        <w:bottom w:val="none" w:sz="0" w:space="0" w:color="auto"/>
        <w:right w:val="none" w:sz="0" w:space="0" w:color="auto"/>
      </w:divBdr>
      <w:divsChild>
        <w:div w:id="1619557819">
          <w:marLeft w:val="0"/>
          <w:marRight w:val="0"/>
          <w:marTop w:val="0"/>
          <w:marBottom w:val="0"/>
          <w:divBdr>
            <w:top w:val="none" w:sz="0" w:space="0" w:color="auto"/>
            <w:left w:val="none" w:sz="0" w:space="0" w:color="auto"/>
            <w:bottom w:val="none" w:sz="0" w:space="0" w:color="auto"/>
            <w:right w:val="none" w:sz="0" w:space="0" w:color="auto"/>
          </w:divBdr>
          <w:divsChild>
            <w:div w:id="490289482">
              <w:marLeft w:val="0"/>
              <w:marRight w:val="0"/>
              <w:marTop w:val="0"/>
              <w:marBottom w:val="0"/>
              <w:divBdr>
                <w:top w:val="none" w:sz="0" w:space="0" w:color="auto"/>
                <w:left w:val="none" w:sz="0" w:space="0" w:color="auto"/>
                <w:bottom w:val="none" w:sz="0" w:space="0" w:color="auto"/>
                <w:right w:val="none" w:sz="0" w:space="0" w:color="auto"/>
              </w:divBdr>
              <w:divsChild>
                <w:div w:id="11909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33">
      <w:bodyDiv w:val="1"/>
      <w:marLeft w:val="0"/>
      <w:marRight w:val="0"/>
      <w:marTop w:val="0"/>
      <w:marBottom w:val="0"/>
      <w:divBdr>
        <w:top w:val="none" w:sz="0" w:space="0" w:color="auto"/>
        <w:left w:val="none" w:sz="0" w:space="0" w:color="auto"/>
        <w:bottom w:val="none" w:sz="0" w:space="0" w:color="auto"/>
        <w:right w:val="none" w:sz="0" w:space="0" w:color="auto"/>
      </w:divBdr>
      <w:divsChild>
        <w:div w:id="1896424752">
          <w:marLeft w:val="0"/>
          <w:marRight w:val="0"/>
          <w:marTop w:val="0"/>
          <w:marBottom w:val="0"/>
          <w:divBdr>
            <w:top w:val="none" w:sz="0" w:space="0" w:color="auto"/>
            <w:left w:val="none" w:sz="0" w:space="0" w:color="auto"/>
            <w:bottom w:val="none" w:sz="0" w:space="0" w:color="auto"/>
            <w:right w:val="none" w:sz="0" w:space="0" w:color="auto"/>
          </w:divBdr>
          <w:divsChild>
            <w:div w:id="952172724">
              <w:marLeft w:val="0"/>
              <w:marRight w:val="0"/>
              <w:marTop w:val="0"/>
              <w:marBottom w:val="0"/>
              <w:divBdr>
                <w:top w:val="none" w:sz="0" w:space="0" w:color="auto"/>
                <w:left w:val="none" w:sz="0" w:space="0" w:color="auto"/>
                <w:bottom w:val="none" w:sz="0" w:space="0" w:color="auto"/>
                <w:right w:val="none" w:sz="0" w:space="0" w:color="auto"/>
              </w:divBdr>
              <w:divsChild>
                <w:div w:id="200095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300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89">
          <w:marLeft w:val="0"/>
          <w:marRight w:val="0"/>
          <w:marTop w:val="0"/>
          <w:marBottom w:val="0"/>
          <w:divBdr>
            <w:top w:val="none" w:sz="0" w:space="0" w:color="auto"/>
            <w:left w:val="none" w:sz="0" w:space="0" w:color="auto"/>
            <w:bottom w:val="none" w:sz="0" w:space="0" w:color="auto"/>
            <w:right w:val="none" w:sz="0" w:space="0" w:color="auto"/>
          </w:divBdr>
          <w:divsChild>
            <w:div w:id="314261916">
              <w:marLeft w:val="0"/>
              <w:marRight w:val="0"/>
              <w:marTop w:val="0"/>
              <w:marBottom w:val="0"/>
              <w:divBdr>
                <w:top w:val="none" w:sz="0" w:space="0" w:color="auto"/>
                <w:left w:val="none" w:sz="0" w:space="0" w:color="auto"/>
                <w:bottom w:val="none" w:sz="0" w:space="0" w:color="auto"/>
                <w:right w:val="none" w:sz="0" w:space="0" w:color="auto"/>
              </w:divBdr>
              <w:divsChild>
                <w:div w:id="10755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50348">
      <w:bodyDiv w:val="1"/>
      <w:marLeft w:val="0"/>
      <w:marRight w:val="0"/>
      <w:marTop w:val="0"/>
      <w:marBottom w:val="0"/>
      <w:divBdr>
        <w:top w:val="none" w:sz="0" w:space="0" w:color="auto"/>
        <w:left w:val="none" w:sz="0" w:space="0" w:color="auto"/>
        <w:bottom w:val="none" w:sz="0" w:space="0" w:color="auto"/>
        <w:right w:val="none" w:sz="0" w:space="0" w:color="auto"/>
      </w:divBdr>
      <w:divsChild>
        <w:div w:id="1584802220">
          <w:marLeft w:val="0"/>
          <w:marRight w:val="0"/>
          <w:marTop w:val="0"/>
          <w:marBottom w:val="0"/>
          <w:divBdr>
            <w:top w:val="none" w:sz="0" w:space="0" w:color="auto"/>
            <w:left w:val="none" w:sz="0" w:space="0" w:color="auto"/>
            <w:bottom w:val="none" w:sz="0" w:space="0" w:color="auto"/>
            <w:right w:val="none" w:sz="0" w:space="0" w:color="auto"/>
          </w:divBdr>
          <w:divsChild>
            <w:div w:id="1515416236">
              <w:marLeft w:val="0"/>
              <w:marRight w:val="0"/>
              <w:marTop w:val="0"/>
              <w:marBottom w:val="0"/>
              <w:divBdr>
                <w:top w:val="none" w:sz="0" w:space="0" w:color="auto"/>
                <w:left w:val="none" w:sz="0" w:space="0" w:color="auto"/>
                <w:bottom w:val="none" w:sz="0" w:space="0" w:color="auto"/>
                <w:right w:val="none" w:sz="0" w:space="0" w:color="auto"/>
              </w:divBdr>
              <w:divsChild>
                <w:div w:id="8632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60153">
      <w:bodyDiv w:val="1"/>
      <w:marLeft w:val="0"/>
      <w:marRight w:val="0"/>
      <w:marTop w:val="0"/>
      <w:marBottom w:val="0"/>
      <w:divBdr>
        <w:top w:val="none" w:sz="0" w:space="0" w:color="auto"/>
        <w:left w:val="none" w:sz="0" w:space="0" w:color="auto"/>
        <w:bottom w:val="none" w:sz="0" w:space="0" w:color="auto"/>
        <w:right w:val="none" w:sz="0" w:space="0" w:color="auto"/>
      </w:divBdr>
      <w:divsChild>
        <w:div w:id="104275885">
          <w:marLeft w:val="0"/>
          <w:marRight w:val="0"/>
          <w:marTop w:val="0"/>
          <w:marBottom w:val="0"/>
          <w:divBdr>
            <w:top w:val="none" w:sz="0" w:space="0" w:color="auto"/>
            <w:left w:val="none" w:sz="0" w:space="0" w:color="auto"/>
            <w:bottom w:val="none" w:sz="0" w:space="0" w:color="auto"/>
            <w:right w:val="none" w:sz="0" w:space="0" w:color="auto"/>
          </w:divBdr>
          <w:divsChild>
            <w:div w:id="61104799">
              <w:marLeft w:val="0"/>
              <w:marRight w:val="0"/>
              <w:marTop w:val="0"/>
              <w:marBottom w:val="0"/>
              <w:divBdr>
                <w:top w:val="none" w:sz="0" w:space="0" w:color="auto"/>
                <w:left w:val="none" w:sz="0" w:space="0" w:color="auto"/>
                <w:bottom w:val="none" w:sz="0" w:space="0" w:color="auto"/>
                <w:right w:val="none" w:sz="0" w:space="0" w:color="auto"/>
              </w:divBdr>
              <w:divsChild>
                <w:div w:id="184867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6170">
      <w:bodyDiv w:val="1"/>
      <w:marLeft w:val="0"/>
      <w:marRight w:val="0"/>
      <w:marTop w:val="0"/>
      <w:marBottom w:val="0"/>
      <w:divBdr>
        <w:top w:val="none" w:sz="0" w:space="0" w:color="auto"/>
        <w:left w:val="none" w:sz="0" w:space="0" w:color="auto"/>
        <w:bottom w:val="none" w:sz="0" w:space="0" w:color="auto"/>
        <w:right w:val="none" w:sz="0" w:space="0" w:color="auto"/>
      </w:divBdr>
      <w:divsChild>
        <w:div w:id="30108298">
          <w:marLeft w:val="0"/>
          <w:marRight w:val="0"/>
          <w:marTop w:val="0"/>
          <w:marBottom w:val="0"/>
          <w:divBdr>
            <w:top w:val="none" w:sz="0" w:space="0" w:color="auto"/>
            <w:left w:val="none" w:sz="0" w:space="0" w:color="auto"/>
            <w:bottom w:val="none" w:sz="0" w:space="0" w:color="auto"/>
            <w:right w:val="none" w:sz="0" w:space="0" w:color="auto"/>
          </w:divBdr>
          <w:divsChild>
            <w:div w:id="811561328">
              <w:marLeft w:val="0"/>
              <w:marRight w:val="0"/>
              <w:marTop w:val="0"/>
              <w:marBottom w:val="0"/>
              <w:divBdr>
                <w:top w:val="none" w:sz="0" w:space="0" w:color="auto"/>
                <w:left w:val="none" w:sz="0" w:space="0" w:color="auto"/>
                <w:bottom w:val="none" w:sz="0" w:space="0" w:color="auto"/>
                <w:right w:val="none" w:sz="0" w:space="0" w:color="auto"/>
              </w:divBdr>
              <w:divsChild>
                <w:div w:id="3041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1666">
      <w:bodyDiv w:val="1"/>
      <w:marLeft w:val="0"/>
      <w:marRight w:val="0"/>
      <w:marTop w:val="0"/>
      <w:marBottom w:val="0"/>
      <w:divBdr>
        <w:top w:val="none" w:sz="0" w:space="0" w:color="auto"/>
        <w:left w:val="none" w:sz="0" w:space="0" w:color="auto"/>
        <w:bottom w:val="none" w:sz="0" w:space="0" w:color="auto"/>
        <w:right w:val="none" w:sz="0" w:space="0" w:color="auto"/>
      </w:divBdr>
      <w:divsChild>
        <w:div w:id="456753023">
          <w:marLeft w:val="0"/>
          <w:marRight w:val="0"/>
          <w:marTop w:val="0"/>
          <w:marBottom w:val="0"/>
          <w:divBdr>
            <w:top w:val="none" w:sz="0" w:space="0" w:color="auto"/>
            <w:left w:val="none" w:sz="0" w:space="0" w:color="auto"/>
            <w:bottom w:val="none" w:sz="0" w:space="0" w:color="auto"/>
            <w:right w:val="none" w:sz="0" w:space="0" w:color="auto"/>
          </w:divBdr>
          <w:divsChild>
            <w:div w:id="1468089189">
              <w:marLeft w:val="0"/>
              <w:marRight w:val="0"/>
              <w:marTop w:val="0"/>
              <w:marBottom w:val="0"/>
              <w:divBdr>
                <w:top w:val="none" w:sz="0" w:space="0" w:color="auto"/>
                <w:left w:val="none" w:sz="0" w:space="0" w:color="auto"/>
                <w:bottom w:val="none" w:sz="0" w:space="0" w:color="auto"/>
                <w:right w:val="none" w:sz="0" w:space="0" w:color="auto"/>
              </w:divBdr>
              <w:divsChild>
                <w:div w:id="11659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adhanson/Downloads/forests-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E2422-B1AC-0C4A-80F8-226F6AEA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forests-template-2.dot</Template>
  <TotalTime>1</TotalTime>
  <Pages>9</Pages>
  <Words>3272</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Microsoft Office User</dc:creator>
  <cp:keywords/>
  <dc:description/>
  <cp:lastModifiedBy>Chad Hanson</cp:lastModifiedBy>
  <cp:revision>2</cp:revision>
  <dcterms:created xsi:type="dcterms:W3CDTF">2023-03-02T23:37:00Z</dcterms:created>
  <dcterms:modified xsi:type="dcterms:W3CDTF">2023-03-02T23:37:00Z</dcterms:modified>
</cp:coreProperties>
</file>