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5F1A" w14:textId="434CDDA8" w:rsidR="00F40E7F" w:rsidRPr="00EB236F" w:rsidRDefault="00EB236F" w:rsidP="00EB236F">
      <w:pPr>
        <w:pBdr>
          <w:bottom w:val="single" w:sz="4" w:space="1" w:color="auto"/>
        </w:pBdr>
        <w:tabs>
          <w:tab w:val="right" w:pos="9270"/>
        </w:tabs>
        <w:rPr>
          <w:rFonts w:ascii="Bookman Old Style" w:hAnsi="Bookman Old Style"/>
          <w:b/>
          <w:bCs/>
          <w:sz w:val="28"/>
          <w:szCs w:val="28"/>
        </w:rPr>
      </w:pPr>
      <w:r w:rsidRPr="00EB236F">
        <w:rPr>
          <w:rFonts w:ascii="Bookman Old Style" w:hAnsi="Bookman Old Style"/>
          <w:b/>
          <w:bCs/>
          <w:sz w:val="28"/>
          <w:szCs w:val="28"/>
        </w:rPr>
        <w:t xml:space="preserve">8302 Gladstone Street </w:t>
      </w:r>
      <w:r w:rsidRPr="00EB236F">
        <w:rPr>
          <w:rFonts w:ascii="Bookman Old Style" w:hAnsi="Bookman Old Style"/>
          <w:b/>
          <w:bCs/>
          <w:sz w:val="28"/>
          <w:szCs w:val="28"/>
        </w:rPr>
        <w:tab/>
        <w:t>Juneau AK 99801</w:t>
      </w:r>
    </w:p>
    <w:p w14:paraId="79F82522" w14:textId="70903BE3" w:rsidR="00EB236F" w:rsidRDefault="00EB236F">
      <w:pPr>
        <w:rPr>
          <w:b/>
          <w:bCs/>
        </w:rPr>
      </w:pPr>
      <w:r>
        <w:rPr>
          <w:b/>
          <w:bCs/>
        </w:rPr>
        <w:t>21 February 2023</w:t>
      </w:r>
    </w:p>
    <w:p w14:paraId="68567324" w14:textId="578C19B2" w:rsidR="00EB236F" w:rsidRDefault="00EB236F">
      <w:pPr>
        <w:rPr>
          <w:b/>
          <w:bCs/>
        </w:rPr>
      </w:pPr>
    </w:p>
    <w:p w14:paraId="34C2B7E7" w14:textId="466CDB7C" w:rsidR="00EB236F" w:rsidRPr="00EB236F" w:rsidRDefault="00EB236F">
      <w:pPr>
        <w:rPr>
          <w:b/>
          <w:bCs/>
          <w:sz w:val="44"/>
          <w:szCs w:val="44"/>
        </w:rPr>
      </w:pPr>
      <w:r w:rsidRPr="00EB236F">
        <w:rPr>
          <w:b/>
          <w:bCs/>
          <w:sz w:val="44"/>
          <w:szCs w:val="44"/>
        </w:rPr>
        <w:t>Comments on the MGRA SDEIS</w:t>
      </w:r>
    </w:p>
    <w:p w14:paraId="5ACB07E0" w14:textId="64F61969" w:rsidR="00C62FD3" w:rsidRDefault="00C70FE9">
      <w:r>
        <w:rPr>
          <w:b/>
          <w:bCs/>
        </w:rPr>
        <w:t xml:space="preserve">Purpose and Need: </w:t>
      </w:r>
      <w:r>
        <w:t>“</w:t>
      </w:r>
      <w:r>
        <w:rPr>
          <w:i/>
          <w:iCs/>
        </w:rPr>
        <w:t xml:space="preserve">The number of visitors to the MGRA is projected to increase at a rate of approximately 2% annually for the next 30 years.” </w:t>
      </w:r>
      <w:r>
        <w:t xml:space="preserve"> This statement is false.  The number of cruise ship visitors to Juneau, AK may be projected to increase by 2% annually.  The number of </w:t>
      </w:r>
      <w:r>
        <w:rPr>
          <w:i/>
          <w:iCs/>
        </w:rPr>
        <w:t>commercial</w:t>
      </w:r>
      <w:r>
        <w:t xml:space="preserve"> visitors to the MGRA can only increase if the USFS </w:t>
      </w:r>
      <w:r w:rsidR="00777C35">
        <w:t xml:space="preserve">takes action to increase the commercial </w:t>
      </w:r>
      <w:r>
        <w:t>allocation</w:t>
      </w:r>
      <w:r w:rsidR="00C62FD3">
        <w:t xml:space="preserve"> and capacity</w:t>
      </w:r>
      <w:r w:rsidR="00777C35">
        <w:t xml:space="preserve">.  </w:t>
      </w:r>
      <w:r w:rsidR="008F7E09">
        <w:t xml:space="preserve">The </w:t>
      </w:r>
      <w:r w:rsidR="00777C35">
        <w:t>USFS</w:t>
      </w:r>
      <w:r w:rsidR="008F7E09">
        <w:t xml:space="preserve">’ </w:t>
      </w:r>
      <w:r w:rsidR="00777C35">
        <w:t>decision and action to increase commercial capacity and allocation</w:t>
      </w:r>
      <w:r w:rsidR="00C62FD3">
        <w:t xml:space="preserve"> </w:t>
      </w:r>
      <w:r w:rsidR="00777C35">
        <w:t xml:space="preserve">is </w:t>
      </w:r>
      <w:r w:rsidR="00C62FD3">
        <w:t xml:space="preserve">a </w:t>
      </w:r>
      <w:r w:rsidR="00777C35">
        <w:t xml:space="preserve">federal action that must be evaluated under NEPA.  </w:t>
      </w:r>
      <w:r w:rsidR="008F7E09">
        <w:t xml:space="preserve"> </w:t>
      </w:r>
      <w:r w:rsidR="00D753AF" w:rsidRPr="00D753AF">
        <w:rPr>
          <w:b/>
          <w:bCs/>
          <w:i/>
          <w:iCs/>
        </w:rPr>
        <w:t xml:space="preserve">The decision to increase commercial capacity cannot be both the action </w:t>
      </w:r>
      <w:r w:rsidR="00C62FD3">
        <w:rPr>
          <w:b/>
          <w:bCs/>
          <w:i/>
          <w:iCs/>
        </w:rPr>
        <w:t>being addressed under</w:t>
      </w:r>
      <w:r w:rsidR="00B50DCD">
        <w:rPr>
          <w:b/>
          <w:bCs/>
          <w:i/>
          <w:iCs/>
        </w:rPr>
        <w:t xml:space="preserve"> this DEIS</w:t>
      </w:r>
      <w:r w:rsidR="00C62FD3">
        <w:rPr>
          <w:b/>
          <w:bCs/>
          <w:i/>
          <w:iCs/>
        </w:rPr>
        <w:t xml:space="preserve"> </w:t>
      </w:r>
      <w:r w:rsidR="00D753AF" w:rsidRPr="00D753AF">
        <w:rPr>
          <w:b/>
          <w:bCs/>
          <w:i/>
          <w:iCs/>
        </w:rPr>
        <w:t>and the need for action</w:t>
      </w:r>
      <w:r w:rsidR="0035506E">
        <w:rPr>
          <w:b/>
          <w:bCs/>
          <w:i/>
          <w:iCs/>
        </w:rPr>
        <w:t>s to accommodate that decision</w:t>
      </w:r>
      <w:r w:rsidR="00D753AF">
        <w:t xml:space="preserve">.  </w:t>
      </w:r>
      <w:r w:rsidR="0035506E">
        <w:t xml:space="preserve">In other words, </w:t>
      </w:r>
      <w:r w:rsidR="005B5F55">
        <w:t xml:space="preserve">the USFS cannot predetermine that increased visitation is going to happen when that visitation cannot happen absent </w:t>
      </w:r>
      <w:r w:rsidR="00B50DCD">
        <w:t xml:space="preserve">adoption of a policy to do so.  </w:t>
      </w:r>
      <w:r w:rsidR="005B5F55">
        <w:t xml:space="preserve"> </w:t>
      </w:r>
      <w:r w:rsidR="00B50DCD">
        <w:t xml:space="preserve">Furthermore, the stated need that the USFS must “consider the current and future demands on MGRA resources as visitor use increases” </w:t>
      </w:r>
      <w:r w:rsidR="004973A9">
        <w:t xml:space="preserve">requires that a decision to allow that increase has already been made </w:t>
      </w:r>
      <w:r w:rsidR="00B50DCD">
        <w:t xml:space="preserve">without the benefit of NEPA review.  This violates the </w:t>
      </w:r>
      <w:r w:rsidR="004973A9">
        <w:t xml:space="preserve">requirement that the </w:t>
      </w:r>
      <w:r w:rsidR="0035506E">
        <w:t xml:space="preserve">“hard look” </w:t>
      </w:r>
      <w:r w:rsidR="004973A9">
        <w:t xml:space="preserve">mandated by Congress “be taken objectively and in good faith......and not as </w:t>
      </w:r>
      <w:r w:rsidR="0035506E">
        <w:t>a subterfuge designed to rationalize a decision already made (</w:t>
      </w:r>
      <w:r w:rsidR="0035506E" w:rsidRPr="0035506E">
        <w:rPr>
          <w:i/>
          <w:iCs/>
        </w:rPr>
        <w:t>Metcalf v</w:t>
      </w:r>
      <w:r w:rsidR="00B50DCD">
        <w:rPr>
          <w:i/>
          <w:iCs/>
        </w:rPr>
        <w:t xml:space="preserve"> </w:t>
      </w:r>
      <w:r w:rsidR="0035506E" w:rsidRPr="0035506E">
        <w:rPr>
          <w:i/>
          <w:iCs/>
        </w:rPr>
        <w:t>Daley, 214 F3d 1135, 1142 (9th Cir 2000</w:t>
      </w:r>
      <w:r w:rsidR="0035506E">
        <w:t>)</w:t>
      </w:r>
      <w:r w:rsidR="0035506E">
        <w:t>”.</w:t>
      </w:r>
    </w:p>
    <w:p w14:paraId="67203A64" w14:textId="1715E702" w:rsidR="00447FFD" w:rsidRDefault="00447FFD" w:rsidP="00447FFD">
      <w:pPr>
        <w:ind w:left="720"/>
        <w:rPr>
          <w:b/>
          <w:bCs/>
          <w:i/>
          <w:iCs/>
        </w:rPr>
      </w:pPr>
      <w:r w:rsidRPr="00447FFD">
        <w:t xml:space="preserve">See also: </w:t>
      </w:r>
      <w:r>
        <w:t xml:space="preserve">“The purpose and need of the project is to update infrastructure and create recreation opportunities that </w:t>
      </w:r>
      <w:r>
        <w:rPr>
          <w:b/>
          <w:bCs/>
          <w:i/>
          <w:iCs/>
        </w:rPr>
        <w:t>can accommodate future visitor use.”</w:t>
      </w:r>
    </w:p>
    <w:p w14:paraId="179F9218" w14:textId="26ED57E2" w:rsidR="00C70FE9" w:rsidRDefault="003126D7" w:rsidP="00D1507D">
      <w:r>
        <w:rPr>
          <w:b/>
          <w:bCs/>
        </w:rPr>
        <w:t>Alternatives</w:t>
      </w:r>
      <w:r>
        <w:t xml:space="preserve">: The DEIS/SDEIS does not include any alternatives </w:t>
      </w:r>
      <w:r w:rsidR="001C3A1E">
        <w:t xml:space="preserve">that do not also include an increase in commercial capacity and </w:t>
      </w:r>
      <w:r w:rsidR="00447FFD">
        <w:t xml:space="preserve">allocation, once again prejudicing the analysis to a decision that has already been made.  </w:t>
      </w:r>
      <w:r w:rsidR="00903CEC">
        <w:t>The DEIS/SDEIS</w:t>
      </w:r>
      <w:r w:rsidR="00D1507D">
        <w:t xml:space="preserve"> also</w:t>
      </w:r>
      <w:r w:rsidR="00903CEC">
        <w:t xml:space="preserve"> does not represent a reasonable range of alternatives</w:t>
      </w:r>
      <w:r w:rsidR="00D1507D">
        <w:t xml:space="preserve"> because the alternatives are simply variations in on the scope of actions included in them.  They do not differ in the </w:t>
      </w:r>
      <w:r w:rsidR="00D1507D" w:rsidRPr="00D1507D">
        <w:rPr>
          <w:b/>
          <w:bCs/>
          <w:i/>
          <w:iCs/>
        </w:rPr>
        <w:t>type</w:t>
      </w:r>
      <w:r w:rsidR="00D1507D">
        <w:t xml:space="preserve"> of actions that are included </w:t>
      </w:r>
      <w:r w:rsidR="00D1507D" w:rsidRPr="00D1507D">
        <w:rPr>
          <w:b/>
          <w:bCs/>
          <w:i/>
          <w:iCs/>
        </w:rPr>
        <w:t>or excluded</w:t>
      </w:r>
      <w:r w:rsidR="00D1507D">
        <w:t xml:space="preserve"> from them.  </w:t>
      </w:r>
    </w:p>
    <w:p w14:paraId="7547246E" w14:textId="2C2E6EEC" w:rsidR="00250021" w:rsidRDefault="00D1507D" w:rsidP="00D1507D">
      <w:r>
        <w:rPr>
          <w:b/>
          <w:bCs/>
        </w:rPr>
        <w:t>Adaptive Management:</w:t>
      </w:r>
      <w:r>
        <w:t xml:space="preserve">  </w:t>
      </w:r>
      <w:r w:rsidR="00822E35">
        <w:t xml:space="preserve">The adaptive management plan proposed in Appendix B claims to include “monitoring indicators to inform if commercial use allocations will be held stable, increased, </w:t>
      </w:r>
      <w:r w:rsidR="00822E35" w:rsidRPr="00822E35">
        <w:rPr>
          <w:b/>
          <w:bCs/>
          <w:i/>
          <w:iCs/>
        </w:rPr>
        <w:t>or decreased</w:t>
      </w:r>
      <w:r w:rsidR="00822E35">
        <w:t xml:space="preserve">; however, the adaptive management process described in this section only addresses proposed increases in service days and allocations.  There is no process for decreasing allocation or service days – only an option not to increase.  </w:t>
      </w:r>
      <w:r w:rsidR="008561BE">
        <w:t xml:space="preserve">This is despite an acknowledgement on page </w:t>
      </w:r>
      <w:r w:rsidR="00844B27">
        <w:t xml:space="preserve">3-69 that cruise visitation could decline in the future.  </w:t>
      </w:r>
      <w:r w:rsidR="00822E35">
        <w:t xml:space="preserve">Adaptive management cannot adapt in only one direction.  Methods to decrease commercial capacity as identified in FSH 2709.14 should be included in the adaptive management plans for all components. </w:t>
      </w:r>
    </w:p>
    <w:p w14:paraId="53E983BA" w14:textId="77777777" w:rsidR="000908AA" w:rsidRDefault="00250021" w:rsidP="000908AA">
      <w:pPr>
        <w:ind w:left="720"/>
      </w:pPr>
      <w:r>
        <w:t xml:space="preserve">Monitoring: </w:t>
      </w:r>
      <w:r w:rsidR="00332874">
        <w:t xml:space="preserve">Does not include a requirement for analysis and </w:t>
      </w:r>
      <w:r w:rsidR="00380424">
        <w:t xml:space="preserve">publication of results.  </w:t>
      </w:r>
    </w:p>
    <w:p w14:paraId="5F2B236F" w14:textId="37DA47DD" w:rsidR="009457BC" w:rsidRDefault="009457BC" w:rsidP="009457BC">
      <w:r>
        <w:t xml:space="preserve">The adaptive management </w:t>
      </w:r>
      <w:r w:rsidR="00880676">
        <w:t>program</w:t>
      </w:r>
      <w:r>
        <w:t xml:space="preserve"> should include a requirement to develop a</w:t>
      </w:r>
      <w:r w:rsidR="00880676">
        <w:t xml:space="preserve">n adaptive management </w:t>
      </w:r>
      <w:r>
        <w:t xml:space="preserve">plan </w:t>
      </w:r>
      <w:r w:rsidR="00880676">
        <w:t xml:space="preserve">as part of the MGRA Management Plan </w:t>
      </w:r>
      <w:r>
        <w:t>that identifies how m</w:t>
      </w:r>
      <w:r>
        <w:t xml:space="preserve">onitoring results will be addressed – </w:t>
      </w:r>
      <w:r w:rsidR="00D34187">
        <w:t xml:space="preserve">types of corrective actions/resolutions that will be pursued, how they will be implemented, and how </w:t>
      </w:r>
      <w:r w:rsidR="00B3663B">
        <w:t xml:space="preserve">success will be measured. </w:t>
      </w:r>
    </w:p>
    <w:p w14:paraId="04BC7017" w14:textId="2CA3AFBC" w:rsidR="000908AA" w:rsidRDefault="00EF64D6" w:rsidP="009457BC">
      <w:pPr>
        <w:pStyle w:val="ListParagraph"/>
        <w:numPr>
          <w:ilvl w:val="0"/>
          <w:numId w:val="3"/>
        </w:numPr>
      </w:pPr>
      <w:r>
        <w:lastRenderedPageBreak/>
        <w:t xml:space="preserve">Issue new permits “if demand is increasing.”  </w:t>
      </w:r>
      <w:r w:rsidR="00A41B90">
        <w:t xml:space="preserve">Measuring demand is not included in the required monitoring.  How will demand be </w:t>
      </w:r>
      <w:r w:rsidR="00B35CAE">
        <w:t>measured?</w:t>
      </w:r>
    </w:p>
    <w:p w14:paraId="75F45E62" w14:textId="36B94BB9" w:rsidR="00E85926" w:rsidRPr="00E85926" w:rsidRDefault="00E85926" w:rsidP="00E85926">
      <w:r>
        <w:rPr>
          <w:b/>
          <w:bCs/>
        </w:rPr>
        <w:t>Trail Adaptive Management:</w:t>
      </w:r>
      <w:r>
        <w:t xml:space="preserve"> </w:t>
      </w:r>
    </w:p>
    <w:p w14:paraId="264ED0A2" w14:textId="38A6AAEC" w:rsidR="00D65309" w:rsidRDefault="00B35CAE" w:rsidP="00B35CAE">
      <w:r>
        <w:t xml:space="preserve">As mitigation for commercial capacity increases in 2015, the USFS committed to </w:t>
      </w:r>
      <w:r w:rsidR="00D65309">
        <w:t xml:space="preserve">the following </w:t>
      </w:r>
      <w:proofErr w:type="gramStart"/>
      <w:r>
        <w:t>mitigation</w:t>
      </w:r>
      <w:proofErr w:type="gramEnd"/>
      <w:r>
        <w:t xml:space="preserve"> </w:t>
      </w:r>
    </w:p>
    <w:p w14:paraId="356DBEDB" w14:textId="5CDBA149" w:rsidR="0002788D" w:rsidRDefault="0002788D" w:rsidP="000278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788D">
        <w:rPr>
          <w:rFonts w:cstheme="minorHAnsi"/>
        </w:rPr>
        <w:t xml:space="preserve"> </w:t>
      </w:r>
      <w:r w:rsidRPr="009A799D">
        <w:rPr>
          <w:rFonts w:cstheme="minorHAnsi"/>
        </w:rPr>
        <w:t xml:space="preserve">The Forest Service will implement a trail use monitoring plan to begin in May 2016 and continue for five years to provide information about encounters on trails in the MGRA. </w:t>
      </w:r>
      <w:r w:rsidRPr="009A799D">
        <w:rPr>
          <w:rFonts w:cstheme="minorHAnsi"/>
          <w:b/>
          <w:bCs/>
        </w:rPr>
        <w:t xml:space="preserve">The monitoring program will use trail counters </w:t>
      </w:r>
      <w:r w:rsidRPr="009A799D">
        <w:rPr>
          <w:rFonts w:cstheme="minorHAnsi"/>
        </w:rPr>
        <w:t xml:space="preserve">to record times when hikers pass by to give staff information on the frequency and time intervals of trail users. </w:t>
      </w:r>
      <w:r w:rsidRPr="009A799D">
        <w:rPr>
          <w:rFonts w:cstheme="minorHAnsi"/>
          <w:b/>
          <w:bCs/>
        </w:rPr>
        <w:t>MGRA staff will supplement and ground-truth the electronic information</w:t>
      </w:r>
      <w:r w:rsidRPr="00E93531">
        <w:rPr>
          <w:rFonts w:cstheme="minorHAnsi"/>
          <w:b/>
          <w:bCs/>
        </w:rPr>
        <w:t xml:space="preserve"> with human observers</w:t>
      </w:r>
      <w:r w:rsidRPr="009A799D">
        <w:rPr>
          <w:rFonts w:cstheme="minorHAnsi"/>
        </w:rPr>
        <w:t xml:space="preserve"> to record the number of hikers and group sizes and will hike the trails to record the number of encounters.</w:t>
      </w:r>
    </w:p>
    <w:p w14:paraId="4E3F9D17" w14:textId="77777777" w:rsidR="0002788D" w:rsidRDefault="0002788D" w:rsidP="0002788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797A6AC5" w14:textId="77777777" w:rsidR="0002788D" w:rsidRPr="00B16E99" w:rsidRDefault="0002788D" w:rsidP="000278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6E99">
        <w:rPr>
          <w:rFonts w:cstheme="minorHAnsi"/>
        </w:rPr>
        <w:t xml:space="preserve">The Forest Service </w:t>
      </w:r>
      <w:r w:rsidRPr="0002788D">
        <w:rPr>
          <w:rFonts w:cstheme="minorHAnsi"/>
          <w:b/>
          <w:bCs/>
        </w:rPr>
        <w:t>will use adaptive management to implement changes, if necessary to manage for the appropriate level of encounters on trails in MGRA</w:t>
      </w:r>
      <w:r w:rsidRPr="00B16E99">
        <w:rPr>
          <w:rFonts w:cstheme="minorHAnsi"/>
        </w:rPr>
        <w:t xml:space="preserve">. If monitoring data after two years of monitoring indicates that Forest Plan standards and guidelines are not being met, </w:t>
      </w:r>
      <w:r w:rsidRPr="0002788D">
        <w:rPr>
          <w:rFonts w:cstheme="minorHAnsi"/>
          <w:b/>
          <w:bCs/>
        </w:rPr>
        <w:t>actions would be taken to reduce commercial use to an acceptable level</w:t>
      </w:r>
      <w:r w:rsidRPr="00B16E99">
        <w:rPr>
          <w:rFonts w:cstheme="minorHAnsi"/>
        </w:rPr>
        <w:t xml:space="preserve"> using the methods identified in FSH 2709.14, Chapter 50.</w:t>
      </w:r>
    </w:p>
    <w:p w14:paraId="685F0B97" w14:textId="77777777" w:rsidR="0002788D" w:rsidRDefault="0002788D" w:rsidP="000278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4C7BCB" w14:textId="4DABFD83" w:rsidR="0002788D" w:rsidRPr="00B16E99" w:rsidRDefault="0002788D" w:rsidP="000278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6E99">
        <w:rPr>
          <w:rFonts w:cstheme="minorHAnsi"/>
        </w:rPr>
        <w:t xml:space="preserve">The Forest Service will contact the Forestry Sciences Lab in Juneau to ascertain monitoring options (questions, design, and assessment tools) to better understand displacement of </w:t>
      </w:r>
      <w:r w:rsidR="00556692">
        <w:rPr>
          <w:rFonts w:cstheme="minorHAnsi"/>
        </w:rPr>
        <w:t>residents</w:t>
      </w:r>
      <w:r w:rsidRPr="00B16E99">
        <w:rPr>
          <w:rFonts w:cstheme="minorHAnsi"/>
        </w:rPr>
        <w:t xml:space="preserve"> who wish to recreate in the MGRA.</w:t>
      </w:r>
    </w:p>
    <w:p w14:paraId="7E97A4D5" w14:textId="0E35EFB8" w:rsidR="00B35CAE" w:rsidRDefault="00B35CAE" w:rsidP="00B35CAE"/>
    <w:p w14:paraId="0379E50E" w14:textId="62EA16C6" w:rsidR="00556692" w:rsidRDefault="00556692" w:rsidP="00B35CAE">
      <w:r>
        <w:t xml:space="preserve">Electronic monitoring was never implemented and there is no evidence that bullets 2 and 3 </w:t>
      </w:r>
      <w:r w:rsidR="00C93F0D">
        <w:t xml:space="preserve">were ever implemented either.  </w:t>
      </w:r>
      <w:r w:rsidR="0035335B">
        <w:t xml:space="preserve">What assurances are there that the adaptive management proposed in this DEIS will be implemented? </w:t>
      </w:r>
    </w:p>
    <w:p w14:paraId="304CC3C4" w14:textId="2A14B5D4" w:rsidR="0035335B" w:rsidRDefault="006A5980" w:rsidP="00B35CAE">
      <w:r>
        <w:rPr>
          <w:b/>
          <w:bCs/>
        </w:rPr>
        <w:t>Dredge Lakes Commercial capacity</w:t>
      </w:r>
      <w:r>
        <w:t xml:space="preserve">: Commercial allocation is for a single trail, but what assurance is there that the commercial allocation will </w:t>
      </w:r>
      <w:r w:rsidR="00C2535E">
        <w:t xml:space="preserve">not be expanded to the entire unit? </w:t>
      </w:r>
    </w:p>
    <w:p w14:paraId="4A747945" w14:textId="576E9958" w:rsidR="001C653D" w:rsidRDefault="00E90C36" w:rsidP="00B35CAE">
      <w:r>
        <w:rPr>
          <w:b/>
          <w:bCs/>
        </w:rPr>
        <w:t xml:space="preserve">Growth estimates: </w:t>
      </w:r>
      <w:r w:rsidR="002D2A0A">
        <w:t xml:space="preserve">Section 3.7.5.3 </w:t>
      </w:r>
      <w:r w:rsidR="00D15485">
        <w:t>indicates that unguided recreation is not expected to increase at rates higher than the population growth</w:t>
      </w:r>
      <w:r w:rsidR="00D00280">
        <w:t>, since it is closely tied to the resident population.  “Based on the expectation of flat growth trends</w:t>
      </w:r>
      <w:r w:rsidR="00D71F10">
        <w:t xml:space="preserve"> this section assumes that unguided visitor use will remain relatively stable over the design life of the project.”  If this is the case, then why is a 2% growth rate be used to develop the total capacity for the MGRA</w:t>
      </w:r>
      <w:r w:rsidR="0092169A">
        <w:t xml:space="preserve"> Visitor Center</w:t>
      </w:r>
      <w:r w:rsidR="00D71F10">
        <w:t xml:space="preserve">?  </w:t>
      </w:r>
      <w:r w:rsidR="00CA608F">
        <w:t>Should not the 2% capacity only be applied to the commercial growth</w:t>
      </w:r>
      <w:r w:rsidR="004B02B8">
        <w:t xml:space="preserve"> (</w:t>
      </w:r>
      <w:proofErr w:type="gramStart"/>
      <w:r w:rsidR="00E5778F">
        <w:t>e.g.</w:t>
      </w:r>
      <w:proofErr w:type="gramEnd"/>
      <w:r w:rsidR="00E5778F">
        <w:t xml:space="preserve"> 544,890 at 2%/</w:t>
      </w:r>
      <w:proofErr w:type="spellStart"/>
      <w:r w:rsidR="00E5778F">
        <w:t>yr</w:t>
      </w:r>
      <w:proofErr w:type="spellEnd"/>
      <w:r w:rsidR="00E5778F">
        <w:t xml:space="preserve"> for 30 </w:t>
      </w:r>
      <w:r w:rsidR="002B2BE7">
        <w:t>yrs.</w:t>
      </w:r>
      <w:r w:rsidR="00E5778F">
        <w:t xml:space="preserve"> = </w:t>
      </w:r>
      <w:r w:rsidR="00414C42">
        <w:t>992,854</w:t>
      </w:r>
      <w:r w:rsidR="008F2F68">
        <w:t>)?  Then wouldn’t this mean an actual commercial allocation of 95% rather than 87%</w:t>
      </w:r>
      <w:r w:rsidR="001C653D">
        <w:t xml:space="preserve">?  </w:t>
      </w:r>
    </w:p>
    <w:p w14:paraId="30964402" w14:textId="674D981B" w:rsidR="001C653D" w:rsidRDefault="001C653D" w:rsidP="00B35CAE">
      <w:r>
        <w:t xml:space="preserve">In 2015, the total </w:t>
      </w:r>
      <w:r w:rsidR="0092169A">
        <w:t xml:space="preserve">Visitor Center capacity was 544,890 with </w:t>
      </w:r>
      <w:r w:rsidR="000B2082">
        <w:t xml:space="preserve">517, 650 allocated to commercial and the remainder to unguided and local.  That remainder, </w:t>
      </w:r>
      <w:r w:rsidR="00074CC1">
        <w:t xml:space="preserve">27,240, closely resembled the total Juneau population.  If the </w:t>
      </w:r>
      <w:r w:rsidR="00D56C3D">
        <w:t>total Visitor Center capacity is increased to 999,999</w:t>
      </w:r>
      <w:r w:rsidR="00663B22">
        <w:t xml:space="preserve">, with 87% allocated to commercial, the remaining capacity is </w:t>
      </w:r>
      <w:r w:rsidR="00162118">
        <w:t xml:space="preserve">149,850 which is allocated to unguided and residents.  How can that happen if those populations are </w:t>
      </w:r>
      <w:r w:rsidR="00CD1457">
        <w:t>assumed to be stable</w:t>
      </w:r>
      <w:proofErr w:type="gramStart"/>
      <w:r w:rsidR="00CD1457">
        <w:t>....or</w:t>
      </w:r>
      <w:proofErr w:type="gramEnd"/>
      <w:r w:rsidR="00CD1457">
        <w:t xml:space="preserve"> even if they increase at 2% from </w:t>
      </w:r>
      <w:r w:rsidR="006A0980">
        <w:t xml:space="preserve">27,240?  A 3% increase from 2015 levels would only be a total of 49,634. </w:t>
      </w:r>
    </w:p>
    <w:p w14:paraId="426EB693" w14:textId="23AE21A7" w:rsidR="00500BD1" w:rsidRPr="00504920" w:rsidRDefault="00500BD1" w:rsidP="00B35CAE">
      <w:r>
        <w:t xml:space="preserve">Also, 2% should not be applied to capacities for the extended season, since the only capacity that is increasing is the commercial one.  </w:t>
      </w:r>
      <w:r w:rsidR="00504920">
        <w:t xml:space="preserve">Therefore </w:t>
      </w:r>
      <w:r w:rsidR="00504920">
        <w:rPr>
          <w:b/>
          <w:bCs/>
          <w:i/>
          <w:iCs/>
        </w:rPr>
        <w:t xml:space="preserve">all </w:t>
      </w:r>
      <w:r w:rsidR="00504920">
        <w:t>increases to trails and other facilities</w:t>
      </w:r>
      <w:r w:rsidR="003A0198">
        <w:t xml:space="preserve"> will be from </w:t>
      </w:r>
      <w:r w:rsidR="003A0198">
        <w:lastRenderedPageBreak/>
        <w:t xml:space="preserve">commercial visitors – there will be no increase in total capacity outside of this.  USFS needs to adjust </w:t>
      </w:r>
      <w:proofErr w:type="spellStart"/>
      <w:proofErr w:type="gramStart"/>
      <w:r w:rsidR="003A0198">
        <w:t>it’s</w:t>
      </w:r>
      <w:proofErr w:type="spellEnd"/>
      <w:proofErr w:type="gramEnd"/>
      <w:r w:rsidR="003A0198">
        <w:t xml:space="preserve"> total capacity calculations and percent allocations to address this.  </w:t>
      </w:r>
    </w:p>
    <w:p w14:paraId="2D45B7AD" w14:textId="56CA5BD1" w:rsidR="00E90C36" w:rsidRPr="004F22FE" w:rsidRDefault="0051129E" w:rsidP="00B35CAE">
      <w:r>
        <w:rPr>
          <w:b/>
          <w:bCs/>
        </w:rPr>
        <w:t xml:space="preserve">It appears that the </w:t>
      </w:r>
      <w:r w:rsidR="00905B93" w:rsidRPr="004F22FE">
        <w:rPr>
          <w:b/>
          <w:bCs/>
        </w:rPr>
        <w:t>USFS is artificially keeping the percent of commercial allocation low by unrealistically inflating total capacities</w:t>
      </w:r>
      <w:r w:rsidR="002B2BE7">
        <w:rPr>
          <w:b/>
          <w:bCs/>
        </w:rPr>
        <w:t xml:space="preserve"> and increasing the season</w:t>
      </w:r>
      <w:r>
        <w:rPr>
          <w:b/>
          <w:bCs/>
        </w:rPr>
        <w:t xml:space="preserve"> for everyone, not just commercial users whose season it is</w:t>
      </w:r>
      <w:r w:rsidR="00905B93" w:rsidRPr="004F22FE">
        <w:rPr>
          <w:b/>
          <w:bCs/>
        </w:rPr>
        <w:t xml:space="preserve">.  </w:t>
      </w:r>
      <w:r w:rsidR="004F22FE">
        <w:t>This is essentially a shell game</w:t>
      </w:r>
      <w:r w:rsidR="00CF0A95">
        <w:t xml:space="preserve"> that disingenuously claims that commercial allocations remain </w:t>
      </w:r>
      <w:r w:rsidR="00EB1E0C">
        <w:t xml:space="preserve">unchanged for trails when the </w:t>
      </w:r>
      <w:r w:rsidR="00313804">
        <w:t xml:space="preserve">amount allocated to non-commercial use is well above any realistic use level for the flat growth in the Juneau resident population or </w:t>
      </w:r>
      <w:r w:rsidR="00DA50AE">
        <w:t>unguided visitors</w:t>
      </w:r>
      <w:r w:rsidR="00EA2C52">
        <w:t xml:space="preserve"> (</w:t>
      </w:r>
      <w:proofErr w:type="gramStart"/>
      <w:r w:rsidR="00EA2C52">
        <w:t>i.e.</w:t>
      </w:r>
      <w:proofErr w:type="gramEnd"/>
      <w:r w:rsidR="00EA2C52">
        <w:t xml:space="preserve"> 61,</w:t>
      </w:r>
      <w:r w:rsidR="00481FD3">
        <w:t xml:space="preserve">600 </w:t>
      </w:r>
      <w:r w:rsidR="00A321FC">
        <w:t xml:space="preserve">annual </w:t>
      </w:r>
      <w:r w:rsidR="00481FD3">
        <w:t xml:space="preserve">non-commercial capacity for Urban trails </w:t>
      </w:r>
      <w:r w:rsidR="00A321FC">
        <w:t>is nearly twice the entire population of Juneau)</w:t>
      </w:r>
      <w:r w:rsidR="00DA50AE">
        <w:t xml:space="preserve">. </w:t>
      </w:r>
    </w:p>
    <w:p w14:paraId="52ABDFB6" w14:textId="22FFC956" w:rsidR="00D356B4" w:rsidRDefault="00A311AE" w:rsidP="00B35CAE">
      <w:r>
        <w:rPr>
          <w:b/>
          <w:bCs/>
        </w:rPr>
        <w:t>Rationale for Trail ROS designation changes</w:t>
      </w:r>
      <w:r w:rsidR="005D7B30">
        <w:t xml:space="preserve">.  USFS does not provide a rationale for </w:t>
      </w:r>
      <w:r w:rsidR="00A954F4">
        <w:t xml:space="preserve">increased capacity and </w:t>
      </w:r>
      <w:r w:rsidR="005D7B30">
        <w:t xml:space="preserve">changes in ROS designation for trails or areas.  </w:t>
      </w:r>
      <w:r w:rsidR="00787DF1">
        <w:t xml:space="preserve">The USFS has data on </w:t>
      </w:r>
      <w:r w:rsidR="00E260D7">
        <w:t xml:space="preserve">use of currently allocated commercial visitor quota for </w:t>
      </w:r>
      <w:r w:rsidR="000832FB">
        <w:t xml:space="preserve">nearly all trails going back to at least 2012.  These data were analyzed for </w:t>
      </w:r>
      <w:r w:rsidR="003C24D7">
        <w:t xml:space="preserve">capacity considerations in the 215 Management Plan </w:t>
      </w:r>
      <w:r w:rsidR="00DF5DA6">
        <w:t>EA but</w:t>
      </w:r>
      <w:r w:rsidR="000371C6">
        <w:t xml:space="preserve"> were not used for trail capacity analysis in the DEIS/SDEIS.  </w:t>
      </w:r>
      <w:r w:rsidR="00B92340">
        <w:t xml:space="preserve">With the exception of the Moraine Ecology Trail and the Trail of </w:t>
      </w:r>
      <w:r w:rsidR="00472172">
        <w:t xml:space="preserve">Time </w:t>
      </w:r>
      <w:r w:rsidR="00472172">
        <w:rPr>
          <w:b/>
          <w:bCs/>
          <w:i/>
          <w:iCs/>
        </w:rPr>
        <w:t>none</w:t>
      </w:r>
      <w:r w:rsidR="00B92340">
        <w:t xml:space="preserve"> of these trails have ever reached their assigned commercial capacities.  </w:t>
      </w:r>
      <w:r w:rsidR="00DD033B">
        <w:t xml:space="preserve">Nowhere in the DEIS/SDEIS is there a discussion of the rationale for trail capacity increases.  </w:t>
      </w:r>
      <w:r w:rsidR="00496ACA">
        <w:t xml:space="preserve">Capacity increases are simply stated in the alternatives without analysis </w:t>
      </w:r>
      <w:r w:rsidR="00667D69">
        <w:t xml:space="preserve">and are another example of predetermination to increase capacity </w:t>
      </w:r>
      <w:r w:rsidR="00DF5DA6">
        <w:t xml:space="preserve">without NEPA review.  </w:t>
      </w:r>
      <w:r w:rsidR="005F1DC9">
        <w:t xml:space="preserve"> The USFS proposes to change the ROS designation for two of the monitored trails from </w:t>
      </w:r>
      <w:proofErr w:type="spellStart"/>
      <w:r w:rsidR="005F1DC9">
        <w:t>Roaded</w:t>
      </w:r>
      <w:proofErr w:type="spellEnd"/>
      <w:r w:rsidR="005F1DC9">
        <w:t xml:space="preserve"> Natural to </w:t>
      </w:r>
      <w:r w:rsidR="00FB71B0">
        <w:t>R</w:t>
      </w:r>
      <w:r w:rsidR="005F1DC9">
        <w:t xml:space="preserve">ural </w:t>
      </w:r>
      <w:r w:rsidR="00FB71B0">
        <w:t>based on</w:t>
      </w:r>
      <w:proofErr w:type="gramStart"/>
      <w:r w:rsidR="00FB71B0">
        <w:t>.....</w:t>
      </w:r>
      <w:proofErr w:type="gramEnd"/>
      <w:r w:rsidR="00FB71B0">
        <w:t xml:space="preserve">nothing.  One of the trails </w:t>
      </w:r>
      <w:r w:rsidR="000F0F32">
        <w:t>proposed</w:t>
      </w:r>
      <w:r w:rsidR="00FB71B0">
        <w:t xml:space="preserve"> to be redesignated never exceeds or</w:t>
      </w:r>
      <w:r w:rsidR="00790CB6">
        <w:t xml:space="preserve"> even approach the 20 encounter per day limit of the </w:t>
      </w:r>
      <w:proofErr w:type="spellStart"/>
      <w:r w:rsidR="00790CB6">
        <w:t>Roaded</w:t>
      </w:r>
      <w:proofErr w:type="spellEnd"/>
      <w:r w:rsidR="00790CB6">
        <w:t xml:space="preserve"> Natural designation</w:t>
      </w:r>
      <w:r w:rsidR="00FB71B0">
        <w:t xml:space="preserve"> when </w:t>
      </w:r>
      <w:r w:rsidR="00E11A83">
        <w:t xml:space="preserve">trail use is extrapolated to the maximum number of encounters using the </w:t>
      </w:r>
      <w:r w:rsidR="008E534F">
        <w:t>rate of proposed increase in the trail</w:t>
      </w:r>
      <w:r w:rsidR="00790CB6">
        <w:t xml:space="preserve">.  </w:t>
      </w:r>
      <w:r w:rsidR="008E534F">
        <w:t xml:space="preserve">When the other trail is </w:t>
      </w:r>
      <w:r w:rsidR="008E534F">
        <w:t>s extrapolated to the maximum number of encounters using the rate of proposed increase</w:t>
      </w:r>
      <w:r w:rsidR="008E534F">
        <w:t xml:space="preserve">, it is </w:t>
      </w:r>
      <w:r w:rsidR="006201A5">
        <w:t>2.5 encounters over the allowable 2</w:t>
      </w:r>
      <w:r w:rsidR="000F0F32">
        <w:t xml:space="preserve">0.  How is it justifiable to change the designation of this trail when this small exceedance could be addressed by </w:t>
      </w:r>
      <w:r w:rsidR="003E5574">
        <w:t xml:space="preserve">simply changing the already inflated estimates for the trail use?  </w:t>
      </w:r>
    </w:p>
    <w:p w14:paraId="6E35D02A" w14:textId="12914347" w:rsidR="00435349" w:rsidRDefault="005B3CDD" w:rsidP="00B35CAE">
      <w:r>
        <w:rPr>
          <w:b/>
          <w:bCs/>
        </w:rPr>
        <w:t>Effects Analysis</w:t>
      </w:r>
      <w:r>
        <w:t xml:space="preserve">:  The USFS </w:t>
      </w:r>
      <w:r w:rsidR="007F7281">
        <w:t xml:space="preserve">includes the usual umbrella statement that conclusions on effects are based on “professional judgment” usually </w:t>
      </w:r>
      <w:proofErr w:type="gramStart"/>
      <w:r w:rsidR="007F7281">
        <w:t>a safe haven</w:t>
      </w:r>
      <w:proofErr w:type="gramEnd"/>
      <w:r w:rsidR="007F7281">
        <w:t xml:space="preserve"> assuming the judgments are even remotely realistic.  </w:t>
      </w:r>
      <w:r w:rsidR="001A1984">
        <w:t xml:space="preserve">However, it is unfathomable how the No Action Alternative’s Effect </w:t>
      </w:r>
      <w:r w:rsidR="0065443F">
        <w:t>on social encounters is the same as a proposal that increases capacity and trail use by hundreds of percents.</w:t>
      </w:r>
      <w:r w:rsidR="00FE5207">
        <w:t xml:space="preserve">  </w:t>
      </w:r>
      <w:r w:rsidR="002D760E">
        <w:t xml:space="preserve">It contains truly </w:t>
      </w:r>
      <w:proofErr w:type="gramStart"/>
      <w:r w:rsidR="002D760E">
        <w:t>mind bending</w:t>
      </w:r>
      <w:proofErr w:type="gramEnd"/>
      <w:r w:rsidR="002D760E">
        <w:t xml:space="preserve"> analysis:</w:t>
      </w:r>
    </w:p>
    <w:p w14:paraId="39CC758F" w14:textId="229A3514" w:rsidR="002D760E" w:rsidRPr="00CE6DDB" w:rsidRDefault="00FF131E" w:rsidP="002D760E">
      <w:pPr>
        <w:ind w:left="720"/>
      </w:pPr>
      <w:r w:rsidRPr="00CE6DDB">
        <w:t>“</w:t>
      </w:r>
      <w:r w:rsidR="002D760E" w:rsidRPr="00CE6DDB">
        <w:t>With the No Action Alternative, it is likely that locals would continue to avoid the Visitor Center</w:t>
      </w:r>
      <w:proofErr w:type="gramStart"/>
      <w:r w:rsidR="002D760E" w:rsidRPr="00CE6DDB">
        <w:t>.....</w:t>
      </w:r>
      <w:proofErr w:type="gramEnd"/>
      <w:r w:rsidRPr="00CE6DDB">
        <w:t>leading to more trail encounters per day” How can a continuation of an activity with a population that is not growing and a commercial capacity that is restricted result in more trail encounters?</w:t>
      </w:r>
    </w:p>
    <w:p w14:paraId="58181CAC" w14:textId="7DF5268B" w:rsidR="00FF131E" w:rsidRPr="00CE6DDB" w:rsidRDefault="00621201" w:rsidP="002D760E">
      <w:pPr>
        <w:ind w:left="720"/>
      </w:pPr>
      <w:r w:rsidRPr="00CE6DDB">
        <w:t>“</w:t>
      </w:r>
      <w:r w:rsidRPr="00CE6DDB">
        <w:t>In the Visitor Center Unit, trails that are already above Forest Plan ROS thresholds for social encounters on busy summer days, such as the East Glacier Trail</w:t>
      </w:r>
      <w:r w:rsidR="00081844" w:rsidRPr="00CE6DDB">
        <w:t xml:space="preserve"> </w:t>
      </w:r>
      <w:r w:rsidR="00081844" w:rsidRPr="00CE6DDB">
        <w:t>would likely have more days on which the number of social interactions is hig</w:t>
      </w:r>
      <w:r w:rsidR="00081844" w:rsidRPr="00CE6DDB">
        <w:t>h</w:t>
      </w:r>
      <w:r w:rsidRPr="00CE6DDB">
        <w:t xml:space="preserve">.”  </w:t>
      </w:r>
      <w:r w:rsidR="0013201F" w:rsidRPr="00CE6DDB">
        <w:t>Encounters were over the threshold by 8 in a single year</w:t>
      </w:r>
      <w:r w:rsidR="00081844" w:rsidRPr="00CE6DDB">
        <w:t>, the first time</w:t>
      </w:r>
      <w:r w:rsidR="0013201F" w:rsidRPr="00CE6DDB">
        <w:t xml:space="preserve"> since 2012.  </w:t>
      </w:r>
      <w:r w:rsidR="00CE6DDB" w:rsidRPr="00CE6DDB">
        <w:t xml:space="preserve">Encounters would increase with </w:t>
      </w:r>
      <w:r w:rsidR="00CE6DDB" w:rsidRPr="00CE6DDB">
        <w:t xml:space="preserve">population that is not growing and a commercial capacity that is </w:t>
      </w:r>
      <w:proofErr w:type="gramStart"/>
      <w:r w:rsidR="002F16FE" w:rsidRPr="00CE6DDB">
        <w:t>restricted</w:t>
      </w:r>
      <w:r w:rsidR="0056057C">
        <w:t>?</w:t>
      </w:r>
      <w:proofErr w:type="gramEnd"/>
    </w:p>
    <w:p w14:paraId="091CD194" w14:textId="776FAE80" w:rsidR="003E5574" w:rsidRPr="003B6E28" w:rsidRDefault="0065443F" w:rsidP="00B35CAE">
      <w:r w:rsidRPr="001E6F2A">
        <w:t xml:space="preserve"> </w:t>
      </w:r>
      <w:r w:rsidR="00D31746" w:rsidRPr="001E6F2A">
        <w:t xml:space="preserve">It’s also rather strange that the </w:t>
      </w:r>
      <w:r w:rsidR="001E6F2A" w:rsidRPr="001E6F2A">
        <w:t>responsiveness to the purpose and need includes this statement: “</w:t>
      </w:r>
      <w:r w:rsidR="001E6F2A" w:rsidRPr="001E6F2A">
        <w:t>This won’t likely meet peak demands, resulting in frustration from cruise passengers and an expected decrease in overall experience satisfaction.</w:t>
      </w:r>
      <w:r w:rsidR="001E6F2A">
        <w:t xml:space="preserve">”  Another </w:t>
      </w:r>
      <w:r w:rsidR="00721E29">
        <w:t xml:space="preserve">analysis lacking from this DEIS/SDEIS is any </w:t>
      </w:r>
      <w:r w:rsidR="00721E29">
        <w:lastRenderedPageBreak/>
        <w:t xml:space="preserve">information on user experience and how the packing of a million people into a small </w:t>
      </w:r>
      <w:r w:rsidR="002F16FE">
        <w:t xml:space="preserve">area will affect “experience satisfaction.”  However, this statement can only be talking about </w:t>
      </w:r>
      <w:r w:rsidR="0056057C">
        <w:t xml:space="preserve">“frustrations from cruise passengers and a decrease in overall experience satisfaction” of people who </w:t>
      </w:r>
      <w:r w:rsidR="0056057C">
        <w:rPr>
          <w:b/>
          <w:bCs/>
          <w:i/>
          <w:iCs/>
        </w:rPr>
        <w:t>don’t</w:t>
      </w:r>
      <w:r w:rsidR="0056057C">
        <w:t xml:space="preserve"> visit the MGRA because they are unable to do so commercially.  </w:t>
      </w:r>
      <w:r w:rsidR="003B6E28">
        <w:t xml:space="preserve">How does this balance against the experience of the people who </w:t>
      </w:r>
      <w:r w:rsidR="003B6E28">
        <w:rPr>
          <w:b/>
          <w:bCs/>
          <w:i/>
          <w:iCs/>
        </w:rPr>
        <w:t>do</w:t>
      </w:r>
      <w:r w:rsidR="003B6E28">
        <w:t xml:space="preserve"> get to visit and find it quite, natural, exemplary?  How does it balance against the experiences of locals and unguided users?  </w:t>
      </w:r>
    </w:p>
    <w:p w14:paraId="4EFE16DF" w14:textId="06FA3CB6" w:rsidR="0035335B" w:rsidRDefault="00A94CDF" w:rsidP="00B35CAE">
      <w:r>
        <w:rPr>
          <w:b/>
          <w:bCs/>
        </w:rPr>
        <w:t>Infrastructure</w:t>
      </w:r>
      <w:r w:rsidR="00F31667">
        <w:rPr>
          <w:b/>
          <w:bCs/>
        </w:rPr>
        <w:t xml:space="preserve"> and cumulative impacts:</w:t>
      </w:r>
      <w:r w:rsidR="00F31667">
        <w:t xml:space="preserve">  </w:t>
      </w:r>
      <w:r w:rsidR="00055E2D">
        <w:t xml:space="preserve">These issues have been raised at other points in this process but are raised again here.  The decision to increase commercial capacity and allocation at the MGRA has a direct impact on </w:t>
      </w:r>
      <w:r w:rsidR="00D001A1">
        <w:t>wastewater</w:t>
      </w:r>
      <w:r w:rsidR="00055E2D">
        <w:t xml:space="preserve"> treatment</w:t>
      </w:r>
      <w:r w:rsidR="00D001A1">
        <w:t xml:space="preserve">, traffic congestion/noise, and </w:t>
      </w:r>
      <w:r w:rsidR="007A1861">
        <w:t xml:space="preserve">solid waste </w:t>
      </w:r>
      <w:r w:rsidR="00D001A1">
        <w:t xml:space="preserve">that would not occur otherwise.  The USFS has failed to adequately assess </w:t>
      </w:r>
      <w:r w:rsidR="007A1861">
        <w:t xml:space="preserve">the impact of this decision on these locally funded resources.  </w:t>
      </w:r>
      <w:r w:rsidR="00A634C2">
        <w:t xml:space="preserve">The approximately 1 million anticipated visitors </w:t>
      </w:r>
      <w:proofErr w:type="gramStart"/>
      <w:r w:rsidR="00A634C2">
        <w:t>is</w:t>
      </w:r>
      <w:proofErr w:type="gramEnd"/>
      <w:r w:rsidR="00A634C2">
        <w:t xml:space="preserve"> nearly 3 times the entire population of Juneau.  </w:t>
      </w:r>
      <w:r w:rsidR="00E2657E">
        <w:t xml:space="preserve">The USFS cannot assume that the infrastructure </w:t>
      </w:r>
      <w:r w:rsidR="00A41BB9">
        <w:t xml:space="preserve">needed </w:t>
      </w:r>
      <w:r w:rsidR="00E2657E">
        <w:t xml:space="preserve">to support their capacity decisions </w:t>
      </w:r>
      <w:r w:rsidR="00A41BB9">
        <w:t xml:space="preserve">will not be substantially impacted.  These effects are required to be reviewed under NEPA.  </w:t>
      </w:r>
    </w:p>
    <w:p w14:paraId="79C99DD7" w14:textId="2866C54D" w:rsidR="00910890" w:rsidRDefault="00910890" w:rsidP="00910890">
      <w:r w:rsidRPr="00733387">
        <w:rPr>
          <w:b/>
          <w:bCs/>
        </w:rPr>
        <w:t xml:space="preserve">Skewed interpretation of Forest Plan standards.  </w:t>
      </w:r>
      <w:r>
        <w:rPr>
          <w:b/>
          <w:bCs/>
        </w:rPr>
        <w:t>Desired conditions, Special Interest Areas</w:t>
      </w:r>
      <w:r>
        <w:t xml:space="preserve">: </w:t>
      </w:r>
      <w:r>
        <w:t>The excerpt from the Forest Plan provided on page 1-6 of the DEIS/SDEIS is the subordinate portion of the desired condition for Special interest areas.  The superior element states:</w:t>
      </w:r>
    </w:p>
    <w:p w14:paraId="46B9473A" w14:textId="77777777" w:rsidR="00910890" w:rsidRPr="00341C45" w:rsidRDefault="00910890" w:rsidP="009108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</w:rPr>
      </w:pPr>
      <w:r w:rsidRPr="00341C45">
        <w:rPr>
          <w:rFonts w:cstheme="minorHAnsi"/>
          <w:b/>
          <w:bCs/>
        </w:rPr>
        <w:t>Desired Condition</w:t>
      </w:r>
    </w:p>
    <w:p w14:paraId="4CEE5B4E" w14:textId="77777777" w:rsidR="00910890" w:rsidRPr="00341C45" w:rsidRDefault="00910890" w:rsidP="009108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341C45">
        <w:rPr>
          <w:rFonts w:cstheme="minorHAnsi"/>
        </w:rPr>
        <w:t xml:space="preserve">All Special Interest Areas on the </w:t>
      </w:r>
      <w:proofErr w:type="spellStart"/>
      <w:r w:rsidRPr="00341C45">
        <w:rPr>
          <w:rFonts w:cstheme="minorHAnsi"/>
        </w:rPr>
        <w:t>Tongass</w:t>
      </w:r>
      <w:proofErr w:type="spellEnd"/>
      <w:r w:rsidRPr="00341C45">
        <w:rPr>
          <w:rFonts w:cstheme="minorHAnsi"/>
        </w:rPr>
        <w:t xml:space="preserve"> National Forest </w:t>
      </w:r>
      <w:r w:rsidRPr="00341C45">
        <w:rPr>
          <w:rFonts w:cstheme="minorHAnsi"/>
          <w:b/>
          <w:bCs/>
          <w:i/>
          <w:iCs/>
        </w:rPr>
        <w:t>are characterized by generally unmodified</w:t>
      </w:r>
      <w:r>
        <w:rPr>
          <w:rFonts w:cstheme="minorHAnsi"/>
          <w:b/>
          <w:bCs/>
          <w:i/>
          <w:iCs/>
        </w:rPr>
        <w:t xml:space="preserve"> </w:t>
      </w:r>
      <w:r w:rsidRPr="00341C45">
        <w:rPr>
          <w:rFonts w:cstheme="minorHAnsi"/>
          <w:b/>
          <w:bCs/>
          <w:i/>
          <w:iCs/>
        </w:rPr>
        <w:t>environments</w:t>
      </w:r>
      <w:r w:rsidRPr="00341C45">
        <w:rPr>
          <w:rFonts w:cstheme="minorHAnsi"/>
        </w:rPr>
        <w:t xml:space="preserve"> in which unique natural features are preserved. </w:t>
      </w:r>
      <w:r w:rsidRPr="00341C45">
        <w:rPr>
          <w:rFonts w:cstheme="minorHAnsi"/>
          <w:b/>
          <w:bCs/>
          <w:i/>
          <w:iCs/>
        </w:rPr>
        <w:t>They remain largely undisturbed by</w:t>
      </w:r>
      <w:r>
        <w:rPr>
          <w:rFonts w:cstheme="minorHAnsi"/>
          <w:b/>
          <w:bCs/>
          <w:i/>
          <w:iCs/>
        </w:rPr>
        <w:t xml:space="preserve"> </w:t>
      </w:r>
      <w:r w:rsidRPr="00341C45">
        <w:rPr>
          <w:rFonts w:cstheme="minorHAnsi"/>
          <w:b/>
          <w:bCs/>
          <w:i/>
          <w:iCs/>
        </w:rPr>
        <w:t>human uses or activitie</w:t>
      </w:r>
      <w:r w:rsidRPr="00341C45">
        <w:rPr>
          <w:rFonts w:cstheme="minorHAnsi"/>
        </w:rPr>
        <w:t>s, except for</w:t>
      </w:r>
      <w:r w:rsidRPr="0014035A">
        <w:rPr>
          <w:rFonts w:cstheme="minorHAnsi"/>
          <w:b/>
          <w:bCs/>
          <w:i/>
          <w:iCs/>
        </w:rPr>
        <w:t xml:space="preserve"> localized interpretive purpose</w:t>
      </w:r>
      <w:r w:rsidRPr="00341C45">
        <w:rPr>
          <w:rFonts w:cstheme="minorHAnsi"/>
        </w:rPr>
        <w:t>s and, in some cases, recreation</w:t>
      </w:r>
      <w:r>
        <w:rPr>
          <w:rFonts w:cstheme="minorHAnsi"/>
        </w:rPr>
        <w:t xml:space="preserve"> </w:t>
      </w:r>
      <w:r w:rsidRPr="00341C45">
        <w:rPr>
          <w:rFonts w:cstheme="minorHAnsi"/>
        </w:rPr>
        <w:t xml:space="preserve">developments, and provide quality opportunities for public study, use, and </w:t>
      </w:r>
      <w:proofErr w:type="gramStart"/>
      <w:r w:rsidRPr="00341C45">
        <w:rPr>
          <w:rFonts w:cstheme="minorHAnsi"/>
        </w:rPr>
        <w:t>enjoyment</w:t>
      </w:r>
      <w:r>
        <w:rPr>
          <w:rFonts w:cstheme="minorHAnsi"/>
        </w:rPr>
        <w:t>..</w:t>
      </w:r>
      <w:proofErr w:type="gramEnd"/>
    </w:p>
    <w:p w14:paraId="6F319401" w14:textId="77777777" w:rsidR="00910890" w:rsidRDefault="00910890" w:rsidP="00910890">
      <w:r w:rsidRPr="00341C45">
        <w:t xml:space="preserve">The USFS cannot pick and choose </w:t>
      </w:r>
      <w:r>
        <w:t xml:space="preserve">sections from the Forest Plan to avoid the conditions that are not compatible with their proposed actions. </w:t>
      </w:r>
    </w:p>
    <w:p w14:paraId="5C07CDF1" w14:textId="77777777" w:rsidR="00910890" w:rsidRDefault="00910890" w:rsidP="00910890">
      <w:r>
        <w:t xml:space="preserve">Intentionally removing habitat, and displacing </w:t>
      </w:r>
      <w:proofErr w:type="gramStart"/>
      <w:r>
        <w:t>wildlife,  for</w:t>
      </w:r>
      <w:proofErr w:type="gramEnd"/>
      <w:r>
        <w:t xml:space="preserve"> a road-width lakeshore trail so that people can “walk 4 abreast (James King, webinar)” is impossible to reconcile with the concept of keeping the area largely undisturbed. As stated in the webinar, </w:t>
      </w:r>
      <w:proofErr w:type="gramStart"/>
      <w:r>
        <w:t>the majority of</w:t>
      </w:r>
      <w:proofErr w:type="gramEnd"/>
      <w:r>
        <w:t xml:space="preserve"> visitors are not expected to use even half of this trail. The local skiers already have control of the campground.  They should not take precedence over </w:t>
      </w:r>
      <w:proofErr w:type="gramStart"/>
      <w:r>
        <w:t>the majority of</w:t>
      </w:r>
      <w:proofErr w:type="gramEnd"/>
      <w:r>
        <w:t xml:space="preserve"> commenters who disapprove.  </w:t>
      </w:r>
    </w:p>
    <w:p w14:paraId="65A2861E" w14:textId="479F2BF5" w:rsidR="00FA5652" w:rsidRPr="00FA5652" w:rsidRDefault="00FA5652" w:rsidP="00B35CAE">
      <w:pPr>
        <w:rPr>
          <w:b/>
          <w:bCs/>
        </w:rPr>
      </w:pPr>
      <w:r>
        <w:rPr>
          <w:b/>
          <w:bCs/>
        </w:rPr>
        <w:t>Potential Bias:</w:t>
      </w:r>
      <w:r w:rsidR="00266015">
        <w:rPr>
          <w:b/>
          <w:bCs/>
        </w:rPr>
        <w:t xml:space="preserve"> </w:t>
      </w:r>
      <w:r w:rsidR="00266015" w:rsidRPr="009207DD">
        <w:rPr>
          <w:b/>
          <w:bCs/>
        </w:rPr>
        <w:t xml:space="preserve"> </w:t>
      </w:r>
      <w:r w:rsidR="009207DD" w:rsidRPr="009207DD">
        <w:t>The Director of Engineering and the Director of Rec &amp; Lands are on the RO steering committee for the project and the project IDT leader—who is now the Ecosystem Planning (or whatever it’s called these days) Director--will be directly involved in the objection process.</w:t>
      </w:r>
      <w:r w:rsidR="009207DD">
        <w:t xml:space="preserve">  </w:t>
      </w:r>
      <w:r w:rsidR="00EB70CB">
        <w:t xml:space="preserve">The objection process should be removed from influence by anyone directly involved in developing </w:t>
      </w:r>
      <w:r w:rsidR="0089063F">
        <w:t xml:space="preserve">the project to avoid the taint of bias in the review.  </w:t>
      </w:r>
      <w:r w:rsidR="00464F2C">
        <w:t xml:space="preserve">This is merely good practice and is not intended to reflect on the integrity of anyone involved in the project development.  </w:t>
      </w:r>
    </w:p>
    <w:p w14:paraId="2D150EB9" w14:textId="55BF5144" w:rsidR="00DC3E70" w:rsidRDefault="002F6F48" w:rsidP="00DC3E70">
      <w:r>
        <w:rPr>
          <w:b/>
          <w:bCs/>
        </w:rPr>
        <w:t xml:space="preserve">Alternative mix: </w:t>
      </w:r>
      <w:r w:rsidR="00DC3E70">
        <w:t xml:space="preserve">In keeping with the designation of the MGRA as a Special Interest Area, and </w:t>
      </w:r>
      <w:proofErr w:type="gramStart"/>
      <w:r w:rsidR="00DC3E70">
        <w:t>in light of</w:t>
      </w:r>
      <w:proofErr w:type="gramEnd"/>
      <w:r w:rsidR="00DC3E70">
        <w:t xml:space="preserve"> the comments </w:t>
      </w:r>
      <w:r>
        <w:t>in this letter</w:t>
      </w:r>
      <w:r w:rsidR="00DC3E70">
        <w:t>, I support the following combination of alternatives:</w:t>
      </w:r>
    </w:p>
    <w:p w14:paraId="1BE2A6BA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 xml:space="preserve">Welcome Center, Visitor </w:t>
      </w:r>
      <w:proofErr w:type="gramStart"/>
      <w:r>
        <w:t>Center</w:t>
      </w:r>
      <w:proofErr w:type="gramEnd"/>
      <w:r>
        <w:t xml:space="preserve"> and parking design from Alternative 4</w:t>
      </w:r>
    </w:p>
    <w:p w14:paraId="6122E70A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Dredge Lake Trail actions and commercial capacity from Alternative 4</w:t>
      </w:r>
    </w:p>
    <w:p w14:paraId="130650B0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 xml:space="preserve">Visitor capacity for Visitor Center Unit from Alternative 4 </w:t>
      </w:r>
    </w:p>
    <w:p w14:paraId="7452328C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 xml:space="preserve">Visitor capacity for other units and trails from Alternative 1 </w:t>
      </w:r>
    </w:p>
    <w:p w14:paraId="106A110F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lastRenderedPageBreak/>
        <w:t xml:space="preserve">Lakeshore trail from Alternative 1 </w:t>
      </w:r>
    </w:p>
    <w:p w14:paraId="501D2B04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Public use cabins from Alternatives 2-4</w:t>
      </w:r>
    </w:p>
    <w:p w14:paraId="0A0805A2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Nugget Falls trail expansion from Alternative 1</w:t>
      </w:r>
    </w:p>
    <w:p w14:paraId="70CCCEC5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Steep Creek Habitat restoration from Alternative 2</w:t>
      </w:r>
    </w:p>
    <w:p w14:paraId="7C25613C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Steep creek trail expansion from Alternative 4</w:t>
      </w:r>
    </w:p>
    <w:p w14:paraId="41103CCC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Boat docks and relative facilities from Alternatives 1 and 4</w:t>
      </w:r>
    </w:p>
    <w:p w14:paraId="26F93DA5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Remote Visitor Center and associated facilities from Alternatives 1 and 4</w:t>
      </w:r>
    </w:p>
    <w:p w14:paraId="42BEAD1F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Management Unity boundaries from Alternative 4</w:t>
      </w:r>
    </w:p>
    <w:p w14:paraId="2804515C" w14:textId="77777777" w:rsidR="00DC3E70" w:rsidRDefault="00DC3E70" w:rsidP="00DC3E70">
      <w:pPr>
        <w:pStyle w:val="ListParagraph"/>
        <w:numPr>
          <w:ilvl w:val="0"/>
          <w:numId w:val="6"/>
        </w:numPr>
      </w:pPr>
      <w:r>
        <w:t>Forest Orders except nighttime closures in winter from Alternatives 1-4</w:t>
      </w:r>
    </w:p>
    <w:p w14:paraId="5FC886B8" w14:textId="2D18455E" w:rsidR="004145CB" w:rsidRPr="00F31667" w:rsidRDefault="00EB236F" w:rsidP="00B35CAE">
      <w:r>
        <w:t xml:space="preserve">Comments made previously on the DEIS and Scoping documents are still valid. </w:t>
      </w:r>
    </w:p>
    <w:p w14:paraId="146DC022" w14:textId="77777777" w:rsidR="0035335B" w:rsidRDefault="0035335B" w:rsidP="00B35CAE"/>
    <w:p w14:paraId="18C7B346" w14:textId="689F46D0" w:rsidR="00B66F3D" w:rsidRPr="00B35CAE" w:rsidRDefault="00B66F3D" w:rsidP="00B35CAE"/>
    <w:p w14:paraId="16601471" w14:textId="4C24DCB9" w:rsidR="00D1507D" w:rsidRPr="00D1507D" w:rsidRDefault="00822E35" w:rsidP="00250021">
      <w:pPr>
        <w:ind w:left="720"/>
      </w:pPr>
      <w:r>
        <w:t xml:space="preserve">   </w:t>
      </w:r>
    </w:p>
    <w:sectPr w:rsidR="00D1507D" w:rsidRPr="00D150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C8F7" w14:textId="77777777" w:rsidR="00361374" w:rsidRDefault="00361374" w:rsidP="00EB236F">
      <w:pPr>
        <w:spacing w:after="0" w:line="240" w:lineRule="auto"/>
      </w:pPr>
      <w:r>
        <w:separator/>
      </w:r>
    </w:p>
  </w:endnote>
  <w:endnote w:type="continuationSeparator" w:id="0">
    <w:p w14:paraId="6AA9842B" w14:textId="77777777" w:rsidR="00361374" w:rsidRDefault="00361374" w:rsidP="00EB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660D" w14:textId="79B2929C" w:rsidR="00EB236F" w:rsidRDefault="00EB236F">
    <w:pPr>
      <w:pStyle w:val="Footer"/>
    </w:pPr>
    <w:r>
      <w:t xml:space="preserve">K. Miller 2/21/23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7D8C" w14:textId="77777777" w:rsidR="00361374" w:rsidRDefault="00361374" w:rsidP="00EB236F">
      <w:pPr>
        <w:spacing w:after="0" w:line="240" w:lineRule="auto"/>
      </w:pPr>
      <w:r>
        <w:separator/>
      </w:r>
    </w:p>
  </w:footnote>
  <w:footnote w:type="continuationSeparator" w:id="0">
    <w:p w14:paraId="19F68E89" w14:textId="77777777" w:rsidR="00361374" w:rsidRDefault="00361374" w:rsidP="00EB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B5D3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473ABEC7">
      <w:start w:val="1"/>
      <w:numFmt w:val="lowerRoman"/>
      <w:lvlText w:val="%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510AF"/>
    <w:multiLevelType w:val="hybridMultilevel"/>
    <w:tmpl w:val="5394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0A9D"/>
    <w:multiLevelType w:val="hybridMultilevel"/>
    <w:tmpl w:val="AD4E387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EB87737"/>
    <w:multiLevelType w:val="hybridMultilevel"/>
    <w:tmpl w:val="B7ACD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2547E9"/>
    <w:multiLevelType w:val="hybridMultilevel"/>
    <w:tmpl w:val="D1B2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476"/>
    <w:multiLevelType w:val="hybridMultilevel"/>
    <w:tmpl w:val="6126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2638">
    <w:abstractNumId w:val="2"/>
  </w:num>
  <w:num w:numId="2" w16cid:durableId="452288166">
    <w:abstractNumId w:val="0"/>
  </w:num>
  <w:num w:numId="3" w16cid:durableId="1763794934">
    <w:abstractNumId w:val="3"/>
  </w:num>
  <w:num w:numId="4" w16cid:durableId="1517772087">
    <w:abstractNumId w:val="4"/>
  </w:num>
  <w:num w:numId="5" w16cid:durableId="1048333757">
    <w:abstractNumId w:val="1"/>
  </w:num>
  <w:num w:numId="6" w16cid:durableId="2060938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E9"/>
    <w:rsid w:val="0002788D"/>
    <w:rsid w:val="000371C6"/>
    <w:rsid w:val="00055E2D"/>
    <w:rsid w:val="00074CC1"/>
    <w:rsid w:val="00081844"/>
    <w:rsid w:val="000832FB"/>
    <w:rsid w:val="0008692C"/>
    <w:rsid w:val="000908AA"/>
    <w:rsid w:val="000B2082"/>
    <w:rsid w:val="000F0F32"/>
    <w:rsid w:val="001203C7"/>
    <w:rsid w:val="0013201F"/>
    <w:rsid w:val="00132AA7"/>
    <w:rsid w:val="0014035A"/>
    <w:rsid w:val="00162118"/>
    <w:rsid w:val="001A1984"/>
    <w:rsid w:val="001C3A1E"/>
    <w:rsid w:val="001C653D"/>
    <w:rsid w:val="001E6F2A"/>
    <w:rsid w:val="00245493"/>
    <w:rsid w:val="00250021"/>
    <w:rsid w:val="00256626"/>
    <w:rsid w:val="00266015"/>
    <w:rsid w:val="002863CC"/>
    <w:rsid w:val="002B2BE7"/>
    <w:rsid w:val="002D2A0A"/>
    <w:rsid w:val="002D760E"/>
    <w:rsid w:val="002F16FE"/>
    <w:rsid w:val="002F6F48"/>
    <w:rsid w:val="003126D7"/>
    <w:rsid w:val="00313804"/>
    <w:rsid w:val="00332874"/>
    <w:rsid w:val="00341C45"/>
    <w:rsid w:val="0034309E"/>
    <w:rsid w:val="0035335B"/>
    <w:rsid w:val="00353E9B"/>
    <w:rsid w:val="0035506E"/>
    <w:rsid w:val="00361374"/>
    <w:rsid w:val="00380424"/>
    <w:rsid w:val="003A0198"/>
    <w:rsid w:val="003B6E28"/>
    <w:rsid w:val="003C24D7"/>
    <w:rsid w:val="003E5574"/>
    <w:rsid w:val="0041262F"/>
    <w:rsid w:val="004145CB"/>
    <w:rsid w:val="00414C42"/>
    <w:rsid w:val="00435349"/>
    <w:rsid w:val="00447FFD"/>
    <w:rsid w:val="00464F2C"/>
    <w:rsid w:val="00472172"/>
    <w:rsid w:val="00481FD3"/>
    <w:rsid w:val="00496ACA"/>
    <w:rsid w:val="004973A9"/>
    <w:rsid w:val="004B02B8"/>
    <w:rsid w:val="004E1C10"/>
    <w:rsid w:val="004F22FE"/>
    <w:rsid w:val="00500BD1"/>
    <w:rsid w:val="00504920"/>
    <w:rsid w:val="0051129E"/>
    <w:rsid w:val="00556692"/>
    <w:rsid w:val="0056057C"/>
    <w:rsid w:val="005B27A5"/>
    <w:rsid w:val="005B3CDD"/>
    <w:rsid w:val="005B5F55"/>
    <w:rsid w:val="005D7B30"/>
    <w:rsid w:val="005F1DC9"/>
    <w:rsid w:val="006166BD"/>
    <w:rsid w:val="006201A5"/>
    <w:rsid w:val="00621201"/>
    <w:rsid w:val="0063428E"/>
    <w:rsid w:val="0065443F"/>
    <w:rsid w:val="00663B22"/>
    <w:rsid w:val="00667D69"/>
    <w:rsid w:val="006A0980"/>
    <w:rsid w:val="006A5980"/>
    <w:rsid w:val="00721E29"/>
    <w:rsid w:val="00733387"/>
    <w:rsid w:val="00777C35"/>
    <w:rsid w:val="00787DF1"/>
    <w:rsid w:val="00790CB6"/>
    <w:rsid w:val="007A1861"/>
    <w:rsid w:val="007F5436"/>
    <w:rsid w:val="007F7281"/>
    <w:rsid w:val="00822E35"/>
    <w:rsid w:val="00844B27"/>
    <w:rsid w:val="008561BE"/>
    <w:rsid w:val="00867562"/>
    <w:rsid w:val="00880676"/>
    <w:rsid w:val="0089063F"/>
    <w:rsid w:val="008E534F"/>
    <w:rsid w:val="008F2F68"/>
    <w:rsid w:val="008F7E09"/>
    <w:rsid w:val="00903CEC"/>
    <w:rsid w:val="00905B93"/>
    <w:rsid w:val="00910890"/>
    <w:rsid w:val="009207DD"/>
    <w:rsid w:val="0092169A"/>
    <w:rsid w:val="009457BC"/>
    <w:rsid w:val="00952843"/>
    <w:rsid w:val="00A311AE"/>
    <w:rsid w:val="00A321FC"/>
    <w:rsid w:val="00A41B90"/>
    <w:rsid w:val="00A41BB9"/>
    <w:rsid w:val="00A634C2"/>
    <w:rsid w:val="00A94CDF"/>
    <w:rsid w:val="00A954F4"/>
    <w:rsid w:val="00AD03D2"/>
    <w:rsid w:val="00B253A2"/>
    <w:rsid w:val="00B35CAE"/>
    <w:rsid w:val="00B3663B"/>
    <w:rsid w:val="00B50DCD"/>
    <w:rsid w:val="00B66F3D"/>
    <w:rsid w:val="00B92340"/>
    <w:rsid w:val="00C2535E"/>
    <w:rsid w:val="00C62FD3"/>
    <w:rsid w:val="00C70FE9"/>
    <w:rsid w:val="00C93F0D"/>
    <w:rsid w:val="00CA608F"/>
    <w:rsid w:val="00CC1694"/>
    <w:rsid w:val="00CC27A5"/>
    <w:rsid w:val="00CD1457"/>
    <w:rsid w:val="00CE6DDB"/>
    <w:rsid w:val="00CF0A95"/>
    <w:rsid w:val="00D001A1"/>
    <w:rsid w:val="00D00280"/>
    <w:rsid w:val="00D1507D"/>
    <w:rsid w:val="00D15485"/>
    <w:rsid w:val="00D17721"/>
    <w:rsid w:val="00D31746"/>
    <w:rsid w:val="00D31DFF"/>
    <w:rsid w:val="00D34187"/>
    <w:rsid w:val="00D356B4"/>
    <w:rsid w:val="00D37C77"/>
    <w:rsid w:val="00D54AE3"/>
    <w:rsid w:val="00D56C3D"/>
    <w:rsid w:val="00D65309"/>
    <w:rsid w:val="00D71F10"/>
    <w:rsid w:val="00D753AF"/>
    <w:rsid w:val="00D8227E"/>
    <w:rsid w:val="00D934E6"/>
    <w:rsid w:val="00D93626"/>
    <w:rsid w:val="00DA50AE"/>
    <w:rsid w:val="00DB03A9"/>
    <w:rsid w:val="00DC3E70"/>
    <w:rsid w:val="00DD033B"/>
    <w:rsid w:val="00DF5DA6"/>
    <w:rsid w:val="00E11A83"/>
    <w:rsid w:val="00E12E42"/>
    <w:rsid w:val="00E260D7"/>
    <w:rsid w:val="00E2657E"/>
    <w:rsid w:val="00E56069"/>
    <w:rsid w:val="00E5778F"/>
    <w:rsid w:val="00E57CE1"/>
    <w:rsid w:val="00E85926"/>
    <w:rsid w:val="00E90C36"/>
    <w:rsid w:val="00EA2C52"/>
    <w:rsid w:val="00EB1E0C"/>
    <w:rsid w:val="00EB236F"/>
    <w:rsid w:val="00EB70CB"/>
    <w:rsid w:val="00EE295C"/>
    <w:rsid w:val="00EF64D6"/>
    <w:rsid w:val="00EF6886"/>
    <w:rsid w:val="00F008D2"/>
    <w:rsid w:val="00F31667"/>
    <w:rsid w:val="00F40E7F"/>
    <w:rsid w:val="00F43F19"/>
    <w:rsid w:val="00F54145"/>
    <w:rsid w:val="00FA5652"/>
    <w:rsid w:val="00FB71B0"/>
    <w:rsid w:val="00FE5207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C9CB"/>
  <w15:chartTrackingRefBased/>
  <w15:docId w15:val="{4BCD8D6F-9C37-4738-9858-F957EFF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EC"/>
    <w:pPr>
      <w:ind w:left="720"/>
      <w:contextualSpacing/>
    </w:pPr>
  </w:style>
  <w:style w:type="paragraph" w:customStyle="1" w:styleId="Default">
    <w:name w:val="Default"/>
    <w:rsid w:val="00090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6F"/>
  </w:style>
  <w:style w:type="paragraph" w:styleId="Footer">
    <w:name w:val="footer"/>
    <w:basedOn w:val="Normal"/>
    <w:link w:val="FooterChar"/>
    <w:uiPriority w:val="99"/>
    <w:unhideWhenUsed/>
    <w:rsid w:val="00EB2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Miller</dc:creator>
  <cp:keywords/>
  <dc:description/>
  <cp:lastModifiedBy>Katharine Miller</cp:lastModifiedBy>
  <cp:revision>3</cp:revision>
  <dcterms:created xsi:type="dcterms:W3CDTF">2023-02-22T06:25:00Z</dcterms:created>
  <dcterms:modified xsi:type="dcterms:W3CDTF">2023-02-22T06:28:00Z</dcterms:modified>
</cp:coreProperties>
</file>