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3DB3" w14:textId="73111096" w:rsidR="002464E8" w:rsidRPr="00D617BB" w:rsidRDefault="00565CA2">
      <w:pPr>
        <w:rPr>
          <w:rFonts w:cstheme="minorHAnsi"/>
          <w:sz w:val="24"/>
          <w:szCs w:val="24"/>
        </w:rPr>
      </w:pPr>
      <w:r w:rsidRPr="00D617BB">
        <w:rPr>
          <w:rFonts w:cstheme="minorHAnsi"/>
          <w:sz w:val="24"/>
          <w:szCs w:val="24"/>
        </w:rPr>
        <w:t>January 5, 2023</w:t>
      </w:r>
    </w:p>
    <w:p w14:paraId="5B061649" w14:textId="7021C3DC" w:rsidR="004E4D93" w:rsidRPr="00D617BB" w:rsidRDefault="00645A1F">
      <w:pPr>
        <w:rPr>
          <w:rFonts w:cstheme="minorHAnsi"/>
          <w:sz w:val="24"/>
          <w:szCs w:val="24"/>
        </w:rPr>
      </w:pPr>
      <w:r w:rsidRPr="00D617BB">
        <w:rPr>
          <w:rFonts w:cstheme="minorHAnsi"/>
          <w:b/>
          <w:bCs/>
          <w:sz w:val="24"/>
          <w:szCs w:val="24"/>
        </w:rPr>
        <w:t>CANADA LYNX</w:t>
      </w:r>
      <w:r w:rsidR="00565CA2" w:rsidRPr="00D617BB">
        <w:rPr>
          <w:rFonts w:cstheme="minorHAnsi"/>
          <w:sz w:val="24"/>
          <w:szCs w:val="24"/>
        </w:rPr>
        <w:t>: There are seven Canada lynx analysis areas (LAU) within the wildlife analysis area</w:t>
      </w:r>
      <w:r w:rsidR="004E4D93" w:rsidRPr="00D617BB">
        <w:rPr>
          <w:rFonts w:cstheme="minorHAnsi"/>
          <w:sz w:val="24"/>
          <w:szCs w:val="24"/>
        </w:rPr>
        <w:t>. The LAU’s were delineated by the Forest Service. Table 4.13-1 displays the acres in each Canada lynx LAU directly and indirectly effected by each of the two action alternatives.</w:t>
      </w:r>
    </w:p>
    <w:tbl>
      <w:tblPr>
        <w:tblW w:w="1224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80"/>
        <w:gridCol w:w="4080"/>
        <w:gridCol w:w="4080"/>
      </w:tblGrid>
      <w:tr w:rsidR="004E4D93" w:rsidRPr="00D617BB" w14:paraId="7630CD70" w14:textId="77777777" w:rsidTr="00CD79E2">
        <w:trPr>
          <w:trHeight w:val="257"/>
        </w:trPr>
        <w:tc>
          <w:tcPr>
            <w:tcW w:w="4080" w:type="dxa"/>
            <w:tcBorders>
              <w:top w:val="none" w:sz="6" w:space="0" w:color="auto"/>
              <w:bottom w:val="none" w:sz="6" w:space="0" w:color="auto"/>
              <w:right w:val="none" w:sz="6" w:space="0" w:color="auto"/>
            </w:tcBorders>
          </w:tcPr>
          <w:p w14:paraId="17CE964C"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b/>
                <w:bCs/>
              </w:rPr>
              <w:t xml:space="preserve">Table 4.13-1 Direct and Indirect Impacts on Canada Lynx Habitat LAU </w:t>
            </w:r>
          </w:p>
        </w:tc>
        <w:tc>
          <w:tcPr>
            <w:tcW w:w="4080" w:type="dxa"/>
            <w:tcBorders>
              <w:top w:val="none" w:sz="6" w:space="0" w:color="auto"/>
              <w:left w:val="none" w:sz="6" w:space="0" w:color="auto"/>
              <w:bottom w:val="none" w:sz="6" w:space="0" w:color="auto"/>
              <w:right w:val="none" w:sz="6" w:space="0" w:color="auto"/>
            </w:tcBorders>
          </w:tcPr>
          <w:p w14:paraId="6B68AAD0"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b/>
                <w:bCs/>
              </w:rPr>
              <w:t xml:space="preserve">Directly Impacted Modeled Habitat (acres) </w:t>
            </w:r>
          </w:p>
        </w:tc>
        <w:tc>
          <w:tcPr>
            <w:tcW w:w="4080" w:type="dxa"/>
            <w:tcBorders>
              <w:top w:val="none" w:sz="6" w:space="0" w:color="auto"/>
              <w:left w:val="none" w:sz="6" w:space="0" w:color="auto"/>
              <w:bottom w:val="none" w:sz="6" w:space="0" w:color="auto"/>
            </w:tcBorders>
          </w:tcPr>
          <w:p w14:paraId="296DD929"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b/>
                <w:bCs/>
              </w:rPr>
              <w:t xml:space="preserve">Indirectly Impacted Modeled Habitat (acres) </w:t>
            </w:r>
          </w:p>
        </w:tc>
      </w:tr>
      <w:tr w:rsidR="004E4D93" w:rsidRPr="00D617BB" w14:paraId="68A7F7F7" w14:textId="77777777" w:rsidTr="00CD79E2">
        <w:trPr>
          <w:trHeight w:val="137"/>
        </w:trPr>
        <w:tc>
          <w:tcPr>
            <w:tcW w:w="4080" w:type="dxa"/>
            <w:tcBorders>
              <w:top w:val="none" w:sz="6" w:space="0" w:color="auto"/>
              <w:bottom w:val="none" w:sz="6" w:space="0" w:color="auto"/>
              <w:right w:val="none" w:sz="6" w:space="0" w:color="auto"/>
            </w:tcBorders>
          </w:tcPr>
          <w:p w14:paraId="49462FD5" w14:textId="77777777" w:rsidR="004E4D93" w:rsidRPr="00D617BB" w:rsidRDefault="004E4D93" w:rsidP="00CD79E2">
            <w:pPr>
              <w:pStyle w:val="Default"/>
              <w:rPr>
                <w:rFonts w:asciiTheme="minorHAnsi" w:hAnsiTheme="minorHAnsi" w:cstheme="minorHAnsi"/>
                <w:color w:val="FFFFFF"/>
              </w:rPr>
            </w:pPr>
            <w:r w:rsidRPr="00D617BB">
              <w:rPr>
                <w:rFonts w:asciiTheme="minorHAnsi" w:hAnsiTheme="minorHAnsi" w:cstheme="minorHAnsi"/>
                <w:b/>
                <w:bCs/>
                <w:color w:val="FFFFFF"/>
              </w:rPr>
              <w:t xml:space="preserve">2021 MMP </w:t>
            </w:r>
          </w:p>
        </w:tc>
        <w:tc>
          <w:tcPr>
            <w:tcW w:w="4080" w:type="dxa"/>
            <w:tcBorders>
              <w:top w:val="none" w:sz="6" w:space="0" w:color="auto"/>
              <w:left w:val="none" w:sz="6" w:space="0" w:color="auto"/>
              <w:bottom w:val="none" w:sz="6" w:space="0" w:color="auto"/>
              <w:right w:val="none" w:sz="6" w:space="0" w:color="auto"/>
            </w:tcBorders>
          </w:tcPr>
          <w:p w14:paraId="24A5D8D2"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b/>
                <w:bCs/>
              </w:rPr>
              <w:t xml:space="preserve">2021 MMP </w:t>
            </w:r>
          </w:p>
        </w:tc>
        <w:tc>
          <w:tcPr>
            <w:tcW w:w="4080" w:type="dxa"/>
            <w:tcBorders>
              <w:top w:val="none" w:sz="6" w:space="0" w:color="auto"/>
              <w:left w:val="none" w:sz="6" w:space="0" w:color="auto"/>
              <w:bottom w:val="none" w:sz="6" w:space="0" w:color="auto"/>
            </w:tcBorders>
          </w:tcPr>
          <w:p w14:paraId="097BACFC" w14:textId="77777777" w:rsidR="004E4D93" w:rsidRPr="00D617BB" w:rsidRDefault="004E4D93" w:rsidP="00CD79E2">
            <w:pPr>
              <w:pStyle w:val="Default"/>
              <w:rPr>
                <w:rFonts w:asciiTheme="minorHAnsi" w:hAnsiTheme="minorHAnsi" w:cstheme="minorHAnsi"/>
                <w:color w:val="FFFFFF"/>
              </w:rPr>
            </w:pPr>
            <w:r w:rsidRPr="00D617BB">
              <w:rPr>
                <w:rFonts w:asciiTheme="minorHAnsi" w:hAnsiTheme="minorHAnsi" w:cstheme="minorHAnsi"/>
                <w:b/>
                <w:bCs/>
                <w:color w:val="FFFFFF"/>
              </w:rPr>
              <w:t xml:space="preserve">2021 MMP </w:t>
            </w:r>
          </w:p>
        </w:tc>
      </w:tr>
      <w:tr w:rsidR="004E4D93" w:rsidRPr="00D617BB" w14:paraId="4D70A6F3" w14:textId="77777777" w:rsidTr="00CD79E2">
        <w:trPr>
          <w:trHeight w:val="134"/>
        </w:trPr>
        <w:tc>
          <w:tcPr>
            <w:tcW w:w="4080" w:type="dxa"/>
            <w:tcBorders>
              <w:top w:val="none" w:sz="6" w:space="0" w:color="auto"/>
              <w:bottom w:val="none" w:sz="6" w:space="0" w:color="auto"/>
              <w:right w:val="none" w:sz="6" w:space="0" w:color="auto"/>
            </w:tcBorders>
          </w:tcPr>
          <w:p w14:paraId="0EE0B652"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Stibnite </w:t>
            </w:r>
          </w:p>
        </w:tc>
        <w:tc>
          <w:tcPr>
            <w:tcW w:w="4080" w:type="dxa"/>
            <w:tcBorders>
              <w:top w:val="none" w:sz="6" w:space="0" w:color="auto"/>
              <w:left w:val="none" w:sz="6" w:space="0" w:color="auto"/>
              <w:bottom w:val="none" w:sz="6" w:space="0" w:color="auto"/>
              <w:right w:val="none" w:sz="6" w:space="0" w:color="auto"/>
            </w:tcBorders>
          </w:tcPr>
          <w:p w14:paraId="5DBF175E"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80 </w:t>
            </w:r>
          </w:p>
        </w:tc>
        <w:tc>
          <w:tcPr>
            <w:tcW w:w="4080" w:type="dxa"/>
            <w:tcBorders>
              <w:top w:val="none" w:sz="6" w:space="0" w:color="auto"/>
              <w:left w:val="none" w:sz="6" w:space="0" w:color="auto"/>
              <w:bottom w:val="none" w:sz="6" w:space="0" w:color="auto"/>
            </w:tcBorders>
          </w:tcPr>
          <w:p w14:paraId="06F0581B"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20,634 </w:t>
            </w:r>
          </w:p>
        </w:tc>
      </w:tr>
      <w:tr w:rsidR="004E4D93" w:rsidRPr="00D617BB" w14:paraId="73C3C9B9" w14:textId="77777777" w:rsidTr="00CD79E2">
        <w:trPr>
          <w:trHeight w:val="134"/>
        </w:trPr>
        <w:tc>
          <w:tcPr>
            <w:tcW w:w="4080" w:type="dxa"/>
            <w:tcBorders>
              <w:top w:val="none" w:sz="6" w:space="0" w:color="auto"/>
              <w:bottom w:val="none" w:sz="6" w:space="0" w:color="auto"/>
              <w:right w:val="none" w:sz="6" w:space="0" w:color="auto"/>
            </w:tcBorders>
          </w:tcPr>
          <w:p w14:paraId="75C19962" w14:textId="77777777" w:rsidR="004E4D93" w:rsidRPr="00D617BB" w:rsidRDefault="004E4D93" w:rsidP="00CD79E2">
            <w:pPr>
              <w:pStyle w:val="Default"/>
              <w:rPr>
                <w:rFonts w:asciiTheme="minorHAnsi" w:hAnsiTheme="minorHAnsi" w:cstheme="minorHAnsi"/>
              </w:rPr>
            </w:pPr>
            <w:proofErr w:type="spellStart"/>
            <w:r w:rsidRPr="00D617BB">
              <w:rPr>
                <w:rFonts w:asciiTheme="minorHAnsi" w:hAnsiTheme="minorHAnsi" w:cstheme="minorHAnsi"/>
              </w:rPr>
              <w:t>Yellowpine</w:t>
            </w:r>
            <w:proofErr w:type="spellEnd"/>
            <w:r w:rsidRPr="00D617BB">
              <w:rPr>
                <w:rFonts w:asciiTheme="minorHAnsi" w:hAnsiTheme="minorHAnsi" w:cstheme="minorHAnsi"/>
              </w:rPr>
              <w:t xml:space="preserve"> </w:t>
            </w:r>
          </w:p>
        </w:tc>
        <w:tc>
          <w:tcPr>
            <w:tcW w:w="4080" w:type="dxa"/>
            <w:tcBorders>
              <w:top w:val="none" w:sz="6" w:space="0" w:color="auto"/>
              <w:left w:val="none" w:sz="6" w:space="0" w:color="auto"/>
              <w:bottom w:val="none" w:sz="6" w:space="0" w:color="auto"/>
              <w:right w:val="none" w:sz="6" w:space="0" w:color="auto"/>
            </w:tcBorders>
          </w:tcPr>
          <w:p w14:paraId="1F262E07"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39 </w:t>
            </w:r>
          </w:p>
        </w:tc>
        <w:tc>
          <w:tcPr>
            <w:tcW w:w="4080" w:type="dxa"/>
            <w:tcBorders>
              <w:top w:val="none" w:sz="6" w:space="0" w:color="auto"/>
              <w:left w:val="none" w:sz="6" w:space="0" w:color="auto"/>
              <w:bottom w:val="none" w:sz="6" w:space="0" w:color="auto"/>
            </w:tcBorders>
          </w:tcPr>
          <w:p w14:paraId="16C08BE7"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9,107 </w:t>
            </w:r>
          </w:p>
        </w:tc>
      </w:tr>
      <w:tr w:rsidR="004E4D93" w:rsidRPr="00D617BB" w14:paraId="43859E34" w14:textId="77777777" w:rsidTr="00CD79E2">
        <w:trPr>
          <w:trHeight w:val="134"/>
        </w:trPr>
        <w:tc>
          <w:tcPr>
            <w:tcW w:w="4080" w:type="dxa"/>
            <w:tcBorders>
              <w:top w:val="none" w:sz="6" w:space="0" w:color="auto"/>
              <w:bottom w:val="none" w:sz="6" w:space="0" w:color="auto"/>
              <w:right w:val="none" w:sz="6" w:space="0" w:color="auto"/>
            </w:tcBorders>
          </w:tcPr>
          <w:p w14:paraId="391EAFE0" w14:textId="77777777" w:rsidR="004E4D93" w:rsidRPr="00D617BB" w:rsidRDefault="004E4D93" w:rsidP="00CD79E2">
            <w:pPr>
              <w:pStyle w:val="Default"/>
              <w:rPr>
                <w:rFonts w:asciiTheme="minorHAnsi" w:hAnsiTheme="minorHAnsi" w:cstheme="minorHAnsi"/>
              </w:rPr>
            </w:pPr>
            <w:proofErr w:type="spellStart"/>
            <w:r w:rsidRPr="00D617BB">
              <w:rPr>
                <w:rFonts w:asciiTheme="minorHAnsi" w:hAnsiTheme="minorHAnsi" w:cstheme="minorHAnsi"/>
              </w:rPr>
              <w:t>Burntlog</w:t>
            </w:r>
            <w:proofErr w:type="spellEnd"/>
            <w:r w:rsidRPr="00D617BB">
              <w:rPr>
                <w:rFonts w:asciiTheme="minorHAnsi" w:hAnsiTheme="minorHAnsi" w:cstheme="minorHAnsi"/>
              </w:rPr>
              <w:t xml:space="preserve"> </w:t>
            </w:r>
          </w:p>
        </w:tc>
        <w:tc>
          <w:tcPr>
            <w:tcW w:w="4080" w:type="dxa"/>
            <w:tcBorders>
              <w:top w:val="none" w:sz="6" w:space="0" w:color="auto"/>
              <w:left w:val="none" w:sz="6" w:space="0" w:color="auto"/>
              <w:bottom w:val="none" w:sz="6" w:space="0" w:color="auto"/>
              <w:right w:val="none" w:sz="6" w:space="0" w:color="auto"/>
            </w:tcBorders>
          </w:tcPr>
          <w:p w14:paraId="694DECFA"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61 </w:t>
            </w:r>
          </w:p>
        </w:tc>
        <w:tc>
          <w:tcPr>
            <w:tcW w:w="4080" w:type="dxa"/>
            <w:tcBorders>
              <w:top w:val="none" w:sz="6" w:space="0" w:color="auto"/>
              <w:left w:val="none" w:sz="6" w:space="0" w:color="auto"/>
              <w:bottom w:val="none" w:sz="6" w:space="0" w:color="auto"/>
            </w:tcBorders>
          </w:tcPr>
          <w:p w14:paraId="6D893365"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15,507 </w:t>
            </w:r>
          </w:p>
        </w:tc>
      </w:tr>
      <w:tr w:rsidR="004E4D93" w:rsidRPr="00D617BB" w14:paraId="283DF80A" w14:textId="77777777" w:rsidTr="00CD79E2">
        <w:trPr>
          <w:trHeight w:val="134"/>
        </w:trPr>
        <w:tc>
          <w:tcPr>
            <w:tcW w:w="4080" w:type="dxa"/>
            <w:tcBorders>
              <w:top w:val="none" w:sz="6" w:space="0" w:color="auto"/>
              <w:bottom w:val="none" w:sz="6" w:space="0" w:color="auto"/>
              <w:right w:val="none" w:sz="6" w:space="0" w:color="auto"/>
            </w:tcBorders>
          </w:tcPr>
          <w:p w14:paraId="78131C1C"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Warm Lake </w:t>
            </w:r>
          </w:p>
        </w:tc>
        <w:tc>
          <w:tcPr>
            <w:tcW w:w="4080" w:type="dxa"/>
            <w:tcBorders>
              <w:top w:val="none" w:sz="6" w:space="0" w:color="auto"/>
              <w:left w:val="none" w:sz="6" w:space="0" w:color="auto"/>
              <w:bottom w:val="none" w:sz="6" w:space="0" w:color="auto"/>
              <w:right w:val="none" w:sz="6" w:space="0" w:color="auto"/>
            </w:tcBorders>
          </w:tcPr>
          <w:p w14:paraId="102A5B9B"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2 </w:t>
            </w:r>
          </w:p>
        </w:tc>
        <w:tc>
          <w:tcPr>
            <w:tcW w:w="4080" w:type="dxa"/>
            <w:tcBorders>
              <w:top w:val="none" w:sz="6" w:space="0" w:color="auto"/>
              <w:left w:val="none" w:sz="6" w:space="0" w:color="auto"/>
              <w:bottom w:val="none" w:sz="6" w:space="0" w:color="auto"/>
            </w:tcBorders>
          </w:tcPr>
          <w:p w14:paraId="4408FF7B"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1,652 </w:t>
            </w:r>
          </w:p>
        </w:tc>
      </w:tr>
      <w:tr w:rsidR="004E4D93" w:rsidRPr="00D617BB" w14:paraId="7B50FFCA" w14:textId="77777777" w:rsidTr="00CD79E2">
        <w:trPr>
          <w:trHeight w:val="134"/>
        </w:trPr>
        <w:tc>
          <w:tcPr>
            <w:tcW w:w="4080" w:type="dxa"/>
            <w:tcBorders>
              <w:top w:val="none" w:sz="6" w:space="0" w:color="auto"/>
              <w:bottom w:val="none" w:sz="6" w:space="0" w:color="auto"/>
              <w:right w:val="none" w:sz="6" w:space="0" w:color="auto"/>
            </w:tcBorders>
          </w:tcPr>
          <w:p w14:paraId="6C614FC0"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Landmark </w:t>
            </w:r>
          </w:p>
        </w:tc>
        <w:tc>
          <w:tcPr>
            <w:tcW w:w="4080" w:type="dxa"/>
            <w:tcBorders>
              <w:top w:val="none" w:sz="6" w:space="0" w:color="auto"/>
              <w:left w:val="none" w:sz="6" w:space="0" w:color="auto"/>
              <w:bottom w:val="none" w:sz="6" w:space="0" w:color="auto"/>
              <w:right w:val="none" w:sz="6" w:space="0" w:color="auto"/>
            </w:tcBorders>
          </w:tcPr>
          <w:p w14:paraId="6C3D7AD3"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3 </w:t>
            </w:r>
          </w:p>
        </w:tc>
        <w:tc>
          <w:tcPr>
            <w:tcW w:w="4080" w:type="dxa"/>
            <w:tcBorders>
              <w:top w:val="none" w:sz="6" w:space="0" w:color="auto"/>
              <w:left w:val="none" w:sz="6" w:space="0" w:color="auto"/>
              <w:bottom w:val="none" w:sz="6" w:space="0" w:color="auto"/>
            </w:tcBorders>
          </w:tcPr>
          <w:p w14:paraId="0D9DD715"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5,736 </w:t>
            </w:r>
          </w:p>
        </w:tc>
      </w:tr>
      <w:tr w:rsidR="004E4D93" w:rsidRPr="00D617BB" w14:paraId="5F1566F4" w14:textId="77777777" w:rsidTr="00CD79E2">
        <w:trPr>
          <w:trHeight w:val="134"/>
        </w:trPr>
        <w:tc>
          <w:tcPr>
            <w:tcW w:w="4080" w:type="dxa"/>
            <w:tcBorders>
              <w:top w:val="none" w:sz="6" w:space="0" w:color="auto"/>
              <w:bottom w:val="none" w:sz="6" w:space="0" w:color="auto"/>
              <w:right w:val="none" w:sz="6" w:space="0" w:color="auto"/>
            </w:tcBorders>
          </w:tcPr>
          <w:p w14:paraId="6D71ED4E"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East Mountain </w:t>
            </w:r>
          </w:p>
        </w:tc>
        <w:tc>
          <w:tcPr>
            <w:tcW w:w="4080" w:type="dxa"/>
            <w:tcBorders>
              <w:top w:val="none" w:sz="6" w:space="0" w:color="auto"/>
              <w:left w:val="none" w:sz="6" w:space="0" w:color="auto"/>
              <w:bottom w:val="none" w:sz="6" w:space="0" w:color="auto"/>
              <w:right w:val="none" w:sz="6" w:space="0" w:color="auto"/>
            </w:tcBorders>
          </w:tcPr>
          <w:p w14:paraId="46A9AC2B"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9 </w:t>
            </w:r>
          </w:p>
        </w:tc>
        <w:tc>
          <w:tcPr>
            <w:tcW w:w="4080" w:type="dxa"/>
            <w:tcBorders>
              <w:top w:val="none" w:sz="6" w:space="0" w:color="auto"/>
              <w:left w:val="none" w:sz="6" w:space="0" w:color="auto"/>
              <w:bottom w:val="none" w:sz="6" w:space="0" w:color="auto"/>
            </w:tcBorders>
          </w:tcPr>
          <w:p w14:paraId="763EB793"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15,969 </w:t>
            </w:r>
          </w:p>
        </w:tc>
      </w:tr>
      <w:tr w:rsidR="004E4D93" w:rsidRPr="00D617BB" w14:paraId="0A127D7E" w14:textId="77777777" w:rsidTr="00CD79E2">
        <w:trPr>
          <w:trHeight w:val="134"/>
        </w:trPr>
        <w:tc>
          <w:tcPr>
            <w:tcW w:w="4080" w:type="dxa"/>
            <w:tcBorders>
              <w:top w:val="none" w:sz="6" w:space="0" w:color="auto"/>
              <w:bottom w:val="none" w:sz="6" w:space="0" w:color="auto"/>
              <w:right w:val="none" w:sz="6" w:space="0" w:color="auto"/>
            </w:tcBorders>
          </w:tcPr>
          <w:p w14:paraId="531B95DA"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West Mountain </w:t>
            </w:r>
          </w:p>
        </w:tc>
        <w:tc>
          <w:tcPr>
            <w:tcW w:w="4080" w:type="dxa"/>
            <w:tcBorders>
              <w:top w:val="none" w:sz="6" w:space="0" w:color="auto"/>
              <w:left w:val="none" w:sz="6" w:space="0" w:color="auto"/>
              <w:bottom w:val="none" w:sz="6" w:space="0" w:color="auto"/>
              <w:right w:val="none" w:sz="6" w:space="0" w:color="auto"/>
            </w:tcBorders>
          </w:tcPr>
          <w:p w14:paraId="6450A5A8"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0 </w:t>
            </w:r>
          </w:p>
        </w:tc>
        <w:tc>
          <w:tcPr>
            <w:tcW w:w="4080" w:type="dxa"/>
            <w:tcBorders>
              <w:top w:val="none" w:sz="6" w:space="0" w:color="auto"/>
              <w:left w:val="none" w:sz="6" w:space="0" w:color="auto"/>
              <w:bottom w:val="none" w:sz="6" w:space="0" w:color="auto"/>
            </w:tcBorders>
          </w:tcPr>
          <w:p w14:paraId="04F01998"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2,140 </w:t>
            </w:r>
          </w:p>
        </w:tc>
      </w:tr>
      <w:tr w:rsidR="004E4D93" w:rsidRPr="00D617BB" w14:paraId="05DFE55C" w14:textId="77777777" w:rsidTr="00CD79E2">
        <w:trPr>
          <w:trHeight w:val="134"/>
        </w:trPr>
        <w:tc>
          <w:tcPr>
            <w:tcW w:w="4080" w:type="dxa"/>
            <w:tcBorders>
              <w:top w:val="none" w:sz="6" w:space="0" w:color="auto"/>
              <w:bottom w:val="none" w:sz="6" w:space="0" w:color="auto"/>
              <w:right w:val="none" w:sz="6" w:space="0" w:color="auto"/>
            </w:tcBorders>
          </w:tcPr>
          <w:p w14:paraId="0264F0C4"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b/>
                <w:bCs/>
              </w:rPr>
              <w:t>Tota</w:t>
            </w:r>
            <w:r w:rsidRPr="00D617BB">
              <w:rPr>
                <w:rFonts w:asciiTheme="minorHAnsi" w:hAnsiTheme="minorHAnsi" w:cstheme="minorHAnsi"/>
              </w:rPr>
              <w:t xml:space="preserve">l </w:t>
            </w:r>
          </w:p>
        </w:tc>
        <w:tc>
          <w:tcPr>
            <w:tcW w:w="4080" w:type="dxa"/>
            <w:tcBorders>
              <w:top w:val="none" w:sz="6" w:space="0" w:color="auto"/>
              <w:left w:val="none" w:sz="6" w:space="0" w:color="auto"/>
              <w:bottom w:val="none" w:sz="6" w:space="0" w:color="auto"/>
              <w:right w:val="none" w:sz="6" w:space="0" w:color="auto"/>
            </w:tcBorders>
          </w:tcPr>
          <w:p w14:paraId="75754633" w14:textId="77777777" w:rsidR="004E4D93" w:rsidRPr="00D617BB" w:rsidRDefault="004E4D93" w:rsidP="00CD79E2">
            <w:pPr>
              <w:pStyle w:val="Default"/>
              <w:rPr>
                <w:rFonts w:asciiTheme="minorHAnsi" w:hAnsiTheme="minorHAnsi" w:cstheme="minorHAnsi"/>
                <w:b/>
                <w:bCs/>
              </w:rPr>
            </w:pPr>
            <w:r w:rsidRPr="00D617BB">
              <w:rPr>
                <w:rFonts w:asciiTheme="minorHAnsi" w:hAnsiTheme="minorHAnsi" w:cstheme="minorHAnsi"/>
                <w:b/>
                <w:bCs/>
              </w:rPr>
              <w:t xml:space="preserve">194 </w:t>
            </w:r>
          </w:p>
        </w:tc>
        <w:tc>
          <w:tcPr>
            <w:tcW w:w="4080" w:type="dxa"/>
            <w:tcBorders>
              <w:top w:val="none" w:sz="6" w:space="0" w:color="auto"/>
              <w:left w:val="none" w:sz="6" w:space="0" w:color="auto"/>
              <w:bottom w:val="none" w:sz="6" w:space="0" w:color="auto"/>
            </w:tcBorders>
          </w:tcPr>
          <w:p w14:paraId="2F12F8CF" w14:textId="77777777" w:rsidR="004E4D93" w:rsidRPr="00D617BB" w:rsidRDefault="004E4D93" w:rsidP="00CD79E2">
            <w:pPr>
              <w:pStyle w:val="Default"/>
              <w:rPr>
                <w:rFonts w:asciiTheme="minorHAnsi" w:hAnsiTheme="minorHAnsi" w:cstheme="minorHAnsi"/>
                <w:b/>
                <w:bCs/>
              </w:rPr>
            </w:pPr>
            <w:r w:rsidRPr="00D617BB">
              <w:rPr>
                <w:rFonts w:asciiTheme="minorHAnsi" w:hAnsiTheme="minorHAnsi" w:cstheme="minorHAnsi"/>
                <w:b/>
                <w:bCs/>
              </w:rPr>
              <w:t xml:space="preserve">70,745 </w:t>
            </w:r>
          </w:p>
        </w:tc>
      </w:tr>
      <w:tr w:rsidR="004E4D93" w:rsidRPr="00D617BB" w14:paraId="428E58A6" w14:textId="77777777" w:rsidTr="00CD79E2">
        <w:trPr>
          <w:trHeight w:val="137"/>
        </w:trPr>
        <w:tc>
          <w:tcPr>
            <w:tcW w:w="4080" w:type="dxa"/>
            <w:tcBorders>
              <w:top w:val="none" w:sz="6" w:space="0" w:color="auto"/>
              <w:bottom w:val="none" w:sz="6" w:space="0" w:color="auto"/>
              <w:right w:val="none" w:sz="6" w:space="0" w:color="auto"/>
            </w:tcBorders>
          </w:tcPr>
          <w:p w14:paraId="796EAAD3" w14:textId="77777777" w:rsidR="004E4D93" w:rsidRPr="00D617BB" w:rsidRDefault="004E4D93" w:rsidP="00CD79E2">
            <w:pPr>
              <w:pStyle w:val="Default"/>
              <w:rPr>
                <w:rFonts w:asciiTheme="minorHAnsi" w:hAnsiTheme="minorHAnsi" w:cstheme="minorHAnsi"/>
                <w:color w:val="FFFFFF"/>
              </w:rPr>
            </w:pPr>
            <w:r w:rsidRPr="00D617BB">
              <w:rPr>
                <w:rFonts w:asciiTheme="minorHAnsi" w:hAnsiTheme="minorHAnsi" w:cstheme="minorHAnsi"/>
                <w:b/>
                <w:bCs/>
                <w:color w:val="FFFFFF"/>
              </w:rPr>
              <w:t xml:space="preserve">Johnson Creek Route Alternative </w:t>
            </w:r>
          </w:p>
        </w:tc>
        <w:tc>
          <w:tcPr>
            <w:tcW w:w="4080" w:type="dxa"/>
            <w:tcBorders>
              <w:top w:val="none" w:sz="6" w:space="0" w:color="auto"/>
              <w:left w:val="none" w:sz="6" w:space="0" w:color="auto"/>
              <w:bottom w:val="none" w:sz="6" w:space="0" w:color="auto"/>
              <w:right w:val="none" w:sz="6" w:space="0" w:color="auto"/>
            </w:tcBorders>
          </w:tcPr>
          <w:p w14:paraId="259C4788"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b/>
                <w:bCs/>
              </w:rPr>
              <w:t xml:space="preserve">Johnson Creek Route Alternative </w:t>
            </w:r>
          </w:p>
        </w:tc>
        <w:tc>
          <w:tcPr>
            <w:tcW w:w="4080" w:type="dxa"/>
            <w:tcBorders>
              <w:top w:val="none" w:sz="6" w:space="0" w:color="auto"/>
              <w:left w:val="none" w:sz="6" w:space="0" w:color="auto"/>
              <w:bottom w:val="none" w:sz="6" w:space="0" w:color="auto"/>
            </w:tcBorders>
          </w:tcPr>
          <w:p w14:paraId="7770EF04" w14:textId="77777777" w:rsidR="004E4D93" w:rsidRPr="00D617BB" w:rsidRDefault="004E4D93" w:rsidP="00CD79E2">
            <w:pPr>
              <w:pStyle w:val="Default"/>
              <w:rPr>
                <w:rFonts w:asciiTheme="minorHAnsi" w:hAnsiTheme="minorHAnsi" w:cstheme="minorHAnsi"/>
                <w:color w:val="FFFFFF"/>
              </w:rPr>
            </w:pPr>
            <w:r w:rsidRPr="00D617BB">
              <w:rPr>
                <w:rFonts w:asciiTheme="minorHAnsi" w:hAnsiTheme="minorHAnsi" w:cstheme="minorHAnsi"/>
                <w:b/>
                <w:bCs/>
                <w:color w:val="FFFFFF"/>
              </w:rPr>
              <w:t xml:space="preserve">Johnson Creek Route Alternative </w:t>
            </w:r>
          </w:p>
        </w:tc>
      </w:tr>
      <w:tr w:rsidR="004E4D93" w:rsidRPr="00D617BB" w14:paraId="0391FC56" w14:textId="77777777" w:rsidTr="00CD79E2">
        <w:trPr>
          <w:trHeight w:val="134"/>
        </w:trPr>
        <w:tc>
          <w:tcPr>
            <w:tcW w:w="4080" w:type="dxa"/>
            <w:tcBorders>
              <w:top w:val="none" w:sz="6" w:space="0" w:color="auto"/>
              <w:bottom w:val="none" w:sz="6" w:space="0" w:color="auto"/>
              <w:right w:val="none" w:sz="6" w:space="0" w:color="auto"/>
            </w:tcBorders>
          </w:tcPr>
          <w:p w14:paraId="69EBBD3B"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Stibnite </w:t>
            </w:r>
          </w:p>
        </w:tc>
        <w:tc>
          <w:tcPr>
            <w:tcW w:w="4080" w:type="dxa"/>
            <w:tcBorders>
              <w:top w:val="none" w:sz="6" w:space="0" w:color="auto"/>
              <w:left w:val="none" w:sz="6" w:space="0" w:color="auto"/>
              <w:bottom w:val="none" w:sz="6" w:space="0" w:color="auto"/>
              <w:right w:val="none" w:sz="6" w:space="0" w:color="auto"/>
            </w:tcBorders>
          </w:tcPr>
          <w:p w14:paraId="13C773FA"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80 </w:t>
            </w:r>
          </w:p>
        </w:tc>
        <w:tc>
          <w:tcPr>
            <w:tcW w:w="4080" w:type="dxa"/>
            <w:tcBorders>
              <w:top w:val="none" w:sz="6" w:space="0" w:color="auto"/>
              <w:left w:val="none" w:sz="6" w:space="0" w:color="auto"/>
              <w:bottom w:val="none" w:sz="6" w:space="0" w:color="auto"/>
            </w:tcBorders>
          </w:tcPr>
          <w:p w14:paraId="65B8F4BE"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20,649 </w:t>
            </w:r>
          </w:p>
        </w:tc>
      </w:tr>
      <w:tr w:rsidR="004E4D93" w:rsidRPr="00D617BB" w14:paraId="2ACF2E10" w14:textId="77777777" w:rsidTr="00CD79E2">
        <w:trPr>
          <w:trHeight w:val="134"/>
        </w:trPr>
        <w:tc>
          <w:tcPr>
            <w:tcW w:w="4080" w:type="dxa"/>
            <w:tcBorders>
              <w:top w:val="none" w:sz="6" w:space="0" w:color="auto"/>
              <w:bottom w:val="none" w:sz="6" w:space="0" w:color="auto"/>
              <w:right w:val="none" w:sz="6" w:space="0" w:color="auto"/>
            </w:tcBorders>
          </w:tcPr>
          <w:p w14:paraId="128A2485" w14:textId="77777777" w:rsidR="004E4D93" w:rsidRPr="00D617BB" w:rsidRDefault="004E4D93" w:rsidP="00CD79E2">
            <w:pPr>
              <w:pStyle w:val="Default"/>
              <w:rPr>
                <w:rFonts w:asciiTheme="minorHAnsi" w:hAnsiTheme="minorHAnsi" w:cstheme="minorHAnsi"/>
              </w:rPr>
            </w:pPr>
            <w:proofErr w:type="spellStart"/>
            <w:r w:rsidRPr="00D617BB">
              <w:rPr>
                <w:rFonts w:asciiTheme="minorHAnsi" w:hAnsiTheme="minorHAnsi" w:cstheme="minorHAnsi"/>
              </w:rPr>
              <w:t>Yellowpine</w:t>
            </w:r>
            <w:proofErr w:type="spellEnd"/>
            <w:r w:rsidRPr="00D617BB">
              <w:rPr>
                <w:rFonts w:asciiTheme="minorHAnsi" w:hAnsiTheme="minorHAnsi" w:cstheme="minorHAnsi"/>
              </w:rPr>
              <w:t xml:space="preserve"> </w:t>
            </w:r>
          </w:p>
        </w:tc>
        <w:tc>
          <w:tcPr>
            <w:tcW w:w="4080" w:type="dxa"/>
            <w:tcBorders>
              <w:top w:val="none" w:sz="6" w:space="0" w:color="auto"/>
              <w:left w:val="none" w:sz="6" w:space="0" w:color="auto"/>
              <w:bottom w:val="none" w:sz="6" w:space="0" w:color="auto"/>
              <w:right w:val="none" w:sz="6" w:space="0" w:color="auto"/>
            </w:tcBorders>
          </w:tcPr>
          <w:p w14:paraId="58A7BB69"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9 </w:t>
            </w:r>
          </w:p>
        </w:tc>
        <w:tc>
          <w:tcPr>
            <w:tcW w:w="4080" w:type="dxa"/>
            <w:tcBorders>
              <w:top w:val="none" w:sz="6" w:space="0" w:color="auto"/>
              <w:left w:val="none" w:sz="6" w:space="0" w:color="auto"/>
              <w:bottom w:val="none" w:sz="6" w:space="0" w:color="auto"/>
            </w:tcBorders>
          </w:tcPr>
          <w:p w14:paraId="35CD94B8"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9,101 </w:t>
            </w:r>
          </w:p>
        </w:tc>
      </w:tr>
      <w:tr w:rsidR="004E4D93" w:rsidRPr="00D617BB" w14:paraId="5D7404A7" w14:textId="77777777" w:rsidTr="00CD79E2">
        <w:trPr>
          <w:trHeight w:val="134"/>
        </w:trPr>
        <w:tc>
          <w:tcPr>
            <w:tcW w:w="4080" w:type="dxa"/>
            <w:tcBorders>
              <w:top w:val="none" w:sz="6" w:space="0" w:color="auto"/>
              <w:bottom w:val="none" w:sz="6" w:space="0" w:color="auto"/>
              <w:right w:val="none" w:sz="6" w:space="0" w:color="auto"/>
            </w:tcBorders>
          </w:tcPr>
          <w:p w14:paraId="6926DFC5" w14:textId="77777777" w:rsidR="004E4D93" w:rsidRPr="00D617BB" w:rsidRDefault="004E4D93" w:rsidP="00CD79E2">
            <w:pPr>
              <w:pStyle w:val="Default"/>
              <w:rPr>
                <w:rFonts w:asciiTheme="minorHAnsi" w:hAnsiTheme="minorHAnsi" w:cstheme="minorHAnsi"/>
              </w:rPr>
            </w:pPr>
            <w:proofErr w:type="spellStart"/>
            <w:r w:rsidRPr="00D617BB">
              <w:rPr>
                <w:rFonts w:asciiTheme="minorHAnsi" w:hAnsiTheme="minorHAnsi" w:cstheme="minorHAnsi"/>
              </w:rPr>
              <w:t>Burntlog</w:t>
            </w:r>
            <w:proofErr w:type="spellEnd"/>
            <w:r w:rsidRPr="00D617BB">
              <w:rPr>
                <w:rFonts w:asciiTheme="minorHAnsi" w:hAnsiTheme="minorHAnsi" w:cstheme="minorHAnsi"/>
              </w:rPr>
              <w:t xml:space="preserve"> </w:t>
            </w:r>
          </w:p>
        </w:tc>
        <w:tc>
          <w:tcPr>
            <w:tcW w:w="4080" w:type="dxa"/>
            <w:tcBorders>
              <w:top w:val="none" w:sz="6" w:space="0" w:color="auto"/>
              <w:left w:val="none" w:sz="6" w:space="0" w:color="auto"/>
              <w:bottom w:val="none" w:sz="6" w:space="0" w:color="auto"/>
              <w:right w:val="none" w:sz="6" w:space="0" w:color="auto"/>
            </w:tcBorders>
          </w:tcPr>
          <w:p w14:paraId="13637F1B"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69 </w:t>
            </w:r>
          </w:p>
        </w:tc>
        <w:tc>
          <w:tcPr>
            <w:tcW w:w="4080" w:type="dxa"/>
            <w:tcBorders>
              <w:top w:val="none" w:sz="6" w:space="0" w:color="auto"/>
              <w:left w:val="none" w:sz="6" w:space="0" w:color="auto"/>
              <w:bottom w:val="none" w:sz="6" w:space="0" w:color="auto"/>
            </w:tcBorders>
          </w:tcPr>
          <w:p w14:paraId="6B0FEFEB"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15,494 </w:t>
            </w:r>
          </w:p>
        </w:tc>
      </w:tr>
      <w:tr w:rsidR="004E4D93" w:rsidRPr="00D617BB" w14:paraId="748F9F8E" w14:textId="77777777" w:rsidTr="00CD79E2">
        <w:trPr>
          <w:trHeight w:val="134"/>
        </w:trPr>
        <w:tc>
          <w:tcPr>
            <w:tcW w:w="4080" w:type="dxa"/>
            <w:tcBorders>
              <w:top w:val="none" w:sz="6" w:space="0" w:color="auto"/>
              <w:bottom w:val="none" w:sz="6" w:space="0" w:color="auto"/>
              <w:right w:val="none" w:sz="6" w:space="0" w:color="auto"/>
            </w:tcBorders>
          </w:tcPr>
          <w:p w14:paraId="46E3654A"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Warm Lake </w:t>
            </w:r>
          </w:p>
        </w:tc>
        <w:tc>
          <w:tcPr>
            <w:tcW w:w="4080" w:type="dxa"/>
            <w:tcBorders>
              <w:top w:val="none" w:sz="6" w:space="0" w:color="auto"/>
              <w:left w:val="none" w:sz="6" w:space="0" w:color="auto"/>
              <w:bottom w:val="none" w:sz="6" w:space="0" w:color="auto"/>
              <w:right w:val="none" w:sz="6" w:space="0" w:color="auto"/>
            </w:tcBorders>
          </w:tcPr>
          <w:p w14:paraId="1CB1B3EF"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2 </w:t>
            </w:r>
          </w:p>
        </w:tc>
        <w:tc>
          <w:tcPr>
            <w:tcW w:w="4080" w:type="dxa"/>
            <w:tcBorders>
              <w:top w:val="none" w:sz="6" w:space="0" w:color="auto"/>
              <w:left w:val="none" w:sz="6" w:space="0" w:color="auto"/>
              <w:bottom w:val="none" w:sz="6" w:space="0" w:color="auto"/>
            </w:tcBorders>
          </w:tcPr>
          <w:p w14:paraId="68508873"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1,652 </w:t>
            </w:r>
          </w:p>
        </w:tc>
      </w:tr>
      <w:tr w:rsidR="004E4D93" w:rsidRPr="00D617BB" w14:paraId="00A7F2BD" w14:textId="77777777" w:rsidTr="00CD79E2">
        <w:trPr>
          <w:trHeight w:val="134"/>
        </w:trPr>
        <w:tc>
          <w:tcPr>
            <w:tcW w:w="4080" w:type="dxa"/>
            <w:tcBorders>
              <w:top w:val="none" w:sz="6" w:space="0" w:color="auto"/>
              <w:bottom w:val="none" w:sz="6" w:space="0" w:color="auto"/>
              <w:right w:val="none" w:sz="6" w:space="0" w:color="auto"/>
            </w:tcBorders>
          </w:tcPr>
          <w:p w14:paraId="44E90D7C"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Landmark </w:t>
            </w:r>
          </w:p>
        </w:tc>
        <w:tc>
          <w:tcPr>
            <w:tcW w:w="4080" w:type="dxa"/>
            <w:tcBorders>
              <w:top w:val="none" w:sz="6" w:space="0" w:color="auto"/>
              <w:left w:val="none" w:sz="6" w:space="0" w:color="auto"/>
              <w:bottom w:val="none" w:sz="6" w:space="0" w:color="auto"/>
              <w:right w:val="none" w:sz="6" w:space="0" w:color="auto"/>
            </w:tcBorders>
          </w:tcPr>
          <w:p w14:paraId="3BB73479"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6 </w:t>
            </w:r>
          </w:p>
        </w:tc>
        <w:tc>
          <w:tcPr>
            <w:tcW w:w="4080" w:type="dxa"/>
            <w:tcBorders>
              <w:top w:val="none" w:sz="6" w:space="0" w:color="auto"/>
              <w:left w:val="none" w:sz="6" w:space="0" w:color="auto"/>
              <w:bottom w:val="none" w:sz="6" w:space="0" w:color="auto"/>
            </w:tcBorders>
          </w:tcPr>
          <w:p w14:paraId="7E64EB68"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5,647 </w:t>
            </w:r>
          </w:p>
        </w:tc>
      </w:tr>
      <w:tr w:rsidR="004E4D93" w:rsidRPr="00D617BB" w14:paraId="38AF93C7" w14:textId="77777777" w:rsidTr="00CD79E2">
        <w:trPr>
          <w:trHeight w:val="134"/>
        </w:trPr>
        <w:tc>
          <w:tcPr>
            <w:tcW w:w="4080" w:type="dxa"/>
            <w:tcBorders>
              <w:top w:val="none" w:sz="6" w:space="0" w:color="auto"/>
              <w:bottom w:val="none" w:sz="6" w:space="0" w:color="auto"/>
              <w:right w:val="none" w:sz="6" w:space="0" w:color="auto"/>
            </w:tcBorders>
          </w:tcPr>
          <w:p w14:paraId="4617FD2C"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East Mountain </w:t>
            </w:r>
          </w:p>
        </w:tc>
        <w:tc>
          <w:tcPr>
            <w:tcW w:w="4080" w:type="dxa"/>
            <w:tcBorders>
              <w:top w:val="none" w:sz="6" w:space="0" w:color="auto"/>
              <w:left w:val="none" w:sz="6" w:space="0" w:color="auto"/>
              <w:bottom w:val="none" w:sz="6" w:space="0" w:color="auto"/>
              <w:right w:val="none" w:sz="6" w:space="0" w:color="auto"/>
            </w:tcBorders>
          </w:tcPr>
          <w:p w14:paraId="215869E3"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9 </w:t>
            </w:r>
          </w:p>
        </w:tc>
        <w:tc>
          <w:tcPr>
            <w:tcW w:w="4080" w:type="dxa"/>
            <w:tcBorders>
              <w:top w:val="none" w:sz="6" w:space="0" w:color="auto"/>
              <w:left w:val="none" w:sz="6" w:space="0" w:color="auto"/>
              <w:bottom w:val="none" w:sz="6" w:space="0" w:color="auto"/>
            </w:tcBorders>
          </w:tcPr>
          <w:p w14:paraId="57E2F3CB"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15,969 </w:t>
            </w:r>
          </w:p>
        </w:tc>
      </w:tr>
      <w:tr w:rsidR="004E4D93" w:rsidRPr="00D617BB" w14:paraId="73473294" w14:textId="77777777" w:rsidTr="00CD79E2">
        <w:trPr>
          <w:trHeight w:val="134"/>
        </w:trPr>
        <w:tc>
          <w:tcPr>
            <w:tcW w:w="4080" w:type="dxa"/>
            <w:tcBorders>
              <w:top w:val="none" w:sz="6" w:space="0" w:color="auto"/>
              <w:bottom w:val="none" w:sz="6" w:space="0" w:color="auto"/>
              <w:right w:val="none" w:sz="6" w:space="0" w:color="auto"/>
            </w:tcBorders>
          </w:tcPr>
          <w:p w14:paraId="42C51BC0"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West Mountain </w:t>
            </w:r>
          </w:p>
        </w:tc>
        <w:tc>
          <w:tcPr>
            <w:tcW w:w="4080" w:type="dxa"/>
            <w:tcBorders>
              <w:top w:val="none" w:sz="6" w:space="0" w:color="auto"/>
              <w:left w:val="none" w:sz="6" w:space="0" w:color="auto"/>
              <w:bottom w:val="none" w:sz="6" w:space="0" w:color="auto"/>
              <w:right w:val="none" w:sz="6" w:space="0" w:color="auto"/>
            </w:tcBorders>
          </w:tcPr>
          <w:p w14:paraId="1EC66227"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0 </w:t>
            </w:r>
          </w:p>
        </w:tc>
        <w:tc>
          <w:tcPr>
            <w:tcW w:w="4080" w:type="dxa"/>
            <w:tcBorders>
              <w:top w:val="none" w:sz="6" w:space="0" w:color="auto"/>
              <w:left w:val="none" w:sz="6" w:space="0" w:color="auto"/>
              <w:bottom w:val="none" w:sz="6" w:space="0" w:color="auto"/>
            </w:tcBorders>
          </w:tcPr>
          <w:p w14:paraId="3BB03DFF" w14:textId="77777777" w:rsidR="004E4D93" w:rsidRPr="00D617BB" w:rsidRDefault="004E4D93" w:rsidP="00CD79E2">
            <w:pPr>
              <w:pStyle w:val="Default"/>
              <w:rPr>
                <w:rFonts w:asciiTheme="minorHAnsi" w:hAnsiTheme="minorHAnsi" w:cstheme="minorHAnsi"/>
              </w:rPr>
            </w:pPr>
            <w:r w:rsidRPr="00D617BB">
              <w:rPr>
                <w:rFonts w:asciiTheme="minorHAnsi" w:hAnsiTheme="minorHAnsi" w:cstheme="minorHAnsi"/>
              </w:rPr>
              <w:t xml:space="preserve">2,140 </w:t>
            </w:r>
          </w:p>
        </w:tc>
      </w:tr>
      <w:tr w:rsidR="004E4D93" w:rsidRPr="00D617BB" w14:paraId="3C99BF22" w14:textId="77777777" w:rsidTr="00CD79E2">
        <w:trPr>
          <w:trHeight w:val="134"/>
        </w:trPr>
        <w:tc>
          <w:tcPr>
            <w:tcW w:w="4080" w:type="dxa"/>
            <w:tcBorders>
              <w:top w:val="none" w:sz="6" w:space="0" w:color="auto"/>
              <w:bottom w:val="none" w:sz="6" w:space="0" w:color="auto"/>
              <w:right w:val="none" w:sz="6" w:space="0" w:color="auto"/>
            </w:tcBorders>
          </w:tcPr>
          <w:p w14:paraId="0D6C5AE5" w14:textId="77777777" w:rsidR="004E4D93" w:rsidRPr="00D617BB" w:rsidRDefault="004E4D93" w:rsidP="00CD79E2">
            <w:pPr>
              <w:pStyle w:val="Default"/>
              <w:rPr>
                <w:rFonts w:asciiTheme="minorHAnsi" w:hAnsiTheme="minorHAnsi" w:cstheme="minorHAnsi"/>
                <w:b/>
                <w:bCs/>
              </w:rPr>
            </w:pPr>
            <w:r w:rsidRPr="00D617BB">
              <w:rPr>
                <w:rFonts w:asciiTheme="minorHAnsi" w:hAnsiTheme="minorHAnsi" w:cstheme="minorHAnsi"/>
                <w:b/>
                <w:bCs/>
              </w:rPr>
              <w:t xml:space="preserve">Total </w:t>
            </w:r>
          </w:p>
        </w:tc>
        <w:tc>
          <w:tcPr>
            <w:tcW w:w="4080" w:type="dxa"/>
            <w:tcBorders>
              <w:top w:val="none" w:sz="6" w:space="0" w:color="auto"/>
              <w:left w:val="none" w:sz="6" w:space="0" w:color="auto"/>
              <w:bottom w:val="none" w:sz="6" w:space="0" w:color="auto"/>
              <w:right w:val="none" w:sz="6" w:space="0" w:color="auto"/>
            </w:tcBorders>
          </w:tcPr>
          <w:p w14:paraId="10E7B1E0" w14:textId="77777777" w:rsidR="004E4D93" w:rsidRPr="00D617BB" w:rsidRDefault="004E4D93" w:rsidP="00CD79E2">
            <w:pPr>
              <w:pStyle w:val="Default"/>
              <w:rPr>
                <w:rFonts w:asciiTheme="minorHAnsi" w:hAnsiTheme="minorHAnsi" w:cstheme="minorHAnsi"/>
                <w:b/>
                <w:bCs/>
              </w:rPr>
            </w:pPr>
            <w:r w:rsidRPr="00D617BB">
              <w:rPr>
                <w:rFonts w:asciiTheme="minorHAnsi" w:hAnsiTheme="minorHAnsi" w:cstheme="minorHAnsi"/>
                <w:b/>
                <w:bCs/>
              </w:rPr>
              <w:t xml:space="preserve">175 </w:t>
            </w:r>
          </w:p>
        </w:tc>
        <w:tc>
          <w:tcPr>
            <w:tcW w:w="4080" w:type="dxa"/>
            <w:tcBorders>
              <w:top w:val="none" w:sz="6" w:space="0" w:color="auto"/>
              <w:left w:val="none" w:sz="6" w:space="0" w:color="auto"/>
              <w:bottom w:val="none" w:sz="6" w:space="0" w:color="auto"/>
            </w:tcBorders>
          </w:tcPr>
          <w:p w14:paraId="239F9812" w14:textId="67D77E02" w:rsidR="004E4D93" w:rsidRPr="00D617BB" w:rsidRDefault="004E4D93" w:rsidP="00CD79E2">
            <w:pPr>
              <w:pStyle w:val="Default"/>
              <w:rPr>
                <w:rFonts w:asciiTheme="minorHAnsi" w:hAnsiTheme="minorHAnsi" w:cstheme="minorHAnsi"/>
                <w:b/>
                <w:bCs/>
              </w:rPr>
            </w:pPr>
            <w:r w:rsidRPr="00D617BB">
              <w:rPr>
                <w:rFonts w:asciiTheme="minorHAnsi" w:hAnsiTheme="minorHAnsi" w:cstheme="minorHAnsi"/>
                <w:b/>
                <w:bCs/>
              </w:rPr>
              <w:t xml:space="preserve">70,650 </w:t>
            </w:r>
          </w:p>
        </w:tc>
      </w:tr>
    </w:tbl>
    <w:p w14:paraId="316C037D" w14:textId="3814E0DC" w:rsidR="004E4D93" w:rsidRPr="00D617BB" w:rsidRDefault="004E4D93">
      <w:pPr>
        <w:rPr>
          <w:rFonts w:cstheme="minorHAnsi"/>
          <w:sz w:val="24"/>
          <w:szCs w:val="24"/>
        </w:rPr>
      </w:pPr>
    </w:p>
    <w:p w14:paraId="14032D31" w14:textId="41518130" w:rsidR="00F91900" w:rsidRPr="00D617BB" w:rsidRDefault="00F91900">
      <w:pPr>
        <w:rPr>
          <w:rFonts w:cstheme="minorHAnsi"/>
          <w:sz w:val="24"/>
          <w:szCs w:val="24"/>
        </w:rPr>
      </w:pPr>
      <w:r w:rsidRPr="00D617BB">
        <w:rPr>
          <w:rFonts w:cstheme="minorHAnsi"/>
          <w:sz w:val="24"/>
          <w:szCs w:val="24"/>
        </w:rPr>
        <w:t xml:space="preserve">Although the number of acres directly impacted is quite low, the Forest Service analysis states the mine activities “would affect, but not adversely affect, Canada lynx utilizing the area or their habitat.” At the time the SDEIS was released informal </w:t>
      </w:r>
      <w:r w:rsidR="001D1935" w:rsidRPr="00D617BB">
        <w:rPr>
          <w:rFonts w:cstheme="minorHAnsi"/>
          <w:sz w:val="24"/>
          <w:szCs w:val="24"/>
        </w:rPr>
        <w:t>Section 7 consultation with the USFWS was ongoing. “Therefore, based on the impact analysis for the Canada lynx and its habitat, the 2021MMP would result primarily in localized, long-term, and permanent, minor impacts to the Canada lynx.”</w:t>
      </w:r>
    </w:p>
    <w:p w14:paraId="38A7F15E" w14:textId="2B79CD55" w:rsidR="001D1935" w:rsidRPr="00D617BB" w:rsidRDefault="00606CD3" w:rsidP="00606CD3">
      <w:pPr>
        <w:rPr>
          <w:rFonts w:cstheme="minorHAnsi"/>
          <w:sz w:val="24"/>
          <w:szCs w:val="24"/>
        </w:rPr>
      </w:pPr>
      <w:r w:rsidRPr="00D617BB">
        <w:rPr>
          <w:rFonts w:cstheme="minorHAnsi"/>
          <w:sz w:val="24"/>
          <w:szCs w:val="24"/>
        </w:rPr>
        <w:t>The impacts identified in the SDEIS will be offset through restoration projects during the reclamation process for both action alternatives. However, the impacts of the Johnson Cree</w:t>
      </w:r>
      <w:r w:rsidR="00505500" w:rsidRPr="00D617BB">
        <w:rPr>
          <w:rFonts w:cstheme="minorHAnsi"/>
          <w:sz w:val="24"/>
          <w:szCs w:val="24"/>
        </w:rPr>
        <w:t>k</w:t>
      </w:r>
      <w:r w:rsidRPr="00D617BB">
        <w:rPr>
          <w:rFonts w:cstheme="minorHAnsi"/>
          <w:sz w:val="24"/>
          <w:szCs w:val="24"/>
        </w:rPr>
        <w:t xml:space="preserve"> alternative </w:t>
      </w:r>
      <w:r w:rsidR="0074559F" w:rsidRPr="00D617BB">
        <w:rPr>
          <w:rFonts w:cstheme="minorHAnsi"/>
          <w:sz w:val="24"/>
          <w:szCs w:val="24"/>
        </w:rPr>
        <w:t>will be less because of its smaller footprint.</w:t>
      </w:r>
    </w:p>
    <w:p w14:paraId="381BB300" w14:textId="229ED025" w:rsidR="004E4D93" w:rsidRPr="00D617BB" w:rsidRDefault="0074559F">
      <w:pPr>
        <w:rPr>
          <w:rFonts w:cstheme="minorHAnsi"/>
          <w:sz w:val="24"/>
          <w:szCs w:val="24"/>
        </w:rPr>
      </w:pPr>
      <w:r w:rsidRPr="00D617BB">
        <w:rPr>
          <w:rFonts w:cstheme="minorHAnsi"/>
          <w:sz w:val="24"/>
          <w:szCs w:val="24"/>
        </w:rPr>
        <w:t xml:space="preserve">The following is a quote from the Idaho Department of Fish </w:t>
      </w:r>
      <w:r w:rsidR="002D7E38" w:rsidRPr="00D617BB">
        <w:rPr>
          <w:rFonts w:cstheme="minorHAnsi"/>
          <w:sz w:val="24"/>
          <w:szCs w:val="24"/>
        </w:rPr>
        <w:t>a</w:t>
      </w:r>
      <w:r w:rsidRPr="00D617BB">
        <w:rPr>
          <w:rFonts w:cstheme="minorHAnsi"/>
          <w:sz w:val="24"/>
          <w:szCs w:val="24"/>
        </w:rPr>
        <w:t xml:space="preserve">nd </w:t>
      </w:r>
      <w:r w:rsidR="002D7E38" w:rsidRPr="00D617BB">
        <w:rPr>
          <w:rFonts w:cstheme="minorHAnsi"/>
          <w:sz w:val="24"/>
          <w:szCs w:val="24"/>
        </w:rPr>
        <w:t>Game’s</w:t>
      </w:r>
      <w:r w:rsidRPr="00D617BB">
        <w:rPr>
          <w:rFonts w:cstheme="minorHAnsi"/>
          <w:sz w:val="24"/>
          <w:szCs w:val="24"/>
        </w:rPr>
        <w:t xml:space="preserve"> </w:t>
      </w:r>
      <w:r w:rsidR="002D7E38" w:rsidRPr="00D617BB">
        <w:rPr>
          <w:rFonts w:cstheme="minorHAnsi"/>
          <w:sz w:val="24"/>
          <w:szCs w:val="24"/>
        </w:rPr>
        <w:t xml:space="preserve">draft </w:t>
      </w:r>
      <w:r w:rsidR="002D7E38" w:rsidRPr="00D617BB">
        <w:rPr>
          <w:rFonts w:cstheme="minorHAnsi"/>
          <w:i/>
          <w:iCs/>
          <w:sz w:val="24"/>
          <w:szCs w:val="24"/>
        </w:rPr>
        <w:t>Management Plan for the Conservation of Fisher, Wolverine, and Canada Lynx in Idaho, 2023-2028</w:t>
      </w:r>
      <w:r w:rsidR="002D7E38" w:rsidRPr="00D617BB">
        <w:rPr>
          <w:rFonts w:cstheme="minorHAnsi"/>
          <w:sz w:val="24"/>
          <w:szCs w:val="24"/>
        </w:rPr>
        <w:t>: “Idaho</w:t>
      </w:r>
      <w:r w:rsidR="000C7BE2" w:rsidRPr="00D617BB">
        <w:rPr>
          <w:rFonts w:cstheme="minorHAnsi"/>
          <w:sz w:val="24"/>
          <w:szCs w:val="24"/>
        </w:rPr>
        <w:t>’</w:t>
      </w:r>
      <w:r w:rsidR="002D7E38" w:rsidRPr="00D617BB">
        <w:rPr>
          <w:rFonts w:cstheme="minorHAnsi"/>
          <w:sz w:val="24"/>
          <w:szCs w:val="24"/>
        </w:rPr>
        <w:t xml:space="preserve">s potential role in lynx conservation is </w:t>
      </w:r>
      <w:proofErr w:type="gramStart"/>
      <w:r w:rsidR="002D7E38" w:rsidRPr="00D617BB">
        <w:rPr>
          <w:rFonts w:cstheme="minorHAnsi"/>
          <w:sz w:val="24"/>
          <w:szCs w:val="24"/>
        </w:rPr>
        <w:t>more narrow</w:t>
      </w:r>
      <w:proofErr w:type="gramEnd"/>
      <w:r w:rsidR="002D7E38" w:rsidRPr="00D617BB">
        <w:rPr>
          <w:rFonts w:cstheme="minorHAnsi"/>
          <w:sz w:val="24"/>
          <w:szCs w:val="24"/>
        </w:rPr>
        <w:t>, given the limited availability of suitable habitat in our state.”</w:t>
      </w:r>
      <w:r w:rsidR="00645A1F" w:rsidRPr="00D617BB">
        <w:rPr>
          <w:rFonts w:cstheme="minorHAnsi"/>
          <w:sz w:val="24"/>
          <w:szCs w:val="24"/>
        </w:rPr>
        <w:t xml:space="preserve"> In </w:t>
      </w:r>
      <w:r w:rsidR="00580713" w:rsidRPr="00D617BB">
        <w:rPr>
          <w:rFonts w:cstheme="minorHAnsi"/>
          <w:sz w:val="24"/>
          <w:szCs w:val="24"/>
        </w:rPr>
        <w:t>addition,</w:t>
      </w:r>
      <w:r w:rsidR="00645A1F" w:rsidRPr="00D617BB">
        <w:rPr>
          <w:rFonts w:cstheme="minorHAnsi"/>
          <w:sz w:val="24"/>
          <w:szCs w:val="24"/>
        </w:rPr>
        <w:t xml:space="preserve"> Figure 8 documents low to middle habitat in the study area.</w:t>
      </w:r>
    </w:p>
    <w:p w14:paraId="41A3E71F" w14:textId="342FC085" w:rsidR="000C2731" w:rsidRPr="00D617BB" w:rsidRDefault="000C2731">
      <w:pPr>
        <w:rPr>
          <w:rFonts w:cstheme="minorHAnsi"/>
          <w:sz w:val="24"/>
          <w:szCs w:val="24"/>
        </w:rPr>
      </w:pPr>
      <w:r w:rsidRPr="00D617BB">
        <w:rPr>
          <w:rFonts w:cstheme="minorHAnsi"/>
          <w:sz w:val="24"/>
          <w:szCs w:val="24"/>
        </w:rPr>
        <w:lastRenderedPageBreak/>
        <w:t>The proposed project will have no noticeable impact to the overall Canada lynx population in Idaho.</w:t>
      </w:r>
    </w:p>
    <w:p w14:paraId="2EEC84A6" w14:textId="12986FE2" w:rsidR="002D7E38" w:rsidRPr="00D617BB" w:rsidRDefault="00645A1F">
      <w:pPr>
        <w:rPr>
          <w:rStyle w:val="hgkelc"/>
          <w:rFonts w:cstheme="minorHAnsi"/>
          <w:sz w:val="24"/>
          <w:szCs w:val="24"/>
          <w:lang w:val="en"/>
        </w:rPr>
      </w:pPr>
      <w:r w:rsidRPr="00D617BB">
        <w:rPr>
          <w:rFonts w:cstheme="minorHAnsi"/>
          <w:b/>
          <w:bCs/>
          <w:sz w:val="24"/>
          <w:szCs w:val="24"/>
        </w:rPr>
        <w:t>FISHER</w:t>
      </w:r>
      <w:r w:rsidR="002D7E38" w:rsidRPr="00D617BB">
        <w:rPr>
          <w:rFonts w:cstheme="minorHAnsi"/>
          <w:b/>
          <w:bCs/>
          <w:sz w:val="24"/>
          <w:szCs w:val="24"/>
        </w:rPr>
        <w:t>:</w:t>
      </w:r>
      <w:r w:rsidR="002D7E38" w:rsidRPr="00D617BB">
        <w:rPr>
          <w:rFonts w:cstheme="minorHAnsi"/>
          <w:sz w:val="24"/>
          <w:szCs w:val="24"/>
        </w:rPr>
        <w:t xml:space="preserve"> </w:t>
      </w:r>
      <w:r w:rsidR="000C7BE2" w:rsidRPr="00D617BB">
        <w:rPr>
          <w:rFonts w:cstheme="minorHAnsi"/>
          <w:sz w:val="24"/>
          <w:szCs w:val="24"/>
        </w:rPr>
        <w:t>There</w:t>
      </w:r>
      <w:r w:rsidR="002D7E38" w:rsidRPr="00D617BB">
        <w:rPr>
          <w:rFonts w:cstheme="minorHAnsi"/>
          <w:sz w:val="24"/>
          <w:szCs w:val="24"/>
        </w:rPr>
        <w:t xml:space="preserve"> </w:t>
      </w:r>
      <w:r w:rsidR="000C7BE2" w:rsidRPr="00D617BB">
        <w:rPr>
          <w:rFonts w:cstheme="minorHAnsi"/>
          <w:sz w:val="24"/>
          <w:szCs w:val="24"/>
        </w:rPr>
        <w:t>are 17,711 acres of ‘modeled source habitat’ acres for the fisher in the wildlife analysis area. The following is the definition of modeled source habitat</w:t>
      </w:r>
      <w:r w:rsidR="00505500" w:rsidRPr="00D617BB">
        <w:rPr>
          <w:rFonts w:cstheme="minorHAnsi"/>
          <w:sz w:val="24"/>
          <w:szCs w:val="24"/>
        </w:rPr>
        <w:t>: “</w:t>
      </w:r>
      <w:r w:rsidR="000C7BE2" w:rsidRPr="00D617BB">
        <w:rPr>
          <w:rStyle w:val="hgkelc"/>
          <w:rFonts w:cstheme="minorHAnsi"/>
          <w:sz w:val="24"/>
          <w:szCs w:val="24"/>
          <w:lang w:val="en"/>
        </w:rPr>
        <w:t>In this model, organisms occupy two patches of habitat. One patch, the source, is a high-quality habitat that on average allows the population to increase. The second patch, the sink, is very low-quality habitat that, on its own, would not be able to support a population.”</w:t>
      </w:r>
    </w:p>
    <w:p w14:paraId="13705060" w14:textId="3AFCB057" w:rsidR="00D860D3" w:rsidRPr="00D617BB" w:rsidRDefault="00D860D3">
      <w:pPr>
        <w:rPr>
          <w:rStyle w:val="hgkelc"/>
          <w:rFonts w:cstheme="minorHAnsi"/>
          <w:sz w:val="24"/>
          <w:szCs w:val="24"/>
          <w:lang w:val="en"/>
        </w:rPr>
      </w:pPr>
      <w:r w:rsidRPr="00D617BB">
        <w:rPr>
          <w:rStyle w:val="hgkelc"/>
          <w:rFonts w:cstheme="minorHAnsi"/>
          <w:sz w:val="24"/>
          <w:szCs w:val="24"/>
          <w:lang w:val="en"/>
        </w:rPr>
        <w:t xml:space="preserve">The fisher doesn’t have the </w:t>
      </w:r>
      <w:r w:rsidR="00505500" w:rsidRPr="00D617BB">
        <w:rPr>
          <w:rStyle w:val="hgkelc"/>
          <w:rFonts w:cstheme="minorHAnsi"/>
          <w:sz w:val="24"/>
          <w:szCs w:val="24"/>
          <w:lang w:val="en"/>
        </w:rPr>
        <w:t xml:space="preserve">ability to negotiate deep snow </w:t>
      </w:r>
      <w:r w:rsidRPr="00D617BB">
        <w:rPr>
          <w:rStyle w:val="hgkelc"/>
          <w:rFonts w:cstheme="minorHAnsi"/>
          <w:sz w:val="24"/>
          <w:szCs w:val="24"/>
          <w:lang w:val="en"/>
        </w:rPr>
        <w:t>that Canada lynx and wolverine have</w:t>
      </w:r>
      <w:r w:rsidR="00505500" w:rsidRPr="00D617BB">
        <w:rPr>
          <w:rStyle w:val="hgkelc"/>
          <w:rFonts w:cstheme="minorHAnsi"/>
          <w:sz w:val="24"/>
          <w:szCs w:val="24"/>
          <w:lang w:val="en"/>
        </w:rPr>
        <w:t>. T</w:t>
      </w:r>
      <w:r w:rsidRPr="00D617BB">
        <w:rPr>
          <w:rStyle w:val="hgkelc"/>
          <w:rFonts w:cstheme="minorHAnsi"/>
          <w:sz w:val="24"/>
          <w:szCs w:val="24"/>
          <w:lang w:val="en"/>
        </w:rPr>
        <w:t>hus</w:t>
      </w:r>
      <w:r w:rsidR="00505500" w:rsidRPr="00D617BB">
        <w:rPr>
          <w:rStyle w:val="hgkelc"/>
          <w:rFonts w:cstheme="minorHAnsi"/>
          <w:sz w:val="24"/>
          <w:szCs w:val="24"/>
          <w:lang w:val="en"/>
        </w:rPr>
        <w:t>, they</w:t>
      </w:r>
      <w:r w:rsidRPr="00D617BB">
        <w:rPr>
          <w:rStyle w:val="hgkelc"/>
          <w:rFonts w:cstheme="minorHAnsi"/>
          <w:sz w:val="24"/>
          <w:szCs w:val="24"/>
          <w:lang w:val="en"/>
        </w:rPr>
        <w:t xml:space="preserve"> struggle in deep snow, noncompacted snow conditions; </w:t>
      </w:r>
      <w:r w:rsidR="00645A1F" w:rsidRPr="00D617BB">
        <w:rPr>
          <w:rStyle w:val="hgkelc"/>
          <w:rFonts w:cstheme="minorHAnsi"/>
          <w:sz w:val="24"/>
          <w:szCs w:val="24"/>
          <w:lang w:val="en"/>
        </w:rPr>
        <w:t>they normally occupy habitat below 5,000 feet elevation. The mine site is predominately above 6,000 feet elevation, including the access routes.</w:t>
      </w:r>
      <w:r w:rsidRPr="00D617BB">
        <w:rPr>
          <w:rStyle w:val="hgkelc"/>
          <w:rFonts w:cstheme="minorHAnsi"/>
          <w:sz w:val="24"/>
          <w:szCs w:val="24"/>
          <w:lang w:val="en"/>
        </w:rPr>
        <w:t xml:space="preserve"> </w:t>
      </w:r>
    </w:p>
    <w:p w14:paraId="50DE6C45" w14:textId="6FD830A6" w:rsidR="000C7BE2" w:rsidRPr="00D617BB" w:rsidRDefault="000C7BE2">
      <w:pPr>
        <w:rPr>
          <w:rFonts w:cstheme="minorHAnsi"/>
          <w:sz w:val="24"/>
          <w:szCs w:val="24"/>
        </w:rPr>
      </w:pPr>
      <w:r w:rsidRPr="00D617BB">
        <w:rPr>
          <w:rStyle w:val="hgkelc"/>
          <w:rFonts w:cstheme="minorHAnsi"/>
          <w:sz w:val="24"/>
          <w:szCs w:val="24"/>
          <w:lang w:val="en"/>
        </w:rPr>
        <w:t xml:space="preserve">To better understand fisher distribution the Payette and Boise national forests enhanced survey efforts </w:t>
      </w:r>
      <w:r w:rsidR="00411483" w:rsidRPr="00D617BB">
        <w:rPr>
          <w:rStyle w:val="hgkelc"/>
          <w:rFonts w:cstheme="minorHAnsi"/>
          <w:sz w:val="24"/>
          <w:szCs w:val="24"/>
          <w:lang w:val="en"/>
        </w:rPr>
        <w:t>as part of a state monitoring program in 2018-2019.</w:t>
      </w:r>
      <w:r w:rsidR="007524F7" w:rsidRPr="00D617BB">
        <w:rPr>
          <w:rStyle w:val="hgkelc"/>
          <w:rFonts w:cstheme="minorHAnsi"/>
          <w:sz w:val="24"/>
          <w:szCs w:val="24"/>
          <w:lang w:val="en"/>
        </w:rPr>
        <w:t xml:space="preserve"> Figure 1</w:t>
      </w:r>
      <w:r w:rsidR="00645A1F" w:rsidRPr="00D617BB">
        <w:rPr>
          <w:rStyle w:val="hgkelc"/>
          <w:rFonts w:cstheme="minorHAnsi"/>
          <w:sz w:val="24"/>
          <w:szCs w:val="24"/>
          <w:lang w:val="en"/>
        </w:rPr>
        <w:t xml:space="preserve"> and 2</w:t>
      </w:r>
      <w:r w:rsidR="007524F7" w:rsidRPr="00D617BB">
        <w:rPr>
          <w:rStyle w:val="hgkelc"/>
          <w:rFonts w:cstheme="minorHAnsi"/>
          <w:sz w:val="24"/>
          <w:szCs w:val="24"/>
          <w:lang w:val="en"/>
        </w:rPr>
        <w:t xml:space="preserve"> in </w:t>
      </w:r>
      <w:r w:rsidR="007524F7" w:rsidRPr="00D617BB">
        <w:rPr>
          <w:rFonts w:cstheme="minorHAnsi"/>
          <w:sz w:val="24"/>
          <w:szCs w:val="24"/>
        </w:rPr>
        <w:t xml:space="preserve">the Idaho Department of Fish and Game’s draft </w:t>
      </w:r>
      <w:r w:rsidR="007524F7" w:rsidRPr="00D617BB">
        <w:rPr>
          <w:rFonts w:cstheme="minorHAnsi"/>
          <w:i/>
          <w:iCs/>
          <w:sz w:val="24"/>
          <w:szCs w:val="24"/>
        </w:rPr>
        <w:t xml:space="preserve">Management Plan for the Conservation of Fisher, Wolverine, and Canada Lynx in Idaho, 2023-2028 </w:t>
      </w:r>
      <w:r w:rsidR="007524F7" w:rsidRPr="00D617BB">
        <w:rPr>
          <w:rFonts w:cstheme="minorHAnsi"/>
          <w:sz w:val="24"/>
          <w:szCs w:val="24"/>
        </w:rPr>
        <w:t>displays fisher observation records in Idaho, 1960-2022, plus a state-wide fisher habitat rating. This data documents few fisher observations in the project area, plus no habitat.</w:t>
      </w:r>
    </w:p>
    <w:p w14:paraId="7C271E06" w14:textId="0B05BFD1" w:rsidR="007524F7" w:rsidRPr="00D617BB" w:rsidRDefault="007524F7">
      <w:pPr>
        <w:rPr>
          <w:rFonts w:cstheme="minorHAnsi"/>
          <w:sz w:val="24"/>
          <w:szCs w:val="24"/>
        </w:rPr>
      </w:pPr>
      <w:r w:rsidRPr="00D617BB">
        <w:rPr>
          <w:rStyle w:val="hgkelc"/>
          <w:rFonts w:cstheme="minorHAnsi"/>
          <w:sz w:val="24"/>
          <w:szCs w:val="24"/>
          <w:lang w:val="en"/>
        </w:rPr>
        <w:t>The SD</w:t>
      </w:r>
      <w:r w:rsidR="00505500" w:rsidRPr="00D617BB">
        <w:rPr>
          <w:rStyle w:val="hgkelc"/>
          <w:rFonts w:cstheme="minorHAnsi"/>
          <w:sz w:val="24"/>
          <w:szCs w:val="24"/>
          <w:lang w:val="en"/>
        </w:rPr>
        <w:t>E</w:t>
      </w:r>
      <w:r w:rsidRPr="00D617BB">
        <w:rPr>
          <w:rStyle w:val="hgkelc"/>
          <w:rFonts w:cstheme="minorHAnsi"/>
          <w:sz w:val="24"/>
          <w:szCs w:val="24"/>
          <w:lang w:val="en"/>
        </w:rPr>
        <w:t xml:space="preserve">IS has the following statement: “On the PNF, incidental trapping continues to be a mortality issue for fisher.” </w:t>
      </w:r>
      <w:r w:rsidR="00D860D3" w:rsidRPr="00D617BB">
        <w:rPr>
          <w:rStyle w:val="markedcontent"/>
          <w:rFonts w:cstheme="minorHAnsi"/>
          <w:sz w:val="24"/>
          <w:szCs w:val="24"/>
        </w:rPr>
        <w:t xml:space="preserve">Figure 3 </w:t>
      </w:r>
      <w:r w:rsidR="00D860D3" w:rsidRPr="00D617BB">
        <w:rPr>
          <w:rStyle w:val="hgkelc"/>
          <w:rFonts w:cstheme="minorHAnsi"/>
          <w:sz w:val="24"/>
          <w:szCs w:val="24"/>
          <w:lang w:val="en"/>
        </w:rPr>
        <w:t xml:space="preserve">in </w:t>
      </w:r>
      <w:r w:rsidR="00D860D3" w:rsidRPr="00D617BB">
        <w:rPr>
          <w:rFonts w:cstheme="minorHAnsi"/>
          <w:sz w:val="24"/>
          <w:szCs w:val="24"/>
        </w:rPr>
        <w:t xml:space="preserve">the Idaho Department of Fish and Game’s draft </w:t>
      </w:r>
      <w:r w:rsidR="00D860D3" w:rsidRPr="00D617BB">
        <w:rPr>
          <w:rFonts w:cstheme="minorHAnsi"/>
          <w:i/>
          <w:iCs/>
          <w:sz w:val="24"/>
          <w:szCs w:val="24"/>
        </w:rPr>
        <w:t xml:space="preserve">Management Plan for the Conservation of Fisher, Wolverine, and Canada Lynx in Idaho, 2023-2028 </w:t>
      </w:r>
      <w:r w:rsidR="00D860D3" w:rsidRPr="00D617BB">
        <w:rPr>
          <w:rFonts w:cstheme="minorHAnsi"/>
          <w:sz w:val="24"/>
          <w:szCs w:val="24"/>
        </w:rPr>
        <w:t>displays fisher incidental records, 2000-2022. The 5-year average fisher morality from incidental catch is five per year and occurs in the Panhandle and Clearwater regions. Give the low incidence fisher records, plus lack of habitat, the incidental catch is not a significant issue.</w:t>
      </w:r>
    </w:p>
    <w:p w14:paraId="06B5528F" w14:textId="4E3F49DA" w:rsidR="000C2731" w:rsidRPr="00D617BB" w:rsidRDefault="000C2731" w:rsidP="000C2731">
      <w:pPr>
        <w:rPr>
          <w:rFonts w:cstheme="minorHAnsi"/>
          <w:sz w:val="24"/>
          <w:szCs w:val="24"/>
        </w:rPr>
      </w:pPr>
      <w:r w:rsidRPr="00D617BB">
        <w:rPr>
          <w:rFonts w:cstheme="minorHAnsi"/>
          <w:sz w:val="24"/>
          <w:szCs w:val="24"/>
        </w:rPr>
        <w:t>The proposed project will have no noticeable impact to the overall fisher population in Idaho.</w:t>
      </w:r>
    </w:p>
    <w:p w14:paraId="3EB363FA" w14:textId="669473AD" w:rsidR="00580713" w:rsidRPr="00D617BB" w:rsidRDefault="00645A1F" w:rsidP="00580713">
      <w:pPr>
        <w:rPr>
          <w:rFonts w:cstheme="minorHAnsi"/>
          <w:sz w:val="24"/>
          <w:szCs w:val="24"/>
        </w:rPr>
      </w:pPr>
      <w:r w:rsidRPr="00D617BB">
        <w:rPr>
          <w:rFonts w:cstheme="minorHAnsi"/>
          <w:b/>
          <w:bCs/>
          <w:sz w:val="24"/>
          <w:szCs w:val="24"/>
        </w:rPr>
        <w:t>WOLVERINE</w:t>
      </w:r>
      <w:r w:rsidRPr="00D617BB">
        <w:rPr>
          <w:rFonts w:cstheme="minorHAnsi"/>
          <w:sz w:val="24"/>
          <w:szCs w:val="24"/>
        </w:rPr>
        <w:t>:</w:t>
      </w:r>
      <w:r w:rsidR="00954DA3" w:rsidRPr="00D617BB">
        <w:rPr>
          <w:rFonts w:cstheme="minorHAnsi"/>
          <w:sz w:val="24"/>
          <w:szCs w:val="24"/>
        </w:rPr>
        <w:t xml:space="preserve"> For the SDEIS, the wolverine is considered </w:t>
      </w:r>
      <w:r w:rsidR="00505500" w:rsidRPr="00D617BB">
        <w:rPr>
          <w:rFonts w:cstheme="minorHAnsi"/>
          <w:sz w:val="24"/>
          <w:szCs w:val="24"/>
        </w:rPr>
        <w:t>‘</w:t>
      </w:r>
      <w:r w:rsidR="00954DA3" w:rsidRPr="00D617BB">
        <w:rPr>
          <w:rFonts w:cstheme="minorHAnsi"/>
          <w:sz w:val="24"/>
          <w:szCs w:val="24"/>
        </w:rPr>
        <w:t>proposed for listing’ or proposed-threatened as per the USFWS proposed 2013 proposed rule</w:t>
      </w:r>
      <w:r w:rsidR="00580713" w:rsidRPr="00D617BB">
        <w:rPr>
          <w:rFonts w:cstheme="minorHAnsi"/>
          <w:sz w:val="24"/>
          <w:szCs w:val="24"/>
        </w:rPr>
        <w:t>. Wolverines are well documented within and adjacent to the project area. Accordingly, the Forest Service has</w:t>
      </w:r>
      <w:r w:rsidR="00505500" w:rsidRPr="00D617BB">
        <w:rPr>
          <w:rFonts w:cstheme="minorHAnsi"/>
          <w:sz w:val="24"/>
          <w:szCs w:val="24"/>
        </w:rPr>
        <w:t>:</w:t>
      </w:r>
      <w:r w:rsidR="00580713" w:rsidRPr="00D617BB">
        <w:rPr>
          <w:rFonts w:cstheme="minorHAnsi"/>
          <w:sz w:val="24"/>
          <w:szCs w:val="24"/>
        </w:rPr>
        <w:t xml:space="preserve"> </w:t>
      </w:r>
      <w:r w:rsidR="00505500" w:rsidRPr="00D617BB">
        <w:rPr>
          <w:rFonts w:cstheme="minorHAnsi"/>
          <w:sz w:val="24"/>
          <w:szCs w:val="24"/>
        </w:rPr>
        <w:t>“</w:t>
      </w:r>
      <w:r w:rsidR="00580713" w:rsidRPr="00D617BB">
        <w:rPr>
          <w:rFonts w:cstheme="minorHAnsi"/>
          <w:sz w:val="24"/>
          <w:szCs w:val="24"/>
        </w:rPr>
        <w:t xml:space="preserve">preliminarily determined that the 2021 MMP may directly and indirectly impact wolverine individuals and habitat resulting in adverse impacts but would not jeopardize the continued existence of the species.” </w:t>
      </w:r>
      <w:r w:rsidR="000C2731" w:rsidRPr="00D617BB">
        <w:rPr>
          <w:rFonts w:cstheme="minorHAnsi"/>
          <w:sz w:val="24"/>
          <w:szCs w:val="24"/>
        </w:rPr>
        <w:t>Consequently</w:t>
      </w:r>
      <w:r w:rsidR="00580713" w:rsidRPr="00D617BB">
        <w:rPr>
          <w:rFonts w:cstheme="minorHAnsi"/>
          <w:sz w:val="24"/>
          <w:szCs w:val="24"/>
        </w:rPr>
        <w:t>, informal Section 7 ESA is ongoing with the USFWS. In analyzing the action alternatives impacts to wolverine habitat is more extensive in 2021MMP due t</w:t>
      </w:r>
      <w:r w:rsidR="00614F25" w:rsidRPr="00D617BB">
        <w:rPr>
          <w:rFonts w:cstheme="minorHAnsi"/>
          <w:sz w:val="24"/>
          <w:szCs w:val="24"/>
        </w:rPr>
        <w:t xml:space="preserve">o reducing habitat connectivity, high level of displacement, plus the highest indirect impacts. It was concluded “…based on the impact analysis for the wolverine and its habitat, the 2021 MMP would result in localized and long-term impacts to the wolverine, particularly the local population (part </w:t>
      </w:r>
      <w:r w:rsidR="000C009E" w:rsidRPr="00D617BB">
        <w:rPr>
          <w:rFonts w:cstheme="minorHAnsi"/>
          <w:sz w:val="24"/>
          <w:szCs w:val="24"/>
        </w:rPr>
        <w:t>o</w:t>
      </w:r>
      <w:r w:rsidR="00614F25" w:rsidRPr="00D617BB">
        <w:rPr>
          <w:rFonts w:cstheme="minorHAnsi"/>
          <w:sz w:val="24"/>
          <w:szCs w:val="24"/>
        </w:rPr>
        <w:t xml:space="preserve">f larger Central Idaho sub-populations).” </w:t>
      </w:r>
    </w:p>
    <w:p w14:paraId="3B7CC871" w14:textId="1E587E56" w:rsidR="005A6F22" w:rsidRPr="00D617BB" w:rsidRDefault="00614F25" w:rsidP="005A6F22">
      <w:pPr>
        <w:rPr>
          <w:rStyle w:val="markedcontent"/>
          <w:rFonts w:cstheme="minorHAnsi"/>
          <w:sz w:val="24"/>
          <w:szCs w:val="24"/>
        </w:rPr>
      </w:pPr>
      <w:r w:rsidRPr="00D617BB">
        <w:rPr>
          <w:rStyle w:val="hgkelc"/>
          <w:rFonts w:cstheme="minorHAnsi"/>
          <w:sz w:val="24"/>
          <w:szCs w:val="24"/>
          <w:lang w:val="en"/>
        </w:rPr>
        <w:t xml:space="preserve">The analysis area is located in </w:t>
      </w:r>
      <w:r w:rsidR="005A6F22" w:rsidRPr="00D617BB">
        <w:rPr>
          <w:rStyle w:val="hgkelc"/>
          <w:rFonts w:cstheme="minorHAnsi"/>
          <w:sz w:val="24"/>
          <w:szCs w:val="24"/>
          <w:lang w:val="en"/>
        </w:rPr>
        <w:t xml:space="preserve">Tier 1 Game Management Units (GMUS) 25 and 26 per the Management Plan for Conservation of Wolverines in Idaho, 2014-2019 (IDFG). Tier 1 units are </w:t>
      </w:r>
      <w:r w:rsidR="005A6F22" w:rsidRPr="00D617BB">
        <w:rPr>
          <w:rStyle w:val="hgkelc"/>
          <w:rFonts w:cstheme="minorHAnsi"/>
          <w:sz w:val="24"/>
          <w:szCs w:val="24"/>
          <w:lang w:val="en"/>
        </w:rPr>
        <w:lastRenderedPageBreak/>
        <w:t xml:space="preserve">the most important based on potential use threats and unprotected habitat. Unfortunately, </w:t>
      </w:r>
      <w:r w:rsidR="005A6F22" w:rsidRPr="00D617BB">
        <w:rPr>
          <w:rStyle w:val="markedcontent"/>
          <w:rFonts w:cstheme="minorHAnsi"/>
          <w:sz w:val="24"/>
          <w:szCs w:val="24"/>
        </w:rPr>
        <w:t>although there are estimates for population carrying</w:t>
      </w:r>
      <w:r w:rsidR="005A6F22" w:rsidRPr="00D617BB">
        <w:rPr>
          <w:rFonts w:cstheme="minorHAnsi"/>
          <w:sz w:val="24"/>
          <w:szCs w:val="24"/>
        </w:rPr>
        <w:t xml:space="preserve"> </w:t>
      </w:r>
      <w:r w:rsidR="005A6F22" w:rsidRPr="00D617BB">
        <w:rPr>
          <w:rStyle w:val="markedcontent"/>
          <w:rFonts w:cstheme="minorHAnsi"/>
          <w:sz w:val="24"/>
          <w:szCs w:val="24"/>
        </w:rPr>
        <w:t>capacity in Idaho, there is currently no valid population estimate (IDFG 2014).</w:t>
      </w:r>
      <w:r w:rsidR="00505500" w:rsidRPr="00D617BB">
        <w:rPr>
          <w:rStyle w:val="markedcontent"/>
          <w:rFonts w:cstheme="minorHAnsi"/>
          <w:sz w:val="24"/>
          <w:szCs w:val="24"/>
        </w:rPr>
        <w:t xml:space="preserve"> For your information, GMU 25 encompasses the entire South Fork Salmon River drainage. GMU 26 encompasses the entire Big Creek drainage, a tributary of the Middle Fork of the Salmon River</w:t>
      </w:r>
      <w:r w:rsidR="00D617BB" w:rsidRPr="00D617BB">
        <w:rPr>
          <w:rStyle w:val="markedcontent"/>
          <w:rFonts w:cstheme="minorHAnsi"/>
          <w:sz w:val="24"/>
          <w:szCs w:val="24"/>
        </w:rPr>
        <w:t>.</w:t>
      </w:r>
    </w:p>
    <w:p w14:paraId="75FDB77C" w14:textId="0300B660" w:rsidR="00645A1F" w:rsidRPr="00D617BB" w:rsidRDefault="00954DA3">
      <w:pPr>
        <w:rPr>
          <w:rFonts w:cstheme="minorHAnsi"/>
          <w:color w:val="000000"/>
          <w:sz w:val="24"/>
          <w:szCs w:val="24"/>
        </w:rPr>
      </w:pPr>
      <w:r w:rsidRPr="00D617BB">
        <w:rPr>
          <w:rFonts w:cstheme="minorHAnsi"/>
          <w:color w:val="000000"/>
          <w:sz w:val="24"/>
          <w:szCs w:val="24"/>
        </w:rPr>
        <w:t xml:space="preserve">The SDEIS evaluated the direct and indirect effects to wolverine within a 5-mile buffer of the 2021 MMP alternative, assessing all potential impacts, including noise disturbance. The buffer was </w:t>
      </w:r>
      <w:r w:rsidR="00A063FE" w:rsidRPr="00D617BB">
        <w:rPr>
          <w:rFonts w:cstheme="minorHAnsi"/>
          <w:color w:val="000000"/>
          <w:sz w:val="24"/>
          <w:szCs w:val="24"/>
        </w:rPr>
        <w:t>established</w:t>
      </w:r>
      <w:r w:rsidRPr="00D617BB">
        <w:rPr>
          <w:rFonts w:cstheme="minorHAnsi"/>
          <w:color w:val="000000"/>
          <w:sz w:val="24"/>
          <w:szCs w:val="24"/>
        </w:rPr>
        <w:t xml:space="preserve"> using best professional judgment, </w:t>
      </w:r>
      <w:r w:rsidR="00A063FE" w:rsidRPr="00D617BB">
        <w:rPr>
          <w:rFonts w:cstheme="minorHAnsi"/>
          <w:color w:val="000000"/>
          <w:sz w:val="24"/>
          <w:szCs w:val="24"/>
        </w:rPr>
        <w:t xml:space="preserve">plus </w:t>
      </w:r>
      <w:r w:rsidRPr="00D617BB">
        <w:rPr>
          <w:rFonts w:cstheme="minorHAnsi"/>
          <w:color w:val="000000"/>
          <w:sz w:val="24"/>
          <w:szCs w:val="24"/>
        </w:rPr>
        <w:t>the USFWS, to address potential indirect impacts</w:t>
      </w:r>
      <w:r w:rsidR="00A063FE" w:rsidRPr="00D617BB">
        <w:rPr>
          <w:rFonts w:cstheme="minorHAnsi"/>
          <w:color w:val="000000"/>
          <w:sz w:val="24"/>
          <w:szCs w:val="24"/>
        </w:rPr>
        <w:t>.</w:t>
      </w:r>
    </w:p>
    <w:p w14:paraId="4D612C8F" w14:textId="0D2BCA39" w:rsidR="00A063FE" w:rsidRPr="00D617BB" w:rsidRDefault="00A063FE">
      <w:pPr>
        <w:rPr>
          <w:rFonts w:cstheme="minorHAnsi"/>
          <w:color w:val="000000"/>
          <w:sz w:val="24"/>
          <w:szCs w:val="24"/>
        </w:rPr>
      </w:pPr>
      <w:r w:rsidRPr="00D617BB">
        <w:rPr>
          <w:rFonts w:cstheme="minorHAnsi"/>
          <w:color w:val="000000"/>
          <w:sz w:val="24"/>
          <w:szCs w:val="24"/>
        </w:rPr>
        <w:t>Direct and indirect impacts to wolverine habitat are displayed in Table 4.13-2.for both action alternatives.</w:t>
      </w:r>
    </w:p>
    <w:tbl>
      <w:tblPr>
        <w:tblW w:w="1224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80"/>
        <w:gridCol w:w="4080"/>
        <w:gridCol w:w="4080"/>
      </w:tblGrid>
      <w:tr w:rsidR="00A063FE" w:rsidRPr="00D617BB" w14:paraId="77A6F7B0" w14:textId="77777777" w:rsidTr="00CD79E2">
        <w:trPr>
          <w:trHeight w:val="257"/>
        </w:trPr>
        <w:tc>
          <w:tcPr>
            <w:tcW w:w="4080" w:type="dxa"/>
            <w:tcBorders>
              <w:top w:val="none" w:sz="6" w:space="0" w:color="auto"/>
              <w:bottom w:val="none" w:sz="6" w:space="0" w:color="auto"/>
              <w:right w:val="none" w:sz="6" w:space="0" w:color="auto"/>
            </w:tcBorders>
          </w:tcPr>
          <w:p w14:paraId="55918C08" w14:textId="706DFE03"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b/>
                <w:bCs/>
                <w:color w:val="000000"/>
                <w:sz w:val="24"/>
                <w:szCs w:val="24"/>
              </w:rPr>
              <w:t xml:space="preserve">Persistent Spring Snow Cover Years </w:t>
            </w:r>
          </w:p>
        </w:tc>
        <w:tc>
          <w:tcPr>
            <w:tcW w:w="4080" w:type="dxa"/>
            <w:tcBorders>
              <w:top w:val="none" w:sz="6" w:space="0" w:color="auto"/>
              <w:left w:val="none" w:sz="6" w:space="0" w:color="auto"/>
              <w:bottom w:val="none" w:sz="6" w:space="0" w:color="auto"/>
              <w:right w:val="none" w:sz="6" w:space="0" w:color="auto"/>
            </w:tcBorders>
          </w:tcPr>
          <w:p w14:paraId="4BB5F52F"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b/>
                <w:bCs/>
                <w:color w:val="000000"/>
                <w:sz w:val="24"/>
                <w:szCs w:val="24"/>
              </w:rPr>
              <w:t xml:space="preserve">Directly Impacted Habitat (acres) </w:t>
            </w:r>
          </w:p>
        </w:tc>
        <w:tc>
          <w:tcPr>
            <w:tcW w:w="4080" w:type="dxa"/>
            <w:tcBorders>
              <w:top w:val="none" w:sz="6" w:space="0" w:color="auto"/>
              <w:left w:val="none" w:sz="6" w:space="0" w:color="auto"/>
              <w:bottom w:val="none" w:sz="6" w:space="0" w:color="auto"/>
            </w:tcBorders>
          </w:tcPr>
          <w:p w14:paraId="1E8BE398"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b/>
                <w:bCs/>
                <w:color w:val="000000"/>
                <w:sz w:val="24"/>
                <w:szCs w:val="24"/>
              </w:rPr>
              <w:t xml:space="preserve">Indirectly Impacted Habitat (acres) </w:t>
            </w:r>
          </w:p>
        </w:tc>
      </w:tr>
      <w:tr w:rsidR="00A063FE" w:rsidRPr="00D617BB" w14:paraId="28EE6052" w14:textId="77777777" w:rsidTr="00CD79E2">
        <w:trPr>
          <w:trHeight w:val="137"/>
        </w:trPr>
        <w:tc>
          <w:tcPr>
            <w:tcW w:w="4080" w:type="dxa"/>
            <w:tcBorders>
              <w:top w:val="none" w:sz="6" w:space="0" w:color="auto"/>
              <w:bottom w:val="none" w:sz="6" w:space="0" w:color="auto"/>
              <w:right w:val="none" w:sz="6" w:space="0" w:color="auto"/>
            </w:tcBorders>
          </w:tcPr>
          <w:p w14:paraId="5B7900FD" w14:textId="77777777" w:rsidR="00A063FE" w:rsidRPr="00D617BB" w:rsidRDefault="00A063FE" w:rsidP="00CD79E2">
            <w:pPr>
              <w:autoSpaceDE w:val="0"/>
              <w:autoSpaceDN w:val="0"/>
              <w:adjustRightInd w:val="0"/>
              <w:spacing w:after="0" w:line="240" w:lineRule="auto"/>
              <w:rPr>
                <w:rFonts w:cstheme="minorHAnsi"/>
                <w:color w:val="FFFFFF"/>
                <w:sz w:val="24"/>
                <w:szCs w:val="24"/>
              </w:rPr>
            </w:pPr>
            <w:r w:rsidRPr="00D617BB">
              <w:rPr>
                <w:rFonts w:cstheme="minorHAnsi"/>
                <w:b/>
                <w:bCs/>
                <w:color w:val="FFFFFF"/>
                <w:sz w:val="24"/>
                <w:szCs w:val="24"/>
              </w:rPr>
              <w:t xml:space="preserve">2021 MMP </w:t>
            </w:r>
          </w:p>
        </w:tc>
        <w:tc>
          <w:tcPr>
            <w:tcW w:w="4080" w:type="dxa"/>
            <w:tcBorders>
              <w:top w:val="none" w:sz="6" w:space="0" w:color="auto"/>
              <w:left w:val="none" w:sz="6" w:space="0" w:color="auto"/>
              <w:bottom w:val="none" w:sz="6" w:space="0" w:color="auto"/>
              <w:right w:val="none" w:sz="6" w:space="0" w:color="auto"/>
            </w:tcBorders>
          </w:tcPr>
          <w:p w14:paraId="4C27D309"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b/>
                <w:bCs/>
                <w:color w:val="000000"/>
                <w:sz w:val="24"/>
                <w:szCs w:val="24"/>
              </w:rPr>
              <w:t xml:space="preserve">2021 MMP </w:t>
            </w:r>
          </w:p>
        </w:tc>
        <w:tc>
          <w:tcPr>
            <w:tcW w:w="4080" w:type="dxa"/>
            <w:tcBorders>
              <w:top w:val="none" w:sz="6" w:space="0" w:color="auto"/>
              <w:left w:val="none" w:sz="6" w:space="0" w:color="auto"/>
              <w:bottom w:val="none" w:sz="6" w:space="0" w:color="auto"/>
            </w:tcBorders>
          </w:tcPr>
          <w:p w14:paraId="2ED7D40A" w14:textId="77777777" w:rsidR="00A063FE" w:rsidRPr="00D617BB" w:rsidRDefault="00A063FE" w:rsidP="00CD79E2">
            <w:pPr>
              <w:autoSpaceDE w:val="0"/>
              <w:autoSpaceDN w:val="0"/>
              <w:adjustRightInd w:val="0"/>
              <w:spacing w:after="0" w:line="240" w:lineRule="auto"/>
              <w:rPr>
                <w:rFonts w:cstheme="minorHAnsi"/>
                <w:color w:val="FFFFFF"/>
                <w:sz w:val="24"/>
                <w:szCs w:val="24"/>
              </w:rPr>
            </w:pPr>
            <w:r w:rsidRPr="00D617BB">
              <w:rPr>
                <w:rFonts w:cstheme="minorHAnsi"/>
                <w:b/>
                <w:bCs/>
                <w:color w:val="FFFFFF"/>
                <w:sz w:val="24"/>
                <w:szCs w:val="24"/>
              </w:rPr>
              <w:t xml:space="preserve">2021 MMP </w:t>
            </w:r>
          </w:p>
        </w:tc>
      </w:tr>
      <w:tr w:rsidR="00A063FE" w:rsidRPr="00D617BB" w14:paraId="320A45A8" w14:textId="77777777" w:rsidTr="00CD79E2">
        <w:trPr>
          <w:trHeight w:val="134"/>
        </w:trPr>
        <w:tc>
          <w:tcPr>
            <w:tcW w:w="4080" w:type="dxa"/>
            <w:tcBorders>
              <w:top w:val="none" w:sz="6" w:space="0" w:color="auto"/>
              <w:bottom w:val="none" w:sz="6" w:space="0" w:color="auto"/>
              <w:right w:val="none" w:sz="6" w:space="0" w:color="auto"/>
            </w:tcBorders>
          </w:tcPr>
          <w:p w14:paraId="5BF1F7B7"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1-4 </w:t>
            </w:r>
          </w:p>
        </w:tc>
        <w:tc>
          <w:tcPr>
            <w:tcW w:w="4080" w:type="dxa"/>
            <w:tcBorders>
              <w:top w:val="none" w:sz="6" w:space="0" w:color="auto"/>
              <w:left w:val="none" w:sz="6" w:space="0" w:color="auto"/>
              <w:bottom w:val="none" w:sz="6" w:space="0" w:color="auto"/>
              <w:right w:val="none" w:sz="6" w:space="0" w:color="auto"/>
            </w:tcBorders>
          </w:tcPr>
          <w:p w14:paraId="6CB8FDB8"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2,149 </w:t>
            </w:r>
          </w:p>
        </w:tc>
        <w:tc>
          <w:tcPr>
            <w:tcW w:w="4080" w:type="dxa"/>
            <w:tcBorders>
              <w:top w:val="none" w:sz="6" w:space="0" w:color="auto"/>
              <w:left w:val="none" w:sz="6" w:space="0" w:color="auto"/>
              <w:bottom w:val="none" w:sz="6" w:space="0" w:color="auto"/>
            </w:tcBorders>
          </w:tcPr>
          <w:p w14:paraId="0FEA7EAC"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245,018 </w:t>
            </w:r>
          </w:p>
        </w:tc>
      </w:tr>
      <w:tr w:rsidR="00A063FE" w:rsidRPr="00D617BB" w14:paraId="1BEE7094" w14:textId="77777777" w:rsidTr="00CD79E2">
        <w:trPr>
          <w:trHeight w:val="134"/>
        </w:trPr>
        <w:tc>
          <w:tcPr>
            <w:tcW w:w="4080" w:type="dxa"/>
            <w:tcBorders>
              <w:top w:val="none" w:sz="6" w:space="0" w:color="auto"/>
              <w:bottom w:val="none" w:sz="6" w:space="0" w:color="auto"/>
              <w:right w:val="none" w:sz="6" w:space="0" w:color="auto"/>
            </w:tcBorders>
          </w:tcPr>
          <w:p w14:paraId="4F1F0836"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5-7 </w:t>
            </w:r>
          </w:p>
        </w:tc>
        <w:tc>
          <w:tcPr>
            <w:tcW w:w="4080" w:type="dxa"/>
            <w:tcBorders>
              <w:top w:val="none" w:sz="6" w:space="0" w:color="auto"/>
              <w:left w:val="none" w:sz="6" w:space="0" w:color="auto"/>
              <w:bottom w:val="none" w:sz="6" w:space="0" w:color="auto"/>
              <w:right w:val="none" w:sz="6" w:space="0" w:color="auto"/>
            </w:tcBorders>
          </w:tcPr>
          <w:p w14:paraId="748AD2B6"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193 </w:t>
            </w:r>
          </w:p>
        </w:tc>
        <w:tc>
          <w:tcPr>
            <w:tcW w:w="4080" w:type="dxa"/>
            <w:tcBorders>
              <w:top w:val="none" w:sz="6" w:space="0" w:color="auto"/>
              <w:left w:val="none" w:sz="6" w:space="0" w:color="auto"/>
              <w:bottom w:val="none" w:sz="6" w:space="0" w:color="auto"/>
            </w:tcBorders>
          </w:tcPr>
          <w:p w14:paraId="0CC27AD2"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97,922 </w:t>
            </w:r>
          </w:p>
        </w:tc>
      </w:tr>
      <w:tr w:rsidR="00A063FE" w:rsidRPr="00D617BB" w14:paraId="4E8EC6C5" w14:textId="77777777" w:rsidTr="00CD79E2">
        <w:trPr>
          <w:trHeight w:val="137"/>
        </w:trPr>
        <w:tc>
          <w:tcPr>
            <w:tcW w:w="4080" w:type="dxa"/>
            <w:tcBorders>
              <w:top w:val="none" w:sz="6" w:space="0" w:color="auto"/>
              <w:bottom w:val="none" w:sz="6" w:space="0" w:color="auto"/>
              <w:right w:val="none" w:sz="6" w:space="0" w:color="auto"/>
            </w:tcBorders>
          </w:tcPr>
          <w:p w14:paraId="2561B0A3" w14:textId="77777777" w:rsidR="00A063FE" w:rsidRPr="00D617BB" w:rsidRDefault="00A063FE" w:rsidP="00CD79E2">
            <w:pPr>
              <w:autoSpaceDE w:val="0"/>
              <w:autoSpaceDN w:val="0"/>
              <w:adjustRightInd w:val="0"/>
              <w:spacing w:after="0" w:line="240" w:lineRule="auto"/>
              <w:rPr>
                <w:rFonts w:cstheme="minorHAnsi"/>
                <w:color w:val="FFFFFF"/>
                <w:sz w:val="24"/>
                <w:szCs w:val="24"/>
              </w:rPr>
            </w:pPr>
            <w:r w:rsidRPr="00D617BB">
              <w:rPr>
                <w:rFonts w:cstheme="minorHAnsi"/>
                <w:b/>
                <w:bCs/>
                <w:color w:val="FFFFFF"/>
                <w:sz w:val="24"/>
                <w:szCs w:val="24"/>
              </w:rPr>
              <w:t xml:space="preserve">Johnson Creek Route Alternative </w:t>
            </w:r>
          </w:p>
        </w:tc>
        <w:tc>
          <w:tcPr>
            <w:tcW w:w="4080" w:type="dxa"/>
            <w:tcBorders>
              <w:top w:val="none" w:sz="6" w:space="0" w:color="auto"/>
              <w:left w:val="none" w:sz="6" w:space="0" w:color="auto"/>
              <w:bottom w:val="none" w:sz="6" w:space="0" w:color="auto"/>
              <w:right w:val="none" w:sz="6" w:space="0" w:color="auto"/>
            </w:tcBorders>
          </w:tcPr>
          <w:p w14:paraId="2FC23302"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b/>
                <w:bCs/>
                <w:color w:val="000000"/>
                <w:sz w:val="24"/>
                <w:szCs w:val="24"/>
              </w:rPr>
              <w:t xml:space="preserve">Johnson Creek Route Alternative </w:t>
            </w:r>
          </w:p>
        </w:tc>
        <w:tc>
          <w:tcPr>
            <w:tcW w:w="4080" w:type="dxa"/>
            <w:tcBorders>
              <w:top w:val="none" w:sz="6" w:space="0" w:color="auto"/>
              <w:left w:val="none" w:sz="6" w:space="0" w:color="auto"/>
              <w:bottom w:val="none" w:sz="6" w:space="0" w:color="auto"/>
            </w:tcBorders>
          </w:tcPr>
          <w:p w14:paraId="482BACBE" w14:textId="77777777" w:rsidR="00A063FE" w:rsidRPr="00D617BB" w:rsidRDefault="00A063FE" w:rsidP="00CD79E2">
            <w:pPr>
              <w:autoSpaceDE w:val="0"/>
              <w:autoSpaceDN w:val="0"/>
              <w:adjustRightInd w:val="0"/>
              <w:spacing w:after="0" w:line="240" w:lineRule="auto"/>
              <w:rPr>
                <w:rFonts w:cstheme="minorHAnsi"/>
                <w:color w:val="FFFFFF"/>
                <w:sz w:val="24"/>
                <w:szCs w:val="24"/>
              </w:rPr>
            </w:pPr>
            <w:r w:rsidRPr="00D617BB">
              <w:rPr>
                <w:rFonts w:cstheme="minorHAnsi"/>
                <w:b/>
                <w:bCs/>
                <w:color w:val="FFFFFF"/>
                <w:sz w:val="24"/>
                <w:szCs w:val="24"/>
              </w:rPr>
              <w:t xml:space="preserve">Johnson Creek Route Alternative </w:t>
            </w:r>
          </w:p>
        </w:tc>
      </w:tr>
      <w:tr w:rsidR="00A063FE" w:rsidRPr="00D617BB" w14:paraId="6E6B4045" w14:textId="77777777" w:rsidTr="00CD79E2">
        <w:trPr>
          <w:trHeight w:val="134"/>
        </w:trPr>
        <w:tc>
          <w:tcPr>
            <w:tcW w:w="4080" w:type="dxa"/>
            <w:tcBorders>
              <w:top w:val="none" w:sz="6" w:space="0" w:color="auto"/>
              <w:bottom w:val="none" w:sz="6" w:space="0" w:color="auto"/>
              <w:right w:val="none" w:sz="6" w:space="0" w:color="auto"/>
            </w:tcBorders>
          </w:tcPr>
          <w:p w14:paraId="566C53EC"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1-4 </w:t>
            </w:r>
          </w:p>
        </w:tc>
        <w:tc>
          <w:tcPr>
            <w:tcW w:w="4080" w:type="dxa"/>
            <w:tcBorders>
              <w:top w:val="none" w:sz="6" w:space="0" w:color="auto"/>
              <w:left w:val="none" w:sz="6" w:space="0" w:color="auto"/>
              <w:bottom w:val="none" w:sz="6" w:space="0" w:color="auto"/>
              <w:right w:val="none" w:sz="6" w:space="0" w:color="auto"/>
            </w:tcBorders>
          </w:tcPr>
          <w:p w14:paraId="14DC7534"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1,915 </w:t>
            </w:r>
          </w:p>
        </w:tc>
        <w:tc>
          <w:tcPr>
            <w:tcW w:w="4080" w:type="dxa"/>
            <w:tcBorders>
              <w:top w:val="none" w:sz="6" w:space="0" w:color="auto"/>
              <w:left w:val="none" w:sz="6" w:space="0" w:color="auto"/>
              <w:bottom w:val="none" w:sz="6" w:space="0" w:color="auto"/>
            </w:tcBorders>
          </w:tcPr>
          <w:p w14:paraId="68891804"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228,945 </w:t>
            </w:r>
          </w:p>
        </w:tc>
      </w:tr>
      <w:tr w:rsidR="00A063FE" w:rsidRPr="00D617BB" w14:paraId="17963708" w14:textId="77777777" w:rsidTr="00CD79E2">
        <w:trPr>
          <w:trHeight w:val="134"/>
        </w:trPr>
        <w:tc>
          <w:tcPr>
            <w:tcW w:w="4080" w:type="dxa"/>
            <w:tcBorders>
              <w:top w:val="none" w:sz="6" w:space="0" w:color="auto"/>
              <w:bottom w:val="none" w:sz="6" w:space="0" w:color="auto"/>
              <w:right w:val="none" w:sz="6" w:space="0" w:color="auto"/>
            </w:tcBorders>
          </w:tcPr>
          <w:p w14:paraId="238D89B5"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5-7 </w:t>
            </w:r>
          </w:p>
        </w:tc>
        <w:tc>
          <w:tcPr>
            <w:tcW w:w="4080" w:type="dxa"/>
            <w:tcBorders>
              <w:top w:val="none" w:sz="6" w:space="0" w:color="auto"/>
              <w:left w:val="none" w:sz="6" w:space="0" w:color="auto"/>
              <w:bottom w:val="none" w:sz="6" w:space="0" w:color="auto"/>
              <w:right w:val="none" w:sz="6" w:space="0" w:color="auto"/>
            </w:tcBorders>
          </w:tcPr>
          <w:p w14:paraId="07E8BB4D"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90 </w:t>
            </w:r>
          </w:p>
        </w:tc>
        <w:tc>
          <w:tcPr>
            <w:tcW w:w="4080" w:type="dxa"/>
            <w:tcBorders>
              <w:top w:val="none" w:sz="6" w:space="0" w:color="auto"/>
              <w:left w:val="none" w:sz="6" w:space="0" w:color="auto"/>
              <w:bottom w:val="none" w:sz="6" w:space="0" w:color="auto"/>
            </w:tcBorders>
          </w:tcPr>
          <w:p w14:paraId="06662496" w14:textId="77777777" w:rsidR="00A063FE" w:rsidRPr="00D617BB" w:rsidRDefault="00A063FE" w:rsidP="00CD79E2">
            <w:pPr>
              <w:autoSpaceDE w:val="0"/>
              <w:autoSpaceDN w:val="0"/>
              <w:adjustRightInd w:val="0"/>
              <w:spacing w:after="0" w:line="240" w:lineRule="auto"/>
              <w:rPr>
                <w:rFonts w:cstheme="minorHAnsi"/>
                <w:color w:val="000000"/>
                <w:sz w:val="24"/>
                <w:szCs w:val="24"/>
              </w:rPr>
            </w:pPr>
            <w:r w:rsidRPr="00D617BB">
              <w:rPr>
                <w:rFonts w:cstheme="minorHAnsi"/>
                <w:color w:val="000000"/>
                <w:sz w:val="24"/>
                <w:szCs w:val="24"/>
              </w:rPr>
              <w:t xml:space="preserve">74,171 </w:t>
            </w:r>
          </w:p>
        </w:tc>
      </w:tr>
    </w:tbl>
    <w:p w14:paraId="08FB37DB" w14:textId="416CE9A8" w:rsidR="004E4D93" w:rsidRPr="00D617BB" w:rsidRDefault="004E4D93">
      <w:pPr>
        <w:rPr>
          <w:rFonts w:cstheme="minorHAnsi"/>
          <w:sz w:val="24"/>
          <w:szCs w:val="24"/>
        </w:rPr>
      </w:pPr>
    </w:p>
    <w:p w14:paraId="3742A006" w14:textId="77777777" w:rsidR="000C2731" w:rsidRPr="00D617BB" w:rsidRDefault="000C2731" w:rsidP="000C2731">
      <w:pPr>
        <w:rPr>
          <w:rFonts w:cstheme="minorHAnsi"/>
          <w:sz w:val="24"/>
          <w:szCs w:val="24"/>
        </w:rPr>
      </w:pPr>
      <w:r w:rsidRPr="00D617BB">
        <w:rPr>
          <w:rFonts w:cstheme="minorHAnsi"/>
          <w:sz w:val="24"/>
          <w:szCs w:val="24"/>
        </w:rPr>
        <w:t xml:space="preserve">Figures 4,5 and 6 (draft </w:t>
      </w:r>
      <w:r w:rsidRPr="00D617BB">
        <w:rPr>
          <w:rFonts w:cstheme="minorHAnsi"/>
          <w:i/>
          <w:iCs/>
          <w:sz w:val="24"/>
          <w:szCs w:val="24"/>
        </w:rPr>
        <w:t>Management Plan for the Conservation of Fisher, Wolverine, and Canada Lynx in Idaho, 2023-2028)</w:t>
      </w:r>
      <w:r w:rsidRPr="00D617BB">
        <w:rPr>
          <w:rFonts w:cstheme="minorHAnsi"/>
          <w:sz w:val="24"/>
          <w:szCs w:val="24"/>
        </w:rPr>
        <w:t xml:space="preserve"> display modeled wolverine habitat in the western states, the estimated probability of occupancy in Idaho, plus wolverine observations in Idaho, 1890-2022.</w:t>
      </w:r>
    </w:p>
    <w:p w14:paraId="2CC795D0" w14:textId="33A4175A" w:rsidR="005A6F22" w:rsidRDefault="005A6F22">
      <w:pPr>
        <w:rPr>
          <w:rFonts w:cstheme="minorHAnsi"/>
          <w:sz w:val="24"/>
          <w:szCs w:val="24"/>
        </w:rPr>
      </w:pPr>
      <w:r w:rsidRPr="00D617BB">
        <w:rPr>
          <w:rFonts w:cstheme="minorHAnsi"/>
          <w:sz w:val="24"/>
          <w:szCs w:val="24"/>
        </w:rPr>
        <w:t xml:space="preserve">Given the large home range </w:t>
      </w:r>
      <w:r w:rsidR="000C009E" w:rsidRPr="00D617BB">
        <w:rPr>
          <w:rFonts w:cstheme="minorHAnsi"/>
          <w:sz w:val="24"/>
          <w:szCs w:val="24"/>
        </w:rPr>
        <w:t xml:space="preserve">documented </w:t>
      </w:r>
      <w:r w:rsidRPr="00D617BB">
        <w:rPr>
          <w:rFonts w:cstheme="minorHAnsi"/>
          <w:sz w:val="24"/>
          <w:szCs w:val="24"/>
        </w:rPr>
        <w:t>for wolverines</w:t>
      </w:r>
      <w:r w:rsidR="000C009E" w:rsidRPr="00D617BB">
        <w:rPr>
          <w:rFonts w:cstheme="minorHAnsi"/>
          <w:sz w:val="24"/>
          <w:szCs w:val="24"/>
        </w:rPr>
        <w:t>, plus the restricted area of the proposed project</w:t>
      </w:r>
      <w:r w:rsidR="00FB2A67" w:rsidRPr="00D617BB">
        <w:rPr>
          <w:rFonts w:cstheme="minorHAnsi"/>
          <w:sz w:val="24"/>
          <w:szCs w:val="24"/>
        </w:rPr>
        <w:t>,</w:t>
      </w:r>
      <w:r w:rsidR="000C009E" w:rsidRPr="00D617BB">
        <w:rPr>
          <w:rFonts w:cstheme="minorHAnsi"/>
          <w:sz w:val="24"/>
          <w:szCs w:val="24"/>
        </w:rPr>
        <w:t xml:space="preserve"> logic suggests although </w:t>
      </w:r>
      <w:r w:rsidR="00FB2A67" w:rsidRPr="00D617BB">
        <w:rPr>
          <w:rFonts w:cstheme="minorHAnsi"/>
          <w:sz w:val="24"/>
          <w:szCs w:val="24"/>
        </w:rPr>
        <w:t xml:space="preserve">there will be </w:t>
      </w:r>
      <w:r w:rsidR="000C009E" w:rsidRPr="00D617BB">
        <w:rPr>
          <w:rFonts w:cstheme="minorHAnsi"/>
          <w:sz w:val="24"/>
          <w:szCs w:val="24"/>
        </w:rPr>
        <w:t>direct and indirect impacts negative to the wolverine and its habitats, the proposed project will have little to no impact to the Central Idaho sub-population as a whole. Especially given the location of the proposed project as immediate areas to the north, south and east are predominately designated wilderness and/or undeveloped.</w:t>
      </w:r>
    </w:p>
    <w:p w14:paraId="145FB0BB" w14:textId="360BAC2F" w:rsidR="006C155D" w:rsidRDefault="006C155D" w:rsidP="006C155D">
      <w:r>
        <w:t xml:space="preserve"> Bottom line: from a wildlife perspective, the project will have basically no impact on Canada lynx and the fisher. The wolverine is of more concern, however, given the abundance of wolverine habitat adjacent to the project area there will be no population-level issue.</w:t>
      </w:r>
      <w:r>
        <w:br w:type="textWrapping" w:clear="all"/>
      </w:r>
    </w:p>
    <w:p w14:paraId="7BBBFCD8" w14:textId="77777777" w:rsidR="006C155D" w:rsidRPr="00D617BB" w:rsidRDefault="006C155D">
      <w:pPr>
        <w:rPr>
          <w:rFonts w:cstheme="minorHAnsi"/>
          <w:sz w:val="24"/>
          <w:szCs w:val="24"/>
        </w:rPr>
      </w:pPr>
    </w:p>
    <w:p w14:paraId="4F784C8A" w14:textId="77777777" w:rsidR="00FB2A67" w:rsidRPr="00D617BB" w:rsidRDefault="00FB2A67">
      <w:pPr>
        <w:rPr>
          <w:rFonts w:cstheme="minorHAnsi"/>
          <w:sz w:val="24"/>
          <w:szCs w:val="24"/>
        </w:rPr>
      </w:pPr>
    </w:p>
    <w:p w14:paraId="40984060" w14:textId="77777777" w:rsidR="005A6F22" w:rsidRPr="00D617BB" w:rsidRDefault="005A6F22">
      <w:pPr>
        <w:rPr>
          <w:rFonts w:cstheme="minorHAnsi"/>
          <w:sz w:val="24"/>
          <w:szCs w:val="24"/>
        </w:rPr>
      </w:pPr>
    </w:p>
    <w:sectPr w:rsidR="005A6F22" w:rsidRPr="00D6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A2"/>
    <w:rsid w:val="000C009E"/>
    <w:rsid w:val="000C2731"/>
    <w:rsid w:val="000C7BE2"/>
    <w:rsid w:val="001D1935"/>
    <w:rsid w:val="002464E8"/>
    <w:rsid w:val="002D7E38"/>
    <w:rsid w:val="003F4307"/>
    <w:rsid w:val="00411483"/>
    <w:rsid w:val="00496FEA"/>
    <w:rsid w:val="004E4D93"/>
    <w:rsid w:val="00505500"/>
    <w:rsid w:val="00565CA2"/>
    <w:rsid w:val="00580713"/>
    <w:rsid w:val="005A6F22"/>
    <w:rsid w:val="00606CD3"/>
    <w:rsid w:val="00614F25"/>
    <w:rsid w:val="00645A1F"/>
    <w:rsid w:val="006C155D"/>
    <w:rsid w:val="0074559F"/>
    <w:rsid w:val="007524F7"/>
    <w:rsid w:val="00954DA3"/>
    <w:rsid w:val="00A063FE"/>
    <w:rsid w:val="00D617BB"/>
    <w:rsid w:val="00D860D3"/>
    <w:rsid w:val="00F91900"/>
    <w:rsid w:val="00FB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2AA5"/>
  <w15:chartTrackingRefBased/>
  <w15:docId w15:val="{983FAC04-92EF-40AC-8726-5148913C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65CA2"/>
  </w:style>
  <w:style w:type="paragraph" w:customStyle="1" w:styleId="Default">
    <w:name w:val="Default"/>
    <w:rsid w:val="004E4D93"/>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efaultParagraphFont"/>
    <w:rsid w:val="000C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Sandra Mitchell</cp:lastModifiedBy>
  <cp:revision>2</cp:revision>
  <cp:lastPrinted>2023-01-05T19:59:00Z</cp:lastPrinted>
  <dcterms:created xsi:type="dcterms:W3CDTF">2023-01-07T16:16:00Z</dcterms:created>
  <dcterms:modified xsi:type="dcterms:W3CDTF">2023-01-07T16:16:00Z</dcterms:modified>
</cp:coreProperties>
</file>