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A7A" w:rsidRDefault="00480A7A" w:rsidP="00480A7A">
      <w:pPr>
        <w:autoSpaceDE w:val="0"/>
        <w:autoSpaceDN w:val="0"/>
        <w:adjustRightInd w:val="0"/>
      </w:pPr>
      <w:r>
        <w:rPr>
          <w:noProof/>
        </w:rPr>
        <w:drawing>
          <wp:inline distT="0" distB="0" distL="0" distR="0" wp14:anchorId="3AAB6F3D" wp14:editId="5DD750EC">
            <wp:extent cx="1299867" cy="1936750"/>
            <wp:effectExtent l="0" t="0" r="0" b="6350"/>
            <wp:docPr id="8" name="Picture 8" descr="Ba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rk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9867" cy="1936750"/>
                    </a:xfrm>
                    <a:prstGeom prst="rect">
                      <a:avLst/>
                    </a:prstGeom>
                    <a:noFill/>
                    <a:ln>
                      <a:noFill/>
                    </a:ln>
                  </pic:spPr>
                </pic:pic>
              </a:graphicData>
            </a:graphic>
          </wp:inline>
        </w:drawing>
      </w:r>
      <w:r w:rsidRPr="00D55F8C">
        <w:t xml:space="preserve"> </w:t>
      </w:r>
    </w:p>
    <w:p w:rsidR="00480A7A" w:rsidRPr="00D55F8C" w:rsidRDefault="00480A7A" w:rsidP="00480A7A">
      <w:pPr>
        <w:autoSpaceDE w:val="0"/>
        <w:autoSpaceDN w:val="0"/>
        <w:adjustRightInd w:val="0"/>
        <w:rPr>
          <w:rFonts w:ascii="Arial" w:hAnsi="Arial" w:cs="Arial"/>
          <w:sz w:val="20"/>
          <w:szCs w:val="20"/>
        </w:rPr>
      </w:pPr>
      <w:proofErr w:type="spellStart"/>
      <w:r w:rsidRPr="00D55F8C">
        <w:rPr>
          <w:rFonts w:ascii="Arial" w:hAnsi="Arial" w:cs="Arial"/>
          <w:sz w:val="20"/>
          <w:szCs w:val="20"/>
        </w:rPr>
        <w:t>po</w:t>
      </w:r>
      <w:proofErr w:type="spellEnd"/>
      <w:r w:rsidRPr="00D55F8C">
        <w:rPr>
          <w:rFonts w:ascii="Arial" w:hAnsi="Arial" w:cs="Arial"/>
          <w:sz w:val="20"/>
          <w:szCs w:val="20"/>
        </w:rPr>
        <w:t xml:space="preserve"> box 12065, </w:t>
      </w:r>
      <w:proofErr w:type="spellStart"/>
      <w:r w:rsidRPr="00D55F8C">
        <w:rPr>
          <w:rFonts w:ascii="Arial" w:hAnsi="Arial" w:cs="Arial"/>
          <w:sz w:val="20"/>
          <w:szCs w:val="20"/>
        </w:rPr>
        <w:t>portland</w:t>
      </w:r>
      <w:proofErr w:type="spellEnd"/>
      <w:r w:rsidRPr="00D55F8C">
        <w:rPr>
          <w:rFonts w:ascii="Arial" w:hAnsi="Arial" w:cs="Arial"/>
          <w:sz w:val="20"/>
          <w:szCs w:val="20"/>
        </w:rPr>
        <w:t>, or 97212</w:t>
      </w:r>
    </w:p>
    <w:p w:rsidR="00480A7A" w:rsidRPr="00D55F8C" w:rsidRDefault="00480A7A" w:rsidP="00480A7A">
      <w:pPr>
        <w:autoSpaceDE w:val="0"/>
        <w:autoSpaceDN w:val="0"/>
        <w:adjustRightInd w:val="0"/>
        <w:rPr>
          <w:rFonts w:ascii="Arial" w:hAnsi="Arial" w:cs="Arial"/>
          <w:sz w:val="20"/>
          <w:szCs w:val="20"/>
        </w:rPr>
      </w:pPr>
      <w:r>
        <w:rPr>
          <w:rFonts w:ascii="Arial" w:hAnsi="Arial" w:cs="Arial"/>
          <w:sz w:val="20"/>
          <w:szCs w:val="20"/>
        </w:rPr>
        <w:t>http://</w:t>
      </w:r>
      <w:hyperlink r:id="rId9" w:tgtFrame="_blank" w:history="1">
        <w:r w:rsidRPr="00D55F8C">
          <w:rPr>
            <w:rFonts w:ascii="Arial" w:hAnsi="Arial" w:cs="Arial"/>
            <w:sz w:val="20"/>
            <w:szCs w:val="20"/>
          </w:rPr>
          <w:t>www.bark-out.org</w:t>
        </w:r>
      </w:hyperlink>
      <w:r>
        <w:rPr>
          <w:rFonts w:ascii="Arial" w:hAnsi="Arial" w:cs="Arial"/>
          <w:sz w:val="20"/>
          <w:szCs w:val="20"/>
        </w:rPr>
        <w:t xml:space="preserve"> </w:t>
      </w:r>
      <w:r w:rsidRPr="00D55F8C">
        <w:rPr>
          <w:rFonts w:ascii="Arial" w:hAnsi="Arial" w:cs="Arial"/>
          <w:sz w:val="20"/>
          <w:szCs w:val="20"/>
        </w:rPr>
        <w:t>| 971.358.0138</w:t>
      </w:r>
      <w:r>
        <w:rPr>
          <w:rFonts w:ascii="Arial" w:hAnsi="Arial" w:cs="Arial"/>
          <w:sz w:val="20"/>
          <w:szCs w:val="20"/>
        </w:rPr>
        <w:t xml:space="preserve"> | </w:t>
      </w:r>
      <w:hyperlink r:id="rId10" w:history="1">
        <w:r w:rsidRPr="00D948E9">
          <w:rPr>
            <w:rStyle w:val="Hyperlink"/>
            <w:rFonts w:ascii="Arial" w:hAnsi="Arial" w:cs="Arial"/>
            <w:sz w:val="20"/>
            <w:szCs w:val="20"/>
          </w:rPr>
          <w:t>cara@bark-out.org</w:t>
        </w:r>
      </w:hyperlink>
      <w:r>
        <w:rPr>
          <w:rFonts w:ascii="Arial" w:hAnsi="Arial" w:cs="Arial"/>
          <w:sz w:val="20"/>
          <w:szCs w:val="20"/>
        </w:rPr>
        <w:t xml:space="preserve"> </w:t>
      </w:r>
    </w:p>
    <w:p w:rsidR="00480A7A" w:rsidRDefault="00480A7A" w:rsidP="00476CBA">
      <w:pPr>
        <w:autoSpaceDE w:val="0"/>
        <w:autoSpaceDN w:val="0"/>
        <w:adjustRightInd w:val="0"/>
        <w:ind w:right="-360"/>
      </w:pPr>
    </w:p>
    <w:p w:rsidR="00476CBA" w:rsidRDefault="00C55F13" w:rsidP="00476CBA">
      <w:pPr>
        <w:autoSpaceDE w:val="0"/>
        <w:autoSpaceDN w:val="0"/>
        <w:adjustRightInd w:val="0"/>
        <w:ind w:right="-360"/>
      </w:pPr>
      <w:r>
        <w:rPr>
          <w:noProof/>
        </w:rPr>
        <w:drawing>
          <wp:inline distT="0" distB="0" distL="0" distR="0">
            <wp:extent cx="3676650" cy="1146055"/>
            <wp:effectExtent l="0" t="0" r="0" b="0"/>
            <wp:docPr id="1" name="Picture 1" descr="OW log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W logo lar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76650" cy="1146055"/>
                    </a:xfrm>
                    <a:prstGeom prst="rect">
                      <a:avLst/>
                    </a:prstGeom>
                    <a:noFill/>
                    <a:ln>
                      <a:noFill/>
                    </a:ln>
                  </pic:spPr>
                </pic:pic>
              </a:graphicData>
            </a:graphic>
          </wp:inline>
        </w:drawing>
      </w:r>
    </w:p>
    <w:p w:rsidR="00476CBA" w:rsidRDefault="00476CBA" w:rsidP="00476CBA">
      <w:pPr>
        <w:autoSpaceDE w:val="0"/>
        <w:autoSpaceDN w:val="0"/>
        <w:adjustRightInd w:val="0"/>
        <w:rPr>
          <w:rFonts w:ascii="Arial" w:hAnsi="Arial" w:cs="Arial"/>
          <w:sz w:val="20"/>
          <w:szCs w:val="20"/>
        </w:rPr>
      </w:pPr>
      <w:r w:rsidRPr="00E3789B">
        <w:rPr>
          <w:rFonts w:ascii="Arial" w:hAnsi="Arial" w:cs="Arial"/>
          <w:sz w:val="20"/>
          <w:szCs w:val="20"/>
        </w:rPr>
        <w:t>PO Box 1</w:t>
      </w:r>
      <w:r>
        <w:rPr>
          <w:rFonts w:ascii="Arial" w:hAnsi="Arial" w:cs="Arial"/>
          <w:sz w:val="20"/>
          <w:szCs w:val="20"/>
        </w:rPr>
        <w:t>1648 |</w:t>
      </w:r>
      <w:r w:rsidRPr="00E3789B">
        <w:rPr>
          <w:rFonts w:ascii="Arial" w:hAnsi="Arial" w:cs="Arial"/>
          <w:sz w:val="20"/>
          <w:szCs w:val="20"/>
        </w:rPr>
        <w:t xml:space="preserve"> Eugene OR 97440</w:t>
      </w:r>
      <w:r>
        <w:rPr>
          <w:rFonts w:ascii="Arial" w:hAnsi="Arial" w:cs="Arial"/>
          <w:sz w:val="20"/>
          <w:szCs w:val="20"/>
        </w:rPr>
        <w:t xml:space="preserve"> | </w:t>
      </w:r>
      <w:r w:rsidRPr="00E3789B">
        <w:rPr>
          <w:rFonts w:ascii="Arial" w:hAnsi="Arial" w:cs="Arial"/>
          <w:sz w:val="20"/>
          <w:szCs w:val="20"/>
        </w:rPr>
        <w:t>541-344-0675</w:t>
      </w:r>
      <w:r>
        <w:rPr>
          <w:rFonts w:ascii="Arial" w:hAnsi="Arial" w:cs="Arial"/>
          <w:sz w:val="20"/>
          <w:szCs w:val="20"/>
        </w:rPr>
        <w:t xml:space="preserve"> |</w:t>
      </w:r>
      <w:r w:rsidRPr="00E3789B">
        <w:rPr>
          <w:rFonts w:ascii="Arial" w:hAnsi="Arial" w:cs="Arial"/>
          <w:sz w:val="20"/>
          <w:szCs w:val="20"/>
        </w:rPr>
        <w:t xml:space="preserve"> fax 541-343-0996</w:t>
      </w:r>
    </w:p>
    <w:p w:rsidR="00476CBA" w:rsidRDefault="00850E1B" w:rsidP="00476CBA">
      <w:pPr>
        <w:ind w:right="-360"/>
        <w:rPr>
          <w:rFonts w:ascii="Arial" w:hAnsi="Arial" w:cs="Arial"/>
          <w:sz w:val="20"/>
          <w:szCs w:val="20"/>
        </w:rPr>
      </w:pPr>
      <w:hyperlink r:id="rId12" w:history="1">
        <w:r w:rsidR="00476CBA" w:rsidRPr="0036338D">
          <w:rPr>
            <w:rStyle w:val="Hyperlink"/>
            <w:rFonts w:ascii="Arial" w:hAnsi="Arial" w:cs="Arial"/>
            <w:sz w:val="20"/>
            <w:szCs w:val="20"/>
          </w:rPr>
          <w:t>dh@</w:t>
        </w:r>
        <w:r w:rsidR="00476CBA">
          <w:rPr>
            <w:rStyle w:val="Hyperlink"/>
            <w:rFonts w:ascii="Arial" w:hAnsi="Arial" w:cs="Arial"/>
            <w:sz w:val="20"/>
            <w:szCs w:val="20"/>
          </w:rPr>
          <w:t>oregonwild</w:t>
        </w:r>
        <w:r w:rsidR="00476CBA" w:rsidRPr="0036338D">
          <w:rPr>
            <w:rStyle w:val="Hyperlink"/>
            <w:rFonts w:ascii="Arial" w:hAnsi="Arial" w:cs="Arial"/>
            <w:sz w:val="20"/>
            <w:szCs w:val="20"/>
          </w:rPr>
          <w:t>.org</w:t>
        </w:r>
      </w:hyperlink>
      <w:r w:rsidR="00476CBA">
        <w:rPr>
          <w:rFonts w:ascii="Arial" w:hAnsi="Arial" w:cs="Arial"/>
          <w:sz w:val="20"/>
          <w:szCs w:val="20"/>
        </w:rPr>
        <w:t xml:space="preserve"> | </w:t>
      </w:r>
      <w:hyperlink r:id="rId13" w:history="1">
        <w:r w:rsidR="00476CBA" w:rsidRPr="00AA3F80">
          <w:rPr>
            <w:rStyle w:val="Hyperlink"/>
            <w:rFonts w:ascii="Arial" w:hAnsi="Arial" w:cs="Arial"/>
            <w:sz w:val="20"/>
            <w:szCs w:val="20"/>
          </w:rPr>
          <w:t>http://www.oregonwild.org/</w:t>
        </w:r>
      </w:hyperlink>
    </w:p>
    <w:p w:rsidR="00AC2C11" w:rsidRDefault="00AC2C11" w:rsidP="0053180D"/>
    <w:p w:rsidR="00476CBA" w:rsidRDefault="00617C76" w:rsidP="0053180D">
      <w:r>
        <w:t xml:space="preserve">October </w:t>
      </w:r>
      <w:r w:rsidR="00CE7DE0">
        <w:t>17,</w:t>
      </w:r>
      <w:r w:rsidR="00AB14CB">
        <w:t xml:space="preserve"> 2022</w:t>
      </w:r>
    </w:p>
    <w:p w:rsidR="00476CBA" w:rsidRDefault="00476CBA" w:rsidP="0053180D"/>
    <w:p w:rsidR="00791EEE" w:rsidRPr="00BA3B36" w:rsidRDefault="00C447CA" w:rsidP="000C4474">
      <w:r>
        <w:t xml:space="preserve">TO: </w:t>
      </w:r>
      <w:r w:rsidR="0013649E" w:rsidRPr="0013649E">
        <w:t>Forest Supervisor, Objection Reviewing Officer, Mt. Hood National Fores</w:t>
      </w:r>
      <w:r w:rsidR="0013649E">
        <w:t>t</w:t>
      </w:r>
      <w:r w:rsidR="00EC54BC" w:rsidRPr="00BA3B36">
        <w:t xml:space="preserve"> </w:t>
      </w:r>
    </w:p>
    <w:p w:rsidR="000C4474" w:rsidRDefault="00791EEE" w:rsidP="000C4474">
      <w:r>
        <w:t xml:space="preserve">VIA: </w:t>
      </w:r>
      <w:hyperlink r:id="rId14" w:history="1">
        <w:r w:rsidR="0013649E" w:rsidRPr="008E24C6">
          <w:rPr>
            <w:rStyle w:val="Hyperlink"/>
          </w:rPr>
          <w:t>https://cara.fs2c.usda.gov/Public//CommentInput?Project=56470</w:t>
        </w:r>
      </w:hyperlink>
      <w:r w:rsidR="0013649E">
        <w:t xml:space="preserve"> </w:t>
      </w:r>
    </w:p>
    <w:p w:rsidR="00791EEE" w:rsidRPr="00791EEE" w:rsidRDefault="00791EEE" w:rsidP="000C4474"/>
    <w:p w:rsidR="000C4474" w:rsidRDefault="000C4474" w:rsidP="000C4474">
      <w:pPr>
        <w:rPr>
          <w:b/>
        </w:rPr>
      </w:pPr>
      <w:r>
        <w:rPr>
          <w:b/>
        </w:rPr>
        <w:t>Subject: 36 CFR 21</w:t>
      </w:r>
      <w:r w:rsidR="00D42DE4">
        <w:rPr>
          <w:b/>
        </w:rPr>
        <w:t>8</w:t>
      </w:r>
      <w:r>
        <w:rPr>
          <w:b/>
        </w:rPr>
        <w:t xml:space="preserve"> </w:t>
      </w:r>
      <w:r w:rsidR="00D42DE4">
        <w:rPr>
          <w:b/>
        </w:rPr>
        <w:t xml:space="preserve">objection </w:t>
      </w:r>
      <w:r>
        <w:rPr>
          <w:b/>
        </w:rPr>
        <w:t xml:space="preserve">of the </w:t>
      </w:r>
      <w:r w:rsidR="00617C76">
        <w:rPr>
          <w:b/>
        </w:rPr>
        <w:t>Grasshopper</w:t>
      </w:r>
      <w:r w:rsidR="00A55E60">
        <w:rPr>
          <w:b/>
        </w:rPr>
        <w:t xml:space="preserve"> Project </w:t>
      </w:r>
    </w:p>
    <w:p w:rsidR="000C4474" w:rsidRDefault="000C4474" w:rsidP="000C4474"/>
    <w:p w:rsidR="000C4474" w:rsidRDefault="000C4474" w:rsidP="000C4474">
      <w:r>
        <w:t>Dear Forest Service:</w:t>
      </w:r>
    </w:p>
    <w:p w:rsidR="000C4474" w:rsidRDefault="000C4474" w:rsidP="000C4474"/>
    <w:p w:rsidR="000C4474" w:rsidRDefault="000C4474" w:rsidP="000C4474">
      <w:r>
        <w:t>In accordance with 36 CFR 21</w:t>
      </w:r>
      <w:r w:rsidR="00D42DE4">
        <w:t>8</w:t>
      </w:r>
      <w:r>
        <w:t>,</w:t>
      </w:r>
      <w:r w:rsidR="00363BEB">
        <w:t xml:space="preserve"> Oregon Wild</w:t>
      </w:r>
      <w:r w:rsidR="00D42DE4">
        <w:t xml:space="preserve"> </w:t>
      </w:r>
      <w:r w:rsidR="00D87250">
        <w:t xml:space="preserve">and </w:t>
      </w:r>
      <w:r w:rsidR="00D87250" w:rsidRPr="00D87250">
        <w:t>Bark</w:t>
      </w:r>
      <w:r w:rsidR="00D87250">
        <w:rPr>
          <w:b/>
        </w:rPr>
        <w:t xml:space="preserve"> </w:t>
      </w:r>
      <w:r>
        <w:t xml:space="preserve">hereby </w:t>
      </w:r>
      <w:r w:rsidR="00D42DE4">
        <w:t xml:space="preserve">objects to </w:t>
      </w:r>
      <w:r>
        <w:t>the project described below.</w:t>
      </w:r>
    </w:p>
    <w:p w:rsidR="000C4474" w:rsidRDefault="000C4474" w:rsidP="000C4474"/>
    <w:p w:rsidR="000C4474" w:rsidRDefault="00AA72C9" w:rsidP="000C4474">
      <w:r>
        <w:rPr>
          <w:b/>
        </w:rPr>
        <w:t xml:space="preserve">DOCUMENT </w:t>
      </w:r>
      <w:r w:rsidR="000C4474" w:rsidRPr="00BE36EE">
        <w:rPr>
          <w:b/>
        </w:rPr>
        <w:t>TITLE</w:t>
      </w:r>
      <w:r w:rsidR="000C4474">
        <w:t xml:space="preserve">: </w:t>
      </w:r>
      <w:r w:rsidR="00FA0FC0" w:rsidRPr="00FA0FC0">
        <w:t>Draft</w:t>
      </w:r>
      <w:r w:rsidR="00FA0FC0">
        <w:t xml:space="preserve"> </w:t>
      </w:r>
      <w:r w:rsidR="00FA0FC0" w:rsidRPr="00FA0FC0">
        <w:t>DECISION NOTICE</w:t>
      </w:r>
      <w:r w:rsidR="00FA0FC0">
        <w:t xml:space="preserve"> </w:t>
      </w:r>
      <w:r w:rsidR="00FA0FC0" w:rsidRPr="00FA0FC0">
        <w:t>And</w:t>
      </w:r>
      <w:r w:rsidR="00FA0FC0">
        <w:t xml:space="preserve"> FINDING OF NO SIGNIFICANT </w:t>
      </w:r>
      <w:r w:rsidR="00FA0FC0" w:rsidRPr="00FA0FC0">
        <w:t>IMPACT</w:t>
      </w:r>
      <w:r w:rsidR="00FA0FC0">
        <w:t xml:space="preserve"> </w:t>
      </w:r>
      <w:r w:rsidR="00FA0FC0" w:rsidRPr="00FA0FC0">
        <w:t>GRASSHOPPER RESTORATION PROJECT</w:t>
      </w:r>
      <w:r w:rsidR="00D87250">
        <w:t>, and the associated Final Environmental Assessment.</w:t>
      </w:r>
    </w:p>
    <w:p w:rsidR="00FA0FC0" w:rsidRDefault="00FA0FC0" w:rsidP="000C4474"/>
    <w:p w:rsidR="00FA0FC0" w:rsidRDefault="00FA0FC0" w:rsidP="000C4474">
      <w:r w:rsidRPr="00FA0FC0">
        <w:rPr>
          <w:b/>
        </w:rPr>
        <w:t>PROJECT WEBLINK</w:t>
      </w:r>
      <w:r>
        <w:t xml:space="preserve">: </w:t>
      </w:r>
      <w:hyperlink r:id="rId15" w:history="1">
        <w:r w:rsidRPr="008E24C6">
          <w:rPr>
            <w:rStyle w:val="Hyperlink"/>
          </w:rPr>
          <w:t>https://www.fs.usda.gov/project/?project=56470</w:t>
        </w:r>
      </w:hyperlink>
      <w:r>
        <w:t xml:space="preserve"> </w:t>
      </w:r>
    </w:p>
    <w:p w:rsidR="000C4474" w:rsidRDefault="000C4474" w:rsidP="000C4474">
      <w:pPr>
        <w:pStyle w:val="Header"/>
        <w:tabs>
          <w:tab w:val="clear" w:pos="4320"/>
          <w:tab w:val="clear" w:pos="8640"/>
        </w:tabs>
      </w:pPr>
    </w:p>
    <w:p w:rsidR="000C4474" w:rsidRDefault="000C4474" w:rsidP="000C4474">
      <w:r w:rsidRPr="00BE36EE">
        <w:rPr>
          <w:b/>
        </w:rPr>
        <w:t>PROJECT DESCRIPTION</w:t>
      </w:r>
      <w:r>
        <w:t xml:space="preserve">: </w:t>
      </w:r>
      <w:r w:rsidR="00904A38">
        <w:t>The draft Decision Notice adopts Alternative 1 which involves:</w:t>
      </w:r>
    </w:p>
    <w:p w:rsidR="00904A38" w:rsidRDefault="00904A38" w:rsidP="000C4474"/>
    <w:p w:rsidR="00FA0FC0" w:rsidRDefault="00FA0FC0" w:rsidP="000C4474">
      <w:r>
        <w:rPr>
          <w:noProof/>
        </w:rPr>
        <w:lastRenderedPageBreak/>
        <w:drawing>
          <wp:inline distT="0" distB="0" distL="0" distR="0" wp14:anchorId="10E89438" wp14:editId="458ADBE5">
            <wp:extent cx="5486400" cy="111746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486400" cy="1117466"/>
                    </a:xfrm>
                    <a:prstGeom prst="rect">
                      <a:avLst/>
                    </a:prstGeom>
                  </pic:spPr>
                </pic:pic>
              </a:graphicData>
            </a:graphic>
          </wp:inline>
        </w:drawing>
      </w:r>
    </w:p>
    <w:p w:rsidR="00FA0FC0" w:rsidRDefault="00FA0FC0" w:rsidP="000C4474"/>
    <w:p w:rsidR="002C00BB" w:rsidRDefault="002C00BB" w:rsidP="002C00BB">
      <w:pPr>
        <w:pStyle w:val="ListParagraph"/>
        <w:numPr>
          <w:ilvl w:val="0"/>
          <w:numId w:val="2"/>
        </w:numPr>
      </w:pPr>
      <w:r>
        <w:t>1,777 acres of thinning and gaps up to 5 acres in stands under 80 years old</w:t>
      </w:r>
    </w:p>
    <w:p w:rsidR="002C00BB" w:rsidRDefault="002C00BB" w:rsidP="002C00BB">
      <w:pPr>
        <w:pStyle w:val="ListParagraph"/>
        <w:numPr>
          <w:ilvl w:val="0"/>
          <w:numId w:val="2"/>
        </w:numPr>
      </w:pPr>
      <w:r>
        <w:t>3503 acres of variable density thinning in native, multi-cohort, stands older than 80 years old</w:t>
      </w:r>
    </w:p>
    <w:p w:rsidR="002C00BB" w:rsidRDefault="002C00BB" w:rsidP="002C00BB">
      <w:pPr>
        <w:pStyle w:val="ListParagraph"/>
        <w:numPr>
          <w:ilvl w:val="1"/>
          <w:numId w:val="2"/>
        </w:numPr>
      </w:pPr>
      <w:r>
        <w:t>272 acres of logging in inventoried roadless areas (10-14” dbh limit)</w:t>
      </w:r>
    </w:p>
    <w:p w:rsidR="002C00BB" w:rsidRDefault="002C00BB" w:rsidP="002C00BB">
      <w:pPr>
        <w:pStyle w:val="ListParagraph"/>
        <w:numPr>
          <w:ilvl w:val="1"/>
          <w:numId w:val="2"/>
        </w:numPr>
      </w:pPr>
      <w:r>
        <w:t>487 acres of thinning young stands in the National Recreation Area</w:t>
      </w:r>
    </w:p>
    <w:p w:rsidR="002C00BB" w:rsidRDefault="002C00BB" w:rsidP="002C00BB">
      <w:pPr>
        <w:pStyle w:val="ListParagraph"/>
        <w:numPr>
          <w:ilvl w:val="1"/>
          <w:numId w:val="2"/>
        </w:numPr>
      </w:pPr>
      <w:r>
        <w:t>494 acres of logging in LSR (mostly under 80 years)</w:t>
      </w:r>
    </w:p>
    <w:p w:rsidR="002C00BB" w:rsidRDefault="002C00BB" w:rsidP="002C00BB">
      <w:pPr>
        <w:pStyle w:val="ListParagraph"/>
        <w:numPr>
          <w:ilvl w:val="1"/>
          <w:numId w:val="2"/>
        </w:numPr>
      </w:pPr>
      <w:r>
        <w:t xml:space="preserve">556 acres of logging in riparian reserves (including 463 acres in older stands) </w:t>
      </w:r>
    </w:p>
    <w:p w:rsidR="002C00BB" w:rsidRDefault="002C00BB" w:rsidP="002C00BB">
      <w:pPr>
        <w:pStyle w:val="ListParagraph"/>
        <w:numPr>
          <w:ilvl w:val="2"/>
          <w:numId w:val="2"/>
        </w:numPr>
      </w:pPr>
      <w:r>
        <w:t xml:space="preserve">no-cut buffers of 60 feet for perennial streams and 30 feet along intermittent streams </w:t>
      </w:r>
    </w:p>
    <w:p w:rsidR="002C00BB" w:rsidRDefault="002C00BB" w:rsidP="002C00BB">
      <w:pPr>
        <w:pStyle w:val="ListParagraph"/>
        <w:numPr>
          <w:ilvl w:val="2"/>
          <w:numId w:val="2"/>
        </w:numPr>
      </w:pPr>
      <w:r>
        <w:t>40- 50% canopy cover retention in the treated portion of the riparian stands.</w:t>
      </w:r>
    </w:p>
    <w:p w:rsidR="00A678AE" w:rsidRDefault="00A678AE" w:rsidP="002C00BB">
      <w:pPr>
        <w:pStyle w:val="ListParagraph"/>
        <w:numPr>
          <w:ilvl w:val="2"/>
          <w:numId w:val="2"/>
        </w:numPr>
      </w:pPr>
      <w:r>
        <w:t xml:space="preserve">Trees up to 30” dbh can be removed from “moist” riparian reserves, and trees up to 24” dbh may be removed from “dry” riparian reserves  </w:t>
      </w:r>
    </w:p>
    <w:p w:rsidR="002C00BB" w:rsidRDefault="002C00BB" w:rsidP="002C00BB">
      <w:pPr>
        <w:pStyle w:val="ListParagraph"/>
        <w:numPr>
          <w:ilvl w:val="1"/>
          <w:numId w:val="2"/>
        </w:numPr>
      </w:pPr>
      <w:r>
        <w:t>4,785 acres of logging in matrix</w:t>
      </w:r>
    </w:p>
    <w:p w:rsidR="002C00BB" w:rsidRDefault="002C00BB" w:rsidP="002C00BB">
      <w:pPr>
        <w:pStyle w:val="ListParagraph"/>
        <w:numPr>
          <w:ilvl w:val="1"/>
          <w:numId w:val="2"/>
        </w:numPr>
      </w:pPr>
      <w:r>
        <w:t xml:space="preserve">1,234 acres of logging will degrade spotted owl nesting, roosting, foraging habitat </w:t>
      </w:r>
    </w:p>
    <w:p w:rsidR="002C00BB" w:rsidRDefault="002C00BB" w:rsidP="002C00BB">
      <w:pPr>
        <w:pStyle w:val="ListParagraph"/>
        <w:numPr>
          <w:ilvl w:val="1"/>
          <w:numId w:val="2"/>
        </w:numPr>
      </w:pPr>
      <w:r>
        <w:t xml:space="preserve">1,181 acres of logging will adversely affect spotted </w:t>
      </w:r>
      <w:r w:rsidR="008167B8">
        <w:t>owl critical habitat (839</w:t>
      </w:r>
      <w:r>
        <w:t xml:space="preserve"> acres of </w:t>
      </w:r>
      <w:r w:rsidR="008167B8">
        <w:t xml:space="preserve">suitable habitat in critical habitat </w:t>
      </w:r>
      <w:r>
        <w:t>will be downgraded)</w:t>
      </w:r>
    </w:p>
    <w:p w:rsidR="002C00BB" w:rsidRDefault="002C00BB" w:rsidP="000C4474"/>
    <w:p w:rsidR="00FA0FC0" w:rsidRDefault="00FA0FC0" w:rsidP="000C4474">
      <w:r>
        <w:rPr>
          <w:noProof/>
        </w:rPr>
        <w:drawing>
          <wp:inline distT="0" distB="0" distL="0" distR="0" wp14:anchorId="7B22B8D4" wp14:editId="7E1998A5">
            <wp:extent cx="5486400" cy="1117466"/>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486400" cy="1117466"/>
                    </a:xfrm>
                    <a:prstGeom prst="rect">
                      <a:avLst/>
                    </a:prstGeom>
                  </pic:spPr>
                </pic:pic>
              </a:graphicData>
            </a:graphic>
          </wp:inline>
        </w:drawing>
      </w:r>
    </w:p>
    <w:p w:rsidR="0012291C" w:rsidRDefault="0012291C" w:rsidP="000C4474"/>
    <w:p w:rsidR="000C4474" w:rsidRDefault="005C768F" w:rsidP="000C4474">
      <w:r>
        <w:rPr>
          <w:b/>
        </w:rPr>
        <w:t>PROJECT LOCATION</w:t>
      </w:r>
      <w:r w:rsidR="002C63F3">
        <w:rPr>
          <w:b/>
        </w:rPr>
        <w:t xml:space="preserve"> (Forest/District)</w:t>
      </w:r>
      <w:r w:rsidR="000C4474">
        <w:t xml:space="preserve">: </w:t>
      </w:r>
      <w:r w:rsidR="00FA0FC0" w:rsidRPr="00FA0FC0">
        <w:t>MT. HOOD NATIONAL FOREST</w:t>
      </w:r>
      <w:r w:rsidR="00FA0FC0">
        <w:t xml:space="preserve">, </w:t>
      </w:r>
      <w:r w:rsidR="00FA0FC0" w:rsidRPr="00FA0FC0">
        <w:t>BARLOW RANGER DISTRICT</w:t>
      </w:r>
      <w:r w:rsidR="00FA0FC0">
        <w:t xml:space="preserve">, </w:t>
      </w:r>
      <w:r w:rsidR="00FA0FC0" w:rsidRPr="00FA0FC0">
        <w:t>HOOD RIVER COUNTY AND WASCO COUNTY, OREGON</w:t>
      </w:r>
      <w:r w:rsidR="00FA0FC0">
        <w:t>.</w:t>
      </w:r>
    </w:p>
    <w:p w:rsidR="000C4474" w:rsidRDefault="000C4474" w:rsidP="000C4474"/>
    <w:p w:rsidR="00D42DE4" w:rsidRDefault="000C4474" w:rsidP="000C4474">
      <w:r w:rsidRPr="00BE36EE">
        <w:rPr>
          <w:b/>
        </w:rPr>
        <w:t xml:space="preserve">NAME </w:t>
      </w:r>
      <w:r w:rsidR="00FF1E86">
        <w:rPr>
          <w:b/>
        </w:rPr>
        <w:t xml:space="preserve">AND TITLE </w:t>
      </w:r>
      <w:r w:rsidRPr="00BE36EE">
        <w:rPr>
          <w:b/>
        </w:rPr>
        <w:t xml:space="preserve">OF </w:t>
      </w:r>
      <w:r w:rsidR="00FF1E86">
        <w:rPr>
          <w:b/>
        </w:rPr>
        <w:t xml:space="preserve">RESPONSIBLE </w:t>
      </w:r>
      <w:r w:rsidR="005C768F">
        <w:rPr>
          <w:b/>
        </w:rPr>
        <w:t>OFFICIAL</w:t>
      </w:r>
      <w:r w:rsidR="00AB14CB">
        <w:t>:</w:t>
      </w:r>
      <w:r w:rsidR="00D87250">
        <w:t xml:space="preserve"> </w:t>
      </w:r>
      <w:r w:rsidR="00D87250" w:rsidRPr="00D87250">
        <w:t>Kameron C. Sam</w:t>
      </w:r>
      <w:r w:rsidR="00D87250">
        <w:t xml:space="preserve">, </w:t>
      </w:r>
      <w:r w:rsidR="00D87250" w:rsidRPr="00D87250">
        <w:t>District Ranger, Barlow and Hood River Ranger Districts</w:t>
      </w:r>
    </w:p>
    <w:p w:rsidR="00AB14CB" w:rsidRDefault="00AB14CB" w:rsidP="000C4474"/>
    <w:p w:rsidR="00D42DE4" w:rsidRDefault="00D42DE4" w:rsidP="000C4474">
      <w:r>
        <w:rPr>
          <w:b/>
        </w:rPr>
        <w:t xml:space="preserve">LEAD OBJECTOR: </w:t>
      </w:r>
      <w:r w:rsidR="00293EF7">
        <w:t>Bark</w:t>
      </w:r>
    </w:p>
    <w:p w:rsidR="00EE7B91" w:rsidRDefault="00EE7B91" w:rsidP="000C4474"/>
    <w:p w:rsidR="00EE7B91" w:rsidRPr="00EE7B91" w:rsidRDefault="00EE7B91" w:rsidP="000C4474">
      <w:pPr>
        <w:rPr>
          <w:b/>
        </w:rPr>
      </w:pPr>
      <w:r w:rsidRPr="00EE7B91">
        <w:rPr>
          <w:b/>
        </w:rPr>
        <w:t>REQUEST FOR MEETING TO DISCUSS RESOLUTION:</w:t>
      </w:r>
      <w:r>
        <w:rPr>
          <w:b/>
        </w:rPr>
        <w:t xml:space="preserve"> </w:t>
      </w:r>
      <w:r w:rsidR="00293EF7">
        <w:t xml:space="preserve">Objectors </w:t>
      </w:r>
      <w:r w:rsidRPr="00EE7B91">
        <w:t>hereby requests a meeting to discuss potential resolution of the issues raised in this objection.</w:t>
      </w:r>
    </w:p>
    <w:p w:rsidR="000C4474" w:rsidRDefault="000C4474" w:rsidP="000C4474"/>
    <w:p w:rsidR="00D42DE4" w:rsidRDefault="00D42DE4" w:rsidP="00D42DE4">
      <w:pPr>
        <w:rPr>
          <w:rStyle w:val="updatebodytest"/>
          <w:b/>
        </w:rPr>
      </w:pPr>
      <w:r w:rsidRPr="00D42DE4">
        <w:rPr>
          <w:rStyle w:val="updatebodytest"/>
          <w:b/>
        </w:rPr>
        <w:lastRenderedPageBreak/>
        <w:t xml:space="preserve">NARRATIVE DESCRIPTION OF THOSE ASPECTS OF THE PROPOSED </w:t>
      </w:r>
      <w:r w:rsidR="00FF1E86">
        <w:rPr>
          <w:rStyle w:val="updatebodytest"/>
          <w:b/>
        </w:rPr>
        <w:t xml:space="preserve">DECISION </w:t>
      </w:r>
      <w:r w:rsidRPr="00D42DE4">
        <w:rPr>
          <w:rStyle w:val="updatebodytest"/>
          <w:b/>
        </w:rPr>
        <w:t>ADDRESSED BY THE OBJECTION:</w:t>
      </w:r>
    </w:p>
    <w:p w:rsidR="008E716F" w:rsidRPr="008E716F" w:rsidRDefault="008E716F" w:rsidP="00D42DE4">
      <w:pPr>
        <w:rPr>
          <w:rStyle w:val="updatebodytest"/>
        </w:rPr>
      </w:pPr>
      <w:r w:rsidRPr="008E716F">
        <w:rPr>
          <w:rStyle w:val="updatebodytest"/>
        </w:rPr>
        <w:t xml:space="preserve">We object to the decision to log spotted owl habitat and riparian reserves and build roads without carefully considering the </w:t>
      </w:r>
      <w:r>
        <w:rPr>
          <w:rStyle w:val="updatebodytest"/>
        </w:rPr>
        <w:t xml:space="preserve">all the adverse </w:t>
      </w:r>
      <w:r w:rsidRPr="008E716F">
        <w:rPr>
          <w:rStyle w:val="updatebodytest"/>
        </w:rPr>
        <w:t>environmental effects</w:t>
      </w:r>
      <w:r>
        <w:rPr>
          <w:rStyle w:val="updatebodytest"/>
        </w:rPr>
        <w:t xml:space="preserve"> and alter</w:t>
      </w:r>
      <w:r w:rsidRPr="008E716F">
        <w:rPr>
          <w:rStyle w:val="updatebodytest"/>
        </w:rPr>
        <w:t>n</w:t>
      </w:r>
      <w:r>
        <w:rPr>
          <w:rStyle w:val="updatebodytest"/>
        </w:rPr>
        <w:t>a</w:t>
      </w:r>
      <w:r w:rsidRPr="008E716F">
        <w:rPr>
          <w:rStyle w:val="updatebodytest"/>
        </w:rPr>
        <w:t>tives.</w:t>
      </w:r>
    </w:p>
    <w:p w:rsidR="009F01C5" w:rsidRDefault="009F01C5" w:rsidP="00D42DE4">
      <w:pPr>
        <w:rPr>
          <w:rStyle w:val="updatebodytest"/>
          <w:b/>
        </w:rPr>
      </w:pPr>
    </w:p>
    <w:p w:rsidR="00D42DE4" w:rsidRPr="00D42DE4" w:rsidRDefault="00D42DE4" w:rsidP="00D42DE4">
      <w:pPr>
        <w:rPr>
          <w:rStyle w:val="updatebodytest"/>
          <w:b/>
        </w:rPr>
      </w:pPr>
      <w:r w:rsidRPr="00D42DE4">
        <w:rPr>
          <w:rStyle w:val="updatebodytest"/>
          <w:b/>
        </w:rPr>
        <w:t>SUGGESTED REMEDIES THAT WOULD RESOLVE THE OBJECTION:</w:t>
      </w:r>
    </w:p>
    <w:p w:rsidR="000C4474" w:rsidRDefault="00363BEB" w:rsidP="000C4474">
      <w:r>
        <w:t>Oregon Wild</w:t>
      </w:r>
      <w:r w:rsidR="000C4474">
        <w:t xml:space="preserve"> respectfully requests that the Forest Service withdraw the </w:t>
      </w:r>
      <w:r w:rsidR="005C768F">
        <w:t xml:space="preserve">recommended project </w:t>
      </w:r>
      <w:r w:rsidR="000C4474">
        <w:t>and —</w:t>
      </w:r>
    </w:p>
    <w:p w:rsidR="00E03B13" w:rsidRDefault="00E03B13" w:rsidP="00E03B13">
      <w:pPr>
        <w:pStyle w:val="ListParagraph"/>
        <w:numPr>
          <w:ilvl w:val="0"/>
          <w:numId w:val="1"/>
        </w:numPr>
        <w:shd w:val="clear" w:color="auto" w:fill="FFFFFF"/>
        <w:spacing w:before="100" w:beforeAutospacing="1" w:after="100" w:afterAutospacing="1" w:line="240" w:lineRule="auto"/>
      </w:pPr>
      <w:r>
        <w:t xml:space="preserve">Increase road decommissioning and rehabilitation in the project area; and </w:t>
      </w:r>
    </w:p>
    <w:p w:rsidR="00E03B13" w:rsidRPr="00967E12" w:rsidRDefault="00E03B13" w:rsidP="00E03B13">
      <w:pPr>
        <w:pStyle w:val="ListParagraph"/>
        <w:numPr>
          <w:ilvl w:val="0"/>
          <w:numId w:val="1"/>
        </w:numPr>
        <w:shd w:val="clear" w:color="auto" w:fill="FFFFFF"/>
        <w:spacing w:before="100" w:beforeAutospacing="1" w:after="100" w:afterAutospacing="1" w:line="240" w:lineRule="auto"/>
      </w:pPr>
      <w:r>
        <w:t xml:space="preserve">Improve PDCs to </w:t>
      </w:r>
      <w:r>
        <w:rPr>
          <w:sz w:val="23"/>
          <w:szCs w:val="23"/>
        </w:rPr>
        <w:t>preventing illegal trail building and human-caused fire starts in the area as a result of increased access via temporary roads, landings, and skid trails; and</w:t>
      </w:r>
    </w:p>
    <w:p w:rsidR="00E03B13" w:rsidRPr="00C30190" w:rsidRDefault="00E03B13" w:rsidP="00E03B13">
      <w:pPr>
        <w:pStyle w:val="ListParagraph"/>
        <w:numPr>
          <w:ilvl w:val="0"/>
          <w:numId w:val="1"/>
        </w:numPr>
        <w:shd w:val="clear" w:color="auto" w:fill="FFFFFF"/>
        <w:spacing w:before="100" w:beforeAutospacing="1" w:after="100" w:afterAutospacing="1" w:line="240" w:lineRule="auto"/>
      </w:pPr>
      <w:r>
        <w:rPr>
          <w:sz w:val="23"/>
          <w:szCs w:val="23"/>
        </w:rPr>
        <w:t xml:space="preserve">Address temporary road impacts to FSR 014 and 015; and </w:t>
      </w:r>
    </w:p>
    <w:p w:rsidR="00E03B13" w:rsidRPr="00BB6695" w:rsidRDefault="00E03B13" w:rsidP="00E03B13">
      <w:pPr>
        <w:pStyle w:val="ListParagraph"/>
        <w:numPr>
          <w:ilvl w:val="0"/>
          <w:numId w:val="1"/>
        </w:numPr>
        <w:shd w:val="clear" w:color="auto" w:fill="FFFFFF"/>
        <w:spacing w:before="100" w:beforeAutospacing="1" w:after="100" w:afterAutospacing="1" w:line="240" w:lineRule="auto"/>
      </w:pPr>
      <w:r>
        <w:rPr>
          <w:sz w:val="23"/>
          <w:szCs w:val="23"/>
        </w:rPr>
        <w:t>Address units 56 and 260 to rectify mesic meadows</w:t>
      </w:r>
      <w:r w:rsidR="00AA38FD">
        <w:rPr>
          <w:sz w:val="23"/>
          <w:szCs w:val="23"/>
        </w:rPr>
        <w:t xml:space="preserve"> erroneously identified as plantations</w:t>
      </w:r>
      <w:r>
        <w:rPr>
          <w:sz w:val="23"/>
          <w:szCs w:val="23"/>
        </w:rPr>
        <w:t>; and</w:t>
      </w:r>
    </w:p>
    <w:p w:rsidR="006D63B6" w:rsidRDefault="005E7C3D" w:rsidP="000C4474">
      <w:pPr>
        <w:numPr>
          <w:ilvl w:val="0"/>
          <w:numId w:val="1"/>
        </w:numPr>
      </w:pPr>
      <w:r>
        <w:t xml:space="preserve">Adopt a 20” dbh limit for all logging in critical habitat and suitable owl habitat in order to meet the goal of large tree retention specified in the Spotted Owl Recovery Plan; </w:t>
      </w:r>
      <w:r w:rsidR="006D63B6">
        <w:t>and</w:t>
      </w:r>
    </w:p>
    <w:p w:rsidR="006D63B6" w:rsidRDefault="006D63B6" w:rsidP="000C4474">
      <w:pPr>
        <w:numPr>
          <w:ilvl w:val="0"/>
          <w:numId w:val="1"/>
        </w:numPr>
      </w:pPr>
      <w:r>
        <w:t>Do not build roads in suitable owl nesting, roosting, foraging habitat, or in meadows; and</w:t>
      </w:r>
    </w:p>
    <w:p w:rsidR="00FF0E20" w:rsidRDefault="00E03B13" w:rsidP="000C4474">
      <w:pPr>
        <w:numPr>
          <w:ilvl w:val="0"/>
          <w:numId w:val="1"/>
        </w:numPr>
      </w:pPr>
      <w:r w:rsidRPr="00E03B13">
        <w:t xml:space="preserve">Increase </w:t>
      </w:r>
      <w:r w:rsidR="006D63B6" w:rsidRPr="00E03B13">
        <w:t>buffers to protect all stream classes from commercial logging and heavy equipment</w:t>
      </w:r>
      <w:r w:rsidR="006D63B6">
        <w:t>;</w:t>
      </w:r>
      <w:r>
        <w:t xml:space="preserve"> and</w:t>
      </w:r>
    </w:p>
    <w:p w:rsidR="000C4474" w:rsidRDefault="00FF0E20" w:rsidP="000C4474">
      <w:pPr>
        <w:numPr>
          <w:ilvl w:val="0"/>
          <w:numId w:val="1"/>
        </w:numPr>
      </w:pPr>
      <w:r>
        <w:t>Prepare a NEPA document that honestly discloses the trade-offs from logging and road construction, instead of making incomplete and unsupported arguments to justify logging;</w:t>
      </w:r>
      <w:r w:rsidR="006D63B6">
        <w:t xml:space="preserve"> </w:t>
      </w:r>
      <w:r w:rsidR="00DB6EB0">
        <w:t>or</w:t>
      </w:r>
    </w:p>
    <w:p w:rsidR="000C4474" w:rsidRDefault="00CD23A8" w:rsidP="000C4474">
      <w:pPr>
        <w:numPr>
          <w:ilvl w:val="0"/>
          <w:numId w:val="1"/>
        </w:numPr>
      </w:pPr>
      <w:r>
        <w:t>P</w:t>
      </w:r>
      <w:r w:rsidR="000C4474">
        <w:t xml:space="preserve">repare a new EIS </w:t>
      </w:r>
      <w:r w:rsidR="00DB6EB0">
        <w:t xml:space="preserve">to address the significant impacts and unresolved conflicts and </w:t>
      </w:r>
      <w:r w:rsidR="000C4474">
        <w:t>fully complies with the requirements of NEPA and the CEQ regulations and addresses the specific concerns expressed below.</w:t>
      </w:r>
    </w:p>
    <w:p w:rsidR="009F01C5" w:rsidRDefault="009F01C5" w:rsidP="009F01C5">
      <w:pPr>
        <w:rPr>
          <w:rStyle w:val="updatebodytest"/>
          <w:b/>
        </w:rPr>
      </w:pPr>
    </w:p>
    <w:p w:rsidR="009F01C5" w:rsidRPr="00D42DE4" w:rsidRDefault="009F01C5" w:rsidP="009F01C5">
      <w:pPr>
        <w:rPr>
          <w:rStyle w:val="updatebodytest"/>
          <w:b/>
        </w:rPr>
      </w:pPr>
      <w:r>
        <w:rPr>
          <w:rStyle w:val="updatebodytest"/>
          <w:b/>
        </w:rPr>
        <w:t>DESCRIBE HOW THE OBJECTIONS RELATE TO PRIOR COMMENTS:</w:t>
      </w:r>
    </w:p>
    <w:p w:rsidR="009F01C5" w:rsidRPr="00293EF7" w:rsidRDefault="00293EF7" w:rsidP="00034114">
      <w:pPr>
        <w:rPr>
          <w:rStyle w:val="updatebodytest"/>
        </w:rPr>
      </w:pPr>
      <w:r w:rsidRPr="00293EF7">
        <w:rPr>
          <w:rStyle w:val="updatebodytest"/>
        </w:rPr>
        <w:t>Oregon Wild</w:t>
      </w:r>
      <w:r>
        <w:rPr>
          <w:rStyle w:val="updatebodytest"/>
        </w:rPr>
        <w:t>’s</w:t>
      </w:r>
      <w:r w:rsidRPr="00293EF7">
        <w:rPr>
          <w:rStyle w:val="updatebodytest"/>
        </w:rPr>
        <w:t xml:space="preserve"> and Bark</w:t>
      </w:r>
      <w:r>
        <w:rPr>
          <w:rStyle w:val="updatebodytest"/>
        </w:rPr>
        <w:t>’s NEPA comments</w:t>
      </w:r>
      <w:r w:rsidRPr="00293EF7">
        <w:rPr>
          <w:rStyle w:val="updatebodytest"/>
        </w:rPr>
        <w:t xml:space="preserve"> raises concerns with </w:t>
      </w:r>
      <w:r>
        <w:rPr>
          <w:rStyle w:val="updatebodytest"/>
        </w:rPr>
        <w:t xml:space="preserve">the impacts of </w:t>
      </w:r>
      <w:r w:rsidRPr="00293EF7">
        <w:rPr>
          <w:rStyle w:val="updatebodytest"/>
        </w:rPr>
        <w:t>logging spotted owl habitat, logging-related carbon emissions, road construction, and logging riparian reserves.</w:t>
      </w:r>
    </w:p>
    <w:p w:rsidR="009F01C5" w:rsidRDefault="009F01C5" w:rsidP="00034114">
      <w:pPr>
        <w:rPr>
          <w:rStyle w:val="updatebodytest"/>
          <w:b/>
        </w:rPr>
      </w:pPr>
    </w:p>
    <w:p w:rsidR="00034114" w:rsidRPr="00D42DE4" w:rsidRDefault="00034114" w:rsidP="00034114">
      <w:pPr>
        <w:rPr>
          <w:rStyle w:val="updatebodytest"/>
          <w:b/>
        </w:rPr>
      </w:pPr>
      <w:r w:rsidRPr="00D42DE4">
        <w:rPr>
          <w:rStyle w:val="updatebodytest"/>
          <w:b/>
        </w:rPr>
        <w:t xml:space="preserve">SPECIFIC ISSUES RELATED TO THE PROPOSED </w:t>
      </w:r>
      <w:r w:rsidR="00813383">
        <w:rPr>
          <w:rStyle w:val="updatebodytest"/>
          <w:b/>
        </w:rPr>
        <w:t>ACTION</w:t>
      </w:r>
      <w:r w:rsidRPr="00D42DE4">
        <w:rPr>
          <w:rStyle w:val="updatebodytest"/>
          <w:b/>
        </w:rPr>
        <w:t>:</w:t>
      </w:r>
    </w:p>
    <w:p w:rsidR="00FD72A7" w:rsidRPr="00464E8F" w:rsidRDefault="00293EF7" w:rsidP="00464E8F">
      <w:pPr>
        <w:pStyle w:val="Heading1"/>
        <w:rPr>
          <w:sz w:val="24"/>
          <w:szCs w:val="24"/>
        </w:rPr>
      </w:pPr>
      <w:r w:rsidRPr="00464E8F">
        <w:rPr>
          <w:sz w:val="24"/>
          <w:szCs w:val="24"/>
        </w:rPr>
        <w:t xml:space="preserve">FAILURE TO </w:t>
      </w:r>
      <w:r w:rsidR="00CA6242">
        <w:rPr>
          <w:sz w:val="24"/>
          <w:szCs w:val="24"/>
        </w:rPr>
        <w:t xml:space="preserve">MAKE CLIMATE </w:t>
      </w:r>
      <w:r w:rsidR="00BC6EC4">
        <w:rPr>
          <w:sz w:val="24"/>
          <w:szCs w:val="24"/>
        </w:rPr>
        <w:t xml:space="preserve">CHANGE </w:t>
      </w:r>
      <w:r w:rsidR="00CA6242">
        <w:rPr>
          <w:sz w:val="24"/>
          <w:szCs w:val="24"/>
        </w:rPr>
        <w:t xml:space="preserve">MITIGATION </w:t>
      </w:r>
      <w:r w:rsidR="00BC6EC4">
        <w:rPr>
          <w:sz w:val="24"/>
          <w:szCs w:val="24"/>
        </w:rPr>
        <w:t xml:space="preserve">TO MEET LRMP GOALS </w:t>
      </w:r>
      <w:r w:rsidR="00CA6242">
        <w:rPr>
          <w:sz w:val="24"/>
          <w:szCs w:val="24"/>
        </w:rPr>
        <w:t xml:space="preserve">PART OF THE PURPOSE AND NEED. </w:t>
      </w:r>
    </w:p>
    <w:p w:rsidR="00D4001E" w:rsidRDefault="00D4001E" w:rsidP="00464E8F">
      <w:pPr>
        <w:spacing w:before="100" w:beforeAutospacing="1" w:after="100" w:afterAutospacing="1"/>
      </w:pPr>
      <w:r>
        <w:t xml:space="preserve">Meeting forest plan objectives requires properly functioning ecosystems with biophysical conditions and disturbance regimes within the historic range of variability. Global climate change is a clear and present threat to forest ecosystems and watersheds and is preventing the FS from meeting the goals and standards &amp; guidelines described in the Mt Hood LRMP. The FS cannot say that carbon storage </w:t>
      </w:r>
      <w:r w:rsidR="00CA6242">
        <w:t xml:space="preserve">for climate change mitigation </w:t>
      </w:r>
      <w:r>
        <w:t xml:space="preserve">is outside the scope of this project or not part of the purpose and need. </w:t>
      </w:r>
      <w:r w:rsidR="00CA6242">
        <w:t xml:space="preserve">The FS cannot meet the LRMP without bringing climate change under control, which requires reducing emissions, including emissions from logging. </w:t>
      </w:r>
      <w:r>
        <w:t>The FS must include carbon storage as part of the purpose and need for this project as requested in our prior comments on this project</w:t>
      </w:r>
      <w:r w:rsidR="00CA6242">
        <w:t>, e.g. see Oregon Wild’s Aug 14, 2019 scoping comments titled “</w:t>
      </w:r>
      <w:r w:rsidR="00CA6242" w:rsidRPr="00CA6242">
        <w:t>The Purpose and Need should Address The Unmet Need for Carbon Storage</w:t>
      </w:r>
      <w:r>
        <w:t>.</w:t>
      </w:r>
      <w:r w:rsidR="00CA6242">
        <w:t>”</w:t>
      </w:r>
    </w:p>
    <w:p w:rsidR="00892F88" w:rsidRPr="00464E8F" w:rsidRDefault="00892F88" w:rsidP="00892F88">
      <w:pPr>
        <w:pStyle w:val="Heading1"/>
        <w:rPr>
          <w:sz w:val="24"/>
          <w:szCs w:val="24"/>
        </w:rPr>
      </w:pPr>
      <w:r>
        <w:rPr>
          <w:sz w:val="24"/>
          <w:szCs w:val="24"/>
        </w:rPr>
        <w:lastRenderedPageBreak/>
        <w:t xml:space="preserve">FAILURE TO </w:t>
      </w:r>
      <w:r w:rsidRPr="00464E8F">
        <w:rPr>
          <w:sz w:val="24"/>
          <w:szCs w:val="24"/>
        </w:rPr>
        <w:t xml:space="preserve">CONSIDER CARBON EMISSIONS IN THEIR PROPER CUMULATIVE FRAMEWORK. </w:t>
      </w:r>
    </w:p>
    <w:p w:rsidR="00EB6DB5" w:rsidRDefault="00EB6DB5" w:rsidP="00464E8F">
      <w:pPr>
        <w:spacing w:before="100" w:beforeAutospacing="1" w:after="100" w:afterAutospacing="1"/>
      </w:pPr>
      <w:r>
        <w:t xml:space="preserve">The Grasshopper </w:t>
      </w:r>
      <w:proofErr w:type="spellStart"/>
      <w:r w:rsidR="00464E8F">
        <w:t>d</w:t>
      </w:r>
      <w:r w:rsidR="00464E8F" w:rsidRPr="00EA0013">
        <w:t>DN</w:t>
      </w:r>
      <w:proofErr w:type="spellEnd"/>
      <w:r w:rsidR="00464E8F" w:rsidRPr="00EA0013">
        <w:t>, p7</w:t>
      </w:r>
      <w:r w:rsidR="00F26AED">
        <w:t xml:space="preserve"> improperly minimizes carbon emissions from logging when it says </w:t>
      </w:r>
      <w:r w:rsidR="00464E8F" w:rsidRPr="00EA0013">
        <w:t>“a project of this size would make an extremely small contribution to overa</w:t>
      </w:r>
      <w:r w:rsidR="00AC2C11">
        <w:t>ll global and regional emission</w:t>
      </w:r>
      <w:r w:rsidR="00464E8F" w:rsidRPr="00EA0013">
        <w:t>”</w:t>
      </w:r>
      <w:r w:rsidR="00AC2C11">
        <w:t>.</w:t>
      </w:r>
      <w:r w:rsidR="00F26AED">
        <w:t xml:space="preserve"> </w:t>
      </w:r>
      <w:r>
        <w:t>This is an improper analysis. This project would also make an “</w:t>
      </w:r>
      <w:r w:rsidRPr="00EB6DB5">
        <w:t>extremely small contribution</w:t>
      </w:r>
      <w:r>
        <w:t>”</w:t>
      </w:r>
      <w:r w:rsidRPr="00EB6DB5">
        <w:t xml:space="preserve"> </w:t>
      </w:r>
      <w:r w:rsidR="00F26AED">
        <w:t xml:space="preserve">at a global and regional scale </w:t>
      </w:r>
      <w:r w:rsidRPr="00EB6DB5">
        <w:t xml:space="preserve">to </w:t>
      </w:r>
      <w:r>
        <w:t xml:space="preserve">forest health and resiliency </w:t>
      </w:r>
      <w:r w:rsidR="00F26AED">
        <w:t xml:space="preserve">and wood products supply </w:t>
      </w:r>
      <w:r>
        <w:t xml:space="preserve">but </w:t>
      </w:r>
      <w:r w:rsidR="00AC2C11">
        <w:t>for some reason</w:t>
      </w:r>
      <w:r w:rsidR="00F26AED">
        <w:t xml:space="preserve"> </w:t>
      </w:r>
      <w:r>
        <w:t xml:space="preserve">the FS still thinks it is important to take action. Dismissing relatively small emissions of greenhouse gases reveals a serious </w:t>
      </w:r>
      <w:r w:rsidR="00AC2C11">
        <w:t xml:space="preserve">misunderstanding of </w:t>
      </w:r>
      <w:r>
        <w:t xml:space="preserve">root cause of global climate change, which is the global </w:t>
      </w:r>
      <w:r w:rsidRPr="00F26AED">
        <w:rPr>
          <w:i/>
        </w:rPr>
        <w:t>cumulative</w:t>
      </w:r>
      <w:r>
        <w:t xml:space="preserve"> emissions of greenhouse gases from all sources. All emissions are part of the problem. No emissions are too small to matter.</w:t>
      </w:r>
      <w:r w:rsidR="00F26AED">
        <w:t xml:space="preserve"> Everyone could make the argument that their emissions are too small to matter, and the problem would never be addressed.</w:t>
      </w:r>
    </w:p>
    <w:p w:rsidR="0075539B" w:rsidRDefault="0075539B" w:rsidP="0075539B">
      <w:pPr>
        <w:spacing w:before="100" w:after="100"/>
      </w:pPr>
      <w:r>
        <w:t xml:space="preserve">NEPA requires federal agencies to rely upon “high quality information,” “accurate scientific analysis” 40 C.F.R. § 1500.1(b), and </w:t>
      </w:r>
      <w:r w:rsidRPr="00332942">
        <w:t>“full and fair discussion of significant</w:t>
      </w:r>
      <w:r>
        <w:t xml:space="preserve"> </w:t>
      </w:r>
      <w:r w:rsidRPr="00332942">
        <w:t>environmental impacts,” 40 C.F.R. § 1502.1</w:t>
      </w:r>
      <w:r>
        <w:t xml:space="preserve">. The scientific information upon which an agency relies must be of “high quality because accurate scientific analysis, expert agency comments, and public scrutiny are essential to implementing NEPA.” </w:t>
      </w:r>
      <w:r>
        <w:rPr>
          <w:u w:val="single"/>
        </w:rPr>
        <w:t>Idaho Sporting Congress v. Thomas</w:t>
      </w:r>
      <w:r>
        <w:t xml:space="preserve">, 137 F.3d 1146, 1151 (9th Cir. 1998) (internal quotations omitted); </w:t>
      </w:r>
      <w:r>
        <w:rPr>
          <w:iCs/>
          <w:u w:val="single"/>
        </w:rPr>
        <w:t>see also</w:t>
      </w:r>
      <w:r>
        <w:t xml:space="preserve"> </w:t>
      </w:r>
      <w:r>
        <w:rPr>
          <w:u w:val="single"/>
        </w:rPr>
        <w:t>Portland Audubon Society v. Espy</w:t>
      </w:r>
      <w:r>
        <w:t xml:space="preserve">, 998 F.2d 699, 703 (9th Cir. 1993) (overturning decision which “rests on stale scientific evidence, incomplete discussion of environmental effects... and false assumptions”). “To take the required ‘hard look’ at a proposed project’s effects, an agency may not rely on incorrect assumptions or data in an EIS.” </w:t>
      </w:r>
      <w:r>
        <w:rPr>
          <w:u w:val="single"/>
        </w:rPr>
        <w:t>Native Ecosystems Council v. USFS</w:t>
      </w:r>
      <w:r>
        <w:t>. (9</w:t>
      </w:r>
      <w:r>
        <w:rPr>
          <w:vertAlign w:val="superscript"/>
        </w:rPr>
        <w:t>th</w:t>
      </w:r>
      <w:r>
        <w:t xml:space="preserve"> Circuit August 11, 2005) </w:t>
      </w:r>
      <w:hyperlink r:id="rId18" w:history="1">
        <w:r>
          <w:rPr>
            <w:rStyle w:val="Hyperlink"/>
          </w:rPr>
          <w:t>http://www.elawreview.org/summaries/environmental_quality/nepa/native_ecosystems_council_v_u.html</w:t>
        </w:r>
      </w:hyperlink>
      <w:r>
        <w:t xml:space="preserve"> </w:t>
      </w:r>
      <w:r>
        <w:rPr>
          <w:i/>
        </w:rPr>
        <w:t>citing</w:t>
      </w:r>
      <w:r>
        <w:t xml:space="preserve"> 40 C.F.R. §§ 1500.1(b) and 1502.24.</w:t>
      </w:r>
    </w:p>
    <w:p w:rsidR="0075539B" w:rsidRDefault="0075539B" w:rsidP="0075539B">
      <w:pPr>
        <w:autoSpaceDE w:val="0"/>
      </w:pPr>
    </w:p>
    <w:p w:rsidR="00EB6DB5" w:rsidRDefault="00EB6DB5" w:rsidP="00EB6DB5">
      <w:r>
        <w:t xml:space="preserve">The NEPA analysis must avoid minimizing this project’s contribution to carbon emissions and global warming by saying the effects of this project would be negligible on a global scale. This is not an appropriate framework. Global climate change and ocean acidification are the result of the </w:t>
      </w:r>
      <w:r>
        <w:rPr>
          <w:b/>
        </w:rPr>
        <w:t>cumulative</w:t>
      </w:r>
      <w:r>
        <w:t xml:space="preserve"> effects on the </w:t>
      </w:r>
      <w:r>
        <w:rPr>
          <w:b/>
        </w:rPr>
        <w:t>global</w:t>
      </w:r>
      <w:r>
        <w:t xml:space="preserve"> carbon cycle which is spatially distributed. There is no single culprit, nor is there a silver bullet solution. All emissions are part of the problem, and all land management decisions must be part of the solution. Since the global carbon cycle is spatially distributed, carbon storage and carbon emissions will always we spread out around the globe, and the carbon flux at any given place and time may appear small, but </w:t>
      </w:r>
      <w:r>
        <w:rPr>
          <w:i/>
        </w:rPr>
        <w:t>cumulatively</w:t>
      </w:r>
      <w:r>
        <w:t xml:space="preserve"> they help determine the temperature of our climate and the pH of our oceans. Given the current carbon overload in the atmosphere and oceans, the carbon consequences of every project must be carefully considered (rather than dismissed as negligible).</w:t>
      </w:r>
    </w:p>
    <w:p w:rsidR="00EB6DB5" w:rsidRDefault="00EB6DB5" w:rsidP="00EB6DB5"/>
    <w:p w:rsidR="00EB6DB5" w:rsidRDefault="00EB6DB5" w:rsidP="00EB6DB5">
      <w:r>
        <w:t xml:space="preserve">The agency may argue that logging a few small patches of forest won’t make a difference in the global scheme of the climate problem, but as Voltaire said, "No snowflake in an avalanche ever feels responsible.” The NEPA analysis must recognize that global warming will not be solved by one miraculous technological fix or by changing one behavior or one economic activity. The whole global carbon cycle must be managed to reduce carbon emissions and increase carbon uptake. Recent evidence supports the conclusions that all net emissions of greenhouse gases are adverse to the climate. None can be considered </w:t>
      </w:r>
      <w:r>
        <w:rPr>
          <w:i/>
        </w:rPr>
        <w:t>de minimus</w:t>
      </w:r>
      <w:r>
        <w:t xml:space="preserve">. “We show first that a single pulse of </w:t>
      </w:r>
      <w:r>
        <w:lastRenderedPageBreak/>
        <w:t xml:space="preserve">carbon released into the atmosphere increases globally averaged surface temperature by an amount that remains approximately constant for several centuries, even in the absence of additional emissions. We then show that to hold climate constant at a given global temperature requires near- zero future carbon emissions. Our results suggest that future anthropogenic emissions would need to be eliminated in order to stabilize global-mean temperatures. As a consequence, any future anthropogenic emissions will commit the climate system to warming that is essentially irreversible on centennial timescales.” H. Damon Matthews and Ken Caldeira. 2009. Stabilizing climate requires near-zero emissions. Nature Vol 455 | 18 September 2008 | doi:10.1038/nature07296. </w:t>
      </w:r>
    </w:p>
    <w:p w:rsidR="00EB6DB5" w:rsidRDefault="00EB6DB5" w:rsidP="00EB6DB5"/>
    <w:p w:rsidR="00EB6DB5" w:rsidRDefault="00EB6DB5" w:rsidP="00EB6DB5">
      <w:r>
        <w:t xml:space="preserve">Every ton of </w:t>
      </w:r>
      <w:r w:rsidRPr="00BC18A0">
        <w:t>CO</w:t>
      </w:r>
      <w:r w:rsidRPr="00BC18A0">
        <w:rPr>
          <w:vertAlign w:val="subscript"/>
        </w:rPr>
        <w:t>2</w:t>
      </w:r>
      <w:r>
        <w:t xml:space="preserve"> emitted to the atmosphere contributes to global climate change and ocean acidification. There is a single global carbon budget for cumulative GHG emissions for the period from the present to the end of the carbon economy which (because we have been slow to act) must occur in the next few decades. Those budgets require significant reductions in carbon emissions and an eventual end to GHG emissions. See Richard Millar, Myles Allen, </w:t>
      </w:r>
      <w:proofErr w:type="spellStart"/>
      <w:r>
        <w:t>Joeri</w:t>
      </w:r>
      <w:proofErr w:type="spellEnd"/>
      <w:r>
        <w:t xml:space="preserve"> </w:t>
      </w:r>
      <w:proofErr w:type="spellStart"/>
      <w:r>
        <w:t>Rogelj</w:t>
      </w:r>
      <w:proofErr w:type="spellEnd"/>
      <w:r>
        <w:t xml:space="preserve">, Pierre </w:t>
      </w:r>
      <w:proofErr w:type="spellStart"/>
      <w:r>
        <w:t>Friedlingstein</w:t>
      </w:r>
      <w:proofErr w:type="spellEnd"/>
      <w:r>
        <w:t xml:space="preserve">. 2016. The cumulative carbon budget and its implications. Oxford Review of Economic Policy, Volume 32, Issue 2, SUMMER 2016, Pages 323–342, </w:t>
      </w:r>
      <w:hyperlink r:id="rId19" w:history="1">
        <w:r w:rsidRPr="00100F17">
          <w:rPr>
            <w:rStyle w:val="Hyperlink"/>
          </w:rPr>
          <w:t>https://doi.org/10.1093/oxrep/grw009</w:t>
        </w:r>
      </w:hyperlink>
      <w:r>
        <w:t xml:space="preserve">;  </w:t>
      </w:r>
      <w:hyperlink r:id="rId20" w:history="1">
        <w:r w:rsidRPr="00100F17">
          <w:rPr>
            <w:rStyle w:val="Hyperlink"/>
          </w:rPr>
          <w:t>http://pure.iiasa.ac.at/id/eprint/12738/1/The%20cumulative%20carbon%20budget%20and%20its%20implications.pdf</w:t>
        </w:r>
      </w:hyperlink>
      <w:r>
        <w:t xml:space="preserve">. “The carbon budget is a key concept in the climate-policy sphere. It arises directly from the finding that the increase in global mean surface air temperature is proportional to cumulative </w:t>
      </w:r>
      <w:r w:rsidRPr="00BC18A0">
        <w:t>CO</w:t>
      </w:r>
      <w:r w:rsidRPr="00BC18A0">
        <w:rPr>
          <w:vertAlign w:val="subscript"/>
        </w:rPr>
        <w:t>2</w:t>
      </w:r>
      <w:r>
        <w:t xml:space="preserve">  emissions over time. This finding is far from trivial, and together with the long-lived nature of CO2 as a greenhouse gas leads to two simple but powerful conclusions: 1. We need to cut emissions to zero in order to stop the increase in global temperature. 2. The amount of </w:t>
      </w:r>
      <w:bookmarkStart w:id="0" w:name="_Hlk79743719"/>
      <w:r w:rsidRPr="00BC18A0">
        <w:t>CO</w:t>
      </w:r>
      <w:r w:rsidRPr="00BC18A0">
        <w:rPr>
          <w:vertAlign w:val="subscript"/>
        </w:rPr>
        <w:t>2</w:t>
      </w:r>
      <w:bookmarkEnd w:id="0"/>
      <w:r>
        <w:t xml:space="preserve">  that can be emitted globally in  order to a stay within a certain warming limit is finite – the carbon budget.” CONSTRAIN, 2019: ZERO IN ON the remaining carbon budget and decadal</w:t>
      </w:r>
    </w:p>
    <w:p w:rsidR="00EB6DB5" w:rsidRDefault="00EB6DB5" w:rsidP="00EB6DB5">
      <w:r>
        <w:t xml:space="preserve">warming rates. The CONSTRAIN Project Annual Report 2019, DOI: </w:t>
      </w:r>
      <w:hyperlink r:id="rId21" w:history="1">
        <w:r w:rsidRPr="00100F17">
          <w:rPr>
            <w:rStyle w:val="Hyperlink"/>
          </w:rPr>
          <w:t>https://doi.org/10.5518/100/20</w:t>
        </w:r>
      </w:hyperlink>
      <w:r>
        <w:t xml:space="preserve">; </w:t>
      </w:r>
      <w:hyperlink r:id="rId22" w:history="1">
        <w:r w:rsidRPr="00100F17">
          <w:rPr>
            <w:rStyle w:val="Hyperlink"/>
          </w:rPr>
          <w:t>https://constrain-eu.org/wp-content/uploads/2020/02/CONSTRAIN-Zero-In-On-The-Remaining-Carbon-Budget-Decadal-Warming-Rates.pdf</w:t>
        </w:r>
      </w:hyperlink>
      <w:r>
        <w:t xml:space="preserve">. The agency has no basis for concluding that emissions from logging are more important than (and belong in the constrained cumulative carbon budget) than other activities that emit GHG. When the agency says that emissions from logging are </w:t>
      </w:r>
      <w:r w:rsidRPr="00B70919">
        <w:rPr>
          <w:i/>
        </w:rPr>
        <w:t>minimal</w:t>
      </w:r>
      <w:r>
        <w:t xml:space="preserve"> or </w:t>
      </w:r>
      <w:r w:rsidR="00020965" w:rsidRPr="00B70919">
        <w:rPr>
          <w:i/>
        </w:rPr>
        <w:t>infinitesimal</w:t>
      </w:r>
      <w:r>
        <w:t xml:space="preserve"> on a global scale, it is effectively saying that its emissions belong outside the budget rather than inside the budget. This is fatally wrong. All GHG emissions are part of the cumulative emissions from all sources. None are outside the budget. </w:t>
      </w:r>
    </w:p>
    <w:p w:rsidR="00EB6DB5" w:rsidRDefault="00EB6DB5" w:rsidP="00EB6DB5"/>
    <w:p w:rsidR="00EB6DB5" w:rsidRDefault="00EB6DB5" w:rsidP="00EB6DB5">
      <w:r>
        <w:t xml:space="preserve">Former D.C. Circuit Judge Wald wrote in a 1990 dissenting opinion, which was recently quoted with unanimous approval by the Ninth Circuit in Center </w:t>
      </w:r>
      <w:r>
        <w:rPr>
          <w:i/>
        </w:rPr>
        <w:t>for Biological Diversity v. NHTSA</w:t>
      </w:r>
      <w:r>
        <w:t>:</w:t>
      </w:r>
    </w:p>
    <w:p w:rsidR="00EB6DB5" w:rsidRDefault="00EB6DB5" w:rsidP="00EB6DB5">
      <w:pPr>
        <w:ind w:left="720"/>
      </w:pPr>
      <w:r>
        <w:t>[W]e cannot afford to ignore even modest contributions to global warming. If global warming is the result of the cumulative contributions of myriad sources, any one modest in itself, is there not a danger of losing the forest by closing our eyes to the felling of the individual trees?</w:t>
      </w:r>
    </w:p>
    <w:p w:rsidR="00EB6DB5" w:rsidRDefault="00EB6DB5" w:rsidP="00EB6DB5">
      <w:r>
        <w:t xml:space="preserve">538 F.3d at 1217. Similarly, the U.S. Supreme Court’s decision in </w:t>
      </w:r>
      <w:r>
        <w:rPr>
          <w:i/>
          <w:iCs/>
        </w:rPr>
        <w:t>Massachusetts v. EPA</w:t>
      </w:r>
      <w:r>
        <w:t xml:space="preserve"> noted that one cannot avoid responsibility to reduce and mitigate the climate problem by attempting to minimize the scale of one’s contribution to the problem. ("While it may be true that regulating </w:t>
      </w:r>
      <w:r>
        <w:lastRenderedPageBreak/>
        <w:t xml:space="preserve">motor-vehicle emissions will not by itself reverse global warming, it by no means follows that we lack jurisdiction to decide whether EPA has a duty to take steps to slow or reduce it.... In sum, … [t]he risk of catastrophic harm, though remote, is nevertheless real. That risk would be reduced to some extent if petitioners received the relief they seek." 127 </w:t>
      </w:r>
      <w:proofErr w:type="spellStart"/>
      <w:r>
        <w:t>S.Ct</w:t>
      </w:r>
      <w:proofErr w:type="spellEnd"/>
      <w:r>
        <w:t xml:space="preserve">. 1438, 1455 (2007) </w:t>
      </w:r>
      <w:hyperlink r:id="rId23" w:history="1">
        <w:r>
          <w:rPr>
            <w:rStyle w:val="Hyperlink"/>
          </w:rPr>
          <w:t>http://web.archive.org/web/20080610172128/http://www.supremecourtus.gov/opinions/06pdf/05-1120.pdf</w:t>
        </w:r>
      </w:hyperlink>
      <w:r>
        <w:t xml:space="preserve">) </w:t>
      </w:r>
    </w:p>
    <w:p w:rsidR="00EB6DB5" w:rsidRDefault="00EB6DB5" w:rsidP="00EB6DB5"/>
    <w:p w:rsidR="00EB6DB5" w:rsidRDefault="00EB6DB5" w:rsidP="00EB6DB5">
      <w:r>
        <w:t>The responsibility to reduce emissions no matter how small is recognized in international law such as the European Convention on Human Rights.</w:t>
      </w:r>
    </w:p>
    <w:p w:rsidR="00EB6DB5" w:rsidRDefault="00EB6DB5" w:rsidP="00EB6DB5">
      <w:pPr>
        <w:ind w:left="720"/>
      </w:pPr>
      <w:r w:rsidRPr="00416D8E">
        <w:t>The fact that the amount of the Dutch emissions is small compared to other countries does not affect the obligation to take precautionary measures in view of the State’s obligation to exercise care. After all, it has been established that any anthropogenic greenhouse gas emission, no matter how minor, contributes to an increase of CO2 levels in the atmosphere and therefore to hazardous climate change.</w:t>
      </w:r>
    </w:p>
    <w:p w:rsidR="00EB6DB5" w:rsidRDefault="00EB6DB5" w:rsidP="00EB6DB5">
      <w:proofErr w:type="spellStart"/>
      <w:r w:rsidRPr="00416D8E">
        <w:rPr>
          <w:i/>
        </w:rPr>
        <w:t>Urgenda</w:t>
      </w:r>
      <w:proofErr w:type="spellEnd"/>
      <w:r w:rsidRPr="00416D8E">
        <w:rPr>
          <w:i/>
        </w:rPr>
        <w:t xml:space="preserve"> Foundation v. The State of the Netherlands</w:t>
      </w:r>
      <w:r>
        <w:t xml:space="preserve">. Hague Court of Appeal. October 9, 2018. </w:t>
      </w:r>
      <w:hyperlink r:id="rId24" w:history="1">
        <w:r w:rsidRPr="00A26D67">
          <w:rPr>
            <w:rStyle w:val="Hyperlink"/>
          </w:rPr>
          <w:t>https://uitspraken.rechtspraak.nl/inziendocument?id=ECLI:NL:RBDHA:2015:7196</w:t>
        </w:r>
      </w:hyperlink>
      <w:r>
        <w:t>.</w:t>
      </w:r>
    </w:p>
    <w:p w:rsidR="00EB6DB5" w:rsidRDefault="00EB6DB5" w:rsidP="00EB6DB5"/>
    <w:p w:rsidR="00EB6DB5" w:rsidRDefault="00EB6DB5" w:rsidP="00EB6DB5">
      <w:r>
        <w:t>CEQ draft guidance on NEPA and climate change recognizes that disclosure of the incremental nature of GHG emissions attributable to any given project is merely a restatement of the nature of the climate problem itself and NEPA does not allow agencies to avoid disclosure and consideration of alternatives and mitigation.</w:t>
      </w:r>
    </w:p>
    <w:p w:rsidR="00EB6DB5" w:rsidRDefault="00EB6DB5" w:rsidP="00EB6DB5">
      <w:pPr>
        <w:ind w:left="720"/>
      </w:pPr>
      <w:r>
        <w:t>CEQ recognizes that many agency NEPA analyses to date have concluded that GHG emissions from an individual agency action will have small, if any climate change effects. Government action occurs incrementally, program-by-program and step-by-step, and climate impacts are not attributable to any single action, but are exacerbated by a series of smaller decisions, including decisions made by the government. Therefore, the statement that emissions from a government action or approval represent only a small fraction of global emissions is more a statement about the nature of the climate change challenge, and is not an appropriate basis for deciding whether to consider climate impacts under NEPA.</w:t>
      </w:r>
    </w:p>
    <w:p w:rsidR="00EB6DB5" w:rsidRDefault="00EB6DB5" w:rsidP="00EB6DB5">
      <w:pPr>
        <w:ind w:left="720"/>
      </w:pPr>
    </w:p>
    <w:p w:rsidR="00EB6DB5" w:rsidRDefault="00EB6DB5" w:rsidP="00EB6DB5">
      <w:pPr>
        <w:ind w:left="720"/>
      </w:pPr>
      <w:r>
        <w:t>Moreover, these comparisons are not an appropriate method for characterizing the potential impacts associated with a proposed action and its alternatives and mitigations. This approach does not reveal anything beyond the nature of the climate change challenge itself: The fact that diverse individual sources of emissions each make relatively small additions to global atmospheric GHG concentrations that collectively have huge impact.</w:t>
      </w:r>
    </w:p>
    <w:p w:rsidR="00EB6DB5" w:rsidRDefault="00EB6DB5" w:rsidP="00EB6DB5">
      <w:r>
        <w:t xml:space="preserve">77 Fed. Reg. 77802, 77825. </w:t>
      </w:r>
      <w:r w:rsidRPr="00F71265">
        <w:t>(Dec. 24, 2014)</w:t>
      </w:r>
      <w:r>
        <w:t>.</w:t>
      </w:r>
    </w:p>
    <w:p w:rsidR="00EB6DB5" w:rsidRDefault="00EB6DB5" w:rsidP="00EB6DB5">
      <w:pPr>
        <w:rPr>
          <w:color w:val="222222"/>
          <w:shd w:val="clear" w:color="auto" w:fill="FFFFFF"/>
        </w:rPr>
      </w:pPr>
    </w:p>
    <w:p w:rsidR="00EB6DB5" w:rsidRDefault="00EB6DB5" w:rsidP="00EB6DB5">
      <w:r w:rsidRPr="00D42A1C">
        <w:t>Because individual</w:t>
      </w:r>
      <w:r>
        <w:t xml:space="preserve"> </w:t>
      </w:r>
      <w:r w:rsidRPr="00D42A1C">
        <w:t>contributions to climate change are so small, but the cumulative problem is so large, meaningfully</w:t>
      </w:r>
      <w:r>
        <w:t xml:space="preserve"> </w:t>
      </w:r>
      <w:r w:rsidRPr="00D42A1C">
        <w:t>disclosing the impact of greenhouse gas emissions requires some tool beyond merely identifying</w:t>
      </w:r>
      <w:r>
        <w:t xml:space="preserve"> </w:t>
      </w:r>
      <w:r w:rsidRPr="00D42A1C">
        <w:t>physical changes in the environment attributable to an individual project’s emissions.</w:t>
      </w:r>
    </w:p>
    <w:p w:rsidR="00EB6DB5" w:rsidRDefault="00EB6DB5" w:rsidP="00EB6DB5">
      <w:pPr>
        <w:rPr>
          <w:color w:val="222222"/>
          <w:shd w:val="clear" w:color="auto" w:fill="FFFFFF"/>
        </w:rPr>
      </w:pPr>
    </w:p>
    <w:p w:rsidR="00EB6DB5" w:rsidRDefault="00EB6DB5" w:rsidP="00EB6DB5">
      <w:r w:rsidRPr="00D42A1C">
        <w:t xml:space="preserve">Climate change is the quintessential cumulative impact problem, and </w:t>
      </w:r>
      <w:r>
        <w:t xml:space="preserve">a good way to disclose the incremental effects of individual contributions to the cumulative problems is to monetize the </w:t>
      </w:r>
      <w:r>
        <w:lastRenderedPageBreak/>
        <w:t xml:space="preserve">effects using tools that quantify the social cost of carbon dioxide emissions. Social Cost of Carbon 2010, </w:t>
      </w:r>
      <w:hyperlink r:id="rId25" w:history="1">
        <w:r w:rsidRPr="00A404B7">
          <w:rPr>
            <w:rStyle w:val="Hyperlink"/>
          </w:rPr>
          <w:t>https://obamawhitehouse.archives.gov/sites/default/files/omb/inforeg/foragencies/Social-Cost-of-Carbon-for-RIA.pdf</w:t>
        </w:r>
      </w:hyperlink>
      <w:r>
        <w:t xml:space="preserve">. </w:t>
      </w:r>
    </w:p>
    <w:p w:rsidR="00EB6DB5" w:rsidRDefault="00EB6DB5" w:rsidP="00EB6DB5"/>
    <w:p w:rsidR="00EB6DB5" w:rsidRDefault="00EB6DB5" w:rsidP="00EB6DB5">
      <w:r>
        <w:t>I</w:t>
      </w:r>
      <w:r w:rsidRPr="00D42A1C">
        <w:t>ndividual physical</w:t>
      </w:r>
      <w:r>
        <w:t xml:space="preserve"> </w:t>
      </w:r>
      <w:r w:rsidRPr="00D42A1C">
        <w:t xml:space="preserve">changes that will result from any particular action will inevitably appear insignificant. Just as the public and </w:t>
      </w:r>
      <w:proofErr w:type="spellStart"/>
      <w:r w:rsidRPr="00D42A1C">
        <w:t>decisionmakers</w:t>
      </w:r>
      <w:proofErr w:type="spellEnd"/>
      <w:r w:rsidRPr="00D42A1C">
        <w:t xml:space="preserve"> “cannot be expected to convert curies or </w:t>
      </w:r>
      <w:proofErr w:type="spellStart"/>
      <w:r w:rsidRPr="00D42A1C">
        <w:t>mrems</w:t>
      </w:r>
      <w:proofErr w:type="spellEnd"/>
      <w:r w:rsidRPr="00D42A1C">
        <w:t xml:space="preserve"> into</w:t>
      </w:r>
      <w:r>
        <w:t xml:space="preserve"> </w:t>
      </w:r>
      <w:r w:rsidRPr="00D42A1C">
        <w:t>such costs as cancer deaths,” the EIS’s readership cannot be expected to understand whether an</w:t>
      </w:r>
      <w:r>
        <w:t xml:space="preserve"> </w:t>
      </w:r>
      <w:r w:rsidRPr="00D42A1C">
        <w:t>individual project’s miniscule marginal increase contribution to increased temperature, sea levels,</w:t>
      </w:r>
      <w:r>
        <w:t xml:space="preserve"> </w:t>
      </w:r>
      <w:r w:rsidRPr="00D42A1C">
        <w:t xml:space="preserve">etc. is cause for concern. </w:t>
      </w:r>
      <w:r w:rsidRPr="00D42A1C">
        <w:rPr>
          <w:i/>
        </w:rPr>
        <w:t xml:space="preserve">Natural Res. Def. Council, Inc. v. U. S. Nuclear Regulatory </w:t>
      </w:r>
      <w:proofErr w:type="spellStart"/>
      <w:r w:rsidRPr="00D42A1C">
        <w:rPr>
          <w:i/>
        </w:rPr>
        <w:t>Comm’n</w:t>
      </w:r>
      <w:proofErr w:type="spellEnd"/>
      <w:r w:rsidRPr="00D42A1C">
        <w:t>,</w:t>
      </w:r>
      <w:r>
        <w:t xml:space="preserve"> </w:t>
      </w:r>
      <w:r w:rsidRPr="00D42A1C">
        <w:t xml:space="preserve">685 F.2d 459, 487 n.149 (D.C. Cir. 1982) </w:t>
      </w:r>
      <w:proofErr w:type="spellStart"/>
      <w:r w:rsidRPr="00D42A1C">
        <w:t>rev’d</w:t>
      </w:r>
      <w:proofErr w:type="spellEnd"/>
      <w:r w:rsidRPr="00D42A1C">
        <w:t xml:space="preserve"> on other grounds sub nom. </w:t>
      </w:r>
      <w:r w:rsidRPr="00D42A1C">
        <w:rPr>
          <w:i/>
        </w:rPr>
        <w:t>Baltimore Gas &amp; Elec. Co. v. Natural Res. Def. Council, Inc.</w:t>
      </w:r>
      <w:r w:rsidRPr="00D42A1C">
        <w:t xml:space="preserve">, 462 U.S. 87, 106-107 (1983). </w:t>
      </w:r>
    </w:p>
    <w:p w:rsidR="00EB6DB5" w:rsidRDefault="00EB6DB5" w:rsidP="00EB6DB5"/>
    <w:p w:rsidR="00EB6DB5" w:rsidRDefault="00EB6DB5" w:rsidP="00EB6DB5">
      <w:r>
        <w:t>Estimates of the social cost of carbon dioxide emissions are based on reasonable forecasts of the actual physical effects that each incremental unit of greenhouse gas emissions will have on the environment, including temperature, sea level rise, ecosystem services, and other physical impacts, together with assessments of how these physical changes will impact agriculture, human health, etc. The social cost protocol identifies the social cost imposed by a ton of emissions’ pro rata contribution to these environmental problems. This either amounts to an assessment of physical impacts or the best available generally accepted alternative to such an assessment; either way, the tool is appropriate for use under NEPA. 40 C.F.R. § 1502.22(b)(4).</w:t>
      </w:r>
    </w:p>
    <w:p w:rsidR="00EB6DB5" w:rsidRDefault="00EB6DB5" w:rsidP="00EB6DB5"/>
    <w:p w:rsidR="00EB6DB5" w:rsidRDefault="00EB6DB5" w:rsidP="00BD37BD">
      <w:r>
        <w:t>Any assertion that it is impossible to discuss the impact or significance of the Project’s greenhouse gas emissions is arbitrary. Agencies must use available generally accepted tools to address the impact of these emissions, 40 C.F.R. 1502.22, and employ reasonable forecasting in its analysis. The agency’s refusal to use available modeling tools, such as the estimates of the social cost of carbon and other greenhouse gases, violates NEPA.</w:t>
      </w:r>
    </w:p>
    <w:p w:rsidR="003C4BB1" w:rsidRPr="003C4BB1" w:rsidRDefault="00BD37BD" w:rsidP="00293EF7">
      <w:pPr>
        <w:shd w:val="clear" w:color="auto" w:fill="FFFFFF"/>
        <w:spacing w:before="100" w:beforeAutospacing="1" w:after="100" w:afterAutospacing="1"/>
        <w:rPr>
          <w:color w:val="3C4043"/>
          <w:spacing w:val="3"/>
        </w:rPr>
      </w:pPr>
      <w:r>
        <w:rPr>
          <w:color w:val="3C4043"/>
          <w:spacing w:val="3"/>
        </w:rPr>
        <w:t xml:space="preserve">The Grasshopper Final EA does not meaningfully address </w:t>
      </w:r>
      <w:r w:rsidR="003C4BB1" w:rsidRPr="003C4BB1">
        <w:rPr>
          <w:color w:val="3C4043"/>
          <w:spacing w:val="3"/>
        </w:rPr>
        <w:t xml:space="preserve">Objectors comments on the </w:t>
      </w:r>
      <w:r w:rsidR="00EB6DB5">
        <w:rPr>
          <w:color w:val="3C4043"/>
          <w:spacing w:val="3"/>
        </w:rPr>
        <w:t xml:space="preserve">Grasshopper </w:t>
      </w:r>
      <w:r w:rsidR="003C4BB1" w:rsidRPr="003C4BB1">
        <w:rPr>
          <w:color w:val="3C4043"/>
          <w:spacing w:val="3"/>
        </w:rPr>
        <w:t xml:space="preserve">EA </w:t>
      </w:r>
      <w:r>
        <w:rPr>
          <w:color w:val="3C4043"/>
          <w:spacing w:val="3"/>
        </w:rPr>
        <w:t>including</w:t>
      </w:r>
      <w:r w:rsidR="003C4BB1" w:rsidRPr="003C4BB1">
        <w:rPr>
          <w:color w:val="3C4043"/>
          <w:spacing w:val="3"/>
        </w:rPr>
        <w:t>:</w:t>
      </w:r>
    </w:p>
    <w:p w:rsidR="003C4BB1" w:rsidRDefault="003C4BB1" w:rsidP="003C4BB1">
      <w:pPr>
        <w:ind w:left="720"/>
      </w:pPr>
      <w:r>
        <w:t xml:space="preserve">The EA analysis repeats the same deeply flawed boilerplate that all Region 6 timber sale NEPA analysis suffer from. Oregon Wild’s 8-14-2019 scoping comments clearly describes several of these problems (and why the analysis is flowed) but the EA did not make any effort to correct these problems. </w:t>
      </w:r>
    </w:p>
    <w:p w:rsidR="003C4BB1" w:rsidRDefault="003C4BB1" w:rsidP="003C4BB1">
      <w:pPr>
        <w:ind w:left="720"/>
      </w:pPr>
    </w:p>
    <w:p w:rsidR="003C4BB1" w:rsidRDefault="003C4BB1" w:rsidP="003C4BB1">
      <w:pPr>
        <w:ind w:left="720"/>
      </w:pPr>
      <w:r>
        <w:t xml:space="preserve">For instance, the EA essentially says this carbon emissions caused by logging under this project are no big deal in the grand scheme of things, but we explained in our scoping comments why the FS cannot dismiss the relatively small contribution of this project to the problem of global climate change because global climate change is caused by cumulative effects. Every activity could make the same excuse that they are just a small part of the problem and it would never get addressed. </w:t>
      </w:r>
    </w:p>
    <w:p w:rsidR="003C4BB1" w:rsidRPr="00293EF7" w:rsidRDefault="003C4BB1" w:rsidP="003C4BB1">
      <w:pPr>
        <w:shd w:val="clear" w:color="auto" w:fill="FFFFFF"/>
        <w:spacing w:before="100" w:beforeAutospacing="1" w:after="100" w:afterAutospacing="1"/>
        <w:ind w:left="720"/>
        <w:rPr>
          <w:rFonts w:ascii="Arial" w:hAnsi="Arial" w:cs="Arial"/>
          <w:b/>
          <w:color w:val="3C4043"/>
          <w:spacing w:val="3"/>
          <w:sz w:val="21"/>
          <w:szCs w:val="21"/>
        </w:rPr>
      </w:pPr>
      <w:r>
        <w:t xml:space="preserve">In addition, the EA says that logging emissions caused by this project are “justified” because logging will reduce carbon emissions from fire and other disturbances. This is </w:t>
      </w:r>
      <w:r>
        <w:lastRenderedPageBreak/>
        <w:t>not supported by the best available science. Our scoping comments explained why in great detail.</w:t>
      </w:r>
    </w:p>
    <w:p w:rsidR="00EB6DB5" w:rsidRPr="00464E8F" w:rsidRDefault="00EB6DB5" w:rsidP="00EB6DB5">
      <w:pPr>
        <w:pStyle w:val="Heading1"/>
        <w:rPr>
          <w:sz w:val="24"/>
          <w:szCs w:val="24"/>
        </w:rPr>
      </w:pPr>
      <w:r>
        <w:rPr>
          <w:sz w:val="24"/>
          <w:szCs w:val="24"/>
        </w:rPr>
        <w:t xml:space="preserve">FAILURE TO CONSIDER THE CARBON TRADE-OFFS OF LOGGING. </w:t>
      </w:r>
      <w:r w:rsidR="00A13FD8">
        <w:rPr>
          <w:sz w:val="24"/>
          <w:szCs w:val="24"/>
        </w:rPr>
        <w:t xml:space="preserve">FAILURE TO CONSIDER CARBON EMISSIONS WITH-AND-WITHOUT LOGGING, INSTAEAD OF BEFORE-AND-AFTER LOGGING. </w:t>
      </w:r>
      <w:r w:rsidRPr="00464E8F">
        <w:rPr>
          <w:sz w:val="24"/>
          <w:szCs w:val="24"/>
        </w:rPr>
        <w:t xml:space="preserve">FAILURE TO </w:t>
      </w:r>
      <w:r w:rsidR="004303BC">
        <w:rPr>
          <w:sz w:val="24"/>
          <w:szCs w:val="24"/>
        </w:rPr>
        <w:t xml:space="preserve">CONSIDER ALTERNATIVES THAT </w:t>
      </w:r>
      <w:r w:rsidRPr="00464E8F">
        <w:rPr>
          <w:sz w:val="24"/>
          <w:szCs w:val="24"/>
        </w:rPr>
        <w:t>HARMONIZE CLIMATE CHANGE MITIGATION AND ADAPTATION.</w:t>
      </w:r>
    </w:p>
    <w:p w:rsidR="004303BC" w:rsidRDefault="0075539B" w:rsidP="00554E93">
      <w:r>
        <w:t>NEPA requires federal agencies to rely upon “high quality information,” “accurate scientific analysis” 40 C.F.R. § 1500.1(b).</w:t>
      </w:r>
      <w:r w:rsidR="004303BC">
        <w:t xml:space="preserve"> NEPA </w:t>
      </w:r>
      <w:r w:rsidR="00554E93">
        <w:t xml:space="preserve">also </w:t>
      </w:r>
      <w:r w:rsidR="004303BC">
        <w:t xml:space="preserve">mandates that an agency “shall to the fullest extent possible: use the NEPA process to identify and assess the reasonable alternatives to proposed actions that will avoid or minimize adverse effects of these action upon the quality of the human environment.” 40 C.F.R. § 1500.2(e). NEPA also requires the USFS to “study, develop, and describe appropriate alternatives to the recommended courses of action in any proposal which involves unresolved conflicts concerning alternative uses of available resources as provided by section 102(2)(E) of the Act [NEPA].”40 C.F.R. § 1501.2 (c). </w:t>
      </w:r>
      <w:r w:rsidR="00554E93">
        <w:t>The FS violated these requirements when it failed to consider trade-offs associated with GHG emissions from logging, relied on an analysis that compared effects before-and-after logging while failing to compare alternatives with-and-without logging, and failed to consider alternatives that harmonize climate change adaptation and climate change mitigation.</w:t>
      </w:r>
    </w:p>
    <w:p w:rsidR="0075539B" w:rsidRDefault="00EB6DB5" w:rsidP="00EB6DB5">
      <w:pPr>
        <w:spacing w:before="100" w:beforeAutospacing="1" w:after="100" w:afterAutospacing="1"/>
      </w:pPr>
      <w:r>
        <w:t xml:space="preserve">The Grasshopper </w:t>
      </w:r>
      <w:proofErr w:type="spellStart"/>
      <w:r>
        <w:t>d</w:t>
      </w:r>
      <w:r w:rsidR="00F26AED">
        <w:t>DN</w:t>
      </w:r>
      <w:proofErr w:type="spellEnd"/>
      <w:r w:rsidRPr="00EA0013">
        <w:t xml:space="preserve"> </w:t>
      </w:r>
      <w:r w:rsidR="00F26AED">
        <w:t>(</w:t>
      </w:r>
      <w:r w:rsidRPr="00EA0013">
        <w:t>p</w:t>
      </w:r>
      <w:r w:rsidR="00F26AED">
        <w:t xml:space="preserve"> </w:t>
      </w:r>
      <w:r w:rsidRPr="00EA0013">
        <w:t>7</w:t>
      </w:r>
      <w:r w:rsidR="00F26AED">
        <w:t>) improperly suggests that GHG emissions from logging are justified by more important goals, saying</w:t>
      </w:r>
      <w:r w:rsidRPr="00EA0013">
        <w:t xml:space="preserve"> “a project of this size would make an extremely small contribution to overall global and regional emission, and that the project’s benefits to forest health and resiliency would make stands more adaptable to the future climate</w:t>
      </w:r>
      <w:r>
        <w:t>…</w:t>
      </w:r>
      <w:r w:rsidRPr="00EA0013">
        <w:t>”</w:t>
      </w:r>
      <w:r w:rsidR="00F26AED">
        <w:t xml:space="preserve"> </w:t>
      </w:r>
      <w:r>
        <w:t>This implies that GHG emissions from logging are somehow justified by the gains in</w:t>
      </w:r>
      <w:r w:rsidR="00F26AED">
        <w:t xml:space="preserve"> forest health and resiliency. </w:t>
      </w:r>
    </w:p>
    <w:p w:rsidR="00EB6DB5" w:rsidRDefault="00F26AED" w:rsidP="00EB6DB5">
      <w:pPr>
        <w:spacing w:before="100" w:beforeAutospacing="1" w:after="100" w:afterAutospacing="1"/>
      </w:pPr>
      <w:r>
        <w:t xml:space="preserve">This analysis implies that forest health and resiliency are somehow more important than reducing cumulative emissions that are causing global climate change. </w:t>
      </w:r>
      <w:r w:rsidR="00EB6DB5">
        <w:t xml:space="preserve">This is a serious error because the analysis never accounts for the harms caused by GHG emissions from logging and weighs those against the forest health benefits. </w:t>
      </w:r>
      <w:r w:rsidR="00BD37BD">
        <w:t xml:space="preserve">The FS is basically saying it’s OK to make climate change worse all over the world because these forest stand might be made more resilient. This is a bold assertion that requires careful balancing of interests. </w:t>
      </w:r>
      <w:r w:rsidR="00EB6DB5">
        <w:t>There are trade-offs that must be disclosed, and there are alternatives that must be considered to try to harmonize those conflicting goals.</w:t>
      </w:r>
      <w:r w:rsidR="00D16280">
        <w:t xml:space="preserve"> One way to help illuminate the trade-offs is to calculate the social cost of carbon dioxide emissions. </w:t>
      </w:r>
    </w:p>
    <w:p w:rsidR="00D16280" w:rsidRDefault="00D16280" w:rsidP="00EB6DB5">
      <w:pPr>
        <w:spacing w:before="100" w:beforeAutospacing="1" w:after="100" w:afterAutospacing="1"/>
      </w:pPr>
      <w:r>
        <w:t xml:space="preserve">The NEPA analysis failed to </w:t>
      </w:r>
      <w:r w:rsidR="00BA2116">
        <w:t xml:space="preserve">disclose that logging related GHG emissions would violate </w:t>
      </w:r>
      <w:r>
        <w:t>current federal policy to reduce GHG emissions</w:t>
      </w:r>
      <w:r w:rsidR="00BA2116">
        <w:t>, and failed to consider alternatives to implement this policy</w:t>
      </w:r>
      <w:r>
        <w:t>:</w:t>
      </w:r>
    </w:p>
    <w:p w:rsidR="00D16280" w:rsidRDefault="00D16280" w:rsidP="00D16280">
      <w:pPr>
        <w:ind w:left="576"/>
      </w:pPr>
      <w:r>
        <w:t>“</w:t>
      </w:r>
      <w:r w:rsidRPr="00953D42">
        <w:t xml:space="preserve">It is, therefore, the policy of </w:t>
      </w:r>
      <w:r>
        <w:t xml:space="preserve">[the Biden] </w:t>
      </w:r>
      <w:r w:rsidRPr="00953D42">
        <w:t>Administration to listen to the science;</w:t>
      </w:r>
      <w:r>
        <w:t xml:space="preserve"> </w:t>
      </w:r>
      <w:r w:rsidRPr="00953D42">
        <w:t xml:space="preserve">to improve public health and protect our environment; to ensure access to clean air and water; </w:t>
      </w:r>
      <w:r>
        <w:t xml:space="preserve">… </w:t>
      </w:r>
      <w:r w:rsidRPr="00D16280">
        <w:rPr>
          <w:i/>
        </w:rPr>
        <w:t>to reduce greenhouse gas emissions</w:t>
      </w:r>
      <w:r w:rsidRPr="00953D42">
        <w:t>; to bolster resilience to the impacts of climate change;</w:t>
      </w:r>
      <w:r>
        <w:t xml:space="preserve"> … </w:t>
      </w:r>
      <w:r w:rsidRPr="00953D42">
        <w:t xml:space="preserve">To that end, this order directs all executive departments and agencies (agencies) to immediately review and, as appropriate and consistent with applicable law, take action </w:t>
      </w:r>
      <w:r w:rsidRPr="00953D42">
        <w:lastRenderedPageBreak/>
        <w:t>to address the promulgation of Federal regulations and other actions during the last 4 years that conflict with these important national objectives, and to immediately commence work to confront the climate crisis.</w:t>
      </w:r>
      <w:r>
        <w:t xml:space="preserve">” </w:t>
      </w:r>
    </w:p>
    <w:p w:rsidR="00D16280" w:rsidRDefault="00D16280" w:rsidP="00D16280">
      <w:r>
        <w:t xml:space="preserve">Executive Order on Protecting Public Health and the Environment and Restoring Science to Tackle the Climate Crisis. JANUARY 20, 2021 </w:t>
      </w:r>
      <w:hyperlink r:id="rId26" w:history="1">
        <w:r w:rsidRPr="005A4030">
          <w:rPr>
            <w:rStyle w:val="Hyperlink"/>
          </w:rPr>
          <w:t>https://www.whitehouse.gov/briefing-room/presidential-actions/2021/01/20/executive-order-protecting-public-health-and-environment-and-restoring-science-to-tackle-climate-crisis/</w:t>
        </w:r>
      </w:hyperlink>
      <w:r>
        <w:t xml:space="preserve">. </w:t>
      </w:r>
    </w:p>
    <w:p w:rsidR="00D16280" w:rsidRDefault="00D16280" w:rsidP="00D16280"/>
    <w:p w:rsidR="00AE4326" w:rsidRDefault="00AE4326" w:rsidP="00D16280">
      <w:r>
        <w:t>The FS failed to consider alternatives that harmonize climate change mitigation and adaptation:</w:t>
      </w:r>
    </w:p>
    <w:p w:rsidR="00D16280" w:rsidRDefault="00D16280" w:rsidP="00D16280">
      <w:pPr>
        <w:ind w:left="720"/>
      </w:pPr>
      <w:r>
        <w:t>Climate change adaptation is the discipline that focuses on addressing these impacts. In contrast, climate change mitigation addresses the underlying causes of climate change, through a focus on reductions in greenhouse gas concentrations in the atmosphere. Confronting the climate crisis requires that we both address the underlying causes of climate change and simultaneously prepare for and adapt to current and future impacts. Accordingly, adaptation and mitigation must be viewed as essential complements, rather than as alternative approaches. Because greenhouse gas emissions and concentrations will dictate the type and magnitude of impacts to which we will need to adapt, the ability to successfully accomplish adaptation over the long term will be linked to the success of climate mitigation efforts (Warren et al. 2013).</w:t>
      </w:r>
    </w:p>
    <w:p w:rsidR="00D16280" w:rsidRDefault="00D16280" w:rsidP="00D16280">
      <w:pPr>
        <w:ind w:left="720"/>
      </w:pPr>
      <w:r>
        <w:t>…</w:t>
      </w:r>
    </w:p>
    <w:p w:rsidR="00D16280" w:rsidRDefault="00D16280" w:rsidP="00D16280">
      <w:pPr>
        <w:ind w:left="720"/>
      </w:pPr>
      <w:r>
        <w:t>Climate-smart conservation strategies must also take climate mitigation considerations into account. Although adaptation is about addressing the impacts of rapid climate change, adaptation actions should not aggravate the underlying problem of global warming. Indeed, minimizing the carbon footprint of adaptation actions can help society avoid the “worst-case” scenarios for climate change, which would make successful adaptation in human and natural systems difficult, if not impossible, to achieve. Ideally, adaptation efforts should contribute to meeting climate mitigation goals both by minimizing or reducing the greenhouse gas emissions from project operations, including from any construction and ongoing maintenance, as well as by managing natural systems in ways that sustain or enhance their ability to cycle, sequester, and store carbon.</w:t>
      </w:r>
    </w:p>
    <w:p w:rsidR="00D16280" w:rsidRDefault="00D16280" w:rsidP="00D16280">
      <w:pPr>
        <w:ind w:left="720"/>
      </w:pPr>
      <w:r>
        <w:t>…</w:t>
      </w:r>
    </w:p>
    <w:p w:rsidR="00D16280" w:rsidRDefault="00D16280" w:rsidP="00D16280">
      <w:pPr>
        <w:ind w:left="720"/>
      </w:pPr>
      <w:r>
        <w:t>Some of the most obvious synergies between adaptation and mitigation are those aimed at enhancing carbon stocks in natural forests, … Strategies for increasing the capture and storage of forest carbon include: avoiding deforestation; afforestation (i.e., establishment of trees in areas have not been forests or where forests have not been present for some time); decreasing forest harvest; and increasing forest growth (McKinley et al. 2011). Managing natural systems to provide carbon benefits must be carefully balanced, however, with other conservation and adaptation goals. …  Recent research, however, indicates that old trees “do not act simply as senescent carbon reservoirs” but actively fix larger amounts of carbon than smaller trees (</w:t>
      </w:r>
      <w:proofErr w:type="spellStart"/>
      <w:r>
        <w:t>Stephensen</w:t>
      </w:r>
      <w:proofErr w:type="spellEnd"/>
      <w:r>
        <w:t xml:space="preserve"> et al. 2014). This recognition highlights the important role that biodiversity-rich old-growth forests can play in sequestering carbon.</w:t>
      </w:r>
    </w:p>
    <w:p w:rsidR="00D16280" w:rsidRDefault="00D16280" w:rsidP="00D16280">
      <w:pPr>
        <w:ind w:left="720"/>
      </w:pPr>
      <w:r>
        <w:t>…</w:t>
      </w:r>
    </w:p>
    <w:p w:rsidR="00D16280" w:rsidRDefault="00D16280" w:rsidP="00D16280">
      <w:pPr>
        <w:ind w:left="720"/>
      </w:pPr>
      <w:r>
        <w:t xml:space="preserve">It is not always obvious, however, when conservation and climate mitigation efforts might be in alignment or in conflict. … Although there are clear synergies between </w:t>
      </w:r>
      <w:r>
        <w:lastRenderedPageBreak/>
        <w:t>adaptation and mitigation focused activities, managers will also need to carefully consider any trade-offs.</w:t>
      </w:r>
    </w:p>
    <w:p w:rsidR="00D16280" w:rsidRDefault="00D16280" w:rsidP="00D16280">
      <w:r>
        <w:t xml:space="preserve">Stein, B.A., P. Glick, N. </w:t>
      </w:r>
      <w:proofErr w:type="spellStart"/>
      <w:r>
        <w:t>Edelson</w:t>
      </w:r>
      <w:proofErr w:type="spellEnd"/>
      <w:r>
        <w:t xml:space="preserve">, and A. </w:t>
      </w:r>
      <w:proofErr w:type="spellStart"/>
      <w:r>
        <w:t>Staudt</w:t>
      </w:r>
      <w:proofErr w:type="spellEnd"/>
      <w:r>
        <w:t xml:space="preserve"> (eds.). 2014. Climate-Smart Conservation: Putting Adaptation Principles into Practice. National Wildlife Federation, Washington, D.C. </w:t>
      </w:r>
      <w:hyperlink r:id="rId27" w:history="1">
        <w:r>
          <w:rPr>
            <w:rStyle w:val="Hyperlink"/>
          </w:rPr>
          <w:t>https://www.nwf.org/~/media/PDFs/Global-Warming/2014/Climate-Smart-Conservation-Final_06-06-2014.pdf</w:t>
        </w:r>
      </w:hyperlink>
      <w:r>
        <w:t>.</w:t>
      </w:r>
    </w:p>
    <w:p w:rsidR="00D16280" w:rsidRDefault="00D16280" w:rsidP="00D16280"/>
    <w:p w:rsidR="00D16280" w:rsidRDefault="00D16280" w:rsidP="00D16280">
      <w:r>
        <w:t xml:space="preserve">Sometimes climate change mitigation and adaptation are in complete harmony, such as protecting riparian forests that both store carbon and buffer streams from hydrological extremes caused by climate change. See Justice et al. 2017. Can stream and riparian restoration offset climate change impacts to salmon populations? </w:t>
      </w:r>
      <w:r w:rsidRPr="00D65B2C">
        <w:t>Journal of Environmental Management 188 (2017) 212e227</w:t>
      </w:r>
      <w:r>
        <w:t xml:space="preserve"> </w:t>
      </w:r>
      <w:hyperlink r:id="rId28" w:history="1">
        <w:r w:rsidRPr="00463070">
          <w:rPr>
            <w:rStyle w:val="Hyperlink"/>
          </w:rPr>
          <w:t>https://www.critfc.org/wp-content/uploads/2017/01/JournalPost_Justice_etal2017.pdf</w:t>
        </w:r>
      </w:hyperlink>
      <w:r>
        <w:t xml:space="preserve">. However, there are also times when efforts directed at climate change adaptation conflict with climate change mitigation goals. For instance, some people argue that we should reduce the density of federal forests so they are more resilient to soil-water stress caused by global warming. However, forest density reduction will accelerate the transfer of carbon from the forest to the atmosphere where it will contribute to global climate change. </w:t>
      </w:r>
    </w:p>
    <w:p w:rsidR="00D16280" w:rsidRDefault="00D16280" w:rsidP="00D16280"/>
    <w:p w:rsidR="00D16280" w:rsidRDefault="00D16280" w:rsidP="00D16280">
      <w:r>
        <w:t>Federal agencies must strive to harmonize climate change mitigation (carbon storage or avoided emissions) and climate change adaptation (making ecosystems more resilient to climate change). For example, if the agency uses climate change adaptation as a rationale for forest thinning, they must not only fully disclose the increased GHG emissions caused by their proposal, they must also consider alternatives that harmonize these competing goals, such as by thinning very lightly and retaining all of the medium and large trees that store most of the carbon.</w:t>
      </w:r>
    </w:p>
    <w:p w:rsidR="00D16280" w:rsidRDefault="00D16280" w:rsidP="00D16280"/>
    <w:p w:rsidR="00D16280" w:rsidRDefault="00D16280" w:rsidP="00D16280">
      <w:r>
        <w:t xml:space="preserve">The </w:t>
      </w:r>
      <w:r w:rsidR="00BD37BD">
        <w:t xml:space="preserve">FS </w:t>
      </w:r>
      <w:r>
        <w:t>claim</w:t>
      </w:r>
      <w:r w:rsidR="00BD37BD">
        <w:t>s</w:t>
      </w:r>
      <w:r>
        <w:t xml:space="preserve"> that density reduction treatments are expected to increase the resiliency of treated stands to the projected effects of climate change. But this small increase in resiliency comes at a tremendous cost. The NEPA analysis needs to disclose and consider the fact that logging will result in greenhouse gas emissions that make climate change worse. Think about that trade-off. Logging might make a small area more resilient to climate change while making climate conditions (and ocean acidification) worse for ecosystems all over the rest of the world. This significant trade-off needs to be carefully evaluated in the NEPA document.</w:t>
      </w:r>
    </w:p>
    <w:p w:rsidR="00D16280" w:rsidRDefault="00D16280" w:rsidP="00D16280"/>
    <w:p w:rsidR="00D16280" w:rsidRDefault="00D16280" w:rsidP="00D16280">
      <w:r>
        <w:t>Even well-intentioned logging also has impacts that make ecosystems less resilient to climate change. For instance, (</w:t>
      </w:r>
      <w:proofErr w:type="spellStart"/>
      <w:r>
        <w:t>i</w:t>
      </w:r>
      <w:proofErr w:type="spellEnd"/>
      <w:r>
        <w:t xml:space="preserve">) roads and soil degradation make watershed less resilient to the expected effects of the amplified hydrologic cycle; (ii) reduction of complex forest structure and dense forest conditions makes certain species populations less resilient to climate change, including species associated with relatively dense forests and species associated with snags and dead wood. These species are already stressed by the cumulative effects of non-federal land management and fragmentation caused by past and ongoing management on federal  lands; (iii) Also, “High overstory density can be resilient” when ladder fuel are absent and there is a gap between surface and canopy fuels. Terrie Jain (2009) Logic Paths for Approaching Restoration: A Scientist’s Perspective,  from Workshop: Restoring Westside Dry Forests - Planning and Analysis for Restoring Westside Cascade Dry Forest Ecosystems: A focus on Systems Dominated by Douglas-fir, Ponderosa Pine, Incense Cedar, and so on. May 28, 2009.  </w:t>
      </w:r>
      <w:hyperlink r:id="rId29" w:history="1">
        <w:r w:rsidRPr="00522DD0">
          <w:rPr>
            <w:rStyle w:val="Hyperlink"/>
          </w:rPr>
          <w:t>http://ecoshare.info/projects/central-cascade- adaptive-management-partnership/workshops/restoring-westside- dry-forests/</w:t>
        </w:r>
      </w:hyperlink>
      <w:r>
        <w:t xml:space="preserve">. New information indicates that El </w:t>
      </w:r>
      <w:proofErr w:type="spellStart"/>
      <w:r>
        <w:t>Ninos</w:t>
      </w:r>
      <w:proofErr w:type="spellEnd"/>
      <w:r>
        <w:t xml:space="preserve"> will likely become stronger even if we are able to limited warming to 1.5 degrees C. </w:t>
      </w:r>
      <w:proofErr w:type="spellStart"/>
      <w:r>
        <w:t>Guojian</w:t>
      </w:r>
      <w:proofErr w:type="spellEnd"/>
      <w:r>
        <w:t xml:space="preserve"> Wang, et al. 2016. Continued increase of extreme El Niño frequency long after 1.5 °C warming stabilization. Nature Climate Change (2017). doi:10.1038/nclimate3351.  </w:t>
      </w:r>
      <w:hyperlink r:id="rId30" w:history="1">
        <w:r w:rsidRPr="000A208A">
          <w:rPr>
            <w:rStyle w:val="Hyperlink"/>
          </w:rPr>
          <w:t>https://www.nature.com/nclimate/journal/vaop/ncurrent/full/nclimate3351.html</w:t>
        </w:r>
      </w:hyperlink>
      <w:r>
        <w:t xml:space="preserve">. A bet-hedging strategy should retain trees of all sizes and stands of various densities. “Removal of most small trees to reduce wildfire risk may compromise the bet-hedging resilience, provided by small trees and diverse tree sizes and species, against a broad array of unpredictable future disturbances.” William L. Baker and Mark A. Williams. 2015. Bet-hedging dry-forest resilience to climate-change threats in the western USA based on historical forest structure. Front. Ecol. </w:t>
      </w:r>
      <w:proofErr w:type="spellStart"/>
      <w:r>
        <w:t>Evol</w:t>
      </w:r>
      <w:proofErr w:type="spellEnd"/>
      <w:r>
        <w:t xml:space="preserve">., 13 January 2015 | </w:t>
      </w:r>
      <w:proofErr w:type="spellStart"/>
      <w:r>
        <w:t>doi</w:t>
      </w:r>
      <w:proofErr w:type="spellEnd"/>
      <w:r>
        <w:t xml:space="preserve">: 10.3389/fevo.2014.00088. </w:t>
      </w:r>
      <w:hyperlink r:id="rId31" w:history="1">
        <w:r w:rsidRPr="00522DD0">
          <w:rPr>
            <w:rStyle w:val="Hyperlink"/>
          </w:rPr>
          <w:t>http://journal.frontiersin.org/Journal/10.3389/fevo.2014.00088/full</w:t>
        </w:r>
      </w:hyperlink>
      <w:r>
        <w:t>.</w:t>
      </w:r>
    </w:p>
    <w:p w:rsidR="00D16280" w:rsidRDefault="00D16280" w:rsidP="00D16280"/>
    <w:p w:rsidR="00D16280" w:rsidRDefault="00D16280" w:rsidP="00D16280">
      <w:r>
        <w:t>Forests are already highly adaptable to climate change. The temperate forest environment is and has always been highly dynamic. Forest species evolved over long periods that include significant changes in climate. The large and complex genomes of forest species may include the memory of which genes to turn on or off to increase survival during climate stress. Forest disturbance can take many forms and almost always creates new opportunities for better-adapted species to establish and thrive. Mortality from any cause thins the forest, reducing total demand for light, water, and nutrients, and increasing availability of those resources to surviving trees. Several mechanisms can trigger forest vegetation to adjust stomatal opening and use water more efficiently, e.g., due to CO2 enrichment of the atmosphere (</w:t>
      </w:r>
      <w:r w:rsidRPr="00037F37">
        <w:t>Law, B.E.</w:t>
      </w:r>
      <w:r>
        <w:t>,</w:t>
      </w:r>
      <w:r w:rsidRPr="00037F37">
        <w:t xml:space="preserve"> Waring</w:t>
      </w:r>
      <w:r>
        <w:t xml:space="preserve">, </w:t>
      </w:r>
      <w:r w:rsidRPr="00037F37">
        <w:t xml:space="preserve">R.H. </w:t>
      </w:r>
      <w:r>
        <w:t>2015.</w:t>
      </w:r>
      <w:r w:rsidRPr="00037F37">
        <w:t xml:space="preserve"> Review and synthesis</w:t>
      </w:r>
      <w:r>
        <w:t xml:space="preserve"> - </w:t>
      </w:r>
      <w:r w:rsidRPr="00037F37">
        <w:t>Carbon implications of current and future effects of drought, fire</w:t>
      </w:r>
      <w:r>
        <w:t xml:space="preserve"> </w:t>
      </w:r>
      <w:r w:rsidRPr="00037F37">
        <w:t>and management on Pacific Northwest forests</w:t>
      </w:r>
      <w:r>
        <w:t xml:space="preserve">. </w:t>
      </w:r>
      <w:r w:rsidRPr="00037F37">
        <w:t>Forest Ecology and Management 355 (2015) 4–14</w:t>
      </w:r>
      <w:r>
        <w:t xml:space="preserve">. </w:t>
      </w:r>
      <w:hyperlink r:id="rId32" w:history="1">
        <w:r>
          <w:rPr>
            <w:rStyle w:val="Hyperlink"/>
          </w:rPr>
          <w:t>http://people.forestry.oregonstate.edu/richard-waring/sites/people.forestry.oregonstate.edu.richard-waring/files/publications/Law%20and%20Waring%202015.pdf</w:t>
        </w:r>
      </w:hyperlink>
      <w:r>
        <w:t xml:space="preserve">), and due to chemical signaling of drought conditions. </w:t>
      </w:r>
      <w:r w:rsidRPr="00785710">
        <w:t xml:space="preserve">Xu, B., Long, Y., Feng, X. et al. GABA signaling modulates stomatal opening to enhance plant water use efficiency and drought resilience. Nat </w:t>
      </w:r>
      <w:proofErr w:type="spellStart"/>
      <w:r w:rsidRPr="00785710">
        <w:t>Commun</w:t>
      </w:r>
      <w:proofErr w:type="spellEnd"/>
      <w:r w:rsidRPr="00785710">
        <w:t xml:space="preserve"> 12, 1952 (2021). </w:t>
      </w:r>
      <w:hyperlink r:id="rId33" w:history="1">
        <w:r w:rsidRPr="002D729A">
          <w:rPr>
            <w:rStyle w:val="Hyperlink"/>
          </w:rPr>
          <w:t>https://doi.org/10.1038/s41467-021-21694-3</w:t>
        </w:r>
      </w:hyperlink>
      <w:r>
        <w:t xml:space="preserve">; </w:t>
      </w:r>
      <w:hyperlink r:id="rId34" w:history="1">
        <w:r w:rsidRPr="002D729A">
          <w:rPr>
            <w:rStyle w:val="Hyperlink"/>
          </w:rPr>
          <w:t>https://www.nature.com/articles/s41467-021-21694-3.pdf</w:t>
        </w:r>
      </w:hyperlink>
      <w:r>
        <w:t>. For all these reasons, it is wise to focus on climate mitigation by conserving forests and allowing them to store more carbon. Climate adaptation will take care of itself. Forests are self-organizing systems that adapt to changing conditions without the need for logging.</w:t>
      </w:r>
    </w:p>
    <w:p w:rsidR="00D16280" w:rsidRDefault="00D16280" w:rsidP="00D16280"/>
    <w:p w:rsidR="00D16280" w:rsidRDefault="00D16280" w:rsidP="00D16280">
      <w:r>
        <w:t xml:space="preserve">Also, wildfire is mostly climate driven, not fuel driven, and the actual effects of fuel reduction on the spatial extent of wildfires is highly variable and fairly modest. “Analysis of simulation results from the 14 wildfires indicates that fuels treatments reduced the average size of any given wildfire by an estimated 7.2%, with amount of change correlated with the proportion of the landscape treated (Spearman’s correlation </w:t>
      </w:r>
      <w:r>
        <w:rPr>
          <w:i/>
        </w:rPr>
        <w:t>p</w:t>
      </w:r>
      <w:r>
        <w:t xml:space="preserve">=0.692, n=14; P=0.008).” </w:t>
      </w:r>
      <w:r>
        <w:rPr>
          <w:color w:val="000000"/>
        </w:rPr>
        <w:t xml:space="preserve">M. A. Cochrane, C. J. Moran, M. C. </w:t>
      </w:r>
      <w:proofErr w:type="spellStart"/>
      <w:r>
        <w:rPr>
          <w:color w:val="000000"/>
        </w:rPr>
        <w:t>Wimberly</w:t>
      </w:r>
      <w:proofErr w:type="spellEnd"/>
      <w:r>
        <w:rPr>
          <w:color w:val="000000"/>
        </w:rPr>
        <w:t xml:space="preserve">, A. D. Baer, M. A. Finney, K. L. </w:t>
      </w:r>
      <w:proofErr w:type="spellStart"/>
      <w:r>
        <w:rPr>
          <w:color w:val="000000"/>
        </w:rPr>
        <w:t>Beckendorf</w:t>
      </w:r>
      <w:proofErr w:type="spellEnd"/>
      <w:r>
        <w:rPr>
          <w:color w:val="000000"/>
        </w:rPr>
        <w:t xml:space="preserve">, J. </w:t>
      </w:r>
      <w:proofErr w:type="spellStart"/>
      <w:r>
        <w:rPr>
          <w:color w:val="000000"/>
        </w:rPr>
        <w:t>Eidenshink</w:t>
      </w:r>
      <w:proofErr w:type="spellEnd"/>
      <w:r>
        <w:rPr>
          <w:color w:val="000000"/>
        </w:rPr>
        <w:t xml:space="preserve">, and Z. Zhu. 2012. Estimation of wildfire size and risk changes due to fuels treatments. International Journal of Wildland  Fire.  </w:t>
      </w:r>
      <w:hyperlink r:id="rId35" w:history="1">
        <w:r w:rsidRPr="00CE3802">
          <w:rPr>
            <w:rStyle w:val="Hyperlink"/>
          </w:rPr>
          <w:t>http://dx.doi.org/10.1071/WF11079</w:t>
        </w:r>
      </w:hyperlink>
      <w:r>
        <w:rPr>
          <w:color w:val="000000"/>
        </w:rPr>
        <w:t>. </w:t>
      </w:r>
      <w:hyperlink r:id="rId36" w:history="1">
        <w:r>
          <w:rPr>
            <w:rStyle w:val="Hyperlink"/>
          </w:rPr>
          <w:t>http://www.publish.csiro.au/?act=view_file&amp;file_id=</w:t>
        </w:r>
        <w:r>
          <w:rPr>
            <w:rStyle w:val="Hyperlink"/>
          </w:rPr>
          <w:lastRenderedPageBreak/>
          <w:t>WF11079.pdf</w:t>
        </w:r>
      </w:hyperlink>
      <w:r>
        <w:rPr>
          <w:rFonts w:ascii="Arial" w:hAnsi="Arial" w:cs="Arial"/>
          <w:color w:val="000000"/>
        </w:rPr>
        <w:t>.</w:t>
      </w:r>
      <w:r>
        <w:rPr>
          <w:color w:val="000000"/>
        </w:rPr>
        <w:t xml:space="preserve"> </w:t>
      </w:r>
      <w:r>
        <w:t>This raises a serious question whether the modest increase in resilience really justifies the adverse effects of landscape fuel treatments on climate, wildlife, soil, water, etc.</w:t>
      </w:r>
    </w:p>
    <w:p w:rsidR="00D16280" w:rsidRDefault="00D16280" w:rsidP="00D16280"/>
    <w:p w:rsidR="00D16280" w:rsidRDefault="00D16280" w:rsidP="00D16280">
      <w:r>
        <w:t>When all these trade-offs are considered, we feel that climate change mitigation should receive emphasis over climate adaptation on federal land management (especially when adaptation efforts come with significant trade-offs). When climate change mitigation and adaptation may be in conflict, the agency needs to focus on reducing GHG emissions (or maintaining carbon stores). These mitigation actions are more important because (</w:t>
      </w:r>
      <w:proofErr w:type="spellStart"/>
      <w:r>
        <w:t>i</w:t>
      </w:r>
      <w:proofErr w:type="spellEnd"/>
      <w:r>
        <w:t>) mitigation is shown to be more challenging (institutionally) and it is perennially under-achieved, (ii) mitigation has global benefits, and (iii) mitigation ultimately reduces the need for adaptation. An emphasis on mitigation is in accord with international law, e.g. the European Convention on Human Rights:</w:t>
      </w:r>
    </w:p>
    <w:p w:rsidR="00D16280" w:rsidRDefault="00D16280" w:rsidP="00D16280">
      <w:pPr>
        <w:ind w:left="720"/>
      </w:pPr>
      <w:r w:rsidRPr="00416D8E">
        <w:t xml:space="preserve">The court </w:t>
      </w:r>
      <w:proofErr w:type="spellStart"/>
      <w:r w:rsidRPr="00416D8E">
        <w:t>emphasises</w:t>
      </w:r>
      <w:proofErr w:type="spellEnd"/>
      <w:r w:rsidRPr="00416D8E">
        <w:t xml:space="preserve"> that the [State’s duty of care] first and foremost should concern mitigation measures, as adaptation measures will only allow the State to protect its citizens from the consequences of climate change to a limited level. If the current greenhouse gas emissions continue in the same manner, global warming will take such a form that the costs of adaptation will become disproportionately high. Adaptation measures will therefore not be sufficient to protect citizens against the aforementioned consequences in the long term. The only effective remedy against hazardous climate change is to reduce the emission of greenhouse gases.</w:t>
      </w:r>
    </w:p>
    <w:p w:rsidR="00D16280" w:rsidRDefault="00D16280" w:rsidP="00D16280">
      <w:pPr>
        <w:tabs>
          <w:tab w:val="left" w:pos="2204"/>
        </w:tabs>
      </w:pPr>
      <w:proofErr w:type="spellStart"/>
      <w:r w:rsidRPr="00416D8E">
        <w:rPr>
          <w:i/>
        </w:rPr>
        <w:t>Urgenda</w:t>
      </w:r>
      <w:proofErr w:type="spellEnd"/>
      <w:r w:rsidRPr="00416D8E">
        <w:rPr>
          <w:i/>
        </w:rPr>
        <w:t xml:space="preserve"> Foundation v. The State of the Netherlands</w:t>
      </w:r>
      <w:r>
        <w:t xml:space="preserve">. Hague Court of Appeal. October 9, 2018. </w:t>
      </w:r>
      <w:hyperlink r:id="rId37" w:history="1">
        <w:r w:rsidRPr="00A26D67">
          <w:rPr>
            <w:rStyle w:val="Hyperlink"/>
          </w:rPr>
          <w:t>https://uitspraken.rechtspraak.nl/inziendocument?id=ECLI:NL:RBDHA:2015:7196</w:t>
        </w:r>
      </w:hyperlink>
      <w:r>
        <w:t xml:space="preserve"> </w:t>
      </w:r>
    </w:p>
    <w:p w:rsidR="00D16280" w:rsidRDefault="00D16280" w:rsidP="00D16280"/>
    <w:p w:rsidR="00D16280" w:rsidRDefault="00D16280" w:rsidP="00D16280">
      <w:r w:rsidRPr="00D54E3A">
        <w:t>“</w:t>
      </w:r>
      <w:r w:rsidRPr="00D54E3A">
        <w:rPr>
          <w:color w:val="000000"/>
          <w:shd w:val="clear" w:color="auto" w:fill="FFFFFF"/>
        </w:rPr>
        <w:t>According to a recently published analysis, increasing carbon storage could lead to more favorable conditions for northern spotted owls, pileated woodpeckers, olive-sided flycatchers, Pacific marten and red tree voles. These species may benefit from management policies that favor less intensive logging and longer periods between tree harvests.”</w:t>
      </w:r>
      <w:r>
        <w:rPr>
          <w:color w:val="000000"/>
          <w:shd w:val="clear" w:color="auto" w:fill="FFFFFF"/>
        </w:rPr>
        <w:t xml:space="preserve"> Nick </w:t>
      </w:r>
      <w:proofErr w:type="spellStart"/>
      <w:r>
        <w:rPr>
          <w:color w:val="000000"/>
          <w:shd w:val="clear" w:color="auto" w:fill="FFFFFF"/>
        </w:rPr>
        <w:t>Houtman</w:t>
      </w:r>
      <w:proofErr w:type="spellEnd"/>
      <w:r w:rsidRPr="00D54E3A">
        <w:rPr>
          <w:color w:val="000000"/>
          <w:shd w:val="clear" w:color="auto" w:fill="FFFFFF"/>
        </w:rPr>
        <w:t xml:space="preserve"> </w:t>
      </w:r>
      <w:r>
        <w:rPr>
          <w:color w:val="000000"/>
          <w:shd w:val="clear" w:color="auto" w:fill="FFFFFF"/>
        </w:rPr>
        <w:t xml:space="preserve">2016. </w:t>
      </w:r>
      <w:r w:rsidRPr="00D54E3A">
        <w:rPr>
          <w:color w:val="000000"/>
          <w:shd w:val="clear" w:color="auto" w:fill="FFFFFF"/>
        </w:rPr>
        <w:t>Storing more carbon in western Cascades forests could benefit some wildlife species, not others</w:t>
      </w:r>
      <w:r>
        <w:rPr>
          <w:color w:val="000000"/>
          <w:shd w:val="clear" w:color="auto" w:fill="FFFFFF"/>
        </w:rPr>
        <w:t xml:space="preserve">. Phys.org News. </w:t>
      </w:r>
      <w:r w:rsidRPr="00D54E3A">
        <w:rPr>
          <w:color w:val="000000"/>
          <w:shd w:val="clear" w:color="auto" w:fill="FFFFFF"/>
        </w:rPr>
        <w:t>No</w:t>
      </w:r>
      <w:r>
        <w:rPr>
          <w:color w:val="000000"/>
          <w:shd w:val="clear" w:color="auto" w:fill="FFFFFF"/>
        </w:rPr>
        <w:t xml:space="preserve">vember 17, 2016. </w:t>
      </w:r>
      <w:hyperlink r:id="rId38" w:history="1">
        <w:r w:rsidRPr="00D54E3A">
          <w:rPr>
            <w:rStyle w:val="Hyperlink"/>
          </w:rPr>
          <w:t>http://phys.org/news/2016-11-carbon-western-cascades-forests-benefit.html</w:t>
        </w:r>
      </w:hyperlink>
      <w:r>
        <w:t xml:space="preserve">, </w:t>
      </w:r>
      <w:hyperlink r:id="rId39" w:history="1">
        <w:r w:rsidRPr="008A6239">
          <w:rPr>
            <w:rStyle w:val="Hyperlink"/>
          </w:rPr>
          <w:t>http://onlinelibrary.wiley.com/doi/10.1002/eap.1358/abstract</w:t>
        </w:r>
      </w:hyperlink>
      <w:r>
        <w:t xml:space="preserve"> </w:t>
      </w:r>
    </w:p>
    <w:p w:rsidR="00D16280" w:rsidRDefault="00D16280" w:rsidP="00D16280"/>
    <w:p w:rsidR="00D16280" w:rsidRDefault="00D16280" w:rsidP="00D16280">
      <w:proofErr w:type="spellStart"/>
      <w:r>
        <w:t>Stenzel</w:t>
      </w:r>
      <w:proofErr w:type="spellEnd"/>
      <w:r>
        <w:t xml:space="preserve"> et al (2021) highlighted the complex nature of the trade-offs between climate adaptation (density reduction/drought tolerance) and climate mitigation (maintaining carbon storage/reducing carbon emissions) in the context of thinning. </w:t>
      </w:r>
    </w:p>
    <w:p w:rsidR="00D16280" w:rsidRPr="00D54E3A" w:rsidRDefault="00D16280" w:rsidP="00D16280">
      <w:pPr>
        <w:ind w:left="576"/>
        <w:rPr>
          <w:color w:val="000000"/>
          <w:shd w:val="clear" w:color="auto" w:fill="FFFFFF"/>
        </w:rPr>
      </w:pPr>
      <w:r w:rsidRPr="00B9688A">
        <w:rPr>
          <w:color w:val="000000"/>
          <w:shd w:val="clear" w:color="auto" w:fill="FFFFFF"/>
        </w:rPr>
        <w:t>Carbon balance tradeoffs between reduced biomass density and increased forest resilience to disturbance</w:t>
      </w:r>
      <w:r>
        <w:rPr>
          <w:color w:val="000000"/>
          <w:shd w:val="clear" w:color="auto" w:fill="FFFFFF"/>
        </w:rPr>
        <w:t xml:space="preserve"> </w:t>
      </w:r>
      <w:r w:rsidRPr="00B9688A">
        <w:rPr>
          <w:color w:val="000000"/>
          <w:shd w:val="clear" w:color="auto" w:fill="FFFFFF"/>
        </w:rPr>
        <w:t>are uncertain in large part due to the uncertainty of future natural disturbances occurring in treated areas.</w:t>
      </w:r>
      <w:r>
        <w:rPr>
          <w:color w:val="000000"/>
          <w:shd w:val="clear" w:color="auto" w:fill="FFFFFF"/>
        </w:rPr>
        <w:t xml:space="preserve">  </w:t>
      </w:r>
      <w:r w:rsidRPr="00B9688A">
        <w:rPr>
          <w:color w:val="000000"/>
          <w:shd w:val="clear" w:color="auto" w:fill="FFFFFF"/>
        </w:rPr>
        <w:t>Our simulated mass mortality scenarios indicated that 2050 thinning emissions approximately equaled the</w:t>
      </w:r>
      <w:r>
        <w:rPr>
          <w:color w:val="000000"/>
          <w:shd w:val="clear" w:color="auto" w:fill="FFFFFF"/>
        </w:rPr>
        <w:t xml:space="preserve"> </w:t>
      </w:r>
      <w:r w:rsidRPr="00B9688A">
        <w:rPr>
          <w:color w:val="000000"/>
          <w:shd w:val="clear" w:color="auto" w:fill="FFFFFF"/>
        </w:rPr>
        <w:t>2050 emissions from stand mortality events greater than 75% and occurring after 2035. In these experiments,</w:t>
      </w:r>
      <w:r>
        <w:rPr>
          <w:color w:val="000000"/>
          <w:shd w:val="clear" w:color="auto" w:fill="FFFFFF"/>
        </w:rPr>
        <w:t xml:space="preserve"> </w:t>
      </w:r>
      <w:r w:rsidRPr="00B9688A">
        <w:rPr>
          <w:color w:val="000000"/>
          <w:shd w:val="clear" w:color="auto" w:fill="FFFFFF"/>
        </w:rPr>
        <w:t>the gradual decomposition of large pools of killed biomass remaining on site highlighted that the</w:t>
      </w:r>
      <w:r>
        <w:rPr>
          <w:color w:val="000000"/>
          <w:shd w:val="clear" w:color="auto" w:fill="FFFFFF"/>
        </w:rPr>
        <w:t xml:space="preserve"> </w:t>
      </w:r>
      <w:r w:rsidRPr="00B9688A">
        <w:rPr>
          <w:color w:val="000000"/>
          <w:shd w:val="clear" w:color="auto" w:fill="FFFFFF"/>
        </w:rPr>
        <w:t>emissions consequences of near-term natural disturbances will in part be realized beyond current GHG</w:t>
      </w:r>
      <w:r>
        <w:rPr>
          <w:color w:val="000000"/>
          <w:shd w:val="clear" w:color="auto" w:fill="FFFFFF"/>
        </w:rPr>
        <w:t xml:space="preserve"> </w:t>
      </w:r>
      <w:r w:rsidRPr="00B9688A">
        <w:rPr>
          <w:color w:val="000000"/>
          <w:shd w:val="clear" w:color="auto" w:fill="FFFFFF"/>
        </w:rPr>
        <w:t>reduction timelines (e.g., 2035 or 2050, IPCC, 2018). Thus, when managing for forest carbon storage, the</w:t>
      </w:r>
      <w:r>
        <w:rPr>
          <w:color w:val="000000"/>
          <w:shd w:val="clear" w:color="auto" w:fill="FFFFFF"/>
        </w:rPr>
        <w:t xml:space="preserve"> </w:t>
      </w:r>
      <w:r w:rsidRPr="00B9688A">
        <w:rPr>
          <w:color w:val="000000"/>
          <w:shd w:val="clear" w:color="auto" w:fill="FFFFFF"/>
        </w:rPr>
        <w:t>timing and magnitude of potential carbon gains or losses, which may be offset in time from disturbance</w:t>
      </w:r>
      <w:r>
        <w:rPr>
          <w:color w:val="000000"/>
          <w:shd w:val="clear" w:color="auto" w:fill="FFFFFF"/>
        </w:rPr>
        <w:t xml:space="preserve"> </w:t>
      </w:r>
      <w:r w:rsidRPr="00B9688A">
        <w:rPr>
          <w:color w:val="000000"/>
          <w:shd w:val="clear" w:color="auto" w:fill="FFFFFF"/>
        </w:rPr>
        <w:t>events, must be considered. In our simulations, the near-parity in carbon emissions from thinning and high</w:t>
      </w:r>
      <w:r>
        <w:rPr>
          <w:color w:val="000000"/>
          <w:shd w:val="clear" w:color="auto" w:fill="FFFFFF"/>
        </w:rPr>
        <w:t xml:space="preserve"> </w:t>
      </w:r>
      <w:r w:rsidRPr="00B9688A">
        <w:rPr>
          <w:color w:val="000000"/>
          <w:shd w:val="clear" w:color="auto" w:fill="FFFFFF"/>
        </w:rPr>
        <w:t>natural disturbance late in the simulation period occurred at the stand level. However, at the landscape</w:t>
      </w:r>
      <w:r>
        <w:rPr>
          <w:color w:val="000000"/>
          <w:shd w:val="clear" w:color="auto" w:fill="FFFFFF"/>
        </w:rPr>
        <w:t xml:space="preserve"> </w:t>
      </w:r>
      <w:r w:rsidRPr="00B9688A">
        <w:rPr>
          <w:color w:val="000000"/>
          <w:shd w:val="clear" w:color="auto" w:fill="FFFFFF"/>
        </w:rPr>
        <w:t xml:space="preserve">level, the encounter rates between treatments and disturbance are typically low (J. L. Campbell et </w:t>
      </w:r>
      <w:r w:rsidRPr="00B9688A">
        <w:rPr>
          <w:color w:val="000000"/>
          <w:shd w:val="clear" w:color="auto" w:fill="FFFFFF"/>
        </w:rPr>
        <w:lastRenderedPageBreak/>
        <w:t>al., 2012).</w:t>
      </w:r>
      <w:r>
        <w:rPr>
          <w:color w:val="000000"/>
          <w:shd w:val="clear" w:color="auto" w:fill="FFFFFF"/>
        </w:rPr>
        <w:t xml:space="preserve"> </w:t>
      </w:r>
      <w:r w:rsidRPr="00B9688A">
        <w:rPr>
          <w:color w:val="000000"/>
          <w:shd w:val="clear" w:color="auto" w:fill="FFFFFF"/>
        </w:rPr>
        <w:t>Greater areas of forest must therefore be treated than will encounter a disturbance, in turn increasing any</w:t>
      </w:r>
      <w:r>
        <w:rPr>
          <w:color w:val="000000"/>
          <w:shd w:val="clear" w:color="auto" w:fill="FFFFFF"/>
        </w:rPr>
        <w:t xml:space="preserve"> </w:t>
      </w:r>
      <w:r w:rsidRPr="00B9688A">
        <w:rPr>
          <w:color w:val="000000"/>
          <w:shd w:val="clear" w:color="auto" w:fill="FFFFFF"/>
        </w:rPr>
        <w:t xml:space="preserve">carbon cost to benefit ratio </w:t>
      </w:r>
      <w:r>
        <w:rPr>
          <w:color w:val="000000"/>
          <w:shd w:val="clear" w:color="auto" w:fill="FFFFFF"/>
        </w:rPr>
        <w:t>e</w:t>
      </w:r>
      <w:r w:rsidRPr="00B9688A">
        <w:rPr>
          <w:color w:val="000000"/>
          <w:shd w:val="clear" w:color="auto" w:fill="FFFFFF"/>
        </w:rPr>
        <w:t>stimated at the stand scale. Due to the infeasibility of landscape level treatment</w:t>
      </w:r>
      <w:r>
        <w:rPr>
          <w:color w:val="000000"/>
          <w:shd w:val="clear" w:color="auto" w:fill="FFFFFF"/>
        </w:rPr>
        <w:t xml:space="preserve"> </w:t>
      </w:r>
      <w:r w:rsidRPr="00B9688A">
        <w:rPr>
          <w:color w:val="000000"/>
          <w:shd w:val="clear" w:color="auto" w:fill="FFFFFF"/>
        </w:rPr>
        <w:t>experiments, landscape level predictions of disturbance impacts are generally simulated with earth systems</w:t>
      </w:r>
      <w:r>
        <w:rPr>
          <w:color w:val="000000"/>
          <w:shd w:val="clear" w:color="auto" w:fill="FFFFFF"/>
        </w:rPr>
        <w:t xml:space="preserve"> </w:t>
      </w:r>
      <w:r w:rsidRPr="00B9688A">
        <w:rPr>
          <w:color w:val="000000"/>
          <w:shd w:val="clear" w:color="auto" w:fill="FFFFFF"/>
        </w:rPr>
        <w:t>models (</w:t>
      </w:r>
      <w:proofErr w:type="spellStart"/>
      <w:r w:rsidRPr="00B9688A">
        <w:rPr>
          <w:color w:val="000000"/>
          <w:shd w:val="clear" w:color="auto" w:fill="FFFFFF"/>
        </w:rPr>
        <w:t>Buotte</w:t>
      </w:r>
      <w:proofErr w:type="spellEnd"/>
      <w:r w:rsidRPr="00B9688A">
        <w:rPr>
          <w:color w:val="000000"/>
          <w:shd w:val="clear" w:color="auto" w:fill="FFFFFF"/>
        </w:rPr>
        <w:t>, Levis, et al., 2020), which remain limited in their ability to represent stochastic disturbance</w:t>
      </w:r>
      <w:r>
        <w:rPr>
          <w:color w:val="000000"/>
          <w:shd w:val="clear" w:color="auto" w:fill="FFFFFF"/>
        </w:rPr>
        <w:t xml:space="preserve"> </w:t>
      </w:r>
      <w:r w:rsidRPr="00B9688A">
        <w:rPr>
          <w:color w:val="000000"/>
          <w:shd w:val="clear" w:color="auto" w:fill="FFFFFF"/>
        </w:rPr>
        <w:t>such as wildfire</w:t>
      </w:r>
    </w:p>
    <w:p w:rsidR="00EB6DB5" w:rsidRDefault="00D16280" w:rsidP="00D16280">
      <w:proofErr w:type="spellStart"/>
      <w:r>
        <w:t>Stenzel</w:t>
      </w:r>
      <w:proofErr w:type="spellEnd"/>
      <w:r>
        <w:t xml:space="preserve">, J. E., Berardi, D. B., Walsh, E. S., &amp; </w:t>
      </w:r>
      <w:proofErr w:type="spellStart"/>
      <w:r>
        <w:t>Hudiburg</w:t>
      </w:r>
      <w:proofErr w:type="spellEnd"/>
      <w:r>
        <w:t xml:space="preserve">, T. W. (2021). Restoration thinning in a drought-prone Idaho forest creates a persistent carbon deficit. Journal of Geophysical Research: </w:t>
      </w:r>
      <w:proofErr w:type="spellStart"/>
      <w:r>
        <w:t>Biogeosciences</w:t>
      </w:r>
      <w:proofErr w:type="spellEnd"/>
      <w:r>
        <w:t xml:space="preserve">, 126, e2020JG005815. </w:t>
      </w:r>
      <w:hyperlink r:id="rId40" w:history="1">
        <w:r w:rsidRPr="003F02BF">
          <w:rPr>
            <w:rStyle w:val="Hyperlink"/>
          </w:rPr>
          <w:t>https://doi.org/10.1029/2020JG005815</w:t>
        </w:r>
      </w:hyperlink>
      <w:r>
        <w:t>. The agency needs to take a hard look at these trade-offs and develop alternatives that harmonize divergent climate goals in light of the evidence for (and against) benefits on both sides of the adaptation/mitigation ledger.</w:t>
      </w:r>
    </w:p>
    <w:p w:rsidR="00606B83" w:rsidRDefault="00606B83" w:rsidP="00D16280"/>
    <w:p w:rsidR="00606B83" w:rsidRDefault="00606B83" w:rsidP="00606B83">
      <w:r>
        <w:t xml:space="preserve">The social, economic, and environmental costs of unmitigated climate change are astronomical. With a recognition that nature-based carbon storage can help mitigate those costs, it is becoming clear that conservation of nature, especially forests, creates far more value than natural resource extraction. </w:t>
      </w:r>
      <w:r w:rsidRPr="00E41390">
        <w:t xml:space="preserve">Bradbury, R.B., </w:t>
      </w:r>
      <w:proofErr w:type="spellStart"/>
      <w:r w:rsidRPr="00E41390">
        <w:t>Butchart</w:t>
      </w:r>
      <w:proofErr w:type="spellEnd"/>
      <w:r w:rsidRPr="00E41390">
        <w:t xml:space="preserve">, S.H.M., Fisher, B. et al. The economic consequences of conserving or restoring sites for nature. Nat Sustain (2021). </w:t>
      </w:r>
      <w:hyperlink r:id="rId41" w:history="1">
        <w:r w:rsidRPr="00A80C7F">
          <w:rPr>
            <w:rStyle w:val="Hyperlink"/>
          </w:rPr>
          <w:t>https://doi.org/10.1038/s41893-021-00692-9</w:t>
        </w:r>
      </w:hyperlink>
      <w:r>
        <w:t xml:space="preserve">. </w:t>
      </w:r>
      <w:hyperlink r:id="rId42" w:history="1">
        <w:r w:rsidRPr="007154D1">
          <w:rPr>
            <w:rStyle w:val="Hyperlink"/>
          </w:rPr>
          <w:t>https://rdcu.be/cgpdK</w:t>
        </w:r>
      </w:hyperlink>
      <w:r>
        <w:t xml:space="preserve"> (“At $31/tonne [of carbon] the nature-focused state NPV was greater than the alternative state NPV at 100% of forest sites. … [W]</w:t>
      </w:r>
      <w:proofErr w:type="spellStart"/>
      <w:r w:rsidRPr="00547CB8">
        <w:t>hile</w:t>
      </w:r>
      <w:proofErr w:type="spellEnd"/>
      <w:r w:rsidRPr="00547CB8">
        <w:t xml:space="preserve"> these patterns hold for all goods combined and for non-excludable goods, the alternative state was often more valuable when only excludable goods were considered. Our findings thus provide a strong economic justification for incentives to encourage private landowners towards decisions that favour nature-focused land management to enhance overall social value.</w:t>
      </w:r>
      <w:r>
        <w:t>”).</w:t>
      </w:r>
    </w:p>
    <w:p w:rsidR="00606B83" w:rsidRDefault="00606B83" w:rsidP="00606B83"/>
    <w:p w:rsidR="00606B83" w:rsidRDefault="00606B83" w:rsidP="00606B83">
      <w:r>
        <w:t xml:space="preserve">It is important to quantify the total carbon emissions from logging then use proxies such as the social cost of carbon dioxide emissions to help explain the effects of those emissions. Another powerful proxy is provided by </w:t>
      </w:r>
      <w:proofErr w:type="spellStart"/>
      <w:r>
        <w:t>Bressler</w:t>
      </w:r>
      <w:proofErr w:type="spellEnd"/>
      <w:r>
        <w:t xml:space="preserve"> (2021) which shows that 4,434 tonnes of CO2e emissions is estimated to result in 1 premature human death. </w:t>
      </w:r>
      <w:proofErr w:type="spellStart"/>
      <w:r>
        <w:t>Bressler</w:t>
      </w:r>
      <w:proofErr w:type="spellEnd"/>
      <w:r>
        <w:t xml:space="preserve">, R.D. The mortality cost of carbon. Nat </w:t>
      </w:r>
      <w:proofErr w:type="spellStart"/>
      <w:r>
        <w:t>Commun</w:t>
      </w:r>
      <w:proofErr w:type="spellEnd"/>
      <w:r>
        <w:t xml:space="preserve"> 12, 4467 (2021). https://doi.org/10.1038/s41467-021-24487-w. </w:t>
      </w:r>
      <w:hyperlink r:id="rId43" w:history="1">
        <w:r w:rsidRPr="00231837">
          <w:rPr>
            <w:rStyle w:val="Hyperlink"/>
          </w:rPr>
          <w:t>https://www.nature.com/articles/s41467-021-24487-w.pdf</w:t>
        </w:r>
      </w:hyperlink>
      <w:r>
        <w:t xml:space="preserve">. The agency should calculate and disclose how many people they are killing with their logging plans. </w:t>
      </w:r>
    </w:p>
    <w:p w:rsidR="00606B83" w:rsidRDefault="00606B83" w:rsidP="00606B83"/>
    <w:p w:rsidR="00606B83" w:rsidRDefault="00606B83" w:rsidP="00606B83">
      <w:r>
        <w:t xml:space="preserve">The Biden Administration says it is </w:t>
      </w:r>
      <w:r w:rsidRPr="007C3D46">
        <w:rPr>
          <w:i/>
        </w:rPr>
        <w:t>essential</w:t>
      </w:r>
      <w:r>
        <w:t xml:space="preserve"> that federal decision-making consider the full cost of agency actions that may harm the climate: </w:t>
      </w:r>
    </w:p>
    <w:p w:rsidR="00606B83" w:rsidRDefault="00606B83" w:rsidP="00606B83">
      <w:pPr>
        <w:ind w:left="720"/>
      </w:pPr>
      <w:r w:rsidRPr="002E68F1">
        <w:rPr>
          <w:b/>
        </w:rPr>
        <w:t>Sec. 5.  Accounting for the Benefits of Reducing Climate Pollution</w:t>
      </w:r>
      <w:r w:rsidRPr="002E68F1">
        <w:t xml:space="preserve">.  (a)  It is essential that agencies capture the full costs of greenhouse gas emissions as accurately as possible, including by taking global damages into account.  Doing so facilitates sound decision-making, recognizes the breadth of climate impacts, and supports the international leadership of the United States on climate issues.  The “social cost of carbon” (SCC), “social cost of nitrous oxide” (SCN), and “social cost of methane” (SCM) are estimates of the monetized damages associated with incremental increases in greenhouse gas emissions.  They are intended to include changes in net agricultural productivity, human health, property damage from increased flood risk, and the value of ecosystem services.  An accurate social cost is essential for agencies to accurately determine the social </w:t>
      </w:r>
      <w:r w:rsidRPr="002E68F1">
        <w:lastRenderedPageBreak/>
        <w:t>benefits of reducing greenhouse gas emissions when conducting cost-benefit analyses of regulatory and other actions.</w:t>
      </w:r>
      <w:r>
        <w:t xml:space="preserve"> … </w:t>
      </w:r>
    </w:p>
    <w:p w:rsidR="00606B83" w:rsidRDefault="00606B83" w:rsidP="00606B83">
      <w:pPr>
        <w:ind w:left="720"/>
      </w:pPr>
      <w:r w:rsidRPr="002E68F1">
        <w:t>(b)  There is hereby established an Interagency Working Group on the Social Cost of Greenhouse Gases</w:t>
      </w:r>
      <w:r>
        <w:t xml:space="preserve"> … </w:t>
      </w:r>
    </w:p>
    <w:p w:rsidR="00606B83" w:rsidRDefault="00606B83" w:rsidP="00606B83">
      <w:pPr>
        <w:ind w:left="720"/>
      </w:pPr>
      <w:r>
        <w:t xml:space="preserve">(ii)   Mission and Work.  The Working Group shall, as appropriate and consistent with applicable law: </w:t>
      </w:r>
    </w:p>
    <w:p w:rsidR="00606B83" w:rsidRDefault="00606B83" w:rsidP="00606B83">
      <w:pPr>
        <w:ind w:left="720"/>
      </w:pPr>
      <w:r>
        <w:t xml:space="preserve">(A)  publish an interim SCC, SCN, and SCM within 30 days of the date of this order, which agencies shall use when monetizing the value of changes in greenhouse gas emissions resulting from regulations and other relevant agency actions until final values are published; </w:t>
      </w:r>
    </w:p>
    <w:p w:rsidR="00606B83" w:rsidRDefault="00606B83" w:rsidP="00606B83">
      <w:pPr>
        <w:ind w:left="720"/>
      </w:pPr>
      <w:r>
        <w:t>(B)  publish a final SCC, SCN, and SCM by no later than January 2022;</w:t>
      </w:r>
    </w:p>
    <w:p w:rsidR="00606B83" w:rsidRDefault="00606B83" w:rsidP="00606B83">
      <w:r w:rsidRPr="007C3D46">
        <w:t xml:space="preserve">Biden Executive Order on Protecting Public Health and the Environment and Restoring Science to Tackle the Climate Crisis; JANUARY 20, 2021. </w:t>
      </w:r>
      <w:hyperlink r:id="rId44" w:history="1">
        <w:r w:rsidRPr="007C3D46">
          <w:rPr>
            <w:rStyle w:val="Hyperlink"/>
          </w:rPr>
          <w:t>https://www.whitehouse.gov/briefing-room/presidential-actions/2021/01/20/executive-order-protecting-public-health-and-environment-and-restoring-science-to-tackle-climate-crisis/</w:t>
        </w:r>
      </w:hyperlink>
      <w:r>
        <w:t xml:space="preserve">. Experts offered 8 steps to restating the social cost of carbon dioxide emissions. Gernot Wagner, David </w:t>
      </w:r>
      <w:proofErr w:type="spellStart"/>
      <w:r>
        <w:t>Anthoff</w:t>
      </w:r>
      <w:proofErr w:type="spellEnd"/>
      <w:r>
        <w:t xml:space="preserve">, Maureen Cropper, Simon Dietz, Kenneth T. </w:t>
      </w:r>
      <w:proofErr w:type="spellStart"/>
      <w:r>
        <w:t>Gillingham</w:t>
      </w:r>
      <w:proofErr w:type="spellEnd"/>
      <w:r>
        <w:t xml:space="preserve">, Ben Groom, J. Paul Kelleher, Frances C. Moore &amp; James H. Stock. 2021.  Eight priorities for calculating the social cost of carbon. </w:t>
      </w:r>
      <w:r w:rsidRPr="008D051C">
        <w:t xml:space="preserve">Nature | Vol 590 | </w:t>
      </w:r>
      <w:r>
        <w:t xml:space="preserve">pp 548-550 | </w:t>
      </w:r>
      <w:r w:rsidRPr="008D051C">
        <w:t>25 February 2021</w:t>
      </w:r>
      <w:r>
        <w:t xml:space="preserve">. </w:t>
      </w:r>
      <w:hyperlink r:id="rId45" w:history="1">
        <w:r w:rsidRPr="00BC7D75">
          <w:rPr>
            <w:rStyle w:val="Hyperlink"/>
          </w:rPr>
          <w:t>https://media.nature.com/original/magazine-assets/d41586-021-00441-0/d41586-021-00441-0.pdf</w:t>
        </w:r>
      </w:hyperlink>
      <w:r>
        <w:t xml:space="preserve">. (1. </w:t>
      </w:r>
      <w:r w:rsidRPr="008D051C">
        <w:t>Reverse Trump’s changes</w:t>
      </w:r>
      <w:r>
        <w:t xml:space="preserve">. 2. Seek broad input. 3. Update damage functions. 4. Reappraise climate risks. 5. Address equity. 6. Review discount rates. 7. Update socio-economic pathways. 8. Clarify limitations.). See also, </w:t>
      </w:r>
      <w:r w:rsidRPr="00DF355D">
        <w:rPr>
          <w:color w:val="333333"/>
          <w:shd w:val="clear" w:color="auto" w:fill="FFFFFF"/>
        </w:rPr>
        <w:t>Wagner, Gernot. “</w:t>
      </w:r>
      <w:hyperlink r:id="rId46" w:tgtFrame="_blank" w:history="1">
        <w:r w:rsidRPr="00020965">
          <w:rPr>
            <w:rStyle w:val="Hyperlink"/>
          </w:rPr>
          <w:t>Recalculate the social cost of carbon</w:t>
        </w:r>
      </w:hyperlink>
      <w:r w:rsidRPr="00DF355D">
        <w:rPr>
          <w:color w:val="333333"/>
          <w:shd w:val="clear" w:color="auto" w:fill="FFFFFF"/>
        </w:rPr>
        <w:t>,” </w:t>
      </w:r>
      <w:r w:rsidRPr="00DF355D">
        <w:rPr>
          <w:rStyle w:val="Emphasis"/>
          <w:color w:val="333333"/>
          <w:shd w:val="clear" w:color="auto" w:fill="FFFFFF"/>
        </w:rPr>
        <w:t>Nature Climate Change</w:t>
      </w:r>
      <w:r w:rsidRPr="00DF355D">
        <w:rPr>
          <w:color w:val="333333"/>
          <w:shd w:val="clear" w:color="auto" w:fill="FFFFFF"/>
        </w:rPr>
        <w:t> (29 March 2021). doi:10.1038/s41558-021-01018-5.</w:t>
      </w:r>
    </w:p>
    <w:p w:rsidR="00606B83" w:rsidRDefault="00606B83" w:rsidP="00606B83">
      <w:r>
        <w:t xml:space="preserve">  </w:t>
      </w:r>
    </w:p>
    <w:p w:rsidR="00606B83" w:rsidRDefault="00606B83" w:rsidP="00606B83">
      <w:r>
        <w:t xml:space="preserve">Gifford Pinchot said </w:t>
      </w:r>
      <w:r w:rsidRPr="00C309F4">
        <w:t xml:space="preserve">"Where conflicting interests must be reconciled, the question shall always be answered from the standpoint of the greatest good of the greatest number in the long run." </w:t>
      </w:r>
      <w:r>
        <w:t>The social cost of carbon dioxide emissions is a useful yardstick for measuring “the greatest good to the greatest number” because it allows the agency to compare the centralized economic value of timber to the decentralized economic costs of greenhouse gases emissions from logging.</w:t>
      </w:r>
    </w:p>
    <w:p w:rsidR="00606B83" w:rsidRDefault="00606B83" w:rsidP="00606B83"/>
    <w:p w:rsidR="00606B83" w:rsidRDefault="00606B83" w:rsidP="00606B83">
      <w:r>
        <w:t xml:space="preserve">   GHG emissions from fossil fuels, logging, and other land management activities impose significant costs on society, such as the cost of damage caused by climate change and the costs of adapting to climate change and the cost of sequestering carbon to mitigate emissions. The Social Cost of Carbon Dioxide could be referred to as the </w:t>
      </w:r>
      <w:r w:rsidRPr="007720F1">
        <w:t>“climate misery</w:t>
      </w:r>
      <w:r>
        <w:t xml:space="preserve"> index</w:t>
      </w:r>
      <w:r w:rsidRPr="007720F1">
        <w:t>”</w:t>
      </w:r>
      <w:r>
        <w:t xml:space="preserve"> related to the human impacts of greenhouse gas emissions. CEQ’s draft guidance on NEPA and Climate Change recognizes that the Social Cost of Carbon Dioxide (SCC) is a “harmonized, interagency metric that can provide decision-makers and the public with some context for meaningful NEPA review.” 79 Fed. Reg. 77802, 77827. “The SCC estimates the benefit to be achieved, expressed in monetary value, by avoiding the damage caused by each additional metric ton (tonne) of carbon dioxide (CO2) put into the atmosphere.” Ruth Greenspan and Dianne Callan 2011. More than Meets the Eye: The Social Cost of Carbon in U.S Climate Policy, in Plain English (World Resources Institute, July 2011) at 1, </w:t>
      </w:r>
      <w:hyperlink r:id="rId47" w:history="1">
        <w:r w:rsidRPr="00526A93">
          <w:rPr>
            <w:rStyle w:val="Hyperlink"/>
          </w:rPr>
          <w:t>http://pdf.wri.org/more_than_meets_the_eye_social_cost_of_carbon.pdf</w:t>
        </w:r>
      </w:hyperlink>
      <w:r>
        <w:t xml:space="preserve">; Wentz, J. 2016. EPA’s Use of the Social Cost of Carbon is Not Arbitrary or Capricious </w:t>
      </w:r>
      <w:hyperlink r:id="rId48" w:history="1">
        <w:r w:rsidRPr="003F67F9">
          <w:rPr>
            <w:rStyle w:val="Hyperlink"/>
          </w:rPr>
          <w:t>http://blogs.law.columbia.edu/climatechange/2016/03/07/epas-use-of-the-social-cost-of-carbon-</w:t>
        </w:r>
        <w:r w:rsidRPr="003F67F9">
          <w:rPr>
            <w:rStyle w:val="Hyperlink"/>
          </w:rPr>
          <w:lastRenderedPageBreak/>
          <w:t>is-not-arbitrary-or-capricious/</w:t>
        </w:r>
      </w:hyperlink>
      <w:r>
        <w:t xml:space="preserve">. The NEPA analysis should carefully disclose these social costs. The express purpose of SCC analysis is to provide an apples-to-apples basis for comparing a project’s economic benefits with GHG pollution impacts (costs). Where SCC is not analyzed and disclosed, these impacts (costs) are hidden from the public and, in fact, often “paid for” by the broader environment and public in the form of degraded ecological resiliency, public health impacts, and more. </w:t>
      </w:r>
    </w:p>
    <w:p w:rsidR="00606B83" w:rsidRDefault="00606B83" w:rsidP="00606B83">
      <w:pPr>
        <w:pStyle w:val="NormalWeb"/>
      </w:pPr>
      <w:r>
        <w:t xml:space="preserve">For an example of how the social cost of carbon can be incorporated into NEPA analysis see </w:t>
      </w:r>
      <w:proofErr w:type="spellStart"/>
      <w:r>
        <w:t>Niemi</w:t>
      </w:r>
      <w:proofErr w:type="spellEnd"/>
      <w:r>
        <w:t xml:space="preserve"> (2015):</w:t>
      </w:r>
    </w:p>
    <w:p w:rsidR="00606B83" w:rsidRPr="000412E8" w:rsidRDefault="00606B83" w:rsidP="00606B83">
      <w:pPr>
        <w:pStyle w:val="NormalWeb"/>
        <w:spacing w:before="0" w:after="0"/>
        <w:ind w:left="720"/>
        <w:rPr>
          <w:b/>
        </w:rPr>
      </w:pPr>
      <w:r w:rsidRPr="000412E8">
        <w:rPr>
          <w:b/>
        </w:rPr>
        <w:t>Summary</w:t>
      </w:r>
    </w:p>
    <w:p w:rsidR="00606B83" w:rsidRDefault="00606B83" w:rsidP="00606B83">
      <w:pPr>
        <w:pStyle w:val="NormalWeb"/>
        <w:spacing w:before="0" w:after="0"/>
        <w:ind w:left="720"/>
      </w:pPr>
      <w:r>
        <w:t xml:space="preserve">Actions that reduce the amount of carbon stored in federal forests contribute to disruption of the global climate by increasing atmospheric concentrations of carbon dioxide. The climate disruption raises the risk of economic harm—locally, nationally, and globally—from extreme weather events, higher temperatures, changes in precipitation, rising sea levels, acidification of oceans, and changes in ecosystems. Laws and executive orders require managers of federal forests to account for these risks. This paper describes the recent failure of the Bureau of Land Management (BLM), to satisfy the requirements. It also describes the steps the BLM must take to meet its obligations, and illustrates the method the BLM and other federal forest management agencies should use to account for carbon-related risks in the future. </w:t>
      </w:r>
    </w:p>
    <w:p w:rsidR="00606B83" w:rsidRDefault="00606B83" w:rsidP="00606B83">
      <w:pPr>
        <w:pStyle w:val="NormalWeb"/>
        <w:spacing w:before="0" w:after="0"/>
        <w:ind w:left="720"/>
      </w:pPr>
    </w:p>
    <w:p w:rsidR="00606B83" w:rsidRDefault="00606B83" w:rsidP="00606B83">
      <w:pPr>
        <w:pStyle w:val="NormalWeb"/>
        <w:spacing w:before="0" w:after="0"/>
        <w:ind w:left="720"/>
      </w:pPr>
      <w:r>
        <w:t xml:space="preserve">The BLM failed to account for climate-related risks when it selected its Preferred Alternative for managing federal forests in western Oregon. If implemented, this alternative would yield more timber but less forest carbon than another alternative. Using old data and a conservative view of risk, the BLM provided information that indicates the additional climate-related costs may: </w:t>
      </w:r>
    </w:p>
    <w:p w:rsidR="00606B83" w:rsidRPr="000412E8" w:rsidRDefault="00606B83" w:rsidP="00606B83">
      <w:pPr>
        <w:pStyle w:val="NormalWeb"/>
        <w:spacing w:before="0" w:after="0"/>
        <w:ind w:left="1080"/>
        <w:rPr>
          <w:i/>
        </w:rPr>
      </w:pPr>
      <w:r w:rsidRPr="000412E8">
        <w:rPr>
          <w:i/>
        </w:rPr>
        <w:t xml:space="preserve">• Outweigh the additional timber-related benefits by 2-to-1. </w:t>
      </w:r>
    </w:p>
    <w:p w:rsidR="00606B83" w:rsidRPr="000412E8" w:rsidRDefault="00606B83" w:rsidP="00606B83">
      <w:pPr>
        <w:pStyle w:val="NormalWeb"/>
        <w:spacing w:before="0" w:after="0"/>
        <w:ind w:left="1080"/>
        <w:rPr>
          <w:i/>
        </w:rPr>
      </w:pPr>
      <w:r w:rsidRPr="000412E8">
        <w:rPr>
          <w:i/>
        </w:rPr>
        <w:t xml:space="preserve">• Equal $91,000 per additional timber-related job. </w:t>
      </w:r>
    </w:p>
    <w:p w:rsidR="00606B83" w:rsidRPr="000412E8" w:rsidRDefault="00606B83" w:rsidP="00606B83">
      <w:pPr>
        <w:pStyle w:val="NormalWeb"/>
        <w:spacing w:before="0" w:after="0"/>
        <w:ind w:left="1080"/>
        <w:rPr>
          <w:i/>
        </w:rPr>
      </w:pPr>
      <w:r w:rsidRPr="000412E8">
        <w:rPr>
          <w:i/>
        </w:rPr>
        <w:t xml:space="preserve">• Equal $4 for every $1 of additional timber-related payments to local counties. </w:t>
      </w:r>
    </w:p>
    <w:p w:rsidR="00606B83" w:rsidRDefault="00606B83" w:rsidP="00606B83">
      <w:pPr>
        <w:pStyle w:val="NormalWeb"/>
        <w:spacing w:before="0" w:after="0"/>
        <w:ind w:left="720"/>
      </w:pPr>
    </w:p>
    <w:p w:rsidR="00606B83" w:rsidRDefault="00606B83" w:rsidP="00606B83">
      <w:pPr>
        <w:pStyle w:val="NormalWeb"/>
        <w:spacing w:before="0" w:after="0"/>
        <w:ind w:left="720"/>
      </w:pPr>
      <w:r>
        <w:t xml:space="preserve">Current data, plus a widely accepted view of risk indicates the additional climate-related costs may: </w:t>
      </w:r>
    </w:p>
    <w:p w:rsidR="00606B83" w:rsidRPr="000412E8" w:rsidRDefault="00606B83" w:rsidP="00606B83">
      <w:pPr>
        <w:pStyle w:val="NormalWeb"/>
        <w:spacing w:before="0" w:after="0"/>
        <w:ind w:left="1080"/>
        <w:rPr>
          <w:i/>
        </w:rPr>
      </w:pPr>
      <w:r w:rsidRPr="000412E8">
        <w:rPr>
          <w:i/>
        </w:rPr>
        <w:t xml:space="preserve">• Outweigh the additional timber-related benefits by more than 30-to-1. </w:t>
      </w:r>
    </w:p>
    <w:p w:rsidR="00606B83" w:rsidRPr="000412E8" w:rsidRDefault="00606B83" w:rsidP="00606B83">
      <w:pPr>
        <w:pStyle w:val="NormalWeb"/>
        <w:spacing w:before="0" w:after="0"/>
        <w:ind w:left="1080"/>
        <w:rPr>
          <w:i/>
        </w:rPr>
      </w:pPr>
      <w:r w:rsidRPr="000412E8">
        <w:rPr>
          <w:i/>
        </w:rPr>
        <w:t xml:space="preserve">• Equal $1.6 million per additional timber-related job. </w:t>
      </w:r>
    </w:p>
    <w:p w:rsidR="00606B83" w:rsidRPr="000412E8" w:rsidRDefault="00606B83" w:rsidP="00606B83">
      <w:pPr>
        <w:pStyle w:val="NormalWeb"/>
        <w:spacing w:before="0" w:after="0"/>
        <w:ind w:left="1080"/>
        <w:rPr>
          <w:i/>
        </w:rPr>
      </w:pPr>
      <w:r w:rsidRPr="000412E8">
        <w:rPr>
          <w:i/>
        </w:rPr>
        <w:t xml:space="preserve">• Equal $68 for every $1 of additional timber-related payments to local counties. </w:t>
      </w:r>
    </w:p>
    <w:p w:rsidR="00606B83" w:rsidRDefault="00606B83" w:rsidP="00606B83">
      <w:pPr>
        <w:pStyle w:val="NormalWeb"/>
        <w:spacing w:before="0" w:after="0"/>
        <w:ind w:left="720"/>
      </w:pPr>
    </w:p>
    <w:p w:rsidR="00606B83" w:rsidRPr="003B59A3" w:rsidRDefault="00606B83" w:rsidP="00606B83">
      <w:pPr>
        <w:pStyle w:val="NormalWeb"/>
        <w:spacing w:before="0" w:after="0"/>
        <w:ind w:left="720"/>
        <w:rPr>
          <w:rFonts w:ascii="Times New Roman" w:hAnsi="Times New Roman" w:cs="Times New Roman"/>
        </w:rPr>
      </w:pPr>
      <w:r>
        <w:t>The BLM disregarded this information when choosing its Preferred Alternative. To satisfy its legal and administrative requirements, the BLM should fully and clearly describe the climate related risks that accompany the Preferred Alternative, and explain its justification for imposing these risks on the individuals, households, businesses, and communities that would bear them. This justification should address both the reduction in overall economic wellbeing that would result from implementing the Preferred Alternative and the moral issues that arise from imposing climate-related risk on those that would not enjoy the timber benefits.</w:t>
      </w:r>
    </w:p>
    <w:p w:rsidR="00606B83" w:rsidRDefault="00606B83" w:rsidP="00606B83">
      <w:pPr>
        <w:pStyle w:val="NormalWeb"/>
        <w:spacing w:before="0" w:after="0"/>
      </w:pPr>
      <w:proofErr w:type="spellStart"/>
      <w:r>
        <w:t>Niemi</w:t>
      </w:r>
      <w:proofErr w:type="spellEnd"/>
      <w:r>
        <w:t xml:space="preserve">, E. 2015. Accounting for Climate-Related Risks In Federal Forest-Management Decision, 10 May 2015 [draft]. Federal Forest Carbon Coalition Background Paper 2015–2. </w:t>
      </w:r>
      <w:hyperlink r:id="rId49" w:history="1">
        <w:r w:rsidRPr="00CB1F69">
          <w:rPr>
            <w:rStyle w:val="Hyperlink"/>
          </w:rPr>
          <w:t>http://static1.1.sqspcdn.com/static/f/551504/26259333/1432605642583/SocialCostsOfCarbonOC</w:t>
        </w:r>
        <w:r w:rsidRPr="00CB1F69">
          <w:rPr>
            <w:rStyle w:val="Hyperlink"/>
          </w:rPr>
          <w:lastRenderedPageBreak/>
          <w:t>landsNiemiMay2015.pdf?token=wDqoa5RkP8EoBLlsRWIPPRuahzg%3D</w:t>
        </w:r>
      </w:hyperlink>
      <w:r>
        <w:t xml:space="preserve">. </w:t>
      </w:r>
      <w:proofErr w:type="spellStart"/>
      <w:r>
        <w:t>Niemi</w:t>
      </w:r>
      <w:proofErr w:type="spellEnd"/>
      <w:r>
        <w:t xml:space="preserve"> (2015) explained that “</w:t>
      </w:r>
      <w:r w:rsidRPr="00386D98">
        <w:t>Moore and Diaz (2015) found that accounting for the impacts of climate on economic growth increases the Interagency Working Group’s estimates of the social cost of carbon by a factor of six.</w:t>
      </w:r>
      <w:r>
        <w:t>” c</w:t>
      </w:r>
      <w:r w:rsidRPr="00386D98">
        <w:rPr>
          <w:i/>
        </w:rPr>
        <w:t>iting</w:t>
      </w:r>
      <w:r>
        <w:t xml:space="preserve"> </w:t>
      </w:r>
      <w:r w:rsidRPr="00386D98">
        <w:t xml:space="preserve">Moore, </w:t>
      </w:r>
      <w:r>
        <w:t>F.</w:t>
      </w:r>
      <w:r w:rsidRPr="00386D98">
        <w:t xml:space="preserve">C., and </w:t>
      </w:r>
      <w:r>
        <w:t>D.</w:t>
      </w:r>
      <w:r w:rsidRPr="00386D98">
        <w:t xml:space="preserve">B. Diaz. 2015. “Temperature Impacts on Economic Growth Warrant Stringent Mitigation Policy.” Nature Climate Change. 12 January. </w:t>
      </w:r>
      <w:hyperlink r:id="rId50" w:history="1">
        <w:r w:rsidRPr="003F1E6B">
          <w:rPr>
            <w:rStyle w:val="Hyperlink"/>
          </w:rPr>
          <w:t>http://www.eenews.net/assets/2015/01/13/document_cw_01.pdf</w:t>
        </w:r>
      </w:hyperlink>
      <w:r>
        <w:t xml:space="preserve"> (“Optimal climate policy in this model stabilizes global temperature change below 2 ◦C by eliminating emissions in the near future and implies a social cost of carbon several times larger than previous estimates. A sensitivity analysis shows that the magnitude of climate change impacts on economic growth, the rate of adaptation, and the dynamic interaction between damages and GDP are three critical uncertainties requiring further research. In particular, optimal mitigation rates are much lower if countries become less sensitive to climate change impacts as they develop, making this a major source of uncertainty and an important subject for future research.”)</w:t>
      </w:r>
    </w:p>
    <w:p w:rsidR="00874F8D" w:rsidRDefault="00874F8D" w:rsidP="00606B83">
      <w:pPr>
        <w:pStyle w:val="NormalWeb"/>
        <w:spacing w:before="0" w:after="0"/>
      </w:pPr>
    </w:p>
    <w:p w:rsidR="00874F8D" w:rsidRDefault="00874F8D" w:rsidP="00874F8D">
      <w:r>
        <w:t>The Grasshopper Climate Change Report fails to provide any quantitative analysis of the effects of logging, and the report (p</w:t>
      </w:r>
      <w:r w:rsidR="00D26697">
        <w:t>p</w:t>
      </w:r>
      <w:r>
        <w:t xml:space="preserve"> </w:t>
      </w:r>
      <w:r w:rsidR="00D26697">
        <w:t xml:space="preserve">5, </w:t>
      </w:r>
      <w:r>
        <w:t>6) says “</w:t>
      </w:r>
      <w:r w:rsidR="00D26697" w:rsidRPr="00D26697">
        <w:t>carbon emissions during the implementation of the proposed project would have only a momentary influence on atmospheric carbon concentrations because carbon will be removed from the atmosphere with time as the forest regrows, further minimizing or offsetting any potential cumulative effects.</w:t>
      </w:r>
      <w:r w:rsidR="00D26697">
        <w:t xml:space="preserve"> … </w:t>
      </w:r>
      <w:r w:rsidRPr="00874F8D">
        <w:t>any initial carbon emissions from this proposed project would be balanced and possibly counteracted as the stand recovers and regenerates, because the remaining trees and newly established trees typically have higher rates of growth and carbon storage</w:t>
      </w:r>
      <w:r>
        <w:t xml:space="preserve">.” This is misleading to the public and the decision-maker.  This statement also presents an improper NEPA framework, which is supposed to compare carbon emissions with and without logging, not before and after logging. </w:t>
      </w:r>
      <w:bookmarkStart w:id="1" w:name="_Toc103676200"/>
      <w:r>
        <w:t>Avoid “before-and-after” carbon accounting</w:t>
      </w:r>
      <w:bookmarkEnd w:id="1"/>
    </w:p>
    <w:p w:rsidR="00874F8D" w:rsidRDefault="00874F8D" w:rsidP="00874F8D"/>
    <w:p w:rsidR="00874F8D" w:rsidRDefault="00874F8D" w:rsidP="00874F8D">
      <w:r>
        <w:t xml:space="preserve">Some NEPA analyses suggest that logging is </w:t>
      </w:r>
      <w:r>
        <w:rPr>
          <w:i/>
        </w:rPr>
        <w:t>carbon neutral</w:t>
      </w:r>
      <w:r>
        <w:t xml:space="preserve"> because the forest captures and stores the same pre-harvest amount of carbon after a period of regrowth. This is highly misleading. The proper analysis requires comparison of the amount of carbon </w:t>
      </w:r>
      <w:r w:rsidRPr="004626A2">
        <w:rPr>
          <w:i/>
        </w:rPr>
        <w:t>with</w:t>
      </w:r>
      <w:r>
        <w:t xml:space="preserve"> the project and </w:t>
      </w:r>
      <w:r w:rsidRPr="004626A2">
        <w:rPr>
          <w:i/>
        </w:rPr>
        <w:t>without</w:t>
      </w:r>
      <w:r>
        <w:t xml:space="preserve"> the project, not </w:t>
      </w:r>
      <w:r w:rsidRPr="004626A2">
        <w:rPr>
          <w:i/>
        </w:rPr>
        <w:t>before</w:t>
      </w:r>
      <w:r>
        <w:t xml:space="preserve"> and </w:t>
      </w:r>
      <w:r w:rsidRPr="004626A2">
        <w:rPr>
          <w:i/>
        </w:rPr>
        <w:t>after</w:t>
      </w:r>
      <w:r>
        <w:t xml:space="preserve"> logging. This is not only required to accurately determine the effect of vegetation removal on forest carbon storage but it is also consistent with NEPA requirements to compare </w:t>
      </w:r>
      <w:r>
        <w:rPr>
          <w:i/>
        </w:rPr>
        <w:t>action</w:t>
      </w:r>
      <w:r>
        <w:t xml:space="preserve"> and </w:t>
      </w:r>
      <w:r>
        <w:rPr>
          <w:i/>
        </w:rPr>
        <w:t>no action</w:t>
      </w:r>
      <w:r>
        <w:t xml:space="preserve"> alternatives.</w:t>
      </w:r>
    </w:p>
    <w:p w:rsidR="00874F8D" w:rsidRDefault="00874F8D" w:rsidP="00874F8D">
      <w:r>
        <w:t>Comparing carbon in the system at two points in time is unscientific. A proper analysis requires measuring carbon in the system of interest over time compared to a reference or control.</w:t>
      </w:r>
    </w:p>
    <w:p w:rsidR="00874F8D" w:rsidRDefault="00874F8D" w:rsidP="00874F8D"/>
    <w:p w:rsidR="00874F8D" w:rsidRDefault="00874F8D" w:rsidP="00874F8D">
      <w:pPr>
        <w:ind w:left="720"/>
        <w:rPr>
          <w:noProof/>
        </w:rPr>
      </w:pPr>
      <w:r>
        <w:rPr>
          <w:noProof/>
        </w:rPr>
        <w:lastRenderedPageBreak/>
        <w:drawing>
          <wp:inline distT="0" distB="0" distL="0" distR="0" wp14:anchorId="3701E70E" wp14:editId="5F09DA54">
            <wp:extent cx="4533900" cy="29908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533900" cy="2990850"/>
                    </a:xfrm>
                    <a:prstGeom prst="rect">
                      <a:avLst/>
                    </a:prstGeom>
                    <a:noFill/>
                    <a:ln>
                      <a:noFill/>
                    </a:ln>
                  </pic:spPr>
                </pic:pic>
              </a:graphicData>
            </a:graphic>
          </wp:inline>
        </w:drawing>
      </w:r>
    </w:p>
    <w:p w:rsidR="00874F8D" w:rsidRDefault="00874F8D" w:rsidP="00874F8D">
      <w:pPr>
        <w:rPr>
          <w:noProof/>
        </w:rPr>
      </w:pPr>
      <w:r>
        <w:rPr>
          <w:noProof/>
        </w:rPr>
        <w:t xml:space="preserve">The approach shown above is improper. As explained by Mark Harmon: </w:t>
      </w:r>
    </w:p>
    <w:p w:rsidR="00874F8D" w:rsidRDefault="00874F8D" w:rsidP="00874F8D">
      <w:pPr>
        <w:ind w:left="720"/>
      </w:pPr>
      <w:r w:rsidRPr="001D54D3">
        <w:rPr>
          <w:noProof/>
        </w:rPr>
        <w:t>All too often explanations of forest carbon dynamics are not science-based.  Why? They involve using the system as its own reference or control. That is not a scientific assessment method.  So while it sounds scientific to explain how after a harvest the forest regrows and hence there is no carbon impact, one cannot tell the impact. We can tell over time that the amount returns to the original level, but we still cannot assess the impact scientifically. The fact the system is renewable and sustainable is largely irrelevant in answering the question of whether the system is carbon neutral.</w:t>
      </w:r>
    </w:p>
    <w:p w:rsidR="00874F8D" w:rsidRDefault="00874F8D" w:rsidP="00874F8D">
      <w:r>
        <w:t xml:space="preserve">Mark Harmon 2020. </w:t>
      </w:r>
      <w:r w:rsidRPr="001D54D3">
        <w:t>Forest Carbon Basics:</w:t>
      </w:r>
      <w:r>
        <w:t xml:space="preserve"> </w:t>
      </w:r>
      <w:r w:rsidRPr="001D54D3">
        <w:t>Five Key Guidelines</w:t>
      </w:r>
      <w:r>
        <w:t>, Presentation to Many Rivers Group of the Sierra Club, Banking on Carbon Webinar, Oct 13, 2020.</w:t>
      </w:r>
    </w:p>
    <w:p w:rsidR="00874F8D" w:rsidRDefault="00874F8D" w:rsidP="00874F8D"/>
    <w:p w:rsidR="00874F8D" w:rsidRDefault="00874F8D" w:rsidP="00874F8D">
      <w:r>
        <w:t xml:space="preserve">A better approach is shown below, and explained by Mark Harmon: </w:t>
      </w:r>
    </w:p>
    <w:p w:rsidR="00874F8D" w:rsidRDefault="00874F8D" w:rsidP="00874F8D">
      <w:pPr>
        <w:ind w:left="720"/>
      </w:pPr>
      <w:r w:rsidRPr="001D54D3">
        <w:t>Here is an example in which there is an independent control or alternative.  We can see that there is a difference between the two systems and that the so-called renewable, sustainable system stores on average 35% less than the reference.  So if we switch from the reference system to the renewable, sustainable system we must lose carbon</w:t>
      </w:r>
      <w:r>
        <w:t xml:space="preserve"> from that part of the system.</w:t>
      </w:r>
    </w:p>
    <w:p w:rsidR="00874F8D" w:rsidRDefault="00874F8D" w:rsidP="00874F8D">
      <w:pPr>
        <w:ind w:left="720"/>
      </w:pPr>
      <w:r>
        <w:rPr>
          <w:noProof/>
        </w:rPr>
        <w:lastRenderedPageBreak/>
        <w:drawing>
          <wp:inline distT="0" distB="0" distL="0" distR="0" wp14:anchorId="1809A4FB" wp14:editId="450AEA34">
            <wp:extent cx="4603750" cy="348615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03750" cy="3486150"/>
                    </a:xfrm>
                    <a:prstGeom prst="rect">
                      <a:avLst/>
                    </a:prstGeom>
                    <a:noFill/>
                    <a:ln>
                      <a:noFill/>
                    </a:ln>
                  </pic:spPr>
                </pic:pic>
              </a:graphicData>
            </a:graphic>
          </wp:inline>
        </w:drawing>
      </w:r>
    </w:p>
    <w:p w:rsidR="00874F8D" w:rsidRDefault="00874F8D" w:rsidP="00874F8D"/>
    <w:p w:rsidR="00874F8D" w:rsidRDefault="00874F8D" w:rsidP="00874F8D">
      <w:r>
        <w:t>NEPA requires comparison of alternatives based on high quality information and accurate scientific analysis, which requires evaluating the carbon consequences of different forest management systems and comparing that to the carbon consequences of not logging.</w:t>
      </w:r>
    </w:p>
    <w:p w:rsidR="00874F8D" w:rsidRDefault="00874F8D" w:rsidP="00874F8D"/>
    <w:p w:rsidR="00874F8D" w:rsidRDefault="00874F8D" w:rsidP="00874F8D">
      <w:r>
        <w:t xml:space="preserve">Similarly, </w:t>
      </w:r>
      <w:proofErr w:type="spellStart"/>
      <w:r>
        <w:t>Cardellichio</w:t>
      </w:r>
      <w:proofErr w:type="spellEnd"/>
      <w:r>
        <w:t xml:space="preserve"> et al (2010) explain:</w:t>
      </w:r>
    </w:p>
    <w:p w:rsidR="00874F8D" w:rsidRDefault="00874F8D" w:rsidP="00874F8D">
      <w:pPr>
        <w:ind w:left="720"/>
      </w:pPr>
      <w:r>
        <w:t>The only way to properly evaluate the net carbon impacts of energy from forest biomass [or any vegetation management] is to estimate … net change in atmospheric CO</w:t>
      </w:r>
      <w:r>
        <w:rPr>
          <w:vertAlign w:val="subscript"/>
        </w:rPr>
        <w:t>2</w:t>
      </w:r>
      <w:r>
        <w:t xml:space="preserve"> levels over time </w:t>
      </w:r>
      <w:r>
        <w:rPr>
          <w:i/>
        </w:rPr>
        <w:t>with</w:t>
      </w:r>
      <w:r>
        <w:t xml:space="preserve"> and </w:t>
      </w:r>
      <w:r>
        <w:rPr>
          <w:i/>
        </w:rPr>
        <w:t>without</w:t>
      </w:r>
      <w:r>
        <w:t xml:space="preserve"> the harvest of wood biomass for energy. …[I]t is necessary to construct a baseline, or control, scenario (that is no biomass harvest). … Once a baseline is established, one can assess how switching to wood biomass would change atmospheric carbon levels. … [T]he information provided by only comparing forest carbon stocks before and after biomass harvest could be a very misleading indicator of the impact of biomass energy on the atmosphere.</w:t>
      </w:r>
    </w:p>
    <w:p w:rsidR="00874F8D" w:rsidRDefault="00874F8D" w:rsidP="00874F8D">
      <w:proofErr w:type="spellStart"/>
      <w:r>
        <w:t>Cardellichio</w:t>
      </w:r>
      <w:proofErr w:type="spellEnd"/>
      <w:r>
        <w:t xml:space="preserve">, P., Walker, T. 2010. Commentary: The Manomet Study Got the Biomass Carbon Accounting Right. The Forestry Source. 4 Nov 2010. </w:t>
      </w:r>
      <w:hyperlink r:id="rId53" w:history="1">
        <w:r w:rsidRPr="008C46FE">
          <w:rPr>
            <w:rStyle w:val="Hyperlink"/>
          </w:rPr>
          <w:t>https://web.archive.org/web/20110420145203/http://www.nxtbook.com:80/nxtbooks/saf/forestrysource_201011/index.php</w:t>
        </w:r>
      </w:hyperlink>
      <w:r>
        <w:t>.</w:t>
      </w:r>
    </w:p>
    <w:p w:rsidR="00874F8D" w:rsidRDefault="00874F8D" w:rsidP="00874F8D"/>
    <w:p w:rsidR="00874F8D" w:rsidRDefault="00874F8D" w:rsidP="00874F8D">
      <w:r>
        <w:t xml:space="preserve">Even a before-after ecological study design should employ a control. See </w:t>
      </w:r>
      <w:r w:rsidRPr="00F05D36">
        <w:t xml:space="preserve">Krebs, C. J. 1999. Ecological methodology. Second edition. Addison Wesley Longman </w:t>
      </w:r>
      <w:proofErr w:type="spellStart"/>
      <w:r w:rsidRPr="00F05D36">
        <w:t>Inc</w:t>
      </w:r>
      <w:proofErr w:type="spellEnd"/>
      <w:r w:rsidRPr="00F05D36">
        <w:t>, Menlo Park, California, USA.</w:t>
      </w:r>
    </w:p>
    <w:p w:rsidR="00874F8D" w:rsidRDefault="00874F8D" w:rsidP="00874F8D"/>
    <w:p w:rsidR="00874F8D" w:rsidRDefault="00874F8D" w:rsidP="00874F8D">
      <w:r>
        <w:t>Any analysis that asserts that carbon uptake via future forest growth will mitigate for GHG emissions caused by logging must carefully account for several factors:</w:t>
      </w:r>
    </w:p>
    <w:p w:rsidR="00874F8D" w:rsidRDefault="00874F8D" w:rsidP="00874F8D">
      <w:r>
        <w:t xml:space="preserve">1. The climate impacts of the extra GHG in the atmosphere during the period of regrowth. Logging causes a real and significant transfer of GHG to the atmosphere and those emissions </w:t>
      </w:r>
      <w:r>
        <w:lastRenderedPageBreak/>
        <w:t xml:space="preserve">have greenhouse effects that begin immediately and do not subside until the forest has fully regrown (or more accurately reaches </w:t>
      </w:r>
      <w:r w:rsidRPr="00C4307D">
        <w:rPr>
          <w:i/>
        </w:rPr>
        <w:t>climate parity</w:t>
      </w:r>
      <w:r>
        <w:t>), which might take decades or hundreds of years. A proper NEPA analysis requires accounting for the additional warming caused by extra GHG in the atmosphere during the regrowth period.</w:t>
      </w:r>
    </w:p>
    <w:p w:rsidR="00874F8D" w:rsidRDefault="00874F8D" w:rsidP="00874F8D"/>
    <w:p w:rsidR="00874F8D" w:rsidRPr="009E5531" w:rsidRDefault="00874F8D" w:rsidP="00874F8D">
      <w:pPr>
        <w:rPr>
          <w:color w:val="222222"/>
        </w:rPr>
      </w:pPr>
      <w:r>
        <w:t>2. Future climate benefits from future carbon uptake must be discounted.</w:t>
      </w:r>
      <w:r>
        <w:rPr>
          <w:color w:val="222222"/>
        </w:rPr>
        <w:t xml:space="preserve"> </w:t>
      </w:r>
      <w:r w:rsidRPr="009E5531">
        <w:rPr>
          <w:color w:val="222222"/>
        </w:rPr>
        <w:t xml:space="preserve">Under well-established </w:t>
      </w:r>
      <w:r>
        <w:rPr>
          <w:color w:val="222222"/>
        </w:rPr>
        <w:t xml:space="preserve">economic </w:t>
      </w:r>
      <w:r w:rsidRPr="009E5531">
        <w:rPr>
          <w:color w:val="222222"/>
        </w:rPr>
        <w:t xml:space="preserve">principles of </w:t>
      </w:r>
      <w:r>
        <w:rPr>
          <w:color w:val="222222"/>
        </w:rPr>
        <w:t xml:space="preserve">uncertainty and </w:t>
      </w:r>
      <w:r w:rsidRPr="009E5531">
        <w:rPr>
          <w:color w:val="222222"/>
        </w:rPr>
        <w:t xml:space="preserve">discounting, it is clear that the net present value of current carbon storage in existing mature forests exceeds the net present value of distant future benefits of </w:t>
      </w:r>
      <w:r>
        <w:rPr>
          <w:color w:val="222222"/>
        </w:rPr>
        <w:t xml:space="preserve">forest regrowth or </w:t>
      </w:r>
      <w:r w:rsidRPr="009E5531">
        <w:rPr>
          <w:color w:val="222222"/>
        </w:rPr>
        <w:t>substitution. This graph shows why the near term matters (most of the warming happens within 20 years and then slowly continues to increase):</w:t>
      </w:r>
    </w:p>
    <w:p w:rsidR="00874F8D" w:rsidRPr="00C4307D" w:rsidRDefault="00874F8D" w:rsidP="00874F8D">
      <w:pPr>
        <w:ind w:left="720"/>
        <w:rPr>
          <w:color w:val="222222"/>
        </w:rPr>
      </w:pPr>
      <w:r>
        <w:rPr>
          <w:noProof/>
        </w:rPr>
        <w:drawing>
          <wp:inline distT="0" distB="0" distL="0" distR="0" wp14:anchorId="4EC7AF7F" wp14:editId="5DA47679">
            <wp:extent cx="4997450" cy="30607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997450" cy="3060700"/>
                    </a:xfrm>
                    <a:prstGeom prst="rect">
                      <a:avLst/>
                    </a:prstGeom>
                    <a:noFill/>
                    <a:ln>
                      <a:noFill/>
                    </a:ln>
                  </pic:spPr>
                </pic:pic>
              </a:graphicData>
            </a:graphic>
          </wp:inline>
        </w:drawing>
      </w:r>
    </w:p>
    <w:p w:rsidR="00874F8D" w:rsidRDefault="00874F8D" w:rsidP="00874F8D"/>
    <w:p w:rsidR="00874F8D" w:rsidRDefault="00874F8D" w:rsidP="00874F8D">
      <w:pPr>
        <w:rPr>
          <w:color w:val="222222"/>
        </w:rPr>
      </w:pPr>
      <w:r>
        <w:t xml:space="preserve">3. </w:t>
      </w:r>
      <w:r w:rsidRPr="009E5531">
        <w:rPr>
          <w:color w:val="222222"/>
        </w:rPr>
        <w:t xml:space="preserve">Near-term carbon storage </w:t>
      </w:r>
      <w:r>
        <w:rPr>
          <w:color w:val="222222"/>
        </w:rPr>
        <w:t xml:space="preserve">(and avoided emissions) are far more valuable as a climate solution compared to carbon uptake in the distant future. Near-term climate solutions are </w:t>
      </w:r>
      <w:r w:rsidRPr="009E5531">
        <w:rPr>
          <w:color w:val="222222"/>
        </w:rPr>
        <w:t xml:space="preserve">critically important while the economy transitions to low carbon </w:t>
      </w:r>
      <w:r>
        <w:rPr>
          <w:color w:val="222222"/>
        </w:rPr>
        <w:t>technologies</w:t>
      </w:r>
      <w:r w:rsidRPr="009E5531">
        <w:rPr>
          <w:color w:val="222222"/>
        </w:rPr>
        <w:t xml:space="preserve">, yet it will take over a century for </w:t>
      </w:r>
      <w:r>
        <w:rPr>
          <w:color w:val="222222"/>
        </w:rPr>
        <w:t xml:space="preserve">forest regrowth or substitution </w:t>
      </w:r>
      <w:r w:rsidRPr="009E5531">
        <w:rPr>
          <w:color w:val="222222"/>
        </w:rPr>
        <w:t xml:space="preserve">to off-set the initial carbon </w:t>
      </w:r>
      <w:r>
        <w:rPr>
          <w:color w:val="222222"/>
        </w:rPr>
        <w:t>debt</w:t>
      </w:r>
      <w:r w:rsidRPr="009E5531">
        <w:rPr>
          <w:color w:val="222222"/>
        </w:rPr>
        <w:t xml:space="preserve"> </w:t>
      </w:r>
      <w:r>
        <w:rPr>
          <w:color w:val="222222"/>
        </w:rPr>
        <w:t xml:space="preserve">caused by </w:t>
      </w:r>
      <w:r w:rsidRPr="009E5531">
        <w:rPr>
          <w:color w:val="222222"/>
        </w:rPr>
        <w:t xml:space="preserve">logging. </w:t>
      </w:r>
    </w:p>
    <w:p w:rsidR="00874F8D" w:rsidRDefault="00874F8D" w:rsidP="00874F8D">
      <w:pPr>
        <w:rPr>
          <w:color w:val="222222"/>
        </w:rPr>
      </w:pPr>
    </w:p>
    <w:p w:rsidR="00874F8D" w:rsidRPr="00C4307D" w:rsidRDefault="00874F8D" w:rsidP="00874F8D">
      <w:pPr>
        <w:rPr>
          <w:color w:val="222222"/>
        </w:rPr>
      </w:pPr>
      <w:r>
        <w:rPr>
          <w:color w:val="222222"/>
        </w:rPr>
        <w:t>T</w:t>
      </w:r>
      <w:r w:rsidRPr="009E5531">
        <w:rPr>
          <w:color w:val="222222"/>
        </w:rPr>
        <w:t xml:space="preserve">he IPCC made a policy decision to place more </w:t>
      </w:r>
      <w:r>
        <w:rPr>
          <w:color w:val="222222"/>
        </w:rPr>
        <w:t xml:space="preserve">emphasis </w:t>
      </w:r>
      <w:r w:rsidRPr="009E5531">
        <w:rPr>
          <w:color w:val="222222"/>
        </w:rPr>
        <w:t xml:space="preserve">on </w:t>
      </w:r>
      <w:r>
        <w:rPr>
          <w:color w:val="222222"/>
        </w:rPr>
        <w:t xml:space="preserve">emissions in the </w:t>
      </w:r>
      <w:r w:rsidRPr="009E5531">
        <w:rPr>
          <w:color w:val="222222"/>
        </w:rPr>
        <w:t xml:space="preserve">near-term because the majority of warming happens within 10-20 years after emissions. </w:t>
      </w:r>
      <w:r>
        <w:rPr>
          <w:color w:val="222222"/>
        </w:rPr>
        <w:t xml:space="preserve">The importance avoiding emissions in </w:t>
      </w:r>
      <w:r w:rsidRPr="009E5531">
        <w:rPr>
          <w:color w:val="222222"/>
        </w:rPr>
        <w:t>the near-term</w:t>
      </w:r>
      <w:r>
        <w:rPr>
          <w:color w:val="222222"/>
        </w:rPr>
        <w:t xml:space="preserve"> highlights the fact </w:t>
      </w:r>
      <w:r w:rsidRPr="009E5531">
        <w:rPr>
          <w:color w:val="222222"/>
        </w:rPr>
        <w:t xml:space="preserve">that forests are more valuable as places to store carbon and wood products are less valuable. This is because every effort to transfer carbon from the forest into wood products results in a net near-term pulse of carbon to the atmosphere, and this carbon "debt" is not </w:t>
      </w:r>
      <w:r w:rsidR="00020965" w:rsidRPr="009E5531">
        <w:rPr>
          <w:color w:val="222222"/>
        </w:rPr>
        <w:t>repaid</w:t>
      </w:r>
      <w:r w:rsidRPr="009E5531">
        <w:rPr>
          <w:color w:val="222222"/>
        </w:rPr>
        <w:t xml:space="preserve"> until the distant future when the replacement forest grows </w:t>
      </w:r>
      <w:r>
        <w:rPr>
          <w:color w:val="222222"/>
        </w:rPr>
        <w:t xml:space="preserve">(not to the point that it stores the same amount of carbon as before harvest, but rather </w:t>
      </w:r>
      <w:r w:rsidRPr="009E5531">
        <w:rPr>
          <w:color w:val="222222"/>
        </w:rPr>
        <w:t xml:space="preserve">to a point that </w:t>
      </w:r>
      <w:r>
        <w:rPr>
          <w:color w:val="222222"/>
        </w:rPr>
        <w:t xml:space="preserve">recaptures all the carbon PLUS </w:t>
      </w:r>
      <w:r w:rsidRPr="009E5531">
        <w:rPr>
          <w:color w:val="222222"/>
        </w:rPr>
        <w:t xml:space="preserve">mitigates for the climate impacts caused during the </w:t>
      </w:r>
      <w:r>
        <w:rPr>
          <w:color w:val="222222"/>
        </w:rPr>
        <w:t>"carbon debt</w:t>
      </w:r>
      <w:r w:rsidRPr="009E5531">
        <w:rPr>
          <w:color w:val="222222"/>
        </w:rPr>
        <w:t>"</w:t>
      </w:r>
      <w:r>
        <w:rPr>
          <w:color w:val="222222"/>
        </w:rPr>
        <w:t xml:space="preserve"> payback period.) See </w:t>
      </w:r>
      <w:proofErr w:type="spellStart"/>
      <w:r w:rsidRPr="004046A6">
        <w:rPr>
          <w:color w:val="222222"/>
        </w:rPr>
        <w:t>Katsumasa</w:t>
      </w:r>
      <w:proofErr w:type="spellEnd"/>
      <w:r w:rsidRPr="004046A6">
        <w:rPr>
          <w:color w:val="222222"/>
        </w:rPr>
        <w:t xml:space="preserve"> Tanaka &amp; Brian C. O’Neill</w:t>
      </w:r>
      <w:r>
        <w:rPr>
          <w:color w:val="222222"/>
        </w:rPr>
        <w:t>.</w:t>
      </w:r>
      <w:r w:rsidRPr="004046A6">
        <w:rPr>
          <w:color w:val="222222"/>
        </w:rPr>
        <w:t xml:space="preserve"> </w:t>
      </w:r>
      <w:r>
        <w:rPr>
          <w:color w:val="222222"/>
        </w:rPr>
        <w:t xml:space="preserve">2018. </w:t>
      </w:r>
      <w:r w:rsidRPr="004046A6">
        <w:rPr>
          <w:color w:val="222222"/>
        </w:rPr>
        <w:t>The Paris Agreement zero-emissions goal is not always consistent with the 1.5 </w:t>
      </w:r>
      <w:r>
        <w:rPr>
          <w:color w:val="222222"/>
        </w:rPr>
        <w:t xml:space="preserve">°C and 2 °C temperature targets. </w:t>
      </w:r>
      <w:r w:rsidRPr="004046A6">
        <w:rPr>
          <w:color w:val="222222"/>
        </w:rPr>
        <w:t>Nature Climate Change (2018)</w:t>
      </w:r>
      <w:r>
        <w:rPr>
          <w:color w:val="222222"/>
        </w:rPr>
        <w:t xml:space="preserve"> </w:t>
      </w:r>
      <w:r w:rsidRPr="004046A6">
        <w:rPr>
          <w:color w:val="222222"/>
        </w:rPr>
        <w:t>doi:10.1038/s41558-018-0097-x</w:t>
      </w:r>
      <w:r>
        <w:rPr>
          <w:color w:val="222222"/>
        </w:rPr>
        <w:t xml:space="preserve">. </w:t>
      </w:r>
      <w:hyperlink r:id="rId55" w:anchor="Abs1" w:history="1">
        <w:r w:rsidRPr="00453F20">
          <w:rPr>
            <w:rStyle w:val="Hyperlink"/>
          </w:rPr>
          <w:t>https://www.nature.com/articles/s41558-018-0097-x#Abs1</w:t>
        </w:r>
      </w:hyperlink>
      <w:r>
        <w:rPr>
          <w:color w:val="222222"/>
        </w:rPr>
        <w:t xml:space="preserve">, and see </w:t>
      </w:r>
      <w:proofErr w:type="spellStart"/>
      <w:r>
        <w:t>Brack</w:t>
      </w:r>
      <w:proofErr w:type="spellEnd"/>
      <w:r>
        <w:t xml:space="preserve">, Duncan 2017. </w:t>
      </w:r>
      <w:r w:rsidRPr="00BD0A6F">
        <w:t xml:space="preserve">Woody Biomass for Power and Heat: Impacts on the Global </w:t>
      </w:r>
      <w:r>
        <w:t>C</w:t>
      </w:r>
      <w:r w:rsidRPr="00BD0A6F">
        <w:t>limate</w:t>
      </w:r>
      <w:r>
        <w:t xml:space="preserve">. Chatham House. </w:t>
      </w:r>
      <w:hyperlink r:id="rId56" w:history="1">
        <w:r w:rsidRPr="00CD441E">
          <w:rPr>
            <w:rStyle w:val="Hyperlink"/>
          </w:rPr>
          <w:t>https://www.chathamhouse.org/sites/files/chathamhouse/publications/research/2017-02-23-woody-biomass-global-climate-brack-embargoed.pdf</w:t>
        </w:r>
      </w:hyperlink>
      <w:r>
        <w:rPr>
          <w:color w:val="222222"/>
        </w:rPr>
        <w:t>.</w:t>
      </w:r>
    </w:p>
    <w:p w:rsidR="00874F8D" w:rsidRDefault="00874F8D" w:rsidP="00606B83">
      <w:pPr>
        <w:pStyle w:val="NormalWeb"/>
        <w:spacing w:before="0" w:after="0"/>
      </w:pPr>
    </w:p>
    <w:p w:rsidR="00D632E6" w:rsidRDefault="00D632E6" w:rsidP="00606B83">
      <w:pPr>
        <w:pStyle w:val="NormalWeb"/>
        <w:spacing w:before="0" w:after="0"/>
      </w:pPr>
      <w:r w:rsidRPr="00D632E6">
        <w:t>APPENDIX A</w:t>
      </w:r>
      <w:r>
        <w:t xml:space="preserve"> OF THE Grasshopper Climate Change Report:</w:t>
      </w:r>
      <w:r w:rsidRPr="00D632E6">
        <w:t xml:space="preserve"> Forest Carbon Assessment for the Mount Hood National Forest in the Forest Service’s Pacific Northwest Region</w:t>
      </w:r>
      <w:r>
        <w:t xml:space="preserve"> fails to provide any analysis of the effects of this project. The analysis is at the wrong scale to inform this decision. While consideration of cumulative effects is critical, when logging-related carbon emissions from this project are blended into larger scales, it hides the significance of GHG emissions caused by this project.</w:t>
      </w:r>
    </w:p>
    <w:p w:rsidR="00D632E6" w:rsidRDefault="00D632E6" w:rsidP="00606B83">
      <w:pPr>
        <w:pStyle w:val="NormalWeb"/>
        <w:spacing w:before="0" w:after="0"/>
      </w:pPr>
    </w:p>
    <w:p w:rsidR="00D632E6" w:rsidRDefault="00D632E6" w:rsidP="00606B83">
      <w:pPr>
        <w:pStyle w:val="NormalWeb"/>
        <w:spacing w:before="0" w:after="0"/>
      </w:pPr>
      <w:r>
        <w:t xml:space="preserve">Appendix A also trots out flawed myths such as wood products as a source of carbon storage and substitution effects. In reality wood products represent net emissions, not net storage. More carbon is emitted to produce wood products than is stored in wood products. And substitution effects are vastly over-estimated because they assume an idealized maximum value, rather than a real world conditions, and it ignores that fact that steel and cement can be decarbonized with renewable energy and alternative chemistries, but wood products cannot be decarbonized. </w:t>
      </w:r>
    </w:p>
    <w:p w:rsidR="00D632E6" w:rsidRDefault="00D632E6" w:rsidP="00606B83">
      <w:pPr>
        <w:pStyle w:val="NormalWeb"/>
        <w:spacing w:before="0" w:after="0"/>
      </w:pPr>
    </w:p>
    <w:p w:rsidR="00D632E6" w:rsidRDefault="00D632E6" w:rsidP="00D632E6">
      <w:r>
        <w:t>More than 200 scientists recently wrote to Congress saying –</w:t>
      </w:r>
    </w:p>
    <w:p w:rsidR="00D632E6" w:rsidRDefault="00D632E6" w:rsidP="00D632E6">
      <w:pPr>
        <w:ind w:left="720"/>
      </w:pPr>
      <w:r>
        <w:t>We find no scientific evidence to support increased logging to store more carbon in wood products, such as dimensional lumber or cross-laminated timber (CLT) for tall buildings, as a natural climate solution. The growing consensus of scientific findings is that, to effectively mitigate the worst impacts of climate change, we must not only move beyond fossil fuel consumption but must also substantially increase protection of our native forests in order to absorb more CO2 from the atmosphere and store more, not less, carbon in our forests (</w:t>
      </w:r>
      <w:proofErr w:type="spellStart"/>
      <w:r>
        <w:t>Depro</w:t>
      </w:r>
      <w:proofErr w:type="spellEnd"/>
      <w:r>
        <w:t xml:space="preserve"> et al. 2008, Harris et al. 2016, </w:t>
      </w:r>
      <w:proofErr w:type="spellStart"/>
      <w:r>
        <w:t>Woodwell</w:t>
      </w:r>
      <w:proofErr w:type="spellEnd"/>
      <w:r>
        <w:t xml:space="preserve"> 2016, </w:t>
      </w:r>
      <w:proofErr w:type="spellStart"/>
      <w:r>
        <w:t>Erb</w:t>
      </w:r>
      <w:proofErr w:type="spellEnd"/>
      <w:r>
        <w:t xml:space="preserve"> et al. 2018, IPCC 2018, Law et al. 2018, Harmon 2019, </w:t>
      </w:r>
      <w:proofErr w:type="spellStart"/>
      <w:r>
        <w:t>Moomaw</w:t>
      </w:r>
      <w:proofErr w:type="spellEnd"/>
      <w:r>
        <w:t xml:space="preserve"> et al. 2019).</w:t>
      </w:r>
    </w:p>
    <w:p w:rsidR="00D632E6" w:rsidRDefault="00D632E6" w:rsidP="00D632E6">
      <w:r w:rsidRPr="00AF36F8">
        <w:t>Over 200 Top U.S. Climate and Forest Scientists Urge Congress: Protect Forests to Mitigate Climate Crisis</w:t>
      </w:r>
      <w:r>
        <w:t>,</w:t>
      </w:r>
      <w:r w:rsidRPr="00AF36F8">
        <w:t xml:space="preserve"> </w:t>
      </w:r>
      <w:r>
        <w:t xml:space="preserve">May 13, 2020. </w:t>
      </w:r>
      <w:hyperlink r:id="rId57" w:history="1">
        <w:r>
          <w:rPr>
            <w:rStyle w:val="Hyperlink"/>
          </w:rPr>
          <w:t>https://johnmuirproject.org/wp-content/uploads/2020/05/200TopClimateScientistCongressProtectForestsForCimateChange13May20.pdf</w:t>
        </w:r>
      </w:hyperlink>
      <w:r>
        <w:t>.</w:t>
      </w:r>
    </w:p>
    <w:p w:rsidR="00D632E6" w:rsidRDefault="00D632E6" w:rsidP="00D632E6"/>
    <w:p w:rsidR="00D632E6" w:rsidRDefault="00D632E6" w:rsidP="00D632E6">
      <w:pPr>
        <w:ind w:left="720"/>
        <w:rPr>
          <w:rStyle w:val="e"/>
        </w:rPr>
      </w:pPr>
      <w:r w:rsidRPr="00E13B85">
        <w:rPr>
          <w:rStyle w:val="e"/>
        </w:rPr>
        <w:t>Careful scientific study and analysis has demonstrated that timber harvest is not increasing</w:t>
      </w:r>
      <w:r>
        <w:rPr>
          <w:rStyle w:val="e"/>
        </w:rPr>
        <w:t xml:space="preserve"> </w:t>
      </w:r>
      <w:r w:rsidRPr="00E13B85">
        <w:rPr>
          <w:rStyle w:val="e"/>
        </w:rPr>
        <w:t>removal of carbon from the atmosphere by terrestrial systems nor is it reducing emissions. In Oregon, for</w:t>
      </w:r>
      <w:r>
        <w:rPr>
          <w:rStyle w:val="e"/>
        </w:rPr>
        <w:t xml:space="preserve"> </w:t>
      </w:r>
      <w:r w:rsidRPr="00E13B85">
        <w:rPr>
          <w:rStyle w:val="e"/>
        </w:rPr>
        <w:t>example, private industrial timberland is storing less than half the total carbon potential of the sites. This</w:t>
      </w:r>
      <w:r>
        <w:rPr>
          <w:rStyle w:val="e"/>
        </w:rPr>
        <w:t xml:space="preserve"> </w:t>
      </w:r>
      <w:r w:rsidRPr="00E13B85">
        <w:rPr>
          <w:rStyle w:val="e"/>
        </w:rPr>
        <w:t>is because, in many cases, the trees are harvested on a 35-40 year rotation, and very little downed or dead</w:t>
      </w:r>
      <w:r>
        <w:rPr>
          <w:rStyle w:val="e"/>
        </w:rPr>
        <w:t xml:space="preserve"> </w:t>
      </w:r>
      <w:r w:rsidRPr="00E13B85">
        <w:rPr>
          <w:rStyle w:val="e"/>
        </w:rPr>
        <w:t>wood is left on site. The soil profile and the amount of carbon it stores is also impacted by intensive,</w:t>
      </w:r>
      <w:r>
        <w:rPr>
          <w:rStyle w:val="e"/>
        </w:rPr>
        <w:t xml:space="preserve"> </w:t>
      </w:r>
      <w:r w:rsidRPr="00E13B85">
        <w:rPr>
          <w:rStyle w:val="e"/>
        </w:rPr>
        <w:t>short rotation forestry.</w:t>
      </w:r>
    </w:p>
    <w:p w:rsidR="00D632E6" w:rsidRDefault="00D632E6" w:rsidP="00D632E6">
      <w:pPr>
        <w:ind w:left="720"/>
        <w:rPr>
          <w:rStyle w:val="e"/>
        </w:rPr>
      </w:pPr>
      <w:r>
        <w:rPr>
          <w:rStyle w:val="e"/>
        </w:rPr>
        <w:t>…</w:t>
      </w:r>
    </w:p>
    <w:p w:rsidR="00D632E6" w:rsidRDefault="00D632E6" w:rsidP="00D632E6">
      <w:pPr>
        <w:ind w:left="720"/>
        <w:rPr>
          <w:rStyle w:val="e"/>
        </w:rPr>
      </w:pPr>
      <w:r>
        <w:rPr>
          <w:rStyle w:val="e"/>
        </w:rPr>
        <w:t>[W]</w:t>
      </w:r>
      <w:proofErr w:type="spellStart"/>
      <w:r w:rsidRPr="00E13B85">
        <w:rPr>
          <w:rStyle w:val="e"/>
        </w:rPr>
        <w:t>estern</w:t>
      </w:r>
      <w:proofErr w:type="spellEnd"/>
      <w:r w:rsidRPr="00E13B85">
        <w:rPr>
          <w:rStyle w:val="e"/>
        </w:rPr>
        <w:t xml:space="preserve"> states are net</w:t>
      </w:r>
      <w:r>
        <w:rPr>
          <w:rStyle w:val="e"/>
        </w:rPr>
        <w:t xml:space="preserve"> </w:t>
      </w:r>
      <w:r w:rsidRPr="00E13B85">
        <w:rPr>
          <w:rStyle w:val="e"/>
        </w:rPr>
        <w:t>sinks because there is a positive net balance of forest carbon uptake exceeding losses due to harvest,</w:t>
      </w:r>
      <w:r>
        <w:rPr>
          <w:rStyle w:val="e"/>
        </w:rPr>
        <w:t xml:space="preserve"> </w:t>
      </w:r>
      <w:r w:rsidRPr="00E13B85">
        <w:rPr>
          <w:rStyle w:val="e"/>
        </w:rPr>
        <w:t>wood product use and combustion by wildfire. However, wood product use is reducing the potential</w:t>
      </w:r>
      <w:r>
        <w:rPr>
          <w:rStyle w:val="e"/>
        </w:rPr>
        <w:t xml:space="preserve"> </w:t>
      </w:r>
      <w:r w:rsidRPr="00E13B85">
        <w:rPr>
          <w:rStyle w:val="e"/>
        </w:rPr>
        <w:t>annual sink by ~21%, suggesting forest carbon storage can become more effective in climate mitigation</w:t>
      </w:r>
      <w:r>
        <w:rPr>
          <w:rStyle w:val="e"/>
        </w:rPr>
        <w:t xml:space="preserve"> </w:t>
      </w:r>
      <w:r w:rsidRPr="00E13B85">
        <w:rPr>
          <w:rStyle w:val="e"/>
        </w:rPr>
        <w:t>through reduced harvest, longer rotations and more efficient wood product use,</w:t>
      </w:r>
      <w:r>
        <w:rPr>
          <w:rStyle w:val="e"/>
        </w:rPr>
        <w:t xml:space="preserve"> …</w:t>
      </w:r>
    </w:p>
    <w:p w:rsidR="00D632E6" w:rsidRDefault="00D632E6" w:rsidP="00D632E6">
      <w:r>
        <w:t xml:space="preserve">Law, B. 2021. Response to Questions for the Record, </w:t>
      </w:r>
      <w:r>
        <w:rPr>
          <w:i/>
        </w:rPr>
        <w:t>a</w:t>
      </w:r>
      <w:r w:rsidRPr="00D42916">
        <w:rPr>
          <w:i/>
        </w:rPr>
        <w:t>ttached to</w:t>
      </w:r>
      <w:r>
        <w:t xml:space="preserve"> STATEMENT OF DR. BEVERLY LAW, PROFESSOR EMERITUS, OREGON STATE UNIVERSITY,  BEFORE </w:t>
      </w:r>
      <w:r>
        <w:lastRenderedPageBreak/>
        <w:t xml:space="preserve">THE UNITED STATES HOUSE OF REPRESENTATIVES,  SUBCOMMITTEE ON NATIONAL PARKS, FORESTS AND PUBLIC LANDS,  APRIL 29, 2021, CONCERNING “WILDFIRE IN A WARMING WORLD: OPPORTUNITIES TO IMPROVE COMMUNITY COLLABORATION, CLIMATE RESILIENCE, AND WORKFORCE CAPACITY” </w:t>
      </w:r>
      <w:hyperlink r:id="rId58" w:history="1">
        <w:r w:rsidRPr="008139B6">
          <w:rPr>
            <w:rStyle w:val="Hyperlink"/>
          </w:rPr>
          <w:t>https://naturalresources.house.gov/imo/media/doc/Law,%20Beverly%20-%20Testimony%20-%20NPFPL%20Ov%20Hrg%2004.29.21.pdf</w:t>
        </w:r>
      </w:hyperlink>
      <w:r>
        <w:t>.</w:t>
      </w:r>
    </w:p>
    <w:p w:rsidR="00D632E6" w:rsidRDefault="00D632E6" w:rsidP="00D632E6"/>
    <w:p w:rsidR="00D632E6" w:rsidRDefault="00D632E6" w:rsidP="00D632E6">
      <w:pPr>
        <w:ind w:left="720"/>
        <w:rPr>
          <w:color w:val="222222"/>
        </w:rPr>
      </w:pPr>
      <w:r w:rsidRPr="0003173D">
        <w:rPr>
          <w:color w:val="222222"/>
        </w:rPr>
        <w:t>Substitution of wood for more fossil carbon intensive building materials has been projected to</w:t>
      </w:r>
      <w:r>
        <w:rPr>
          <w:color w:val="222222"/>
        </w:rPr>
        <w:t xml:space="preserve"> </w:t>
      </w:r>
      <w:r w:rsidRPr="0003173D">
        <w:rPr>
          <w:color w:val="222222"/>
        </w:rPr>
        <w:t>result in major climate mitigation benefits often exceeding those of the forests themselves. A</w:t>
      </w:r>
      <w:r>
        <w:rPr>
          <w:color w:val="222222"/>
        </w:rPr>
        <w:t xml:space="preserve"> </w:t>
      </w:r>
      <w:r w:rsidRPr="0003173D">
        <w:rPr>
          <w:color w:val="222222"/>
        </w:rPr>
        <w:t>reexamination of the fundamental assumptions underlying these projections indicates long-term mitigation benefits related to product substitution may have been overestimated 2- to 100-fold. This suggests that while product substitution has limited climate mitigation benefits, to be</w:t>
      </w:r>
      <w:r>
        <w:rPr>
          <w:color w:val="222222"/>
        </w:rPr>
        <w:t xml:space="preserve"> </w:t>
      </w:r>
      <w:r w:rsidRPr="0003173D">
        <w:rPr>
          <w:color w:val="222222"/>
        </w:rPr>
        <w:t>effective the value and duration of the fossil carbon displacement, the longevity of buildings, and</w:t>
      </w:r>
      <w:r>
        <w:rPr>
          <w:color w:val="222222"/>
        </w:rPr>
        <w:t xml:space="preserve"> </w:t>
      </w:r>
      <w:r w:rsidRPr="0003173D">
        <w:rPr>
          <w:color w:val="222222"/>
        </w:rPr>
        <w:t>the nature of the forest supplying building materials must be considered.</w:t>
      </w:r>
      <w:r>
        <w:rPr>
          <w:color w:val="222222"/>
        </w:rPr>
        <w:t xml:space="preserve"> ... </w:t>
      </w:r>
      <w:r w:rsidRPr="0003173D">
        <w:rPr>
          <w:color w:val="222222"/>
        </w:rPr>
        <w:t>Conversion of older, high carbon stores forests to short rotation pl</w:t>
      </w:r>
      <w:r>
        <w:rPr>
          <w:color w:val="222222"/>
        </w:rPr>
        <w:t>antations would over the long</w:t>
      </w:r>
      <w:r w:rsidRPr="0003173D">
        <w:rPr>
          <w:color w:val="222222"/>
        </w:rPr>
        <w:t xml:space="preserve"> term likely lead to more carbon being added to the atmosphere despite some of the harv</w:t>
      </w:r>
      <w:r>
        <w:rPr>
          <w:color w:val="222222"/>
        </w:rPr>
        <w:t>e</w:t>
      </w:r>
      <w:r w:rsidRPr="0003173D">
        <w:rPr>
          <w:color w:val="222222"/>
        </w:rPr>
        <w:t>sted</w:t>
      </w:r>
      <w:r>
        <w:rPr>
          <w:color w:val="222222"/>
        </w:rPr>
        <w:t xml:space="preserve"> </w:t>
      </w:r>
      <w:r w:rsidRPr="0003173D">
        <w:rPr>
          <w:color w:val="222222"/>
        </w:rPr>
        <w:t>carbon being stored and production substitution occurring</w:t>
      </w:r>
      <w:r>
        <w:rPr>
          <w:color w:val="222222"/>
        </w:rPr>
        <w:t>.</w:t>
      </w:r>
    </w:p>
    <w:p w:rsidR="00D632E6" w:rsidRPr="00892F88" w:rsidRDefault="00D632E6" w:rsidP="00892F88">
      <w:pPr>
        <w:rPr>
          <w:color w:val="222222"/>
        </w:rPr>
      </w:pPr>
      <w:r w:rsidRPr="0003173D">
        <w:rPr>
          <w:color w:val="222222"/>
        </w:rPr>
        <w:t>Mark E Harmon 2019</w:t>
      </w:r>
      <w:r>
        <w:rPr>
          <w:color w:val="222222"/>
        </w:rPr>
        <w:t>.</w:t>
      </w:r>
      <w:r w:rsidRPr="0003173D">
        <w:rPr>
          <w:color w:val="222222"/>
        </w:rPr>
        <w:t xml:space="preserve"> Have product substitution carbon benefits been overestimated? A</w:t>
      </w:r>
      <w:r>
        <w:rPr>
          <w:color w:val="222222"/>
        </w:rPr>
        <w:t xml:space="preserve"> </w:t>
      </w:r>
      <w:r w:rsidRPr="0003173D">
        <w:rPr>
          <w:color w:val="222222"/>
        </w:rPr>
        <w:t>sensitivi</w:t>
      </w:r>
      <w:r>
        <w:rPr>
          <w:color w:val="222222"/>
        </w:rPr>
        <w:t xml:space="preserve">ty analysis of key assumptions. </w:t>
      </w:r>
      <w:r w:rsidRPr="0003173D">
        <w:rPr>
          <w:color w:val="222222"/>
        </w:rPr>
        <w:t xml:space="preserve">Environ. Res. Lett. </w:t>
      </w:r>
      <w:r w:rsidRPr="0003173D">
        <w:rPr>
          <w:i/>
          <w:color w:val="222222"/>
        </w:rPr>
        <w:t>in press</w:t>
      </w:r>
      <w:r w:rsidRPr="0003173D">
        <w:rPr>
          <w:color w:val="222222"/>
        </w:rPr>
        <w:t xml:space="preserve"> </w:t>
      </w:r>
      <w:hyperlink r:id="rId59" w:history="1">
        <w:r w:rsidRPr="00F671FA">
          <w:rPr>
            <w:rStyle w:val="Hyperlink"/>
          </w:rPr>
          <w:t>https://doi.org/10.1088/1748-9326/ab1e95</w:t>
        </w:r>
      </w:hyperlink>
      <w:r>
        <w:rPr>
          <w:color w:val="222222"/>
        </w:rPr>
        <w:t>.</w:t>
      </w:r>
    </w:p>
    <w:p w:rsidR="00892F88" w:rsidRDefault="00892F88" w:rsidP="00464E8F">
      <w:pPr>
        <w:pStyle w:val="Heading1"/>
        <w:rPr>
          <w:sz w:val="24"/>
          <w:szCs w:val="24"/>
        </w:rPr>
      </w:pPr>
      <w:r>
        <w:rPr>
          <w:sz w:val="24"/>
          <w:szCs w:val="24"/>
        </w:rPr>
        <w:t>LOGGING MATURE &amp; OLD-GROWTH FORESTS WILL VIOLATE PRESIDENT BIDEN’S APRIL 2022 EXECUTIVE ORDER.</w:t>
      </w:r>
    </w:p>
    <w:p w:rsidR="00E47B84" w:rsidRDefault="00892F88" w:rsidP="00892F88">
      <w:pPr>
        <w:shd w:val="clear" w:color="auto" w:fill="FFFFFF"/>
      </w:pPr>
      <w:r>
        <w:t xml:space="preserve">Since the EA was </w:t>
      </w:r>
      <w:r w:rsidR="00E47B84">
        <w:t>released in February 2022</w:t>
      </w:r>
      <w:r>
        <w:t xml:space="preserve">, President Biden issued policy directive to conserve the mature &amp; old-growth forests that this project proposes to log. </w:t>
      </w:r>
      <w:r w:rsidR="00E47B84">
        <w:t xml:space="preserve">This E.O. represents significant new information that the agency should analyze and the public should be allowed to comment on. </w:t>
      </w:r>
    </w:p>
    <w:p w:rsidR="00E47B84" w:rsidRDefault="00E47B84" w:rsidP="00892F88">
      <w:pPr>
        <w:shd w:val="clear" w:color="auto" w:fill="FFFFFF"/>
      </w:pPr>
    </w:p>
    <w:p w:rsidR="00892F88" w:rsidRDefault="00892F88" w:rsidP="00892F88">
      <w:pPr>
        <w:shd w:val="clear" w:color="auto" w:fill="FFFFFF"/>
      </w:pPr>
      <w:r>
        <w:t>On April 22, 2022 President Biden issued an executive order declaring a policy to conserve mature &amp; old-growth forests on federal land and to manage forests to retain and enhance carbon storage. The agencies should immediately implement these policies.</w:t>
      </w:r>
    </w:p>
    <w:p w:rsidR="00892F88" w:rsidRDefault="00892F88" w:rsidP="00892F88">
      <w:pPr>
        <w:shd w:val="clear" w:color="auto" w:fill="FFFFFF"/>
        <w:ind w:left="720"/>
      </w:pPr>
      <w:r w:rsidRPr="0000296A">
        <w:t>Sec. 1. Policy.</w:t>
      </w:r>
      <w:r>
        <w:t xml:space="preserve"> </w:t>
      </w:r>
    </w:p>
    <w:p w:rsidR="00892F88" w:rsidRDefault="00892F88" w:rsidP="00892F88">
      <w:pPr>
        <w:shd w:val="clear" w:color="auto" w:fill="FFFFFF"/>
        <w:ind w:left="720"/>
      </w:pPr>
      <w:r w:rsidRPr="009A4B6C">
        <w:t xml:space="preserve">Strengthening America’s forests, which are home to cherished expanses of mature and old-growth forests on Federal lands, is critical to the health, prosperity, and </w:t>
      </w:r>
      <w:r>
        <w:t>resilience of our communities …</w:t>
      </w:r>
      <w:r w:rsidRPr="009A4B6C">
        <w:t>.  Forests provide clean air and water, sustain the plant and animal life fundamental to combating the global climate and biodiversity crises, and hold special importance to Tribal Nations.</w:t>
      </w:r>
      <w:r>
        <w:t xml:space="preserve"> … </w:t>
      </w:r>
      <w:r w:rsidRPr="009A4B6C">
        <w:t xml:space="preserve">Conserving old-growth and mature forests on Federal lands </w:t>
      </w:r>
      <w:r>
        <w:t xml:space="preserve">… </w:t>
      </w:r>
      <w:r w:rsidRPr="009A4B6C">
        <w:t xml:space="preserve"> is critical to protecting these and other ecosystem services provided by those forests.</w:t>
      </w:r>
      <w:r>
        <w:t xml:space="preserve"> </w:t>
      </w:r>
      <w:r w:rsidRPr="009A4B6C">
        <w:t>…</w:t>
      </w:r>
      <w:r>
        <w:t xml:space="preserve"> </w:t>
      </w:r>
      <w:r w:rsidRPr="009A4B6C">
        <w:t xml:space="preserve">We can and must take action to conserve, restore, reforest, and manage our magnificent forests  </w:t>
      </w:r>
      <w:r>
        <w:t xml:space="preserve">… </w:t>
      </w:r>
      <w:r w:rsidRPr="0070606D">
        <w:rPr>
          <w:u w:val="single"/>
        </w:rPr>
        <w:t>It is the policy of my Administration, … to … conserve America’s mature and old-growth forests on Federal lands …</w:t>
      </w:r>
    </w:p>
    <w:p w:rsidR="00892F88" w:rsidRDefault="00892F88" w:rsidP="00892F88">
      <w:pPr>
        <w:shd w:val="clear" w:color="auto" w:fill="FFFFFF"/>
        <w:ind w:left="720"/>
      </w:pPr>
      <w:r>
        <w:t>…</w:t>
      </w:r>
    </w:p>
    <w:p w:rsidR="00892F88" w:rsidRDefault="00892F88" w:rsidP="00892F88">
      <w:pPr>
        <w:shd w:val="clear" w:color="auto" w:fill="FFFFFF"/>
        <w:ind w:left="720"/>
      </w:pPr>
      <w:r w:rsidRPr="0000296A">
        <w:t>Sec. 2.  Restoring and Conserving the Nation’s Forests, Including Mature and Old-Growth Forests.</w:t>
      </w:r>
      <w:r>
        <w:t xml:space="preserve"> </w:t>
      </w:r>
    </w:p>
    <w:p w:rsidR="00892F88" w:rsidRPr="0070606D" w:rsidRDefault="00892F88" w:rsidP="00892F88">
      <w:pPr>
        <w:shd w:val="clear" w:color="auto" w:fill="FFFFFF"/>
        <w:ind w:left="720"/>
        <w:rPr>
          <w:u w:val="single"/>
        </w:rPr>
      </w:pPr>
      <w:r w:rsidRPr="0070606D">
        <w:rPr>
          <w:u w:val="single"/>
        </w:rPr>
        <w:lastRenderedPageBreak/>
        <w:t>My Administration will manage forests on Federal lands, which include many mature and old-growth forests, to promote their continued health and resilience; retain and enhance carbon storage; conserve biodiversity …</w:t>
      </w:r>
    </w:p>
    <w:p w:rsidR="00892F88" w:rsidRPr="002A55AE" w:rsidRDefault="00892F88" w:rsidP="00892F88">
      <w:pPr>
        <w:shd w:val="clear" w:color="auto" w:fill="FFFFFF"/>
        <w:rPr>
          <w:color w:val="000000"/>
        </w:rPr>
      </w:pPr>
      <w:r>
        <w:t xml:space="preserve">Biden, J. 2022. </w:t>
      </w:r>
      <w:r w:rsidRPr="009A4B6C">
        <w:t>Executive Order on Strengthening the Nation’s Forests, Communities, and Local Economies</w:t>
      </w:r>
      <w:r>
        <w:t xml:space="preserve">. APRIL 22, 2022. </w:t>
      </w:r>
      <w:r w:rsidRPr="009A4B6C">
        <w:t>PRESIDENTIAL ACTIONS</w:t>
      </w:r>
      <w:r>
        <w:t xml:space="preserve"> </w:t>
      </w:r>
      <w:hyperlink r:id="rId60" w:history="1">
        <w:r w:rsidRPr="004E6431">
          <w:rPr>
            <w:rStyle w:val="Hyperlink"/>
          </w:rPr>
          <w:t>https://www.whitehouse.gov/briefing-room/presidential-actions/2022/04/22/executive-order-on-strengthening-the-nations-forests-communities-and-local-economies/</w:t>
        </w:r>
      </w:hyperlink>
      <w:r>
        <w:t xml:space="preserve"> </w:t>
      </w:r>
      <w:r>
        <w:rPr>
          <w:color w:val="000000"/>
        </w:rPr>
        <w:t>(emphasis added). The E.O. also calls for an inventory of mature &amp; old-growth on federal land, an analysis of threats to mature &amp; old-growth forests, and development of policies to address those threats. The agencies do not need to wait for these steps. The official policy of the federal government is to conserve mature &amp; old-growth forests on federal land and that policy should be implemented here and now.</w:t>
      </w:r>
      <w:r w:rsidRPr="002A55AE">
        <w:rPr>
          <w:color w:val="000000"/>
        </w:rPr>
        <w:t xml:space="preserve"> </w:t>
      </w:r>
    </w:p>
    <w:p w:rsidR="00892F88" w:rsidRDefault="00892F88" w:rsidP="00892F88"/>
    <w:p w:rsidR="00892F88" w:rsidRDefault="00892F88" w:rsidP="00892F88">
      <w:r>
        <w:t>The agency can no longer justify continued logging of mature &amp; old-growth forest forests based on the outdated land allocations in the NWFP FEIS. Things have changes since 1994, including but not limited to public opinion has taken away the public license to log old growth; the agencies’ standards for providing dead wood habitat are outdated and inadequate, the agencies need to protect additional habitat in order to increase the chances that spotted owls can co-exist with the newly invading barred owls; anthropogenic stresses need to be reduced in order to buffer old growth ecosystems from the expected increased stress of climate change; and we need to maintain carbon stores in mature &amp; old-growth forest forests in order to mitigate global warming. The agency can no longer tier to the NWFP EIS, because the cumulative impacts of logging mature forests has not been subjected to a programmatic NEPA analysis that reflects all of the new information that has arisen since 1994.</w:t>
      </w:r>
    </w:p>
    <w:p w:rsidR="00892F88" w:rsidRDefault="00892F88" w:rsidP="00892F88"/>
    <w:p w:rsidR="00892F88" w:rsidRDefault="00892F88" w:rsidP="00892F88">
      <w:r>
        <w:t xml:space="preserve">Before logging mature &amp; old-growth forest, please review and consider Heiken, D. 2009. “The Case for Protecting Mature &amp; Old-Growth Forests” </w:t>
      </w:r>
      <w:hyperlink r:id="rId61" w:history="1">
        <w:r w:rsidRPr="00F46137">
          <w:rPr>
            <w:rStyle w:val="Hyperlink"/>
          </w:rPr>
          <w:t>https://www.dropbox.com/s/4s0825a7t6fq7zu/Mature%20Forests%2C%20Heiken%2C%20v%201.8.pdf?dl=0</w:t>
        </w:r>
      </w:hyperlink>
      <w:hyperlink r:id="rId62" w:history="1"/>
      <w:r>
        <w:t xml:space="preserve">,and consider Johnson &amp; Franklin 2009. Restoration of Federal Forests in the Pacific Northwest: Strategies and Management Implications. </w:t>
      </w:r>
      <w:hyperlink r:id="rId63" w:history="1">
        <w:r w:rsidRPr="00BA6A26">
          <w:rPr>
            <w:rStyle w:val="Hyperlink"/>
          </w:rPr>
          <w:t>https://www.blm.gov/or/districts/medford/plans/files/FranklinJohnson.pdf</w:t>
        </w:r>
      </w:hyperlink>
      <w:r>
        <w:t xml:space="preserve"> </w:t>
      </w:r>
    </w:p>
    <w:p w:rsidR="00892F88" w:rsidRPr="00892F88" w:rsidRDefault="00892F88" w:rsidP="00892F88"/>
    <w:p w:rsidR="000C105C" w:rsidRDefault="00293EF7" w:rsidP="00464E8F">
      <w:pPr>
        <w:pStyle w:val="Heading1"/>
        <w:rPr>
          <w:sz w:val="24"/>
          <w:szCs w:val="24"/>
        </w:rPr>
      </w:pPr>
      <w:r w:rsidRPr="00464E8F">
        <w:rPr>
          <w:sz w:val="24"/>
          <w:szCs w:val="24"/>
        </w:rPr>
        <w:t xml:space="preserve">DOWNGRADING 1200 ACRES OF SUITABLE SPOTTED OWL HABITAT AND 800 ACRES OF CRITICAL HABITAT WILL VIOLATE ESA AND NFMA (AND FULL ADVERSE EFFECTS ARE NOT DISCLOSED, VIOLATING NEPA). PROGRAMMATIC CONSULTATION IS NOT GOOD ENOUGH. </w:t>
      </w:r>
    </w:p>
    <w:p w:rsidR="0086095B" w:rsidRPr="0086095B" w:rsidRDefault="0086095B" w:rsidP="0086095B"/>
    <w:p w:rsidR="0086095B" w:rsidRDefault="0086095B" w:rsidP="0086095B">
      <w:r w:rsidRPr="0086095B">
        <w:t xml:space="preserve">The </w:t>
      </w:r>
      <w:r w:rsidR="00AF435E">
        <w:t xml:space="preserve">final </w:t>
      </w:r>
      <w:r w:rsidR="00BD37BD">
        <w:t xml:space="preserve">Grasshopper </w:t>
      </w:r>
      <w:r w:rsidRPr="0086095B">
        <w:t xml:space="preserve">EA never </w:t>
      </w:r>
      <w:r w:rsidR="00AF435E">
        <w:t xml:space="preserve">meaningfully </w:t>
      </w:r>
      <w:r w:rsidRPr="0086095B">
        <w:t xml:space="preserve">addressed Objectors comments on the </w:t>
      </w:r>
      <w:r w:rsidR="00AF435E">
        <w:t>dra</w:t>
      </w:r>
      <w:r w:rsidR="00BD37BD">
        <w:t>f</w:t>
      </w:r>
      <w:r w:rsidR="00AF435E">
        <w:t xml:space="preserve">t </w:t>
      </w:r>
      <w:r w:rsidRPr="0086095B">
        <w:t>EA</w:t>
      </w:r>
      <w:r w:rsidR="00AF435E">
        <w:t xml:space="preserve"> including</w:t>
      </w:r>
      <w:r w:rsidRPr="0086095B">
        <w:t>:</w:t>
      </w:r>
    </w:p>
    <w:p w:rsidR="003C4BB1" w:rsidRDefault="003C4BB1" w:rsidP="003C4BB1">
      <w:pPr>
        <w:ind w:left="720"/>
      </w:pPr>
      <w:r>
        <w:t xml:space="preserve">The Wildlife Report (p 17) claims that 1181 acres of spotted owl nesting/roosting critical habitat will be logged but habitat quality will somehow be </w:t>
      </w:r>
      <w:r w:rsidRPr="002623F8">
        <w:rPr>
          <w:i/>
        </w:rPr>
        <w:t>maintained</w:t>
      </w:r>
      <w:r>
        <w:t xml:space="preserve">. This is unsupported by the evidence, including the important fact that commercial logging </w:t>
      </w:r>
      <w:r w:rsidRPr="00A76C41">
        <w:t>always</w:t>
      </w:r>
      <w:r>
        <w:t xml:space="preserve"> causes a significant long-term reduction in dead wood habitat that is important for spotted owls and their prey. </w:t>
      </w:r>
    </w:p>
    <w:p w:rsidR="003C4BB1" w:rsidRDefault="003C4BB1" w:rsidP="003C4BB1">
      <w:pPr>
        <w:ind w:left="720"/>
      </w:pPr>
    </w:p>
    <w:p w:rsidR="003C4BB1" w:rsidRDefault="003C4BB1" w:rsidP="003C4BB1">
      <w:pPr>
        <w:ind w:left="720"/>
      </w:pPr>
      <w:r>
        <w:lastRenderedPageBreak/>
        <w:t>The Wildlife Report (p 9) says “The Grasshopper planning are is in the middle of the range for spotted owl so the above studies may indicate a balance between and advantage for barred owls and an advantage for spotted owls.” This analysis fails to recognize a more significant effect of downgrading 1200 acres of suitable owl habitat, which is that when two species are competing for the same habitat, reducing the amount of suitable habitat increases the chances of co-existence and increase the chances of competitive exclusion.</w:t>
      </w:r>
    </w:p>
    <w:p w:rsidR="003C4BB1" w:rsidRDefault="003C4BB1" w:rsidP="003C4BB1">
      <w:pPr>
        <w:ind w:left="720"/>
      </w:pPr>
    </w:p>
    <w:p w:rsidR="003C4BB1" w:rsidRDefault="003C4BB1" w:rsidP="003C4BB1">
      <w:pPr>
        <w:autoSpaceDE w:val="0"/>
        <w:ind w:left="720"/>
      </w:pPr>
      <w:r>
        <w:t xml:space="preserve">A telemetry study showed that in fragmented landscapes barred owls have a survival advantage relative to spotted owls, but that survival advantage diminishes in landscapes with a higher proportion of older forest. In other words, conservation of mature &amp; old-growth forest should be favored because spotted owls are able to compete nearly equally with barred owls in landscapes with a high proportion of old forest. </w:t>
      </w:r>
    </w:p>
    <w:p w:rsidR="003C4BB1" w:rsidRDefault="003C4BB1" w:rsidP="003C4BB1">
      <w:pPr>
        <w:autoSpaceDE w:val="0"/>
        <w:ind w:left="720"/>
      </w:pPr>
    </w:p>
    <w:p w:rsidR="00CD2196" w:rsidRDefault="003C4BB1" w:rsidP="00CD2196">
      <w:pPr>
        <w:ind w:left="720"/>
      </w:pPr>
      <w:r>
        <w:t xml:space="preserve">The EA analysis of effects to spotted owls and their critical habitat only describes conclusions, but there is no real analysis describing the effects of logging on spotted owl life functions, and prey populations, and of particular relevant here, the relative risks to spotted owls from fire versus fuel reduction logging. </w:t>
      </w:r>
    </w:p>
    <w:p w:rsidR="005B3F09" w:rsidRPr="004F3A82" w:rsidRDefault="005B3F09" w:rsidP="005B3F09">
      <w:pPr>
        <w:shd w:val="clear" w:color="auto" w:fill="FFFFFF"/>
        <w:spacing w:before="100" w:beforeAutospacing="1" w:after="100" w:afterAutospacing="1"/>
        <w:rPr>
          <w:spacing w:val="3"/>
        </w:rPr>
      </w:pPr>
      <w:r w:rsidRPr="004F3A82">
        <w:rPr>
          <w:spacing w:val="3"/>
        </w:rPr>
        <w:t xml:space="preserve">The Grasshopper Wildlife Report says that spotted owls live in older forests with “numerous large snags; an abundance of large, dead wood on the ground.” Section 3.3.3.4 of the Wildlife Report discusses management of critical habitat and “Special Management Considerations for ECN-7.” The fourth of eight special management considerations or protections were identified for the East Cascades Critical Habitat Unit ECN-7 in the Final Critical Habitat Rule is “Retain and restore key structural components, including large and old trees, </w:t>
      </w:r>
      <w:r w:rsidRPr="005B3F09">
        <w:rPr>
          <w:i/>
          <w:spacing w:val="3"/>
        </w:rPr>
        <w:t>large snags, and downed logs</w:t>
      </w:r>
      <w:r w:rsidRPr="004F3A82">
        <w:rPr>
          <w:spacing w:val="3"/>
        </w:rPr>
        <w:t>;”</w:t>
      </w:r>
      <w:r>
        <w:rPr>
          <w:spacing w:val="3"/>
        </w:rPr>
        <w:t xml:space="preserve"> (emphasis added).</w:t>
      </w:r>
      <w:r w:rsidRPr="004F3A82">
        <w:rPr>
          <w:spacing w:val="3"/>
        </w:rPr>
        <w:t xml:space="preserve"> The report incredulously says “The proposed project will help to maintain key structural components by reducing fuels and preventing the loss of these components due to fire, insects, and disease.” The report fails to account for the fact that forest growth and mortality processes like insects and disease help recruit large snags and dead wood habitat. Logging to reduce insects and disease reduces key components of spotted owl habitat and the NEPA analysis does not disclose this important fact. </w:t>
      </w:r>
      <w:r>
        <w:rPr>
          <w:spacing w:val="3"/>
        </w:rPr>
        <w:t xml:space="preserve">The Wildlife Report says the objective to retain large </w:t>
      </w:r>
      <w:r w:rsidRPr="005B3F09">
        <w:rPr>
          <w:spacing w:val="3"/>
        </w:rPr>
        <w:t>snag</w:t>
      </w:r>
      <w:r>
        <w:rPr>
          <w:spacing w:val="3"/>
        </w:rPr>
        <w:t>s</w:t>
      </w:r>
      <w:r w:rsidRPr="005B3F09">
        <w:rPr>
          <w:spacing w:val="3"/>
        </w:rPr>
        <w:t xml:space="preserve"> and down log</w:t>
      </w:r>
      <w:r>
        <w:rPr>
          <w:spacing w:val="3"/>
        </w:rPr>
        <w:t>s</w:t>
      </w:r>
      <w:r w:rsidRPr="005B3F09">
        <w:rPr>
          <w:spacing w:val="3"/>
        </w:rPr>
        <w:t xml:space="preserve"> </w:t>
      </w:r>
      <w:r w:rsidRPr="004F3A82">
        <w:rPr>
          <w:spacing w:val="3"/>
        </w:rPr>
        <w:t xml:space="preserve">is being met </w:t>
      </w:r>
      <w:r>
        <w:rPr>
          <w:spacing w:val="3"/>
        </w:rPr>
        <w:t xml:space="preserve">even though </w:t>
      </w:r>
      <w:r w:rsidRPr="004F3A82">
        <w:rPr>
          <w:spacing w:val="3"/>
        </w:rPr>
        <w:t xml:space="preserve">logging </w:t>
      </w:r>
      <w:r>
        <w:rPr>
          <w:spacing w:val="3"/>
        </w:rPr>
        <w:t>will remove large trees &gt;20” dbh</w:t>
      </w:r>
      <w:r w:rsidRPr="004F3A82">
        <w:rPr>
          <w:spacing w:val="3"/>
        </w:rPr>
        <w:t xml:space="preserve"> and </w:t>
      </w:r>
      <w:r>
        <w:rPr>
          <w:spacing w:val="3"/>
        </w:rPr>
        <w:t>will dramatically reduce</w:t>
      </w:r>
      <w:r w:rsidRPr="004F3A82">
        <w:rPr>
          <w:spacing w:val="3"/>
        </w:rPr>
        <w:t xml:space="preserve"> long-term recruitment of snag habitat. Tables 8 and 9 of the Wildlife Report show that logging provides fewer large snags for the next 100 years compared to the no action Alternative. See Snag Habitat section of this objection.</w:t>
      </w:r>
      <w:r>
        <w:rPr>
          <w:spacing w:val="3"/>
        </w:rPr>
        <w:t xml:space="preserve"> The conclusions are inconsistent with the analysis.</w:t>
      </w:r>
    </w:p>
    <w:p w:rsidR="003C4BB1" w:rsidRDefault="0086095B" w:rsidP="00293EF7">
      <w:pPr>
        <w:shd w:val="clear" w:color="auto" w:fill="FFFFFF"/>
        <w:spacing w:before="100" w:beforeAutospacing="1" w:after="100" w:afterAutospacing="1"/>
      </w:pPr>
      <w:r>
        <w:t xml:space="preserve">The EA is misleading to the extent that it claims that logging suitable spotted owl habitat will maintain spotted owl functions. Logging will in fact cause a long-term loss of spotted owl habitat function. The only thing that will be maintained is conditions that meet the </w:t>
      </w:r>
      <w:r w:rsidRPr="00171798">
        <w:rPr>
          <w:i/>
        </w:rPr>
        <w:t>bare minimum</w:t>
      </w:r>
      <w:r>
        <w:t xml:space="preserve"> criteria that define suitable habitat. The spotted owl will suffer adverse effects </w:t>
      </w:r>
      <w:r w:rsidR="00171798">
        <w:t xml:space="preserve">from removal of habitat elements such as large trees and snags </w:t>
      </w:r>
      <w:r>
        <w:t xml:space="preserve">even though the habitat still meets the minimum definition of suitable for foraging or nesting. This </w:t>
      </w:r>
      <w:r w:rsidR="00171798">
        <w:t xml:space="preserve">analysis misleads </w:t>
      </w:r>
      <w:r>
        <w:t xml:space="preserve">the public by not </w:t>
      </w:r>
      <w:r w:rsidR="00171798">
        <w:t>to fully and accurately disclosing</w:t>
      </w:r>
      <w:r>
        <w:t xml:space="preserve"> the </w:t>
      </w:r>
      <w:r w:rsidR="00171798">
        <w:t xml:space="preserve">true </w:t>
      </w:r>
      <w:r>
        <w:t>adverse effects of logging (and violated NEPA’s mandate for accurate scientific analysis).</w:t>
      </w:r>
    </w:p>
    <w:p w:rsidR="005B1203" w:rsidRDefault="00171798" w:rsidP="005B1203">
      <w:pPr>
        <w:shd w:val="clear" w:color="auto" w:fill="FFFFFF"/>
        <w:rPr>
          <w:color w:val="222222"/>
        </w:rPr>
      </w:pPr>
      <w:r>
        <w:rPr>
          <w:color w:val="222222"/>
        </w:rPr>
        <w:lastRenderedPageBreak/>
        <w:t xml:space="preserve">The EA also fails to accurately disclose the fact that reducing suitable habitat via logging will increase adverse competitive interactions between spotted owls and barred owls. </w:t>
      </w:r>
      <w:r w:rsidR="005B1203" w:rsidRPr="0054181A">
        <w:rPr>
          <w:color w:val="222222"/>
        </w:rPr>
        <w:t>The </w:t>
      </w:r>
      <w:r w:rsidR="005B1203" w:rsidRPr="005B1203">
        <w:rPr>
          <w:bCs/>
          <w:color w:val="222222"/>
        </w:rPr>
        <w:t>barred owl</w:t>
      </w:r>
      <w:r w:rsidR="005B1203" w:rsidRPr="0054181A">
        <w:rPr>
          <w:color w:val="222222"/>
        </w:rPr>
        <w:t> is dramatically increasing in numbers throughout the range of the spotted owl and causing Competition and displacement of the spotted owl. The Northwest Forest Plan does not account for the effects of barred owls which compete with spotted owls and exclude spotted owls from otherwise suitable habitat. The barred owl is barely mentioned in the 1994 SEIS. The invasion of the barred owl undermines a critical assumption underlying the Northwest Forest Plan - that all </w:t>
      </w:r>
      <w:r w:rsidR="005B1203" w:rsidRPr="0054181A">
        <w:rPr>
          <w:i/>
          <w:iCs/>
          <w:color w:val="222222"/>
        </w:rPr>
        <w:t>suitable </w:t>
      </w:r>
      <w:r w:rsidR="005B1203" w:rsidRPr="0054181A">
        <w:rPr>
          <w:color w:val="222222"/>
        </w:rPr>
        <w:t>owl habitat is </w:t>
      </w:r>
      <w:r w:rsidR="005B1203" w:rsidRPr="0054181A">
        <w:rPr>
          <w:i/>
          <w:iCs/>
          <w:color w:val="222222"/>
        </w:rPr>
        <w:t>available </w:t>
      </w:r>
      <w:r w:rsidR="005B1203" w:rsidRPr="0054181A">
        <w:rPr>
          <w:color w:val="222222"/>
        </w:rPr>
        <w:t>to spotted owls. Tens of thousands of acres old forest owl habitat (which was in short supply before the barred owl arrived) are now occupied and defended by barred owls to the exclusion of spotted owls. The logical response now is to protect and restore more habitat to reach spotted owl population goals. </w:t>
      </w:r>
      <w:r w:rsidR="005B1203" w:rsidRPr="005B1203">
        <w:rPr>
          <w:color w:val="222222"/>
        </w:rPr>
        <w:t xml:space="preserve">The </w:t>
      </w:r>
      <w:r w:rsidR="005B1203">
        <w:rPr>
          <w:color w:val="222222"/>
        </w:rPr>
        <w:t xml:space="preserve">Grasshopper </w:t>
      </w:r>
      <w:r w:rsidR="005B1203" w:rsidRPr="005B1203">
        <w:rPr>
          <w:color w:val="222222"/>
        </w:rPr>
        <w:t>EA fails to</w:t>
      </w:r>
      <w:r w:rsidR="005B1203">
        <w:rPr>
          <w:b/>
          <w:color w:val="222222"/>
        </w:rPr>
        <w:t xml:space="preserve"> </w:t>
      </w:r>
      <w:r w:rsidR="005B1203">
        <w:rPr>
          <w:color w:val="222222"/>
        </w:rPr>
        <w:t xml:space="preserve">address the significant implications of the barred owl and the need to protect more suitable owl habitat than called for in the 1994 Northwest Forest Plan. </w:t>
      </w:r>
      <w:r w:rsidR="005B1203" w:rsidRPr="0054181A">
        <w:rPr>
          <w:color w:val="222222"/>
        </w:rPr>
        <w:t xml:space="preserve">Based on well-established species/area relationships the agencies need to protect more suitable owl habitat is needed to ensure that these two owl species can co-exist, and to decrease the likelihood of competitive exclusion. This is corroborated by FWS’ Final Recovery Plan for the Northern Spotted Owl, which recommends protection of "substantially all of the older and more structurally complex multi-layered conifer forest" outside of reserves (as well as on non-federal lands). "These forests are characterized as having large diameter trees, high amounts of canopy cover, and decadence components such as broken-topped live trees, mistletoe, cavities, large snags, and fallen trees." See Recovery Action 32. This recovery action is intended to reduce competitive pressures between spotted and barred owls, but unfortunately RA 32 only applies to a subset of all the suitable habitat that could be conserved to further co-existence between the two competing owls, and an analysis has not been done to </w:t>
      </w:r>
      <w:r>
        <w:rPr>
          <w:color w:val="222222"/>
        </w:rPr>
        <w:t xml:space="preserve">determine </w:t>
      </w:r>
      <w:r w:rsidR="005B1203" w:rsidRPr="0054181A">
        <w:rPr>
          <w:i/>
          <w:iCs/>
          <w:color w:val="222222"/>
        </w:rPr>
        <w:t>how much</w:t>
      </w:r>
      <w:r w:rsidR="005B1203" w:rsidRPr="0054181A">
        <w:rPr>
          <w:color w:val="222222"/>
        </w:rPr>
        <w:t xml:space="preserve"> additional habitat needs to be protected to ensure recovery of the spotted owl, and the USFS </w:t>
      </w:r>
      <w:r>
        <w:rPr>
          <w:color w:val="222222"/>
        </w:rPr>
        <w:t xml:space="preserve">has </w:t>
      </w:r>
      <w:r w:rsidR="005B1203" w:rsidRPr="0054181A">
        <w:rPr>
          <w:color w:val="222222"/>
        </w:rPr>
        <w:t>not taken steps to amend their LRMPs to implement this recovery plan element.</w:t>
      </w:r>
    </w:p>
    <w:p w:rsidR="00CD2196" w:rsidRDefault="00CD2196" w:rsidP="005B1203">
      <w:pPr>
        <w:autoSpaceDE w:val="0"/>
      </w:pPr>
    </w:p>
    <w:p w:rsidR="00CD2196" w:rsidRDefault="00CD2196" w:rsidP="005B1203">
      <w:pPr>
        <w:autoSpaceDE w:val="0"/>
      </w:pPr>
      <w:r>
        <w:t xml:space="preserve">The Response-to-Comments says that the barred owl is analyzed in Section 2.3.3.5 of the Wildlife Report. No such section exists. Section </w:t>
      </w:r>
      <w:r w:rsidRPr="00CD2196">
        <w:t>2.2.1.3</w:t>
      </w:r>
      <w:r>
        <w:t xml:space="preserve"> purports to address barred owl competition with spotted owls, but fails to disclose that </w:t>
      </w:r>
      <w:r w:rsidR="005B3F09">
        <w:t xml:space="preserve">owl </w:t>
      </w:r>
      <w:r>
        <w:t>habitat downgrading will increase adverse competitive interactions.</w:t>
      </w:r>
    </w:p>
    <w:p w:rsidR="005B1203" w:rsidRDefault="005B1203" w:rsidP="005B1203">
      <w:pPr>
        <w:autoSpaceDE w:val="0"/>
      </w:pPr>
    </w:p>
    <w:p w:rsidR="005B1203" w:rsidRDefault="005B1203" w:rsidP="005B1203">
      <w:pPr>
        <w:autoSpaceDE w:val="0"/>
      </w:pPr>
      <w:r>
        <w:t xml:space="preserve">The agency must do more than blindly rely on an biological opinion or the 5-year status review. Unless a document has gone through the NEPA process itself, a “non-NEPA document…cannot satisfy a federal agency’s obligations under NEPA.” </w:t>
      </w:r>
      <w:r>
        <w:rPr>
          <w:u w:val="single"/>
        </w:rPr>
        <w:t>South Fork Band Council of Western Shoshone of Nevada v. U.S. Dept. of Interior</w:t>
      </w:r>
      <w:r>
        <w:t xml:space="preserve">, 588 F.3d 718, 726 (9th Cir. 2009). Judge King’s August 2006 decision in </w:t>
      </w:r>
      <w:r>
        <w:rPr>
          <w:u w:val="single"/>
        </w:rPr>
        <w:t>ONRC Action v. US Forest Service</w:t>
      </w:r>
      <w:r>
        <w:t xml:space="preserve"> makes clear that the agency must carefully consider and explain the potential relevance and significance of new information on the spotted owl within the context of the timber sale under consideration. Merely </w:t>
      </w:r>
    </w:p>
    <w:p w:rsidR="005B1203" w:rsidRDefault="005B1203" w:rsidP="005B1203">
      <w:pPr>
        <w:autoSpaceDE w:val="0"/>
        <w:ind w:left="720"/>
        <w:rPr>
          <w:u w:val="single"/>
        </w:rPr>
      </w:pPr>
      <w:r>
        <w:t>“including documents in the administrative record, without analyzing them in the context of their bearing on the proposed action, does not satisfy the requirement that the agency make a reasoned decision based on its evaluation of the significance or lack of significance of the new information. … Additional documentation or data in the record does not cure the unreasonableness of the Forest Service’s Review &amp; Analysis on this issue unless it is incorporated into a careful analysis and explanation”</w:t>
      </w:r>
    </w:p>
    <w:p w:rsidR="001203EA" w:rsidRDefault="005B1203" w:rsidP="001203EA">
      <w:r>
        <w:rPr>
          <w:u w:val="single"/>
        </w:rPr>
        <w:lastRenderedPageBreak/>
        <w:t>ONRC Action v. US Forest Service</w:t>
      </w:r>
      <w:r>
        <w:t>. Civil No. 03-613-KI. US District Court for the District of Oregon. Opinion and Order; August 9, 2006.</w:t>
      </w:r>
      <w:r w:rsidR="001203EA">
        <w:t xml:space="preserve"> </w:t>
      </w:r>
    </w:p>
    <w:p w:rsidR="001203EA" w:rsidRDefault="001203EA" w:rsidP="001203EA"/>
    <w:p w:rsidR="001203EA" w:rsidRDefault="001203EA" w:rsidP="001203EA">
      <w:r>
        <w:t>The agencies have no NEPA analysis to tier to that addresses (on a range-wide scale) how to mitigate the adverse competitive interactions between spotted owls and barred owls. Before the agencies degrade any more suitable owl habitat they must consider a range of NEPA alternative that protects more than just the "structurally complex older forest" in order to increase the chances that spotted owls and barred owls can co-exist.</w:t>
      </w:r>
    </w:p>
    <w:p w:rsidR="001203EA" w:rsidRDefault="001203EA" w:rsidP="001203EA">
      <w:r>
        <w:t xml:space="preserve">A 2010 Draft report “Population Demography of Northern Spotted Owls” corroborates the need to protect more than just a subset of the highest quality spotted owl habitat as contemplated in the draft Recovery Action 32. </w:t>
      </w:r>
    </w:p>
    <w:p w:rsidR="005B3F09" w:rsidRDefault="005B3F09" w:rsidP="001203EA"/>
    <w:p w:rsidR="005B3F09" w:rsidRDefault="005B3F09" w:rsidP="005B3F09">
      <w:pPr>
        <w:autoSpaceDE w:val="0"/>
      </w:pPr>
      <w:r>
        <w:t xml:space="preserve">The agencies can no longer rely on the 1994 Northwest Forest Plan FSEIS because there is significant new information that could alter the results of the previous analysis. “[A]n agency preparing a SEIS cannot simply rest on the previous EIS or SEIS if there is new information that may alter the environmental analysis. 'The agency must be alert to new information that may alter the results of its original environmental analysis....'” </w:t>
      </w:r>
      <w:r>
        <w:rPr>
          <w:u w:val="single"/>
        </w:rPr>
        <w:t xml:space="preserve">Friends of the Clearwater v. </w:t>
      </w:r>
      <w:proofErr w:type="spellStart"/>
      <w:r>
        <w:rPr>
          <w:u w:val="single"/>
        </w:rPr>
        <w:t>Dombeck</w:t>
      </w:r>
      <w:proofErr w:type="spellEnd"/>
      <w:r>
        <w:t xml:space="preserve">, 222 F.3d 552, 557 (9th Cir. 2000). </w:t>
      </w:r>
      <w:r>
        <w:rPr>
          <w:u w:val="single"/>
        </w:rPr>
        <w:t>NWEA vs. Mark Rey</w:t>
      </w:r>
      <w:r>
        <w:t xml:space="preserve">, W.D. Washington. No. C04-844P. Judge Marsha </w:t>
      </w:r>
      <w:proofErr w:type="spellStart"/>
      <w:r>
        <w:t>Pechman</w:t>
      </w:r>
      <w:proofErr w:type="spellEnd"/>
      <w:r>
        <w:t>, Aug 1, 2005.</w:t>
      </w:r>
    </w:p>
    <w:p w:rsidR="005B3F09" w:rsidRDefault="005B3F09" w:rsidP="001203EA"/>
    <w:p w:rsidR="005B3F09" w:rsidRDefault="005B3F09" w:rsidP="001203EA">
      <w:r>
        <w:t>Recovery Action 32 is a start, but it may not be enough, and it has not gone through NEPA and NFMA review. Scientists recommend conservation of a broader swath of suitable habitat.</w:t>
      </w:r>
    </w:p>
    <w:p w:rsidR="001203EA" w:rsidRDefault="001203EA" w:rsidP="001203EA">
      <w:pPr>
        <w:pStyle w:val="BodyTextIndent"/>
      </w:pPr>
      <w:r>
        <w:t xml:space="preserve">We also found a negative relationship between recruitment rates and the presence of Barred Owls and a positive relationship between recruitment and the amount of suitable owl habitat in the study areas. Recruitment was higher on federal lands where the amount of suitable owl habitat was generally highest. [p 96] … </w:t>
      </w:r>
    </w:p>
    <w:p w:rsidR="001203EA" w:rsidRDefault="001203EA" w:rsidP="001203EA">
      <w:pPr>
        <w:pStyle w:val="BodyTextIndent"/>
      </w:pPr>
      <w:r>
        <w:t xml:space="preserve">While our observational results do not demonstrate cause-effect relationships, they provide support for the hypothesis that the invasion of the range of the Spotted Owl by Barred Owls is at least partly the cause for the continued decline of Spotted Owls on federal lands. Our results also suggest that Barred Owl encroachment into western forests may make it difficult to insure the continued persistence of Northern Spotted Owls (see also Olson et al. 2004). The fact that Barred Owls are increasing and becoming an escalating threat to the persistence of Spotted Owls does not diminish the importance of habitat conservation for Spotted Owls and their prey. In fact, the existence of a new and potential competitor like the Barred Owl makes the protection of habitat even more important, since any loss of habitat will likely increase competitive pressure and result in further reductions in Spotted Owl populations (Horn and MacArthur 1972, Olson et al. 2004, </w:t>
      </w:r>
      <w:proofErr w:type="spellStart"/>
      <w:r>
        <w:t>Carrete</w:t>
      </w:r>
      <w:proofErr w:type="spellEnd"/>
      <w:r>
        <w:t xml:space="preserve"> et al. 2005). [pp 97-98] …</w:t>
      </w:r>
    </w:p>
    <w:p w:rsidR="001203EA" w:rsidRDefault="001203EA" w:rsidP="001203EA">
      <w:pPr>
        <w:pStyle w:val="BodyTextIndent"/>
        <w:rPr>
          <w:sz w:val="20"/>
        </w:rPr>
      </w:pPr>
      <w:r>
        <w:t xml:space="preserve">Our results and those of others referenced above consistently identify loss of habitat and Barred Owls as important stressors on populations of Northern spotted Owls. In view of the continued decline of Spotted Owls in most study areas, it would be wise to </w:t>
      </w:r>
      <w:r>
        <w:rPr>
          <w:b/>
        </w:rPr>
        <w:t>preserve as much high quality habitat in late-successional forests for Spotted Owls as possible</w:t>
      </w:r>
      <w:r>
        <w:t xml:space="preserve">, distributed over as large an area as possible. This recommendation is comparable to one of the recovery goals in the final recovery plan for the Northern Spotted Owl (USDI Fish and Wildlife Service 2008), but </w:t>
      </w:r>
      <w:r>
        <w:rPr>
          <w:b/>
        </w:rPr>
        <w:t>we believe that a more inclusive definition of high quality habitat is needed</w:t>
      </w:r>
      <w:r>
        <w:t xml:space="preserve"> than the rather vague definition </w:t>
      </w:r>
      <w:r>
        <w:lastRenderedPageBreak/>
        <w:t>provided in the 2008 recovery plan. Much of the habitat occupied by Northern Spotted Owls and their prey does not fit the classical definition of “old-growth” as defined by Franklin and Spies (1991), and a narrow definition of habitat based on the Franklin and Spies criteria would exclude many areas currently occupied by Northern Spotted Owls. [p 99]...</w:t>
      </w:r>
    </w:p>
    <w:p w:rsidR="001203EA" w:rsidRPr="005B3F09" w:rsidRDefault="001203EA" w:rsidP="001203EA">
      <w:pPr>
        <w:pStyle w:val="BodyTextIndent"/>
        <w:ind w:left="0"/>
        <w:rPr>
          <w:szCs w:val="24"/>
        </w:rPr>
      </w:pPr>
      <w:r w:rsidRPr="005B3F09">
        <w:rPr>
          <w:szCs w:val="24"/>
        </w:rPr>
        <w:t xml:space="preserve">Eric D. Forsman, Robert G. Anthony, Katie M. </w:t>
      </w:r>
      <w:proofErr w:type="spellStart"/>
      <w:r w:rsidRPr="005B3F09">
        <w:rPr>
          <w:szCs w:val="24"/>
        </w:rPr>
        <w:t>Dugger</w:t>
      </w:r>
      <w:proofErr w:type="spellEnd"/>
      <w:r w:rsidRPr="005B3F09">
        <w:rPr>
          <w:szCs w:val="24"/>
        </w:rPr>
        <w:t xml:space="preserve">, Elizabeth M. Glenn, Alan B. Franklin, Gary C. White, Carl J. Schwarz, Kenneth P. Burnham, David R. Anderson, James D. Nichols, James E. Hines, Joseph B. Lint, Raymond J. Davis, Steven H. Ackers, Lawrence S. Andrews, Brian L. Biswell, Peter C. Carlson, Lowell V. Diller, Scott </w:t>
      </w:r>
      <w:proofErr w:type="spellStart"/>
      <w:r w:rsidRPr="005B3F09">
        <w:rPr>
          <w:szCs w:val="24"/>
        </w:rPr>
        <w:t>A.Gremel</w:t>
      </w:r>
      <w:proofErr w:type="spellEnd"/>
      <w:r w:rsidRPr="005B3F09">
        <w:rPr>
          <w:szCs w:val="24"/>
        </w:rPr>
        <w:t xml:space="preserve">, Dale R. Herter, J. Mark </w:t>
      </w:r>
      <w:proofErr w:type="spellStart"/>
      <w:r w:rsidRPr="005B3F09">
        <w:rPr>
          <w:szCs w:val="24"/>
        </w:rPr>
        <w:t>Higley</w:t>
      </w:r>
      <w:proofErr w:type="spellEnd"/>
      <w:r w:rsidRPr="005B3F09">
        <w:rPr>
          <w:szCs w:val="24"/>
        </w:rPr>
        <w:t xml:space="preserve">, Robert B. Horn, Janice A. Reid, Jeremy </w:t>
      </w:r>
      <w:proofErr w:type="spellStart"/>
      <w:r w:rsidRPr="005B3F09">
        <w:rPr>
          <w:szCs w:val="24"/>
        </w:rPr>
        <w:t>Rockweit</w:t>
      </w:r>
      <w:proofErr w:type="spellEnd"/>
      <w:r w:rsidRPr="005B3F09">
        <w:rPr>
          <w:szCs w:val="24"/>
        </w:rPr>
        <w:t xml:space="preserve">, Jim </w:t>
      </w:r>
      <w:proofErr w:type="spellStart"/>
      <w:r w:rsidRPr="005B3F09">
        <w:rPr>
          <w:szCs w:val="24"/>
        </w:rPr>
        <w:t>Schaberl</w:t>
      </w:r>
      <w:proofErr w:type="spellEnd"/>
      <w:r w:rsidRPr="005B3F09">
        <w:rPr>
          <w:szCs w:val="24"/>
        </w:rPr>
        <w:t xml:space="preserve">, Thomas J. Snetsinger, and Stan G. Sovern. “Population Demography of Northern Spotted Owls.” DRAFT COPY 17 December 2010. This draft manuscript is in press at the University of California Press with a projected publication date of July 2011. It will be No. 40 in Studies In Avian Biology, which is published by the Cooper Ornithological Society. </w:t>
      </w:r>
      <w:hyperlink r:id="rId64" w:anchor="_blank" w:history="1">
        <w:r w:rsidRPr="005B3F09">
          <w:rPr>
            <w:rStyle w:val="Hyperlink"/>
            <w:szCs w:val="24"/>
          </w:rPr>
          <w:t>http://www.reo.gov/monitoring/reports/nso/FORSMANetal_draft_17_Dec_2010.pdf</w:t>
        </w:r>
      </w:hyperlink>
      <w:r w:rsidRPr="005B3F09">
        <w:rPr>
          <w:szCs w:val="24"/>
        </w:rPr>
        <w:t>.</w:t>
      </w:r>
      <w:r w:rsidRPr="005B3F09">
        <w:rPr>
          <w:szCs w:val="24"/>
        </w:rPr>
        <w:br/>
      </w:r>
    </w:p>
    <w:p w:rsidR="00A678AE" w:rsidRDefault="00A678AE" w:rsidP="001203EA">
      <w:pPr>
        <w:pStyle w:val="BodyTextIndent"/>
        <w:ind w:left="0"/>
      </w:pPr>
      <w:r>
        <w:t>The Response-to-Comment says (p 67) that “</w:t>
      </w:r>
      <w:r w:rsidRPr="00A678AE">
        <w:t>Updating the definition of high-quality habitat in the 2008 Recovery Plan is outside the scope of this project.</w:t>
      </w:r>
      <w:r>
        <w:t>” But the FS cannot just ignore the new scientific information indicating that conservation of a more inclusive swath of suitable habitat may be necessary to conserve and recover the spotted owl. Addressing significant new information is required under NEPA.</w:t>
      </w:r>
    </w:p>
    <w:p w:rsidR="00A678AE" w:rsidRDefault="00A678AE" w:rsidP="001203EA">
      <w:pPr>
        <w:pStyle w:val="BodyTextIndent"/>
        <w:ind w:left="0"/>
      </w:pPr>
    </w:p>
    <w:p w:rsidR="001203EA" w:rsidRDefault="001203EA" w:rsidP="001203EA">
      <w:r>
        <w:t xml:space="preserve">A well-known axiom of the species-area relationship from island biogeography holds that as habitat area increases, the number of cohabiting species also increases. See especially, Part III - Competition in a Spatial World </w:t>
      </w:r>
      <w:r>
        <w:rPr>
          <w:i/>
        </w:rPr>
        <w:t xml:space="preserve">in </w:t>
      </w:r>
      <w:proofErr w:type="spellStart"/>
      <w:r>
        <w:t>Tilman</w:t>
      </w:r>
      <w:proofErr w:type="spellEnd"/>
      <w:r>
        <w:t xml:space="preserve">, D. and P. </w:t>
      </w:r>
      <w:proofErr w:type="spellStart"/>
      <w:r>
        <w:t>Karieva</w:t>
      </w:r>
      <w:proofErr w:type="spellEnd"/>
      <w:r>
        <w:t>, Eds. 1997. Spatial Ecology: The Role of Space in Population Dynamics and Interspecific Interactions. Monographs in Population Biology, Princeton University Press. 368 pp.</w:t>
      </w:r>
    </w:p>
    <w:p w:rsidR="001203EA" w:rsidRDefault="001203EA" w:rsidP="001203EA"/>
    <w:p w:rsidR="001203EA" w:rsidRDefault="001203EA" w:rsidP="001203EA">
      <w:pPr>
        <w:ind w:left="720"/>
      </w:pPr>
      <w:r>
        <w:t>“The major causes of population and species extinction worldwide are habitat loss and interactions among species. … The most robust generalization that we can make about population extinction is that small populations face a particularly high risk of extinction. … [E]</w:t>
      </w:r>
      <w:proofErr w:type="spellStart"/>
      <w:r>
        <w:t>mpirical</w:t>
      </w:r>
      <w:proofErr w:type="spellEnd"/>
      <w:r>
        <w:t xml:space="preserve"> support for the extinction-proneness of small populations has been found practically wherever this issue has been examined. … The loss of habitat reduced population size …. Larger habitat patches have larger expected population sizes than smaller patches. Therefore, other things being equal, we could expect large habitat patches to have populations with a lower risk of extinction than populations in small patches. … More generally, the relationship between patch size and extinction risk provides a key rule of thumb for conservation: other things being equal it is better to conserve a large than a small patch of habitat or to preserve as much of a particular patch as possible. … [T]here are likely to be many complementary reasons why large patches have populations with low risk of extinction. ” </w:t>
      </w:r>
    </w:p>
    <w:p w:rsidR="001203EA" w:rsidRDefault="001203EA" w:rsidP="001203EA">
      <w:pPr>
        <w:spacing w:before="100" w:after="100"/>
      </w:pPr>
      <w:r>
        <w:t xml:space="preserve">Oscar E. </w:t>
      </w:r>
      <w:proofErr w:type="spellStart"/>
      <w:r>
        <w:t>Gaggiotti</w:t>
      </w:r>
      <w:proofErr w:type="spellEnd"/>
      <w:r>
        <w:t xml:space="preserve"> and </w:t>
      </w:r>
      <w:proofErr w:type="spellStart"/>
      <w:r>
        <w:t>Ilkka</w:t>
      </w:r>
      <w:proofErr w:type="spellEnd"/>
      <w:r>
        <w:t xml:space="preserve"> </w:t>
      </w:r>
      <w:proofErr w:type="spellStart"/>
      <w:r>
        <w:t>Hanski</w:t>
      </w:r>
      <w:proofErr w:type="spellEnd"/>
      <w:r>
        <w:t xml:space="preserve">. 2004. Chapter 14 - Mechanisms of Population Extinction. </w:t>
      </w:r>
      <w:r>
        <w:rPr>
          <w:i/>
        </w:rPr>
        <w:t xml:space="preserve">In </w:t>
      </w:r>
      <w:r>
        <w:t xml:space="preserve">Ecology, Genetics, and Evolution of </w:t>
      </w:r>
      <w:proofErr w:type="spellStart"/>
      <w:r>
        <w:t>Metapopulations</w:t>
      </w:r>
      <w:proofErr w:type="spellEnd"/>
      <w:r>
        <w:t xml:space="preserve">. Elsevier. 2004. </w:t>
      </w:r>
      <w:hyperlink r:id="rId65" w:history="1">
        <w:r>
          <w:rPr>
            <w:rStyle w:val="Hyperlink"/>
          </w:rPr>
          <w:t>http://web.archive.org/web/20070612211945/http://www.eeb.cornell.edu/sdv2/Readings/Gaggiotti&amp;Hanski.pdf</w:t>
        </w:r>
      </w:hyperlink>
      <w:r>
        <w:t xml:space="preserve"> </w:t>
      </w:r>
    </w:p>
    <w:p w:rsidR="001203EA" w:rsidRDefault="001203EA" w:rsidP="001203EA">
      <w:pPr>
        <w:pStyle w:val="HTMLPreformatted"/>
        <w:rPr>
          <w:rFonts w:ascii="-moz-fixed" w:hAnsi="-moz-fixed" w:cs="-moz-fixed"/>
          <w:sz w:val="24"/>
          <w:szCs w:val="24"/>
        </w:rPr>
      </w:pPr>
    </w:p>
    <w:p w:rsidR="001203EA" w:rsidRDefault="001203EA" w:rsidP="001203EA">
      <w:pPr>
        <w:pStyle w:val="HTMLPreformatted"/>
        <w:rPr>
          <w:rFonts w:ascii="-moz-fixed" w:hAnsi="-moz-fixed" w:cs="-moz-fixed"/>
          <w:sz w:val="24"/>
          <w:szCs w:val="24"/>
        </w:rPr>
      </w:pPr>
      <w:r>
        <w:rPr>
          <w:rFonts w:ascii="-moz-fixed" w:hAnsi="-moz-fixed" w:cs="-moz-fixed"/>
          <w:sz w:val="24"/>
          <w:szCs w:val="24"/>
        </w:rPr>
        <w:lastRenderedPageBreak/>
        <w:t xml:space="preserve">The effects of habitat availability on competing species was explored by expert wildlife population modelers who found — </w:t>
      </w:r>
    </w:p>
    <w:p w:rsidR="001203EA" w:rsidRDefault="001203EA" w:rsidP="001203EA">
      <w:pPr>
        <w:pStyle w:val="HTMLPreformatted"/>
        <w:ind w:left="720"/>
        <w:rPr>
          <w:rFonts w:ascii="-moz-fixed" w:hAnsi="-moz-fixed" w:cs="-moz-fixed"/>
          <w:sz w:val="24"/>
          <w:szCs w:val="24"/>
        </w:rPr>
      </w:pPr>
      <w:r>
        <w:rPr>
          <w:rFonts w:ascii="-moz-fixed" w:hAnsi="-moz-fixed" w:cs="-moz-fixed"/>
          <w:sz w:val="24"/>
          <w:szCs w:val="24"/>
        </w:rPr>
        <w:t xml:space="preserve">The territorial occupancy model developed by </w:t>
      </w:r>
      <w:proofErr w:type="spellStart"/>
      <w:r>
        <w:rPr>
          <w:rFonts w:ascii="-moz-fixed" w:hAnsi="-moz-fixed" w:cs="-moz-fixed"/>
          <w:sz w:val="24"/>
          <w:szCs w:val="24"/>
        </w:rPr>
        <w:t>Lande</w:t>
      </w:r>
      <w:proofErr w:type="spellEnd"/>
      <w:r>
        <w:rPr>
          <w:rFonts w:ascii="-moz-fixed" w:hAnsi="-moz-fixed" w:cs="-moz-fixed"/>
          <w:sz w:val="24"/>
          <w:szCs w:val="24"/>
        </w:rPr>
        <w:t xml:space="preserve"> (1987), extended here to include two competing species, represents a useful tool for evaluating how equilibrium breeding numbers could be affected by changes in habitat availability, demographic parameters, dispersal behavior and interspecific competition … Its application shows that </w:t>
      </w:r>
      <w:r>
        <w:rPr>
          <w:rFonts w:ascii="-moz-fixed" w:hAnsi="-moz-fixed" w:cs="-moz-fixed"/>
          <w:b/>
          <w:sz w:val="24"/>
          <w:szCs w:val="24"/>
        </w:rPr>
        <w:t>increases in the exclusive suitable habitat of each species is the best option to maintain viable populations of territorial competitors</w:t>
      </w:r>
      <w:r>
        <w:rPr>
          <w:rFonts w:ascii="-moz-fixed" w:hAnsi="-moz-fixed" w:cs="-moz-fixed"/>
          <w:sz w:val="24"/>
          <w:szCs w:val="24"/>
        </w:rPr>
        <w:t xml:space="preserve"> in a same area, given that it reduces competition for territories. Increases in habitat overlap by reducing the exclusive habitat available for one species strongly affected the outcome of competition, resulting in extinction of the species for which exclusive habitat had been eliminated.</w:t>
      </w:r>
    </w:p>
    <w:p w:rsidR="001203EA" w:rsidRDefault="001203EA" w:rsidP="001203EA">
      <w:pPr>
        <w:pStyle w:val="HTMLPreformatted"/>
      </w:pPr>
      <w:r>
        <w:rPr>
          <w:rFonts w:ascii="-moz-fixed" w:hAnsi="-moz-fixed" w:cs="-moz-fixed"/>
          <w:sz w:val="24"/>
          <w:szCs w:val="24"/>
        </w:rPr>
        <w:t xml:space="preserve">Martina </w:t>
      </w:r>
      <w:proofErr w:type="spellStart"/>
      <w:r>
        <w:rPr>
          <w:rFonts w:ascii="-moz-fixed" w:hAnsi="-moz-fixed" w:cs="-moz-fixed"/>
          <w:sz w:val="24"/>
          <w:szCs w:val="24"/>
        </w:rPr>
        <w:t>Carrete</w:t>
      </w:r>
      <w:proofErr w:type="spellEnd"/>
      <w:r>
        <w:rPr>
          <w:rFonts w:ascii="-moz-fixed" w:hAnsi="-moz-fixed" w:cs="-moz-fixed"/>
          <w:sz w:val="24"/>
          <w:szCs w:val="24"/>
        </w:rPr>
        <w:t xml:space="preserve">, Jose´ A. </w:t>
      </w:r>
      <w:proofErr w:type="spellStart"/>
      <w:r>
        <w:rPr>
          <w:rFonts w:ascii="-moz-fixed" w:hAnsi="-moz-fixed" w:cs="-moz-fixed"/>
          <w:sz w:val="24"/>
          <w:szCs w:val="24"/>
        </w:rPr>
        <w:t>Sa´nchez</w:t>
      </w:r>
      <w:proofErr w:type="spellEnd"/>
      <w:r>
        <w:rPr>
          <w:rFonts w:ascii="-moz-fixed" w:hAnsi="-moz-fixed" w:cs="-moz-fixed"/>
          <w:sz w:val="24"/>
          <w:szCs w:val="24"/>
        </w:rPr>
        <w:t xml:space="preserve">-Zapata, Jose´ F. </w:t>
      </w:r>
      <w:proofErr w:type="spellStart"/>
      <w:r>
        <w:rPr>
          <w:rFonts w:ascii="-moz-fixed" w:hAnsi="-moz-fixed" w:cs="-moz-fixed"/>
          <w:sz w:val="24"/>
          <w:szCs w:val="24"/>
        </w:rPr>
        <w:t>Calvo</w:t>
      </w:r>
      <w:proofErr w:type="spellEnd"/>
      <w:r>
        <w:rPr>
          <w:rFonts w:ascii="-moz-fixed" w:hAnsi="-moz-fixed" w:cs="-moz-fixed"/>
          <w:sz w:val="24"/>
          <w:szCs w:val="24"/>
        </w:rPr>
        <w:t xml:space="preserve"> and Russell </w:t>
      </w:r>
      <w:proofErr w:type="spellStart"/>
      <w:r>
        <w:rPr>
          <w:rFonts w:ascii="-moz-fixed" w:hAnsi="-moz-fixed" w:cs="-moz-fixed"/>
          <w:sz w:val="24"/>
          <w:szCs w:val="24"/>
        </w:rPr>
        <w:t>Lande</w:t>
      </w:r>
      <w:proofErr w:type="spellEnd"/>
      <w:r>
        <w:rPr>
          <w:rFonts w:ascii="-moz-fixed" w:hAnsi="-moz-fixed" w:cs="-moz-fixed"/>
          <w:sz w:val="24"/>
          <w:szCs w:val="24"/>
        </w:rPr>
        <w:t xml:space="preserve">. Demography and habitat availability in territorial occupancy of two competing species. OIKOS 108: 125-136, 2005 </w:t>
      </w:r>
      <w:hyperlink r:id="rId66" w:history="1">
        <w:r>
          <w:rPr>
            <w:rStyle w:val="Hyperlink"/>
            <w:rFonts w:ascii="-moz-fixed" w:hAnsi="-moz-fixed" w:cs="-moz-fixed"/>
            <w:sz w:val="24"/>
            <w:szCs w:val="24"/>
          </w:rPr>
          <w:t>http://www.ebd.csic.es/carnivoros/personal/carrete/martina/recursos/13.%20carrete%20et%20al%20%282005%29%20oikos%20108-125.pdf</w:t>
        </w:r>
      </w:hyperlink>
      <w:r>
        <w:rPr>
          <w:rFonts w:ascii="-moz-fixed" w:hAnsi="-moz-fixed" w:cs="-moz-fixed"/>
          <w:sz w:val="24"/>
          <w:szCs w:val="24"/>
        </w:rPr>
        <w:t>.</w:t>
      </w:r>
    </w:p>
    <w:p w:rsidR="001203EA" w:rsidRDefault="001203EA" w:rsidP="001203EA">
      <w:pPr>
        <w:spacing w:before="100" w:after="100"/>
      </w:pPr>
      <w:r>
        <w:t>From these ecological foundations, one can see that the barred owl, by invading, occupying suitable habitat and excluding spotted owls, has reduced the effective size of the reserves that were established in 1994, and thereby reduces the potential population of spotted owls. Extinction risk is increased by this loss of habitat and smaller population. If we provide more suitable habitat, the population potential increases, and the risk of extinction decreases. The most rational way to respond is to protect remaining suitable habitat, expand and restore the reserve system to provide more suitable habitat to increase the likelihood that the two owl species can co-exist.</w:t>
      </w:r>
      <w:r>
        <w:rPr>
          <w:rStyle w:val="FootnoteCharacters"/>
        </w:rPr>
        <w:footnoteReference w:id="1"/>
      </w:r>
    </w:p>
    <w:p w:rsidR="00892F88" w:rsidRDefault="001203EA" w:rsidP="00892F88">
      <w:pPr>
        <w:spacing w:before="100"/>
      </w:pPr>
      <w:r>
        <w:t xml:space="preserve">This view is corroborated by owl biologist David Wiens who was interviewed on the Lehrer </w:t>
      </w:r>
      <w:proofErr w:type="spellStart"/>
      <w:r>
        <w:t>NewsHour</w:t>
      </w:r>
      <w:proofErr w:type="spellEnd"/>
      <w:r>
        <w:t xml:space="preserve">. He said: “The more habitat you protect, the more you're going to alleviate the competitive pressure between the species. Rather than reducing it and increasing the competitive pressure between these two species, we need to provide as much habitat as possible for them.” DAVID WIENS. </w:t>
      </w:r>
      <w:proofErr w:type="spellStart"/>
      <w:r>
        <w:t>NewsHour</w:t>
      </w:r>
      <w:proofErr w:type="spellEnd"/>
      <w:r>
        <w:t xml:space="preserve"> interview. “Biologists Struggle to Save the Spotted Owl.” December 18, 2007. </w:t>
      </w:r>
      <w:hyperlink r:id="rId67" w:history="1">
        <w:r>
          <w:rPr>
            <w:rStyle w:val="Hyperlink"/>
          </w:rPr>
          <w:t>http://www.pbs.org/newshour/bb/science/july-dec07/owl_12-18.html</w:t>
        </w:r>
      </w:hyperlink>
      <w:r>
        <w:t xml:space="preserve">. Robert Anthony agrees, “If you start cutting habitat for either bird, you just increase competitive pressure.” Welch, Craig. 2009. The Spotted Owl’s New Nemesis. Smithsonian Magazine. January 2009. </w:t>
      </w:r>
      <w:hyperlink r:id="rId68" w:history="1">
        <w:r>
          <w:rPr>
            <w:rStyle w:val="Hyperlink"/>
          </w:rPr>
          <w:t>http://www.smithsonianmag.com/science-nature/The-Spotted-Owls-New-Nemesis.html?c=y&amp;page=2</w:t>
        </w:r>
      </w:hyperlink>
      <w:r>
        <w:t xml:space="preserve"> And in the same article Eric Forsman added "You could shoot barred owls until you're blue in the face," he said. "But unless you're willing to do it forever, it's just not going to work."</w:t>
      </w:r>
    </w:p>
    <w:p w:rsidR="00AF435E" w:rsidRDefault="00AF435E" w:rsidP="001203EA">
      <w:pPr>
        <w:spacing w:before="100" w:after="100"/>
      </w:pPr>
      <w:r>
        <w:t xml:space="preserve">The EA fails to address the fact that logging suitable habitat will increase adverse competitive interactions between spotted owls and barred owls. The FS needs to consider the implications of Judge Aiken’s 9/30-2022 ruling in </w:t>
      </w:r>
      <w:r w:rsidRPr="00AF435E">
        <w:rPr>
          <w:i/>
        </w:rPr>
        <w:t>KS Wild v. USFWS</w:t>
      </w:r>
      <w:r>
        <w:t xml:space="preserve">, </w:t>
      </w:r>
      <w:r w:rsidRPr="00AF435E">
        <w:t>Civ. No. 1:20-cv-00952-AA</w:t>
      </w:r>
      <w:r w:rsidR="002F7AA7">
        <w:t xml:space="preserve"> (regarding BLM’s Poor Windy timber sale) </w:t>
      </w:r>
      <w:r>
        <w:t>which said:</w:t>
      </w:r>
    </w:p>
    <w:p w:rsidR="00AF435E" w:rsidRPr="004F3A82" w:rsidRDefault="00AF435E" w:rsidP="002F7AA7">
      <w:pPr>
        <w:shd w:val="clear" w:color="auto" w:fill="FFFFFF"/>
        <w:ind w:left="720"/>
        <w:rPr>
          <w:spacing w:val="3"/>
        </w:rPr>
      </w:pPr>
      <w:r w:rsidRPr="004F3A82">
        <w:rPr>
          <w:spacing w:val="3"/>
        </w:rPr>
        <w:lastRenderedPageBreak/>
        <w:t>A primary reason why barred owl incursion poses such a grave threat to northern spotted owl survival and recovery is that barred owls outcompete northern spotted owls across habitat classes, while adapting to inferior habitat more readily than northern spotted owls. BLM AR 04567. There exists “a strong potential for both exploitation and interference competition between spotted owls and recently established barred owls . . . .” Id. The “availability of old forests and associated prey species are likely to be the most strongly limiting factors in the competitive relationship between these species[,]” and so “maintaining high-quality habitat in late-successional forests” is important for the persistence of northern spotted owls. Id.</w:t>
      </w:r>
    </w:p>
    <w:p w:rsidR="00AF435E" w:rsidRPr="004F3A82" w:rsidRDefault="00AF435E" w:rsidP="002F7AA7">
      <w:pPr>
        <w:shd w:val="clear" w:color="auto" w:fill="FFFFFF"/>
        <w:ind w:left="720"/>
        <w:rPr>
          <w:spacing w:val="3"/>
        </w:rPr>
      </w:pPr>
      <w:r w:rsidRPr="004F3A82">
        <w:rPr>
          <w:spacing w:val="3"/>
        </w:rPr>
        <w:t>…</w:t>
      </w:r>
    </w:p>
    <w:p w:rsidR="00AF435E" w:rsidRPr="004F3A82" w:rsidRDefault="002F7AA7" w:rsidP="002F7AA7">
      <w:pPr>
        <w:shd w:val="clear" w:color="auto" w:fill="FFFFFF"/>
        <w:ind w:left="720"/>
        <w:rPr>
          <w:spacing w:val="3"/>
        </w:rPr>
      </w:pPr>
      <w:r w:rsidRPr="004F3A82">
        <w:rPr>
          <w:spacing w:val="3"/>
        </w:rPr>
        <w:t xml:space="preserve">Recovery of the northern spotted owl depends on the retention of all suitable habitat in the near term, development of suitable habitat in the longer term, and successful barred owl control. Id. at 06148. </w:t>
      </w:r>
    </w:p>
    <w:p w:rsidR="002F7AA7" w:rsidRPr="004F3A82" w:rsidRDefault="002F7AA7" w:rsidP="002F7AA7">
      <w:pPr>
        <w:shd w:val="clear" w:color="auto" w:fill="FFFFFF"/>
        <w:ind w:left="720"/>
        <w:rPr>
          <w:spacing w:val="3"/>
        </w:rPr>
      </w:pPr>
      <w:r w:rsidRPr="004F3A82">
        <w:rPr>
          <w:spacing w:val="3"/>
        </w:rPr>
        <w:t>…</w:t>
      </w:r>
    </w:p>
    <w:p w:rsidR="002F7AA7" w:rsidRPr="004F3A82" w:rsidRDefault="002F7AA7" w:rsidP="002F7AA7">
      <w:pPr>
        <w:shd w:val="clear" w:color="auto" w:fill="FFFFFF"/>
        <w:ind w:left="720"/>
        <w:rPr>
          <w:spacing w:val="3"/>
        </w:rPr>
      </w:pPr>
      <w:r w:rsidRPr="004F3A82">
        <w:rPr>
          <w:spacing w:val="3"/>
        </w:rPr>
        <w:t xml:space="preserve">The evidence outlined in the </w:t>
      </w:r>
      <w:proofErr w:type="spellStart"/>
      <w:r w:rsidRPr="004F3A82">
        <w:rPr>
          <w:spacing w:val="3"/>
        </w:rPr>
        <w:t>BiOp</w:t>
      </w:r>
      <w:proofErr w:type="spellEnd"/>
      <w:r w:rsidRPr="004F3A82">
        <w:rPr>
          <w:spacing w:val="3"/>
        </w:rPr>
        <w:t xml:space="preserve"> shows that barred owls out-compete spotted owls for NRF habitat with no known exception, and that NRF habitat will be reduced by the proposed projects. Further, that barred owls’ competitive interactions with the spotted owl are “anticipate[d] to continue” within the action area. Yet, after analyzing those points, FWS concludes that “the outcome of this relationship [between the two owl species] as a result of the proposed action is uncertain.” That strikes the Court as a conclusion “counter” to the evidence on which FWS relied. As further example, the </w:t>
      </w:r>
      <w:proofErr w:type="spellStart"/>
      <w:r w:rsidRPr="004F3A82">
        <w:rPr>
          <w:spacing w:val="3"/>
        </w:rPr>
        <w:t>BiOp</w:t>
      </w:r>
      <w:proofErr w:type="spellEnd"/>
      <w:r w:rsidRPr="004F3A82">
        <w:rPr>
          <w:spacing w:val="3"/>
        </w:rPr>
        <w:t xml:space="preserve"> determined that alternative habitat availability will help reduce interference competition, but in the same examination, FWS discussed studies showing that when barred owls and spotted owls overlap—behavior that is known to happen in the action area—“disruptions in the spotted owl's connection or fidelity to their territory” occurs partly because barred owls select a “broader range” of habitat, and that “barred owl densities . . . increase.” Despite that, the </w:t>
      </w:r>
      <w:proofErr w:type="spellStart"/>
      <w:r w:rsidRPr="004F3A82">
        <w:rPr>
          <w:spacing w:val="3"/>
        </w:rPr>
        <w:t>BiOp</w:t>
      </w:r>
      <w:proofErr w:type="spellEnd"/>
      <w:r w:rsidRPr="004F3A82">
        <w:rPr>
          <w:spacing w:val="3"/>
        </w:rPr>
        <w:t xml:space="preserve"> continues: “we assume that the availability of untreated habitat in the action area ameliorates or can potentially offset the negative influence of barred owls.” But the </w:t>
      </w:r>
      <w:proofErr w:type="spellStart"/>
      <w:r w:rsidRPr="004F3A82">
        <w:rPr>
          <w:spacing w:val="3"/>
        </w:rPr>
        <w:t>BiOp</w:t>
      </w:r>
      <w:proofErr w:type="spellEnd"/>
      <w:r w:rsidRPr="004F3A82">
        <w:rPr>
          <w:spacing w:val="3"/>
        </w:rPr>
        <w:t xml:space="preserve"> does not sufficiently explain the basis for that assumption.</w:t>
      </w:r>
    </w:p>
    <w:p w:rsidR="009E4E05" w:rsidRPr="004F3A82" w:rsidRDefault="009E4E05" w:rsidP="002F7AA7">
      <w:pPr>
        <w:shd w:val="clear" w:color="auto" w:fill="FFFFFF"/>
        <w:ind w:left="720"/>
        <w:rPr>
          <w:spacing w:val="3"/>
        </w:rPr>
      </w:pPr>
    </w:p>
    <w:p w:rsidR="002F7AA7" w:rsidRPr="004F3A82" w:rsidRDefault="002F7AA7" w:rsidP="002F7AA7">
      <w:pPr>
        <w:shd w:val="clear" w:color="auto" w:fill="FFFFFF"/>
        <w:ind w:left="720"/>
        <w:rPr>
          <w:spacing w:val="3"/>
        </w:rPr>
      </w:pPr>
      <w:r w:rsidRPr="004F3A82">
        <w:rPr>
          <w:spacing w:val="3"/>
        </w:rPr>
        <w:t xml:space="preserve">… The Court also finds, however, that in considering the problem, the </w:t>
      </w:r>
      <w:proofErr w:type="spellStart"/>
      <w:r w:rsidRPr="004F3A82">
        <w:rPr>
          <w:spacing w:val="3"/>
        </w:rPr>
        <w:t>BiOp</w:t>
      </w:r>
      <w:proofErr w:type="spellEnd"/>
      <w:r w:rsidRPr="004F3A82">
        <w:rPr>
          <w:spacing w:val="3"/>
        </w:rPr>
        <w:t xml:space="preserve"> “offered an explanation for its decision that runs counter to the evidence before the agency,” O'Keeffe's, Inc., 92 F.3d at 942; Motor Vehicle Mfrs., 463 U.S. at 43. As such, the Court concludes that the determination on the effects of the action on the barred owl and spotted owl interaction is arbitrary and capricious.</w:t>
      </w:r>
    </w:p>
    <w:p w:rsidR="009E4E05" w:rsidRPr="004F3A82" w:rsidRDefault="009E4E05" w:rsidP="002F7AA7">
      <w:pPr>
        <w:shd w:val="clear" w:color="auto" w:fill="FFFFFF"/>
        <w:ind w:left="720"/>
        <w:rPr>
          <w:spacing w:val="3"/>
        </w:rPr>
      </w:pPr>
    </w:p>
    <w:p w:rsidR="002F7AA7" w:rsidRPr="004F3A82" w:rsidRDefault="002F7AA7" w:rsidP="002F7AA7">
      <w:pPr>
        <w:shd w:val="clear" w:color="auto" w:fill="FFFFFF"/>
        <w:ind w:left="720"/>
        <w:rPr>
          <w:spacing w:val="3"/>
        </w:rPr>
      </w:pPr>
      <w:r w:rsidRPr="004F3A82">
        <w:rPr>
          <w:spacing w:val="3"/>
        </w:rPr>
        <w:t>… FWS was not faced with scientific uncertainty, but unanimity concerning the negative impact of reduced NRF habitat and the barred owls’ threat to the spotted owl based on the barred owls’ ability to out-compete for food and shelter.</w:t>
      </w:r>
    </w:p>
    <w:p w:rsidR="009E4E05" w:rsidRPr="004F3A82" w:rsidRDefault="009E4E05" w:rsidP="009E4E05">
      <w:pPr>
        <w:shd w:val="clear" w:color="auto" w:fill="FFFFFF"/>
        <w:ind w:left="720"/>
        <w:rPr>
          <w:spacing w:val="3"/>
        </w:rPr>
      </w:pPr>
    </w:p>
    <w:p w:rsidR="002F7AA7" w:rsidRPr="004F3A82" w:rsidRDefault="002F7AA7" w:rsidP="009E4E05">
      <w:pPr>
        <w:shd w:val="clear" w:color="auto" w:fill="FFFFFF"/>
        <w:ind w:left="720"/>
        <w:rPr>
          <w:spacing w:val="3"/>
        </w:rPr>
      </w:pPr>
      <w:r w:rsidRPr="004F3A82">
        <w:rPr>
          <w:spacing w:val="3"/>
        </w:rPr>
        <w:t>…</w:t>
      </w:r>
      <w:r w:rsidR="009E4E05" w:rsidRPr="004F3A82">
        <w:rPr>
          <w:spacing w:val="3"/>
        </w:rPr>
        <w:t xml:space="preserve"> </w:t>
      </w:r>
      <w:r w:rsidRPr="004F3A82">
        <w:rPr>
          <w:spacing w:val="3"/>
        </w:rPr>
        <w:t xml:space="preserve">the </w:t>
      </w:r>
      <w:proofErr w:type="spellStart"/>
      <w:r w:rsidRPr="004F3A82">
        <w:rPr>
          <w:spacing w:val="3"/>
        </w:rPr>
        <w:t>BiOp</w:t>
      </w:r>
      <w:proofErr w:type="spellEnd"/>
      <w:r w:rsidRPr="004F3A82">
        <w:rPr>
          <w:spacing w:val="3"/>
        </w:rPr>
        <w:t xml:space="preserve"> concluded that the timber sales are not likely to jeopardize the continued existence of the northern spotted owl or result in the destruction or adverse modification of its critical habitat. </w:t>
      </w:r>
      <w:proofErr w:type="spellStart"/>
      <w:r w:rsidRPr="004F3A82">
        <w:rPr>
          <w:spacing w:val="3"/>
        </w:rPr>
        <w:t>BiOp</w:t>
      </w:r>
      <w:proofErr w:type="spellEnd"/>
      <w:r w:rsidRPr="004F3A82">
        <w:rPr>
          <w:spacing w:val="3"/>
        </w:rPr>
        <w:t xml:space="preserve"> at 110, 114. In so concluding, the </w:t>
      </w:r>
      <w:proofErr w:type="spellStart"/>
      <w:r w:rsidRPr="004F3A82">
        <w:rPr>
          <w:spacing w:val="3"/>
        </w:rPr>
        <w:t>BiOp</w:t>
      </w:r>
      <w:proofErr w:type="spellEnd"/>
      <w:r w:rsidRPr="004F3A82">
        <w:rPr>
          <w:spacing w:val="3"/>
        </w:rPr>
        <w:t xml:space="preserve"> relied on “future development of spotted owl habitat and management of barred owls in the [Late Successional Reserve]” land use allocation to “provide for territories that will </w:t>
      </w:r>
      <w:r w:rsidRPr="004F3A82">
        <w:rPr>
          <w:spacing w:val="3"/>
        </w:rPr>
        <w:lastRenderedPageBreak/>
        <w:t xml:space="preserve">support future spotted owl populations.” BLM AR 00390, 00394, 00432. But the </w:t>
      </w:r>
      <w:proofErr w:type="spellStart"/>
      <w:r w:rsidRPr="004F3A82">
        <w:rPr>
          <w:spacing w:val="3"/>
        </w:rPr>
        <w:t>BiOp</w:t>
      </w:r>
      <w:proofErr w:type="spellEnd"/>
      <w:r w:rsidRPr="004F3A82">
        <w:rPr>
          <w:spacing w:val="3"/>
        </w:rPr>
        <w:t xml:space="preserve"> highlights the “potential,” “ongoing,” and “experimental” nature of current barred owl control efforts …</w:t>
      </w:r>
    </w:p>
    <w:p w:rsidR="009E4E05" w:rsidRPr="004F3A82" w:rsidRDefault="009E4E05" w:rsidP="002F7AA7">
      <w:pPr>
        <w:shd w:val="clear" w:color="auto" w:fill="FFFFFF"/>
        <w:ind w:left="720"/>
        <w:rPr>
          <w:spacing w:val="3"/>
        </w:rPr>
      </w:pPr>
    </w:p>
    <w:p w:rsidR="002F7AA7" w:rsidRPr="004F3A82" w:rsidRDefault="002F7AA7" w:rsidP="002F7AA7">
      <w:pPr>
        <w:shd w:val="clear" w:color="auto" w:fill="FFFFFF"/>
        <w:ind w:left="720"/>
        <w:rPr>
          <w:spacing w:val="3"/>
        </w:rPr>
      </w:pPr>
      <w:r w:rsidRPr="004F3A82">
        <w:rPr>
          <w:spacing w:val="3"/>
        </w:rPr>
        <w:t>… Plaintiffs have demonstrated that the FWS in the 2019 BOP relied on measures not reasonably certain to occur in determining that the timber sales are not likely to jeopardize the continued existence of the northern spotted owl or result in the destruction or adverse modification of its critical habitat in violation of the ESA’s requirement for “clear, definite commitment of resources.” Id. at 743. Accordingly, Plaintiffs have met their burden to demonstrate that the decision was arbitrary and capricious.</w:t>
      </w:r>
    </w:p>
    <w:p w:rsidR="00687429" w:rsidRPr="00464E8F" w:rsidRDefault="00850E1B" w:rsidP="00687429">
      <w:pPr>
        <w:shd w:val="clear" w:color="auto" w:fill="FFFFFF"/>
        <w:rPr>
          <w:color w:val="3C4043"/>
          <w:spacing w:val="3"/>
        </w:rPr>
      </w:pPr>
      <w:hyperlink r:id="rId69" w:history="1">
        <w:r w:rsidR="00687429" w:rsidRPr="007367CB">
          <w:rPr>
            <w:rStyle w:val="Hyperlink"/>
            <w:spacing w:val="3"/>
          </w:rPr>
          <w:t>https://westernlaw.org/wp-content/uploads/2022/10/2022.09.30-Poor-Windy-Opinion-and-Order.pdf</w:t>
        </w:r>
      </w:hyperlink>
      <w:r w:rsidR="004A17B9">
        <w:rPr>
          <w:color w:val="3C4043"/>
          <w:spacing w:val="3"/>
        </w:rPr>
        <w:t xml:space="preserve">. </w:t>
      </w:r>
      <w:r w:rsidR="004A17B9" w:rsidRPr="004F3A82">
        <w:rPr>
          <w:spacing w:val="3"/>
        </w:rPr>
        <w:t xml:space="preserve">The analysis in the EA and the consultation document need to fully account for the </w:t>
      </w:r>
      <w:r w:rsidR="00AE3D2E" w:rsidRPr="004F3A82">
        <w:rPr>
          <w:spacing w:val="3"/>
        </w:rPr>
        <w:t xml:space="preserve">cumulative and combined </w:t>
      </w:r>
      <w:r w:rsidR="004A17B9" w:rsidRPr="004F3A82">
        <w:rPr>
          <w:spacing w:val="3"/>
        </w:rPr>
        <w:t>adverse competitive effects of barred owls</w:t>
      </w:r>
      <w:r w:rsidR="00AE3D2E" w:rsidRPr="004F3A82">
        <w:rPr>
          <w:spacing w:val="3"/>
        </w:rPr>
        <w:t xml:space="preserve"> and logging that reduces canopy cover, reduces prey habitat, and reduces snag and dead wood habitat</w:t>
      </w:r>
      <w:r w:rsidR="004A17B9" w:rsidRPr="004F3A82">
        <w:rPr>
          <w:spacing w:val="3"/>
        </w:rPr>
        <w:t>.</w:t>
      </w:r>
      <w:r w:rsidR="00687429" w:rsidRPr="004F3A82">
        <w:rPr>
          <w:spacing w:val="3"/>
        </w:rPr>
        <w:t xml:space="preserve"> </w:t>
      </w:r>
    </w:p>
    <w:p w:rsidR="00FD72A7" w:rsidRPr="00464E8F" w:rsidRDefault="00293EF7" w:rsidP="00464E8F">
      <w:pPr>
        <w:pStyle w:val="Heading1"/>
        <w:rPr>
          <w:sz w:val="24"/>
          <w:szCs w:val="24"/>
        </w:rPr>
      </w:pPr>
      <w:r w:rsidRPr="00464E8F">
        <w:rPr>
          <w:sz w:val="24"/>
          <w:szCs w:val="24"/>
        </w:rPr>
        <w:t>FAILURE TO DISCLOSE THAT FIRE RISK REDUCTION WILL HARM SPOTTED OWL HABITAT. UNCERTAINTY INDICATES SIGNIFICANT EFFECTS REQUIRING AN EIS.</w:t>
      </w:r>
    </w:p>
    <w:p w:rsidR="00841045" w:rsidRPr="004F3A82" w:rsidRDefault="00841045" w:rsidP="00841045">
      <w:pPr>
        <w:shd w:val="clear" w:color="auto" w:fill="FFFFFF"/>
        <w:spacing w:before="100" w:beforeAutospacing="1" w:after="100" w:afterAutospacing="1"/>
        <w:rPr>
          <w:spacing w:val="3"/>
        </w:rPr>
      </w:pPr>
      <w:r w:rsidRPr="004F3A82">
        <w:rPr>
          <w:spacing w:val="3"/>
        </w:rPr>
        <w:t xml:space="preserve">The Final </w:t>
      </w:r>
      <w:r w:rsidR="009E4E05" w:rsidRPr="004F3A82">
        <w:rPr>
          <w:spacing w:val="3"/>
        </w:rPr>
        <w:t xml:space="preserve">Grasshopper </w:t>
      </w:r>
      <w:r w:rsidRPr="004F3A82">
        <w:rPr>
          <w:spacing w:val="3"/>
        </w:rPr>
        <w:t>EA (p 61) says “activities that downgrade suitable habitat on 1,234 acres may affect and are likely to adversely affect (LAA) spotted owl. Proposed treatments are intended to reduce severity of future fires and promote long-term retention of the untreated suitable habitat.” This is not supported by any analysis that takes into account the low probability that owl habitat degraded by fuel reduc</w:t>
      </w:r>
      <w:r w:rsidR="005B3F09">
        <w:rPr>
          <w:spacing w:val="3"/>
        </w:rPr>
        <w:t>tion will interact with wildfire</w:t>
      </w:r>
      <w:r w:rsidRPr="004F3A82">
        <w:rPr>
          <w:spacing w:val="3"/>
        </w:rPr>
        <w:t xml:space="preserve"> and receive any benefits from fuel reduction activities. </w:t>
      </w:r>
      <w:r w:rsidR="00EF58B4" w:rsidRPr="004F3A82">
        <w:rPr>
          <w:spacing w:val="3"/>
        </w:rPr>
        <w:t>In fact, the Wildlife Report analysis of the effects of fuel reduction (Section 2.3.3.3) provides no support for the alleged benefits of fuel reduction on spotted owl habitat.</w:t>
      </w:r>
    </w:p>
    <w:p w:rsidR="008167B8" w:rsidRPr="004F3A82" w:rsidRDefault="008167B8" w:rsidP="00841045">
      <w:pPr>
        <w:shd w:val="clear" w:color="auto" w:fill="FFFFFF"/>
        <w:spacing w:before="100" w:beforeAutospacing="1" w:after="100" w:afterAutospacing="1"/>
        <w:rPr>
          <w:spacing w:val="3"/>
        </w:rPr>
      </w:pPr>
      <w:r w:rsidRPr="004F3A82">
        <w:rPr>
          <w:spacing w:val="3"/>
        </w:rPr>
        <w:t xml:space="preserve">The Grasshopper Wildlife Report (p 20) admits that fuel reduction treatments “may impact vegetation structure and prey species distributions by reducing prey hiding cover in treatment units and/or moving prey into adjacent stands…” but the Report fails to disclose </w:t>
      </w:r>
      <w:r w:rsidR="005B3F09">
        <w:rPr>
          <w:spacing w:val="3"/>
        </w:rPr>
        <w:t xml:space="preserve">that these adverse effects on </w:t>
      </w:r>
      <w:r w:rsidRPr="004F3A82">
        <w:rPr>
          <w:spacing w:val="3"/>
        </w:rPr>
        <w:t>deadwood habitat recruitment caused by commercial logging</w:t>
      </w:r>
      <w:r w:rsidR="005B3F09">
        <w:rPr>
          <w:spacing w:val="3"/>
        </w:rPr>
        <w:t xml:space="preserve"> are significant and long-term</w:t>
      </w:r>
      <w:r w:rsidRPr="004F3A82">
        <w:rPr>
          <w:spacing w:val="3"/>
        </w:rPr>
        <w:t>.</w:t>
      </w:r>
      <w:r w:rsidR="00CA6242">
        <w:rPr>
          <w:spacing w:val="3"/>
        </w:rPr>
        <w:t xml:space="preserve"> Nor does the analysis weigh the various effects and disclose the most likely net outcome which is adverse to owl habitat conservation.</w:t>
      </w:r>
    </w:p>
    <w:p w:rsidR="00841045" w:rsidRDefault="009E4E05" w:rsidP="00120E6E">
      <w:pPr>
        <w:spacing w:before="100" w:beforeAutospacing="1" w:after="100" w:afterAutospacing="1"/>
      </w:pPr>
      <w:r>
        <w:t xml:space="preserve">The Grasshopper </w:t>
      </w:r>
      <w:proofErr w:type="spellStart"/>
      <w:r w:rsidR="00120E6E">
        <w:t>dDN</w:t>
      </w:r>
      <w:proofErr w:type="spellEnd"/>
      <w:r w:rsidR="00120E6E">
        <w:t>, p 10: “</w:t>
      </w:r>
      <w:r w:rsidR="00120E6E" w:rsidRPr="00A577F7">
        <w:t>While it is not possible to know when a wildfire would occur in the planning area or how impactful</w:t>
      </w:r>
      <w:r w:rsidR="00120E6E">
        <w:t xml:space="preserve"> </w:t>
      </w:r>
      <w:r w:rsidR="00120E6E" w:rsidRPr="00A577F7">
        <w:t>it may be, it is possible to use the best available science to understand potential impacts of wildfire in the area considering items such as fire regime condition classes, existing vegetative conditions, and topography. The proposed treatments are intended to reduce severity of future fires and promote long-term retention of the untreated suitable habi</w:t>
      </w:r>
      <w:r w:rsidR="00120E6E">
        <w:t>tat, and the EA discloses that ‘</w:t>
      </w:r>
      <w:r w:rsidR="00120E6E" w:rsidRPr="00A577F7">
        <w:t>the potential impacts to habitat from wildfire, insects, or disease are greater under the No Action Alternative (s. 3.13.1.</w:t>
      </w:r>
      <w:r w:rsidR="00120E6E">
        <w:t xml:space="preserve">2).’” </w:t>
      </w:r>
      <w:r w:rsidR="00841045">
        <w:t>This represents an improper analytic framework.</w:t>
      </w:r>
      <w:r w:rsidR="00120E6E">
        <w:t xml:space="preserve"> </w:t>
      </w:r>
      <w:r w:rsidR="00841045">
        <w:t xml:space="preserve">The </w:t>
      </w:r>
      <w:r>
        <w:t xml:space="preserve">Grasshopper </w:t>
      </w:r>
      <w:proofErr w:type="spellStart"/>
      <w:r>
        <w:t>dDN</w:t>
      </w:r>
      <w:proofErr w:type="spellEnd"/>
      <w:r w:rsidR="00841045">
        <w:t xml:space="preserve"> f</w:t>
      </w:r>
      <w:r w:rsidR="00120E6E">
        <w:t xml:space="preserve">ailed to consider total effects </w:t>
      </w:r>
      <w:r w:rsidR="00841045">
        <w:t xml:space="preserve">on spotted owls </w:t>
      </w:r>
      <w:r w:rsidR="00120E6E">
        <w:t xml:space="preserve">with </w:t>
      </w:r>
      <w:r w:rsidR="00841045">
        <w:t xml:space="preserve">treatments </w:t>
      </w:r>
      <w:r w:rsidR="00120E6E">
        <w:t>an</w:t>
      </w:r>
      <w:r w:rsidR="00841045">
        <w:t>d without treatments.</w:t>
      </w:r>
      <w:r w:rsidR="00120E6E">
        <w:t xml:space="preserve"> </w:t>
      </w:r>
      <w:r w:rsidR="00841045">
        <w:t xml:space="preserve">The best available science indicates that </w:t>
      </w:r>
      <w:r w:rsidR="00120E6E">
        <w:t>the combined effects of natural disturbance plus the effects logging</w:t>
      </w:r>
      <w:r w:rsidR="00841045">
        <w:t xml:space="preserve"> far exceed the adverse effects on spotted owls from </w:t>
      </w:r>
      <w:r w:rsidR="00120E6E">
        <w:t>natural disturbance alone.</w:t>
      </w:r>
      <w:r w:rsidR="00841045">
        <w:t xml:space="preserve"> This is explained in detail in Oregon Wild </w:t>
      </w:r>
      <w:r w:rsidR="00841045">
        <w:lastRenderedPageBreak/>
        <w:t>comments on the EA in the section titled “</w:t>
      </w:r>
      <w:r w:rsidR="00841045" w:rsidRPr="00841045">
        <w:t>Fuel Reduction Logging Will Have a Net Harmful Effect on Spotted Owl Habitat, Even if the Goal is to Protect</w:t>
      </w:r>
      <w:r w:rsidR="00841045">
        <w:t xml:space="preserve"> Suitable Habitat from Wildfire” which explained:</w:t>
      </w:r>
    </w:p>
    <w:p w:rsidR="00841045" w:rsidRDefault="00841045" w:rsidP="00841045">
      <w:pPr>
        <w:tabs>
          <w:tab w:val="left" w:pos="7110"/>
        </w:tabs>
        <w:spacing w:before="100" w:after="100"/>
        <w:ind w:left="720"/>
      </w:pPr>
      <w:r>
        <w:t xml:space="preserve">When logging intended to benefit habitat will also reduce the quality of habitat, the NEPA analysis must include some evaluation of ecological costs and benefits — e.g., the probability that logging will degrade habitat vs. the probability that fuel reduction treatments will interact favorably with fire and thus benefit habitat. This evaluation requires an estimate of the probability of future wildfire. To assume, as many analyses do, a 100% chance of future wildfire over-estimates the likelihood of treatments will interact with fire, thus over-estimating the ecological value of fuel treatments, and under-estimating the ecological effects of logging on habitat. See Heiken, D. 2010. Log it to save it? The search for an ecological rationale for fuel reduction logging in Spotted Owl habitat. Oregon Wild. v 1.0. May 2010. </w:t>
      </w:r>
      <w:hyperlink r:id="rId70" w:history="1">
        <w:r w:rsidRPr="00F46137">
          <w:rPr>
            <w:rStyle w:val="Hyperlink"/>
          </w:rPr>
          <w:t>https://www.dropbox.com/s/pi15rap4nvwxhtt/Heiken_Log_it_to_save_it_v.1.0.pdf?dl=0</w:t>
        </w:r>
      </w:hyperlink>
      <w:r>
        <w:t>.</w:t>
      </w:r>
    </w:p>
    <w:p w:rsidR="00841045" w:rsidRDefault="00841045" w:rsidP="00841045">
      <w:pPr>
        <w:tabs>
          <w:tab w:val="left" w:pos="7110"/>
        </w:tabs>
        <w:autoSpaceDE w:val="0"/>
        <w:ind w:left="720"/>
      </w:pPr>
      <w:r>
        <w:t>…</w:t>
      </w:r>
    </w:p>
    <w:p w:rsidR="00841045" w:rsidRDefault="00841045" w:rsidP="00841045">
      <w:pPr>
        <w:tabs>
          <w:tab w:val="left" w:pos="7110"/>
        </w:tabs>
        <w:autoSpaceDE w:val="0"/>
        <w:ind w:left="720"/>
      </w:pPr>
      <w:r>
        <w:t xml:space="preserve">To justify such fuel reduction logging in suitable owl habitat on ecological grounds requires several findings: (1) that wildfire is highly likely to occur at the site of the treatment, (2) that if fire does occur it is likely to be a severe stand-replacing event, and (3) that spotted owls are more likely to be harmed and imperiled by wildfire than by logging at a scale necessary to reduce fire hazard. Available evidence does not support any of these findings, which raises serious questions about the need for and efficacy of logging to reduce fuels in western Oregon and other forests lacking frequent fire return intervals. </w:t>
      </w:r>
      <w:r>
        <w:br/>
      </w:r>
      <w:r>
        <w:br/>
        <w:t xml:space="preserve">The probabilistic element of the risk equation demands careful consideration. Both logging and fire have meaningful consequences, so the issue really boils down to a comparative probabilistic risk assessment where risk is characterized by two quantities: (1) the magnitude (severity) of the possible adverse consequence(s), and (2) the likelihood (probability) of occurrence of each consequence. </w:t>
      </w:r>
    </w:p>
    <w:p w:rsidR="00841045" w:rsidRDefault="00841045" w:rsidP="00841045">
      <w:pPr>
        <w:tabs>
          <w:tab w:val="left" w:pos="7110"/>
        </w:tabs>
        <w:ind w:left="720"/>
        <w:rPr>
          <w:rFonts w:ascii="Arial" w:hAnsi="Arial" w:cs="Arial"/>
          <w:b/>
          <w:bCs/>
        </w:rPr>
      </w:pPr>
      <w:r>
        <w:t xml:space="preserve"> </w:t>
      </w:r>
    </w:p>
    <w:tbl>
      <w:tblPr>
        <w:tblW w:w="9076" w:type="dxa"/>
        <w:tblInd w:w="610" w:type="dxa"/>
        <w:tblLayout w:type="fixed"/>
        <w:tblLook w:val="0000" w:firstRow="0" w:lastRow="0" w:firstColumn="0" w:lastColumn="0" w:noHBand="0" w:noVBand="0"/>
      </w:tblPr>
      <w:tblGrid>
        <w:gridCol w:w="1188"/>
        <w:gridCol w:w="2880"/>
        <w:gridCol w:w="3059"/>
        <w:gridCol w:w="1949"/>
      </w:tblGrid>
      <w:tr w:rsidR="00841045" w:rsidTr="00841045">
        <w:tc>
          <w:tcPr>
            <w:tcW w:w="9076" w:type="dxa"/>
            <w:gridSpan w:val="4"/>
            <w:tcBorders>
              <w:top w:val="single" w:sz="8" w:space="0" w:color="000000"/>
              <w:left w:val="single" w:sz="8" w:space="0" w:color="000000"/>
              <w:bottom w:val="single" w:sz="8" w:space="0" w:color="000000"/>
              <w:right w:val="single" w:sz="8" w:space="0" w:color="000000"/>
            </w:tcBorders>
            <w:shd w:val="clear" w:color="auto" w:fill="auto"/>
          </w:tcPr>
          <w:p w:rsidR="00841045" w:rsidRDefault="00841045" w:rsidP="00634608">
            <w:pPr>
              <w:tabs>
                <w:tab w:val="left" w:pos="7110"/>
              </w:tabs>
              <w:jc w:val="center"/>
            </w:pPr>
            <w:r>
              <w:rPr>
                <w:rFonts w:ascii="Arial" w:hAnsi="Arial" w:cs="Arial"/>
                <w:b/>
                <w:bCs/>
              </w:rPr>
              <w:t>Framework for Assessing the Risk of Wildfire vs Fuel Reduction Logging</w:t>
            </w:r>
          </w:p>
        </w:tc>
      </w:tr>
      <w:tr w:rsidR="00841045" w:rsidTr="00841045">
        <w:tblPrEx>
          <w:tblCellMar>
            <w:left w:w="0" w:type="dxa"/>
            <w:right w:w="0" w:type="dxa"/>
          </w:tblCellMar>
        </w:tblPrEx>
        <w:tc>
          <w:tcPr>
            <w:tcW w:w="1188" w:type="dxa"/>
            <w:tcBorders>
              <w:left w:val="single" w:sz="8" w:space="0" w:color="000000"/>
              <w:bottom w:val="single" w:sz="8" w:space="0" w:color="000000"/>
            </w:tcBorders>
            <w:shd w:val="clear" w:color="auto" w:fill="auto"/>
          </w:tcPr>
          <w:p w:rsidR="00841045" w:rsidRDefault="00841045" w:rsidP="00634608">
            <w:pPr>
              <w:tabs>
                <w:tab w:val="left" w:pos="7110"/>
              </w:tabs>
              <w:rPr>
                <w:rFonts w:ascii="Arial" w:hAnsi="Arial" w:cs="Arial"/>
              </w:rPr>
            </w:pPr>
            <w:r>
              <w:rPr>
                <w:rFonts w:ascii="Arial" w:hAnsi="Arial" w:cs="Arial"/>
              </w:rPr>
              <w:t> </w:t>
            </w:r>
          </w:p>
        </w:tc>
        <w:tc>
          <w:tcPr>
            <w:tcW w:w="2880" w:type="dxa"/>
            <w:tcBorders>
              <w:left w:val="single" w:sz="8" w:space="0" w:color="000000"/>
              <w:bottom w:val="single" w:sz="8" w:space="0" w:color="000000"/>
            </w:tcBorders>
            <w:shd w:val="clear" w:color="auto" w:fill="auto"/>
          </w:tcPr>
          <w:p w:rsidR="00841045" w:rsidRDefault="00841045" w:rsidP="00634608">
            <w:pPr>
              <w:tabs>
                <w:tab w:val="left" w:pos="7110"/>
              </w:tabs>
              <w:rPr>
                <w:rFonts w:ascii="Arial" w:hAnsi="Arial" w:cs="Arial"/>
              </w:rPr>
            </w:pPr>
            <w:r>
              <w:rPr>
                <w:rFonts w:ascii="Arial" w:hAnsi="Arial" w:cs="Arial"/>
              </w:rPr>
              <w:t>Likelihood of event</w:t>
            </w:r>
          </w:p>
        </w:tc>
        <w:tc>
          <w:tcPr>
            <w:tcW w:w="3059" w:type="dxa"/>
            <w:tcBorders>
              <w:left w:val="single" w:sz="8" w:space="0" w:color="000000"/>
              <w:bottom w:val="single" w:sz="8" w:space="0" w:color="000000"/>
            </w:tcBorders>
            <w:shd w:val="clear" w:color="auto" w:fill="auto"/>
          </w:tcPr>
          <w:p w:rsidR="00841045" w:rsidRDefault="00841045" w:rsidP="00634608">
            <w:pPr>
              <w:tabs>
                <w:tab w:val="left" w:pos="7110"/>
              </w:tabs>
              <w:rPr>
                <w:rFonts w:ascii="Arial" w:hAnsi="Arial" w:cs="Arial"/>
              </w:rPr>
            </w:pPr>
            <w:r>
              <w:rPr>
                <w:rFonts w:ascii="Arial" w:hAnsi="Arial" w:cs="Arial"/>
              </w:rPr>
              <w:t>Magnitude of harm</w:t>
            </w:r>
          </w:p>
        </w:tc>
        <w:tc>
          <w:tcPr>
            <w:tcW w:w="1949" w:type="dxa"/>
            <w:tcBorders>
              <w:left w:val="single" w:sz="8" w:space="0" w:color="000000"/>
              <w:bottom w:val="single" w:sz="8" w:space="0" w:color="000000"/>
              <w:right w:val="single" w:sz="8" w:space="0" w:color="000000"/>
            </w:tcBorders>
            <w:shd w:val="clear" w:color="auto" w:fill="auto"/>
          </w:tcPr>
          <w:p w:rsidR="00841045" w:rsidRDefault="00841045" w:rsidP="00634608">
            <w:pPr>
              <w:tabs>
                <w:tab w:val="left" w:pos="7110"/>
              </w:tabs>
            </w:pPr>
            <w:r>
              <w:rPr>
                <w:rFonts w:ascii="Arial" w:hAnsi="Arial" w:cs="Arial"/>
              </w:rPr>
              <w:t>Net Benefit</w:t>
            </w:r>
          </w:p>
        </w:tc>
      </w:tr>
      <w:tr w:rsidR="00841045" w:rsidTr="00841045">
        <w:tblPrEx>
          <w:tblCellMar>
            <w:left w:w="0" w:type="dxa"/>
            <w:right w:w="0" w:type="dxa"/>
          </w:tblCellMar>
        </w:tblPrEx>
        <w:tc>
          <w:tcPr>
            <w:tcW w:w="1188" w:type="dxa"/>
            <w:tcBorders>
              <w:left w:val="single" w:sz="8" w:space="0" w:color="000000"/>
              <w:bottom w:val="single" w:sz="8" w:space="0" w:color="000000"/>
            </w:tcBorders>
            <w:shd w:val="clear" w:color="auto" w:fill="auto"/>
          </w:tcPr>
          <w:p w:rsidR="00841045" w:rsidRDefault="00841045" w:rsidP="00634608">
            <w:pPr>
              <w:tabs>
                <w:tab w:val="left" w:pos="7110"/>
              </w:tabs>
              <w:rPr>
                <w:rFonts w:ascii="Arial" w:hAnsi="Arial" w:cs="Arial"/>
                <w:sz w:val="18"/>
                <w:szCs w:val="18"/>
              </w:rPr>
            </w:pPr>
            <w:r>
              <w:rPr>
                <w:rFonts w:ascii="Arial" w:hAnsi="Arial" w:cs="Arial"/>
              </w:rPr>
              <w:t>Wildfire</w:t>
            </w:r>
          </w:p>
        </w:tc>
        <w:tc>
          <w:tcPr>
            <w:tcW w:w="2880" w:type="dxa"/>
            <w:tcBorders>
              <w:left w:val="single" w:sz="8" w:space="0" w:color="000000"/>
              <w:bottom w:val="single" w:sz="8" w:space="0" w:color="000000"/>
            </w:tcBorders>
            <w:shd w:val="clear" w:color="auto" w:fill="auto"/>
          </w:tcPr>
          <w:p w:rsidR="00841045" w:rsidRDefault="00841045" w:rsidP="00634608">
            <w:pPr>
              <w:tabs>
                <w:tab w:val="left" w:pos="7110"/>
              </w:tabs>
              <w:rPr>
                <w:rFonts w:ascii="Arial" w:hAnsi="Arial" w:cs="Arial"/>
                <w:sz w:val="18"/>
                <w:szCs w:val="18"/>
              </w:rPr>
            </w:pPr>
            <w:r>
              <w:rPr>
                <w:rFonts w:ascii="Arial" w:hAnsi="Arial" w:cs="Arial"/>
                <w:sz w:val="18"/>
                <w:szCs w:val="18"/>
              </w:rPr>
              <w:t>LOW: Stand replacing wildfire is not common in western Oregon. Fire suppression policy prevails. The chance that any given acre of forest will experience wildfire is low.</w:t>
            </w:r>
          </w:p>
        </w:tc>
        <w:tc>
          <w:tcPr>
            <w:tcW w:w="3059" w:type="dxa"/>
            <w:tcBorders>
              <w:left w:val="single" w:sz="8" w:space="0" w:color="000000"/>
              <w:bottom w:val="single" w:sz="8" w:space="0" w:color="000000"/>
            </w:tcBorders>
            <w:shd w:val="clear" w:color="auto" w:fill="auto"/>
          </w:tcPr>
          <w:p w:rsidR="00841045" w:rsidRDefault="00841045" w:rsidP="00634608">
            <w:pPr>
              <w:tabs>
                <w:tab w:val="left" w:pos="7110"/>
              </w:tabs>
              <w:rPr>
                <w:rFonts w:ascii="Arial" w:hAnsi="Arial" w:cs="Arial"/>
                <w:sz w:val="18"/>
                <w:szCs w:val="18"/>
              </w:rPr>
            </w:pPr>
            <w:r>
              <w:rPr>
                <w:rFonts w:ascii="Arial" w:hAnsi="Arial" w:cs="Arial"/>
                <w:sz w:val="18"/>
                <w:szCs w:val="18"/>
              </w:rPr>
              <w:t>LOW: The majority of wildfire effects are not stand replacing. Fire is a natural process to which native wildlife are adapted. There is still a deficit of natural fire processes on the landscape.</w:t>
            </w:r>
          </w:p>
        </w:tc>
        <w:tc>
          <w:tcPr>
            <w:tcW w:w="1949" w:type="dxa"/>
            <w:tcBorders>
              <w:left w:val="single" w:sz="8" w:space="0" w:color="000000"/>
              <w:bottom w:val="single" w:sz="8" w:space="0" w:color="000000"/>
              <w:right w:val="single" w:sz="8" w:space="0" w:color="000000"/>
            </w:tcBorders>
            <w:shd w:val="clear" w:color="auto" w:fill="auto"/>
          </w:tcPr>
          <w:p w:rsidR="00841045" w:rsidRDefault="00841045" w:rsidP="00634608">
            <w:pPr>
              <w:tabs>
                <w:tab w:val="left" w:pos="7110"/>
              </w:tabs>
            </w:pPr>
            <w:r>
              <w:rPr>
                <w:rFonts w:ascii="Arial" w:hAnsi="Arial" w:cs="Arial"/>
                <w:sz w:val="18"/>
                <w:szCs w:val="18"/>
              </w:rPr>
              <w:t>Fire is likely less harmful to habitat than fuel reduction logging.</w:t>
            </w:r>
          </w:p>
        </w:tc>
      </w:tr>
      <w:tr w:rsidR="00841045" w:rsidTr="00841045">
        <w:tblPrEx>
          <w:tblCellMar>
            <w:left w:w="0" w:type="dxa"/>
            <w:right w:w="0" w:type="dxa"/>
          </w:tblCellMar>
        </w:tblPrEx>
        <w:tc>
          <w:tcPr>
            <w:tcW w:w="1188" w:type="dxa"/>
            <w:tcBorders>
              <w:left w:val="single" w:sz="8" w:space="0" w:color="000000"/>
              <w:bottom w:val="single" w:sz="8" w:space="0" w:color="000000"/>
            </w:tcBorders>
            <w:shd w:val="clear" w:color="auto" w:fill="auto"/>
          </w:tcPr>
          <w:p w:rsidR="00841045" w:rsidRDefault="00841045" w:rsidP="00634608">
            <w:pPr>
              <w:tabs>
                <w:tab w:val="left" w:pos="7110"/>
              </w:tabs>
              <w:rPr>
                <w:rFonts w:ascii="Arial" w:hAnsi="Arial" w:cs="Arial"/>
                <w:sz w:val="18"/>
                <w:szCs w:val="18"/>
              </w:rPr>
            </w:pPr>
            <w:r>
              <w:rPr>
                <w:rFonts w:ascii="Arial" w:hAnsi="Arial" w:cs="Arial"/>
              </w:rPr>
              <w:t>Logging</w:t>
            </w:r>
          </w:p>
        </w:tc>
        <w:tc>
          <w:tcPr>
            <w:tcW w:w="2880" w:type="dxa"/>
            <w:tcBorders>
              <w:left w:val="single" w:sz="8" w:space="0" w:color="000000"/>
              <w:bottom w:val="single" w:sz="8" w:space="0" w:color="000000"/>
            </w:tcBorders>
            <w:shd w:val="clear" w:color="auto" w:fill="auto"/>
          </w:tcPr>
          <w:p w:rsidR="00841045" w:rsidRDefault="00841045" w:rsidP="00634608">
            <w:pPr>
              <w:tabs>
                <w:tab w:val="left" w:pos="7110"/>
              </w:tabs>
              <w:rPr>
                <w:rFonts w:ascii="Arial" w:hAnsi="Arial" w:cs="Arial"/>
                <w:sz w:val="18"/>
                <w:szCs w:val="18"/>
              </w:rPr>
            </w:pPr>
            <w:r>
              <w:rPr>
                <w:rFonts w:ascii="Arial" w:hAnsi="Arial" w:cs="Arial"/>
                <w:sz w:val="18"/>
                <w:szCs w:val="18"/>
              </w:rPr>
              <w:t>HIGH: To be effective in controlling fire, logging must be very extensive, and sustained. Many more acres would need to be logged than would burn.</w:t>
            </w:r>
          </w:p>
        </w:tc>
        <w:tc>
          <w:tcPr>
            <w:tcW w:w="3059" w:type="dxa"/>
            <w:tcBorders>
              <w:left w:val="single" w:sz="8" w:space="0" w:color="000000"/>
              <w:bottom w:val="single" w:sz="8" w:space="0" w:color="000000"/>
            </w:tcBorders>
            <w:shd w:val="clear" w:color="auto" w:fill="auto"/>
          </w:tcPr>
          <w:p w:rsidR="00841045" w:rsidRDefault="00841045" w:rsidP="00634608">
            <w:pPr>
              <w:tabs>
                <w:tab w:val="left" w:pos="7110"/>
              </w:tabs>
              <w:rPr>
                <w:rFonts w:ascii="Arial" w:hAnsi="Arial" w:cs="Arial"/>
                <w:sz w:val="18"/>
                <w:szCs w:val="18"/>
              </w:rPr>
            </w:pPr>
            <w:r>
              <w:rPr>
                <w:rFonts w:ascii="Arial" w:hAnsi="Arial" w:cs="Arial"/>
                <w:sz w:val="18"/>
                <w:szCs w:val="18"/>
              </w:rPr>
              <w:t>HIGH: Widespread logging will have significant impacts on canopy, microclimate, understory vegetation, down wood, and long-term effects on recruitment of large trees and snags.</w:t>
            </w:r>
          </w:p>
        </w:tc>
        <w:tc>
          <w:tcPr>
            <w:tcW w:w="1949" w:type="dxa"/>
            <w:tcBorders>
              <w:left w:val="single" w:sz="8" w:space="0" w:color="000000"/>
              <w:bottom w:val="single" w:sz="8" w:space="0" w:color="000000"/>
              <w:right w:val="single" w:sz="8" w:space="0" w:color="000000"/>
            </w:tcBorders>
            <w:shd w:val="clear" w:color="auto" w:fill="auto"/>
          </w:tcPr>
          <w:p w:rsidR="00841045" w:rsidRDefault="00841045" w:rsidP="00634608">
            <w:pPr>
              <w:tabs>
                <w:tab w:val="left" w:pos="7110"/>
              </w:tabs>
            </w:pPr>
            <w:r>
              <w:rPr>
                <w:rFonts w:ascii="Arial" w:hAnsi="Arial" w:cs="Arial"/>
                <w:sz w:val="18"/>
                <w:szCs w:val="18"/>
              </w:rPr>
              <w:t>Fuel reduction logging is likely more harmful to habitat than wildfire.</w:t>
            </w:r>
          </w:p>
        </w:tc>
      </w:tr>
    </w:tbl>
    <w:p w:rsidR="00841045" w:rsidRDefault="00841045" w:rsidP="00841045">
      <w:pPr>
        <w:tabs>
          <w:tab w:val="left" w:pos="7110"/>
        </w:tabs>
        <w:ind w:left="720"/>
      </w:pPr>
    </w:p>
    <w:p w:rsidR="00841045" w:rsidRDefault="00841045" w:rsidP="00841045">
      <w:pPr>
        <w:tabs>
          <w:tab w:val="left" w:pos="7110"/>
        </w:tabs>
        <w:ind w:left="720"/>
      </w:pPr>
      <w:r>
        <w:t>The white paper is organized around these risk evaluation parameters.</w:t>
      </w:r>
    </w:p>
    <w:p w:rsidR="00841045" w:rsidRDefault="00841045" w:rsidP="00841045">
      <w:pPr>
        <w:tabs>
          <w:tab w:val="left" w:pos="7110"/>
        </w:tabs>
        <w:ind w:left="720"/>
      </w:pPr>
    </w:p>
    <w:p w:rsidR="00841045" w:rsidRDefault="00841045" w:rsidP="00841045">
      <w:pPr>
        <w:ind w:left="720"/>
      </w:pPr>
      <w:r>
        <w:lastRenderedPageBreak/>
        <w:t>An insurance analogy might help. People buy fire insurance for their homes because they can pay a small amount in order to receive benefits in the improbable event of fire. Fuel reduction logging is like an insurance policy that hedges against the chance that fire might occur, but instead of paying with money we are paying with late successional habitat units (because logging late successional habitat to reduce fuels unavoidably degrades and removes habitat). We are also expecting benefits in habitat units. This means the agency can conduct an analysis to show whether the fire insurance payments are worth it from a habitat perspective. The agency can quantify whether logging results in a greater assurance of habitat maintenance, or not. When this analysis is conducted it is clear that fuel reduction logging is just not worth it, because, simply put, the price of insurance is far too high. Logging will degrade habitat across many acres that will never experience any benefits from modified wildfire. Fuel reduction logging is like paying 100 habitat units for insurance and receiving 10 habitat units of benefits.</w:t>
      </w:r>
    </w:p>
    <w:p w:rsidR="00B31AD8" w:rsidRDefault="00F165CC" w:rsidP="00464E8F">
      <w:pPr>
        <w:shd w:val="clear" w:color="auto" w:fill="FFFFFF"/>
        <w:spacing w:before="100" w:beforeAutospacing="1" w:after="100" w:afterAutospacing="1"/>
        <w:rPr>
          <w:spacing w:val="3"/>
        </w:rPr>
      </w:pPr>
      <w:r w:rsidRPr="007E5C27">
        <w:rPr>
          <w:spacing w:val="3"/>
        </w:rPr>
        <w:t xml:space="preserve">The NEPA analysis failed to take a hard look at the relative probabilistic effects on spotted owls from wildfire versus logging plus wildfire. </w:t>
      </w:r>
      <w:r w:rsidR="00A678AE">
        <w:rPr>
          <w:spacing w:val="3"/>
        </w:rPr>
        <w:t>The Response-to-Comments (p 70) describes Oregon Wild’s “Log it to save it?” white paper as “</w:t>
      </w:r>
      <w:r w:rsidR="00A678AE" w:rsidRPr="00A678AE">
        <w:rPr>
          <w:spacing w:val="3"/>
        </w:rPr>
        <w:t>unpublished, un-peer reviewed opinion piece.</w:t>
      </w:r>
      <w:r w:rsidR="00A678AE">
        <w:rPr>
          <w:spacing w:val="3"/>
        </w:rPr>
        <w:t>” It does not matter what the FS calls it. We are providing highly relevant public comment on a NEPA document. The FS needs to address the points raised in the paper as a public comment. The NEPA analysis completely fails to address the core point of the paper which is that fuel reduction logging has a high probability of degrading habitat, and a low probability of providing beneficial fire effects. This is well supported by numerous scientific publications cited in the white pa</w:t>
      </w:r>
      <w:r w:rsidR="00B31AD8">
        <w:rPr>
          <w:spacing w:val="3"/>
        </w:rPr>
        <w:t>p</w:t>
      </w:r>
      <w:r w:rsidR="00A678AE">
        <w:rPr>
          <w:spacing w:val="3"/>
        </w:rPr>
        <w:t>er.</w:t>
      </w:r>
    </w:p>
    <w:p w:rsidR="00B31AD8" w:rsidRPr="0089739E" w:rsidRDefault="006B06B7" w:rsidP="00B31AD8">
      <w:pPr>
        <w:tabs>
          <w:tab w:val="left" w:pos="7110"/>
        </w:tabs>
      </w:pPr>
      <w:r>
        <w:rPr>
          <w:color w:val="000000"/>
        </w:rPr>
        <w:t xml:space="preserve">The Grasshopper EA failed to address the trade-offs described in </w:t>
      </w:r>
      <w:proofErr w:type="spellStart"/>
      <w:r w:rsidR="00B31AD8" w:rsidRPr="0089739E">
        <w:rPr>
          <w:color w:val="000000"/>
        </w:rPr>
        <w:t>Lehmkuhl</w:t>
      </w:r>
      <w:proofErr w:type="spellEnd"/>
      <w:r>
        <w:rPr>
          <w:color w:val="000000"/>
        </w:rPr>
        <w:t xml:space="preserve"> et al. (2015):</w:t>
      </w:r>
    </w:p>
    <w:p w:rsidR="00B31AD8" w:rsidRPr="0089739E" w:rsidRDefault="00B31AD8" w:rsidP="00B31AD8">
      <w:pPr>
        <w:shd w:val="clear" w:color="auto" w:fill="FFFFFF"/>
        <w:tabs>
          <w:tab w:val="left" w:pos="7110"/>
        </w:tabs>
        <w:ind w:left="720"/>
        <w:rPr>
          <w:color w:val="222222"/>
        </w:rPr>
      </w:pPr>
      <w:r w:rsidRPr="0089739E">
        <w:rPr>
          <w:color w:val="222222"/>
        </w:rPr>
        <w:t>3. </w:t>
      </w:r>
      <w:r w:rsidRPr="0089739E">
        <w:rPr>
          <w:b/>
          <w:bCs/>
          <w:color w:val="222222"/>
        </w:rPr>
        <w:t>Tradeoffs between fire resistance and NSO habitat quality are real. </w:t>
      </w:r>
      <w:r w:rsidRPr="0089739E">
        <w:rPr>
          <w:color w:val="222222"/>
        </w:rPr>
        <w:t>Our results demonstrate that balancing the goals of increasing fire resilience while maintaining habitat function, especially nesting and roosting, for the NSO in the same individual stand is a difficult, if not an impossible, task. Even lighter thinning treatments typically reduce canopy cover below 40 percent. The reality is that nesting and roosting NSO habitat is by definition very susceptible to high-severity fire; owl habitat value and fire risk are in dir</w:t>
      </w:r>
      <w:r>
        <w:rPr>
          <w:color w:val="222222"/>
        </w:rPr>
        <w:t>ect conflict on any given acre. …</w:t>
      </w:r>
    </w:p>
    <w:p w:rsidR="00B31AD8" w:rsidRDefault="00B31AD8" w:rsidP="00B31AD8">
      <w:pPr>
        <w:shd w:val="clear" w:color="auto" w:fill="FFFFFF"/>
        <w:tabs>
          <w:tab w:val="left" w:pos="7110"/>
        </w:tabs>
      </w:pPr>
      <w:proofErr w:type="spellStart"/>
      <w:r w:rsidRPr="0089739E">
        <w:rPr>
          <w:color w:val="000000"/>
        </w:rPr>
        <w:t>Lehmkuhl</w:t>
      </w:r>
      <w:proofErr w:type="spellEnd"/>
      <w:r w:rsidRPr="0089739E">
        <w:rPr>
          <w:color w:val="000000"/>
        </w:rPr>
        <w:t>, John; Gaines, William; Peterson, Dave W.; Bailey, John; Youngblood, Andrew, tech. eds. 2015. Silviculture and monitoring guidelines for integrating restoration of dry mixed-conifer forest and spotted owl habitat management in the eastern Cascade Range. Gen. Tech. Rep. PNW-GTR-915. Portland, OR: U.S. Department of Agriculture, Forest Service, Pacific Northwest Research Station. 158 p. ​</w:t>
      </w:r>
      <w:hyperlink r:id="rId71" w:tgtFrame="_blank" w:history="1">
        <w:r w:rsidRPr="0089739E">
          <w:rPr>
            <w:color w:val="1155CC"/>
            <w:u w:val="single"/>
            <w:shd w:val="clear" w:color="auto" w:fill="FFFFFF"/>
          </w:rPr>
          <w:t>http://www.fs.fed.us/pnw/pubs/pnw_gtr915.pdf</w:t>
        </w:r>
      </w:hyperlink>
      <w:r>
        <w:t xml:space="preserve">. The authors, however, made no meaningful attempt to resolve these trade-offs. </w:t>
      </w:r>
    </w:p>
    <w:p w:rsidR="00B31AD8" w:rsidRDefault="00B31AD8" w:rsidP="00B31AD8">
      <w:pPr>
        <w:shd w:val="clear" w:color="auto" w:fill="FFFFFF"/>
        <w:tabs>
          <w:tab w:val="left" w:pos="7110"/>
        </w:tabs>
      </w:pPr>
    </w:p>
    <w:p w:rsidR="00B31AD8" w:rsidRDefault="006B06B7" w:rsidP="00B31AD8">
      <w:pPr>
        <w:tabs>
          <w:tab w:val="left" w:pos="7110"/>
        </w:tabs>
        <w:autoSpaceDE w:val="0"/>
      </w:pPr>
      <w:r>
        <w:t xml:space="preserve">The Grasshopper EA </w:t>
      </w:r>
      <w:r w:rsidR="00B31AD8">
        <w:t xml:space="preserve">analysis </w:t>
      </w:r>
      <w:r>
        <w:t xml:space="preserve">asserting the logging will protect suitable habitat from fire </w:t>
      </w:r>
      <w:r w:rsidR="00B31AD8">
        <w:t xml:space="preserve">is </w:t>
      </w:r>
      <w:r>
        <w:t>in</w:t>
      </w:r>
      <w:r w:rsidR="00B31AD8">
        <w:t xml:space="preserve">consistent with the findings of Raphael et al (2013) </w:t>
      </w:r>
      <w:r>
        <w:t xml:space="preserve">who </w:t>
      </w:r>
      <w:r w:rsidR="00B31AD8">
        <w:t>used a state-and-transition model to explore the effects of landscape fuel reduction logging on spotted owls and found:</w:t>
      </w:r>
    </w:p>
    <w:p w:rsidR="00B31AD8" w:rsidRDefault="00B31AD8" w:rsidP="00B31AD8">
      <w:pPr>
        <w:pStyle w:val="BodyTextIndent"/>
        <w:tabs>
          <w:tab w:val="left" w:pos="7110"/>
        </w:tabs>
        <w:autoSpaceDE w:val="0"/>
        <w:rPr>
          <w:szCs w:val="24"/>
        </w:rPr>
      </w:pPr>
      <w:r>
        <w:t xml:space="preserve">Active fuel reduction activities in moderate habitat contributed to substantial short-term (simulation years 0 to 30) population declines under the larger area, higher intensity scenarios. … The combination of BDOW interactions and high-intensity, larger-area treatments contributed to the most substantial NSO population bottlenecks. The </w:t>
      </w:r>
      <w:r>
        <w:lastRenderedPageBreak/>
        <w:t xml:space="preserve">combined effects of aggressive fuel </w:t>
      </w:r>
      <w:r>
        <w:rPr>
          <w:szCs w:val="24"/>
        </w:rPr>
        <w:t>reduction treatment approaches and interactions with BDOWs have the potential to contribute to increased extinction risk for NSOs in both analysis areas. … It appears that management regimes that take out owl habitat through treatments (either current or potential future) do not reduce the amount of habitat that is lost to wildfire enough to make up for the habitats lost through treatments.</w:t>
      </w:r>
    </w:p>
    <w:p w:rsidR="00B31AD8" w:rsidRDefault="00B31AD8" w:rsidP="00B31AD8">
      <w:pPr>
        <w:shd w:val="clear" w:color="auto" w:fill="FFFFFF"/>
      </w:pPr>
      <w:r>
        <w:t xml:space="preserve">Principle Investigator: Dr. Martin G. Raphael. Project Title: Assessing the Compatibility of Fuel Treatments, Wildfire Risk, and Conservation of Northern Spotted Owl Habitats and Populations in the Eastern Cascades: A Multi-scale Analysis. JFSP 09-1-08-31 Final Report, Page 19. </w:t>
      </w:r>
      <w:hyperlink r:id="rId72" w:history="1">
        <w:r>
          <w:rPr>
            <w:rStyle w:val="Hyperlink"/>
          </w:rPr>
          <w:t>http://www.firescience.gov/projects/09-1-08-31/project/09-1-08-31_final_report.pdf</w:t>
        </w:r>
      </w:hyperlink>
      <w:r>
        <w:rPr>
          <w:color w:val="0000FF"/>
          <w:u w:val="single"/>
        </w:rPr>
        <w:t xml:space="preserve">.  </w:t>
      </w:r>
      <w:r>
        <w:t>This study also highlights the fact that natural landscapes (under the influence of natural forces like climate, photosynthesis, and natural disturbance) have a lot of ecological inertia, and well-intentioned management interventions are unlikely to significantly change the trajectory.</w:t>
      </w:r>
    </w:p>
    <w:p w:rsidR="00B31AD8" w:rsidRDefault="00B31AD8" w:rsidP="00B31AD8">
      <w:pPr>
        <w:shd w:val="clear" w:color="auto" w:fill="FFFFFF"/>
      </w:pPr>
    </w:p>
    <w:p w:rsidR="00B31AD8" w:rsidRPr="00B46793" w:rsidRDefault="00B31AD8" w:rsidP="00B31AD8">
      <w:pPr>
        <w:tabs>
          <w:tab w:val="left" w:pos="7110"/>
        </w:tabs>
      </w:pPr>
      <w:r>
        <w:t xml:space="preserve">The Wildlife Society (TWS) peer review of the 2010 Draft Recovery Plan for the Spotted Owl. The draft plan called for extensive logging to reduce fire hazard (“inaction is not an option”). TWS used state-and-transition model to evaluate the effects of opening dry forests to reduce fire hazard versus the effects of wildfire. </w:t>
      </w:r>
    </w:p>
    <w:p w:rsidR="00B31AD8" w:rsidRDefault="00B31AD8" w:rsidP="00B31AD8">
      <w:pPr>
        <w:tabs>
          <w:tab w:val="left" w:pos="7110"/>
        </w:tabs>
        <w:autoSpaceDE w:val="0"/>
        <w:ind w:left="720"/>
      </w:pPr>
      <w:r>
        <w:rPr>
          <w:rFonts w:ascii="Courier" w:hAnsi="Courier" w:cs="Courier"/>
        </w:rPr>
        <w:t xml:space="preserve"> </w:t>
      </w:r>
      <w:r>
        <w:t>The results of running the model with 2/3rds of the landscape treated leads to open forest becoming predominant after a couple of decades, occupying 51 percent of the forested landscape, while mature, closed forest drops to 29 and 24 percent of the Klamath and dry Cascades forests, respectively (Appendix A, Figure 5, shows the Cascades). Treatments that maintain open forests in 2/3rds of the landscape put such a limit on the amount of closed forest that can occur, even if high severity fires were to be completely eliminated under this scenario, there would only be 35 percent of the landscape occupied by closed forests. In contrast, to the extensive treatment scenario, treating only 20 percent of the landscape reduces mature, closed canopy forest by about 11 percent (Appendix A, Figure 6).</w:t>
      </w:r>
    </w:p>
    <w:p w:rsidR="00B31AD8" w:rsidRDefault="00B31AD8" w:rsidP="00B31AD8">
      <w:pPr>
        <w:tabs>
          <w:tab w:val="left" w:pos="7110"/>
        </w:tabs>
        <w:autoSpaceDE w:val="0"/>
        <w:ind w:left="720"/>
      </w:pPr>
      <w:r>
        <w:t xml:space="preserve"> One justification for the extensive treatment scenario promoted in the 2010 DRRP is that it is needed because of increased fire hypothesized to occur under climate change. By doubling the rate of high severity fire by 2050 with 2/3rds of the landscape treated, closed canopy forest is reduced to 25 percent in the Klamath compared to 60 percent without treatment and 23 percent in the dry Cascades compared to 54 percent without treatment.</w:t>
      </w:r>
    </w:p>
    <w:p w:rsidR="00B31AD8" w:rsidRDefault="00B31AD8" w:rsidP="00B31AD8">
      <w:pPr>
        <w:tabs>
          <w:tab w:val="left" w:pos="7110"/>
        </w:tabs>
        <w:autoSpaceDE w:val="0"/>
        <w:ind w:left="720"/>
      </w:pPr>
      <w:r>
        <w:t xml:space="preserve"> Under what scenario might treatments that open forest canopies lead to more closed canopy spotted owl habitat? The direct cost to close forests with treatments that open them is simply equal to the proportion of the landscape that is treated. This reduction in closed canopy forest can only be offset over time if the ratio of forest regrowth to stand-replacing fire is below 1 (5-8 times more fire than today), and shifts to above 1 with the treatments (and most or all stand replacing fire in treated sites is eliminated, as modeled here). Another scenario that allows closed forests to increase would be if treating small areas eliminated essentially all future stand replacing fire, not only in treated areas, but across the entire landscape. This scenario obviously relies on substantially greater control over fire than is currently feasible, and it would increase impacts of fire exclusion if effective.</w:t>
      </w:r>
    </w:p>
    <w:p w:rsidR="00B31AD8" w:rsidRDefault="00B31AD8" w:rsidP="00B31AD8">
      <w:pPr>
        <w:tabs>
          <w:tab w:val="left" w:pos="7110"/>
        </w:tabs>
        <w:autoSpaceDE w:val="0"/>
        <w:ind w:left="720"/>
      </w:pPr>
      <w:r>
        <w:t>…</w:t>
      </w:r>
    </w:p>
    <w:p w:rsidR="00B31AD8" w:rsidRDefault="00B31AD8" w:rsidP="00B31AD8">
      <w:pPr>
        <w:tabs>
          <w:tab w:val="left" w:pos="7110"/>
        </w:tabs>
        <w:autoSpaceDE w:val="0"/>
        <w:ind w:left="720"/>
      </w:pPr>
      <w:r>
        <w:lastRenderedPageBreak/>
        <w:t xml:space="preserve"> In sum, to recognize effects of fire and treatments on future amounts of closed forest habitat, it is necessary to explicitly and simultaneously consider the rates of fire, forest recruitment, and forest treatment over time, which has not yet been done by the Service.</w:t>
      </w:r>
    </w:p>
    <w:p w:rsidR="00B31AD8" w:rsidRDefault="00B31AD8" w:rsidP="00B31AD8">
      <w:pPr>
        <w:tabs>
          <w:tab w:val="left" w:pos="7110"/>
        </w:tabs>
        <w:autoSpaceDE w:val="0"/>
        <w:ind w:left="720"/>
      </w:pPr>
      <w:r>
        <w:t>…</w:t>
      </w:r>
    </w:p>
    <w:p w:rsidR="00B31AD8" w:rsidRDefault="00B31AD8" w:rsidP="00B31AD8">
      <w:pPr>
        <w:pStyle w:val="BodyTextIndent"/>
        <w:tabs>
          <w:tab w:val="left" w:pos="7110"/>
        </w:tabs>
        <w:autoSpaceDE w:val="0"/>
        <w:rPr>
          <w:szCs w:val="24"/>
        </w:rPr>
      </w:pPr>
      <w:r>
        <w:rPr>
          <w:szCs w:val="24"/>
        </w:rPr>
        <w:t>The potential impacts of fuel treatments on spotted owls are not considered. … We also know little about the impacts of fire, yet this has been treated as a major threat, leading to proposing more fuel treatments. However, it is uncertain at this time which is a bigger threats, fires or treatments to reduce risk of fires. … If the plan intends to use the best available science to describe ongoing impacts to spotted owl habitat, information and literature about disturbances to reduce fuels should be included.</w:t>
      </w:r>
    </w:p>
    <w:p w:rsidR="00B31AD8" w:rsidRDefault="00B31AD8" w:rsidP="00B31AD8">
      <w:pPr>
        <w:tabs>
          <w:tab w:val="left" w:pos="7110"/>
        </w:tabs>
        <w:autoSpaceDE w:val="0"/>
        <w:ind w:left="720"/>
      </w:pPr>
      <w:r>
        <w:t>… there has been no formal accounting of how closed canopy forests can be maintained with the widespread treatments that are being proposed.</w:t>
      </w:r>
    </w:p>
    <w:p w:rsidR="00B31AD8" w:rsidRDefault="00B31AD8" w:rsidP="00B31AD8">
      <w:pPr>
        <w:tabs>
          <w:tab w:val="left" w:pos="7110"/>
        </w:tabs>
        <w:autoSpaceDE w:val="0"/>
      </w:pPr>
      <w:r>
        <w:t xml:space="preserve">The Wildlife Society 2010. Peer Review of the Draft Revised Recovery Plan for Northern Spotted Owl. November 15, 2010. </w:t>
      </w:r>
      <w:hyperlink r:id="rId73" w:history="1">
        <w:r w:rsidRPr="002C7752">
          <w:rPr>
            <w:rStyle w:val="Hyperlink"/>
          </w:rPr>
          <w:t>http://www.fws.gov/oregonfwo/Species/Data/NorthernSpottedOwl/Recovery/Library/Documents/TWSDraftRPReview.pdf</w:t>
        </w:r>
      </w:hyperlink>
      <w:r>
        <w:t>.</w:t>
      </w:r>
    </w:p>
    <w:p w:rsidR="00464E8F" w:rsidRDefault="00EB6DB5" w:rsidP="00464E8F">
      <w:pPr>
        <w:shd w:val="clear" w:color="auto" w:fill="FFFFFF"/>
        <w:spacing w:before="100" w:beforeAutospacing="1" w:after="100" w:afterAutospacing="1"/>
        <w:rPr>
          <w:spacing w:val="3"/>
        </w:rPr>
      </w:pPr>
      <w:r w:rsidRPr="007E5C27">
        <w:rPr>
          <w:spacing w:val="3"/>
        </w:rPr>
        <w:t>The Grasshopper EA’s assertion that logging to reduce fuels will benefit spotted owls also fails to address the fact that logging to reduce fire effects is not always effective. Fuel reduction logging has complex effects that can both increase and decrease fire hazard. This was addressed in the court decision rejecting the Mt Hood NF’s Crystal Clear Project. The Grasshopper EA failed to address the complex effects of logging on fire hazard, especially when logging relatively resilient mature forests with large trees with thick bark and high canopies.</w:t>
      </w:r>
    </w:p>
    <w:p w:rsidR="00DA6FF6" w:rsidRDefault="00DA6FF6" w:rsidP="00464E8F">
      <w:pPr>
        <w:shd w:val="clear" w:color="auto" w:fill="FFFFFF"/>
        <w:spacing w:before="100" w:beforeAutospacing="1" w:after="100" w:afterAutospacing="1"/>
        <w:rPr>
          <w:spacing w:val="3"/>
        </w:rPr>
      </w:pPr>
      <w:r>
        <w:rPr>
          <w:spacing w:val="3"/>
        </w:rPr>
        <w:t xml:space="preserve">The Response-to-Comment 132-39, -40 erroneously interpreted comments about the effects of </w:t>
      </w:r>
      <w:r w:rsidR="006B06B7">
        <w:rPr>
          <w:spacing w:val="3"/>
        </w:rPr>
        <w:t xml:space="preserve">fuel </w:t>
      </w:r>
      <w:r>
        <w:rPr>
          <w:spacing w:val="3"/>
        </w:rPr>
        <w:t>logging on spotted owls as comments about carbon and climate change, so the FS never responded to those comments. These comments soundly refute the misguided notion that logging to reduce fire effects provides net conservation benefits to spotted owl habitat.</w:t>
      </w:r>
      <w:r w:rsidR="00F30093">
        <w:rPr>
          <w:spacing w:val="3"/>
        </w:rPr>
        <w:t xml:space="preserve"> Objectors do not deny there may be some valid reasons for fuel treatments, but the NEPA analysis has to accurately disclose the trade-offs, including real and substantial harm to spotted owl habitat, instead of perpetuating </w:t>
      </w:r>
      <w:r w:rsidR="006B06B7">
        <w:rPr>
          <w:spacing w:val="3"/>
        </w:rPr>
        <w:t xml:space="preserve">a counterfactual </w:t>
      </w:r>
      <w:r w:rsidR="00F30093">
        <w:rPr>
          <w:spacing w:val="3"/>
        </w:rPr>
        <w:t xml:space="preserve">that fuel logging benefits </w:t>
      </w:r>
      <w:r w:rsidR="006B06B7">
        <w:rPr>
          <w:spacing w:val="3"/>
        </w:rPr>
        <w:t xml:space="preserve">spotted </w:t>
      </w:r>
      <w:r w:rsidR="00F30093">
        <w:rPr>
          <w:spacing w:val="3"/>
        </w:rPr>
        <w:t>owls.</w:t>
      </w:r>
    </w:p>
    <w:p w:rsidR="00874F8D" w:rsidRDefault="00874F8D" w:rsidP="00874F8D">
      <w:pPr>
        <w:tabs>
          <w:tab w:val="left" w:pos="7110"/>
        </w:tabs>
        <w:autoSpaceDE w:val="0"/>
      </w:pPr>
      <w:r>
        <w:rPr>
          <w:spacing w:val="3"/>
        </w:rPr>
        <w:t>Response-to-Comment (p 80) says “</w:t>
      </w:r>
      <w:proofErr w:type="spellStart"/>
      <w:r w:rsidRPr="00874F8D">
        <w:rPr>
          <w:spacing w:val="3"/>
        </w:rPr>
        <w:t>Roloff</w:t>
      </w:r>
      <w:proofErr w:type="spellEnd"/>
      <w:r w:rsidRPr="00874F8D">
        <w:rPr>
          <w:spacing w:val="3"/>
        </w:rPr>
        <w:t xml:space="preserve"> et al (2012) analyzed different fuel management strategies for the same area and that paper they found that active management “was more favorable to spotted owl conservation…than no management”.</w:t>
      </w:r>
      <w:r>
        <w:rPr>
          <w:spacing w:val="3"/>
        </w:rPr>
        <w:t xml:space="preserve">” </w:t>
      </w:r>
      <w:proofErr w:type="spellStart"/>
      <w:r>
        <w:t>Roloff</w:t>
      </w:r>
      <w:proofErr w:type="spellEnd"/>
      <w:r>
        <w:t xml:space="preserve"> et al. (2012) uses flawed assumptions to reach flawed conclusions. In particular, </w:t>
      </w:r>
      <w:proofErr w:type="spellStart"/>
      <w:r>
        <w:t>Roloff</w:t>
      </w:r>
      <w:proofErr w:type="spellEnd"/>
      <w:r>
        <w:t xml:space="preserve"> et al. (2012) “</w:t>
      </w:r>
      <w:r w:rsidRPr="00874F8D">
        <w:t xml:space="preserve">acknowledge that our model contains uncertainty and untested assumptions. </w:t>
      </w:r>
      <w:r>
        <w:t xml:space="preserve">… [We] assumed that high hazard was likely to result in habitat loss; an outcome dependent on highly variable weather, climate, and fire factors.” Essentially, all complex forests favored by owls were assumed to be lost to fire. This is not a valid assumption. Mature &amp; old-growth forests are in fact relatively resilient to fire. Lesmeister, D. B., S. G. Sovern, R. J. Davis, D. M. Bell, M. J. Gregory, and J. C. </w:t>
      </w:r>
      <w:proofErr w:type="spellStart"/>
      <w:r>
        <w:t>Vogeler</w:t>
      </w:r>
      <w:proofErr w:type="spellEnd"/>
      <w:r>
        <w:t xml:space="preserve">. 2019. Mixed-severity wildfire and habitat of an old-forest obligate. Ecosphere 10(4):e02696. 10.1002/ecs2.2696. </w:t>
      </w:r>
      <w:hyperlink r:id="rId74" w:history="1">
        <w:r>
          <w:rPr>
            <w:rStyle w:val="Hyperlink"/>
          </w:rPr>
          <w:t>https://esajournals.onlinelibrary.wiley.com/doi/pdf/10.1002/ecs2.2696</w:t>
        </w:r>
      </w:hyperlink>
      <w:r>
        <w:t xml:space="preserve">. In forests where stand replacing fire is relatively infrequent, including where fire is actively </w:t>
      </w:r>
      <w:r>
        <w:lastRenderedPageBreak/>
        <w:t>suppressed, fuel-rich forests can persist for long periods without stand replacing fire. If this were not the case, then older forests would be very rare and spotted owls would likely not exist in SW Oregon. The so-called “risk assessment” failed to account for the most critical factor of all — the actual frequency/probability of stand-replacing fire in a landscape where fires are being actively suppressed, so this paper should not be used to make policy or forest management</w:t>
      </w:r>
      <w:r>
        <w:rPr>
          <w:rFonts w:ascii="Arial" w:hAnsi="Arial" w:cs="Arial"/>
          <w:color w:val="000000"/>
        </w:rPr>
        <w:t xml:space="preserve"> </w:t>
      </w:r>
      <w:r>
        <w:t>decisions. Raphael et al (2013) state: “</w:t>
      </w:r>
      <w:proofErr w:type="spellStart"/>
      <w:r>
        <w:t>Roloff</w:t>
      </w:r>
      <w:proofErr w:type="spellEnd"/>
      <w:r>
        <w:t xml:space="preserve"> et al. 2012 analyzed a different fuel management strategy for the same area. In that paper they found that active management ‘was more favorable to spotted owl conservation…than no management.’ Although they used </w:t>
      </w:r>
      <w:proofErr w:type="spellStart"/>
      <w:r>
        <w:t>FlamMap</w:t>
      </w:r>
      <w:proofErr w:type="spellEnd"/>
      <w:r>
        <w:t xml:space="preserve">, they did not actually burn up owl habitat with a landscape model. Instead they assumed that if 50% of the owl territory had crown fire potential then all of the territory would be lost to a fire. This assumption appears to overestimate loss of habitat to fire.” Principle Investigator: Dr. Martin G. Raphael. Project Title: Assessing the Compatibility of Fuel Treatments, Wildfire Risk, and Conservation of Northern Spotted Owl Habitats and Populations in the Eastern Cascades: A Multi-scale Analysis. JFSP 09-1-08-31 Final Report, Page 19. </w:t>
      </w:r>
      <w:hyperlink r:id="rId75" w:history="1">
        <w:r>
          <w:rPr>
            <w:rStyle w:val="Hyperlink"/>
          </w:rPr>
          <w:t>http://www.firescience.gov/projects/09-1-08-31/project/09-1-08-31_final_report.pdf</w:t>
        </w:r>
      </w:hyperlink>
    </w:p>
    <w:p w:rsidR="00874F8D" w:rsidRDefault="00874F8D" w:rsidP="00874F8D">
      <w:pPr>
        <w:tabs>
          <w:tab w:val="left" w:pos="7110"/>
        </w:tabs>
      </w:pPr>
    </w:p>
    <w:p w:rsidR="00874F8D" w:rsidRPr="006B06B7" w:rsidRDefault="00874F8D" w:rsidP="006B06B7">
      <w:pPr>
        <w:tabs>
          <w:tab w:val="left" w:pos="7110"/>
        </w:tabs>
      </w:pPr>
      <w:proofErr w:type="spellStart"/>
      <w:r>
        <w:t>Roloff</w:t>
      </w:r>
      <w:proofErr w:type="spellEnd"/>
      <w:r>
        <w:t xml:space="preserve"> et al. (2012) also mistakenly credit logging with creating “edge” conditions beneficial to spotted owl foraging. The available evidence indicating that edges may be beneficial to spotted owls is limited to a particular region of California and there is no evidence that logging can create the type of edges favored by owls and their prey. Also, the study did not account for importance of prey diversity and the adverse effects of logging on prey diversity. That is, logging may enhance habitat for a particular owl prey species – e.g., woodrats – but at the expense of habitat for a broad diversity of nocturnal prey species that prefer dense forests, e.g., flying squirrels and red tree voles. The study also assumed that understory vegetation would be eliminated in all fuel treatments but failed to fully account for the adverse effects of such stand modifications on spotted owls and their prey. The study says that “surface fires may result in loss of spotted owl habitat, depending on fire intensity” but the authors fail to recognize that the type of logging prescribed in their study would result in a “virtual surface fire” on every treated acre. </w:t>
      </w:r>
    </w:p>
    <w:p w:rsidR="00464E8F" w:rsidRPr="00464E8F" w:rsidRDefault="00464E8F" w:rsidP="00464E8F">
      <w:pPr>
        <w:pStyle w:val="Heading1"/>
        <w:rPr>
          <w:sz w:val="24"/>
          <w:szCs w:val="24"/>
        </w:rPr>
      </w:pPr>
      <w:r w:rsidRPr="00464E8F">
        <w:rPr>
          <w:sz w:val="24"/>
          <w:szCs w:val="24"/>
        </w:rPr>
        <w:t>FAILURE TO TAKE A HARD LOOK AT THE LONG-TERM NEGATIVE EFFECTS OF LOGGING ON SNAG HABITAT RECRUITMENT.</w:t>
      </w:r>
    </w:p>
    <w:p w:rsidR="00D15120" w:rsidRDefault="00D15120" w:rsidP="00120E6E">
      <w:pPr>
        <w:spacing w:before="100" w:beforeAutospacing="1" w:after="100" w:afterAutospacing="1"/>
      </w:pPr>
      <w:r>
        <w:t>The Grasshopper EA admits that snag habitat is under-represented compared to the historic range of variability, but the EA does not fully and accurately disclose the long-term adverse effects of logging on snag habitat recruitment, and thus fails to meet NEPA’s goal of informed decision-making so the public and the decision-maker can compare the effects of logging versus not logging. Logging will make a bad situation worse for snag habitat, and many wildlife, including spotted owl prey, yet the EA makes baseless/unsupported assertions that “</w:t>
      </w:r>
      <w:r w:rsidRPr="00D15120">
        <w:t>Alternative 1 would have fewer snags and less down wood than taking no action, however there would be no meaningful impact at the watershed scale and there would be sufficient quantities in units and across the landscape to provide for the needs of dependent species over time.</w:t>
      </w:r>
      <w:r>
        <w:t xml:space="preserve"> [and] </w:t>
      </w:r>
      <w:r w:rsidRPr="00D15120">
        <w:t>The overall effect on snags and down wood for the watershed as a result of this project is that snags and down wood would be retained and would bring the watershed closer to the range of historic variability and would result in a situation where the needs of snag dependent species are being met across the landscape now and into the future</w:t>
      </w:r>
      <w:r>
        <w:t xml:space="preserve">.” Grasshopper Final EA, p 68. </w:t>
      </w:r>
    </w:p>
    <w:p w:rsidR="00D15120" w:rsidRDefault="00D15120" w:rsidP="00120E6E">
      <w:pPr>
        <w:spacing w:before="100" w:beforeAutospacing="1" w:after="100" w:afterAutospacing="1"/>
      </w:pPr>
      <w:r>
        <w:lastRenderedPageBreak/>
        <w:t xml:space="preserve">The EA fails to meet NEPA’s mandate for accurate scientific analysis when it presents contradictory conclusions such as, (1) logging </w:t>
      </w:r>
      <w:r w:rsidRPr="00D15120">
        <w:t xml:space="preserve">would </w:t>
      </w:r>
      <w:r>
        <w:t>“</w:t>
      </w:r>
      <w:r w:rsidRPr="00D15120">
        <w:t>bring the watershed closer to the range of historic variability</w:t>
      </w:r>
      <w:r>
        <w:t>” and (2) “</w:t>
      </w:r>
      <w:r w:rsidRPr="00D15120">
        <w:t>Across the Mt. Hood National Forest, snags and downed wood are found at lower levels than the historic range of variability</w:t>
      </w:r>
      <w:r>
        <w:t xml:space="preserve">, [and] </w:t>
      </w:r>
      <w:r w:rsidRPr="00D15120">
        <w:t xml:space="preserve">Alternative 1 would have fewer snags and less </w:t>
      </w:r>
      <w:r>
        <w:t>down wood than taking no action.” EA, pp 68, 69.</w:t>
      </w:r>
    </w:p>
    <w:p w:rsidR="00246707" w:rsidRPr="00246707" w:rsidRDefault="00D15120" w:rsidP="00D46FED">
      <w:pPr>
        <w:spacing w:before="100" w:beforeAutospacing="1" w:after="100" w:afterAutospacing="1"/>
        <w:rPr>
          <w:color w:val="3C4043"/>
          <w:spacing w:val="3"/>
        </w:rPr>
      </w:pPr>
      <w:r>
        <w:t>The EA failed to include critical information from the Wildlife Report about the long-term adverse effects of logging on snag habitat. And the EA mak</w:t>
      </w:r>
      <w:r w:rsidR="00D46FED">
        <w:t>e</w:t>
      </w:r>
      <w:r>
        <w:t>s assertions about snag habitat that are contradicted by the Wildlife Report.</w:t>
      </w:r>
      <w:r w:rsidR="00D46FED">
        <w:t xml:space="preserve"> </w:t>
      </w:r>
      <w:r w:rsidR="001E586A">
        <w:rPr>
          <w:color w:val="3C4043"/>
          <w:spacing w:val="3"/>
        </w:rPr>
        <w:t xml:space="preserve">The Grasshopper Final EA never meaningfully address </w:t>
      </w:r>
      <w:r w:rsidR="00246707" w:rsidRPr="00246707">
        <w:rPr>
          <w:color w:val="3C4043"/>
          <w:spacing w:val="3"/>
        </w:rPr>
        <w:t xml:space="preserve">Objectors comments on the </w:t>
      </w:r>
      <w:r w:rsidR="001E586A">
        <w:rPr>
          <w:color w:val="3C4043"/>
          <w:spacing w:val="3"/>
        </w:rPr>
        <w:t xml:space="preserve">draft </w:t>
      </w:r>
      <w:r w:rsidR="00246707" w:rsidRPr="00246707">
        <w:rPr>
          <w:color w:val="3C4043"/>
          <w:spacing w:val="3"/>
        </w:rPr>
        <w:t xml:space="preserve">EA </w:t>
      </w:r>
      <w:r w:rsidR="001E586A">
        <w:rPr>
          <w:color w:val="3C4043"/>
          <w:spacing w:val="3"/>
        </w:rPr>
        <w:t xml:space="preserve">which </w:t>
      </w:r>
      <w:r w:rsidR="00246707" w:rsidRPr="00246707">
        <w:rPr>
          <w:color w:val="3C4043"/>
          <w:spacing w:val="3"/>
        </w:rPr>
        <w:t>said:</w:t>
      </w:r>
    </w:p>
    <w:p w:rsidR="00246707" w:rsidRDefault="00246707" w:rsidP="00246707">
      <w:pPr>
        <w:ind w:left="720"/>
      </w:pPr>
      <w:r>
        <w:t xml:space="preserve">The EA (p 62) says “Alternative 1 would have fewer snags and less down wood than taking no action, however there would be no meaningful impact at the watershed scale…” This is misleading because the FS does not fully describe the significant long-term reduction in snag recruitment caused by thousands of acres of logging. The watershed scale is not the only relevant scale at which snag shortages will be felt. What about the home range of snag associated wildlife species. </w:t>
      </w:r>
    </w:p>
    <w:p w:rsidR="00246707" w:rsidRDefault="00246707" w:rsidP="00246707">
      <w:pPr>
        <w:ind w:left="720"/>
      </w:pPr>
    </w:p>
    <w:p w:rsidR="00246707" w:rsidRDefault="00246707" w:rsidP="00246707">
      <w:pPr>
        <w:ind w:left="720"/>
      </w:pPr>
      <w:r>
        <w:t>The EA (p 62) also says, after logging “… there would be sufficient quantities in units and across the landscape to provide for the needs of dependent species over time.” This is not supported by the evidence. The current Forest Service standards for snag retention are based on outdated science</w:t>
      </w:r>
      <w:r w:rsidR="00D46FED">
        <w:t xml:space="preserve"> </w:t>
      </w:r>
      <w:r>
        <w:t>and the FS has not followed NFMA/NEPA procedures to adopt new snag standards based on best available science. DecAID is not a new standard but it at least provides some information that can inform this decision. The EA lacks any meaningful input from DecAID, such as the projected tolerance levels for snag-associated wildlife after logging. LSRs and critical habitat should be managed for 80% tolerance levels, but logging is likely to reduce habitat to 30% tolerance levels, or less.</w:t>
      </w:r>
    </w:p>
    <w:p w:rsidR="00246707" w:rsidRDefault="00246707" w:rsidP="00246707">
      <w:pPr>
        <w:ind w:left="720"/>
      </w:pPr>
    </w:p>
    <w:p w:rsidR="00246707" w:rsidRDefault="00246707" w:rsidP="00246707">
      <w:pPr>
        <w:ind w:left="720"/>
      </w:pPr>
      <w:r>
        <w:t>The EA fails to include any meaningful analysis of snag habitat found in the Wildlife Report, such as the fact that Alt 1 will result in snag recruitment levels far below the levels needed for wildlife.</w:t>
      </w:r>
    </w:p>
    <w:p w:rsidR="00246707" w:rsidRDefault="00246707" w:rsidP="00246707">
      <w:pPr>
        <w:ind w:left="720"/>
      </w:pPr>
    </w:p>
    <w:p w:rsidR="00246707" w:rsidRDefault="00246707" w:rsidP="00246707">
      <w:pPr>
        <w:ind w:left="720"/>
      </w:pPr>
      <w:r>
        <w:rPr>
          <w:noProof/>
        </w:rPr>
        <w:drawing>
          <wp:inline distT="0" distB="0" distL="0" distR="0" wp14:anchorId="0961E9E9" wp14:editId="0C573CFB">
            <wp:extent cx="5943600" cy="1022985"/>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943600" cy="1022985"/>
                    </a:xfrm>
                    <a:prstGeom prst="rect">
                      <a:avLst/>
                    </a:prstGeom>
                  </pic:spPr>
                </pic:pic>
              </a:graphicData>
            </a:graphic>
          </wp:inline>
        </w:drawing>
      </w:r>
    </w:p>
    <w:p w:rsidR="00246707" w:rsidRDefault="00246707" w:rsidP="00246707">
      <w:pPr>
        <w:ind w:left="720"/>
      </w:pPr>
    </w:p>
    <w:p w:rsidR="00246707" w:rsidRDefault="00246707" w:rsidP="00246707">
      <w:pPr>
        <w:ind w:left="720"/>
      </w:pPr>
      <w:r>
        <w:rPr>
          <w:noProof/>
        </w:rPr>
        <w:drawing>
          <wp:inline distT="0" distB="0" distL="0" distR="0" wp14:anchorId="09CB188B" wp14:editId="4F79382E">
            <wp:extent cx="5943600" cy="676910"/>
            <wp:effectExtent l="0" t="0" r="0" b="88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943600" cy="676910"/>
                    </a:xfrm>
                    <a:prstGeom prst="rect">
                      <a:avLst/>
                    </a:prstGeom>
                  </pic:spPr>
                </pic:pic>
              </a:graphicData>
            </a:graphic>
          </wp:inline>
        </w:drawing>
      </w:r>
    </w:p>
    <w:p w:rsidR="00246707" w:rsidRDefault="00246707" w:rsidP="00246707">
      <w:pPr>
        <w:ind w:left="720"/>
      </w:pPr>
    </w:p>
    <w:p w:rsidR="00246707" w:rsidRDefault="00246707" w:rsidP="00246707">
      <w:pPr>
        <w:ind w:left="720"/>
      </w:pPr>
      <w:r>
        <w:rPr>
          <w:noProof/>
        </w:rPr>
        <w:lastRenderedPageBreak/>
        <w:drawing>
          <wp:inline distT="0" distB="0" distL="0" distR="0" wp14:anchorId="786D1293" wp14:editId="0B6E97C1">
            <wp:extent cx="5204911" cy="267485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5204911" cy="2674852"/>
                    </a:xfrm>
                    <a:prstGeom prst="rect">
                      <a:avLst/>
                    </a:prstGeom>
                  </pic:spPr>
                </pic:pic>
              </a:graphicData>
            </a:graphic>
          </wp:inline>
        </w:drawing>
      </w:r>
    </w:p>
    <w:p w:rsidR="00246707" w:rsidRDefault="00246707" w:rsidP="00246707">
      <w:pPr>
        <w:ind w:left="720"/>
      </w:pPr>
    </w:p>
    <w:p w:rsidR="00246707" w:rsidRDefault="00246707" w:rsidP="00246707">
      <w:pPr>
        <w:ind w:left="720"/>
      </w:pPr>
      <w:r>
        <w:t xml:space="preserve">The Wildlife Report’s analysis of the </w:t>
      </w:r>
      <w:r w:rsidRPr="000A646D">
        <w:t>Environmental Consequences Snags and Down Wood</w:t>
      </w:r>
      <w:r>
        <w:t xml:space="preserve"> is misleading and incomplete because it fails to meaningfully compare the action and no action alternatives (a core purpose of NEPA), and it compares the “current” and “reference” conditions for various categories of dead wood habitat, but it fails to compare the “projected” snag levels in the decades after logging.</w:t>
      </w:r>
    </w:p>
    <w:p w:rsidR="00246707" w:rsidRDefault="00246707" w:rsidP="00246707">
      <w:pPr>
        <w:ind w:left="720"/>
      </w:pPr>
    </w:p>
    <w:p w:rsidR="00246707" w:rsidRDefault="00246707" w:rsidP="00246707">
      <w:pPr>
        <w:ind w:left="720"/>
      </w:pPr>
      <w:r>
        <w:t>The Wildlife Report (p 61) admits that “Alternative 1 would delay the attainment of snags through natural processes because of the reduction in density of the stands. This effect changes the trajectory for snag development compared to the No Action Alternative and reduces the number of trees available to become snags.” But the analysis fails to take a hard look at the significance and persistence of the snag deficit caused by logging, and fails to take a hard look at effects to specific wildlife at the home range scale.</w:t>
      </w:r>
    </w:p>
    <w:p w:rsidR="00246707" w:rsidRDefault="00246707" w:rsidP="00246707">
      <w:pPr>
        <w:ind w:left="720"/>
      </w:pPr>
    </w:p>
    <w:p w:rsidR="00246707" w:rsidRDefault="00246707" w:rsidP="00246707">
      <w:pPr>
        <w:ind w:left="720"/>
      </w:pPr>
      <w:r>
        <w:t>The Wildlife Report (p 61) says after logging “there would be sufficient quantities in units and across the landscape to provide for the needs of dependent species over time.” This assertion is not supported by any analysis. The FS does not even have standards to say how many snags is “enough” to meet the needs of wildlife. All we know is that the existing standards are outdated and scientifically discredited and likely provide for too few snags to meet the needs of wildlife.</w:t>
      </w:r>
    </w:p>
    <w:p w:rsidR="00246707" w:rsidRDefault="00246707" w:rsidP="00246707">
      <w:pPr>
        <w:ind w:left="720"/>
      </w:pPr>
    </w:p>
    <w:p w:rsidR="00246707" w:rsidRDefault="00246707" w:rsidP="00246707">
      <w:pPr>
        <w:autoSpaceDE w:val="0"/>
        <w:ind w:left="720"/>
      </w:pPr>
      <w:r>
        <w:t>The Forest Service cannot provide any assurance that its plans and projects will assure viable populations of native wildlife that depend on dead trees. The Forest Service does not know how many snags are necessary to support viable populations of cavity associated species. The Forest Service has provided no credible link between DecAID tolerance levels, potential population levels, and/or viable populations. The Forest Service has also failed to reliably quantify existing and projected habitat for snag associated species.</w:t>
      </w:r>
    </w:p>
    <w:p w:rsidR="00246707" w:rsidRDefault="00246707" w:rsidP="00246707">
      <w:pPr>
        <w:ind w:left="720"/>
      </w:pPr>
    </w:p>
    <w:p w:rsidR="00246707" w:rsidRDefault="00246707" w:rsidP="00246707">
      <w:pPr>
        <w:ind w:left="720"/>
      </w:pPr>
      <w:r>
        <w:t xml:space="preserve">The Wildlife Report analysis of cumulative impacts (p 65) says </w:t>
      </w:r>
    </w:p>
    <w:p w:rsidR="00246707" w:rsidRDefault="00246707" w:rsidP="00246707">
      <w:pPr>
        <w:ind w:left="1440"/>
      </w:pPr>
      <w:r>
        <w:lastRenderedPageBreak/>
        <w:t>“The Grasshopper project activities are therefore likely to have little cumulative effect on snag and down wood habitat throughout the analysis area. The overall effect on snags and down wood for the watershed as a result of this project is that snags and down wood would be retained and would bring the watershed closer to the range of historic variability and would result in a situation where the needs of snag dependent species are being met across the landscape now and into the future.”</w:t>
      </w:r>
    </w:p>
    <w:p w:rsidR="00246707" w:rsidRDefault="00246707" w:rsidP="00246707">
      <w:pPr>
        <w:ind w:left="720"/>
      </w:pPr>
      <w:r>
        <w:t>This is unsupported. (</w:t>
      </w:r>
      <w:proofErr w:type="spellStart"/>
      <w:r>
        <w:t>i</w:t>
      </w:r>
      <w:proofErr w:type="spellEnd"/>
      <w:r>
        <w:t>) This conclusion is clearly at odds with the analysis in the Wildlife Report that shows that there is a current shortage of snag habitat in the project area (e.g., Figures 1 and 3), and logging is likely to make that shortage worse, not better (e.g., Tables 8 and 9), and after logging snag numbers will be suboptimal for snag-associated wildlife (e.g., Tables 6 and 7). (ii) The FS failed to recognize that with continuing need to enter these forests to meet timber targets and accomplish perceived fuel reduction needs, plus danger tree removal along roads and in work areas, plus tree felling as part of future fire-suppression efforts, there would likely be a foreseeable and persistent shortage of snag habitat in this project area. (iii) The FS has no basis for saying that the needs of wildlife are being met. The EA (p 55) makes an unsupported assertion that logging “would not contribute to a negative trend in viability” for management indicator species (MIS) pileated woodpecker and American marten, even though: We knows snags are currently in short supply. We know that current forest plan standards for snag habitat are outdated. We know wildlife need more snags, not fewer. And we know logging under this project will reduce, not increase snag numbers.</w:t>
      </w:r>
    </w:p>
    <w:p w:rsidR="00246707" w:rsidRDefault="00246707" w:rsidP="00246707">
      <w:pPr>
        <w:ind w:left="720"/>
      </w:pPr>
    </w:p>
    <w:p w:rsidR="00246707" w:rsidRDefault="00246707" w:rsidP="001E586A">
      <w:pPr>
        <w:ind w:left="720"/>
      </w:pPr>
      <w:r>
        <w:t>The Wildlife Report (p 15) says “</w:t>
      </w:r>
      <w:r w:rsidRPr="00F730F0">
        <w:t>Retain and restore key structural components, including large and old tree</w:t>
      </w:r>
      <w:r>
        <w:t>s, large snags, and downed logs</w:t>
      </w:r>
      <w:r w:rsidRPr="00F730F0">
        <w:t xml:space="preserve">” </w:t>
      </w:r>
      <w:r>
        <w:t>is a “Special management considerations for primary constituent elements are from the Final Critical Habitat Rule (USFWS 2012, p. 71909-71910). … for ECN 7.” This requirement of the critical habitat rule is not being followed because logging will result in a long-term reduction in recruitment of snags and dead wood.</w:t>
      </w:r>
    </w:p>
    <w:p w:rsidR="001E586A" w:rsidRDefault="001E586A" w:rsidP="00D46FED"/>
    <w:p w:rsidR="00D46FED" w:rsidRDefault="00D46FED" w:rsidP="00D46FED">
      <w:r>
        <w:t xml:space="preserve">The federal forest agencies now recognize that current methods and assumptions concerning snag habitat standards are outdated, and the old snag standards do not ensure enough snags to meet the intent of the standard, yet the agencies have not adjusted their management plans to account for this new information nor have they developed new standards that are consistent with the latest scientific information. </w:t>
      </w:r>
    </w:p>
    <w:p w:rsidR="00D46FED" w:rsidRDefault="00D46FED" w:rsidP="00D46FED"/>
    <w:p w:rsidR="00D46FED" w:rsidRDefault="00D46FED" w:rsidP="00D46FED">
      <w:pPr>
        <w:rPr>
          <w:b/>
        </w:rPr>
      </w:pPr>
      <w:r>
        <w:t>As explained on the DecAID website:</w:t>
      </w:r>
    </w:p>
    <w:p w:rsidR="00D46FED" w:rsidRDefault="00D46FED" w:rsidP="00D46FED">
      <w:pPr>
        <w:ind w:left="720"/>
      </w:pPr>
      <w:r>
        <w:rPr>
          <w:b/>
        </w:rPr>
        <w:t>Why is DecAID needed?</w:t>
      </w:r>
    </w:p>
    <w:p w:rsidR="00D46FED" w:rsidRDefault="00D46FED" w:rsidP="00D46FED">
      <w:pPr>
        <w:ind w:left="720"/>
      </w:pPr>
      <w:r>
        <w:t xml:space="preserve">National Forest LRMP standards and guidelines for management of snags and down wood in the Pacific Northwest were based on wildlife species models and tools that were developed in the 1970s and 1980s (Thomas et al. 1979, Neitro et al. 1985, Marcot 1992, Raphael 1983). New information about the ecology, dynamics, and management of decayed wood has been published since then, and the state of the knowledge continues to change. Rose et al. (2001) report that results of monitoring indicate that the biological potential models are a flawed technique (page 602). There has been an evolution from </w:t>
      </w:r>
      <w:r>
        <w:lastRenderedPageBreak/>
        <w:t>thinking of large woody material as habitat structures, to thinking of decaying wood as an integral part of complex ecosystems and ecological processes.</w:t>
      </w:r>
    </w:p>
    <w:p w:rsidR="00D46FED" w:rsidRDefault="00D46FED" w:rsidP="00D46FED">
      <w:pPr>
        <w:ind w:left="720"/>
      </w:pPr>
    </w:p>
    <w:p w:rsidR="00D46FED" w:rsidRDefault="00D46FED" w:rsidP="00D46FED">
      <w:pPr>
        <w:ind w:left="720"/>
      </w:pPr>
      <w:r>
        <w:t>This paradigm shift has made the management of dead wood a much more complex task. We can no longer expect to go to our LRMPs or the biological potential model to get one number for the amount or size of snags and down wood that we can apply to all projects and to all acres. We are directed to use the best available science to manage ecosystems, and the best available science simply will not support business as usual for managing dead wood.</w:t>
      </w:r>
    </w:p>
    <w:p w:rsidR="00D46FED" w:rsidRDefault="00D46FED" w:rsidP="00D46FED">
      <w:r>
        <w:t xml:space="preserve">Region 6 - USDA Forest Service. A Guide to the Interpretation and Use of the DecAID Advisor. June, 2006. </w:t>
      </w:r>
      <w:hyperlink r:id="rId79" w:history="1">
        <w:r>
          <w:rPr>
            <w:rStyle w:val="Hyperlink"/>
          </w:rPr>
          <w:t>http://www.fs.fed.us/r6/nr/wildlife/decaid-guide/</w:t>
        </w:r>
      </w:hyperlink>
    </w:p>
    <w:p w:rsidR="00D46FED" w:rsidRDefault="00D46FED" w:rsidP="00D46FED"/>
    <w:p w:rsidR="00D46FED" w:rsidRDefault="00D46FED" w:rsidP="00D46FED">
      <w:r>
        <w:t xml:space="preserve">A few of the problems with the old standards are: </w:t>
      </w:r>
    </w:p>
    <w:p w:rsidR="00D46FED" w:rsidRDefault="00D46FED" w:rsidP="00D46FED">
      <w:pPr>
        <w:numPr>
          <w:ilvl w:val="0"/>
          <w:numId w:val="7"/>
        </w:numPr>
        <w:suppressAutoHyphens/>
        <w:ind w:left="360"/>
      </w:pPr>
      <w:r>
        <w:t>They failed to account for the fact that the number of snags needed for roosting, escape, and foraging can exceed the number of snags needed for nesting;</w:t>
      </w:r>
    </w:p>
    <w:p w:rsidR="00D46FED" w:rsidRDefault="00D46FED" w:rsidP="00D46FED">
      <w:pPr>
        <w:numPr>
          <w:ilvl w:val="0"/>
          <w:numId w:val="7"/>
        </w:numPr>
        <w:suppressAutoHyphens/>
        <w:ind w:left="360"/>
      </w:pPr>
      <w:r>
        <w:t xml:space="preserve">They failed to recognize that the number of snags needed to support viable populations of secondary cavity users may exceed the needs of primary cavity excavators; </w:t>
      </w:r>
    </w:p>
    <w:p w:rsidR="00D46FED" w:rsidRDefault="00D46FED" w:rsidP="00D46FED">
      <w:pPr>
        <w:numPr>
          <w:ilvl w:val="0"/>
          <w:numId w:val="7"/>
        </w:numPr>
        <w:suppressAutoHyphens/>
        <w:ind w:left="360"/>
      </w:pPr>
      <w:r>
        <w:t>The old standard failed to account for the size height of snags favored by some species;</w:t>
      </w:r>
    </w:p>
    <w:p w:rsidR="00D46FED" w:rsidRDefault="00D46FED" w:rsidP="00D46FED">
      <w:pPr>
        <w:numPr>
          <w:ilvl w:val="0"/>
          <w:numId w:val="7"/>
        </w:numPr>
        <w:suppressAutoHyphens/>
        <w:ind w:left="360"/>
      </w:pPr>
      <w:r>
        <w:t>In applying the old standards the agencies often fail to account for rates of snag fall and recruitment;</w:t>
      </w:r>
    </w:p>
    <w:p w:rsidR="00D46FED" w:rsidRDefault="00D46FED" w:rsidP="00D46FED">
      <w:pPr>
        <w:numPr>
          <w:ilvl w:val="0"/>
          <w:numId w:val="7"/>
        </w:numPr>
        <w:suppressAutoHyphens/>
        <w:ind w:left="360"/>
      </w:pPr>
      <w:r>
        <w:t>The old standards fail to recognize non-equilibrium conditions in our forests, i.e. some species rely on the natural large pulses of snags associated with large disturbances;</w:t>
      </w:r>
    </w:p>
    <w:p w:rsidR="00D46FED" w:rsidRDefault="00D46FED" w:rsidP="00D46FED">
      <w:pPr>
        <w:numPr>
          <w:ilvl w:val="0"/>
          <w:numId w:val="7"/>
        </w:numPr>
        <w:suppressAutoHyphens/>
        <w:ind w:left="360"/>
      </w:pPr>
      <w:r>
        <w:t>The old standards fail to account for the differential use of space and population density of different species;</w:t>
      </w:r>
    </w:p>
    <w:p w:rsidR="00D46FED" w:rsidRDefault="00D46FED" w:rsidP="00D46FED">
      <w:pPr>
        <w:numPr>
          <w:ilvl w:val="0"/>
          <w:numId w:val="7"/>
        </w:numPr>
        <w:suppressAutoHyphens/>
        <w:ind w:left="360"/>
      </w:pPr>
      <w:r>
        <w:t>The old standards ignore other important habitat features of dead wood, e.g. loose bark, hollow trees, broken tops, etc.</w:t>
      </w:r>
    </w:p>
    <w:p w:rsidR="00D46FED" w:rsidRDefault="00D46FED" w:rsidP="00D46FED"/>
    <w:p w:rsidR="00D46FED" w:rsidRDefault="00D46FED" w:rsidP="00D46FED">
      <w:r>
        <w:t>The Forest Service recognizes that</w:t>
      </w:r>
    </w:p>
    <w:p w:rsidR="00D46FED" w:rsidRDefault="00D46FED" w:rsidP="00D46FED">
      <w:pPr>
        <w:ind w:left="360"/>
      </w:pPr>
      <w:r>
        <w:t>Forest Plan standards were based on a model that did not account for snags required for foraging (EA p. 68 and Appendix K p. 45). There is general consensus in the scientific and professional community that using the biological potential model (which was used in developing the Forest Plan standard) is flawed and does not provide adequate nesting, roosting, or foraging structure for cavity excavating birds …</w:t>
      </w:r>
    </w:p>
    <w:p w:rsidR="00D46FED" w:rsidRDefault="00D46FED" w:rsidP="00D46FED">
      <w:r>
        <w:t xml:space="preserve">North Fork John Day RD, Umatilla NF. 2011. Mirage Vegetation Management Project DN. </w:t>
      </w:r>
      <w:hyperlink r:id="rId80" w:history="1">
        <w:r>
          <w:rPr>
            <w:rStyle w:val="Hyperlink"/>
          </w:rPr>
          <w:t>http://a123.g.akamai.net/7/123/11558/abc123/forestservic.download.akamai.com/11558/www/nepa/53012_FSPLT2_055455.pdf</w:t>
        </w:r>
      </w:hyperlink>
      <w:r>
        <w:t>.</w:t>
      </w:r>
    </w:p>
    <w:p w:rsidR="00D46FED" w:rsidRDefault="00D46FED" w:rsidP="00D46FED"/>
    <w:p w:rsidR="00D46FED" w:rsidRDefault="00D46FED" w:rsidP="00D46FED">
      <w:pPr>
        <w:pStyle w:val="BodyTextIndent"/>
      </w:pPr>
      <w:r>
        <w:t xml:space="preserve">Bull et al. (1997) states current direction for providing wildlife habitat on public forest lands does not reflect the new information available, which suggests that to fully meet the needs of wildlife, additional snags and habitat are required for foraging, denning, nesting, and roosting. Rose et al. (2001) suggests that calculation of numbers of snags required by woodpeckers based on assessing their “biological (population) potential” is a flawed technique (Rose et al. 2001) due to the fact that empirical studies are suggesting that snag numbers in areas used and selected by some wildlife species are far higher than those calculated by this technique. There is general consensus that the biological potential model does not provide adequate nesting, roosting, or foraging structure for cavity </w:t>
      </w:r>
      <w:r>
        <w:lastRenderedPageBreak/>
        <w:t xml:space="preserve">excavating birds (Bull et al. 1997, Johnson and O’Neil 2001). This suggests the current direction of managing for 100 percent population levels of primary excavators may not represent the most current knowledge of managing for cavity nesters. </w:t>
      </w:r>
    </w:p>
    <w:p w:rsidR="00D46FED" w:rsidRDefault="00D46FED" w:rsidP="00D46FED">
      <w:r>
        <w:t xml:space="preserve">North Fork John Day RD, Umatilla NF. 2011. Mirage Vegetation Management Project EA, Appendix K – Terrestrial Wildlife Specialist Report. p K-45. </w:t>
      </w:r>
      <w:hyperlink r:id="rId81" w:history="1">
        <w:r>
          <w:rPr>
            <w:rStyle w:val="Hyperlink"/>
          </w:rPr>
          <w:t>http://a123.g.akamai.net/7/123/11558/abc123/forestservic.download.akamai.com/11558/www/nepa/53012_FSPLT2_055426.pdf</w:t>
        </w:r>
      </w:hyperlink>
      <w:r>
        <w:t>.</w:t>
      </w:r>
    </w:p>
    <w:p w:rsidR="00D46FED" w:rsidRDefault="00D46FED" w:rsidP="00D46FED"/>
    <w:p w:rsidR="004F40C7" w:rsidRDefault="004F40C7" w:rsidP="004F40C7">
      <w:r>
        <w:t>The authors of DecAID describe some of the limitations of the old methods of managing snag habitat.</w:t>
      </w:r>
    </w:p>
    <w:p w:rsidR="004F40C7" w:rsidRPr="0034126E" w:rsidRDefault="004F40C7" w:rsidP="004F40C7">
      <w:pPr>
        <w:pStyle w:val="BodyTextIndent"/>
        <w:rPr>
          <w:rFonts w:ascii="Times New Roman" w:hAnsi="Times New Roman" w:cs="Times New Roman"/>
        </w:rPr>
      </w:pPr>
      <w:r w:rsidRPr="0034126E">
        <w:rPr>
          <w:rFonts w:ascii="Times New Roman" w:hAnsi="Times New Roman" w:cs="Times New Roman"/>
          <w:b/>
        </w:rPr>
        <w:t>Limitations of Existing Approaches for Assessing Wildlife-Dead Wood Relations.</w:t>
      </w:r>
      <w:r w:rsidRPr="0034126E">
        <w:rPr>
          <w:rFonts w:ascii="Times New Roman" w:hAnsi="Times New Roman" w:cs="Times New Roman"/>
        </w:rPr>
        <w:t xml:space="preserve"> </w:t>
      </w:r>
    </w:p>
    <w:p w:rsidR="004F40C7" w:rsidRPr="0034126E" w:rsidRDefault="004F40C7" w:rsidP="004F40C7">
      <w:pPr>
        <w:pStyle w:val="BodyTextIndent"/>
        <w:rPr>
          <w:rFonts w:ascii="Times New Roman" w:hAnsi="Times New Roman" w:cs="Times New Roman"/>
        </w:rPr>
      </w:pPr>
      <w:r w:rsidRPr="0034126E">
        <w:rPr>
          <w:rFonts w:ascii="Times New Roman" w:hAnsi="Times New Roman" w:cs="Times New Roman"/>
        </w:rPr>
        <w:t xml:space="preserve">Models of relationships between wildlife species and snags in the Pacific Northwest typically are based on calculating potential densities of bird species and expected number of snags used per pair. This approach was first used by Thomas et al. (1979). Marcot expanded this approach in Neitro et al. (1985) and in the Snag Recruitment Simulator (Marcot 1992) by using published estimates of bird population densities instead of calculating population densities from pair home range sizes. This approach has been criticized because the numbers of snags suggested by the models seem far lower than are now being observed in field studies (Lundquist and </w:t>
      </w:r>
      <w:proofErr w:type="spellStart"/>
      <w:r w:rsidRPr="0034126E">
        <w:rPr>
          <w:rFonts w:ascii="Times New Roman" w:hAnsi="Times New Roman" w:cs="Times New Roman"/>
        </w:rPr>
        <w:t>Mariani</w:t>
      </w:r>
      <w:proofErr w:type="spellEnd"/>
      <w:r w:rsidRPr="0034126E">
        <w:rPr>
          <w:rFonts w:ascii="Times New Roman" w:hAnsi="Times New Roman" w:cs="Times New Roman"/>
        </w:rPr>
        <w:t xml:space="preserve"> 1991, Bull et al. 1997). In addition, the models provided only deterministic point values of snag sizes or densities and of population response ("population potential") instead of probabilistic estimates that are more amenable to a risk analysis and risk management framework.</w:t>
      </w:r>
    </w:p>
    <w:p w:rsidR="004F40C7" w:rsidRPr="0034126E" w:rsidRDefault="004F40C7" w:rsidP="004F40C7">
      <w:pPr>
        <w:pStyle w:val="BodyTextIndent"/>
        <w:rPr>
          <w:rFonts w:ascii="Times New Roman" w:hAnsi="Times New Roman" w:cs="Times New Roman"/>
        </w:rPr>
      </w:pPr>
      <w:r w:rsidRPr="0034126E">
        <w:rPr>
          <w:rFonts w:ascii="Times New Roman" w:hAnsi="Times New Roman" w:cs="Times New Roman"/>
        </w:rPr>
        <w:t xml:space="preserve"> In addition, existing models have focused on terrestrial vertebrate species that are primary cavity excavators. Thomas et al. (1979) and Marcot (1992) assumed that secondary snag-using species would be fully provided for if needs of primary snag-excavating species were met. However, </w:t>
      </w:r>
      <w:proofErr w:type="spellStart"/>
      <w:r w:rsidRPr="0034126E">
        <w:rPr>
          <w:rFonts w:ascii="Times New Roman" w:hAnsi="Times New Roman" w:cs="Times New Roman"/>
        </w:rPr>
        <w:t>McComb</w:t>
      </w:r>
      <w:proofErr w:type="spellEnd"/>
      <w:r w:rsidRPr="0034126E">
        <w:rPr>
          <w:rFonts w:ascii="Times New Roman" w:hAnsi="Times New Roman" w:cs="Times New Roman"/>
        </w:rPr>
        <w:t xml:space="preserve"> et al. (1992) and Schreiber (1987) suggested that secondary cavity nesting birds may be even more sensitive to snag density than are primary cavity excavators.</w:t>
      </w:r>
    </w:p>
    <w:p w:rsidR="004F40C7" w:rsidRPr="0034126E" w:rsidRDefault="004F40C7" w:rsidP="004F40C7">
      <w:pPr>
        <w:pStyle w:val="BodyTextIndent"/>
        <w:rPr>
          <w:rFonts w:ascii="Times New Roman" w:hAnsi="Times New Roman" w:cs="Times New Roman"/>
        </w:rPr>
      </w:pPr>
      <w:r w:rsidRPr="0034126E">
        <w:rPr>
          <w:rFonts w:ascii="Times New Roman" w:hAnsi="Times New Roman" w:cs="Times New Roman"/>
        </w:rPr>
        <w:t xml:space="preserve"> Furthermore, existing models do not address relationships between wildlife and down wood, nor do they account for species that use different types of snags and partially dead trees, such as hollow live and dead trees used by bats (</w:t>
      </w:r>
      <w:proofErr w:type="spellStart"/>
      <w:r w:rsidRPr="0034126E">
        <w:rPr>
          <w:rFonts w:ascii="Times New Roman" w:hAnsi="Times New Roman" w:cs="Times New Roman"/>
        </w:rPr>
        <w:t>Ormsbee</w:t>
      </w:r>
      <w:proofErr w:type="spellEnd"/>
      <w:r w:rsidRPr="0034126E">
        <w:rPr>
          <w:rFonts w:ascii="Times New Roman" w:hAnsi="Times New Roman" w:cs="Times New Roman"/>
        </w:rPr>
        <w:t xml:space="preserve"> and </w:t>
      </w:r>
      <w:proofErr w:type="spellStart"/>
      <w:r w:rsidRPr="0034126E">
        <w:rPr>
          <w:rFonts w:ascii="Times New Roman" w:hAnsi="Times New Roman" w:cs="Times New Roman"/>
        </w:rPr>
        <w:t>McComb</w:t>
      </w:r>
      <w:proofErr w:type="spellEnd"/>
      <w:r w:rsidRPr="0034126E">
        <w:rPr>
          <w:rFonts w:ascii="Times New Roman" w:hAnsi="Times New Roman" w:cs="Times New Roman"/>
        </w:rPr>
        <w:t xml:space="preserve"> 1998, </w:t>
      </w:r>
      <w:proofErr w:type="spellStart"/>
      <w:r w:rsidRPr="0034126E">
        <w:rPr>
          <w:rFonts w:ascii="Times New Roman" w:hAnsi="Times New Roman" w:cs="Times New Roman"/>
        </w:rPr>
        <w:t>Vonhof</w:t>
      </w:r>
      <w:proofErr w:type="spellEnd"/>
      <w:r w:rsidRPr="0034126E">
        <w:rPr>
          <w:rFonts w:ascii="Times New Roman" w:hAnsi="Times New Roman" w:cs="Times New Roman"/>
        </w:rPr>
        <w:t xml:space="preserve"> and </w:t>
      </w:r>
      <w:proofErr w:type="spellStart"/>
      <w:r w:rsidRPr="0034126E">
        <w:rPr>
          <w:rFonts w:ascii="Times New Roman" w:hAnsi="Times New Roman" w:cs="Times New Roman"/>
        </w:rPr>
        <w:t>Gwilliam</w:t>
      </w:r>
      <w:proofErr w:type="spellEnd"/>
      <w:r w:rsidRPr="0034126E">
        <w:rPr>
          <w:rFonts w:ascii="Times New Roman" w:hAnsi="Times New Roman" w:cs="Times New Roman"/>
        </w:rPr>
        <w:t xml:space="preserve"> 2007), Vaux's swift (</w:t>
      </w:r>
      <w:proofErr w:type="spellStart"/>
      <w:r w:rsidRPr="0034126E">
        <w:rPr>
          <w:rFonts w:ascii="Times New Roman" w:hAnsi="Times New Roman" w:cs="Times New Roman"/>
          <w:i/>
        </w:rPr>
        <w:t>Chaetura</w:t>
      </w:r>
      <w:proofErr w:type="spellEnd"/>
      <w:r w:rsidRPr="0034126E">
        <w:rPr>
          <w:rFonts w:ascii="Times New Roman" w:hAnsi="Times New Roman" w:cs="Times New Roman"/>
          <w:i/>
        </w:rPr>
        <w:t xml:space="preserve"> </w:t>
      </w:r>
      <w:proofErr w:type="spellStart"/>
      <w:r w:rsidRPr="0034126E">
        <w:rPr>
          <w:rFonts w:ascii="Times New Roman" w:hAnsi="Times New Roman" w:cs="Times New Roman"/>
          <w:i/>
        </w:rPr>
        <w:t>vauxi</w:t>
      </w:r>
      <w:proofErr w:type="spellEnd"/>
      <w:r w:rsidRPr="0034126E">
        <w:rPr>
          <w:rFonts w:ascii="Times New Roman" w:hAnsi="Times New Roman" w:cs="Times New Roman"/>
        </w:rPr>
        <w:t xml:space="preserve">) (Bull and </w:t>
      </w:r>
      <w:proofErr w:type="spellStart"/>
      <w:r w:rsidRPr="0034126E">
        <w:rPr>
          <w:rFonts w:ascii="Times New Roman" w:hAnsi="Times New Roman" w:cs="Times New Roman"/>
        </w:rPr>
        <w:t>Hohmann</w:t>
      </w:r>
      <w:proofErr w:type="spellEnd"/>
      <w:r w:rsidRPr="0034126E">
        <w:rPr>
          <w:rFonts w:ascii="Times New Roman" w:hAnsi="Times New Roman" w:cs="Times New Roman"/>
        </w:rPr>
        <w:t xml:space="preserve"> 1993), American marten (</w:t>
      </w:r>
      <w:proofErr w:type="spellStart"/>
      <w:r w:rsidRPr="0034126E">
        <w:rPr>
          <w:rFonts w:ascii="Times New Roman" w:hAnsi="Times New Roman" w:cs="Times New Roman"/>
          <w:i/>
        </w:rPr>
        <w:t>Martes</w:t>
      </w:r>
      <w:proofErr w:type="spellEnd"/>
      <w:r w:rsidRPr="0034126E">
        <w:rPr>
          <w:rFonts w:ascii="Times New Roman" w:hAnsi="Times New Roman" w:cs="Times New Roman"/>
          <w:i/>
        </w:rPr>
        <w:t xml:space="preserve"> </w:t>
      </w:r>
      <w:proofErr w:type="spellStart"/>
      <w:r w:rsidRPr="0034126E">
        <w:rPr>
          <w:rFonts w:ascii="Times New Roman" w:hAnsi="Times New Roman" w:cs="Times New Roman"/>
          <w:i/>
        </w:rPr>
        <w:t>americana</w:t>
      </w:r>
      <w:proofErr w:type="spellEnd"/>
      <w:r w:rsidRPr="0034126E">
        <w:rPr>
          <w:rFonts w:ascii="Times New Roman" w:hAnsi="Times New Roman" w:cs="Times New Roman"/>
        </w:rPr>
        <w:t>) (Bull et al. 2005),</w:t>
      </w:r>
      <w:r>
        <w:rPr>
          <w:rFonts w:ascii="Times New Roman" w:hAnsi="Times New Roman" w:cs="Times New Roman"/>
        </w:rPr>
        <w:t xml:space="preserve"> </w:t>
      </w:r>
      <w:r w:rsidRPr="0034126E">
        <w:rPr>
          <w:rFonts w:ascii="Times New Roman" w:hAnsi="Times New Roman" w:cs="Times New Roman"/>
        </w:rPr>
        <w:t>and fisher (</w:t>
      </w:r>
      <w:proofErr w:type="spellStart"/>
      <w:r w:rsidRPr="0034126E">
        <w:rPr>
          <w:rFonts w:ascii="Times New Roman" w:hAnsi="Times New Roman" w:cs="Times New Roman"/>
          <w:i/>
        </w:rPr>
        <w:t>Martes</w:t>
      </w:r>
      <w:proofErr w:type="spellEnd"/>
      <w:r w:rsidRPr="0034126E">
        <w:rPr>
          <w:rFonts w:ascii="Times New Roman" w:hAnsi="Times New Roman" w:cs="Times New Roman"/>
          <w:i/>
        </w:rPr>
        <w:t xml:space="preserve"> </w:t>
      </w:r>
      <w:proofErr w:type="spellStart"/>
      <w:r w:rsidRPr="0034126E">
        <w:rPr>
          <w:rFonts w:ascii="Times New Roman" w:hAnsi="Times New Roman" w:cs="Times New Roman"/>
          <w:i/>
        </w:rPr>
        <w:t>pennanti</w:t>
      </w:r>
      <w:proofErr w:type="spellEnd"/>
      <w:r w:rsidRPr="0034126E">
        <w:rPr>
          <w:rFonts w:ascii="Times New Roman" w:hAnsi="Times New Roman" w:cs="Times New Roman"/>
        </w:rPr>
        <w:t>) (Zielinski et al. 2004).</w:t>
      </w:r>
    </w:p>
    <w:p w:rsidR="004F40C7" w:rsidRDefault="004F40C7" w:rsidP="004F40C7">
      <w:r w:rsidRPr="0034126E">
        <w:t xml:space="preserve">Bruce G. Marcot , Janet L. Ohmann, Kim L. Mellen-McLean, and Karen L. Waddell. Synthesis of Regional Wildlife and Vegetation Field Studies to Guide Management of Standing and Down Dead Trees. Forest Science 56(4) 2010. </w:t>
      </w:r>
      <w:hyperlink r:id="rId82" w:history="1">
        <w:r w:rsidRPr="0034126E">
          <w:rPr>
            <w:rStyle w:val="Hyperlink"/>
          </w:rPr>
          <w:t>http://www.fs.fed.us/pnw/pubs/journals/pnw_2010_marcot002.pdf</w:t>
        </w:r>
      </w:hyperlink>
      <w:r>
        <w:t>.</w:t>
      </w:r>
    </w:p>
    <w:p w:rsidR="004F40C7" w:rsidRDefault="004F40C7" w:rsidP="004F40C7"/>
    <w:p w:rsidR="004F40C7" w:rsidRPr="0034126E" w:rsidRDefault="004F40C7" w:rsidP="004F40C7">
      <w:pPr>
        <w:autoSpaceDE w:val="0"/>
        <w:ind w:left="720"/>
      </w:pPr>
      <w:r w:rsidRPr="0034126E">
        <w:rPr>
          <w:b/>
        </w:rPr>
        <w:t>Lessons Learned During the Last Fifteen Years</w:t>
      </w:r>
    </w:p>
    <w:p w:rsidR="004F40C7" w:rsidRPr="0034126E" w:rsidRDefault="004F40C7" w:rsidP="004F40C7">
      <w:pPr>
        <w:autoSpaceDE w:val="0"/>
        <w:ind w:left="720"/>
        <w:rPr>
          <w:color w:val="292526"/>
        </w:rPr>
      </w:pPr>
      <w:r w:rsidRPr="0034126E">
        <w:t>…</w:t>
      </w:r>
    </w:p>
    <w:p w:rsidR="004F40C7" w:rsidRPr="0034126E" w:rsidRDefault="004F40C7" w:rsidP="004F40C7">
      <w:pPr>
        <w:autoSpaceDE w:val="0"/>
        <w:ind w:left="720"/>
        <w:rPr>
          <w:b/>
          <w:bCs/>
          <w:color w:val="292526"/>
        </w:rPr>
      </w:pPr>
      <w:r w:rsidRPr="0034126E">
        <w:rPr>
          <w:color w:val="292526"/>
        </w:rPr>
        <w:t>Several major lessons have been learned in the period 1979-1999 that have tested critical assumptions of these earlier management advisory models:</w:t>
      </w:r>
    </w:p>
    <w:p w:rsidR="004F40C7" w:rsidRPr="0034126E" w:rsidRDefault="004F40C7" w:rsidP="004F40C7">
      <w:pPr>
        <w:numPr>
          <w:ilvl w:val="0"/>
          <w:numId w:val="8"/>
        </w:numPr>
        <w:suppressAutoHyphens/>
        <w:autoSpaceDE w:val="0"/>
        <w:rPr>
          <w:b/>
          <w:bCs/>
          <w:color w:val="292526"/>
        </w:rPr>
      </w:pPr>
      <w:r w:rsidRPr="0034126E">
        <w:rPr>
          <w:color w:val="292526"/>
        </w:rPr>
        <w:t xml:space="preserve">Calculations of numbers of snags required by woodpeckers based on assessing their ‘biological potential’ (that is, summing numbers of snags used per pair, accounting for unused snags, and extrapolating snag numbers based on population density) is a </w:t>
      </w:r>
      <w:r w:rsidRPr="0034126E">
        <w:rPr>
          <w:color w:val="292526"/>
        </w:rPr>
        <w:lastRenderedPageBreak/>
        <w:t>flawed technique. Empirical studies are suggesting that snag numbers in areas used and selected by some wildlife species are far higher than those calculated by this technique.</w:t>
      </w:r>
      <w:r w:rsidRPr="0034126E">
        <w:rPr>
          <w:color w:val="292526"/>
          <w:vertAlign w:val="superscript"/>
        </w:rPr>
        <w:t>226</w:t>
      </w:r>
      <w:r w:rsidRPr="0034126E">
        <w:rPr>
          <w:color w:val="292526"/>
        </w:rPr>
        <w:t xml:space="preserve"> </w:t>
      </w:r>
    </w:p>
    <w:p w:rsidR="004F40C7" w:rsidRPr="0034126E" w:rsidRDefault="004F40C7" w:rsidP="004F40C7">
      <w:pPr>
        <w:numPr>
          <w:ilvl w:val="0"/>
          <w:numId w:val="8"/>
        </w:numPr>
        <w:suppressAutoHyphens/>
        <w:autoSpaceDE w:val="0"/>
        <w:rPr>
          <w:b/>
          <w:bCs/>
          <w:color w:val="292526"/>
        </w:rPr>
      </w:pPr>
      <w:r w:rsidRPr="0034126E">
        <w:rPr>
          <w:color w:val="292526"/>
        </w:rPr>
        <w:t>Setting a goal of 40% of habitat capability for primary excavators, mainly woodpeckers,</w:t>
      </w:r>
      <w:r w:rsidRPr="0034126E">
        <w:rPr>
          <w:color w:val="292526"/>
          <w:vertAlign w:val="superscript"/>
        </w:rPr>
        <w:t>369</w:t>
      </w:r>
      <w:r w:rsidRPr="0034126E">
        <w:rPr>
          <w:color w:val="292526"/>
        </w:rPr>
        <w:t xml:space="preserve"> is likely to be insufficient for maintaining viable populations.</w:t>
      </w:r>
    </w:p>
    <w:p w:rsidR="004F40C7" w:rsidRPr="0034126E" w:rsidRDefault="004F40C7" w:rsidP="004F40C7">
      <w:pPr>
        <w:numPr>
          <w:ilvl w:val="0"/>
          <w:numId w:val="8"/>
        </w:numPr>
        <w:suppressAutoHyphens/>
        <w:autoSpaceDE w:val="0"/>
        <w:rPr>
          <w:b/>
          <w:bCs/>
          <w:color w:val="292526"/>
        </w:rPr>
      </w:pPr>
      <w:r w:rsidRPr="0034126E">
        <w:rPr>
          <w:color w:val="292526"/>
        </w:rPr>
        <w:t>Numbers and sizes (dbh) of snags used and selected by secondary cavity-nesters often exceed those of primary cavity excavators.</w:t>
      </w:r>
    </w:p>
    <w:p w:rsidR="004F40C7" w:rsidRPr="0034126E" w:rsidRDefault="004F40C7" w:rsidP="004F40C7">
      <w:pPr>
        <w:numPr>
          <w:ilvl w:val="0"/>
          <w:numId w:val="8"/>
        </w:numPr>
        <w:suppressAutoHyphens/>
        <w:autoSpaceDE w:val="0"/>
        <w:rPr>
          <w:b/>
          <w:bCs/>
          <w:color w:val="292526"/>
        </w:rPr>
      </w:pPr>
      <w:r w:rsidRPr="0034126E">
        <w:rPr>
          <w:color w:val="292526"/>
        </w:rPr>
        <w:t>Clumping of snags and down wood may be a natural pattern, and clumps may be selected by some species, so that providing only even distributions may be insufficient to meet all species needs.</w:t>
      </w:r>
    </w:p>
    <w:p w:rsidR="004F40C7" w:rsidRPr="0034126E" w:rsidRDefault="004F40C7" w:rsidP="004F40C7">
      <w:pPr>
        <w:numPr>
          <w:ilvl w:val="0"/>
          <w:numId w:val="8"/>
        </w:numPr>
        <w:suppressAutoHyphens/>
        <w:autoSpaceDE w:val="0"/>
        <w:rPr>
          <w:b/>
          <w:bCs/>
          <w:color w:val="292526"/>
        </w:rPr>
      </w:pPr>
      <w:r w:rsidRPr="0034126E">
        <w:rPr>
          <w:color w:val="292526"/>
        </w:rPr>
        <w:t>Other forms of decaying wood, including hollow trees, natural tree cavities, peeling bark, and dead parts of live trees, as well as fungi and mistletoe associated with wood decay, all provide resources for wildlife, and should be considered along with snags and down wood in management guidelines.</w:t>
      </w:r>
    </w:p>
    <w:p w:rsidR="004F40C7" w:rsidRPr="0034126E" w:rsidRDefault="004F40C7" w:rsidP="004F40C7">
      <w:pPr>
        <w:numPr>
          <w:ilvl w:val="0"/>
          <w:numId w:val="8"/>
        </w:numPr>
        <w:suppressAutoHyphens/>
        <w:autoSpaceDE w:val="0"/>
      </w:pPr>
      <w:r w:rsidRPr="0034126E">
        <w:rPr>
          <w:color w:val="292526"/>
        </w:rPr>
        <w:t xml:space="preserve">The ecological roles played by wildlife associated with decaying wood extend well beyond those structures per se, and can be significant factors influencing community diversity and ecosystem processes. </w:t>
      </w:r>
    </w:p>
    <w:p w:rsidR="004F40C7" w:rsidRPr="0034126E" w:rsidRDefault="004F40C7" w:rsidP="004F40C7">
      <w:r w:rsidRPr="0034126E">
        <w:t xml:space="preserve">Rose, C.L., Marcot, B.G., Mellen, T.K., Ohmann, J.L., Waddell, K.L., Lindely, D.L., and B. Schrieber. 2001. Decaying Wood in Pacific Northwest Forests: Concepts and Tools for Habitat Management, Chapter 24 </w:t>
      </w:r>
      <w:r w:rsidRPr="0034126E">
        <w:rPr>
          <w:i/>
        </w:rPr>
        <w:t>in</w:t>
      </w:r>
      <w:r w:rsidRPr="0034126E">
        <w:t xml:space="preserve"> </w:t>
      </w:r>
      <w:r w:rsidRPr="0034126E">
        <w:rPr>
          <w:b/>
          <w:bCs/>
          <w:i/>
          <w:iCs/>
        </w:rPr>
        <w:t>Wildlife-Habitat Relationships in Oregon and Washington</w:t>
      </w:r>
      <w:r w:rsidRPr="0034126E">
        <w:t xml:space="preserve"> (Johnson, D. H. and T. A. O'Neil. OSU Press. 2001) </w:t>
      </w:r>
      <w:hyperlink r:id="rId83" w:history="1">
        <w:r w:rsidRPr="0034126E">
          <w:rPr>
            <w:rStyle w:val="Hyperlink"/>
          </w:rPr>
          <w:t>http://web.archive.org/web/20060708035905/http://www.nwhi.org/inc/data/GISdata/docs/chapter24.pdf</w:t>
        </w:r>
      </w:hyperlink>
      <w:r w:rsidRPr="0034126E">
        <w:t xml:space="preserve"> </w:t>
      </w:r>
    </w:p>
    <w:p w:rsidR="004F40C7" w:rsidRPr="0034126E" w:rsidRDefault="004F40C7" w:rsidP="004F40C7"/>
    <w:p w:rsidR="004F40C7" w:rsidRDefault="004F40C7" w:rsidP="004F40C7">
      <w:r w:rsidRPr="0034126E">
        <w:t>The potential population models are based on the number of trees needed for nesting cavity-excavator birds, however, “[t]he high value of large, thick-barked snags in severely burned forests has as much to do with feeding opportunities as it does with nesting opportunities they provide birds.” (</w:t>
      </w:r>
      <w:proofErr w:type="spellStart"/>
      <w:r w:rsidRPr="0034126E">
        <w:t>Hutto</w:t>
      </w:r>
      <w:proofErr w:type="spellEnd"/>
      <w:r w:rsidRPr="0034126E">
        <w:t xml:space="preserve">. </w:t>
      </w:r>
      <w:proofErr w:type="spellStart"/>
      <w:r w:rsidRPr="0034126E">
        <w:t>ConBio</w:t>
      </w:r>
      <w:proofErr w:type="spellEnd"/>
      <w:r w:rsidRPr="0034126E">
        <w:t xml:space="preserve"> 20(4). 2006. </w:t>
      </w:r>
      <w:hyperlink r:id="rId84" w:history="1">
        <w:r w:rsidRPr="0034126E">
          <w:rPr>
            <w:rStyle w:val="Hyperlink"/>
          </w:rPr>
          <w:t>http://web.archive.org/web/20060904175645/http://avianscience.dbs.umt.edu/documents/hutto_conbio_2006.pdf</w:t>
        </w:r>
      </w:hyperlink>
      <w:r w:rsidRPr="0034126E">
        <w:t>. The number of snags needed to support bird feeding, escape from predators, and other life functions, is different than, and likely higher than, the number of snags needed to support nesting, so the agencies’ existing “potential population” snag standards are arbitrary and capricious.</w:t>
      </w:r>
    </w:p>
    <w:p w:rsidR="004F40C7" w:rsidRDefault="004F40C7" w:rsidP="004F40C7"/>
    <w:p w:rsidR="004F40C7" w:rsidRDefault="004F40C7" w:rsidP="004F40C7">
      <w:r>
        <w:t xml:space="preserve">New science indicates that meeting the needs of cavity excavators requires retaining far more snags than managers realize. </w:t>
      </w:r>
    </w:p>
    <w:p w:rsidR="004F40C7" w:rsidRDefault="004F40C7" w:rsidP="004F40C7">
      <w:pPr>
        <w:ind w:left="720"/>
      </w:pPr>
      <w:r>
        <w:t xml:space="preserve">… </w:t>
      </w:r>
      <w:r w:rsidRPr="002A39E9">
        <w:t>at-risk species, namely the</w:t>
      </w:r>
      <w:r>
        <w:t xml:space="preserve"> </w:t>
      </w:r>
      <w:r w:rsidRPr="002A39E9">
        <w:t>black-backed and the white-headed woodpeckers,</w:t>
      </w:r>
      <w:r>
        <w:t xml:space="preserve"> </w:t>
      </w:r>
      <w:r w:rsidRPr="002A39E9">
        <w:t>were nesting within burns that contained</w:t>
      </w:r>
      <w:r>
        <w:t xml:space="preserve"> </w:t>
      </w:r>
      <w:r w:rsidRPr="002A39E9">
        <w:t>86 to 96 percent of trees with unsuitably hard</w:t>
      </w:r>
      <w:r>
        <w:t xml:space="preserve"> </w:t>
      </w:r>
      <w:r w:rsidRPr="002A39E9">
        <w:t>wood. This suggests that past studies that did</w:t>
      </w:r>
      <w:r>
        <w:t xml:space="preserve"> </w:t>
      </w:r>
      <w:r w:rsidRPr="002A39E9">
        <w:t>not measure wood hardness counted many</w:t>
      </w:r>
      <w:r>
        <w:t xml:space="preserve"> </w:t>
      </w:r>
      <w:r w:rsidRPr="002A39E9">
        <w:t>sites as available to cavity-excavating birds</w:t>
      </w:r>
      <w:r>
        <w:t xml:space="preserve"> </w:t>
      </w:r>
      <w:r w:rsidRPr="002A39E9">
        <w:t>when actually they were unsuitable. “By not</w:t>
      </w:r>
      <w:r>
        <w:t xml:space="preserve"> </w:t>
      </w:r>
      <w:r w:rsidRPr="002A39E9">
        <w:t>accounting for wood hardness, managers may</w:t>
      </w:r>
      <w:r>
        <w:t xml:space="preserve"> </w:t>
      </w:r>
      <w:r w:rsidRPr="002A39E9">
        <w:t>be overestimating the amount of suitable habitat</w:t>
      </w:r>
      <w:r>
        <w:t xml:space="preserve"> </w:t>
      </w:r>
      <w:r w:rsidRPr="002A39E9">
        <w:t>for cavity-excavating bird species, some of</w:t>
      </w:r>
      <w:r>
        <w:t xml:space="preserve"> </w:t>
      </w:r>
      <w:r w:rsidRPr="002A39E9">
        <w:t>which are at risk,” Lorenz says.</w:t>
      </w:r>
    </w:p>
    <w:p w:rsidR="004F40C7" w:rsidRPr="002A39E9" w:rsidRDefault="004F40C7" w:rsidP="004F40C7">
      <w:pPr>
        <w:ind w:left="720"/>
      </w:pPr>
      <w:r>
        <w:t xml:space="preserve">   </w:t>
      </w:r>
      <w:r w:rsidRPr="002A39E9">
        <w:t>In their study plots, the researchers did</w:t>
      </w:r>
      <w:r>
        <w:t xml:space="preserve"> </w:t>
      </w:r>
      <w:r w:rsidRPr="002A39E9">
        <w:t>not find reliable visual cues to distinguish</w:t>
      </w:r>
    </w:p>
    <w:p w:rsidR="004F40C7" w:rsidRPr="002A39E9" w:rsidRDefault="004F40C7" w:rsidP="004F40C7">
      <w:pPr>
        <w:ind w:left="720"/>
      </w:pPr>
      <w:r w:rsidRPr="002A39E9">
        <w:t>between suitable and unsuitable trees. Snag</w:t>
      </w:r>
      <w:r>
        <w:t xml:space="preserve"> </w:t>
      </w:r>
      <w:r w:rsidRPr="002A39E9">
        <w:t>decay class was a poor indicator of internal</w:t>
      </w:r>
      <w:r>
        <w:t xml:space="preserve"> </w:t>
      </w:r>
      <w:r w:rsidRPr="002A39E9">
        <w:t>wood properties—and this was not the first</w:t>
      </w:r>
      <w:r>
        <w:t xml:space="preserve"> </w:t>
      </w:r>
      <w:r w:rsidRPr="002A39E9">
        <w:t>study to demonstrate that fact, although it was</w:t>
      </w:r>
      <w:r>
        <w:t xml:space="preserve"> </w:t>
      </w:r>
      <w:r w:rsidRPr="002A39E9">
        <w:lastRenderedPageBreak/>
        <w:t>the first study to do so in ornithology (past</w:t>
      </w:r>
      <w:r>
        <w:t xml:space="preserve"> </w:t>
      </w:r>
      <w:r w:rsidRPr="002A39E9">
        <w:t>studies had been done by foresters and published</w:t>
      </w:r>
      <w:r>
        <w:t xml:space="preserve"> </w:t>
      </w:r>
      <w:r w:rsidRPr="002A39E9">
        <w:t>in forestry journals).</w:t>
      </w:r>
    </w:p>
    <w:p w:rsidR="004F40C7" w:rsidRPr="002A39E9" w:rsidRDefault="004F40C7" w:rsidP="004F40C7">
      <w:pPr>
        <w:ind w:left="720"/>
      </w:pPr>
      <w:r>
        <w:t xml:space="preserve">   </w:t>
      </w:r>
      <w:r w:rsidRPr="002A39E9">
        <w:t>“Currently, the best solution we can recommend</w:t>
      </w:r>
      <w:r>
        <w:t xml:space="preserve"> </w:t>
      </w:r>
      <w:r w:rsidRPr="002A39E9">
        <w:t>is to provide large numbers of snags for</w:t>
      </w:r>
      <w:r>
        <w:t xml:space="preserve"> </w:t>
      </w:r>
      <w:r w:rsidRPr="002A39E9">
        <w:t>the birds, which can be difficult without fire,”</w:t>
      </w:r>
      <w:r>
        <w:t xml:space="preserve"> </w:t>
      </w:r>
      <w:r w:rsidRPr="002A39E9">
        <w:t>Lorenz says. According to the researchers’</w:t>
      </w:r>
      <w:r>
        <w:t xml:space="preserve"> </w:t>
      </w:r>
      <w:r w:rsidRPr="002A39E9">
        <w:t>calculations, if one of every 20 snags (approximately</w:t>
      </w:r>
      <w:r>
        <w:t xml:space="preserve"> </w:t>
      </w:r>
      <w:r w:rsidRPr="002A39E9">
        <w:t>4 percent) has suitable wood, and</w:t>
      </w:r>
      <w:r>
        <w:t xml:space="preserve"> </w:t>
      </w:r>
      <w:r w:rsidRPr="002A39E9">
        <w:t>there are five to seven species of woodpeckers</w:t>
      </w:r>
    </w:p>
    <w:p w:rsidR="004F40C7" w:rsidRPr="002A39E9" w:rsidRDefault="004F40C7" w:rsidP="004F40C7">
      <w:pPr>
        <w:ind w:left="720"/>
      </w:pPr>
      <w:r w:rsidRPr="002A39E9">
        <w:t>nesting in a given patch, approximately 100</w:t>
      </w:r>
      <w:r>
        <w:t xml:space="preserve"> </w:t>
      </w:r>
      <w:r w:rsidRPr="002A39E9">
        <w:t>snags may be needed each year for nesting</w:t>
      </w:r>
      <w:r>
        <w:t xml:space="preserve"> </w:t>
      </w:r>
      <w:r w:rsidRPr="002A39E9">
        <w:t>sites alone. This does not account for other</w:t>
      </w:r>
      <w:r>
        <w:t xml:space="preserve"> </w:t>
      </w:r>
      <w:r w:rsidRPr="002A39E9">
        <w:t>nuances, like the fact that most species are</w:t>
      </w:r>
      <w:r>
        <w:t xml:space="preserve"> </w:t>
      </w:r>
      <w:r w:rsidRPr="002A39E9">
        <w:t>territorial and will not tolerate close neighbors</w:t>
      </w:r>
      <w:r>
        <w:t xml:space="preserve"> </w:t>
      </w:r>
      <w:r w:rsidRPr="002A39E9">
        <w:t>while nesting, or the fact that species like the</w:t>
      </w:r>
      <w:r>
        <w:t xml:space="preserve"> </w:t>
      </w:r>
      <w:r w:rsidRPr="002A39E9">
        <w:t>black-backed woodpecker need more foraging</w:t>
      </w:r>
    </w:p>
    <w:p w:rsidR="004F40C7" w:rsidRPr="0034126E" w:rsidRDefault="004F40C7" w:rsidP="004F40C7">
      <w:pPr>
        <w:ind w:left="720"/>
      </w:pPr>
      <w:r w:rsidRPr="002A39E9">
        <w:t>options. Overall, more snags are needed than</w:t>
      </w:r>
      <w:r>
        <w:t xml:space="preserve"> </w:t>
      </w:r>
      <w:r w:rsidRPr="002A39E9">
        <w:t>other studies have previously recommended.</w:t>
      </w:r>
    </w:p>
    <w:p w:rsidR="004F40C7" w:rsidRPr="0034126E" w:rsidRDefault="004F40C7" w:rsidP="004F40C7">
      <w:proofErr w:type="spellStart"/>
      <w:r w:rsidRPr="002A39E9">
        <w:t>Vizcarra</w:t>
      </w:r>
      <w:proofErr w:type="spellEnd"/>
      <w:r>
        <w:t>,</w:t>
      </w:r>
      <w:r w:rsidRPr="002A39E9">
        <w:t xml:space="preserve"> Natasha </w:t>
      </w:r>
      <w:r>
        <w:t xml:space="preserve">2017. </w:t>
      </w:r>
      <w:r w:rsidRPr="002A39E9">
        <w:t>Woodpecker Woes: The Right Tree Can Be Hard to Find</w:t>
      </w:r>
      <w:r>
        <w:t xml:space="preserve">. PNW Science Findings, Issue 199, August 2017.  </w:t>
      </w:r>
      <w:hyperlink r:id="rId85" w:history="1">
        <w:r w:rsidRPr="009A213C">
          <w:rPr>
            <w:rStyle w:val="Hyperlink"/>
          </w:rPr>
          <w:t>https://www.fs.fed.us/pnw/sciencef/scifi199.pdf</w:t>
        </w:r>
      </w:hyperlink>
      <w:r>
        <w:t xml:space="preserve">. </w:t>
      </w:r>
      <w:r w:rsidRPr="00C340D0">
        <w:rPr>
          <w:i/>
        </w:rPr>
        <w:t>citing</w:t>
      </w:r>
      <w:r>
        <w:t xml:space="preserve"> </w:t>
      </w:r>
      <w:r w:rsidRPr="00C340D0">
        <w:t xml:space="preserve">Lorenz, T.J.; </w:t>
      </w:r>
      <w:proofErr w:type="spellStart"/>
      <w:r w:rsidRPr="00C340D0">
        <w:t>Vierling</w:t>
      </w:r>
      <w:proofErr w:type="spellEnd"/>
      <w:r w:rsidRPr="00C340D0">
        <w:t>, K.T.; Johnson, T.R.;</w:t>
      </w:r>
      <w:r>
        <w:t xml:space="preserve"> </w:t>
      </w:r>
      <w:r w:rsidRPr="00C340D0">
        <w:t>Fischer, P.C. 2015. The role of wood hardness</w:t>
      </w:r>
      <w:r>
        <w:t xml:space="preserve"> </w:t>
      </w:r>
      <w:r w:rsidRPr="00C340D0">
        <w:t>in limiting nest site selection in avian</w:t>
      </w:r>
      <w:r>
        <w:t xml:space="preserve"> </w:t>
      </w:r>
      <w:r w:rsidRPr="00C340D0">
        <w:t>cavity excavators. Ecological Applications.</w:t>
      </w:r>
      <w:r>
        <w:t xml:space="preserve"> </w:t>
      </w:r>
      <w:r w:rsidRPr="00C340D0">
        <w:t xml:space="preserve">25: 1 016–1033. </w:t>
      </w:r>
      <w:hyperlink r:id="rId86" w:history="1">
        <w:r w:rsidRPr="009A213C">
          <w:rPr>
            <w:rStyle w:val="Hyperlink"/>
          </w:rPr>
          <w:t>https://www.treesearch.fs.fed.us/pubs/49102</w:t>
        </w:r>
      </w:hyperlink>
      <w:r w:rsidRPr="00C340D0">
        <w:t>.</w:t>
      </w:r>
      <w:r w:rsidRPr="0034126E">
        <w:t xml:space="preserve"> </w:t>
      </w:r>
    </w:p>
    <w:p w:rsidR="004F40C7" w:rsidRPr="0034126E" w:rsidRDefault="004F40C7" w:rsidP="004F40C7"/>
    <w:p w:rsidR="004F40C7" w:rsidRPr="0034126E" w:rsidRDefault="004F40C7" w:rsidP="004F40C7">
      <w:r w:rsidRPr="0034126E">
        <w:t>The agencies need to prepare a EIS to consider a replacement methodology for maintaining species and other values associated with dead wood. This is especially critical because adequate dead wood is recognized as an essential feature of healthy forests and the Forest Service has identified lots of “management indicator species” associated with dead wood habitat.</w:t>
      </w:r>
    </w:p>
    <w:p w:rsidR="004F40C7" w:rsidRPr="0034126E" w:rsidRDefault="004F40C7" w:rsidP="004F40C7"/>
    <w:p w:rsidR="00D229B7" w:rsidRDefault="004F40C7" w:rsidP="004F40C7">
      <w:r w:rsidRPr="0034126E">
        <w:t xml:space="preserve">Back in the early 1990s the Forest Service recognized the their forest plans were not adequate to maintain populations of spotted owls and they tried to develop plans to conserve spotted owl without following NEPA and NFMA procedures. The courts said they had to stop cutting owl habitat until they had complied with environmental laws. This is the same situation we find ourselves in today with dead-wood associated species. The agencies should stop harming dead wood habitat until they have a legal plan to conserve associated species over the long-term. </w:t>
      </w:r>
      <w:r w:rsidRPr="0034126E">
        <w:rPr>
          <w:i/>
        </w:rPr>
        <w:t xml:space="preserve">Seattle Audubon Society v. </w:t>
      </w:r>
      <w:proofErr w:type="spellStart"/>
      <w:r w:rsidRPr="0034126E">
        <w:rPr>
          <w:i/>
        </w:rPr>
        <w:t>Epsy</w:t>
      </w:r>
      <w:proofErr w:type="spellEnd"/>
      <w:r w:rsidRPr="0034126E">
        <w:t>, 998 F.2d 699, 704 (9th Cir. 1998) (an agency must re-examine its decision when the EIS "rests on stale scientific evidence and false assumptions").</w:t>
      </w:r>
    </w:p>
    <w:p w:rsidR="00D229B7" w:rsidRDefault="00D229B7" w:rsidP="00D229B7">
      <w:pPr>
        <w:spacing w:before="100" w:beforeAutospacing="1" w:after="100" w:afterAutospacing="1"/>
      </w:pPr>
      <w:r>
        <w:t>The Wildlife Report (p 69) erroneously asserts that the outdated snag standards have been replaced by the adoption of new standards. “</w:t>
      </w:r>
      <w:r w:rsidRPr="00634608">
        <w:t xml:space="preserve">Forest Plan standards related to “biological potential” (FW-215 thru FW218) have been replaced with updated measures in an effort to apply the best available science. See section 14.1.1 for a discussion of </w:t>
      </w:r>
      <w:proofErr w:type="spellStart"/>
      <w:r w:rsidRPr="00634608">
        <w:t>DecAid</w:t>
      </w:r>
      <w:proofErr w:type="spellEnd"/>
      <w:r w:rsidRPr="00634608">
        <w:t>.</w:t>
      </w:r>
      <w:r>
        <w:t>” This is incorrect. The FS has not adopted new standards. And DecAID is not a standard, it’s just a set of potentially useful information. It does not recommend any particular tolerance level in any particular land allocation.</w:t>
      </w:r>
    </w:p>
    <w:p w:rsidR="00D229B7" w:rsidRDefault="00D229B7" w:rsidP="00D229B7">
      <w:r>
        <w:t xml:space="preserve">There are also a variety of caveats and cautions associated with DecAID which the FS must deal with before adopting it as a new standard. The agency often tries to use DecAID as a substitute for the outmoded potential population methodology. DecAID, the Decayed Wood Advisor for Managing Snags, Partially Dead Trees, and Down Wood for Biodiversity in Forests of Washington and Oregon, </w:t>
      </w:r>
      <w:hyperlink r:id="rId87" w:history="1">
        <w:r>
          <w:rPr>
            <w:rStyle w:val="Hyperlink"/>
          </w:rPr>
          <w:t>http://web.archive.org/web/20030416095852/http://wwwnotes.fs.fed.us:81/pnw/DecAID/DecAI</w:t>
        </w:r>
        <w:r>
          <w:rPr>
            <w:rStyle w:val="Hyperlink"/>
          </w:rPr>
          <w:lastRenderedPageBreak/>
          <w:t>D.nsf</w:t>
        </w:r>
      </w:hyperlink>
      <w:r>
        <w:t>. Although DecAID helps bring together lots of useful information about snag associated species, the agency must recognize and account for the short-comings of DecAID and cannot rely on DecAID to provide the project-level snag standards because: DecAID is a tool designed for plan level evaluations, because DecAID itself has not been subjected to NEPA analysis and comparison to alternatives, and because DecAID is an inadequate tool for the purpose.</w:t>
      </w:r>
    </w:p>
    <w:p w:rsidR="00D229B7" w:rsidRDefault="00D229B7" w:rsidP="00D229B7">
      <w:pPr>
        <w:numPr>
          <w:ilvl w:val="0"/>
          <w:numId w:val="9"/>
        </w:numPr>
        <w:suppressAutoHyphens/>
      </w:pPr>
      <w:r>
        <w:t>Before relying on DecAID, the agency must prepare a comprehensive NEPA analysis to consider alternative ways of ensuring viability of all species dependent upon snags and dead wood. While it is true that the “potential population” or “habitat capability” method is no longer considered scientifically valid, the agency has not yet considered a full range of alternative methods to replace the habitat capability method mandated in the forest plans.</w:t>
      </w:r>
    </w:p>
    <w:p w:rsidR="00D229B7" w:rsidRDefault="00D229B7" w:rsidP="00D229B7">
      <w:pPr>
        <w:numPr>
          <w:ilvl w:val="0"/>
          <w:numId w:val="9"/>
        </w:numPr>
        <w:suppressAutoHyphens/>
      </w:pPr>
      <w:r>
        <w:t>While it is true that the new DecAID tolerance levels cannot be directly translated to “potential population” requirements in the LRMP and Eastside Screens, it should be obvious that 100% potential population is much more like “high” assurance than moderate or low assurance, so the Forest Service should be striving to meet 80% DecAID tolerance levels which provide a high level of assurance of meeting the needs of primary cavity excavators consistent with the Eastside Screens requirement to maintain enough snags to support 100% potential populations.</w:t>
      </w:r>
    </w:p>
    <w:p w:rsidR="00D229B7" w:rsidRDefault="00D229B7" w:rsidP="00D229B7">
      <w:pPr>
        <w:numPr>
          <w:ilvl w:val="0"/>
          <w:numId w:val="9"/>
        </w:numPr>
        <w:suppressAutoHyphens/>
      </w:pPr>
      <w:r>
        <w:t xml:space="preserve">Before using DecAID, the agency must establish a rational link between the tolerance levels in DecAID and the relevant management requirements in the applicable resource management plan. For instance, since the Northwest Forest Plan and the Eastside Screens require maintenance of 100% potential population of at least some cavity-dependent species, the agency must explain why that does not translate into maintaining </w:t>
      </w:r>
      <w:r>
        <w:rPr>
          <w:i/>
        </w:rPr>
        <w:t>100% of the potential tolerance level</w:t>
      </w:r>
      <w:r>
        <w:t>. If the site is capable of supporting 80% tolerance levels, the agency should not be able to manage for 30-50% tolerance levels and still meet the 100% potential population requirement.</w:t>
      </w:r>
    </w:p>
    <w:p w:rsidR="00D229B7" w:rsidRDefault="00D229B7" w:rsidP="00D229B7">
      <w:pPr>
        <w:numPr>
          <w:ilvl w:val="0"/>
          <w:numId w:val="9"/>
        </w:numPr>
        <w:suppressAutoHyphens/>
      </w:pPr>
      <w:r>
        <w:t xml:space="preserve">DecAID does not replace the discredited forest plan standards because DecAID is informational only. DecAID does not specify management objectives. The agency must specify the management objective based on project objectives, objectives for the land allocation and based on natural “range of variation.” DecAID does not advise the agencies to manage for any particular tolerance level. DecAID is just information. The agency has to decide what tolerance level to manage for, but making that selection is a plan amendment requiring compliance with both NEPA and NFMA. See </w:t>
      </w:r>
      <w:r>
        <w:rPr>
          <w:u w:val="single"/>
        </w:rPr>
        <w:t xml:space="preserve">ONRC and HCPC v. </w:t>
      </w:r>
      <w:proofErr w:type="spellStart"/>
      <w:r>
        <w:rPr>
          <w:u w:val="single"/>
        </w:rPr>
        <w:t>Forsgren</w:t>
      </w:r>
      <w:proofErr w:type="spellEnd"/>
      <w:r>
        <w:rPr>
          <w:u w:val="single"/>
        </w:rPr>
        <w:t>,</w:t>
      </w:r>
      <w:r>
        <w:t xml:space="preserve"> (</w:t>
      </w:r>
      <w:r>
        <w:rPr>
          <w:bCs/>
        </w:rPr>
        <w:t>CV 02-368-BR) (Oregon District Court 2003)</w:t>
      </w:r>
      <w:r>
        <w:t xml:space="preserve">. </w:t>
      </w:r>
      <w:hyperlink r:id="rId88" w:history="1">
        <w:r>
          <w:rPr>
            <w:rStyle w:val="Hyperlink"/>
          </w:rPr>
          <w:t>http://maps.wildrockies.org/ecosystem_defense/Resources_Species_Topics/Lynx/lynx%20NW%20Decision.pdf</w:t>
        </w:r>
      </w:hyperlink>
      <w:r>
        <w:t xml:space="preserve">. Since large snags are outside the natural range of variability across the landscape, the agency must retain all large snags to start moving the landscape toward the natural range of variability, or the agency must carefully justify in the NEPA analysis every large snag it proposes to remove. See Jerome J. Korol, Miles A. Hemstrom, </w:t>
      </w:r>
      <w:proofErr w:type="spellStart"/>
      <w:r>
        <w:t>Wendel</w:t>
      </w:r>
      <w:proofErr w:type="spellEnd"/>
      <w:r>
        <w:t xml:space="preserve"> J. Hann, and Rebecca A. Gravenmier. 2002. </w:t>
      </w:r>
      <w:r>
        <w:rPr>
          <w:i/>
        </w:rPr>
        <w:t xml:space="preserve">Snags and Down Wood in the Interior Columbia Basin Ecosystem Management Project. </w:t>
      </w:r>
      <w:r>
        <w:t xml:space="preserve">PNW-GTR-181. </w:t>
      </w:r>
      <w:hyperlink r:id="rId89" w:history="1">
        <w:r>
          <w:rPr>
            <w:rStyle w:val="Hyperlink"/>
          </w:rPr>
          <w:t>http://www.fs.fed.us/psw/publications/documents/gtr-181/049_Korol.pdf</w:t>
        </w:r>
      </w:hyperlink>
      <w:r>
        <w:t>. This paper estimates that even if we apply enlightened forest management on federal lands for the next 100 years, we will still reach only 75% of the historic large snag abundance measured across the interior Columbia Basin, and most of the increase in large snags will occur in roadless and wilderness areas.</w:t>
      </w:r>
    </w:p>
    <w:p w:rsidR="00D229B7" w:rsidRDefault="00D229B7" w:rsidP="00D229B7">
      <w:pPr>
        <w:numPr>
          <w:ilvl w:val="0"/>
          <w:numId w:val="9"/>
        </w:numPr>
        <w:suppressAutoHyphens/>
      </w:pPr>
      <w:r>
        <w:lastRenderedPageBreak/>
        <w:t xml:space="preserve">DecAID snag levels for “unharvested” stands represent snags levels from a world where disturbances (e.g. fire, insects, disease) are artificially suppressed. The goal should not be to conduct a disturbance (such as thinning) that results in snag levels similar to an undisturbed stand. That makes no sense. Natural stands have periodic disturbances and pulses of snags that go along with those disturbances. The agencies need to get creative and learn to mimic natural disturbance which would always leave behind lots of dead trees. Logging that leaves behind only a few snags per acre is an </w:t>
      </w:r>
      <w:proofErr w:type="spellStart"/>
      <w:r>
        <w:t>UNusual</w:t>
      </w:r>
      <w:proofErr w:type="spellEnd"/>
      <w:r>
        <w:t xml:space="preserve"> disturbance event. The agencies need to learn to share the bounty of the forest with the forest itself.</w:t>
      </w:r>
    </w:p>
    <w:p w:rsidR="00D229B7" w:rsidRDefault="00D229B7" w:rsidP="00D229B7">
      <w:pPr>
        <w:numPr>
          <w:ilvl w:val="0"/>
          <w:numId w:val="9"/>
        </w:numPr>
        <w:suppressAutoHyphens/>
      </w:pPr>
      <w:r>
        <w:t>The agency should not use “average” snag levels (e.g. 50% tolerance level) as a management objective within treatment areas, because treatments are essentially displacing natural disturbance events which would normally create and retain large numbers of snags, so disturbance areas should have abundant snags, not average levels of snags. It would be inconsistent with current science and current management direction to manage only for the mid-points and low points. The agency should manage for the full natural range dead wood levels, including the peaks of snag abundance that follow disturbance.</w:t>
      </w:r>
    </w:p>
    <w:p w:rsidR="00D229B7" w:rsidRDefault="00D229B7" w:rsidP="00D229B7">
      <w:pPr>
        <w:numPr>
          <w:ilvl w:val="0"/>
          <w:numId w:val="9"/>
        </w:numPr>
        <w:suppressAutoHyphens/>
      </w:pPr>
      <w:r>
        <w:t xml:space="preserve">Be sure to use the DecAID tool appropriately. The agency must address the dynamics of snag habitat over time, by ensuring that recommended snag levels are maintained over time given typically high rates of snag fall and low rates of snag recruitment following fire. These dynamics are not accounted for in the DecAID advisor. The agency often misuses the DecAID decision support tool by looking at only a snap-shot in time. The agency relies on DecAID to analyze impacts on snag dependent species, but the agency fails to recognize that </w:t>
      </w:r>
    </w:p>
    <w:p w:rsidR="00D229B7" w:rsidRDefault="00D229B7" w:rsidP="00D229B7">
      <w:pPr>
        <w:ind w:left="1980"/>
        <w:rPr>
          <w:iCs/>
        </w:rPr>
      </w:pPr>
      <w:r>
        <w:t xml:space="preserve">“DecAID is NOT: … a snag and down wood decay simulator or recruitment model [or] a wildlife population simulator or analysis of wildlife population viability. … Because DecAID is not a time-dynamic simulator … it does not account for potential temporal changes in vegetation and other environmental conditions, … DecAID could be consulted to review potential conditions </w:t>
      </w:r>
      <w:r>
        <w:rPr>
          <w:u w:val="single"/>
        </w:rPr>
        <w:t>at specific time intervals</w:t>
      </w:r>
      <w:r>
        <w:t xml:space="preserve"> and for a specific set of conditions, but </w:t>
      </w:r>
      <w:r>
        <w:rPr>
          <w:u w:val="single"/>
        </w:rPr>
        <w:t>dynamic changes in forest and landscape conditions would have to be modeled or evaluated outside the confines of the DecAID Advisor</w:t>
      </w:r>
      <w:r>
        <w:t xml:space="preserve">.” </w:t>
      </w:r>
    </w:p>
    <w:p w:rsidR="00D229B7" w:rsidRDefault="00D229B7" w:rsidP="00D229B7">
      <w:pPr>
        <w:ind w:left="720"/>
        <w:rPr>
          <w:iCs/>
        </w:rPr>
      </w:pPr>
      <w:r>
        <w:rPr>
          <w:iCs/>
        </w:rPr>
        <w:t xml:space="preserve">Marcot, B. G., K. Mellen, J. L. Ohmann, K. L. Waddell, E. A. </w:t>
      </w:r>
      <w:proofErr w:type="spellStart"/>
      <w:r>
        <w:rPr>
          <w:iCs/>
        </w:rPr>
        <w:t>Willhite</w:t>
      </w:r>
      <w:proofErr w:type="spellEnd"/>
      <w:r>
        <w:rPr>
          <w:iCs/>
        </w:rPr>
        <w:t xml:space="preserve">, B. B. Hostetler, S. A. Livingston, C. Ogden, and T. </w:t>
      </w:r>
      <w:proofErr w:type="spellStart"/>
      <w:r>
        <w:rPr>
          <w:iCs/>
        </w:rPr>
        <w:t>Dreisbach</w:t>
      </w:r>
      <w:proofErr w:type="spellEnd"/>
      <w:r>
        <w:rPr>
          <w:iCs/>
        </w:rPr>
        <w:t xml:space="preserve">. In prep. “DecAID -- work in progress on a decayed wood advisor for Washington and Oregon forests.” Research Note PNW-RN-XXX. USDA Forest Service, Pacific Northwest Region, Portland OR. (pre-print) </w:t>
      </w:r>
      <w:hyperlink r:id="rId90" w:history="1">
        <w:r>
          <w:rPr>
            <w:rStyle w:val="Hyperlink"/>
            <w:iCs/>
          </w:rPr>
          <w:t>http://wwwnotes.fs.fed.us:81/pnw/DecAID/DecAID.nsf/HomePageLinks/44C813BC574BDFCC88256B3E006C63DF</w:t>
        </w:r>
      </w:hyperlink>
    </w:p>
    <w:p w:rsidR="00D229B7" w:rsidRDefault="00D229B7" w:rsidP="00D229B7">
      <w:pPr>
        <w:numPr>
          <w:ilvl w:val="0"/>
          <w:numId w:val="9"/>
        </w:numPr>
        <w:suppressAutoHyphens/>
      </w:pPr>
      <w:r>
        <w:rPr>
          <w:iCs/>
        </w:rPr>
        <w:t>To clearly and explicitly address the issue of “snag dynamics” the agency can start by reading and responding to the snag dynamics white paper on the DecAID website which says “To achieve desired amounts and characteristics of snags and down wood, managers require analytical tools for projecting changes in dead wood over time, and for comparing those changes to management objectives such as providing dead wood for wildlife and ecosystem processes” and includes “key findings” and “management implications” including “</w:t>
      </w:r>
      <w:r>
        <w:t xml:space="preserve">The high fall rate (almost half) of recent mortality trees needs to be considered when planning for future recruitment of snags and down wood. Trees that fall soon after </w:t>
      </w:r>
      <w:r>
        <w:lastRenderedPageBreak/>
        <w:t xml:space="preserve">death provide snag habitat only for very short periods of time or not at all, but do contribute down wood habitat. In fact, these trees are a desirable source of down wood as they will often begin as mostly </w:t>
      </w:r>
      <w:proofErr w:type="spellStart"/>
      <w:r>
        <w:t>undecayed</w:t>
      </w:r>
      <w:proofErr w:type="spellEnd"/>
      <w:r>
        <w:t xml:space="preserve"> wood and, if left on the forest floor, will proceed through the entire wood decay cycle with its associated ecological organisms and processes that are beneficial to soil conditions and site productivity.”</w:t>
      </w:r>
      <w:r>
        <w:rPr>
          <w:iCs/>
        </w:rPr>
        <w:t xml:space="preserve"> </w:t>
      </w:r>
      <w:hyperlink r:id="rId91" w:history="1">
        <w:r>
          <w:rPr>
            <w:rStyle w:val="Hyperlink"/>
          </w:rPr>
          <w:t>http://www.fs.fed.us/r6/nr/wildlife/decaid/pages/Snag-Dynamics.html</w:t>
        </w:r>
      </w:hyperlink>
      <w:r>
        <w:rPr>
          <w:iCs/>
        </w:rPr>
        <w:t>).</w:t>
      </w:r>
    </w:p>
    <w:p w:rsidR="00D229B7" w:rsidRDefault="00D229B7" w:rsidP="00D229B7">
      <w:pPr>
        <w:numPr>
          <w:ilvl w:val="0"/>
          <w:numId w:val="9"/>
        </w:numPr>
        <w:suppressAutoHyphens/>
      </w:pPr>
      <w:r>
        <w:t xml:space="preserve">The tolerance levels from DecAID may be too low to support viable populations of wildlife associated with dead wood, because anthropogenic factors that tend to reduce snags (e.g., firewood cutting, hazard tree felling, fire suppression, and salvage logging) may have biased the baseline data that DecAID relies upon to describe “natural” conditions. See Kim Mellen, Bruce G. Marcot, Janet L. Ohmann, Karen L. Waddell, Elizabeth A. </w:t>
      </w:r>
      <w:proofErr w:type="spellStart"/>
      <w:r>
        <w:t>Willhite</w:t>
      </w:r>
      <w:proofErr w:type="spellEnd"/>
      <w:r>
        <w:t xml:space="preserve">, Bruce B. Hostetler, Susan A. Livingston, and Cay Ogden. </w:t>
      </w:r>
      <w:r>
        <w:rPr>
          <w:i/>
        </w:rPr>
        <w:t>DecAID: A Decaying Wood Advisory Model for Oregon and Washington</w:t>
      </w:r>
      <w:r>
        <w:t xml:space="preserve"> in PNW-GTR-181, </w:t>
      </w:r>
      <w:r>
        <w:rPr>
          <w:i/>
        </w:rPr>
        <w:t xml:space="preserve">citing </w:t>
      </w:r>
      <w:proofErr w:type="spellStart"/>
      <w:r>
        <w:t>Harrod</w:t>
      </w:r>
      <w:proofErr w:type="spellEnd"/>
      <w:r>
        <w:t xml:space="preserve">, </w:t>
      </w:r>
      <w:proofErr w:type="spellStart"/>
      <w:r>
        <w:t>Richy</w:t>
      </w:r>
      <w:proofErr w:type="spellEnd"/>
      <w:r>
        <w:t xml:space="preserve"> J.; Gaines, William L.; </w:t>
      </w:r>
      <w:proofErr w:type="spellStart"/>
      <w:r>
        <w:t>Hartl</w:t>
      </w:r>
      <w:proofErr w:type="spellEnd"/>
      <w:r>
        <w:t>, William E.; Camp, Ann. 1998</w:t>
      </w:r>
      <w:r>
        <w:rPr>
          <w:i/>
        </w:rPr>
        <w:t xml:space="preserve">. Estimating historical snag density in dry forests east of the Cascade Range. </w:t>
      </w:r>
      <w:r>
        <w:t xml:space="preserve">PNW-GTR-428. </w:t>
      </w:r>
      <w:hyperlink r:id="rId92" w:history="1">
        <w:r>
          <w:rPr>
            <w:rStyle w:val="Hyperlink"/>
          </w:rPr>
          <w:t>http://www.fs.fed.us/pnw/pubs/gtr_428.pdf</w:t>
        </w:r>
      </w:hyperlink>
      <w:r>
        <w:t>.</w:t>
      </w:r>
    </w:p>
    <w:p w:rsidR="00D229B7" w:rsidRDefault="00D229B7" w:rsidP="00D229B7">
      <w:pPr>
        <w:numPr>
          <w:ilvl w:val="0"/>
          <w:numId w:val="9"/>
        </w:numPr>
        <w:suppressAutoHyphens/>
      </w:pPr>
      <w:r>
        <w:t>DecAID is still an untested new tool. The agencies must conduct effectiveness monitoring to determine whether the snag and down wood retention recommendations in the DecAID advisor will meet management objectives for wildlife and other resource values.</w:t>
      </w:r>
    </w:p>
    <w:p w:rsidR="00D229B7" w:rsidRDefault="00D229B7" w:rsidP="00D229B7">
      <w:pPr>
        <w:numPr>
          <w:ilvl w:val="0"/>
          <w:numId w:val="9"/>
        </w:numPr>
        <w:suppressAutoHyphens/>
      </w:pPr>
      <w:r>
        <w:t>The “unharvested” inventory data used in DecAID may represent but a snapshot in time, and fail to capture the variability of dead wood over time, including the pulses of abundant dead wood that follow disturbances and may prove essential for many wildlife species.</w:t>
      </w:r>
    </w:p>
    <w:p w:rsidR="00D229B7" w:rsidRDefault="00D229B7" w:rsidP="00D229B7">
      <w:pPr>
        <w:numPr>
          <w:ilvl w:val="0"/>
          <w:numId w:val="9"/>
        </w:numPr>
        <w:suppressAutoHyphens/>
      </w:pPr>
      <w:r>
        <w:t xml:space="preserve">DecAID must be used with extreme caution in post-fire landscapes because the data supporting DecAID does not include natural post-fire landscapes. (“The inventory data likely do not represent recent post-fire conditions very well … young stands originating after recent wildfire are not well represented because they are an extremely small proportion of the current landscape … The dead wood summaries cannot be assumed to apply to areas that are not represented in the inventory data.” “DecAID caveats” </w:t>
      </w:r>
      <w:hyperlink r:id="rId93" w:history="1">
        <w:r>
          <w:rPr>
            <w:rStyle w:val="Hyperlink"/>
          </w:rPr>
          <w:t>http://www.fs.fed.us/r6/nr/wildlife/decaid/</w:t>
        </w:r>
      </w:hyperlink>
      <w:r>
        <w:t xml:space="preserve"> and </w:t>
      </w:r>
      <w:hyperlink r:id="rId94" w:history="1">
        <w:r>
          <w:rPr>
            <w:rStyle w:val="Hyperlink"/>
          </w:rPr>
          <w:t>http://www.fs.fed.us/r6/nr/wildlife/decaid/pages/Caveats-and-Cautions.html</w:t>
        </w:r>
      </w:hyperlink>
      <w:r>
        <w:t>).</w:t>
      </w:r>
    </w:p>
    <w:p w:rsidR="00D229B7" w:rsidRDefault="00D229B7" w:rsidP="00D229B7">
      <w:pPr>
        <w:numPr>
          <w:ilvl w:val="0"/>
          <w:numId w:val="9"/>
        </w:numPr>
        <w:suppressAutoHyphens/>
      </w:pPr>
      <w:r>
        <w:t xml:space="preserve">The Regional Ecosystem Office recommends managing dead wood in young stands within reserves to attain </w:t>
      </w:r>
      <w:r>
        <w:rPr>
          <w:i/>
        </w:rPr>
        <w:t>biologically optimal</w:t>
      </w:r>
      <w:r>
        <w:t xml:space="preserve"> levels, not just </w:t>
      </w:r>
      <w:r>
        <w:rPr>
          <w:i/>
        </w:rPr>
        <w:t>average</w:t>
      </w:r>
      <w:r>
        <w:t xml:space="preserve"> or </w:t>
      </w:r>
      <w:r>
        <w:rPr>
          <w:i/>
        </w:rPr>
        <w:t>reference</w:t>
      </w:r>
      <w:r>
        <w:t xml:space="preserve"> levels. REO said “CWD objectives should be based on research that shows optimum levels of habitat for late-successional forest-related species, and not be based simply on measurements within natural stands.” REO 7-9-1996 Criteria to Exempt Specific Silvicultural Activities in Late-Successional Reserves, </w:t>
      </w:r>
      <w:hyperlink r:id="rId95" w:history="1">
        <w:r>
          <w:rPr>
            <w:rStyle w:val="Hyperlink"/>
          </w:rPr>
          <w:t>http://www.reo.gov/library/policy/REO-694_comm_thin_criteria.doc</w:t>
        </w:r>
      </w:hyperlink>
      <w:r>
        <w:t>. This means that information from DecAID reference stands should be supplemented with DecAID &gt;80% tolerance levels to determine management objectives for dead wood in LSRs and riparian reserves.</w:t>
      </w:r>
    </w:p>
    <w:p w:rsidR="00D229B7" w:rsidRDefault="00D229B7" w:rsidP="00D229B7">
      <w:pPr>
        <w:numPr>
          <w:ilvl w:val="0"/>
          <w:numId w:val="9"/>
        </w:numPr>
        <w:suppressAutoHyphens/>
      </w:pPr>
      <w:r>
        <w:t xml:space="preserve">DecAID relies on a wide range of sources in the literature, some of which recommend much higher levels of snag retention than reflected in the advisor. The agency NEPA analysis should disclose the published literature with higher levels of snag and wood retention and discuss their potential relevance for the project. (“the agency must disclose </w:t>
      </w:r>
      <w:r>
        <w:lastRenderedPageBreak/>
        <w:t xml:space="preserve">responsible opposing scientific opinion and indicate its response in the text of the final statement itself. 40 C.F.R. § 1502.9(b).” </w:t>
      </w:r>
      <w:r>
        <w:rPr>
          <w:u w:val="single"/>
        </w:rPr>
        <w:t>Center for Biological Diversity v. United States Forest Service</w:t>
      </w:r>
      <w:r>
        <w:t>, No. 02-16481 (9</w:t>
      </w:r>
      <w:r>
        <w:rPr>
          <w:vertAlign w:val="superscript"/>
        </w:rPr>
        <w:t>th</w:t>
      </w:r>
      <w:r>
        <w:t xml:space="preserve"> Cir., Nov. 18, 2003).)</w:t>
      </w:r>
    </w:p>
    <w:p w:rsidR="00D229B7" w:rsidRDefault="00D229B7" w:rsidP="00D229B7">
      <w:pPr>
        <w:numPr>
          <w:ilvl w:val="0"/>
          <w:numId w:val="9"/>
        </w:numPr>
        <w:suppressAutoHyphens/>
      </w:pPr>
      <w:r>
        <w:t>DecAID tolerance levels need careful explanation. These tolerance levels are very difficult to put in terms that are understandable by the general public, but if the Forest Service is going to use this tool they must make it understandable. The NEPA analysis should provide cumulative species curves for each habitat type and each forest structural stage and should explain the studies and publications that support the data points on the curves. What kind of habitat were the studies located in? What was the management history of the site? Was the study investigated nesting/denning, or roosting and foraging too?</w:t>
      </w:r>
    </w:p>
    <w:p w:rsidR="00D229B7" w:rsidRDefault="00D229B7" w:rsidP="00D229B7">
      <w:pPr>
        <w:numPr>
          <w:ilvl w:val="0"/>
          <w:numId w:val="9"/>
        </w:numPr>
        <w:suppressAutoHyphens/>
      </w:pPr>
      <w:r>
        <w:t>DecAID does not account for the unique habitat features associated with some types of snags. DecAID primarily just counts snags and assumes that all snags of approximately the same size have equal habitat value, but this fails to account for the fact that certain types of snags and dead wood features are unique, such as: hardwood snags, hollow trees and logs, different decay classes, etc. The NEPA analysis must account for these features and the agency should disproportionately retain dead wood likely to serve these unique habitat functions.</w:t>
      </w:r>
    </w:p>
    <w:p w:rsidR="00D229B7" w:rsidRDefault="00D229B7" w:rsidP="00D229B7">
      <w:pPr>
        <w:numPr>
          <w:ilvl w:val="0"/>
          <w:numId w:val="9"/>
        </w:numPr>
        <w:suppressAutoHyphens/>
      </w:pPr>
      <w:r>
        <w:t xml:space="preserve">DecAID authors caution that “it is imperative, however, to not average snag and down wood densities and sizes across too broad an area, such as across entire watersheds, leaving large areas within watersheds with snags or down wood elements that are too scarce or too small” Kim Mellen, Bruce G. Marcot, Janet L. Ohmann, Karen L. Waddell, Elizabeth A. </w:t>
      </w:r>
      <w:proofErr w:type="spellStart"/>
      <w:r>
        <w:t>Willhite</w:t>
      </w:r>
      <w:proofErr w:type="spellEnd"/>
      <w:r>
        <w:t xml:space="preserve">, Bruce B. Hostetler, Susan A. Livingston, and Cay Ogden. </w:t>
      </w:r>
      <w:r>
        <w:rPr>
          <w:i/>
        </w:rPr>
        <w:t>DecAID: A Decaying Wood Advisory Model for Oregon and Washington</w:t>
      </w:r>
      <w:r>
        <w:t xml:space="preserve"> in PNW-GTR-181. </w:t>
      </w:r>
      <w:hyperlink r:id="rId96" w:history="1">
        <w:r>
          <w:rPr>
            <w:rStyle w:val="Hyperlink"/>
          </w:rPr>
          <w:t>http://www.fs.fed.us/psw/publications/documents/gtr-181/042_MellenDec.pdf</w:t>
        </w:r>
      </w:hyperlink>
      <w:r>
        <w:t>. While we agree that snags and down wood must not be averaged over wide areas, we also must emphasize that snags and down wood are far below historic levels on non-federal lands</w:t>
      </w:r>
      <w:r>
        <w:rPr>
          <w:rStyle w:val="FootnoteCharacters"/>
        </w:rPr>
        <w:footnoteReference w:id="2"/>
      </w:r>
      <w:r>
        <w:t>, so in order to ensure viable populations of wildlife and avoid trends toward ESA listing, federal lands must be managed to compensate for the lack of down wood on non-federal lands.</w:t>
      </w:r>
    </w:p>
    <w:p w:rsidR="00D229B7" w:rsidRDefault="00D229B7" w:rsidP="00D229B7">
      <w:pPr>
        <w:numPr>
          <w:ilvl w:val="0"/>
          <w:numId w:val="9"/>
        </w:numPr>
        <w:suppressAutoHyphens/>
      </w:pPr>
      <w:r>
        <w:t>DecAID appears to be based on the idea that the habitat needs of certain key wildlife species represent the best determinant of how much dead wood to retain, and this may in fact be true, but DecAID should also include cumulative curves for other ecological functions provided by dead wood, including: site productivity, nutrient storage and release, erosion control, sediment storage, water storage, water infiltration and percolation, post-fire micro-site maintenance, biological substrate, thermal mass, etc. How much dead wood is needed for these functions?</w:t>
      </w:r>
    </w:p>
    <w:p w:rsidR="00D229B7" w:rsidRDefault="00D229B7" w:rsidP="00D229B7">
      <w:pPr>
        <w:numPr>
          <w:ilvl w:val="0"/>
          <w:numId w:val="9"/>
        </w:numPr>
        <w:suppressAutoHyphens/>
      </w:pPr>
      <w:r>
        <w:t xml:space="preserve">DecAID may be best used for program level planning rather than project level planning. See Dallas </w:t>
      </w:r>
      <w:proofErr w:type="spellStart"/>
      <w:r>
        <w:t>Emch</w:t>
      </w:r>
      <w:proofErr w:type="spellEnd"/>
      <w:r>
        <w:t xml:space="preserve"> and Gary Larson, 2006. Review &amp; Analysis of Remainder of Comments on EA Supplements for Multiple Timber Sales on Mt. Hood &amp; Willamette National Forests on Remand in </w:t>
      </w:r>
      <w:r>
        <w:rPr>
          <w:u w:val="single"/>
        </w:rPr>
        <w:t xml:space="preserve">ONRC Action v. Forest Service </w:t>
      </w:r>
      <w:r>
        <w:t>CV-03-613-KI (</w:t>
      </w:r>
      <w:proofErr w:type="spellStart"/>
      <w:r>
        <w:t>D.Or</w:t>
      </w:r>
      <w:proofErr w:type="spellEnd"/>
      <w:r>
        <w:t>.). 4-10-06.</w:t>
      </w:r>
    </w:p>
    <w:p w:rsidR="00D229B7" w:rsidRDefault="00D229B7" w:rsidP="00D229B7">
      <w:pPr>
        <w:numPr>
          <w:ilvl w:val="0"/>
          <w:numId w:val="9"/>
        </w:numPr>
        <w:suppressAutoHyphens/>
      </w:pPr>
      <w:r>
        <w:t xml:space="preserve">Any activity that degrades snag habitat is arbitrary and capricious until the agency develops new procedures in compliance with NEPA and NFMA or LFPMA. Compliance </w:t>
      </w:r>
      <w:r>
        <w:lastRenderedPageBreak/>
        <w:t>with old standards is meaningless, and in the absence of new standards, the agency cannot draw any credible conclusions about impacts to snag associated species. There is no way to use DecAID to comply with the east side screens’ requirement to maintain 100% potential populations of cavity species (until the Forest Service develops some credible way to translate DecAID tolerance levels into potential population levels).</w:t>
      </w:r>
    </w:p>
    <w:p w:rsidR="00D229B7" w:rsidRDefault="00D229B7" w:rsidP="00D229B7">
      <w:pPr>
        <w:numPr>
          <w:ilvl w:val="0"/>
          <w:numId w:val="9"/>
        </w:numPr>
        <w:suppressAutoHyphens/>
      </w:pPr>
      <w:r>
        <w:t>DecAID authors remind users that “</w:t>
      </w:r>
      <w:r>
        <w:rPr>
          <w:color w:val="000000"/>
        </w:rPr>
        <w:t>DecAID does not recommend levels of dead wood. The user should define the goal based on the information in DecAID.</w:t>
      </w:r>
      <w:r>
        <w:t xml:space="preserve">” </w:t>
      </w:r>
      <w:hyperlink r:id="rId97" w:history="1">
        <w:r>
          <w:rPr>
            <w:rStyle w:val="Hyperlink"/>
          </w:rPr>
          <w:t>http://www.fs.fed.us/r6/nr/wildlife/decaid-guide/CurranJunettaThin.shtml</w:t>
        </w:r>
      </w:hyperlink>
      <w:r>
        <w:t xml:space="preserve"> “DecAID provides information on snag and down wood in three tolerance levels, 30%, 50% and 80%. The 30% tolerance level is typically used when considering landscapes that have exhibited extensive harvest activity. The 50% tolerance level is typically used when considering matrix allocations and 80% is typically used when considering late-successional reserves.” Young, Tiffany. 2010. Canyon Thin Project. Wildlife Specialist Report / Biological Evaluation. Willamette National Forest, Sweet Home Ranger District. 5 Dec 2010. See also, Willamette National Forest 2016. Lang Dam EA page 78, </w:t>
      </w:r>
      <w:hyperlink r:id="rId98" w:history="1">
        <w:r w:rsidRPr="00DA7353">
          <w:rPr>
            <w:rStyle w:val="Hyperlink"/>
          </w:rPr>
          <w:t>http://a123.g.akamai.net/7/123/11558/abc123/forestservic.download.akamai.com/11558/www/nepa/93958_FSPLT3_3908091.pdf</w:t>
        </w:r>
      </w:hyperlink>
      <w:r>
        <w:t xml:space="preserve">. </w:t>
      </w:r>
    </w:p>
    <w:p w:rsidR="00D229B7" w:rsidRDefault="00D229B7" w:rsidP="00D229B7">
      <w:pPr>
        <w:numPr>
          <w:ilvl w:val="0"/>
          <w:numId w:val="9"/>
        </w:numPr>
        <w:suppressAutoHyphens/>
        <w:rPr>
          <w:b/>
        </w:rPr>
      </w:pPr>
      <w:r>
        <w:t xml:space="preserve">The DecAID authors also remind users that “The EA should make it clear which data set (wildlife or vegetation data, harvested or unharvested plots for vegetation data) and wildlife habitat type are being used in the analysis. The best way to accomplish this is to cite the table or figure from DecAID that contains the information used.” </w:t>
      </w:r>
      <w:hyperlink r:id="rId99" w:history="1">
        <w:r>
          <w:rPr>
            <w:rStyle w:val="Hyperlink"/>
          </w:rPr>
          <w:t>http://www.fs.fed.us/r6/nr/wildlife/decaid-guide/CurranJunettaThin.shtml</w:t>
        </w:r>
      </w:hyperlink>
    </w:p>
    <w:p w:rsidR="00D229B7" w:rsidRPr="001E586A" w:rsidRDefault="00D229B7" w:rsidP="00D46FED"/>
    <w:p w:rsidR="00FD72A7" w:rsidRPr="00464E8F" w:rsidRDefault="00293EF7" w:rsidP="00464E8F">
      <w:pPr>
        <w:pStyle w:val="Heading1"/>
        <w:rPr>
          <w:sz w:val="24"/>
          <w:szCs w:val="24"/>
        </w:rPr>
      </w:pPr>
      <w:r w:rsidRPr="00464E8F">
        <w:rPr>
          <w:sz w:val="24"/>
          <w:szCs w:val="24"/>
        </w:rPr>
        <w:t>FAILURE TO CONSIDER ALTERNATIVES THAT ADVANCE FOREST PLAN GOALS BY DOING MORE ROAD DECOMMISSIONING AND LESS TEMPORARY ROAD CONSTRUCTION </w:t>
      </w:r>
    </w:p>
    <w:p w:rsidR="009544BA" w:rsidRPr="00C44CA3" w:rsidRDefault="009544BA" w:rsidP="009544BA">
      <w:pPr>
        <w:shd w:val="clear" w:color="auto" w:fill="FFFFFF"/>
        <w:spacing w:before="100" w:beforeAutospacing="1" w:after="100" w:afterAutospacing="1"/>
        <w:rPr>
          <w:rFonts w:cstheme="minorHAnsi"/>
          <w:sz w:val="23"/>
          <w:szCs w:val="23"/>
        </w:rPr>
      </w:pPr>
      <w:r w:rsidRPr="00780077">
        <w:rPr>
          <w:rFonts w:cstheme="minorHAnsi"/>
          <w:color w:val="000000"/>
        </w:rPr>
        <w:t xml:space="preserve">Given the scope and scale of this project and the intent to enhance, restore, and protect wildlife habitat and reduce risks associated with high intensity wildfire we urge you to reduce road densities </w:t>
      </w:r>
      <w:r>
        <w:rPr>
          <w:rFonts w:cstheme="minorHAnsi"/>
          <w:color w:val="000000"/>
        </w:rPr>
        <w:t>in the project area</w:t>
      </w:r>
      <w:r w:rsidRPr="00780077">
        <w:rPr>
          <w:rFonts w:cstheme="minorHAnsi"/>
          <w:color w:val="000000"/>
        </w:rPr>
        <w:t xml:space="preserve">. </w:t>
      </w:r>
      <w:r>
        <w:rPr>
          <w:sz w:val="23"/>
          <w:szCs w:val="23"/>
        </w:rPr>
        <w:t>The Mt. Hood Land and Resource Management Plan (LRMP) requires reducing open road densities to 2.5 miles per square mile in big game summer range, 2 miles per square mile in inventoried winter range, and 1.5 miles per square mile in A1 (White River National Wild and Scenic River), B2 (Scenic Viewshed) and B10 (Deer and Elk Winter Range) land allocations.</w:t>
      </w:r>
      <w:r>
        <w:rPr>
          <w:rFonts w:cstheme="minorHAnsi"/>
          <w:sz w:val="23"/>
          <w:szCs w:val="23"/>
        </w:rPr>
        <w:t xml:space="preserve"> Forest Service system road density within the </w:t>
      </w:r>
      <w:proofErr w:type="spellStart"/>
      <w:r>
        <w:rPr>
          <w:rFonts w:cstheme="minorHAnsi"/>
          <w:sz w:val="23"/>
          <w:szCs w:val="23"/>
        </w:rPr>
        <w:t>Threemile</w:t>
      </w:r>
      <w:proofErr w:type="spellEnd"/>
      <w:r>
        <w:rPr>
          <w:rFonts w:cstheme="minorHAnsi"/>
          <w:sz w:val="23"/>
          <w:szCs w:val="23"/>
        </w:rPr>
        <w:t xml:space="preserve"> Creek Watershed has been calculated between 2.0 and 2.5 miles per square mile which slightly exceeds the LRMP standards. However,</w:t>
      </w:r>
      <w:r w:rsidRPr="00545424">
        <w:rPr>
          <w:rFonts w:cstheme="minorHAnsi"/>
          <w:sz w:val="23"/>
          <w:szCs w:val="23"/>
        </w:rPr>
        <w:t xml:space="preserve"> </w:t>
      </w:r>
      <w:r>
        <w:rPr>
          <w:rFonts w:cstheme="minorHAnsi"/>
          <w:sz w:val="23"/>
          <w:szCs w:val="23"/>
        </w:rPr>
        <w:t xml:space="preserve">densities are expected to substantially exceed this threshold with the inclusion of proposed temporary roads. Although temporary roads are omitted from density calculations these expansions of the road network may result in long term adverse impacts to wildlife behavior, aquatic habitat, spread of exotic species, increased use by the public, and increased risk of human caused ignitions. </w:t>
      </w:r>
    </w:p>
    <w:p w:rsidR="009544BA" w:rsidRDefault="009544BA" w:rsidP="009544BA">
      <w:pPr>
        <w:shd w:val="clear" w:color="auto" w:fill="FFFFFF"/>
        <w:spacing w:before="100" w:beforeAutospacing="1" w:after="100" w:afterAutospacing="1"/>
        <w:rPr>
          <w:sz w:val="23"/>
          <w:szCs w:val="23"/>
        </w:rPr>
      </w:pPr>
      <w:r>
        <w:rPr>
          <w:rFonts w:cstheme="minorHAnsi"/>
          <w:sz w:val="23"/>
          <w:szCs w:val="23"/>
        </w:rPr>
        <w:t xml:space="preserve">The Final Environmental Analysis (EA) states that the majority of Forest service system roads are in upland areas and therefore hydrologically disconnected. While the EA does not analyze impacts from non-system roads, </w:t>
      </w:r>
      <w:r>
        <w:rPr>
          <w:sz w:val="23"/>
          <w:szCs w:val="23"/>
        </w:rPr>
        <w:t xml:space="preserve">available scientific information shows that reconstruction of closed and abandoned roads, could result in adverse impacts to wildlife habitat and water quality. Reconstructed roads </w:t>
      </w:r>
      <w:r>
        <w:rPr>
          <w:sz w:val="23"/>
          <w:szCs w:val="23"/>
        </w:rPr>
        <w:lastRenderedPageBreak/>
        <w:t>cause elevated erosion and sediment for many years after decommissioning.</w:t>
      </w:r>
      <w:r w:rsidRPr="00F50637">
        <w:rPr>
          <w:rStyle w:val="FootnoteReference"/>
          <w:rFonts w:eastAsiaTheme="majorEastAsia"/>
        </w:rPr>
        <w:footnoteReference w:id="3"/>
      </w:r>
      <w:r w:rsidRPr="00F50637">
        <w:rPr>
          <w:sz w:val="14"/>
          <w:szCs w:val="14"/>
        </w:rPr>
        <w:t xml:space="preserve"> </w:t>
      </w:r>
      <w:r>
        <w:rPr>
          <w:sz w:val="23"/>
          <w:szCs w:val="23"/>
        </w:rPr>
        <w:t>Temporary road construction can cause resource damage including erosion and sedimentation, exotic species spread and disruption of wildlife.</w:t>
      </w:r>
      <w:r w:rsidRPr="00F50637">
        <w:rPr>
          <w:rStyle w:val="FootnoteReference"/>
          <w:rFonts w:eastAsiaTheme="majorEastAsia"/>
        </w:rPr>
        <w:footnoteReference w:id="4"/>
      </w:r>
      <w:r w:rsidRPr="00F50637">
        <w:rPr>
          <w:sz w:val="20"/>
          <w:szCs w:val="20"/>
        </w:rPr>
        <w:t xml:space="preserve"> </w:t>
      </w:r>
      <w:r>
        <w:rPr>
          <w:sz w:val="23"/>
          <w:szCs w:val="23"/>
        </w:rPr>
        <w:t>The USFS Region 5 method for estimating cumulative watershed effects indicates that even 10 years after road decommissioning, a mile of decommissioned road is equivalent to 0.2 miles of new road in terms of adverse cumulative effects.</w:t>
      </w:r>
      <w:r w:rsidRPr="00F50637">
        <w:rPr>
          <w:rStyle w:val="FootnoteReference"/>
          <w:rFonts w:eastAsiaTheme="majorEastAsia"/>
        </w:rPr>
        <w:footnoteReference w:id="5"/>
      </w:r>
      <w:r w:rsidRPr="00F50637">
        <w:t xml:space="preserve"> </w:t>
      </w:r>
      <w:r>
        <w:rPr>
          <w:sz w:val="23"/>
          <w:szCs w:val="23"/>
        </w:rPr>
        <w:t>After 50 years, a mile of obliterated road still has impacts equivalent to 0.1 mile of new road. Thus, as it is apparent that decommissioning will not instantaneously eliminate the persistent impacts of roads on erosion and sediment delivery, building these roads will likely have long term adverse impacts to the aquatic and terrestrial environment.</w:t>
      </w:r>
    </w:p>
    <w:p w:rsidR="009544BA" w:rsidRDefault="009544BA" w:rsidP="009544BA">
      <w:pPr>
        <w:shd w:val="clear" w:color="auto" w:fill="FFFFFF"/>
        <w:spacing w:before="100" w:beforeAutospacing="1" w:after="100" w:afterAutospacing="1"/>
        <w:rPr>
          <w:sz w:val="23"/>
          <w:szCs w:val="23"/>
        </w:rPr>
      </w:pPr>
      <w:r>
        <w:rPr>
          <w:sz w:val="23"/>
          <w:szCs w:val="23"/>
        </w:rPr>
        <w:t xml:space="preserve">During scoping, Bark provided ground </w:t>
      </w:r>
      <w:proofErr w:type="spellStart"/>
      <w:r>
        <w:rPr>
          <w:sz w:val="23"/>
          <w:szCs w:val="23"/>
        </w:rPr>
        <w:t>truthing</w:t>
      </w:r>
      <w:proofErr w:type="spellEnd"/>
      <w:r>
        <w:rPr>
          <w:sz w:val="23"/>
          <w:szCs w:val="23"/>
        </w:rPr>
        <w:t xml:space="preserve"> information to the Forest Service of resource areas that could be particularly sensitive to road building. Unit 56 contains wet meadows yet is labeled in the EA as a timber plantation and is intersected by FSR 4840-015. </w:t>
      </w:r>
      <w:r w:rsidRPr="007F7AF3">
        <w:rPr>
          <w:sz w:val="23"/>
          <w:szCs w:val="23"/>
        </w:rPr>
        <w:t xml:space="preserve">The road is blocked by fallen trees less than halfway to </w:t>
      </w:r>
      <w:r>
        <w:rPr>
          <w:sz w:val="23"/>
          <w:szCs w:val="23"/>
        </w:rPr>
        <w:t>u</w:t>
      </w:r>
      <w:r w:rsidRPr="007F7AF3">
        <w:rPr>
          <w:sz w:val="23"/>
          <w:szCs w:val="23"/>
        </w:rPr>
        <w:t xml:space="preserve">nit 56. Once the road reaches unit 56 it intersects </w:t>
      </w:r>
      <w:r>
        <w:rPr>
          <w:sz w:val="23"/>
          <w:szCs w:val="23"/>
        </w:rPr>
        <w:t>wet meadow areas</w:t>
      </w:r>
      <w:r w:rsidRPr="007F7AF3">
        <w:rPr>
          <w:sz w:val="23"/>
          <w:szCs w:val="23"/>
        </w:rPr>
        <w:t xml:space="preserve"> and completely disappears.</w:t>
      </w:r>
      <w:r>
        <w:rPr>
          <w:sz w:val="23"/>
          <w:szCs w:val="23"/>
        </w:rPr>
        <w:t xml:space="preserve"> We recommend closing this road and decommissioning it if possible. Unit 56 as well as nearby unit 260 have been extensively documented to contain wet meadows, vernal pools, and sensitive soils inappropriate for proposed plantation prescriptions. This has been brought to the Forest Service’s attention since scoping in 2019, yet these units are still labeled plantations with proposed plantation logging prescriptions. We request that you drop these units from logging or alter proposed prescriptions to reflect meadow enhancement and subsequently a key objective of this project to </w:t>
      </w:r>
      <w:r w:rsidRPr="00780077">
        <w:rPr>
          <w:rFonts w:cstheme="minorHAnsi"/>
          <w:color w:val="000000"/>
        </w:rPr>
        <w:t>enhance, restore, and protect wildlife habitat</w:t>
      </w:r>
      <w:r>
        <w:rPr>
          <w:sz w:val="23"/>
          <w:szCs w:val="23"/>
        </w:rPr>
        <w:t>. Additionally, nearby FSR 4880-014 appears to be at high risk for water quality degradation to Boulder Creek and we recommend this road receive decommissioning and rehabilitation where possible before the project proceeds. Additionally, there is an old, unmapped roadbed directly adjacent to FSR 4880-014, on the same side of the road but headed south. This “ghost” road network should be actively decommissioned as it is not currently on the open system or calculated as a contributor to open road density.</w:t>
      </w:r>
    </w:p>
    <w:p w:rsidR="009544BA" w:rsidRPr="00780077" w:rsidRDefault="009544BA" w:rsidP="009544BA">
      <w:pPr>
        <w:shd w:val="clear" w:color="auto" w:fill="FFFFFF"/>
        <w:spacing w:before="100" w:beforeAutospacing="1" w:after="100" w:afterAutospacing="1"/>
        <w:rPr>
          <w:rFonts w:cstheme="minorHAnsi"/>
          <w:color w:val="000000"/>
        </w:rPr>
      </w:pPr>
      <w:r>
        <w:rPr>
          <w:rFonts w:cstheme="minorHAnsi"/>
          <w:color w:val="000000"/>
        </w:rPr>
        <w:t>As you know, fuels reduction alone is not sufficient to reduce wildfire risk in the project area. Distance to roads, WUI, and human recreation increase ignition pressure and should be considered in projects which aim to reduce wildfire risk. Therefore, a multipronged approach is needed which includes addressing ignition sources deriving from a dense road network. The Grasshopper project will temporarily increase road density in the planning area and therefore increase the probability of a human caused ignition</w:t>
      </w:r>
      <w:r>
        <w:rPr>
          <w:rStyle w:val="FootnoteReference"/>
          <w:rFonts w:cstheme="minorHAnsi"/>
          <w:color w:val="000000"/>
        </w:rPr>
        <w:footnoteReference w:id="6"/>
      </w:r>
      <w:r>
        <w:rPr>
          <w:rFonts w:cstheme="minorHAnsi"/>
          <w:color w:val="000000"/>
          <w:vertAlign w:val="superscript"/>
        </w:rPr>
        <w:t>,</w:t>
      </w:r>
      <w:r>
        <w:rPr>
          <w:rStyle w:val="FootnoteReference"/>
          <w:rFonts w:cstheme="minorHAnsi"/>
          <w:color w:val="000000"/>
        </w:rPr>
        <w:footnoteReference w:id="7"/>
      </w:r>
      <w:r>
        <w:rPr>
          <w:rFonts w:cstheme="minorHAnsi"/>
          <w:color w:val="000000"/>
        </w:rPr>
        <w:t>.</w:t>
      </w:r>
      <w:r>
        <w:rPr>
          <w:sz w:val="23"/>
          <w:szCs w:val="23"/>
        </w:rPr>
        <w:t xml:space="preserve"> Bark shared information about existing unauthorized motorized trails off the 4860 in our Scoping comments. Given that the 4860 is a </w:t>
      </w:r>
      <w:r>
        <w:rPr>
          <w:sz w:val="23"/>
          <w:szCs w:val="23"/>
        </w:rPr>
        <w:lastRenderedPageBreak/>
        <w:t>common route for motorcycles, and there is a history of folks taking detour loops off the main road and creating new small dispersed sites along the way, we request that you to develop robust PDCs for preventing illegal trail building and human-caused fire starts in the area as a result of increased access via temporary roads, landings, and skid trails.</w:t>
      </w:r>
    </w:p>
    <w:p w:rsidR="009544BA" w:rsidRPr="00566905" w:rsidRDefault="009544BA" w:rsidP="009544BA">
      <w:pPr>
        <w:shd w:val="clear" w:color="auto" w:fill="FFFFFF"/>
        <w:spacing w:before="100" w:beforeAutospacing="1" w:after="100" w:afterAutospacing="1"/>
        <w:rPr>
          <w:sz w:val="23"/>
          <w:szCs w:val="23"/>
        </w:rPr>
      </w:pPr>
      <w:r>
        <w:rPr>
          <w:sz w:val="23"/>
          <w:szCs w:val="23"/>
        </w:rPr>
        <w:t>Up until one week before the draft decision notice was posted the potential locations of the proposed 17 miles of temporary roads associated with the project had not been disclosed.</w:t>
      </w:r>
      <w:r>
        <w:rPr>
          <w:sz w:val="16"/>
          <w:szCs w:val="16"/>
        </w:rPr>
        <w:t xml:space="preserve"> </w:t>
      </w:r>
      <w:r>
        <w:rPr>
          <w:sz w:val="23"/>
          <w:szCs w:val="23"/>
        </w:rPr>
        <w:t xml:space="preserve">There is no information in the EA about how many miles of new versus existing roads are expected to be built, and how many miles of these existing roads are reused system roads or old temporary road alignments. </w:t>
      </w:r>
      <w:r w:rsidRPr="00AB0F8C">
        <w:rPr>
          <w:sz w:val="23"/>
          <w:szCs w:val="23"/>
        </w:rPr>
        <w:t>To fully understand the impacts of this project on the environment, the agency and interested public should be able to come to a shared understanding of where and how the effects of roadbuilding will occur.</w:t>
      </w:r>
      <w:r>
        <w:rPr>
          <w:sz w:val="23"/>
          <w:szCs w:val="23"/>
        </w:rPr>
        <w:t xml:space="preserve"> If the locations of temporary roads as they relate to the issues the public are concerned about are not disclosed, they will have no way of knowing to what extent their recommendations were or were not followed. </w:t>
      </w:r>
    </w:p>
    <w:p w:rsidR="009544BA" w:rsidRDefault="009544BA" w:rsidP="009544BA">
      <w:pPr>
        <w:shd w:val="clear" w:color="auto" w:fill="FFFFFF"/>
        <w:spacing w:before="100" w:beforeAutospacing="1" w:after="100" w:afterAutospacing="1"/>
        <w:rPr>
          <w:sz w:val="23"/>
          <w:szCs w:val="23"/>
        </w:rPr>
      </w:pPr>
      <w:r>
        <w:rPr>
          <w:sz w:val="23"/>
          <w:szCs w:val="23"/>
        </w:rPr>
        <w:t xml:space="preserve">The Forest Service has repeatedly referred to Project Design Criteria as “sideboards”. Project Design Criteria often include language such as “generally” and “where practical”. These are not actual sideboards because there is nothing about PDCs that says that an impact will not at some point occur. Relying only on PDCs for temporary roads will mean the public will never know which impacts occur and where, or if there was a better alternative that could have avoided an impact. For example, members of the public who advocate for the recommendation of minimizing temporary road stream crossings will read PDCs that contain language like “generally”, “wherever feasible” and “wherever practical” as a response to their concerns but will not know how many stream crossings will be built, where they will be built, or if there are alternatives that exist elsewhere. In past projects it has been very useful to know the locations of proposed temporary roads and has prompted substantive feedback from the public. </w:t>
      </w:r>
    </w:p>
    <w:p w:rsidR="00464E8F" w:rsidRPr="009544BA" w:rsidRDefault="009544BA" w:rsidP="00293EF7">
      <w:pPr>
        <w:shd w:val="clear" w:color="auto" w:fill="FFFFFF"/>
        <w:spacing w:before="100" w:beforeAutospacing="1" w:after="100" w:afterAutospacing="1"/>
        <w:rPr>
          <w:sz w:val="23"/>
          <w:szCs w:val="23"/>
        </w:rPr>
      </w:pPr>
      <w:r w:rsidRPr="00652DD0">
        <w:rPr>
          <w:sz w:val="23"/>
          <w:szCs w:val="23"/>
        </w:rPr>
        <w:t xml:space="preserve">We have recognized previously that exact temporary road locations are always tentative, and including that caveat is entirely appropriate when sharing these tentative road locations. </w:t>
      </w:r>
      <w:r>
        <w:rPr>
          <w:sz w:val="23"/>
          <w:szCs w:val="23"/>
        </w:rPr>
        <w:t>In the future, please share this information with members of the public and provide an opportunity for public comment on the road placement before you issue your final decision.</w:t>
      </w:r>
    </w:p>
    <w:p w:rsidR="00FD72A7" w:rsidRPr="00464E8F" w:rsidRDefault="00293EF7" w:rsidP="00464E8F">
      <w:pPr>
        <w:pStyle w:val="Heading1"/>
        <w:rPr>
          <w:sz w:val="24"/>
          <w:szCs w:val="24"/>
        </w:rPr>
      </w:pPr>
      <w:r w:rsidRPr="00464E8F">
        <w:rPr>
          <w:sz w:val="24"/>
          <w:szCs w:val="24"/>
        </w:rPr>
        <w:t xml:space="preserve">COMMERCIAL LOGGING </w:t>
      </w:r>
      <w:r w:rsidR="00895E95">
        <w:rPr>
          <w:sz w:val="24"/>
          <w:szCs w:val="24"/>
        </w:rPr>
        <w:t xml:space="preserve">OF LARGE TREES </w:t>
      </w:r>
      <w:r w:rsidRPr="00464E8F">
        <w:rPr>
          <w:sz w:val="24"/>
          <w:szCs w:val="24"/>
        </w:rPr>
        <w:t>IN RIPARIAN RESERVES OVER 80 YEARS OLD WILL RETARD ATTAINMENT OF ACS OBJECTIVES FOR WOOD RECRUITMENT AND WATER QUALITY AND MICROCLIMATE</w:t>
      </w:r>
    </w:p>
    <w:p w:rsidR="00895E95" w:rsidRDefault="001E586A" w:rsidP="00120E6E">
      <w:pPr>
        <w:spacing w:before="100" w:beforeAutospacing="1" w:after="100" w:afterAutospacing="1"/>
      </w:pPr>
      <w:r>
        <w:t xml:space="preserve">The </w:t>
      </w:r>
      <w:r w:rsidR="009E4E05">
        <w:t xml:space="preserve">Grasshopper </w:t>
      </w:r>
      <w:r w:rsidR="00895E95">
        <w:t>Project allows commercial removal of t</w:t>
      </w:r>
      <w:r w:rsidR="00895E95" w:rsidRPr="00895E95">
        <w:t>rees up to 30” dbh from “moist</w:t>
      </w:r>
      <w:r w:rsidR="00895E95">
        <w:t xml:space="preserve"> mixed conifer</w:t>
      </w:r>
      <w:r w:rsidR="00895E95" w:rsidRPr="00895E95">
        <w:t>” riparian reserves, and trees up to 24” dbh from “dry</w:t>
      </w:r>
      <w:r w:rsidR="00895E95">
        <w:t xml:space="preserve"> mixed conifer</w:t>
      </w:r>
      <w:r w:rsidR="00895E95" w:rsidRPr="00895E95">
        <w:t>” riparian reserves</w:t>
      </w:r>
      <w:r w:rsidR="00895E95">
        <w:t xml:space="preserve">. Large trees provide ecological value and contribute toward ACS objectives now and in the future when those trees grow and die in the forest. </w:t>
      </w:r>
    </w:p>
    <w:p w:rsidR="00895E95" w:rsidRDefault="00895E95" w:rsidP="00120E6E">
      <w:pPr>
        <w:spacing w:before="100" w:beforeAutospacing="1" w:after="100" w:afterAutospacing="1"/>
      </w:pPr>
      <w:r>
        <w:t xml:space="preserve">Removal of large trees from riparian reserves violates the Northwest Forest Plan prohibition on activities in riparian reserves that will retard or prevent attainment of ACS objectives. </w:t>
      </w:r>
    </w:p>
    <w:p w:rsidR="000157C6" w:rsidRDefault="000157C6" w:rsidP="000157C6">
      <w:pPr>
        <w:spacing w:before="100" w:beforeAutospacing="1" w:after="100" w:afterAutospacing="1"/>
      </w:pPr>
      <w:r>
        <w:t xml:space="preserve">The Northwest Forest Plan prohibits logging in riparian reserves unless it is needed to meet ACS objectives. </w:t>
      </w:r>
      <w:r w:rsidR="00C71CDD">
        <w:t xml:space="preserve">If ACS objectives are currently being met, logging is not allowed. If ACS objectives are not being met, removal of large trees that contribute to ACS objectives will retard attainment, so logging is not needed. </w:t>
      </w:r>
      <w:r>
        <w:t xml:space="preserve">The EA failed to disclose ACS objectives will be met in the absence of </w:t>
      </w:r>
      <w:r>
        <w:lastRenderedPageBreak/>
        <w:t>logging large trees, and therefore logging is not needed and the large-tree logging is improper.</w:t>
      </w:r>
      <w:r w:rsidR="00695352">
        <w:t xml:space="preserve"> The burden is on the agency to make this showing.</w:t>
      </w:r>
    </w:p>
    <w:p w:rsidR="000157C6" w:rsidRDefault="000157C6" w:rsidP="000157C6">
      <w:pPr>
        <w:ind w:left="720"/>
      </w:pPr>
      <w:r>
        <w:t>Riparian areas are widely considered to be important wildlife habitat. Cool air temperatures due to the presence of cool and turbulent surface waters, typically dense vegetative canopy cover, and their location in the lowest portions of watersheds combine to maintain a distinct microclimate along stream channels and in the adjacent riparian area. Maintaining the integrity of the vegetation in these areas is particularly important for riparian-dependent species of amphibians, arthropods, mammals, birds, and bats.</w:t>
      </w:r>
    </w:p>
    <w:p w:rsidR="000157C6" w:rsidRDefault="000157C6" w:rsidP="000157C6">
      <w:pPr>
        <w:ind w:left="720"/>
      </w:pPr>
      <w:r>
        <w:t>…</w:t>
      </w:r>
    </w:p>
    <w:p w:rsidR="000157C6" w:rsidRDefault="000157C6" w:rsidP="000157C6">
      <w:pPr>
        <w:ind w:left="720"/>
      </w:pPr>
      <w:r>
        <w:t>Large quantities of down logs are an important component of many streams. Coarse woody debris influences the form and structure of a channel by affecting the profile of a stream, pool formation, and channel pattern and position. The rate at which sediment and organic matter are transported downstream is controlled in part by storage of this material behind coarse woody debris. Coarse woody debris also affects the formation and distribution of habitat, provides cover and complexity, and acts as a substrate for biological activity. Coarse woody debris in streams comes directly from the adjacent riparian area, from tributaries that may not be inhabited by fish, and from hillslopes.</w:t>
      </w:r>
    </w:p>
    <w:p w:rsidR="000157C6" w:rsidRPr="000157C6" w:rsidRDefault="000157C6" w:rsidP="000157C6">
      <w:r>
        <w:t>1994 Northwest Forest Plan FSEIS page 3&amp;4-61.</w:t>
      </w:r>
    </w:p>
    <w:p w:rsidR="000157C6" w:rsidRDefault="000157C6" w:rsidP="000157C6">
      <w:pPr>
        <w:spacing w:before="100" w:beforeAutospacing="1" w:after="100" w:afterAutospacing="1"/>
      </w:pPr>
      <w:r>
        <w:t>Under the NWFP: “The risk has been shifted under the Aquatic Conservation Strategy because each project must meet the maintenance and restoration criteria by maintaining or restoring the physical and biological processes required by riparian-dependent resources within a watershed.” 1994 FSEIS p 3&amp;4 – 69. Clearly, this requires the agency to show there is a need for intervention.</w:t>
      </w:r>
    </w:p>
    <w:p w:rsidR="00882064" w:rsidRDefault="00882064" w:rsidP="00882064">
      <w:r>
        <w:t xml:space="preserve">The agency must carefully explain why they think it’s OK to </w:t>
      </w:r>
      <w:r>
        <w:t xml:space="preserve">remove large tree and </w:t>
      </w:r>
      <w:r>
        <w:t xml:space="preserve">thin stands over 80 years old in riparian reserves but not in LSRs when the goals are similar. Two of the main authors of the Northwest Forest Plan recently stated that “Riparian Reserves which have similar structural goals as the LSRs … A maximum thinning age of 80 years was used here.” Johnson &amp; Franklin 2009. Restoration of Federal Forests in the Pacific Northwest: Strategies and Management Implications. </w:t>
      </w:r>
      <w:hyperlink r:id="rId100" w:history="1">
        <w:r w:rsidRPr="00CB1F69">
          <w:rPr>
            <w:rStyle w:val="Hyperlink"/>
          </w:rPr>
          <w:t>http://fes.forestry.oregonstate.edu/sites/fes.forestry.oregonstate.edu/files/PDFs/RestorationOfFederalForestsInThePacificNorthwest.pdf</w:t>
        </w:r>
      </w:hyperlink>
      <w:r>
        <w:t xml:space="preserve"> (p 49).</w:t>
      </w:r>
    </w:p>
    <w:p w:rsidR="00882064" w:rsidRDefault="00882064" w:rsidP="00882064"/>
    <w:p w:rsidR="00882064" w:rsidRDefault="00882064" w:rsidP="00882064">
      <w:pPr>
        <w:rPr>
          <w:b/>
        </w:rPr>
      </w:pPr>
      <w:r>
        <w:t>FEMAT page IV-109 says that logging in riparian reserves stands older than 80 years is not appropriate. Such stands were presumed to remain unharvested as mitigation for Bryophytes and other species that prefer dense forest cover and abundant dead wood.</w:t>
      </w:r>
    </w:p>
    <w:p w:rsidR="00882064" w:rsidRDefault="00882064" w:rsidP="00882064">
      <w:pPr>
        <w:pStyle w:val="WW-Default"/>
        <w:ind w:left="720"/>
        <w:rPr>
          <w:u w:val="single"/>
        </w:rPr>
      </w:pPr>
      <w:r>
        <w:rPr>
          <w:rFonts w:ascii="Times New Roman" w:hAnsi="Times New Roman" w:cs="Times New Roman"/>
          <w:b/>
          <w:sz w:val="24"/>
          <w:szCs w:val="24"/>
        </w:rPr>
        <w:t>Mitigation for Bryophytes</w:t>
      </w:r>
    </w:p>
    <w:p w:rsidR="00882064" w:rsidRDefault="00882064" w:rsidP="00882064">
      <w:pPr>
        <w:ind w:left="720"/>
      </w:pPr>
      <w:r>
        <w:rPr>
          <w:u w:val="single"/>
        </w:rPr>
        <w:t>Bryophytes should receive considerable protection under riparian prescriptions</w:t>
      </w:r>
      <w:r>
        <w:t xml:space="preserve">, especially those with full SAT riparian buffers. … </w:t>
      </w:r>
      <w:r>
        <w:rPr>
          <w:u w:val="single"/>
        </w:rPr>
        <w:t>Riparian stands older than 80 years should not be thinned or harvested.</w:t>
      </w:r>
    </w:p>
    <w:p w:rsidR="00882064" w:rsidRDefault="00882064" w:rsidP="00882064"/>
    <w:p w:rsidR="00882064" w:rsidRDefault="00882064" w:rsidP="00882064">
      <w:r>
        <w:t xml:space="preserve">“Findings: </w:t>
      </w:r>
      <w:r w:rsidRPr="00910F45">
        <w:t>Thinning is most beneficial in dense young stands &lt;80 years and less clear in older stands.</w:t>
      </w:r>
      <w:r>
        <w:t xml:space="preserve">” </w:t>
      </w:r>
      <w:proofErr w:type="spellStart"/>
      <w:r>
        <w:t>Chatel</w:t>
      </w:r>
      <w:proofErr w:type="spellEnd"/>
      <w:r>
        <w:t xml:space="preserve"> 2016. Riparian Management and ESA. Presentation at USFS Ecology Group meeting in Joseph, Oregon. 2016. </w:t>
      </w:r>
      <w:hyperlink r:id="rId101" w:history="1">
        <w:r w:rsidRPr="00794456">
          <w:rPr>
            <w:rStyle w:val="Hyperlink"/>
          </w:rPr>
          <w:t>http://ecoshare.info/whats-new/annual-reports/presentations-</w:t>
        </w:r>
        <w:r w:rsidRPr="00794456">
          <w:rPr>
            <w:rStyle w:val="Hyperlink"/>
          </w:rPr>
          <w:lastRenderedPageBreak/>
          <w:t>at-2016-annual-meeting-in-joseph-or/</w:t>
        </w:r>
      </w:hyperlink>
      <w:r>
        <w:t xml:space="preserve">; </w:t>
      </w:r>
      <w:hyperlink r:id="rId102" w:history="1">
        <w:r w:rsidRPr="00794456">
          <w:rPr>
            <w:rStyle w:val="Hyperlink"/>
          </w:rPr>
          <w:t>http://ecoshare.info/uploads/annualMeeting2016/Riparian-Management-and-ESA-Chatel.pptx</w:t>
        </w:r>
      </w:hyperlink>
      <w:r>
        <w:t xml:space="preserve"> </w:t>
      </w:r>
      <w:r w:rsidRPr="00225A1C">
        <w:rPr>
          <w:i/>
        </w:rPr>
        <w:t>referencing</w:t>
      </w:r>
      <w:r>
        <w:t xml:space="preserve"> Science Review Team, </w:t>
      </w:r>
      <w:r w:rsidRPr="00910F45">
        <w:t xml:space="preserve">NW Oregon Riparian </w:t>
      </w:r>
      <w:r>
        <w:t>Reserve Tree Thinning Elevation.</w:t>
      </w:r>
    </w:p>
    <w:p w:rsidR="00882064" w:rsidRDefault="00882064" w:rsidP="00882064"/>
    <w:p w:rsidR="00882064" w:rsidRDefault="00882064" w:rsidP="00882064">
      <w:r>
        <w:t>In January 2013, the Science Review Team Wood Recruitment Subgroup reported their “Key Points” regarding the effects of commercial thinning on wood recruitment in riparian reserves:</w:t>
      </w:r>
    </w:p>
    <w:p w:rsidR="00882064" w:rsidRDefault="00882064" w:rsidP="00882064">
      <w:pPr>
        <w:ind w:left="720"/>
      </w:pPr>
      <w:r>
        <w:t xml:space="preserve">Key Points </w:t>
      </w:r>
    </w:p>
    <w:p w:rsidR="00882064" w:rsidRPr="0004184D" w:rsidRDefault="00882064" w:rsidP="00882064">
      <w:pPr>
        <w:ind w:left="720"/>
      </w:pPr>
      <w:r>
        <w:t xml:space="preserve">1. Thinning is most beneficial in dense young stands. Existing literature and stand development theory suggest that the greatest potential ecological benefits of thinning to accelerate the development of older forest structure (e.g. large trees, large dead trees, spatial structural and compositional heterogeneity, etc.) comes in dense uniform plantations </w:t>
      </w:r>
      <w:r>
        <w:rPr>
          <w:u w:val="single"/>
        </w:rPr>
        <w:t>less than 80 years and especially less than 50 years old</w:t>
      </w:r>
      <w:r>
        <w:t xml:space="preserve">. The benefits of thinning for older forest ecological objectives are less clear in stands over 80 years of age. Hence, our report focused primarily on plantations less than 50 years of age. </w:t>
      </w:r>
    </w:p>
    <w:p w:rsidR="00882064" w:rsidRDefault="00882064" w:rsidP="00882064">
      <w:r>
        <w:t xml:space="preserve">Thomas Spies, Michael Pollock, Gordon Reeves, and Tim </w:t>
      </w:r>
      <w:proofErr w:type="spellStart"/>
      <w:r>
        <w:t>Beechie</w:t>
      </w:r>
      <w:proofErr w:type="spellEnd"/>
      <w:r>
        <w:t xml:space="preserve"> 2013. Effects of Riparian Thinning on Wood Recruitment: A Scientific Synthesis - Science Review Team Wood Recruitment Subgroup. Jan 28, 2013, p 36. </w:t>
      </w:r>
      <w:hyperlink r:id="rId103" w:history="1">
        <w:r>
          <w:rPr>
            <w:rStyle w:val="Hyperlink"/>
          </w:rPr>
          <w:t>http://www.mediate.com/DSConsulting/docs/FINAL%20wood%20recruitment%20document.pdf</w:t>
        </w:r>
      </w:hyperlink>
    </w:p>
    <w:p w:rsidR="00A61004" w:rsidRDefault="00895E95" w:rsidP="00120E6E">
      <w:pPr>
        <w:spacing w:before="100" w:beforeAutospacing="1" w:after="100" w:afterAutospacing="1"/>
      </w:pPr>
      <w:r>
        <w:t xml:space="preserve">Grasshopper </w:t>
      </w:r>
      <w:proofErr w:type="spellStart"/>
      <w:r>
        <w:t>dDN</w:t>
      </w:r>
      <w:proofErr w:type="spellEnd"/>
      <w:r>
        <w:t>, p 10 says:</w:t>
      </w:r>
      <w:r w:rsidRPr="00617C72">
        <w:t xml:space="preserve"> </w:t>
      </w:r>
      <w:r>
        <w:t>“</w:t>
      </w:r>
      <w:r w:rsidRPr="00617C72">
        <w:t>areas in the outer portion of riparian reserves would benefit from thinning</w:t>
      </w:r>
      <w:r>
        <w:t xml:space="preserve">.” This is simply unsupported by any coherent analysis. The EA and the draft DN do not weigh the trade-offs associated with removal of trees that serve current and future ACS objectives. </w:t>
      </w:r>
    </w:p>
    <w:p w:rsidR="000157C6" w:rsidRDefault="000157C6" w:rsidP="000157C6">
      <w:pPr>
        <w:pStyle w:val="BodyTextIndent"/>
      </w:pPr>
      <w:r>
        <w:t>Large wood in streams—preferably whole trees with root wads and all—provides the randomness and dynamic environment that fish absolutely need to survive in the ever-changing waters they occupy. Wood breaks up the current and spreads water sideways across its natural floodplain, creating wonderful, dynamic and necessary diversity while also absorbing energy that could cause serious damage downstream otherwise, such as flooding or unnatural erosion. It sorts gravels during high flows, creating those beautiful spawning gravel beds laid out like blankets among bigger rock. It makes those current breaks downstream of log jams. It provides cooling shade and cover, and slow pools and edge habitat that baby fish need after emerging from those gorgeous gravels to ride out high flows, find food and hide from prying eyes. Decomposing wood and the nutrients it produces jumpstarts that the natural processes critical to insect, animal, amphibian and plant life.</w:t>
      </w:r>
    </w:p>
    <w:p w:rsidR="000157C6" w:rsidRDefault="000157C6" w:rsidP="000157C6">
      <w:r>
        <w:t xml:space="preserve">Alan Moore, Why Fish Love ‘Large Woody Debris.’ Trout Unlimited. 2-4-2013. </w:t>
      </w:r>
      <w:hyperlink r:id="rId104" w:history="1">
        <w:r>
          <w:rPr>
            <w:rStyle w:val="Hyperlink"/>
          </w:rPr>
          <w:t>http://troutunlimitedblog.com/large-woody-debris-makes-for-fishy-rivers/</w:t>
        </w:r>
      </w:hyperlink>
      <w:r>
        <w:t xml:space="preserve"> Joshua J. </w:t>
      </w:r>
      <w:proofErr w:type="spellStart"/>
      <w:r>
        <w:t>Roering</w:t>
      </w:r>
      <w:proofErr w:type="spellEnd"/>
      <w:r>
        <w:t xml:space="preserve">, professor of geological sciences at the University of Oregon studies the processes that create fish habitat and concluded: “[Coho salmon] seem to respond to the heterogeneity that is so inherent in most real landscapes. Nature is messy, and the fish have adapted to that." University of Oregon (2013, February 11). Large, ancient landslides delivered preferred upstream habitats for </w:t>
      </w:r>
      <w:proofErr w:type="spellStart"/>
      <w:r>
        <w:t>coho</w:t>
      </w:r>
      <w:proofErr w:type="spellEnd"/>
      <w:r>
        <w:t xml:space="preserve"> salmon. </w:t>
      </w:r>
      <w:proofErr w:type="spellStart"/>
      <w:r>
        <w:t>ScienceDaily</w:t>
      </w:r>
      <w:proofErr w:type="spellEnd"/>
      <w:r>
        <w:t xml:space="preserve">. Retrieved from </w:t>
      </w:r>
      <w:hyperlink r:id="rId105" w:history="1">
        <w:r>
          <w:rPr>
            <w:rStyle w:val="Hyperlink"/>
          </w:rPr>
          <w:t>http://www.sciencedaily.com/releases/2013/02/130211135045.htm</w:t>
        </w:r>
      </w:hyperlink>
      <w:r>
        <w:t xml:space="preserve"> </w:t>
      </w:r>
    </w:p>
    <w:p w:rsidR="000157C6" w:rsidRDefault="000157C6" w:rsidP="000157C6">
      <w:pPr>
        <w:ind w:left="720"/>
      </w:pPr>
      <w:r>
        <w:lastRenderedPageBreak/>
        <w:t xml:space="preserve">  In an undisturbed forest ecosystem, wood is naturally “recruited” to streams in various ways. Riparian trees growing along the channel fall into the channel when they are undercut by the stream, toppled by beavers, burned by fire or blown down during storms. Upslope trees can be transported into the channel by events such as avalanches or landslides . Flooding can wash trees into the channel and during </w:t>
      </w:r>
      <w:proofErr w:type="spellStart"/>
      <w:r>
        <w:t>highwater</w:t>
      </w:r>
      <w:proofErr w:type="spellEnd"/>
      <w:r>
        <w:t xml:space="preserve"> they may be pushed downstream.</w:t>
      </w:r>
    </w:p>
    <w:p w:rsidR="000157C6" w:rsidRDefault="000157C6" w:rsidP="000157C6">
      <w:pPr>
        <w:ind w:left="720"/>
      </w:pPr>
      <w:r>
        <w:t xml:space="preserve">   In-stream woody debris has been drastically reduced in some streams by historical forest management practices. Logging near rivers and streams limited the number of trees that could fall into streams. Road building that channeled streams through culverts prevented downstream wood recruitment. “Stream cleaning” was sometimes conducted to remove fallen trees from streams, for beautification, to prevent damage to infrastructure downstream, or in a misguided attempt to assist fish migration.</w:t>
      </w:r>
    </w:p>
    <w:p w:rsidR="000157C6" w:rsidRDefault="000157C6" w:rsidP="000157C6">
      <w:pPr>
        <w:ind w:left="720"/>
      </w:pPr>
      <w:r>
        <w:t xml:space="preserve">   Scientists have now come to understand that in-stream LWM [large woody material] is ecologically important for a number of reasons:</w:t>
      </w:r>
    </w:p>
    <w:p w:rsidR="000157C6" w:rsidRDefault="000157C6" w:rsidP="000157C6">
      <w:pPr>
        <w:numPr>
          <w:ilvl w:val="0"/>
          <w:numId w:val="13"/>
        </w:numPr>
        <w:suppressAutoHyphens/>
      </w:pPr>
      <w:r>
        <w:t>LWM can help spawning gravels accumulate , by stopping the gravel from moving downstream;</w:t>
      </w:r>
    </w:p>
    <w:p w:rsidR="000157C6" w:rsidRDefault="000157C6" w:rsidP="000157C6">
      <w:pPr>
        <w:numPr>
          <w:ilvl w:val="0"/>
          <w:numId w:val="13"/>
        </w:numPr>
        <w:suppressAutoHyphens/>
      </w:pPr>
      <w:r>
        <w:t>Pools can form behind LWM, which provide important juvenile rearing habitat, as well as habitat for all fish during periods of low-flows;</w:t>
      </w:r>
    </w:p>
    <w:p w:rsidR="000157C6" w:rsidRDefault="000157C6" w:rsidP="000157C6">
      <w:pPr>
        <w:numPr>
          <w:ilvl w:val="0"/>
          <w:numId w:val="13"/>
        </w:numPr>
        <w:suppressAutoHyphens/>
      </w:pPr>
      <w:r>
        <w:t>LWM can help slow stream speed , which helps adult fish as they move upstream and shelters rearing juveniles from using too much energy fighting currents;</w:t>
      </w:r>
    </w:p>
    <w:p w:rsidR="000157C6" w:rsidRDefault="000157C6" w:rsidP="000157C6">
      <w:pPr>
        <w:numPr>
          <w:ilvl w:val="0"/>
          <w:numId w:val="13"/>
        </w:numPr>
        <w:suppressAutoHyphens/>
      </w:pPr>
      <w:r>
        <w:t>LWM provide shade , offering pockets of cooler water, and can help to lower the temperature of an entire stream;</w:t>
      </w:r>
    </w:p>
    <w:p w:rsidR="000157C6" w:rsidRDefault="000157C6" w:rsidP="000157C6">
      <w:pPr>
        <w:numPr>
          <w:ilvl w:val="0"/>
          <w:numId w:val="13"/>
        </w:numPr>
        <w:suppressAutoHyphens/>
      </w:pPr>
      <w:r>
        <w:t>LWM provides fish with refuge from predators ;</w:t>
      </w:r>
    </w:p>
    <w:p w:rsidR="000157C6" w:rsidRDefault="000157C6" w:rsidP="000157C6">
      <w:pPr>
        <w:numPr>
          <w:ilvl w:val="0"/>
          <w:numId w:val="13"/>
        </w:numPr>
        <w:suppressAutoHyphens/>
      </w:pPr>
      <w:r>
        <w:t>LWM can help to stabilize banks, prevent erosion and decrease sediment movement that can harm downstream fish habitat;</w:t>
      </w:r>
    </w:p>
    <w:p w:rsidR="000157C6" w:rsidRDefault="000157C6" w:rsidP="000157C6">
      <w:pPr>
        <w:numPr>
          <w:ilvl w:val="0"/>
          <w:numId w:val="13"/>
        </w:numPr>
        <w:suppressAutoHyphens/>
      </w:pPr>
      <w:r>
        <w:t>LWM is important to the aquatic food chain, because it traps organic matter and provides habitat for insects and invertebrates, which are both food for fish.</w:t>
      </w:r>
    </w:p>
    <w:p w:rsidR="000157C6" w:rsidRDefault="000157C6" w:rsidP="000157C6">
      <w:pPr>
        <w:ind w:left="720"/>
      </w:pPr>
      <w:r>
        <w:t xml:space="preserve">   All of these elements add “complexity” to a stream. When it comes to fish habitat, complexity is a good thing. And one of the best ways to make a stream complex is to simply add wood.</w:t>
      </w:r>
    </w:p>
    <w:p w:rsidR="000157C6" w:rsidRDefault="000157C6" w:rsidP="000157C6">
      <w:r w:rsidRPr="00EE145E">
        <w:t xml:space="preserve">Hannah </w:t>
      </w:r>
      <w:proofErr w:type="spellStart"/>
      <w:r w:rsidRPr="00EE145E">
        <w:t>Ettema</w:t>
      </w:r>
      <w:proofErr w:type="spellEnd"/>
      <w:r>
        <w:t xml:space="preserve"> 2014. </w:t>
      </w:r>
      <w:r w:rsidRPr="00EE145E">
        <w:t>Seven Reasons Why Fish Need Wood</w:t>
      </w:r>
      <w:r>
        <w:t xml:space="preserve">. </w:t>
      </w:r>
      <w:hyperlink r:id="rId106" w:history="1">
        <w:r w:rsidRPr="00B61846">
          <w:rPr>
            <w:rStyle w:val="Hyperlink"/>
          </w:rPr>
          <w:t>https://www.nationalforests.org/blog/seven-reasons-why-fish-need-wood</w:t>
        </w:r>
      </w:hyperlink>
      <w:r>
        <w:t xml:space="preserve"> </w:t>
      </w:r>
    </w:p>
    <w:p w:rsidR="000157C6" w:rsidRDefault="000157C6" w:rsidP="000157C6"/>
    <w:p w:rsidR="000157C6" w:rsidRDefault="000157C6" w:rsidP="000157C6">
      <w:r>
        <w:t xml:space="preserve">Abundant dead wood is not just important for fish and other aquatic species, but we are learning that it is also useful for a wide variety of terrestrial wildlife. OSU researchers say </w:t>
      </w:r>
    </w:p>
    <w:p w:rsidR="000157C6" w:rsidRPr="0054788A" w:rsidRDefault="000157C6" w:rsidP="000157C6">
      <w:pPr>
        <w:pStyle w:val="NormalWeb"/>
        <w:spacing w:before="0" w:after="225"/>
        <w:ind w:left="720"/>
        <w:textAlignment w:val="baseline"/>
        <w:rPr>
          <w:rFonts w:ascii="Times New Roman" w:hAnsi="Times New Roman" w:cs="Times New Roman"/>
          <w:color w:val="000000"/>
        </w:rPr>
      </w:pPr>
      <w:r>
        <w:rPr>
          <w:rFonts w:ascii="Times New Roman" w:hAnsi="Times New Roman" w:cs="Times New Roman"/>
          <w:color w:val="000000"/>
        </w:rPr>
        <w:t xml:space="preserve">… </w:t>
      </w:r>
      <w:r w:rsidRPr="0054788A">
        <w:rPr>
          <w:rFonts w:ascii="Times New Roman" w:hAnsi="Times New Roman" w:cs="Times New Roman"/>
          <w:color w:val="000000"/>
        </w:rPr>
        <w:t>little is known about how large wood in streams impacts birds and land-based animals.</w:t>
      </w:r>
    </w:p>
    <w:p w:rsidR="000157C6" w:rsidRDefault="000157C6" w:rsidP="000157C6">
      <w:pPr>
        <w:pStyle w:val="NormalWeb"/>
        <w:spacing w:before="0" w:after="0"/>
        <w:ind w:left="720"/>
        <w:textAlignment w:val="baseline"/>
        <w:rPr>
          <w:rFonts w:ascii="Times New Roman" w:hAnsi="Times New Roman" w:cs="Times New Roman"/>
          <w:color w:val="000000"/>
        </w:rPr>
      </w:pPr>
      <w:r w:rsidRPr="0054788A">
        <w:rPr>
          <w:rFonts w:ascii="Times New Roman" w:hAnsi="Times New Roman" w:cs="Times New Roman"/>
          <w:color w:val="000000"/>
        </w:rPr>
        <w:t xml:space="preserve">Oregon State University scientists </w:t>
      </w:r>
      <w:proofErr w:type="spellStart"/>
      <w:r w:rsidRPr="0054788A">
        <w:rPr>
          <w:rFonts w:ascii="Times New Roman" w:hAnsi="Times New Roman" w:cs="Times New Roman"/>
          <w:color w:val="000000"/>
        </w:rPr>
        <w:t>Ezmie</w:t>
      </w:r>
      <w:proofErr w:type="spellEnd"/>
      <w:r w:rsidRPr="0054788A">
        <w:rPr>
          <w:rFonts w:ascii="Times New Roman" w:hAnsi="Times New Roman" w:cs="Times New Roman"/>
          <w:color w:val="000000"/>
        </w:rPr>
        <w:t xml:space="preserve"> </w:t>
      </w:r>
      <w:proofErr w:type="spellStart"/>
      <w:r w:rsidRPr="0054788A">
        <w:rPr>
          <w:rFonts w:ascii="Times New Roman" w:hAnsi="Times New Roman" w:cs="Times New Roman"/>
          <w:color w:val="000000"/>
        </w:rPr>
        <w:t>Trevarrow</w:t>
      </w:r>
      <w:proofErr w:type="spellEnd"/>
      <w:r w:rsidRPr="0054788A">
        <w:rPr>
          <w:rFonts w:ascii="Times New Roman" w:hAnsi="Times New Roman" w:cs="Times New Roman"/>
          <w:color w:val="000000"/>
        </w:rPr>
        <w:t xml:space="preserve"> and </w:t>
      </w:r>
      <w:hyperlink r:id="rId107" w:tgtFrame="_blank" w:history="1">
        <w:r w:rsidRPr="0054788A">
          <w:rPr>
            <w:rStyle w:val="Hyperlink"/>
            <w:rFonts w:ascii="Times New Roman" w:hAnsi="Times New Roman" w:cs="Times New Roman"/>
            <w:color w:val="4A90E2"/>
            <w:bdr w:val="none" w:sz="0" w:space="0" w:color="auto" w:frame="1"/>
          </w:rPr>
          <w:t xml:space="preserve">Ivan </w:t>
        </w:r>
        <w:proofErr w:type="spellStart"/>
        <w:r w:rsidRPr="0054788A">
          <w:rPr>
            <w:rStyle w:val="Hyperlink"/>
            <w:rFonts w:ascii="Times New Roman" w:hAnsi="Times New Roman" w:cs="Times New Roman"/>
            <w:color w:val="4A90E2"/>
            <w:bdr w:val="none" w:sz="0" w:space="0" w:color="auto" w:frame="1"/>
          </w:rPr>
          <w:t>Arismendi</w:t>
        </w:r>
        <w:proofErr w:type="spellEnd"/>
      </w:hyperlink>
      <w:r w:rsidRPr="0054788A">
        <w:rPr>
          <w:rFonts w:ascii="Times New Roman" w:hAnsi="Times New Roman" w:cs="Times New Roman"/>
          <w:color w:val="000000"/>
        </w:rPr>
        <w:t> are beginning to change that with a </w:t>
      </w:r>
      <w:hyperlink r:id="rId108" w:tgtFrame="_blank" w:history="1">
        <w:r w:rsidRPr="0054788A">
          <w:rPr>
            <w:rStyle w:val="Hyperlink"/>
            <w:rFonts w:ascii="Times New Roman" w:hAnsi="Times New Roman" w:cs="Times New Roman"/>
            <w:color w:val="4A90E2"/>
            <w:bdr w:val="none" w:sz="0" w:space="0" w:color="auto" w:frame="1"/>
          </w:rPr>
          <w:t>just-published paper</w:t>
        </w:r>
      </w:hyperlink>
      <w:r w:rsidRPr="0054788A">
        <w:rPr>
          <w:rFonts w:ascii="Times New Roman" w:hAnsi="Times New Roman" w:cs="Times New Roman"/>
          <w:color w:val="000000"/>
        </w:rPr>
        <w:t> in Biodiversity and Conservation that outlines what they observed from one year of footage from motion-triggered video cameras they set up near multiple large log jams in a creek just west of Corvallis.</w:t>
      </w:r>
    </w:p>
    <w:p w:rsidR="000157C6" w:rsidRPr="0054788A" w:rsidRDefault="000157C6" w:rsidP="000157C6">
      <w:pPr>
        <w:pStyle w:val="NormalWeb"/>
        <w:spacing w:before="0" w:after="0"/>
        <w:ind w:left="720"/>
        <w:textAlignment w:val="baseline"/>
        <w:rPr>
          <w:rFonts w:ascii="Times New Roman" w:hAnsi="Times New Roman" w:cs="Times New Roman"/>
          <w:color w:val="000000"/>
        </w:rPr>
      </w:pPr>
    </w:p>
    <w:p w:rsidR="000157C6" w:rsidRPr="0054788A" w:rsidRDefault="000157C6" w:rsidP="000157C6">
      <w:pPr>
        <w:pStyle w:val="NormalWeb"/>
        <w:spacing w:before="0" w:after="225"/>
        <w:ind w:left="720"/>
        <w:textAlignment w:val="baseline"/>
        <w:rPr>
          <w:rFonts w:ascii="Times New Roman" w:hAnsi="Times New Roman" w:cs="Times New Roman"/>
          <w:color w:val="000000"/>
        </w:rPr>
      </w:pPr>
      <w:r w:rsidRPr="0054788A">
        <w:rPr>
          <w:rFonts w:ascii="Times New Roman" w:hAnsi="Times New Roman" w:cs="Times New Roman"/>
          <w:color w:val="000000"/>
        </w:rPr>
        <w:t xml:space="preserve">“This study reveals a hidden role of large wood in streams,” said </w:t>
      </w:r>
      <w:proofErr w:type="spellStart"/>
      <w:r w:rsidRPr="0054788A">
        <w:rPr>
          <w:rFonts w:ascii="Times New Roman" w:hAnsi="Times New Roman" w:cs="Times New Roman"/>
          <w:color w:val="000000"/>
        </w:rPr>
        <w:t>Trevarrow</w:t>
      </w:r>
      <w:proofErr w:type="spellEnd"/>
      <w:r w:rsidRPr="0054788A">
        <w:rPr>
          <w:rFonts w:ascii="Times New Roman" w:hAnsi="Times New Roman" w:cs="Times New Roman"/>
          <w:color w:val="000000"/>
        </w:rPr>
        <w:t>, who conducted the research as an undergraduate in the Honors College at Oregon State and is now a research associate at the University of Georgia. “The findings are valuable for land managers because they demonstrate additional value of restoration projects that involve wood placement into streams.”</w:t>
      </w:r>
    </w:p>
    <w:p w:rsidR="000157C6" w:rsidRPr="0054788A" w:rsidRDefault="000157C6" w:rsidP="000157C6">
      <w:pPr>
        <w:pStyle w:val="NormalWeb"/>
        <w:spacing w:before="0" w:after="225"/>
        <w:ind w:left="720"/>
        <w:textAlignment w:val="baseline"/>
        <w:rPr>
          <w:rFonts w:ascii="Times New Roman" w:hAnsi="Times New Roman" w:cs="Times New Roman"/>
          <w:color w:val="000000"/>
        </w:rPr>
      </w:pPr>
      <w:r w:rsidRPr="0054788A">
        <w:rPr>
          <w:rFonts w:ascii="Times New Roman" w:hAnsi="Times New Roman" w:cs="Times New Roman"/>
          <w:color w:val="000000"/>
        </w:rPr>
        <w:lastRenderedPageBreak/>
        <w:t xml:space="preserve">In the paper, </w:t>
      </w:r>
      <w:proofErr w:type="spellStart"/>
      <w:r w:rsidRPr="0054788A">
        <w:rPr>
          <w:rFonts w:ascii="Times New Roman" w:hAnsi="Times New Roman" w:cs="Times New Roman"/>
          <w:color w:val="000000"/>
        </w:rPr>
        <w:t>Trevarrow</w:t>
      </w:r>
      <w:proofErr w:type="spellEnd"/>
      <w:r w:rsidRPr="0054788A">
        <w:rPr>
          <w:rFonts w:ascii="Times New Roman" w:hAnsi="Times New Roman" w:cs="Times New Roman"/>
          <w:color w:val="000000"/>
        </w:rPr>
        <w:t xml:space="preserve"> and </w:t>
      </w:r>
      <w:proofErr w:type="spellStart"/>
      <w:r w:rsidRPr="0054788A">
        <w:rPr>
          <w:rFonts w:ascii="Times New Roman" w:hAnsi="Times New Roman" w:cs="Times New Roman"/>
          <w:color w:val="000000"/>
        </w:rPr>
        <w:t>Arismendi</w:t>
      </w:r>
      <w:proofErr w:type="spellEnd"/>
      <w:r w:rsidRPr="0054788A">
        <w:rPr>
          <w:rFonts w:ascii="Times New Roman" w:hAnsi="Times New Roman" w:cs="Times New Roman"/>
          <w:color w:val="000000"/>
        </w:rPr>
        <w:t xml:space="preserve"> focused their attention on what species they saw, the most common observed activities and the seasonality of the detections. Among their findings:</w:t>
      </w:r>
    </w:p>
    <w:p w:rsidR="000157C6" w:rsidRPr="0054788A" w:rsidRDefault="000157C6" w:rsidP="000157C6">
      <w:pPr>
        <w:numPr>
          <w:ilvl w:val="0"/>
          <w:numId w:val="14"/>
        </w:numPr>
        <w:tabs>
          <w:tab w:val="clear" w:pos="720"/>
          <w:tab w:val="num" w:pos="1440"/>
        </w:tabs>
        <w:spacing w:after="75"/>
        <w:ind w:left="1245"/>
        <w:textAlignment w:val="baseline"/>
        <w:rPr>
          <w:color w:val="000000"/>
        </w:rPr>
      </w:pPr>
      <w:r w:rsidRPr="0054788A">
        <w:rPr>
          <w:color w:val="000000"/>
        </w:rPr>
        <w:t>Forty species were observed during the study period. The most common species included mule deer, raccoon belted kingfisher, Townsend’s chipmunk, deer mouse western grey squirrel, Virginia opossum and American robin.</w:t>
      </w:r>
    </w:p>
    <w:p w:rsidR="000157C6" w:rsidRPr="0054788A" w:rsidRDefault="000157C6" w:rsidP="000157C6">
      <w:pPr>
        <w:numPr>
          <w:ilvl w:val="0"/>
          <w:numId w:val="14"/>
        </w:numPr>
        <w:spacing w:after="75"/>
        <w:ind w:left="1245"/>
        <w:textAlignment w:val="baseline"/>
        <w:rPr>
          <w:color w:val="000000"/>
        </w:rPr>
      </w:pPr>
      <w:r w:rsidRPr="0054788A">
        <w:rPr>
          <w:color w:val="000000"/>
        </w:rPr>
        <w:t xml:space="preserve">The most common animal activities around the log jams included movement (68%), rest (18%), and food handling/eating (9%), suggesting that large wood in streams acts as lateral corridors, or highways as </w:t>
      </w:r>
      <w:proofErr w:type="spellStart"/>
      <w:r w:rsidRPr="0054788A">
        <w:rPr>
          <w:color w:val="000000"/>
        </w:rPr>
        <w:t>Trevarrow</w:t>
      </w:r>
      <w:proofErr w:type="spellEnd"/>
      <w:r w:rsidRPr="0054788A">
        <w:rPr>
          <w:color w:val="000000"/>
        </w:rPr>
        <w:t xml:space="preserve"> put it, connecting land habitats year-round for wildlife.</w:t>
      </w:r>
    </w:p>
    <w:p w:rsidR="000157C6" w:rsidRPr="0054788A" w:rsidRDefault="000157C6" w:rsidP="000157C6">
      <w:pPr>
        <w:numPr>
          <w:ilvl w:val="0"/>
          <w:numId w:val="14"/>
        </w:numPr>
        <w:spacing w:after="75"/>
        <w:ind w:left="1245"/>
        <w:textAlignment w:val="baseline"/>
        <w:rPr>
          <w:color w:val="000000"/>
        </w:rPr>
      </w:pPr>
      <w:r w:rsidRPr="0054788A">
        <w:rPr>
          <w:color w:val="000000"/>
        </w:rPr>
        <w:t>A strong seasonality in detections and species richness with the highest values occurring in summer and spring, and the lowest values in winter. For example, the most species were seen in summer (27), followed by spring (23), fall (22) and winter (16).</w:t>
      </w:r>
    </w:p>
    <w:p w:rsidR="000157C6" w:rsidRDefault="000157C6" w:rsidP="000157C6">
      <w:pPr>
        <w:ind w:left="720"/>
      </w:pPr>
      <w:r>
        <w:t>…</w:t>
      </w:r>
    </w:p>
    <w:p w:rsidR="000157C6" w:rsidRPr="0054788A" w:rsidRDefault="000157C6" w:rsidP="000157C6">
      <w:pPr>
        <w:spacing w:after="225"/>
        <w:ind w:left="720"/>
        <w:textAlignment w:val="baseline"/>
        <w:rPr>
          <w:color w:val="000000"/>
        </w:rPr>
      </w:pPr>
      <w:r w:rsidRPr="0054788A">
        <w:rPr>
          <w:color w:val="000000"/>
        </w:rPr>
        <w:t>While the benefits of large wood in streams for fish, particularly salmon, have been well studied, few studies have focused on the impact on land-based animals, the Oregon State researchers said.</w:t>
      </w:r>
    </w:p>
    <w:p w:rsidR="000157C6" w:rsidRPr="0054788A" w:rsidRDefault="000157C6" w:rsidP="000157C6">
      <w:pPr>
        <w:ind w:left="720"/>
        <w:textAlignment w:val="baseline"/>
        <w:rPr>
          <w:color w:val="000000"/>
        </w:rPr>
      </w:pPr>
      <w:r w:rsidRPr="0054788A">
        <w:rPr>
          <w:color w:val="000000"/>
        </w:rPr>
        <w:t>For their study, they set up 13 cameras between June 2020 and June 2021 along Rock Creek, about 15 miles west of Corvallis. They collected 1,921 videos containing at least one animal detection, …</w:t>
      </w:r>
    </w:p>
    <w:p w:rsidR="000157C6" w:rsidRDefault="000157C6" w:rsidP="000157C6">
      <w:r>
        <w:t xml:space="preserve">KTVZ News 6-21-2022. </w:t>
      </w:r>
      <w:r w:rsidRPr="0054788A">
        <w:t>OSU research looks at importance of large wood in streams for land-based animals</w:t>
      </w:r>
      <w:r>
        <w:t xml:space="preserve">. </w:t>
      </w:r>
      <w:hyperlink r:id="rId109" w:history="1">
        <w:r w:rsidRPr="006B010B">
          <w:rPr>
            <w:rStyle w:val="Hyperlink"/>
          </w:rPr>
          <w:t>https://ktvz.com/news/environment/2022/06/21/osu-research-looks-at-importance-of-large-wood-in-streams-for-land-based-animals/</w:t>
        </w:r>
      </w:hyperlink>
      <w:r>
        <w:t xml:space="preserve"> </w:t>
      </w:r>
      <w:r w:rsidRPr="0054788A">
        <w:rPr>
          <w:i/>
        </w:rPr>
        <w:t>citing</w:t>
      </w:r>
      <w:r>
        <w:t xml:space="preserve"> </w:t>
      </w:r>
      <w:proofErr w:type="spellStart"/>
      <w:r w:rsidRPr="0054788A">
        <w:t>Trevarrow</w:t>
      </w:r>
      <w:proofErr w:type="spellEnd"/>
      <w:r w:rsidRPr="0054788A">
        <w:t xml:space="preserve">, E., </w:t>
      </w:r>
      <w:proofErr w:type="spellStart"/>
      <w:r w:rsidRPr="0054788A">
        <w:t>Arismendi</w:t>
      </w:r>
      <w:proofErr w:type="spellEnd"/>
      <w:r w:rsidRPr="0054788A">
        <w:t xml:space="preserve">, I. The role of large wood in streams as ecological corridors for wildlife biodiversity. </w:t>
      </w:r>
      <w:proofErr w:type="spellStart"/>
      <w:r w:rsidRPr="0054788A">
        <w:t>Biodivers</w:t>
      </w:r>
      <w:proofErr w:type="spellEnd"/>
      <w:r w:rsidRPr="0054788A">
        <w:t xml:space="preserve"> </w:t>
      </w:r>
      <w:proofErr w:type="spellStart"/>
      <w:r w:rsidRPr="0054788A">
        <w:t>Conserv</w:t>
      </w:r>
      <w:proofErr w:type="spellEnd"/>
      <w:r w:rsidRPr="0054788A">
        <w:t xml:space="preserve"> (2022). </w:t>
      </w:r>
      <w:hyperlink r:id="rId110" w:history="1">
        <w:r w:rsidRPr="006B010B">
          <w:rPr>
            <w:rStyle w:val="Hyperlink"/>
          </w:rPr>
          <w:t>https://doi.org/10.1007/s10531-022-02437-2</w:t>
        </w:r>
      </w:hyperlink>
      <w:r>
        <w:t xml:space="preserve"> </w:t>
      </w:r>
      <w:hyperlink r:id="rId111" w:history="1">
        <w:r w:rsidRPr="006B010B">
          <w:rPr>
            <w:rStyle w:val="Hyperlink"/>
          </w:rPr>
          <w:t>https://link.springer.com/article/10.1007/s10531-022-02437-2</w:t>
        </w:r>
      </w:hyperlink>
      <w:r>
        <w:t xml:space="preserve">. </w:t>
      </w:r>
    </w:p>
    <w:p w:rsidR="000157C6" w:rsidRDefault="000157C6" w:rsidP="000157C6"/>
    <w:p w:rsidR="000157C6" w:rsidRDefault="000157C6" w:rsidP="000157C6">
      <w:r>
        <w:t xml:space="preserve">The agency </w:t>
      </w:r>
      <w:r w:rsidRPr="004D6155">
        <w:rPr>
          <w:color w:val="222222"/>
          <w:shd w:val="clear" w:color="auto" w:fill="FFFFFF"/>
        </w:rPr>
        <w:t xml:space="preserve">should </w:t>
      </w:r>
      <w:r>
        <w:rPr>
          <w:color w:val="222222"/>
          <w:shd w:val="clear" w:color="auto" w:fill="FFFFFF"/>
        </w:rPr>
        <w:t xml:space="preserve">not </w:t>
      </w:r>
      <w:r w:rsidRPr="004D6155">
        <w:rPr>
          <w:color w:val="222222"/>
          <w:shd w:val="clear" w:color="auto" w:fill="FFFFFF"/>
        </w:rPr>
        <w:t xml:space="preserve">manage for </w:t>
      </w:r>
      <w:r w:rsidRPr="00DC685F">
        <w:rPr>
          <w:i/>
          <w:color w:val="222222"/>
          <w:shd w:val="clear" w:color="auto" w:fill="FFFFFF"/>
        </w:rPr>
        <w:t>minimum</w:t>
      </w:r>
      <w:r w:rsidRPr="004D6155">
        <w:rPr>
          <w:color w:val="222222"/>
          <w:shd w:val="clear" w:color="auto" w:fill="FFFFFF"/>
        </w:rPr>
        <w:t xml:space="preserve"> levels of dead wood because </w:t>
      </w:r>
      <w:r w:rsidRPr="00DC685F">
        <w:rPr>
          <w:i/>
          <w:color w:val="222222"/>
          <w:shd w:val="clear" w:color="auto" w:fill="FFFFFF"/>
        </w:rPr>
        <w:t>optimal</w:t>
      </w:r>
      <w:r w:rsidRPr="004D6155">
        <w:rPr>
          <w:color w:val="222222"/>
          <w:shd w:val="clear" w:color="auto" w:fill="FFFFFF"/>
        </w:rPr>
        <w:t xml:space="preserve"> levels of dead wood are much higher than minimums. In fact, there may not be any maximum.</w:t>
      </w:r>
      <w:r w:rsidRPr="004D6155">
        <w:t xml:space="preserve"> </w:t>
      </w:r>
      <w:r>
        <w:t>“The presence of LWM within a stream channel is critical to maintaining integrity of the system, in fact, there cannot be an overabundance of LWM.” Deschutes NF, 1997. Big Marsh Watershed Analysis.</w:t>
      </w:r>
    </w:p>
    <w:p w:rsidR="000157C6" w:rsidRDefault="000157C6" w:rsidP="000157C6"/>
    <w:p w:rsidR="001E586A" w:rsidRPr="00110B18" w:rsidRDefault="000157C6" w:rsidP="001E586A">
      <w:pPr>
        <w:rPr>
          <w:color w:val="222222"/>
        </w:rPr>
      </w:pPr>
      <w:r>
        <w:t xml:space="preserve">The EA failed to document the loss of dead wood caused by logging within 1.5x the height of site potential trees from all stream classes and failed to consider </w:t>
      </w:r>
      <w:r w:rsidR="00120E6E">
        <w:t>the needs of upland wildlife that require abundant dead wood in the outer portion of riparian reserves and were expected to benefit from the prohibition o</w:t>
      </w:r>
      <w:r w:rsidR="001E586A">
        <w:t xml:space="preserve">n logging in riparian reserves. </w:t>
      </w:r>
      <w:r w:rsidR="001E586A" w:rsidRPr="00110B18">
        <w:rPr>
          <w:color w:val="222222"/>
        </w:rPr>
        <w:t xml:space="preserve">The Northwest Forest Plan adopted </w:t>
      </w:r>
      <w:r w:rsidR="001E586A">
        <w:rPr>
          <w:color w:val="222222"/>
        </w:rPr>
        <w:t>wide riparian</w:t>
      </w:r>
      <w:r w:rsidR="001E586A" w:rsidRPr="00110B18">
        <w:rPr>
          <w:color w:val="222222"/>
        </w:rPr>
        <w:t xml:space="preserve"> buffers in recognition that:</w:t>
      </w:r>
    </w:p>
    <w:p w:rsidR="001E586A" w:rsidRPr="00110B18" w:rsidRDefault="001E586A" w:rsidP="001E586A">
      <w:pPr>
        <w:numPr>
          <w:ilvl w:val="0"/>
          <w:numId w:val="6"/>
        </w:numPr>
        <w:spacing w:before="100" w:beforeAutospacing="1" w:after="100" w:afterAutospacing="1"/>
        <w:rPr>
          <w:color w:val="222222"/>
        </w:rPr>
      </w:pPr>
      <w:r w:rsidRPr="00110B18">
        <w:rPr>
          <w:color w:val="222222"/>
        </w:rPr>
        <w:t>Riparian forests  provide habitat for wildlife that do not live in the stream, so we need to think about maintaining cool-moist microclimate away from the stream and recruiting wood to the upland habitat, not just instream. These wildlife include: northern spotted owl, marbled murrelet, red tree vole, white-footed voles, reptiles, amphibians, etc. This requires wider buffers;</w:t>
      </w:r>
    </w:p>
    <w:p w:rsidR="001E586A" w:rsidRPr="00110B18" w:rsidRDefault="001E586A" w:rsidP="001E586A">
      <w:pPr>
        <w:numPr>
          <w:ilvl w:val="0"/>
          <w:numId w:val="6"/>
        </w:numPr>
        <w:spacing w:before="100" w:beforeAutospacing="1" w:after="100" w:afterAutospacing="1"/>
        <w:rPr>
          <w:color w:val="222222"/>
        </w:rPr>
      </w:pPr>
      <w:r w:rsidRPr="00110B18">
        <w:rPr>
          <w:color w:val="222222"/>
        </w:rPr>
        <w:lastRenderedPageBreak/>
        <w:t>Riparian forests are particularly important to spotted owls and help reduce adverse competitive interactions with barred owls. See Wiens, D.J. 2012. Dietary Overlap  between Northern Spotted Owls and Barred Owls in Western Oregon, </w:t>
      </w:r>
      <w:r w:rsidRPr="00110B18">
        <w:rPr>
          <w:i/>
          <w:iCs/>
          <w:color w:val="222222"/>
        </w:rPr>
        <w:t>workshop</w:t>
      </w:r>
      <w:r w:rsidRPr="00110B18">
        <w:rPr>
          <w:color w:val="222222"/>
        </w:rPr>
        <w:t> What’s for Dinner: Spotted Owl Prey 2012  </w:t>
      </w:r>
      <w:hyperlink r:id="rId112" w:history="1">
        <w:r w:rsidRPr="00110B18">
          <w:rPr>
            <w:rStyle w:val="Hyperlink"/>
          </w:rPr>
          <w:t>http://ecoshare.info/projects/central-cascade-adaptive-management-partnership/workshops/spotted-owl/</w:t>
        </w:r>
      </w:hyperlink>
      <w:r w:rsidRPr="00110B18">
        <w:rPr>
          <w:color w:val="222222"/>
        </w:rPr>
        <w:t>;  </w:t>
      </w:r>
      <w:hyperlink r:id="rId113" w:history="1">
        <w:r w:rsidRPr="00110B18">
          <w:rPr>
            <w:rStyle w:val="Hyperlink"/>
          </w:rPr>
          <w:t>http://ecoshare.info/wp-content/uploads/2012/08/Barred-compared-to-spotted-Owl-diets.ppt</w:t>
        </w:r>
      </w:hyperlink>
      <w:r w:rsidRPr="00110B18">
        <w:rPr>
          <w:color w:val="222222"/>
        </w:rPr>
        <w:t> (“Conservation implications: Results emphasize the importance of old conifer forest and moist streamside habitats to resource partitioning”). Wider buffers are better.</w:t>
      </w:r>
    </w:p>
    <w:p w:rsidR="001E586A" w:rsidRPr="00110B18" w:rsidRDefault="001E586A" w:rsidP="001E586A">
      <w:pPr>
        <w:numPr>
          <w:ilvl w:val="0"/>
          <w:numId w:val="6"/>
        </w:numPr>
        <w:spacing w:before="100" w:beforeAutospacing="1" w:after="100" w:afterAutospacing="1"/>
        <w:rPr>
          <w:color w:val="222222"/>
        </w:rPr>
      </w:pPr>
      <w:r w:rsidRPr="00110B18">
        <w:rPr>
          <w:color w:val="222222"/>
        </w:rPr>
        <w:t>Riparian forests serve to mitigate the cumulative effects of aggressive logging on the uplands, such as (</w:t>
      </w:r>
      <w:proofErr w:type="spellStart"/>
      <w:r w:rsidRPr="00110B18">
        <w:rPr>
          <w:color w:val="222222"/>
        </w:rPr>
        <w:t>i</w:t>
      </w:r>
      <w:proofErr w:type="spellEnd"/>
      <w:r w:rsidRPr="00110B18">
        <w:rPr>
          <w:color w:val="222222"/>
        </w:rPr>
        <w:t>) reduced carbon storage, (ii) reduced recruitment of snags and down wood, (iii) increased peak flows after logging, (iv) reduced summer low flows after plantation establishment. Wider buffers are better mitigation;</w:t>
      </w:r>
    </w:p>
    <w:p w:rsidR="001E586A" w:rsidRPr="00110B18" w:rsidRDefault="001E586A" w:rsidP="001E586A">
      <w:pPr>
        <w:numPr>
          <w:ilvl w:val="0"/>
          <w:numId w:val="6"/>
        </w:numPr>
        <w:spacing w:before="100" w:beforeAutospacing="1" w:after="100" w:afterAutospacing="1"/>
        <w:rPr>
          <w:color w:val="222222"/>
        </w:rPr>
      </w:pPr>
      <w:r w:rsidRPr="00110B18">
        <w:rPr>
          <w:color w:val="222222"/>
        </w:rPr>
        <w:t>Riparian forests serve as connectivity/dispersal habitat for a wide variety of species. Wider is better;</w:t>
      </w:r>
    </w:p>
    <w:p w:rsidR="001E586A" w:rsidRPr="00110B18" w:rsidRDefault="001E586A" w:rsidP="001E586A">
      <w:pPr>
        <w:numPr>
          <w:ilvl w:val="0"/>
          <w:numId w:val="6"/>
        </w:numPr>
        <w:spacing w:before="100" w:beforeAutospacing="1" w:after="100" w:afterAutospacing="1"/>
        <w:rPr>
          <w:color w:val="222222"/>
        </w:rPr>
      </w:pPr>
      <w:r w:rsidRPr="00110B18">
        <w:rPr>
          <w:color w:val="222222"/>
        </w:rPr>
        <w:t>Riparian forests help mitigate for the effects of climate change, such as the amplified hydrologic cycle. Wider buffers help moderate these effects;</w:t>
      </w:r>
    </w:p>
    <w:p w:rsidR="001E586A" w:rsidRPr="00110B18" w:rsidRDefault="001E586A" w:rsidP="001E586A">
      <w:pPr>
        <w:numPr>
          <w:ilvl w:val="0"/>
          <w:numId w:val="6"/>
        </w:numPr>
        <w:spacing w:before="100" w:beforeAutospacing="1" w:after="100" w:afterAutospacing="1"/>
        <w:rPr>
          <w:color w:val="222222"/>
        </w:rPr>
      </w:pPr>
      <w:r w:rsidRPr="00110B18">
        <w:rPr>
          <w:color w:val="222222"/>
        </w:rPr>
        <w:t>Riparian forests help stabilize headwall slopes. Wider buffers helps protect a higher fraction of unstable slopes;</w:t>
      </w:r>
    </w:p>
    <w:p w:rsidR="001E586A" w:rsidRDefault="001E586A" w:rsidP="001E586A">
      <w:pPr>
        <w:spacing w:before="100" w:beforeAutospacing="1" w:after="100" w:afterAutospacing="1"/>
        <w:rPr>
          <w:color w:val="222222"/>
        </w:rPr>
      </w:pPr>
      <w:r>
        <w:rPr>
          <w:color w:val="222222"/>
        </w:rPr>
        <w:t xml:space="preserve">All these purposes of wider buffers remain relevant and important and need to be accounted for in project design. Buffers should protect the full range of stream/riparian functions from the adverse effects of logging. </w:t>
      </w:r>
    </w:p>
    <w:p w:rsidR="001E586A" w:rsidRDefault="001E586A" w:rsidP="001E586A">
      <w:r>
        <w:t xml:space="preserve">The Northwest Forest Plan adopted a </w:t>
      </w:r>
      <w:r w:rsidRPr="001E586A">
        <w:t xml:space="preserve">Buffer-on-Buffer </w:t>
      </w:r>
      <w:r>
        <w:t xml:space="preserve">approach </w:t>
      </w:r>
      <w:r w:rsidRPr="001E586A">
        <w:t xml:space="preserve">to </w:t>
      </w:r>
      <w:r>
        <w:t>e</w:t>
      </w:r>
      <w:r w:rsidRPr="001E586A">
        <w:t xml:space="preserve">nsure </w:t>
      </w:r>
      <w:r>
        <w:t>w</w:t>
      </w:r>
      <w:r w:rsidRPr="001E586A">
        <w:t xml:space="preserve">ood </w:t>
      </w:r>
      <w:r>
        <w:t>r</w:t>
      </w:r>
      <w:r w:rsidRPr="001E586A">
        <w:t xml:space="preserve">ecruitment and </w:t>
      </w:r>
      <w:r>
        <w:t>p</w:t>
      </w:r>
      <w:r w:rsidRPr="001E586A">
        <w:t xml:space="preserve">rotect </w:t>
      </w:r>
      <w:r>
        <w:t>m</w:t>
      </w:r>
      <w:r w:rsidRPr="001E586A">
        <w:t>icroclimate</w:t>
      </w:r>
      <w:r>
        <w:t>. Protection of riparian reserves is not just about protecting instream habitat, instream wood recruitment, or microclimate at the stream center. Riparian reserves are intended to support the needs of a wide variety of wildlife that live in riparian reserves, including many terrestrial wildlife that benefit from the riparian microclimate and abundant wood throughout the full extent of the riparian reserves, not just instream. The authors of the NWFP Aquatic Conservation Strategy (ACS) recognized that logging outside stream buffers already depletes the amount of dead wood that could potentially fall into the riparian reserves, and they extended the reserves beyond a single-site-potential tree distance in order to buffer the buffer and ensure that upland areas of riparian reserves would maintain natural levels of dead wood accumulation. The analysis does not seem to recognize this, and proposes to log riparian reserves in opposition to the purposes and intent of the Aquatic Conservation Strategy.</w:t>
      </w:r>
    </w:p>
    <w:p w:rsidR="001E586A" w:rsidRPr="00F3387A" w:rsidRDefault="001E586A" w:rsidP="001E586A"/>
    <w:p w:rsidR="001E586A" w:rsidRPr="00F3387A" w:rsidRDefault="001E586A" w:rsidP="001E586A">
      <w:pPr>
        <w:pStyle w:val="Default"/>
      </w:pPr>
      <w:r w:rsidRPr="00F3387A">
        <w:t xml:space="preserve">The Northwest Forest Plan ACS explicitly recognized the problem of reduced wood recruitment in narrow riparian buffers adjacent to logged sites. </w:t>
      </w:r>
      <w:r>
        <w:t xml:space="preserve">Simply put, logging adjacent to riparian reserves removes a source of wood recruitment within riparian reserves. </w:t>
      </w:r>
      <w:r w:rsidRPr="00F3387A">
        <w:t xml:space="preserve">The 1993 FEMAT Report, an appendix to the EIS supporting the NWFP explained: </w:t>
      </w:r>
    </w:p>
    <w:p w:rsidR="001E586A" w:rsidRPr="00F3387A" w:rsidRDefault="001E586A" w:rsidP="001E586A">
      <w:pPr>
        <w:pStyle w:val="Default"/>
        <w:ind w:left="720"/>
      </w:pPr>
      <w:r w:rsidRPr="00F3387A">
        <w:t xml:space="preserve">Large wood on the ground is an important habitat component in riparian areas. Maintaining the integrity of the vegetation is particularly important for riparian-dependent organisms including amphibians, arthropods, mammals, birds, and bats (see appendix V-E for greater detail). </w:t>
      </w:r>
    </w:p>
    <w:p w:rsidR="001E586A" w:rsidRPr="00F3387A" w:rsidRDefault="001E586A" w:rsidP="001E586A">
      <w:pPr>
        <w:pStyle w:val="Default"/>
        <w:ind w:left="720"/>
      </w:pPr>
      <w:r w:rsidRPr="00F3387A">
        <w:t xml:space="preserve">… </w:t>
      </w:r>
    </w:p>
    <w:p w:rsidR="001E586A" w:rsidRPr="00F3387A" w:rsidRDefault="001E586A" w:rsidP="001E586A">
      <w:pPr>
        <w:pStyle w:val="Default"/>
        <w:ind w:left="720"/>
      </w:pPr>
      <w:r w:rsidRPr="00F3387A">
        <w:rPr>
          <w:b/>
          <w:bCs/>
        </w:rPr>
        <w:lastRenderedPageBreak/>
        <w:t xml:space="preserve">Riparian Processes as a Function of Distance from Stream Channels </w:t>
      </w:r>
    </w:p>
    <w:p w:rsidR="001E586A" w:rsidRPr="00F3387A" w:rsidRDefault="001E586A" w:rsidP="001E586A">
      <w:pPr>
        <w:pStyle w:val="Default"/>
        <w:ind w:left="720"/>
      </w:pPr>
      <w:r w:rsidRPr="00F3387A">
        <w:t xml:space="preserve">… </w:t>
      </w:r>
    </w:p>
    <w:p w:rsidR="001E586A" w:rsidRPr="00F3387A" w:rsidRDefault="001E586A" w:rsidP="001E586A">
      <w:pPr>
        <w:ind w:left="720"/>
      </w:pPr>
      <w:r w:rsidRPr="00F3387A">
        <w:rPr>
          <w:b/>
          <w:bCs/>
        </w:rPr>
        <w:t>Large wood delivery to riparian areas</w:t>
      </w:r>
      <w:r w:rsidRPr="00F3387A">
        <w:t>. Large downed logs are recruited into riparian areas from the riparian forests and from upslope forests. Similar to large wood delivery from riparian areas into streams, the effectiveness of upland forests to deliver large wood to the riparian area is naturally expected to decline at distances greater than approximately one tree height from the stand edge (Thomas et al.., 1993). Timber harvest adjacent to the riparian area creates an edge that eliminates one source of large wood. Thus, long-term levels of large wood may diminish in the riparian zone.</w:t>
      </w:r>
    </w:p>
    <w:p w:rsidR="001E586A" w:rsidRPr="00F3387A" w:rsidRDefault="001E586A" w:rsidP="001E586A">
      <w:pPr>
        <w:pStyle w:val="Default"/>
      </w:pPr>
      <w:r w:rsidRPr="00F3387A">
        <w:t>1993</w:t>
      </w:r>
      <w:r>
        <w:t xml:space="preserve"> FEMAT Report, pp V-25 - V-26.</w:t>
      </w:r>
    </w:p>
    <w:p w:rsidR="001E586A" w:rsidRPr="00F3387A" w:rsidRDefault="001E586A" w:rsidP="001E586A">
      <w:pPr>
        <w:pStyle w:val="Default"/>
      </w:pPr>
    </w:p>
    <w:p w:rsidR="001E586A" w:rsidRPr="00F3387A" w:rsidRDefault="001E586A" w:rsidP="007E5C27">
      <w:pPr>
        <w:pStyle w:val="Default"/>
      </w:pPr>
      <w:r w:rsidRPr="00F3387A">
        <w:t xml:space="preserve">Riparian reserves are intended to protect numerous species that do not live </w:t>
      </w:r>
      <w:r w:rsidRPr="00F3387A">
        <w:rPr>
          <w:i/>
          <w:iCs/>
        </w:rPr>
        <w:t xml:space="preserve">in </w:t>
      </w:r>
      <w:r w:rsidRPr="00F3387A">
        <w:t xml:space="preserve">the stream, rather, they live in the stream-side forest extending hundreds of feet from the stream, but they still require a relatively cool-moist microclimate, complex forest structure, and abundant wood, and these species will be adversely affected by logging adjacent to narrower riparian reserves. This is part of the reason the NWFP adopted a </w:t>
      </w:r>
      <w:r w:rsidRPr="00F3387A">
        <w:rPr>
          <w:i/>
          <w:iCs/>
        </w:rPr>
        <w:t>buffer-on-the-buffer</w:t>
      </w:r>
      <w:r w:rsidRPr="00F3387A">
        <w:t>, that is, an outer buffer of shade and cover to maintain suitable microclimate conditions for wildlife that live in the inner buffer.</w:t>
      </w:r>
    </w:p>
    <w:p w:rsidR="001E586A" w:rsidRPr="00F3387A" w:rsidRDefault="001E586A" w:rsidP="001E586A">
      <w:pPr>
        <w:pStyle w:val="Default"/>
        <w:ind w:left="720"/>
      </w:pPr>
    </w:p>
    <w:p w:rsidR="001E586A" w:rsidRPr="00F3387A" w:rsidRDefault="001E586A" w:rsidP="007E5C27">
      <w:pPr>
        <w:pStyle w:val="Default"/>
      </w:pPr>
      <w:r w:rsidRPr="00F3387A">
        <w:t xml:space="preserve">The EIS supporting the NWFP states: </w:t>
      </w:r>
    </w:p>
    <w:p w:rsidR="001E586A" w:rsidRPr="00F3387A" w:rsidRDefault="001E586A" w:rsidP="007E5C27">
      <w:pPr>
        <w:pStyle w:val="Default"/>
        <w:ind w:left="720"/>
      </w:pPr>
      <w:r w:rsidRPr="00F3387A">
        <w:t xml:space="preserve">Riparian areas are widely considered to be important wildlife habitat. Cool air temperatures due to the presence of cool and turbulent surface waters, typically dense vegetative canopy cover, and their location in the lowest portions of watersheds combine to maintain a distinct microclimate along stream channels and in the adjacent riparian area. Maintaining the integrity of the vegetation in these areas is particularly important for riparian-dependent species of amphibians, arthropods, mammals, birds, and bats. Many species of amphibians, birds, and mammals use late-successional and old-growth riparian areas, including associated streams, ponds and wetlands, for reproducing, foraging, roosting, and as travel corridors (Table 3&amp;4-11). The many wildlife species, along with lichens, mosses, vascular plants and mollusks, listed in Table 3&amp;4-11 depend on diverse and complex riparian and aquatic habitats. </w:t>
      </w:r>
    </w:p>
    <w:p w:rsidR="001E586A" w:rsidRPr="00F3387A" w:rsidRDefault="001E586A" w:rsidP="007E5C27">
      <w:pPr>
        <w:pStyle w:val="Default"/>
        <w:ind w:left="720"/>
      </w:pPr>
      <w:r w:rsidRPr="00F3387A">
        <w:t xml:space="preserve">… </w:t>
      </w:r>
    </w:p>
    <w:p w:rsidR="001E586A" w:rsidRPr="00F3387A" w:rsidRDefault="001E586A" w:rsidP="007E5C27">
      <w:pPr>
        <w:pStyle w:val="Default"/>
        <w:ind w:left="720"/>
      </w:pPr>
      <w:r w:rsidRPr="00F3387A">
        <w:t>The principal factor influencing the outcomes for amphibians related to the width of Riparian Reserves.79 [1994 FSEIS pp 3&amp;4 - 61, 3&amp;4 - 81]</w:t>
      </w:r>
    </w:p>
    <w:p w:rsidR="001E586A" w:rsidRDefault="001E586A" w:rsidP="001E586A">
      <w:pPr>
        <w:pStyle w:val="Default"/>
      </w:pPr>
      <w:r w:rsidRPr="00F3387A">
        <w:t xml:space="preserve">The NWFP recognized that forest openings adjacent to a riparian buffer would create “edge effects” that change the microclimate in the buffer and reduce the recruitment of wood to the buffer. The NWFP addressed this problem by adopting a </w:t>
      </w:r>
      <w:r w:rsidRPr="00F3387A">
        <w:rPr>
          <w:i/>
          <w:iCs/>
        </w:rPr>
        <w:t xml:space="preserve">buffer-on-the-buffer </w:t>
      </w:r>
      <w:r w:rsidRPr="00F3387A">
        <w:t>so that at least the inner portion of the riparian reserves would have near-natural microclimate and wood recruitment processes.</w:t>
      </w:r>
      <w:r w:rsidR="007E5C27">
        <w:t xml:space="preserve"> </w:t>
      </w:r>
      <w:r w:rsidRPr="00E41EB4">
        <w:rPr>
          <w:color w:val="222222"/>
          <w:shd w:val="clear" w:color="auto" w:fill="FFFFFF"/>
        </w:rPr>
        <w:t>Heiken, D. 2013. Riparian Reserves Provide Both Aquatic &amp; Terrestrial Benefits -  A Critical Review of Reeves, Pickard &amp; Johnson (2013).</w:t>
      </w:r>
      <w:r>
        <w:rPr>
          <w:color w:val="222222"/>
          <w:shd w:val="clear" w:color="auto" w:fill="FFFFFF"/>
        </w:rPr>
        <w:t xml:space="preserve"> </w:t>
      </w:r>
      <w:hyperlink r:id="rId114" w:history="1">
        <w:r w:rsidRPr="00F46137">
          <w:rPr>
            <w:rStyle w:val="Hyperlink"/>
            <w:shd w:val="clear" w:color="auto" w:fill="FFFFFF"/>
          </w:rPr>
          <w:t>https://www.dropbox.com/s/yc13jrg0ya93yht/Heiken%202013.%20Review%20of%20Reeves%20et%20al%20Riparian%20Proposal.pdf?dl=0</w:t>
        </w:r>
      </w:hyperlink>
      <w:r>
        <w:rPr>
          <w:color w:val="222222"/>
          <w:shd w:val="clear" w:color="auto" w:fill="FFFFFF"/>
        </w:rPr>
        <w:t>. The analysis in the EA does not fully and accurately disclose the original purposes of riparian reserves nor does it clearly and accurately disclose the effects of commercial tree removal within and adjacent to reserves.</w:t>
      </w:r>
    </w:p>
    <w:p w:rsidR="001E586A" w:rsidRDefault="001E586A" w:rsidP="001E586A"/>
    <w:p w:rsidR="001E586A" w:rsidRDefault="001E586A" w:rsidP="001E586A">
      <w:r>
        <w:t>Studies show that the widest buffers have the most beneficial effect on riparian fish and wildlife.</w:t>
      </w:r>
    </w:p>
    <w:p w:rsidR="001E586A" w:rsidRDefault="001E586A" w:rsidP="001E586A">
      <w:pPr>
        <w:ind w:left="576"/>
      </w:pPr>
      <w:r>
        <w:lastRenderedPageBreak/>
        <w:t xml:space="preserve">Analyses showed significant effects of buffer treatments on abundance of all fish species and amphibian species, including stream-breeding amphibians, sculpins, coastal giant salamanders, and both southern and Columbia torrent salamander </w:t>
      </w:r>
      <w:proofErr w:type="spellStart"/>
      <w:r>
        <w:t>speices</w:t>
      </w:r>
      <w:proofErr w:type="spellEnd"/>
      <w:r>
        <w:t>. Animal counts were higher in the one site-potential 200 to 240 foot tree height riparian buffer treatment than in the three other buffers [0, 20, 50 feet].</w:t>
      </w:r>
    </w:p>
    <w:p w:rsidR="001E586A" w:rsidRDefault="001E586A" w:rsidP="001E586A">
      <w:r>
        <w:t xml:space="preserve">Headwater stream buffer effects on animals after two </w:t>
      </w:r>
      <w:proofErr w:type="spellStart"/>
      <w:r>
        <w:t>thinnings</w:t>
      </w:r>
      <w:proofErr w:type="spellEnd"/>
      <w:r>
        <w:t>: The plot</w:t>
      </w:r>
    </w:p>
    <w:p w:rsidR="001E586A" w:rsidRDefault="001E586A" w:rsidP="001E586A">
      <w:r>
        <w:t xml:space="preserve">thickens! Presenter: Deanna H. (Dede) Olson Additional coauthors: Adrian Ares, Klaus </w:t>
      </w:r>
      <w:proofErr w:type="spellStart"/>
      <w:r>
        <w:t>Puettmann</w:t>
      </w:r>
      <w:proofErr w:type="spellEnd"/>
      <w:r>
        <w:t xml:space="preserve">. January 2019 Headwater Streams </w:t>
      </w:r>
      <w:hyperlink r:id="rId115" w:history="1">
        <w:r w:rsidRPr="00AF7A75">
          <w:rPr>
            <w:rStyle w:val="Hyperlink"/>
          </w:rPr>
          <w:t>Symposium</w:t>
        </w:r>
      </w:hyperlink>
      <w:r>
        <w:t xml:space="preserve">. OSU. </w:t>
      </w:r>
      <w:hyperlink r:id="rId116" w:history="1">
        <w:r>
          <w:rPr>
            <w:rStyle w:val="Hyperlink"/>
          </w:rPr>
          <w:t>https://traskstudy.forestry.oregonstate.edu/sites/default/files/documents/Abstracts_Olson_ARM.pdf</w:t>
        </w:r>
      </w:hyperlink>
      <w:r>
        <w:t>.</w:t>
      </w:r>
    </w:p>
    <w:p w:rsidR="00EA0013" w:rsidRPr="00892F88" w:rsidRDefault="00892F88" w:rsidP="00892F88">
      <w:pPr>
        <w:pStyle w:val="Heading1"/>
        <w:rPr>
          <w:sz w:val="24"/>
          <w:szCs w:val="24"/>
        </w:rPr>
      </w:pPr>
      <w:r w:rsidRPr="00892F88">
        <w:rPr>
          <w:sz w:val="24"/>
          <w:szCs w:val="24"/>
        </w:rPr>
        <w:t>THE GRASSHOPPER PROJECT MAY CAUSE SIGNIFICANT ENVIRONMENTAL EFFECTS AND REQUIRES CONSIDERATION IN AN EIS.</w:t>
      </w:r>
    </w:p>
    <w:p w:rsidR="00892F88" w:rsidRDefault="001A0F36" w:rsidP="000C4474">
      <w:pPr>
        <w:spacing w:before="100" w:beforeAutospacing="1" w:after="100" w:afterAutospacing="1"/>
      </w:pPr>
      <w:r>
        <w:t>NEPA requires preparation of an Environmental Impact Statement for every major federal action significantly affecting the quality of the human environment. The EA and FONSI are in error because they fail to recognize that l</w:t>
      </w:r>
      <w:r w:rsidR="00892F88">
        <w:t>ogging and road building under the Grasshopper Project will have potentially significant effects on mature &amp; old-growth forests</w:t>
      </w:r>
      <w:r w:rsidR="00E47B84">
        <w:t xml:space="preserve"> that are supposed to be conserved under </w:t>
      </w:r>
      <w:r>
        <w:t xml:space="preserve">President </w:t>
      </w:r>
      <w:r w:rsidR="00E47B84">
        <w:t>Biden’s April 2022 Executive Order</w:t>
      </w:r>
      <w:r w:rsidR="00892F88">
        <w:t xml:space="preserve">, exacerbates global climate change, harms spotted owl habitat and exacerbates adverse competitive interactions between spotted owls and barred owls, and removes large trees from riparian reserves in violation of the Aquatic Conservation Strategy of the Northwest Forest Plan. These effects </w:t>
      </w:r>
      <w:r>
        <w:t xml:space="preserve">are potentially significant and </w:t>
      </w:r>
      <w:r w:rsidR="00892F88">
        <w:t>require preparation of an Environmental Impact Statement.</w:t>
      </w:r>
    </w:p>
    <w:p w:rsidR="00184F5A" w:rsidRDefault="00184F5A" w:rsidP="000C4474">
      <w:pPr>
        <w:spacing w:before="100" w:beforeAutospacing="1" w:after="100" w:afterAutospacing="1"/>
      </w:pPr>
    </w:p>
    <w:p w:rsidR="001A0F36" w:rsidRDefault="001A0F36" w:rsidP="000C4474">
      <w:pPr>
        <w:spacing w:before="100" w:beforeAutospacing="1" w:after="100" w:afterAutospacing="1"/>
      </w:pPr>
      <w:bookmarkStart w:id="2" w:name="_GoBack"/>
      <w:bookmarkEnd w:id="2"/>
    </w:p>
    <w:p w:rsidR="000C4474" w:rsidRDefault="000C4474" w:rsidP="000C4474">
      <w:pPr>
        <w:spacing w:before="100" w:beforeAutospacing="1" w:after="100" w:afterAutospacing="1"/>
      </w:pPr>
      <w:r w:rsidRPr="002B52B0">
        <w:t>Sincerely,</w:t>
      </w:r>
    </w:p>
    <w:p w:rsidR="00CE7DE0" w:rsidRDefault="00CE7DE0" w:rsidP="00184F5A">
      <w:pPr>
        <w:pStyle w:val="NormalWeb"/>
        <w:shd w:val="clear" w:color="auto" w:fill="FFFFFF"/>
        <w:spacing w:before="0" w:after="0"/>
      </w:pPr>
      <w:r>
        <w:rPr>
          <w:noProof/>
        </w:rPr>
        <w:drawing>
          <wp:inline distT="0" distB="0" distL="0" distR="0" wp14:anchorId="2CC06E74" wp14:editId="6D5A197A">
            <wp:extent cx="1988820" cy="492752"/>
            <wp:effectExtent l="0" t="0" r="0" b="3175"/>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117">
                      <a:extLst>
                        <a:ext uri="{28A0092B-C50C-407E-A947-70E740481C1C}">
                          <a14:useLocalDpi xmlns:a14="http://schemas.microsoft.com/office/drawing/2010/main" val="0"/>
                        </a:ext>
                      </a:extLst>
                    </a:blip>
                    <a:stretch>
                      <a:fillRect/>
                    </a:stretch>
                  </pic:blipFill>
                  <pic:spPr>
                    <a:xfrm>
                      <a:off x="0" y="0"/>
                      <a:ext cx="1999958" cy="495512"/>
                    </a:xfrm>
                    <a:prstGeom prst="rect">
                      <a:avLst/>
                    </a:prstGeom>
                  </pic:spPr>
                </pic:pic>
              </a:graphicData>
            </a:graphic>
          </wp:inline>
        </w:drawing>
      </w:r>
    </w:p>
    <w:p w:rsidR="00D55F8C" w:rsidRPr="00D55F8C" w:rsidRDefault="00D55F8C" w:rsidP="00184F5A">
      <w:pPr>
        <w:pStyle w:val="NormalWeb"/>
        <w:shd w:val="clear" w:color="auto" w:fill="FFFFFF"/>
        <w:spacing w:before="0" w:after="0"/>
        <w:rPr>
          <w:rFonts w:ascii="Times New Roman" w:hAnsi="Times New Roman" w:cs="Times New Roman"/>
        </w:rPr>
      </w:pPr>
      <w:r>
        <w:t xml:space="preserve">Cara </w:t>
      </w:r>
      <w:proofErr w:type="spellStart"/>
      <w:r>
        <w:t>Cristofferson</w:t>
      </w:r>
      <w:proofErr w:type="spellEnd"/>
      <w:r>
        <w:t>, Bark</w:t>
      </w:r>
    </w:p>
    <w:p w:rsidR="00D55F8C" w:rsidRPr="00D55F8C" w:rsidRDefault="00D55F8C" w:rsidP="00184F5A">
      <w:pPr>
        <w:pStyle w:val="NormalWeb"/>
        <w:shd w:val="clear" w:color="auto" w:fill="FFFFFF"/>
        <w:spacing w:before="0" w:after="0"/>
        <w:rPr>
          <w:rFonts w:ascii="Times New Roman" w:hAnsi="Times New Roman" w:cs="Times New Roman"/>
        </w:rPr>
      </w:pPr>
      <w:r w:rsidRPr="00D55F8C">
        <w:rPr>
          <w:rFonts w:ascii="Times New Roman" w:hAnsi="Times New Roman" w:cs="Times New Roman"/>
        </w:rPr>
        <w:t>forest policy advocacy coordinator</w:t>
      </w:r>
    </w:p>
    <w:p w:rsidR="00120E6E" w:rsidRPr="00FB5FDA" w:rsidRDefault="00D55F8C" w:rsidP="00411DFC">
      <w:pPr>
        <w:pStyle w:val="NormalWeb"/>
        <w:shd w:val="clear" w:color="auto" w:fill="FFFFFF"/>
        <w:spacing w:before="0" w:after="0"/>
        <w:rPr>
          <w:rFonts w:ascii="Calibri" w:hAnsi="Calibri"/>
          <w:i/>
          <w:color w:val="500050"/>
          <w:sz w:val="22"/>
          <w:szCs w:val="22"/>
        </w:rPr>
      </w:pPr>
      <w:r w:rsidRPr="00FB5FDA">
        <w:rPr>
          <w:rFonts w:ascii="Times New Roman" w:hAnsi="Times New Roman" w:cs="Times New Roman"/>
          <w:i/>
        </w:rPr>
        <w:t>she, her, hers</w:t>
      </w:r>
      <w:r w:rsidRPr="00FB5FDA">
        <w:rPr>
          <w:rFonts w:ascii="Calibri" w:hAnsi="Calibri"/>
          <w:i/>
          <w:color w:val="500050"/>
          <w:sz w:val="22"/>
          <w:szCs w:val="22"/>
        </w:rPr>
        <w:t> </w:t>
      </w:r>
    </w:p>
    <w:p w:rsidR="00120E6E" w:rsidRDefault="00120E6E" w:rsidP="00202C1F"/>
    <w:p w:rsidR="00411DFC" w:rsidRDefault="00411DFC" w:rsidP="00202C1F"/>
    <w:p w:rsidR="00202C1F" w:rsidRDefault="00202C1F" w:rsidP="00202C1F">
      <w:r w:rsidRPr="00A31583">
        <w:rPr>
          <w:noProof/>
        </w:rPr>
        <w:drawing>
          <wp:inline distT="0" distB="0" distL="0" distR="0" wp14:anchorId="34904625" wp14:editId="1DDFD7C7">
            <wp:extent cx="1546860" cy="502920"/>
            <wp:effectExtent l="0" t="0" r="0" b="0"/>
            <wp:docPr id="9" name="Picture 9"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0C4474" w:rsidRDefault="000C4474" w:rsidP="00202C1F">
      <w:r w:rsidRPr="002B52B0">
        <w:t>Doug Heiken</w:t>
      </w:r>
      <w:r w:rsidR="00120E6E">
        <w:t xml:space="preserve">, Oregon Wild </w:t>
      </w:r>
    </w:p>
    <w:p w:rsidR="00FB5FDA" w:rsidRPr="00FB5FDA" w:rsidRDefault="00FB5FDA" w:rsidP="00202C1F">
      <w:pPr>
        <w:rPr>
          <w:i/>
        </w:rPr>
      </w:pPr>
      <w:r w:rsidRPr="00FB5FDA">
        <w:rPr>
          <w:i/>
        </w:rPr>
        <w:t>he, him</w:t>
      </w:r>
    </w:p>
    <w:p w:rsidR="00120E6E" w:rsidRDefault="00120E6E" w:rsidP="000C4474">
      <w:pPr>
        <w:spacing w:before="100" w:beforeAutospacing="1" w:after="100" w:afterAutospacing="1"/>
      </w:pPr>
    </w:p>
    <w:p w:rsidR="00CE7DE0" w:rsidRDefault="00CE7DE0" w:rsidP="000C4474">
      <w:pPr>
        <w:spacing w:before="100" w:beforeAutospacing="1" w:after="100" w:afterAutospacing="1"/>
      </w:pPr>
    </w:p>
    <w:p w:rsidR="00CE7DE0" w:rsidRDefault="00CE7DE0" w:rsidP="00CE7DE0">
      <w:pPr>
        <w:autoSpaceDE w:val="0"/>
        <w:autoSpaceDN w:val="0"/>
        <w:adjustRightInd w:val="0"/>
      </w:pPr>
      <w:r>
        <w:lastRenderedPageBreak/>
        <w:t>Attach</w:t>
      </w:r>
      <w:r>
        <w:t>ed</w:t>
      </w:r>
      <w:r>
        <w:t xml:space="preserve">: </w:t>
      </w:r>
    </w:p>
    <w:p w:rsidR="00CE7DE0" w:rsidRPr="00E605C0" w:rsidRDefault="00CE7DE0" w:rsidP="00CE7DE0">
      <w:pPr>
        <w:pStyle w:val="ListParagraph"/>
        <w:numPr>
          <w:ilvl w:val="0"/>
          <w:numId w:val="5"/>
        </w:numPr>
        <w:autoSpaceDE w:val="0"/>
        <w:autoSpaceDN w:val="0"/>
        <w:adjustRightInd w:val="0"/>
        <w:rPr>
          <w:rStyle w:val="Hyperlink"/>
          <w:color w:val="auto"/>
          <w:u w:val="none"/>
        </w:rPr>
      </w:pPr>
      <w:r>
        <w:t xml:space="preserve">Heiken, D. 2010. Log it to save it? The search for an ecological rationale for fuel reduction logging in Spotted Owl habitat. Oregon Wild. V 1.0. May 2010. </w:t>
      </w:r>
      <w:hyperlink r:id="rId119" w:history="1">
        <w:r w:rsidRPr="007367CB">
          <w:rPr>
            <w:rStyle w:val="Hyperlink"/>
          </w:rPr>
          <w:t>https://www.dropbox.com/s/pi15rap4nvwxhtt/Heiken_Log_it_to_save_it_v.1.0.pdf?dl=0</w:t>
        </w:r>
      </w:hyperlink>
    </w:p>
    <w:p w:rsidR="00CE7DE0" w:rsidRDefault="00CE7DE0" w:rsidP="00CE7DE0">
      <w:pPr>
        <w:pStyle w:val="ListParagraph"/>
        <w:numPr>
          <w:ilvl w:val="0"/>
          <w:numId w:val="5"/>
        </w:numPr>
        <w:autoSpaceDE w:val="0"/>
        <w:autoSpaceDN w:val="0"/>
        <w:adjustRightInd w:val="0"/>
      </w:pPr>
      <w:r w:rsidRPr="00E605C0">
        <w:t>Heiken, D. 2013. Riparian Reserves Provide Both Aquatic &amp; Terrestrial Benefits -  A Critical Review of Reeves, Pickard &amp; Johnson (2013).</w:t>
      </w:r>
      <w:r>
        <w:t xml:space="preserve"> </w:t>
      </w:r>
      <w:hyperlink r:id="rId120" w:history="1">
        <w:r w:rsidRPr="00B33B6E">
          <w:rPr>
            <w:rStyle w:val="Hyperlink"/>
          </w:rPr>
          <w:t>https://www.dropbox.com/s/yc13jrg0ya93yht/Heiken%202013.%20Review%20of%20Reeves%20et%20al%20Riparian%20Proposal.pdf?dl=0</w:t>
        </w:r>
      </w:hyperlink>
      <w:r>
        <w:rPr>
          <w:rStyle w:val="Hyperlink"/>
        </w:rPr>
        <w:t xml:space="preserve">. </w:t>
      </w:r>
    </w:p>
    <w:p w:rsidR="00CE7DE0" w:rsidRDefault="00CE7DE0" w:rsidP="00CE7DE0">
      <w:pPr>
        <w:autoSpaceDE w:val="0"/>
        <w:autoSpaceDN w:val="0"/>
        <w:adjustRightInd w:val="0"/>
        <w:sectPr w:rsidR="00CE7DE0" w:rsidSect="00CE7DE0">
          <w:footerReference w:type="default" r:id="rId121"/>
          <w:type w:val="continuous"/>
          <w:pgSz w:w="12240" w:h="15840"/>
          <w:pgMar w:top="1440" w:right="1800" w:bottom="1440" w:left="1800" w:header="720" w:footer="720" w:gutter="0"/>
          <w:cols w:space="720" w:equalWidth="0">
            <w:col w:w="9360" w:space="720"/>
          </w:cols>
          <w:docGrid w:linePitch="360"/>
        </w:sectPr>
      </w:pPr>
    </w:p>
    <w:p w:rsidR="00CE7DE0" w:rsidRDefault="00CE7DE0" w:rsidP="00CE7DE0">
      <w:pPr>
        <w:pStyle w:val="ListParagraph"/>
        <w:numPr>
          <w:ilvl w:val="0"/>
          <w:numId w:val="5"/>
        </w:numPr>
        <w:autoSpaceDE w:val="0"/>
        <w:autoSpaceDN w:val="0"/>
        <w:adjustRightInd w:val="0"/>
      </w:pPr>
      <w:r>
        <w:lastRenderedPageBreak/>
        <w:t xml:space="preserve">EarthJustice Forest </w:t>
      </w:r>
      <w:r w:rsidRPr="00AC2C11">
        <w:t>Carbon Explainer</w:t>
      </w:r>
    </w:p>
    <w:p w:rsidR="00120E6E" w:rsidRDefault="00120E6E" w:rsidP="000C4474">
      <w:pPr>
        <w:spacing w:before="100" w:beforeAutospacing="1" w:after="100" w:afterAutospacing="1"/>
      </w:pPr>
    </w:p>
    <w:sectPr w:rsidR="00120E6E" w:rsidSect="00772A6D">
      <w:footerReference w:type="default" r:id="rId122"/>
      <w:type w:val="continuous"/>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0E1B" w:rsidRDefault="00850E1B">
      <w:r>
        <w:separator/>
      </w:r>
    </w:p>
  </w:endnote>
  <w:endnote w:type="continuationSeparator" w:id="0">
    <w:p w:rsidR="00850E1B" w:rsidRDefault="0085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z-fixed">
    <w:altName w:val="Times New Roman"/>
    <w:charset w:val="00"/>
    <w:family w:val="roman"/>
    <w:pitch w:val="default"/>
  </w:font>
  <w:font w:name="Courier">
    <w:altName w:val="Courier New"/>
    <w:panose1 w:val="02070409020205020404"/>
    <w:charset w:val="00"/>
    <w:family w:val="modern"/>
    <w:notTrueType/>
    <w:pitch w:val="fixed"/>
    <w:sig w:usb0="00000003" w:usb1="00000000" w:usb2="00000000" w:usb3="00000000" w:csb0="00000001" w:csb1="00000000"/>
  </w:font>
  <w:font w:name="BookAntiqua">
    <w:altName w:val="Book Antiqua"/>
    <w:panose1 w:val="00000000000000000000"/>
    <w:charset w:val="00"/>
    <w:family w:val="roman"/>
    <w:notTrueType/>
    <w:pitch w:val="default"/>
    <w:sig w:usb0="00000003" w:usb1="00000000" w:usb2="00000000" w:usb3="00000000" w:csb0="00000001" w:csb1="00000000"/>
  </w:font>
  <w:font w:name="New York">
    <w:altName w:val="Times New Roman"/>
    <w:panose1 w:val="02040503060506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7DE0" w:rsidRPr="006C4D02" w:rsidRDefault="00CE7DE0">
    <w:pPr>
      <w:pStyle w:val="Footer"/>
      <w:rPr>
        <w:sz w:val="20"/>
        <w:szCs w:val="20"/>
      </w:rPr>
    </w:pPr>
    <w:r w:rsidRPr="006C4D02">
      <w:rPr>
        <w:sz w:val="20"/>
        <w:szCs w:val="20"/>
      </w:rPr>
      <w:tab/>
    </w:r>
    <w:r w:rsidRPr="006C4D02">
      <w:rPr>
        <w:sz w:val="20"/>
        <w:szCs w:val="20"/>
      </w:rPr>
      <w:tab/>
      <w:t xml:space="preserve">Page </w:t>
    </w:r>
    <w:r w:rsidRPr="006C4D02">
      <w:rPr>
        <w:rStyle w:val="PageNumber"/>
        <w:sz w:val="20"/>
        <w:szCs w:val="20"/>
      </w:rPr>
      <w:fldChar w:fldCharType="begin"/>
    </w:r>
    <w:r w:rsidRPr="006C4D02">
      <w:rPr>
        <w:rStyle w:val="PageNumber"/>
        <w:sz w:val="20"/>
        <w:szCs w:val="20"/>
      </w:rPr>
      <w:instrText xml:space="preserve"> PAGE </w:instrText>
    </w:r>
    <w:r w:rsidRPr="006C4D02">
      <w:rPr>
        <w:rStyle w:val="PageNumber"/>
        <w:sz w:val="20"/>
        <w:szCs w:val="20"/>
      </w:rPr>
      <w:fldChar w:fldCharType="separate"/>
    </w:r>
    <w:r w:rsidR="001A0F36">
      <w:rPr>
        <w:rStyle w:val="PageNumber"/>
        <w:noProof/>
        <w:sz w:val="20"/>
        <w:szCs w:val="20"/>
      </w:rPr>
      <w:t>56</w:t>
    </w:r>
    <w:r w:rsidRPr="006C4D02">
      <w:rPr>
        <w:rStyle w:val="PageNumbe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539B" w:rsidRPr="006C4D02" w:rsidRDefault="0075539B">
    <w:pPr>
      <w:pStyle w:val="Footer"/>
      <w:rPr>
        <w:sz w:val="20"/>
        <w:szCs w:val="20"/>
      </w:rPr>
    </w:pPr>
    <w:r w:rsidRPr="006C4D02">
      <w:rPr>
        <w:sz w:val="20"/>
        <w:szCs w:val="20"/>
      </w:rPr>
      <w:tab/>
    </w:r>
    <w:r w:rsidRPr="006C4D02">
      <w:rPr>
        <w:sz w:val="20"/>
        <w:szCs w:val="20"/>
      </w:rPr>
      <w:tab/>
      <w:t xml:space="preserve">Page </w:t>
    </w:r>
    <w:r w:rsidRPr="006C4D02">
      <w:rPr>
        <w:rStyle w:val="PageNumber"/>
        <w:sz w:val="20"/>
        <w:szCs w:val="20"/>
      </w:rPr>
      <w:fldChar w:fldCharType="begin"/>
    </w:r>
    <w:r w:rsidRPr="006C4D02">
      <w:rPr>
        <w:rStyle w:val="PageNumber"/>
        <w:sz w:val="20"/>
        <w:szCs w:val="20"/>
      </w:rPr>
      <w:instrText xml:space="preserve"> PAGE </w:instrText>
    </w:r>
    <w:r w:rsidRPr="006C4D02">
      <w:rPr>
        <w:rStyle w:val="PageNumber"/>
        <w:sz w:val="20"/>
        <w:szCs w:val="20"/>
      </w:rPr>
      <w:fldChar w:fldCharType="separate"/>
    </w:r>
    <w:r w:rsidR="00CE7DE0">
      <w:rPr>
        <w:rStyle w:val="PageNumber"/>
        <w:noProof/>
        <w:sz w:val="20"/>
        <w:szCs w:val="20"/>
      </w:rPr>
      <w:t>58</w:t>
    </w:r>
    <w:r w:rsidRPr="006C4D02">
      <w:rPr>
        <w:rStyle w:val="PageNumbe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0E1B" w:rsidRDefault="00850E1B">
      <w:r>
        <w:separator/>
      </w:r>
    </w:p>
  </w:footnote>
  <w:footnote w:type="continuationSeparator" w:id="0">
    <w:p w:rsidR="00850E1B" w:rsidRDefault="00850E1B">
      <w:r>
        <w:continuationSeparator/>
      </w:r>
    </w:p>
  </w:footnote>
  <w:footnote w:id="1">
    <w:p w:rsidR="0075539B" w:rsidRDefault="0075539B" w:rsidP="001203EA">
      <w:pPr>
        <w:pStyle w:val="FootnoteText"/>
      </w:pPr>
      <w:r>
        <w:rPr>
          <w:rStyle w:val="FootnoteCharacters"/>
        </w:rPr>
        <w:footnoteRef/>
      </w:r>
      <w:r>
        <w:tab/>
        <w:t xml:space="preserve"> Put another way, when threatened with extinction, “the best defense is a strong offense” that is, species are more likely to persist if they have a large, well-distributed population size and if we minimize all manageable threats. Dunham, Jason. 2008. Bull trout habitat requirements and factors most at risk from climate change. </w:t>
      </w:r>
      <w:hyperlink r:id="rId1" w:history="1">
        <w:r>
          <w:rPr>
            <w:rStyle w:val="Hyperlink"/>
          </w:rPr>
          <w:t>http://www.fs.fed.us/rm/boise/AWAE/projects/bull_trout/bt_Dunham.html</w:t>
        </w:r>
      </w:hyperlink>
      <w:r>
        <w:t xml:space="preserve"> </w:t>
      </w:r>
    </w:p>
  </w:footnote>
  <w:footnote w:id="2">
    <w:p w:rsidR="0075539B" w:rsidRDefault="0075539B" w:rsidP="00D229B7">
      <w:pPr>
        <w:pStyle w:val="FootnoteText"/>
      </w:pPr>
      <w:r>
        <w:rPr>
          <w:rStyle w:val="FootnoteCharacters"/>
        </w:rPr>
        <w:footnoteRef/>
      </w:r>
      <w:r>
        <w:tab/>
        <w:t xml:space="preserve"> See Pacific Northwest\GTR-765, </w:t>
      </w:r>
      <w:proofErr w:type="spellStart"/>
      <w:r>
        <w:t>Tabe</w:t>
      </w:r>
      <w:proofErr w:type="spellEnd"/>
      <w:r>
        <w:t xml:space="preserve"> 30, page 157. </w:t>
      </w:r>
      <w:hyperlink r:id="rId2" w:history="1">
        <w:r>
          <w:rPr>
            <w:rStyle w:val="Hyperlink"/>
          </w:rPr>
          <w:t>http://www.fs.fed.us/pnw/publications/gtr765/pnw-gtr765c.pdf</w:t>
        </w:r>
      </w:hyperlink>
      <w:r>
        <w:t xml:space="preserve"> </w:t>
      </w:r>
    </w:p>
  </w:footnote>
  <w:footnote w:id="3">
    <w:p w:rsidR="0075539B" w:rsidRDefault="0075539B" w:rsidP="009544BA">
      <w:pPr>
        <w:pStyle w:val="FootnoteText"/>
      </w:pPr>
      <w:r>
        <w:rPr>
          <w:rStyle w:val="FootnoteReference"/>
        </w:rPr>
        <w:footnoteRef/>
      </w:r>
      <w:r>
        <w:t xml:space="preserve"> </w:t>
      </w:r>
      <w:proofErr w:type="spellStart"/>
      <w:r>
        <w:t>Menning</w:t>
      </w:r>
      <w:proofErr w:type="spellEnd"/>
      <w:r>
        <w:t xml:space="preserve">, K. M., D. C. </w:t>
      </w:r>
      <w:proofErr w:type="spellStart"/>
      <w:r>
        <w:t>Erman</w:t>
      </w:r>
      <w:proofErr w:type="spellEnd"/>
      <w:r>
        <w:t xml:space="preserve">, K. N. Johnson, and J. Sessions, 1996. Aquatic and riparian systems, cumulative watershed effects, and limitations to watershed disturbance. Sierra Nevada Ecosystem Project: Final Report to Congress, Addendum, pp. 33-52. Wildland Resources Center Report No. 39, Centers for Water and Wildland Resources, University of California, Davis.  </w:t>
      </w:r>
    </w:p>
  </w:footnote>
  <w:footnote w:id="4">
    <w:p w:rsidR="0075539B" w:rsidRDefault="0075539B" w:rsidP="009544BA">
      <w:pPr>
        <w:pStyle w:val="FootnoteText"/>
      </w:pPr>
      <w:r>
        <w:rPr>
          <w:rStyle w:val="FootnoteReference"/>
        </w:rPr>
        <w:footnoteRef/>
      </w:r>
      <w:r>
        <w:t xml:space="preserve"> </w:t>
      </w:r>
      <w:proofErr w:type="spellStart"/>
      <w:r>
        <w:t>Trombulak</w:t>
      </w:r>
      <w:proofErr w:type="spellEnd"/>
      <w:r>
        <w:t xml:space="preserve">, S.C. and C.A. </w:t>
      </w:r>
      <w:proofErr w:type="spellStart"/>
      <w:r>
        <w:t>Frissell</w:t>
      </w:r>
      <w:proofErr w:type="spellEnd"/>
      <w:r>
        <w:t xml:space="preserve">. 2000. Review of ecological effects of roads on terrestrial and aquatic communities. Conservation Biology 14:18-30.  </w:t>
      </w:r>
    </w:p>
  </w:footnote>
  <w:footnote w:id="5">
    <w:p w:rsidR="0075539B" w:rsidRDefault="0075539B" w:rsidP="009544BA">
      <w:pPr>
        <w:pStyle w:val="FootnoteText"/>
      </w:pPr>
      <w:r>
        <w:rPr>
          <w:rStyle w:val="FootnoteReference"/>
        </w:rPr>
        <w:footnoteRef/>
      </w:r>
      <w:r>
        <w:t xml:space="preserve"> </w:t>
      </w:r>
      <w:proofErr w:type="spellStart"/>
      <w:r w:rsidRPr="00176563">
        <w:t>Menning</w:t>
      </w:r>
      <w:proofErr w:type="spellEnd"/>
      <w:r w:rsidRPr="00176563">
        <w:t xml:space="preserve">, K. M., D. C. </w:t>
      </w:r>
      <w:proofErr w:type="spellStart"/>
      <w:r w:rsidRPr="00176563">
        <w:t>Erman</w:t>
      </w:r>
      <w:proofErr w:type="spellEnd"/>
      <w:r w:rsidRPr="00176563">
        <w:t xml:space="preserve">, K. N. Johnson, and J. Sessions, 1996. Aquatic and riparian systems, cumulative watershed effects, and limitations to watershed disturbance. Sierra Nevada Ecosystem Project: Final Report to Congress, Addendum, pp. 33-52. Wildland Resources Center Report No. 39, Centers for Water and Wildland Resources, University of California, Davis.  </w:t>
      </w:r>
    </w:p>
  </w:footnote>
  <w:footnote w:id="6">
    <w:p w:rsidR="0075539B" w:rsidRDefault="0075539B" w:rsidP="009544BA">
      <w:pPr>
        <w:pStyle w:val="FootnoteText"/>
      </w:pPr>
      <w:r>
        <w:rPr>
          <w:rStyle w:val="FootnoteReference"/>
        </w:rPr>
        <w:footnoteRef/>
      </w:r>
      <w:r>
        <w:t xml:space="preserve"> </w:t>
      </w:r>
      <w:r w:rsidRPr="000A4ECB">
        <w:t xml:space="preserve">William M. Downing, Christopher J. Dunn, Matthew P. Thompson, Michael D. </w:t>
      </w:r>
      <w:proofErr w:type="spellStart"/>
      <w:r w:rsidRPr="000A4ECB">
        <w:t>Caggiano</w:t>
      </w:r>
      <w:proofErr w:type="spellEnd"/>
      <w:r w:rsidRPr="000A4ECB">
        <w:t>, Karen C. Short, Human ignitions on private lands drive USFS cross-boundary wildfire transmission and community impacts in the western US, Scientific Reports, 10.1038/s41598-022-06002-3, 12, 1, (2022).</w:t>
      </w:r>
    </w:p>
  </w:footnote>
  <w:footnote w:id="7">
    <w:p w:rsidR="0075539B" w:rsidRDefault="0075539B" w:rsidP="009544BA">
      <w:pPr>
        <w:pStyle w:val="FootnoteText"/>
      </w:pPr>
      <w:r>
        <w:rPr>
          <w:rStyle w:val="FootnoteReference"/>
        </w:rPr>
        <w:footnoteRef/>
      </w:r>
      <w:r>
        <w:t xml:space="preserve"> </w:t>
      </w:r>
      <w:proofErr w:type="spellStart"/>
      <w:r w:rsidRPr="007F5737">
        <w:t>Syphard</w:t>
      </w:r>
      <w:proofErr w:type="spellEnd"/>
      <w:r w:rsidRPr="007F5737">
        <w:t xml:space="preserve">, A. D., Keeley, J. E., </w:t>
      </w:r>
      <w:proofErr w:type="spellStart"/>
      <w:r w:rsidRPr="007F5737">
        <w:t>Pfaf</w:t>
      </w:r>
      <w:proofErr w:type="spellEnd"/>
      <w:r w:rsidRPr="007F5737">
        <w:t xml:space="preserve">, A. H. &amp; </w:t>
      </w:r>
      <w:proofErr w:type="spellStart"/>
      <w:r w:rsidRPr="007F5737">
        <w:t>Ferschweiler</w:t>
      </w:r>
      <w:proofErr w:type="spellEnd"/>
      <w:r w:rsidRPr="007F5737">
        <w:t xml:space="preserve">, K. Human presence diminishes the importance of climate in driving </w:t>
      </w:r>
      <w:proofErr w:type="spellStart"/>
      <w:r w:rsidRPr="007F5737">
        <w:t>fre</w:t>
      </w:r>
      <w:proofErr w:type="spellEnd"/>
      <w:r w:rsidRPr="007F5737">
        <w:t xml:space="preserve"> activity across the USA. Proc. Natl. Acad. Sci. U. S. A. 114, 13750–13755 (2017).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8"/>
    <w:multiLevelType w:val="singleLevel"/>
    <w:tmpl w:val="04090001"/>
    <w:name w:val="WW8Num2322222"/>
    <w:lvl w:ilvl="0">
      <w:start w:val="1"/>
      <w:numFmt w:val="bullet"/>
      <w:lvlText w:val=""/>
      <w:lvlJc w:val="left"/>
      <w:pPr>
        <w:ind w:left="1080" w:hanging="360"/>
      </w:pPr>
      <w:rPr>
        <w:rFonts w:ascii="Symbol" w:hAnsi="Symbol" w:hint="default"/>
      </w:rPr>
    </w:lvl>
  </w:abstractNum>
  <w:abstractNum w:abstractNumId="1">
    <w:nsid w:val="076728CC"/>
    <w:multiLevelType w:val="hybridMultilevel"/>
    <w:tmpl w:val="9A540F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CB41051"/>
    <w:multiLevelType w:val="singleLevel"/>
    <w:tmpl w:val="0409000F"/>
    <w:lvl w:ilvl="0">
      <w:start w:val="1"/>
      <w:numFmt w:val="decimal"/>
      <w:lvlText w:val="%1."/>
      <w:lvlJc w:val="left"/>
      <w:pPr>
        <w:tabs>
          <w:tab w:val="num" w:pos="360"/>
        </w:tabs>
        <w:ind w:left="360" w:hanging="360"/>
      </w:pPr>
    </w:lvl>
  </w:abstractNum>
  <w:abstractNum w:abstractNumId="3">
    <w:nsid w:val="22EE2BBE"/>
    <w:multiLevelType w:val="multilevel"/>
    <w:tmpl w:val="AA06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4587350"/>
    <w:multiLevelType w:val="multilevel"/>
    <w:tmpl w:val="CE68F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C7349E6"/>
    <w:multiLevelType w:val="hybridMultilevel"/>
    <w:tmpl w:val="9B22D9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D9508CE"/>
    <w:multiLevelType w:val="multilevel"/>
    <w:tmpl w:val="04022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0A93BE7"/>
    <w:multiLevelType w:val="multilevel"/>
    <w:tmpl w:val="8F38F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69B4834"/>
    <w:multiLevelType w:val="hybridMultilevel"/>
    <w:tmpl w:val="6442B8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121748E"/>
    <w:multiLevelType w:val="multilevel"/>
    <w:tmpl w:val="6EA08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9EE1355"/>
    <w:multiLevelType w:val="hybridMultilevel"/>
    <w:tmpl w:val="954C12E2"/>
    <w:name w:val="WW8Num23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71B45189"/>
    <w:multiLevelType w:val="hybridMultilevel"/>
    <w:tmpl w:val="18EECF26"/>
    <w:lvl w:ilvl="0" w:tplc="EE2217B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BB3424"/>
    <w:multiLevelType w:val="hybridMultilevel"/>
    <w:tmpl w:val="F42E4550"/>
    <w:name w:val="WW8Num232222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C441DB8"/>
    <w:multiLevelType w:val="hybridMultilevel"/>
    <w:tmpl w:val="A57887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8"/>
  </w:num>
  <w:num w:numId="3">
    <w:abstractNumId w:val="6"/>
  </w:num>
  <w:num w:numId="4">
    <w:abstractNumId w:val="9"/>
  </w:num>
  <w:num w:numId="5">
    <w:abstractNumId w:val="11"/>
  </w:num>
  <w:num w:numId="6">
    <w:abstractNumId w:val="7"/>
  </w:num>
  <w:num w:numId="7">
    <w:abstractNumId w:val="0"/>
  </w:num>
  <w:num w:numId="8">
    <w:abstractNumId w:val="12"/>
  </w:num>
  <w:num w:numId="9">
    <w:abstractNumId w:val="13"/>
  </w:num>
  <w:num w:numId="10">
    <w:abstractNumId w:val="10"/>
  </w:num>
  <w:num w:numId="11">
    <w:abstractNumId w:val="5"/>
  </w:num>
  <w:num w:numId="12">
    <w:abstractNumId w:val="4"/>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D9A"/>
    <w:rsid w:val="00007F67"/>
    <w:rsid w:val="000157C6"/>
    <w:rsid w:val="00020965"/>
    <w:rsid w:val="00023880"/>
    <w:rsid w:val="00034114"/>
    <w:rsid w:val="00051B05"/>
    <w:rsid w:val="0009228F"/>
    <w:rsid w:val="000B631B"/>
    <w:rsid w:val="000C105C"/>
    <w:rsid w:val="000C4474"/>
    <w:rsid w:val="000D4A65"/>
    <w:rsid w:val="000D5012"/>
    <w:rsid w:val="001203EA"/>
    <w:rsid w:val="00120E6E"/>
    <w:rsid w:val="0012291C"/>
    <w:rsid w:val="0013649E"/>
    <w:rsid w:val="00142638"/>
    <w:rsid w:val="001462C5"/>
    <w:rsid w:val="00157089"/>
    <w:rsid w:val="00171798"/>
    <w:rsid w:val="00184F5A"/>
    <w:rsid w:val="00186393"/>
    <w:rsid w:val="001A0F36"/>
    <w:rsid w:val="001B28FF"/>
    <w:rsid w:val="001E14EB"/>
    <w:rsid w:val="001E586A"/>
    <w:rsid w:val="001F0F5C"/>
    <w:rsid w:val="00202C1F"/>
    <w:rsid w:val="002120E1"/>
    <w:rsid w:val="002137BE"/>
    <w:rsid w:val="00246707"/>
    <w:rsid w:val="00293EF7"/>
    <w:rsid w:val="002C00BB"/>
    <w:rsid w:val="002C63F3"/>
    <w:rsid w:val="002F41A5"/>
    <w:rsid w:val="002F7AA7"/>
    <w:rsid w:val="003272B0"/>
    <w:rsid w:val="00363BEB"/>
    <w:rsid w:val="003A354B"/>
    <w:rsid w:val="003A7354"/>
    <w:rsid w:val="003B03A7"/>
    <w:rsid w:val="003C4BB1"/>
    <w:rsid w:val="00411DFC"/>
    <w:rsid w:val="004303BC"/>
    <w:rsid w:val="004559E3"/>
    <w:rsid w:val="00464E8F"/>
    <w:rsid w:val="00476CBA"/>
    <w:rsid w:val="00480A7A"/>
    <w:rsid w:val="00491A0C"/>
    <w:rsid w:val="004A17B9"/>
    <w:rsid w:val="004A6BBE"/>
    <w:rsid w:val="004F35E9"/>
    <w:rsid w:val="004F3A82"/>
    <w:rsid w:val="004F40C7"/>
    <w:rsid w:val="00504694"/>
    <w:rsid w:val="0053180D"/>
    <w:rsid w:val="00554E93"/>
    <w:rsid w:val="005600C5"/>
    <w:rsid w:val="005B1203"/>
    <w:rsid w:val="005B36D5"/>
    <w:rsid w:val="005B3F09"/>
    <w:rsid w:val="005C768F"/>
    <w:rsid w:val="005E7C3D"/>
    <w:rsid w:val="00606B83"/>
    <w:rsid w:val="00617C72"/>
    <w:rsid w:val="00617C76"/>
    <w:rsid w:val="00634608"/>
    <w:rsid w:val="0067076F"/>
    <w:rsid w:val="00687429"/>
    <w:rsid w:val="00695352"/>
    <w:rsid w:val="006A3514"/>
    <w:rsid w:val="006A48AD"/>
    <w:rsid w:val="006B06B7"/>
    <w:rsid w:val="006B25EA"/>
    <w:rsid w:val="006B3187"/>
    <w:rsid w:val="006C1087"/>
    <w:rsid w:val="006C4D02"/>
    <w:rsid w:val="006D63B6"/>
    <w:rsid w:val="00723EF3"/>
    <w:rsid w:val="007324CE"/>
    <w:rsid w:val="0075539B"/>
    <w:rsid w:val="00771D0F"/>
    <w:rsid w:val="00772A6D"/>
    <w:rsid w:val="00791EEE"/>
    <w:rsid w:val="007E5C27"/>
    <w:rsid w:val="00813383"/>
    <w:rsid w:val="008167B8"/>
    <w:rsid w:val="00841045"/>
    <w:rsid w:val="00850E1B"/>
    <w:rsid w:val="0086095B"/>
    <w:rsid w:val="0086457F"/>
    <w:rsid w:val="00873B04"/>
    <w:rsid w:val="00874F8D"/>
    <w:rsid w:val="0087592C"/>
    <w:rsid w:val="00882064"/>
    <w:rsid w:val="00892F88"/>
    <w:rsid w:val="00895E95"/>
    <w:rsid w:val="008E716F"/>
    <w:rsid w:val="00904A38"/>
    <w:rsid w:val="0091233F"/>
    <w:rsid w:val="0092069A"/>
    <w:rsid w:val="00920ED4"/>
    <w:rsid w:val="00923638"/>
    <w:rsid w:val="00952F12"/>
    <w:rsid w:val="009544BA"/>
    <w:rsid w:val="009A4302"/>
    <w:rsid w:val="009D3E7B"/>
    <w:rsid w:val="009E4E05"/>
    <w:rsid w:val="009F01C5"/>
    <w:rsid w:val="00A13FD8"/>
    <w:rsid w:val="00A37B08"/>
    <w:rsid w:val="00A55E60"/>
    <w:rsid w:val="00A56166"/>
    <w:rsid w:val="00A577F7"/>
    <w:rsid w:val="00A61004"/>
    <w:rsid w:val="00A678AE"/>
    <w:rsid w:val="00A7424C"/>
    <w:rsid w:val="00AA38FD"/>
    <w:rsid w:val="00AA72C9"/>
    <w:rsid w:val="00AB14CB"/>
    <w:rsid w:val="00AC2C11"/>
    <w:rsid w:val="00AE3D2E"/>
    <w:rsid w:val="00AE4326"/>
    <w:rsid w:val="00AF435E"/>
    <w:rsid w:val="00B31AD8"/>
    <w:rsid w:val="00BA2116"/>
    <w:rsid w:val="00BA3B36"/>
    <w:rsid w:val="00BA670C"/>
    <w:rsid w:val="00BC6EC4"/>
    <w:rsid w:val="00BD37BD"/>
    <w:rsid w:val="00C23055"/>
    <w:rsid w:val="00C447CA"/>
    <w:rsid w:val="00C55F13"/>
    <w:rsid w:val="00C71CDD"/>
    <w:rsid w:val="00C90DD2"/>
    <w:rsid w:val="00C957D1"/>
    <w:rsid w:val="00CA6242"/>
    <w:rsid w:val="00CB703B"/>
    <w:rsid w:val="00CC02CA"/>
    <w:rsid w:val="00CD2196"/>
    <w:rsid w:val="00CD23A8"/>
    <w:rsid w:val="00CE7DE0"/>
    <w:rsid w:val="00D15120"/>
    <w:rsid w:val="00D16280"/>
    <w:rsid w:val="00D22393"/>
    <w:rsid w:val="00D229B7"/>
    <w:rsid w:val="00D25D4C"/>
    <w:rsid w:val="00D26697"/>
    <w:rsid w:val="00D4001E"/>
    <w:rsid w:val="00D42DE4"/>
    <w:rsid w:val="00D46FED"/>
    <w:rsid w:val="00D55F8C"/>
    <w:rsid w:val="00D632E6"/>
    <w:rsid w:val="00D64C11"/>
    <w:rsid w:val="00D70E36"/>
    <w:rsid w:val="00D87250"/>
    <w:rsid w:val="00D92A3A"/>
    <w:rsid w:val="00DA6FF6"/>
    <w:rsid w:val="00DB6EB0"/>
    <w:rsid w:val="00E03B13"/>
    <w:rsid w:val="00E17EAB"/>
    <w:rsid w:val="00E3789B"/>
    <w:rsid w:val="00E47B84"/>
    <w:rsid w:val="00E50B5A"/>
    <w:rsid w:val="00E6005A"/>
    <w:rsid w:val="00E605C0"/>
    <w:rsid w:val="00E66644"/>
    <w:rsid w:val="00E806D5"/>
    <w:rsid w:val="00EA0013"/>
    <w:rsid w:val="00EB6DB5"/>
    <w:rsid w:val="00EC54BC"/>
    <w:rsid w:val="00EE5630"/>
    <w:rsid w:val="00EE7B91"/>
    <w:rsid w:val="00EF58B4"/>
    <w:rsid w:val="00F165CC"/>
    <w:rsid w:val="00F26AED"/>
    <w:rsid w:val="00F30093"/>
    <w:rsid w:val="00F30D9A"/>
    <w:rsid w:val="00F475C2"/>
    <w:rsid w:val="00FA0FC0"/>
    <w:rsid w:val="00FB5FDA"/>
    <w:rsid w:val="00FD72A7"/>
    <w:rsid w:val="00FF0E20"/>
    <w:rsid w:val="00FF1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772A6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84104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07F67"/>
    <w:rPr>
      <w:color w:val="0000FF"/>
      <w:u w:val="single"/>
    </w:rPr>
  </w:style>
  <w:style w:type="paragraph" w:styleId="Date">
    <w:name w:val="Date"/>
    <w:basedOn w:val="Normal"/>
    <w:next w:val="Normal"/>
    <w:rsid w:val="00772A6D"/>
  </w:style>
  <w:style w:type="paragraph" w:styleId="Header">
    <w:name w:val="header"/>
    <w:basedOn w:val="Normal"/>
    <w:rsid w:val="006C4D02"/>
    <w:pPr>
      <w:tabs>
        <w:tab w:val="center" w:pos="4320"/>
        <w:tab w:val="right" w:pos="8640"/>
      </w:tabs>
    </w:pPr>
  </w:style>
  <w:style w:type="paragraph" w:styleId="Footer">
    <w:name w:val="footer"/>
    <w:basedOn w:val="Normal"/>
    <w:rsid w:val="006C4D02"/>
    <w:pPr>
      <w:tabs>
        <w:tab w:val="center" w:pos="4320"/>
        <w:tab w:val="right" w:pos="8640"/>
      </w:tabs>
    </w:pPr>
  </w:style>
  <w:style w:type="character" w:styleId="PageNumber">
    <w:name w:val="page number"/>
    <w:basedOn w:val="DefaultParagraphFont"/>
    <w:rsid w:val="006C4D02"/>
  </w:style>
  <w:style w:type="character" w:customStyle="1" w:styleId="updatebodytest">
    <w:name w:val="updatebodytest"/>
    <w:basedOn w:val="DefaultParagraphFont"/>
    <w:rsid w:val="00D42DE4"/>
  </w:style>
  <w:style w:type="paragraph" w:styleId="BalloonText">
    <w:name w:val="Balloon Text"/>
    <w:basedOn w:val="Normal"/>
    <w:link w:val="BalloonTextChar"/>
    <w:rsid w:val="00617C76"/>
    <w:rPr>
      <w:rFonts w:ascii="Tahoma" w:hAnsi="Tahoma" w:cs="Tahoma"/>
      <w:sz w:val="16"/>
      <w:szCs w:val="16"/>
    </w:rPr>
  </w:style>
  <w:style w:type="character" w:customStyle="1" w:styleId="BalloonTextChar">
    <w:name w:val="Balloon Text Char"/>
    <w:basedOn w:val="DefaultParagraphFont"/>
    <w:link w:val="BalloonText"/>
    <w:rsid w:val="00617C76"/>
    <w:rPr>
      <w:rFonts w:ascii="Tahoma" w:hAnsi="Tahoma" w:cs="Tahoma"/>
      <w:sz w:val="16"/>
      <w:szCs w:val="16"/>
    </w:rPr>
  </w:style>
  <w:style w:type="paragraph" w:styleId="ListParagraph">
    <w:name w:val="List Paragraph"/>
    <w:basedOn w:val="Normal"/>
    <w:uiPriority w:val="34"/>
    <w:qFormat/>
    <w:rsid w:val="002C00BB"/>
    <w:pPr>
      <w:spacing w:line="276" w:lineRule="auto"/>
      <w:ind w:left="720"/>
      <w:contextualSpacing/>
    </w:pPr>
    <w:rPr>
      <w:rFonts w:eastAsiaTheme="minorHAnsi"/>
    </w:rPr>
  </w:style>
  <w:style w:type="character" w:customStyle="1" w:styleId="Heading2Char">
    <w:name w:val="Heading 2 Char"/>
    <w:basedOn w:val="DefaultParagraphFont"/>
    <w:link w:val="Heading2"/>
    <w:semiHidden/>
    <w:rsid w:val="00841045"/>
    <w:rPr>
      <w:rFonts w:asciiTheme="majorHAnsi" w:eastAsiaTheme="majorEastAsia" w:hAnsiTheme="majorHAnsi" w:cstheme="majorBidi"/>
      <w:b/>
      <w:bCs/>
      <w:color w:val="4F81BD" w:themeColor="accent1"/>
      <w:sz w:val="26"/>
      <w:szCs w:val="26"/>
    </w:rPr>
  </w:style>
  <w:style w:type="character" w:styleId="Emphasis">
    <w:name w:val="Emphasis"/>
    <w:uiPriority w:val="20"/>
    <w:qFormat/>
    <w:rsid w:val="00606B83"/>
    <w:rPr>
      <w:i/>
      <w:iCs/>
    </w:rPr>
  </w:style>
  <w:style w:type="paragraph" w:styleId="NormalWeb">
    <w:name w:val="Normal (Web)"/>
    <w:basedOn w:val="Normal"/>
    <w:uiPriority w:val="99"/>
    <w:rsid w:val="00606B83"/>
    <w:pPr>
      <w:suppressAutoHyphens/>
      <w:spacing w:before="100" w:after="100"/>
    </w:pPr>
    <w:rPr>
      <w:rFonts w:ascii="-moz-fixed" w:eastAsia="-moz-fixed" w:hAnsi="-moz-fixed" w:cs="-moz-fixed"/>
      <w:lang w:eastAsia="ar-SA"/>
    </w:rPr>
  </w:style>
  <w:style w:type="paragraph" w:customStyle="1" w:styleId="Default">
    <w:name w:val="Default"/>
    <w:rsid w:val="001E586A"/>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D46FED"/>
    <w:pPr>
      <w:suppressAutoHyphens/>
      <w:ind w:left="720"/>
    </w:pPr>
    <w:rPr>
      <w:rFonts w:ascii="-moz-fixed" w:eastAsia="-moz-fixed" w:hAnsi="-moz-fixed" w:cs="-moz-fixed"/>
      <w:szCs w:val="20"/>
      <w:lang w:eastAsia="ar-SA"/>
    </w:rPr>
  </w:style>
  <w:style w:type="character" w:customStyle="1" w:styleId="BodyTextIndentChar">
    <w:name w:val="Body Text Indent Char"/>
    <w:basedOn w:val="DefaultParagraphFont"/>
    <w:link w:val="BodyTextIndent"/>
    <w:rsid w:val="00D46FED"/>
    <w:rPr>
      <w:rFonts w:ascii="-moz-fixed" w:eastAsia="-moz-fixed" w:hAnsi="-moz-fixed" w:cs="-moz-fixed"/>
      <w:sz w:val="24"/>
      <w:lang w:eastAsia="ar-SA"/>
    </w:rPr>
  </w:style>
  <w:style w:type="character" w:customStyle="1" w:styleId="FootnoteCharacters">
    <w:name w:val="Footnote Characters"/>
    <w:rsid w:val="00D229B7"/>
    <w:rPr>
      <w:vertAlign w:val="superscript"/>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uiPriority w:val="99"/>
    <w:qFormat/>
    <w:rsid w:val="00D229B7"/>
    <w:pPr>
      <w:suppressAutoHyphens/>
    </w:pPr>
    <w:rPr>
      <w:rFonts w:ascii="-moz-fixed" w:eastAsia="-moz-fixed" w:hAnsi="-moz-fixed" w:cs="Courier"/>
      <w:sz w:val="20"/>
      <w:szCs w:val="20"/>
      <w:lang w:eastAsia="ar-SA"/>
    </w:rPr>
  </w:style>
  <w:style w:type="character" w:customStyle="1" w:styleId="FootnoteTextChar">
    <w:name w:val="Footnote Text Char"/>
    <w:aliases w:val="Footnote ak Char,Footnote Text Char Char Char Char Char,FA Char,FA Fußnotentext Char,Footnote Text Char Char Char1,Footnote Text Char Char Char Char Char Char Char,Footnote Text Char Char Char Char1,Footnote Text Char4 Char,Char Char"/>
    <w:basedOn w:val="DefaultParagraphFont"/>
    <w:link w:val="FootnoteText"/>
    <w:uiPriority w:val="99"/>
    <w:rsid w:val="00D229B7"/>
    <w:rPr>
      <w:rFonts w:ascii="-moz-fixed" w:eastAsia="-moz-fixed" w:hAnsi="-moz-fixed" w:cs="Courier"/>
      <w:lang w:eastAsia="ar-SA"/>
    </w:rPr>
  </w:style>
  <w:style w:type="paragraph" w:styleId="HTMLPreformatted">
    <w:name w:val="HTML Preformatted"/>
    <w:basedOn w:val="Normal"/>
    <w:link w:val="HTMLPreformattedChar"/>
    <w:rsid w:val="001203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BookAntiqua" w:eastAsia="-moz-fixed" w:hAnsi="BookAntiqua" w:cs="BookAntiqua"/>
      <w:sz w:val="20"/>
      <w:szCs w:val="20"/>
      <w:lang w:eastAsia="ar-SA"/>
    </w:rPr>
  </w:style>
  <w:style w:type="character" w:customStyle="1" w:styleId="HTMLPreformattedChar">
    <w:name w:val="HTML Preformatted Char"/>
    <w:basedOn w:val="DefaultParagraphFont"/>
    <w:link w:val="HTMLPreformatted"/>
    <w:rsid w:val="001203EA"/>
    <w:rPr>
      <w:rFonts w:ascii="BookAntiqua" w:eastAsia="-moz-fixed" w:hAnsi="BookAntiqua" w:cs="BookAntiqua"/>
      <w:lang w:eastAsia="ar-SA"/>
    </w:rPr>
  </w:style>
  <w:style w:type="character" w:customStyle="1" w:styleId="e">
    <w:name w:val="e"/>
    <w:basedOn w:val="DefaultParagraphFont"/>
    <w:rsid w:val="00D632E6"/>
  </w:style>
  <w:style w:type="character" w:styleId="FootnoteReference">
    <w:name w:val="footnote reference"/>
    <w:basedOn w:val="DefaultParagraphFont"/>
    <w:uiPriority w:val="99"/>
    <w:unhideWhenUsed/>
    <w:rsid w:val="009544BA"/>
    <w:rPr>
      <w:vertAlign w:val="superscript"/>
    </w:rPr>
  </w:style>
  <w:style w:type="paragraph" w:customStyle="1" w:styleId="WW-Default">
    <w:name w:val="WW-Default"/>
    <w:rsid w:val="00882064"/>
    <w:pPr>
      <w:suppressAutoHyphens/>
      <w:autoSpaceDE w:val="0"/>
    </w:pPr>
    <w:rPr>
      <w:rFonts w:ascii="New York" w:eastAsia="-moz-fixed" w:hAnsi="New York" w:cs="New York"/>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next w:val="Normal"/>
    <w:qFormat/>
    <w:rsid w:val="00772A6D"/>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semiHidden/>
    <w:unhideWhenUsed/>
    <w:qFormat/>
    <w:rsid w:val="0084104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07F67"/>
    <w:rPr>
      <w:color w:val="0000FF"/>
      <w:u w:val="single"/>
    </w:rPr>
  </w:style>
  <w:style w:type="paragraph" w:styleId="Date">
    <w:name w:val="Date"/>
    <w:basedOn w:val="Normal"/>
    <w:next w:val="Normal"/>
    <w:rsid w:val="00772A6D"/>
  </w:style>
  <w:style w:type="paragraph" w:styleId="Header">
    <w:name w:val="header"/>
    <w:basedOn w:val="Normal"/>
    <w:rsid w:val="006C4D02"/>
    <w:pPr>
      <w:tabs>
        <w:tab w:val="center" w:pos="4320"/>
        <w:tab w:val="right" w:pos="8640"/>
      </w:tabs>
    </w:pPr>
  </w:style>
  <w:style w:type="paragraph" w:styleId="Footer">
    <w:name w:val="footer"/>
    <w:basedOn w:val="Normal"/>
    <w:rsid w:val="006C4D02"/>
    <w:pPr>
      <w:tabs>
        <w:tab w:val="center" w:pos="4320"/>
        <w:tab w:val="right" w:pos="8640"/>
      </w:tabs>
    </w:pPr>
  </w:style>
  <w:style w:type="character" w:styleId="PageNumber">
    <w:name w:val="page number"/>
    <w:basedOn w:val="DefaultParagraphFont"/>
    <w:rsid w:val="006C4D02"/>
  </w:style>
  <w:style w:type="character" w:customStyle="1" w:styleId="updatebodytest">
    <w:name w:val="updatebodytest"/>
    <w:basedOn w:val="DefaultParagraphFont"/>
    <w:rsid w:val="00D42DE4"/>
  </w:style>
  <w:style w:type="paragraph" w:styleId="BalloonText">
    <w:name w:val="Balloon Text"/>
    <w:basedOn w:val="Normal"/>
    <w:link w:val="BalloonTextChar"/>
    <w:rsid w:val="00617C76"/>
    <w:rPr>
      <w:rFonts w:ascii="Tahoma" w:hAnsi="Tahoma" w:cs="Tahoma"/>
      <w:sz w:val="16"/>
      <w:szCs w:val="16"/>
    </w:rPr>
  </w:style>
  <w:style w:type="character" w:customStyle="1" w:styleId="BalloonTextChar">
    <w:name w:val="Balloon Text Char"/>
    <w:basedOn w:val="DefaultParagraphFont"/>
    <w:link w:val="BalloonText"/>
    <w:rsid w:val="00617C76"/>
    <w:rPr>
      <w:rFonts w:ascii="Tahoma" w:hAnsi="Tahoma" w:cs="Tahoma"/>
      <w:sz w:val="16"/>
      <w:szCs w:val="16"/>
    </w:rPr>
  </w:style>
  <w:style w:type="paragraph" w:styleId="ListParagraph">
    <w:name w:val="List Paragraph"/>
    <w:basedOn w:val="Normal"/>
    <w:uiPriority w:val="34"/>
    <w:qFormat/>
    <w:rsid w:val="002C00BB"/>
    <w:pPr>
      <w:spacing w:line="276" w:lineRule="auto"/>
      <w:ind w:left="720"/>
      <w:contextualSpacing/>
    </w:pPr>
    <w:rPr>
      <w:rFonts w:eastAsiaTheme="minorHAnsi"/>
    </w:rPr>
  </w:style>
  <w:style w:type="character" w:customStyle="1" w:styleId="Heading2Char">
    <w:name w:val="Heading 2 Char"/>
    <w:basedOn w:val="DefaultParagraphFont"/>
    <w:link w:val="Heading2"/>
    <w:semiHidden/>
    <w:rsid w:val="00841045"/>
    <w:rPr>
      <w:rFonts w:asciiTheme="majorHAnsi" w:eastAsiaTheme="majorEastAsia" w:hAnsiTheme="majorHAnsi" w:cstheme="majorBidi"/>
      <w:b/>
      <w:bCs/>
      <w:color w:val="4F81BD" w:themeColor="accent1"/>
      <w:sz w:val="26"/>
      <w:szCs w:val="26"/>
    </w:rPr>
  </w:style>
  <w:style w:type="character" w:styleId="Emphasis">
    <w:name w:val="Emphasis"/>
    <w:uiPriority w:val="20"/>
    <w:qFormat/>
    <w:rsid w:val="00606B83"/>
    <w:rPr>
      <w:i/>
      <w:iCs/>
    </w:rPr>
  </w:style>
  <w:style w:type="paragraph" w:styleId="NormalWeb">
    <w:name w:val="Normal (Web)"/>
    <w:basedOn w:val="Normal"/>
    <w:uiPriority w:val="99"/>
    <w:rsid w:val="00606B83"/>
    <w:pPr>
      <w:suppressAutoHyphens/>
      <w:spacing w:before="100" w:after="100"/>
    </w:pPr>
    <w:rPr>
      <w:rFonts w:ascii="-moz-fixed" w:eastAsia="-moz-fixed" w:hAnsi="-moz-fixed" w:cs="-moz-fixed"/>
      <w:lang w:eastAsia="ar-SA"/>
    </w:rPr>
  </w:style>
  <w:style w:type="paragraph" w:customStyle="1" w:styleId="Default">
    <w:name w:val="Default"/>
    <w:rsid w:val="001E586A"/>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D46FED"/>
    <w:pPr>
      <w:suppressAutoHyphens/>
      <w:ind w:left="720"/>
    </w:pPr>
    <w:rPr>
      <w:rFonts w:ascii="-moz-fixed" w:eastAsia="-moz-fixed" w:hAnsi="-moz-fixed" w:cs="-moz-fixed"/>
      <w:szCs w:val="20"/>
      <w:lang w:eastAsia="ar-SA"/>
    </w:rPr>
  </w:style>
  <w:style w:type="character" w:customStyle="1" w:styleId="BodyTextIndentChar">
    <w:name w:val="Body Text Indent Char"/>
    <w:basedOn w:val="DefaultParagraphFont"/>
    <w:link w:val="BodyTextIndent"/>
    <w:rsid w:val="00D46FED"/>
    <w:rPr>
      <w:rFonts w:ascii="-moz-fixed" w:eastAsia="-moz-fixed" w:hAnsi="-moz-fixed" w:cs="-moz-fixed"/>
      <w:sz w:val="24"/>
      <w:lang w:eastAsia="ar-SA"/>
    </w:rPr>
  </w:style>
  <w:style w:type="character" w:customStyle="1" w:styleId="FootnoteCharacters">
    <w:name w:val="Footnote Characters"/>
    <w:rsid w:val="00D229B7"/>
    <w:rPr>
      <w:vertAlign w:val="superscript"/>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uiPriority w:val="99"/>
    <w:qFormat/>
    <w:rsid w:val="00D229B7"/>
    <w:pPr>
      <w:suppressAutoHyphens/>
    </w:pPr>
    <w:rPr>
      <w:rFonts w:ascii="-moz-fixed" w:eastAsia="-moz-fixed" w:hAnsi="-moz-fixed" w:cs="Courier"/>
      <w:sz w:val="20"/>
      <w:szCs w:val="20"/>
      <w:lang w:eastAsia="ar-SA"/>
    </w:rPr>
  </w:style>
  <w:style w:type="character" w:customStyle="1" w:styleId="FootnoteTextChar">
    <w:name w:val="Footnote Text Char"/>
    <w:aliases w:val="Footnote ak Char,Footnote Text Char Char Char Char Char,FA Char,FA Fußnotentext Char,Footnote Text Char Char Char1,Footnote Text Char Char Char Char Char Char Char,Footnote Text Char Char Char Char1,Footnote Text Char4 Char,Char Char"/>
    <w:basedOn w:val="DefaultParagraphFont"/>
    <w:link w:val="FootnoteText"/>
    <w:uiPriority w:val="99"/>
    <w:rsid w:val="00D229B7"/>
    <w:rPr>
      <w:rFonts w:ascii="-moz-fixed" w:eastAsia="-moz-fixed" w:hAnsi="-moz-fixed" w:cs="Courier"/>
      <w:lang w:eastAsia="ar-SA"/>
    </w:rPr>
  </w:style>
  <w:style w:type="paragraph" w:styleId="HTMLPreformatted">
    <w:name w:val="HTML Preformatted"/>
    <w:basedOn w:val="Normal"/>
    <w:link w:val="HTMLPreformattedChar"/>
    <w:rsid w:val="001203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BookAntiqua" w:eastAsia="-moz-fixed" w:hAnsi="BookAntiqua" w:cs="BookAntiqua"/>
      <w:sz w:val="20"/>
      <w:szCs w:val="20"/>
      <w:lang w:eastAsia="ar-SA"/>
    </w:rPr>
  </w:style>
  <w:style w:type="character" w:customStyle="1" w:styleId="HTMLPreformattedChar">
    <w:name w:val="HTML Preformatted Char"/>
    <w:basedOn w:val="DefaultParagraphFont"/>
    <w:link w:val="HTMLPreformatted"/>
    <w:rsid w:val="001203EA"/>
    <w:rPr>
      <w:rFonts w:ascii="BookAntiqua" w:eastAsia="-moz-fixed" w:hAnsi="BookAntiqua" w:cs="BookAntiqua"/>
      <w:lang w:eastAsia="ar-SA"/>
    </w:rPr>
  </w:style>
  <w:style w:type="character" w:customStyle="1" w:styleId="e">
    <w:name w:val="e"/>
    <w:basedOn w:val="DefaultParagraphFont"/>
    <w:rsid w:val="00D632E6"/>
  </w:style>
  <w:style w:type="character" w:styleId="FootnoteReference">
    <w:name w:val="footnote reference"/>
    <w:basedOn w:val="DefaultParagraphFont"/>
    <w:uiPriority w:val="99"/>
    <w:unhideWhenUsed/>
    <w:rsid w:val="009544BA"/>
    <w:rPr>
      <w:vertAlign w:val="superscript"/>
    </w:rPr>
  </w:style>
  <w:style w:type="paragraph" w:customStyle="1" w:styleId="WW-Default">
    <w:name w:val="WW-Default"/>
    <w:rsid w:val="00882064"/>
    <w:pPr>
      <w:suppressAutoHyphens/>
      <w:autoSpaceDE w:val="0"/>
    </w:pPr>
    <w:rPr>
      <w:rFonts w:ascii="New York" w:eastAsia="-moz-fixed" w:hAnsi="New York" w:cs="New York"/>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415243">
      <w:bodyDiv w:val="1"/>
      <w:marLeft w:val="0"/>
      <w:marRight w:val="0"/>
      <w:marTop w:val="0"/>
      <w:marBottom w:val="0"/>
      <w:divBdr>
        <w:top w:val="none" w:sz="0" w:space="0" w:color="auto"/>
        <w:left w:val="none" w:sz="0" w:space="0" w:color="auto"/>
        <w:bottom w:val="none" w:sz="0" w:space="0" w:color="auto"/>
        <w:right w:val="none" w:sz="0" w:space="0" w:color="auto"/>
      </w:divBdr>
    </w:div>
    <w:div w:id="952977310">
      <w:bodyDiv w:val="1"/>
      <w:marLeft w:val="0"/>
      <w:marRight w:val="0"/>
      <w:marTop w:val="0"/>
      <w:marBottom w:val="0"/>
      <w:divBdr>
        <w:top w:val="none" w:sz="0" w:space="0" w:color="auto"/>
        <w:left w:val="none" w:sz="0" w:space="0" w:color="auto"/>
        <w:bottom w:val="none" w:sz="0" w:space="0" w:color="auto"/>
        <w:right w:val="none" w:sz="0" w:space="0" w:color="auto"/>
      </w:divBdr>
    </w:div>
    <w:div w:id="1353920906">
      <w:bodyDiv w:val="1"/>
      <w:marLeft w:val="0"/>
      <w:marRight w:val="0"/>
      <w:marTop w:val="0"/>
      <w:marBottom w:val="0"/>
      <w:divBdr>
        <w:top w:val="none" w:sz="0" w:space="0" w:color="auto"/>
        <w:left w:val="none" w:sz="0" w:space="0" w:color="auto"/>
        <w:bottom w:val="none" w:sz="0" w:space="0" w:color="auto"/>
        <w:right w:val="none" w:sz="0" w:space="0" w:color="auto"/>
      </w:divBdr>
    </w:div>
    <w:div w:id="193122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www.whitehouse.gov/briefing-room/presidential-actions/2021/01/20/executive-order-protecting-public-health-and-environment-and-restoring-science-to-tackle-climate-crisis/" TargetMode="External"/><Relationship Id="rId117" Type="http://schemas.openxmlformats.org/officeDocument/2006/relationships/image" Target="media/image11.PNG"/><Relationship Id="rId21" Type="http://schemas.openxmlformats.org/officeDocument/2006/relationships/hyperlink" Target="https://doi.org/10.5518/100/20" TargetMode="External"/><Relationship Id="rId42" Type="http://schemas.openxmlformats.org/officeDocument/2006/relationships/hyperlink" Target="https://rdcu.be/cgpdK" TargetMode="External"/><Relationship Id="rId47" Type="http://schemas.openxmlformats.org/officeDocument/2006/relationships/hyperlink" Target="http://pdf.wri.org/more_than_meets_the_eye_social_cost_of_carbon.pdf" TargetMode="External"/><Relationship Id="rId63" Type="http://schemas.openxmlformats.org/officeDocument/2006/relationships/hyperlink" Target="https://www.blm.gov/or/districts/medford/plans/files/FranklinJohnson.pdf" TargetMode="External"/><Relationship Id="rId68" Type="http://schemas.openxmlformats.org/officeDocument/2006/relationships/hyperlink" Target="http://www.smithsonianmag.com/science-nature/The-Spotted-Owls-New-Nemesis.html?c=y&amp;page=2" TargetMode="External"/><Relationship Id="rId84" Type="http://schemas.openxmlformats.org/officeDocument/2006/relationships/hyperlink" Target="http://web.archive.org/web/20060904175645/http://avianscience.dbs.umt.edu/documents/hutto_conbio_2006.pdf" TargetMode="External"/><Relationship Id="rId89" Type="http://schemas.openxmlformats.org/officeDocument/2006/relationships/hyperlink" Target="http://www.fs.fed.us/psw/publications/documents/gtr-181/049_Korol.pdf" TargetMode="External"/><Relationship Id="rId112" Type="http://schemas.openxmlformats.org/officeDocument/2006/relationships/hyperlink" Target="http://ecoshare.info/projects/central-cascade-adaptive-management-partnership/workshops/spotted-owl/" TargetMode="External"/><Relationship Id="rId16" Type="http://schemas.openxmlformats.org/officeDocument/2006/relationships/image" Target="media/image3.png"/><Relationship Id="rId107" Type="http://schemas.openxmlformats.org/officeDocument/2006/relationships/hyperlink" Target="https://fwcs.oregonstate.edu/users/ivan-arismendi" TargetMode="External"/><Relationship Id="rId11" Type="http://schemas.openxmlformats.org/officeDocument/2006/relationships/image" Target="media/image2.jpeg"/><Relationship Id="rId32" Type="http://schemas.openxmlformats.org/officeDocument/2006/relationships/hyperlink" Target="http://people.forestry.oregonstate.edu/richard-waring/sites/people.forestry.oregonstate.edu.richard-waring/files/publications/Law%20and%20Waring%202015.pdf" TargetMode="External"/><Relationship Id="rId37" Type="http://schemas.openxmlformats.org/officeDocument/2006/relationships/hyperlink" Target="https://uitspraken.rechtspraak.nl/inziendocument?id=ECLI:NL:RBDHA:2015:7196" TargetMode="External"/><Relationship Id="rId53" Type="http://schemas.openxmlformats.org/officeDocument/2006/relationships/hyperlink" Target="https://web.archive.org/web/20110420145203/http://www.nxtbook.com:80/nxtbooks/saf/forestrysource_201011/index.php" TargetMode="External"/><Relationship Id="rId58" Type="http://schemas.openxmlformats.org/officeDocument/2006/relationships/hyperlink" Target="https://naturalresources.house.gov/imo/media/doc/Law,%20Beverly%20-%20Testimony%20-%20NPFPL%20Ov%20Hrg%2004.29.21.pdf" TargetMode="External"/><Relationship Id="rId74" Type="http://schemas.openxmlformats.org/officeDocument/2006/relationships/hyperlink" Target="https://esajournals.onlinelibrary.wiley.com/doi/pdf/10.1002/ecs2.2696" TargetMode="External"/><Relationship Id="rId79" Type="http://schemas.openxmlformats.org/officeDocument/2006/relationships/hyperlink" Target="http://www.fs.fed.us/r6/nr/wildlife/decaid-guide/" TargetMode="External"/><Relationship Id="rId102" Type="http://schemas.openxmlformats.org/officeDocument/2006/relationships/hyperlink" Target="http://ecoshare.info/uploads/annualMeeting2016/Riparian-Management-and-ESA-Chatel.pptx" TargetMode="External"/><Relationship Id="rId123"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wwwnotes.fs.fed.us:81/pnw/DecAID/DecAID.nsf/HomePageLinks/44C813BC574BDFCC88256B3E006C63DF" TargetMode="External"/><Relationship Id="rId95" Type="http://schemas.openxmlformats.org/officeDocument/2006/relationships/hyperlink" Target="http://www.reo.gov/library/policy/REO-694_comm_thin_criteria.doc" TargetMode="External"/><Relationship Id="rId22" Type="http://schemas.openxmlformats.org/officeDocument/2006/relationships/hyperlink" Target="https://constrain-eu.org/wp-content/uploads/2020/02/CONSTRAIN-Zero-In-On-The-Remaining-Carbon-Budget-Decadal-Warming-Rates.pdf" TargetMode="External"/><Relationship Id="rId27" Type="http://schemas.openxmlformats.org/officeDocument/2006/relationships/hyperlink" Target="https://www.nwf.org/~/media/PDFs/Global-Warming/2014/Climate-Smart-Conservation-Final_06-06-2014.pdf" TargetMode="External"/><Relationship Id="rId43" Type="http://schemas.openxmlformats.org/officeDocument/2006/relationships/hyperlink" Target="https://www.nature.com/articles/s41467-021-24487-w.pdf" TargetMode="External"/><Relationship Id="rId48" Type="http://schemas.openxmlformats.org/officeDocument/2006/relationships/hyperlink" Target="http://blogs.law.columbia.edu/climatechange/2016/03/07/epas-use-of-the-social-cost-of-carbon-is-not-arbitrary-or-capricious/" TargetMode="External"/><Relationship Id="rId64" Type="http://schemas.openxmlformats.org/officeDocument/2006/relationships/hyperlink" Target="http://www.reo.gov/monitoring/reports/nso/FORSMANetal_draft_17_Dec_2010.pdf" TargetMode="External"/><Relationship Id="rId69" Type="http://schemas.openxmlformats.org/officeDocument/2006/relationships/hyperlink" Target="https://westernlaw.org/wp-content/uploads/2022/10/2022.09.30-Poor-Windy-Opinion-and-Order.pdf" TargetMode="External"/><Relationship Id="rId113" Type="http://schemas.openxmlformats.org/officeDocument/2006/relationships/hyperlink" Target="http://ecoshare.info/wp-content/uploads/2012/08/Barred-compared-to-spotted-Owl-diets.ppt" TargetMode="External"/><Relationship Id="rId118" Type="http://schemas.openxmlformats.org/officeDocument/2006/relationships/image" Target="media/image12.jpeg"/><Relationship Id="rId80" Type="http://schemas.openxmlformats.org/officeDocument/2006/relationships/hyperlink" Target="http://a123.g.akamai.net/7/123/11558/abc123/forestservic.download.akamai.com/11558/www/nepa/53012_FSPLT2_055455.pdf" TargetMode="External"/><Relationship Id="rId85" Type="http://schemas.openxmlformats.org/officeDocument/2006/relationships/hyperlink" Target="https://www.fs.fed.us/pnw/sciencef/scifi199.pdf" TargetMode="External"/><Relationship Id="rId12" Type="http://schemas.openxmlformats.org/officeDocument/2006/relationships/hyperlink" Target="mailto:dh@oregonwild.org" TargetMode="External"/><Relationship Id="rId17" Type="http://schemas.openxmlformats.org/officeDocument/2006/relationships/image" Target="media/image4.png"/><Relationship Id="rId33" Type="http://schemas.openxmlformats.org/officeDocument/2006/relationships/hyperlink" Target="https://doi.org/10.1038/s41467-021-21694-3" TargetMode="External"/><Relationship Id="rId38" Type="http://schemas.openxmlformats.org/officeDocument/2006/relationships/hyperlink" Target="http://phys.org/news/2016-11-carbon-western-cascades-forests-benefit.html" TargetMode="External"/><Relationship Id="rId59" Type="http://schemas.openxmlformats.org/officeDocument/2006/relationships/hyperlink" Target="https://doi.org/10.1088/1748-9326/ab1e95" TargetMode="External"/><Relationship Id="rId103" Type="http://schemas.openxmlformats.org/officeDocument/2006/relationships/hyperlink" Target="http://www.mediate.com/DSConsulting/docs/FINAL%20wood%20recruitment%20document.pdf" TargetMode="External"/><Relationship Id="rId108" Type="http://schemas.openxmlformats.org/officeDocument/2006/relationships/hyperlink" Target="https://www.springer.com/journal/10531?gclid=Cj0KCQjwhqaVBhCxARIsAHK1tiNwpoLOgeGKULrNVOsA_KsgM340-jigtBuy21lXvzN94Exosq40JCoaAjbfEALw_wcB" TargetMode="External"/><Relationship Id="rId124" Type="http://schemas.openxmlformats.org/officeDocument/2006/relationships/theme" Target="theme/theme1.xml"/><Relationship Id="rId54" Type="http://schemas.openxmlformats.org/officeDocument/2006/relationships/image" Target="media/image7.png"/><Relationship Id="rId70" Type="http://schemas.openxmlformats.org/officeDocument/2006/relationships/hyperlink" Target="https://www.dropbox.com/s/pi15rap4nvwxhtt/Heiken_Log_it_to_save_it_v.1.0.pdf?dl=0" TargetMode="External"/><Relationship Id="rId75" Type="http://schemas.openxmlformats.org/officeDocument/2006/relationships/hyperlink" Target="http://www.firescience.gov/projects/09-1-08-31/project/09-1-08-31_final_report.pdf" TargetMode="External"/><Relationship Id="rId91" Type="http://schemas.openxmlformats.org/officeDocument/2006/relationships/hyperlink" Target="http://www.fs.fed.us/r6/nr/wildlife/decaid/pages/Snag-Dynamics.html" TargetMode="External"/><Relationship Id="rId96" Type="http://schemas.openxmlformats.org/officeDocument/2006/relationships/hyperlink" Target="http://www.fs.fed.us/psw/publications/documents/gtr-181/042_MellenDec.pdf" TargetMode="Externa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hyperlink" Target="http://web.archive.org/web/20080610172128/http:/www.supremecourtus.gov/opinions/06pdf/05-1120.pdf" TargetMode="External"/><Relationship Id="rId28" Type="http://schemas.openxmlformats.org/officeDocument/2006/relationships/hyperlink" Target="https://www.critfc.org/wp-content/uploads/2017/01/JournalPost_Justice_etal2017.pdf" TargetMode="External"/><Relationship Id="rId49" Type="http://schemas.openxmlformats.org/officeDocument/2006/relationships/hyperlink" Target="http://static1.1.sqspcdn.com/static/f/551504/26259333/1432605642583/SocialCostsOfCarbonOClandsNiemiMay2015.pdf?token=wDqoa5RkP8EoBLlsRWIPPRuahzg%3D" TargetMode="External"/><Relationship Id="rId114" Type="http://schemas.openxmlformats.org/officeDocument/2006/relationships/hyperlink" Target="https://www.dropbox.com/s/yc13jrg0ya93yht/Heiken%202013.%20Review%20of%20Reeves%20et%20al%20Riparian%20Proposal.pdf?dl=0" TargetMode="External"/><Relationship Id="rId119" Type="http://schemas.openxmlformats.org/officeDocument/2006/relationships/hyperlink" Target="https://www.dropbox.com/s/pi15rap4nvwxhtt/Heiken_Log_it_to_save_it_v.1.0.pdf?dl=0" TargetMode="External"/><Relationship Id="rId44" Type="http://schemas.openxmlformats.org/officeDocument/2006/relationships/hyperlink" Target="https://www.whitehouse.gov/briefing-room/presidential-actions/2021/01/20/executive-order-protecting-public-health-and-environment-and-restoring-science-to-tackle-climate-crisis/" TargetMode="External"/><Relationship Id="rId60" Type="http://schemas.openxmlformats.org/officeDocument/2006/relationships/hyperlink" Target="https://www.whitehouse.gov/briefing-room/presidential-actions/2022/04/22/executive-order-on-strengthening-the-nations-forests-communities-and-local-economies/" TargetMode="External"/><Relationship Id="rId65" Type="http://schemas.openxmlformats.org/officeDocument/2006/relationships/hyperlink" Target="http://web.archive.org/web/20070612211945/http://www.eeb.cornell.edu/sdv2/Readings/Gaggiotti&amp;Hanski.pdf" TargetMode="External"/><Relationship Id="rId81" Type="http://schemas.openxmlformats.org/officeDocument/2006/relationships/hyperlink" Target="http://a123.g.akamai.net/7/123/11558/abc123/forestservic.download.akamai.com/11558/www/nepa/53012_FSPLT2_055426.pdf" TargetMode="External"/><Relationship Id="rId86" Type="http://schemas.openxmlformats.org/officeDocument/2006/relationships/hyperlink" Target="https://www.treesearch.fs.fed.us/pubs/49102" TargetMode="External"/><Relationship Id="rId4" Type="http://schemas.openxmlformats.org/officeDocument/2006/relationships/settings" Target="settings.xml"/><Relationship Id="rId9" Type="http://schemas.openxmlformats.org/officeDocument/2006/relationships/hyperlink" Target="http://www.bark-out.org/" TargetMode="External"/><Relationship Id="rId13" Type="http://schemas.openxmlformats.org/officeDocument/2006/relationships/hyperlink" Target="http://www.oregonwild.org/" TargetMode="External"/><Relationship Id="rId18" Type="http://schemas.openxmlformats.org/officeDocument/2006/relationships/hyperlink" Target="http://www.elawreview.org/summaries/environmental_quality/nepa/native_ecosystems_council_v_u.html" TargetMode="External"/><Relationship Id="rId39" Type="http://schemas.openxmlformats.org/officeDocument/2006/relationships/hyperlink" Target="http://onlinelibrary.wiley.com/doi/10.1002/eap.1358/abstract" TargetMode="External"/><Relationship Id="rId109" Type="http://schemas.openxmlformats.org/officeDocument/2006/relationships/hyperlink" Target="https://ktvz.com/news/environment/2022/06/21/osu-research-looks-at-importance-of-large-wood-in-streams-for-land-based-animals/" TargetMode="External"/><Relationship Id="rId34" Type="http://schemas.openxmlformats.org/officeDocument/2006/relationships/hyperlink" Target="https://www.nature.com/articles/s41467-021-21694-3.pdf" TargetMode="External"/><Relationship Id="rId50" Type="http://schemas.openxmlformats.org/officeDocument/2006/relationships/hyperlink" Target="http://www.eenews.net/assets/2015/01/13/document_cw_01.pdf" TargetMode="External"/><Relationship Id="rId55" Type="http://schemas.openxmlformats.org/officeDocument/2006/relationships/hyperlink" Target="https://www.nature.com/articles/s41558-018-0097-x" TargetMode="External"/><Relationship Id="rId76" Type="http://schemas.openxmlformats.org/officeDocument/2006/relationships/image" Target="media/image8.png"/><Relationship Id="rId97" Type="http://schemas.openxmlformats.org/officeDocument/2006/relationships/hyperlink" Target="http://www.fs.fed.us/r6/nr/wildlife/decaid-guide/CurranJunettaThin.shtml" TargetMode="External"/><Relationship Id="rId104" Type="http://schemas.openxmlformats.org/officeDocument/2006/relationships/hyperlink" Target="http://troutunlimitedblog.com/large-woody-debris-makes-for-fishy-rivers/" TargetMode="External"/><Relationship Id="rId120" Type="http://schemas.openxmlformats.org/officeDocument/2006/relationships/hyperlink" Target="https://www.dropbox.com/s/yc13jrg0ya93yht/Heiken%202013.%20Review%20of%20Reeves%20et%20al%20Riparian%20Proposal.pdf?dl=0" TargetMode="External"/><Relationship Id="rId7" Type="http://schemas.openxmlformats.org/officeDocument/2006/relationships/endnotes" Target="endnotes.xml"/><Relationship Id="rId71" Type="http://schemas.openxmlformats.org/officeDocument/2006/relationships/hyperlink" Target="http://www.fs.fed.us/pnw/pubs/pnw_gtr915.pdf" TargetMode="External"/><Relationship Id="rId92" Type="http://schemas.openxmlformats.org/officeDocument/2006/relationships/hyperlink" Target="http://www.fs.fed.us/pnw/pubs/gtr_428.pdf" TargetMode="External"/><Relationship Id="rId2" Type="http://schemas.openxmlformats.org/officeDocument/2006/relationships/styles" Target="styles.xml"/><Relationship Id="rId29" Type="http://schemas.openxmlformats.org/officeDocument/2006/relationships/hyperlink" Target="http://ecoshare.info/projects/central-cascade-%20adaptive-management-partnership/workshops/restoring-westside-%20dry-forests/" TargetMode="External"/><Relationship Id="rId24" Type="http://schemas.openxmlformats.org/officeDocument/2006/relationships/hyperlink" Target="https://uitspraken.rechtspraak.nl/inziendocument?id=ECLI:NL:RBDHA:2015:7196" TargetMode="External"/><Relationship Id="rId40" Type="http://schemas.openxmlformats.org/officeDocument/2006/relationships/hyperlink" Target="https://doi.org/10.1029/2020JG005815" TargetMode="External"/><Relationship Id="rId45" Type="http://schemas.openxmlformats.org/officeDocument/2006/relationships/hyperlink" Target="https://media.nature.com/original/magazine-assets/d41586-021-00441-0/d41586-021-00441-0.pdf" TargetMode="External"/><Relationship Id="rId66" Type="http://schemas.openxmlformats.org/officeDocument/2006/relationships/hyperlink" Target="http://www.ebd.csic.es/carnivoros/personal/carrete/martina/recursos/13.%20carrete%20et%20al%20(2005)%20oikos%20108-125.pdf" TargetMode="External"/><Relationship Id="rId87" Type="http://schemas.openxmlformats.org/officeDocument/2006/relationships/hyperlink" Target="http://web.archive.org/web/20030416095852/http://wwwnotes.fs.fed.us:81/pnw/DecAID/DecAID.nsf" TargetMode="External"/><Relationship Id="rId110" Type="http://schemas.openxmlformats.org/officeDocument/2006/relationships/hyperlink" Target="https://doi.org/10.1007/s10531-022-02437-2" TargetMode="External"/><Relationship Id="rId115" Type="http://schemas.openxmlformats.org/officeDocument/2006/relationships/hyperlink" Target="https://traskstudy.forestry.oregonstate.edu/headwater-streams-symposium-summaries-and-videos" TargetMode="External"/><Relationship Id="rId61" Type="http://schemas.openxmlformats.org/officeDocument/2006/relationships/hyperlink" Target="https://www.dropbox.com/s/4s0825a7t6fq7zu/Mature%20Forests%2C%20Heiken%2C%20v%201.8.pdf?dl=0" TargetMode="External"/><Relationship Id="rId82" Type="http://schemas.openxmlformats.org/officeDocument/2006/relationships/hyperlink" Target="http://www.fs.fed.us/pnw/pubs/journals/pnw_2010_marcot002.pdf" TargetMode="External"/><Relationship Id="rId19" Type="http://schemas.openxmlformats.org/officeDocument/2006/relationships/hyperlink" Target="https://doi.org/10.1093/oxrep/grw009" TargetMode="External"/><Relationship Id="rId14" Type="http://schemas.openxmlformats.org/officeDocument/2006/relationships/hyperlink" Target="https://cara.fs2c.usda.gov/Public//CommentInput?Project=56470" TargetMode="External"/><Relationship Id="rId30" Type="http://schemas.openxmlformats.org/officeDocument/2006/relationships/hyperlink" Target="https://www.nature.com/nclimate/journal/vaop/ncurrent/full/nclimate3351.html" TargetMode="External"/><Relationship Id="rId35" Type="http://schemas.openxmlformats.org/officeDocument/2006/relationships/hyperlink" Target="http://dx.doi.org/10.1071/WF11079" TargetMode="External"/><Relationship Id="rId56" Type="http://schemas.openxmlformats.org/officeDocument/2006/relationships/hyperlink" Target="https://www.chathamhouse.org/sites/files/chathamhouse/publications/research/2017-02-23-woody-biomass-global-climate-brack-embargoed.pdf" TargetMode="External"/><Relationship Id="rId77" Type="http://schemas.openxmlformats.org/officeDocument/2006/relationships/image" Target="media/image9.png"/><Relationship Id="rId100" Type="http://schemas.openxmlformats.org/officeDocument/2006/relationships/hyperlink" Target="http://fes.forestry.oregonstate.edu/sites/fes.forestry.oregonstate.edu/files/PDFs/RestorationOfFederalForestsInThePacificNorthwest.pdf" TargetMode="External"/><Relationship Id="rId105" Type="http://schemas.openxmlformats.org/officeDocument/2006/relationships/hyperlink" Target="http://www.sciencedaily.com/releases/2013/02/130211135045.htm" TargetMode="External"/><Relationship Id="rId8" Type="http://schemas.openxmlformats.org/officeDocument/2006/relationships/image" Target="media/image1.png"/><Relationship Id="rId51" Type="http://schemas.openxmlformats.org/officeDocument/2006/relationships/image" Target="media/image5.png"/><Relationship Id="rId72" Type="http://schemas.openxmlformats.org/officeDocument/2006/relationships/hyperlink" Target="http://www.firescience.gov/projects/09-1-08-31/project/09-1-08-31_final_report.pdf" TargetMode="External"/><Relationship Id="rId93" Type="http://schemas.openxmlformats.org/officeDocument/2006/relationships/hyperlink" Target="http://www.fs.fed.us/r6/nr/wildlife/decaid/" TargetMode="External"/><Relationship Id="rId98" Type="http://schemas.openxmlformats.org/officeDocument/2006/relationships/hyperlink" Target="http://a123.g.akamai.net/7/123/11558/abc123/forestservic.download.akamai.com/11558/www/nepa/93958_FSPLT3_3908091.pdf" TargetMode="External"/><Relationship Id="rId121" Type="http://schemas.openxmlformats.org/officeDocument/2006/relationships/footer" Target="footer1.xml"/><Relationship Id="rId3" Type="http://schemas.microsoft.com/office/2007/relationships/stylesWithEffects" Target="stylesWithEffects.xml"/><Relationship Id="rId25" Type="http://schemas.openxmlformats.org/officeDocument/2006/relationships/hyperlink" Target="https://obamawhitehouse.archives.gov/sites/default/files/omb/inforeg/foragencies/Social-Cost-of-Carbon-for-RIA.pdf" TargetMode="External"/><Relationship Id="rId46" Type="http://schemas.openxmlformats.org/officeDocument/2006/relationships/hyperlink" Target="https://gwagner.com/recalculate-scc" TargetMode="External"/><Relationship Id="rId67" Type="http://schemas.openxmlformats.org/officeDocument/2006/relationships/hyperlink" Target="http://www.pbs.org/newshour/bb/science/july-dec07/owl_12-18.html" TargetMode="External"/><Relationship Id="rId116" Type="http://schemas.openxmlformats.org/officeDocument/2006/relationships/hyperlink" Target="https://traskstudy.forestry.oregonstate.edu/sites/default/files/documents/Abstracts_Olson_ARM.pdf" TargetMode="External"/><Relationship Id="rId20" Type="http://schemas.openxmlformats.org/officeDocument/2006/relationships/hyperlink" Target="http://pure.iiasa.ac.at/id/eprint/12738/1/The%20cumulative%20carbon%20budget%20and%20its%20implications.pdf" TargetMode="External"/><Relationship Id="rId41" Type="http://schemas.openxmlformats.org/officeDocument/2006/relationships/hyperlink" Target="https://doi.org/10.1038/s41893-021-00692-9" TargetMode="External"/><Relationship Id="rId62" Type="http://schemas.openxmlformats.org/officeDocument/2006/relationships/hyperlink" Target="http://dl.getdropbox.com/u/47741/Mature%20Forests%2C%20Heiken%2C%20v%201.8.doc" TargetMode="External"/><Relationship Id="rId83" Type="http://schemas.openxmlformats.org/officeDocument/2006/relationships/hyperlink" Target="http://web.archive.org/web/20060708035905/http://www.nwhi.org/inc/data/GISdata/docs/chapter24.pdf" TargetMode="External"/><Relationship Id="rId88" Type="http://schemas.openxmlformats.org/officeDocument/2006/relationships/hyperlink" Target="http://maps.wildrockies.org/ecosystem_defense/Resources_Species_Topics/Lynx/lynx%20NW%20Decision.pdf" TargetMode="External"/><Relationship Id="rId111" Type="http://schemas.openxmlformats.org/officeDocument/2006/relationships/hyperlink" Target="https://link.springer.com/article/10.1007/s10531-022-02437-2" TargetMode="External"/><Relationship Id="rId15" Type="http://schemas.openxmlformats.org/officeDocument/2006/relationships/hyperlink" Target="https://www.fs.usda.gov/project/?project=56470" TargetMode="External"/><Relationship Id="rId36" Type="http://schemas.openxmlformats.org/officeDocument/2006/relationships/hyperlink" Target="http://www.publish.csiro.au/?act=view_file&amp;file_id=WF11079.pdf" TargetMode="External"/><Relationship Id="rId57" Type="http://schemas.openxmlformats.org/officeDocument/2006/relationships/hyperlink" Target="https://johnmuirproject.org/wp-content/uploads/2020/05/200TopClimateScientistCongressProtectForestsForCimateChange13May20.pdf" TargetMode="External"/><Relationship Id="rId106" Type="http://schemas.openxmlformats.org/officeDocument/2006/relationships/hyperlink" Target="https://www.nationalforests.org/blog/seven-reasons-why-fish-need-wood" TargetMode="External"/><Relationship Id="rId10" Type="http://schemas.openxmlformats.org/officeDocument/2006/relationships/hyperlink" Target="mailto:cara@bark-out.org" TargetMode="External"/><Relationship Id="rId31" Type="http://schemas.openxmlformats.org/officeDocument/2006/relationships/hyperlink" Target="http://journal.frontiersin.org/Journal/10.3389/fevo.2014.00088/full" TargetMode="External"/><Relationship Id="rId52" Type="http://schemas.openxmlformats.org/officeDocument/2006/relationships/image" Target="media/image6.png"/><Relationship Id="rId73" Type="http://schemas.openxmlformats.org/officeDocument/2006/relationships/hyperlink" Target="http://www.fws.gov/oregonfwo/Species/Data/NorthernSpottedOwl/Recovery/Library/Documents/TWSDraftRPReview.pdf" TargetMode="External"/><Relationship Id="rId78" Type="http://schemas.openxmlformats.org/officeDocument/2006/relationships/image" Target="media/image10.png"/><Relationship Id="rId94" Type="http://schemas.openxmlformats.org/officeDocument/2006/relationships/hyperlink" Target="http://www.fs.fed.us/r6/nr/wildlife/decaid/pages/Caveats-and-Cautions.html" TargetMode="External"/><Relationship Id="rId99" Type="http://schemas.openxmlformats.org/officeDocument/2006/relationships/hyperlink" Target="http://www.fs.fed.us/r6/nr/wildlife/decaid-guide/CurranJunettaThin.shtml" TargetMode="External"/><Relationship Id="rId101" Type="http://schemas.openxmlformats.org/officeDocument/2006/relationships/hyperlink" Target="http://ecoshare.info/whats-new/annual-reports/presentations-at-2016-annual-meeting-in-joseph-or/" TargetMode="External"/><Relationship Id="rId122"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www.fs.fed.us/pnw/publications/gtr765/pnw-gtr765c.pdf" TargetMode="External"/><Relationship Id="rId1" Type="http://schemas.openxmlformats.org/officeDocument/2006/relationships/hyperlink" Target="http://www.fs.fed.us/rm/boise/AWAE/projects/bull_trout/bt_Dunham.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1218</TotalTime>
  <Pages>56</Pages>
  <Words>27291</Words>
  <Characters>155564</Characters>
  <Application>Microsoft Office Word</Application>
  <DocSecurity>0</DocSecurity>
  <Lines>1296</Lines>
  <Paragraphs>364</Paragraphs>
  <ScaleCrop>false</ScaleCrop>
  <HeadingPairs>
    <vt:vector size="2" baseType="variant">
      <vt:variant>
        <vt:lpstr>Title</vt:lpstr>
      </vt:variant>
      <vt:variant>
        <vt:i4>1</vt:i4>
      </vt:variant>
    </vt:vector>
  </HeadingPairs>
  <TitlesOfParts>
    <vt:vector size="1" baseType="lpstr">
      <vt:lpstr/>
    </vt:vector>
  </TitlesOfParts>
  <Company>ONRC</Company>
  <LinksUpToDate>false</LinksUpToDate>
  <CharactersWithSpaces>182491</CharactersWithSpaces>
  <SharedDoc>false</SharedDoc>
  <HLinks>
    <vt:vector size="18" baseType="variant">
      <vt:variant>
        <vt:i4>4849710</vt:i4>
      </vt:variant>
      <vt:variant>
        <vt:i4>6</vt:i4>
      </vt:variant>
      <vt:variant>
        <vt:i4>0</vt:i4>
      </vt:variant>
      <vt:variant>
        <vt:i4>5</vt:i4>
      </vt:variant>
      <vt:variant>
        <vt:lpwstr>mailto:objections-pnw-regional-office@usda.gov</vt:lpwstr>
      </vt:variant>
      <vt:variant>
        <vt:lpwstr/>
      </vt:variant>
      <vt:variant>
        <vt:i4>2490414</vt:i4>
      </vt:variant>
      <vt:variant>
        <vt:i4>3</vt:i4>
      </vt:variant>
      <vt:variant>
        <vt:i4>0</vt:i4>
      </vt:variant>
      <vt:variant>
        <vt:i4>5</vt:i4>
      </vt:variant>
      <vt:variant>
        <vt:lpwstr>http://www.oregonwild.org/</vt:lpwstr>
      </vt:variant>
      <vt:variant>
        <vt:lpwstr/>
      </vt:variant>
      <vt:variant>
        <vt:i4>3670016</vt:i4>
      </vt:variant>
      <vt:variant>
        <vt:i4>0</vt:i4>
      </vt:variant>
      <vt:variant>
        <vt:i4>0</vt:i4>
      </vt:variant>
      <vt:variant>
        <vt:i4>5</vt:i4>
      </vt:variant>
      <vt:variant>
        <vt:lpwstr>mailto:dh@oregonwild.org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Doug Heiken</dc:creator>
  <cp:lastModifiedBy>Doug</cp:lastModifiedBy>
  <cp:revision>88</cp:revision>
  <dcterms:created xsi:type="dcterms:W3CDTF">2022-10-04T18:44:00Z</dcterms:created>
  <dcterms:modified xsi:type="dcterms:W3CDTF">2022-10-17T17:19:00Z</dcterms:modified>
</cp:coreProperties>
</file>