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6702" w14:textId="48057F14" w:rsidR="008640C8" w:rsidRPr="003D2D5F" w:rsidRDefault="00270F37">
      <w:pPr>
        <w:rPr>
          <w:sz w:val="32"/>
          <w:szCs w:val="32"/>
        </w:rPr>
      </w:pPr>
      <w:r w:rsidRPr="003D2D5F">
        <w:rPr>
          <w:sz w:val="32"/>
          <w:szCs w:val="32"/>
        </w:rPr>
        <w:t>Holland Lake project comments</w:t>
      </w:r>
    </w:p>
    <w:p w14:paraId="15E8EE2C" w14:textId="3D07E1AA" w:rsidR="00270F37" w:rsidRDefault="00270F37"/>
    <w:p w14:paraId="726906DA" w14:textId="77777777" w:rsidR="003D2D5F" w:rsidRDefault="003D2D5F"/>
    <w:p w14:paraId="0BDE7D6A" w14:textId="7E4E02CE" w:rsidR="00270F37" w:rsidRPr="005F3655" w:rsidRDefault="0013691E" w:rsidP="005F3655">
      <w:pPr>
        <w:pStyle w:val="ListParagraph"/>
        <w:numPr>
          <w:ilvl w:val="0"/>
          <w:numId w:val="6"/>
        </w:numPr>
        <w:tabs>
          <w:tab w:val="left" w:pos="450"/>
        </w:tabs>
        <w:ind w:left="0" w:firstLine="90"/>
        <w:rPr>
          <w:b/>
          <w:bCs/>
        </w:rPr>
      </w:pPr>
      <w:r w:rsidRPr="005F3655">
        <w:rPr>
          <w:b/>
          <w:bCs/>
        </w:rPr>
        <w:t xml:space="preserve">Questionable </w:t>
      </w:r>
      <w:r w:rsidR="003D2D5F" w:rsidRPr="005F3655">
        <w:rPr>
          <w:b/>
          <w:bCs/>
        </w:rPr>
        <w:t>NEPA Process</w:t>
      </w:r>
      <w:r w:rsidR="001548DA" w:rsidRPr="005F3655">
        <w:rPr>
          <w:b/>
          <w:bCs/>
        </w:rPr>
        <w:t xml:space="preserve"> followed by the USDA Forest Service</w:t>
      </w:r>
      <w:r w:rsidRPr="005F3655">
        <w:rPr>
          <w:b/>
          <w:bCs/>
        </w:rPr>
        <w:t xml:space="preserve"> for this project</w:t>
      </w:r>
      <w:r w:rsidR="003D2D5F" w:rsidRPr="005F3655">
        <w:rPr>
          <w:b/>
          <w:bCs/>
        </w:rPr>
        <w:t>:</w:t>
      </w:r>
    </w:p>
    <w:p w14:paraId="1AF8C438" w14:textId="548C5C3A" w:rsidR="003D2D5F" w:rsidRPr="007338D4" w:rsidRDefault="003D2D5F">
      <w:pPr>
        <w:rPr>
          <w:b/>
          <w:bCs/>
        </w:rPr>
      </w:pPr>
    </w:p>
    <w:p w14:paraId="45F173D8" w14:textId="6EEE15C1" w:rsidR="00474C75" w:rsidRDefault="000E5B19">
      <w:r>
        <w:t>In my previous positions I served as the Environmental review officer for Missoula County. In that positio</w:t>
      </w:r>
      <w:r w:rsidR="0083442E">
        <w:t>n where I reviewed specific federally funded projects under NEPA. Like other federal agencies,</w:t>
      </w:r>
      <w:r>
        <w:t xml:space="preserve"> </w:t>
      </w:r>
      <w:r w:rsidR="0083442E">
        <w:t>t</w:t>
      </w:r>
      <w:r w:rsidR="0016092D">
        <w:t>he USDA Forest Service is required to initiate a proper environmental review process to evaluate the Holland Lake proposal</w:t>
      </w:r>
      <w:r w:rsidR="00573AC1">
        <w:t xml:space="preserve"> under </w:t>
      </w:r>
      <w:r w:rsidR="001548DA">
        <w:t xml:space="preserve">implementing </w:t>
      </w:r>
      <w:r w:rsidR="00573AC1">
        <w:t>current regulations</w:t>
      </w:r>
      <w:r w:rsidR="001548DA">
        <w:t xml:space="preserve"> both at the individual agency level and </w:t>
      </w:r>
      <w:r w:rsidR="0083442E">
        <w:t xml:space="preserve">more broadly </w:t>
      </w:r>
      <w:r w:rsidR="001548DA">
        <w:t>under the Whitehouse Office Council of Environmental Quality or CEQ</w:t>
      </w:r>
      <w:r w:rsidR="0016092D">
        <w:t xml:space="preserve">.  </w:t>
      </w:r>
      <w:r w:rsidR="004F2DCB">
        <w:t xml:space="preserve">The National Environmental Policy Act or NEPA </w:t>
      </w:r>
      <w:r w:rsidR="0016092D">
        <w:t xml:space="preserve">and </w:t>
      </w:r>
      <w:proofErr w:type="spellStart"/>
      <w:r w:rsidR="0016092D">
        <w:t>it’s</w:t>
      </w:r>
      <w:proofErr w:type="spellEnd"/>
      <w:r w:rsidR="0016092D">
        <w:t xml:space="preserve"> implementing regulations under CEQ establishes the specific process by which NEPA is implemented. NEPA </w:t>
      </w:r>
      <w:r w:rsidR="0083442E">
        <w:t xml:space="preserve">does not require impacts to be mitigated; rather, it </w:t>
      </w:r>
      <w:r w:rsidR="004E59DD">
        <w:t>provides</w:t>
      </w:r>
      <w:r w:rsidR="00573AC1">
        <w:t xml:space="preserve"> </w:t>
      </w:r>
      <w:r w:rsidR="0016092D">
        <w:t xml:space="preserve">a broad </w:t>
      </w:r>
      <w:r w:rsidR="0083442E">
        <w:t xml:space="preserve">step by step </w:t>
      </w:r>
      <w:r w:rsidR="00573AC1">
        <w:t>decision-making process</w:t>
      </w:r>
      <w:r w:rsidR="0016092D">
        <w:t xml:space="preserve"> </w:t>
      </w:r>
      <w:r w:rsidR="0083442E">
        <w:t>through</w:t>
      </w:r>
      <w:r w:rsidR="0016092D">
        <w:t xml:space="preserve"> which </w:t>
      </w:r>
      <w:r w:rsidR="00573AC1">
        <w:t xml:space="preserve">many types of </w:t>
      </w:r>
      <w:r w:rsidR="0016092D">
        <w:t>environmental impacts</w:t>
      </w:r>
      <w:r w:rsidR="001548DA">
        <w:t xml:space="preserve"> both direct and indirect</w:t>
      </w:r>
      <w:r w:rsidR="0016092D">
        <w:t xml:space="preserve"> under many federal </w:t>
      </w:r>
      <w:r w:rsidR="00573AC1">
        <w:t>requirements</w:t>
      </w:r>
      <w:r w:rsidR="0016092D">
        <w:t xml:space="preserve"> </w:t>
      </w:r>
      <w:r w:rsidR="003F7CFD">
        <w:t>– including but not limited to the National Historic Preservation Act, The Clean Water Act</w:t>
      </w:r>
      <w:r w:rsidR="004E59DD">
        <w:t xml:space="preserve">, </w:t>
      </w:r>
      <w:r w:rsidR="008159E3">
        <w:t xml:space="preserve">the Endangered Species Act, </w:t>
      </w:r>
      <w:r w:rsidR="004E59DD">
        <w:t>etc.</w:t>
      </w:r>
      <w:r w:rsidR="001548DA">
        <w:t xml:space="preserve"> -- </w:t>
      </w:r>
      <w:r w:rsidR="00573AC1">
        <w:t>are ev</w:t>
      </w:r>
      <w:r w:rsidR="00474C75">
        <w:t>aluated</w:t>
      </w:r>
      <w:r w:rsidR="0016092D">
        <w:t xml:space="preserve">. </w:t>
      </w:r>
      <w:r w:rsidR="00474C75">
        <w:t>At each point in the process a decision is made to move on to the next</w:t>
      </w:r>
      <w:r w:rsidR="008159E3">
        <w:t xml:space="preserve"> based on the evaluation of potential impacts</w:t>
      </w:r>
      <w:r w:rsidR="00474C75">
        <w:t xml:space="preserve">.  </w:t>
      </w:r>
    </w:p>
    <w:p w14:paraId="2BBA7B14" w14:textId="77777777" w:rsidR="00474C75" w:rsidRDefault="00474C75"/>
    <w:p w14:paraId="27BB0CA4" w14:textId="077AF7A6" w:rsidR="003D2D5F" w:rsidRPr="001548DA" w:rsidRDefault="00573AC1">
      <w:pPr>
        <w:rPr>
          <w:rFonts w:ascii="Times New Roman" w:eastAsia="Times New Roman" w:hAnsi="Times New Roman" w:cs="Times New Roman"/>
        </w:rPr>
      </w:pPr>
      <w:r>
        <w:t>However, i</w:t>
      </w:r>
      <w:r w:rsidR="003D2D5F">
        <w:t xml:space="preserve">t is unclear if the NEPA process being followed </w:t>
      </w:r>
      <w:r w:rsidR="004F2DCB">
        <w:t xml:space="preserve">by the USDA Forest Service </w:t>
      </w:r>
      <w:r w:rsidR="003D2D5F">
        <w:t xml:space="preserve">in this proposal is adhering to the </w:t>
      </w:r>
      <w:r w:rsidR="004F2DCB">
        <w:t xml:space="preserve">new </w:t>
      </w:r>
      <w:r w:rsidR="003D2D5F">
        <w:t>corrected procedures established by the Council on Environmental Quality (CEQ)</w:t>
      </w:r>
      <w:r w:rsidR="004F2DCB">
        <w:t xml:space="preserve"> in April 2022</w:t>
      </w:r>
      <w:r w:rsidR="008159E3">
        <w:t xml:space="preserve"> to correct the errors made to the 2020 CEQ rules</w:t>
      </w:r>
      <w:r w:rsidR="0083442E">
        <w:t xml:space="preserve"> or even to the intent of the new regulations to correct the errors of the 2020 regulations that were inconsistent with the basic intent of NEPA</w:t>
      </w:r>
      <w:r w:rsidR="004F2DCB">
        <w:t>.</w:t>
      </w:r>
      <w:r w:rsidR="003D2D5F">
        <w:t xml:space="preserve"> The </w:t>
      </w:r>
      <w:r w:rsidR="008159E3">
        <w:t xml:space="preserve">2020 regulations </w:t>
      </w:r>
      <w:r w:rsidR="003D2D5F">
        <w:t>roll</w:t>
      </w:r>
      <w:r w:rsidR="008159E3">
        <w:t>ed</w:t>
      </w:r>
      <w:r w:rsidR="003D2D5F">
        <w:t xml:space="preserve"> back </w:t>
      </w:r>
      <w:r w:rsidR="008159E3">
        <w:t xml:space="preserve">some of the basic original </w:t>
      </w:r>
      <w:r w:rsidR="003A09A6">
        <w:t>requirements</w:t>
      </w:r>
      <w:r w:rsidR="001548DA">
        <w:t>.</w:t>
      </w:r>
      <w:r w:rsidR="00927FD0">
        <w:t xml:space="preserve"> </w:t>
      </w:r>
      <w:r w:rsidR="00D018C1">
        <w:t>Before the current 2022 regulation to correct these mistakes, the 2020 regulations were being challenged in the courts over their incompatibility with the intent and basis of NEPA.  “</w:t>
      </w:r>
      <w:r w:rsidR="001548DA" w:rsidRPr="001548DA">
        <w:rPr>
          <w:rFonts w:ascii="Arial" w:eastAsia="Times New Roman" w:hAnsi="Arial" w:cs="Arial"/>
          <w:color w:val="333333"/>
          <w:sz w:val="21"/>
          <w:szCs w:val="21"/>
          <w:shd w:val="clear" w:color="auto" w:fill="FFFFFF"/>
        </w:rPr>
        <w:t>The Forest Service has amended its NEPA regulations, effective November 19, 2020. The amendments establish new and revised categorical exclusions and a Determination of NEPA Adequacy provision. See </w:t>
      </w:r>
      <w:hyperlink r:id="rId5" w:tooltip="Select to visit webpage" w:history="1">
        <w:r w:rsidR="001548DA" w:rsidRPr="001548DA">
          <w:rPr>
            <w:rFonts w:ascii="Arial" w:eastAsia="Times New Roman" w:hAnsi="Arial" w:cs="Arial"/>
            <w:color w:val="245E86"/>
            <w:sz w:val="21"/>
            <w:szCs w:val="21"/>
            <w:u w:val="single"/>
            <w:shd w:val="clear" w:color="auto" w:fill="FFFFFF"/>
          </w:rPr>
          <w:t>Forest Service NEPA Procedures, Policy, and Guidance</w:t>
        </w:r>
      </w:hyperlink>
      <w:r w:rsidR="001548DA" w:rsidRPr="001548DA">
        <w:rPr>
          <w:rFonts w:ascii="Arial" w:eastAsia="Times New Roman" w:hAnsi="Arial" w:cs="Arial"/>
          <w:color w:val="333333"/>
          <w:sz w:val="21"/>
          <w:szCs w:val="21"/>
          <w:shd w:val="clear" w:color="auto" w:fill="FFFFFF"/>
        </w:rPr>
        <w:t> for more information.</w:t>
      </w:r>
      <w:r w:rsidR="001548DA">
        <w:rPr>
          <w:rFonts w:ascii="Arial" w:eastAsia="Times New Roman" w:hAnsi="Arial" w:cs="Arial"/>
          <w:color w:val="333333"/>
          <w:sz w:val="21"/>
          <w:szCs w:val="21"/>
          <w:shd w:val="clear" w:color="auto" w:fill="FFFFFF"/>
        </w:rPr>
        <w:t>”</w:t>
      </w:r>
      <w:r w:rsidR="001548DA">
        <w:rPr>
          <w:rFonts w:ascii="Times New Roman" w:eastAsia="Times New Roman" w:hAnsi="Times New Roman" w:cs="Times New Roman"/>
        </w:rPr>
        <w:t xml:space="preserve"> </w:t>
      </w:r>
      <w:r w:rsidR="001548DA">
        <w:t>(</w:t>
      </w:r>
      <w:r w:rsidR="001548DA" w:rsidRPr="001548DA">
        <w:t>https://www.fs.usda.gov/emc/nepa/</w:t>
      </w:r>
      <w:r w:rsidR="001548DA">
        <w:t>)</w:t>
      </w:r>
    </w:p>
    <w:p w14:paraId="73B1F480" w14:textId="52361B73" w:rsidR="004F2DCB" w:rsidRPr="004F2DCB" w:rsidRDefault="00927FD0" w:rsidP="004F2DCB">
      <w:pPr>
        <w:shd w:val="clear" w:color="auto" w:fill="FFFFFF"/>
        <w:spacing w:before="100" w:beforeAutospacing="1"/>
        <w:rPr>
          <w:rFonts w:ascii="Open Sans" w:eastAsia="Times New Roman" w:hAnsi="Open Sans" w:cs="Open Sans"/>
          <w:color w:val="292938"/>
          <w:sz w:val="21"/>
          <w:szCs w:val="21"/>
        </w:rPr>
      </w:pPr>
      <w:r>
        <w:rPr>
          <w:rFonts w:ascii="Open Sans" w:eastAsia="Times New Roman" w:hAnsi="Open Sans" w:cs="Open Sans"/>
          <w:b/>
          <w:bCs/>
          <w:i/>
          <w:iCs/>
          <w:color w:val="292938"/>
          <w:sz w:val="21"/>
          <w:szCs w:val="21"/>
        </w:rPr>
        <w:t>Issues with the</w:t>
      </w:r>
      <w:r w:rsidR="003A09A6" w:rsidRPr="003A09A6">
        <w:rPr>
          <w:rFonts w:ascii="Open Sans" w:eastAsia="Times New Roman" w:hAnsi="Open Sans" w:cs="Open Sans"/>
          <w:b/>
          <w:bCs/>
          <w:i/>
          <w:iCs/>
          <w:color w:val="292938"/>
          <w:sz w:val="21"/>
          <w:szCs w:val="21"/>
        </w:rPr>
        <w:t xml:space="preserve"> 2020 </w:t>
      </w:r>
      <w:r>
        <w:rPr>
          <w:rFonts w:ascii="Open Sans" w:eastAsia="Times New Roman" w:hAnsi="Open Sans" w:cs="Open Sans"/>
          <w:b/>
          <w:bCs/>
          <w:i/>
          <w:iCs/>
          <w:color w:val="292938"/>
          <w:sz w:val="21"/>
          <w:szCs w:val="21"/>
        </w:rPr>
        <w:t xml:space="preserve">CEQ </w:t>
      </w:r>
      <w:r w:rsidR="003A09A6" w:rsidRPr="003A09A6">
        <w:rPr>
          <w:rFonts w:ascii="Open Sans" w:eastAsia="Times New Roman" w:hAnsi="Open Sans" w:cs="Open Sans"/>
          <w:b/>
          <w:bCs/>
          <w:i/>
          <w:iCs/>
          <w:color w:val="292938"/>
          <w:sz w:val="21"/>
          <w:szCs w:val="21"/>
        </w:rPr>
        <w:t>rule</w:t>
      </w:r>
      <w:r w:rsidR="003A09A6" w:rsidRPr="003A09A6">
        <w:rPr>
          <w:rFonts w:ascii="Open Sans" w:eastAsia="Times New Roman" w:hAnsi="Open Sans" w:cs="Open Sans"/>
          <w:color w:val="292938"/>
          <w:sz w:val="21"/>
          <w:szCs w:val="21"/>
        </w:rPr>
        <w:t> add</w:t>
      </w:r>
      <w:r w:rsidR="003A09A6">
        <w:rPr>
          <w:rFonts w:ascii="Open Sans" w:eastAsia="Times New Roman" w:hAnsi="Open Sans" w:cs="Open Sans"/>
          <w:color w:val="292938"/>
          <w:sz w:val="21"/>
          <w:szCs w:val="21"/>
        </w:rPr>
        <w:t>ed</w:t>
      </w:r>
      <w:r w:rsidR="003A09A6" w:rsidRPr="003A09A6">
        <w:rPr>
          <w:rFonts w:ascii="Open Sans" w:eastAsia="Times New Roman" w:hAnsi="Open Sans" w:cs="Open Sans"/>
          <w:color w:val="292938"/>
          <w:sz w:val="21"/>
          <w:szCs w:val="21"/>
        </w:rPr>
        <w:t xml:space="preserve"> language to </w:t>
      </w:r>
      <w:r w:rsidR="003A09A6">
        <w:rPr>
          <w:rFonts w:ascii="Open Sans" w:eastAsia="Times New Roman" w:hAnsi="Open Sans" w:cs="Open Sans"/>
          <w:color w:val="292938"/>
          <w:sz w:val="21"/>
          <w:szCs w:val="21"/>
        </w:rPr>
        <w:t xml:space="preserve">CEQ regs </w:t>
      </w:r>
      <w:r w:rsidR="003A09A6" w:rsidRPr="003A09A6">
        <w:rPr>
          <w:rFonts w:ascii="Open Sans" w:eastAsia="Times New Roman" w:hAnsi="Open Sans" w:cs="Open Sans"/>
          <w:color w:val="292938"/>
          <w:sz w:val="21"/>
          <w:szCs w:val="21"/>
        </w:rPr>
        <w:t>§ 1502.13 requiring agencies to base the purpose and need statement on the agency’s authority and the goals of an applicant. The 2020 regulations also added a conforming definition to § 1508.1(z), defining “reasonable alternatives” to mean “a reasonable range of alternatives that are technically and economically feasible, meet the purpose and need for the proposed action, and, where applicable, </w:t>
      </w:r>
      <w:r w:rsidR="003A09A6" w:rsidRPr="003A09A6">
        <w:rPr>
          <w:rFonts w:ascii="Open Sans" w:eastAsia="Times New Roman" w:hAnsi="Open Sans" w:cs="Open Sans"/>
          <w:i/>
          <w:iCs/>
          <w:color w:val="292938"/>
          <w:sz w:val="21"/>
          <w:szCs w:val="21"/>
        </w:rPr>
        <w:t>meet the goals of the applicant</w:t>
      </w:r>
      <w:r w:rsidR="003A09A6" w:rsidRPr="003A09A6">
        <w:rPr>
          <w:rFonts w:ascii="Open Sans" w:eastAsia="Times New Roman" w:hAnsi="Open Sans" w:cs="Open Sans"/>
          <w:color w:val="292938"/>
          <w:sz w:val="21"/>
          <w:szCs w:val="21"/>
        </w:rPr>
        <w:t>.” The intent of these changes was to shift the focus to a review that accomplished the goals of the project sponsor, which had the effect of limiting the range of considerations that an agency would be required to review in performing its NEPA review. The revisions also limited the agency to consideration of issues that it could regulate or control, which excluded the review of some impacts that would be regulated by agencies other than the agency performing the NEPA review.</w:t>
      </w:r>
      <w:r w:rsidR="004F2DCB">
        <w:rPr>
          <w:rFonts w:ascii="Open Sans" w:eastAsia="Times New Roman" w:hAnsi="Open Sans" w:cs="Open Sans"/>
          <w:color w:val="292938"/>
          <w:sz w:val="21"/>
          <w:szCs w:val="21"/>
        </w:rPr>
        <w:t xml:space="preserve"> </w:t>
      </w:r>
      <w:r w:rsidR="003F7CFD">
        <w:rPr>
          <w:rFonts w:ascii="Open Sans" w:eastAsia="Times New Roman" w:hAnsi="Open Sans" w:cs="Open Sans"/>
          <w:color w:val="292938"/>
          <w:sz w:val="21"/>
          <w:szCs w:val="21"/>
        </w:rPr>
        <w:t xml:space="preserve">  </w:t>
      </w:r>
      <w:r w:rsidR="003A09A6">
        <w:rPr>
          <w:rFonts w:ascii="Open Sans" w:eastAsia="Times New Roman" w:hAnsi="Open Sans" w:cs="Open Sans"/>
          <w:color w:val="292938"/>
          <w:sz w:val="21"/>
          <w:szCs w:val="21"/>
        </w:rPr>
        <w:t>(</w:t>
      </w:r>
      <w:r w:rsidR="003A09A6" w:rsidRPr="003A09A6">
        <w:rPr>
          <w:rFonts w:ascii="Open Sans" w:eastAsia="Times New Roman" w:hAnsi="Open Sans" w:cs="Open Sans"/>
          <w:color w:val="292938"/>
          <w:sz w:val="21"/>
          <w:szCs w:val="21"/>
        </w:rPr>
        <w:t>https://www.orrick.com/en/Insights/2022/06/CEQs-Phase-I-NEPA-Revisions-a-Partial-Rollback-of-2020-Rules</w:t>
      </w:r>
      <w:r w:rsidR="003A09A6">
        <w:rPr>
          <w:rFonts w:ascii="Open Sans" w:eastAsia="Times New Roman" w:hAnsi="Open Sans" w:cs="Open Sans"/>
          <w:color w:val="292938"/>
          <w:sz w:val="21"/>
          <w:szCs w:val="21"/>
        </w:rPr>
        <w:t>)</w:t>
      </w:r>
    </w:p>
    <w:p w14:paraId="689A81BF" w14:textId="10A5A70C" w:rsidR="004F2DCB" w:rsidRDefault="004F2DCB" w:rsidP="004F2DCB">
      <w:pPr>
        <w:shd w:val="clear" w:color="auto" w:fill="FFFFFF"/>
        <w:spacing w:before="100" w:beforeAutospacing="1"/>
        <w:rPr>
          <w:rFonts w:ascii="Open Sans" w:eastAsia="Times New Roman" w:hAnsi="Open Sans" w:cs="Open Sans"/>
          <w:color w:val="292938"/>
          <w:sz w:val="21"/>
          <w:szCs w:val="21"/>
        </w:rPr>
      </w:pPr>
      <w:r w:rsidRPr="004F2DCB">
        <w:rPr>
          <w:rFonts w:ascii="Open Sans" w:eastAsia="Times New Roman" w:hAnsi="Open Sans" w:cs="Open Sans"/>
          <w:b/>
          <w:bCs/>
          <w:i/>
          <w:iCs/>
          <w:color w:val="292938"/>
          <w:sz w:val="21"/>
          <w:szCs w:val="21"/>
        </w:rPr>
        <w:lastRenderedPageBreak/>
        <w:t>CEQ’s 2022 rule</w:t>
      </w:r>
      <w:r w:rsidRPr="004F2DCB">
        <w:rPr>
          <w:rFonts w:ascii="Open Sans" w:eastAsia="Times New Roman" w:hAnsi="Open Sans" w:cs="Open Sans"/>
          <w:color w:val="292938"/>
          <w:sz w:val="21"/>
          <w:szCs w:val="21"/>
        </w:rPr>
        <w:t> </w:t>
      </w:r>
      <w:r w:rsidRPr="004F2DCB">
        <w:rPr>
          <w:rFonts w:ascii="Open Sans" w:eastAsia="Times New Roman" w:hAnsi="Open Sans" w:cs="Open Sans"/>
          <w:b/>
          <w:bCs/>
          <w:color w:val="FF0000"/>
          <w:sz w:val="21"/>
          <w:szCs w:val="21"/>
        </w:rPr>
        <w:t>reverts § 1502.13 to the 1978 language, removing the requirement for agencies to base the purpose and need on the goals of the applicant and the agency’s authority. It also deletes the reference to the “goals of the applicant” from the definition of reasonable alternatives in § 1508.1(z).</w:t>
      </w:r>
      <w:r w:rsidRPr="004F2DCB">
        <w:rPr>
          <w:rFonts w:ascii="Open Sans" w:eastAsia="Times New Roman" w:hAnsi="Open Sans" w:cs="Open Sans"/>
          <w:color w:val="FF0000"/>
          <w:sz w:val="21"/>
          <w:szCs w:val="21"/>
        </w:rPr>
        <w:t xml:space="preserve"> </w:t>
      </w:r>
      <w:r w:rsidRPr="004F2DCB">
        <w:rPr>
          <w:rFonts w:ascii="Open Sans" w:eastAsia="Times New Roman" w:hAnsi="Open Sans" w:cs="Open Sans"/>
          <w:b/>
          <w:bCs/>
          <w:color w:val="FF0000"/>
          <w:sz w:val="21"/>
          <w:szCs w:val="21"/>
        </w:rPr>
        <w:t>Under the revised regulations, agencies have the discretion to consider a variety of factors and environmental impacts and need not prioritize an applicant’s goals over other relevant environmental impact factors.</w:t>
      </w:r>
      <w:r w:rsidRPr="004F2DCB">
        <w:rPr>
          <w:rFonts w:ascii="Open Sans" w:eastAsia="Times New Roman" w:hAnsi="Open Sans" w:cs="Open Sans"/>
          <w:color w:val="292938"/>
          <w:sz w:val="21"/>
          <w:szCs w:val="21"/>
        </w:rPr>
        <w:t xml:space="preserve"> CEQ’s view is that this change will promote environmentally sound decision-making by allowing considerations which best meet the stated goals of NEPA and the agency’s empowering statute. </w:t>
      </w:r>
      <w:r w:rsidR="00573AC1">
        <w:rPr>
          <w:rFonts w:ascii="Open Sans" w:eastAsia="Times New Roman" w:hAnsi="Open Sans" w:cs="Open Sans"/>
          <w:color w:val="292938"/>
          <w:sz w:val="21"/>
          <w:szCs w:val="21"/>
        </w:rPr>
        <w:t>CEQ’s 2022 rule further</w:t>
      </w:r>
      <w:r w:rsidR="00573AC1" w:rsidRPr="00573AC1">
        <w:rPr>
          <w:rFonts w:ascii="Open Sans" w:eastAsia="Times New Roman" w:hAnsi="Open Sans" w:cs="Open Sans"/>
          <w:b/>
          <w:bCs/>
          <w:i/>
          <w:iCs/>
          <w:color w:val="292938"/>
          <w:sz w:val="21"/>
          <w:szCs w:val="21"/>
        </w:rPr>
        <w:t> </w:t>
      </w:r>
      <w:r w:rsidR="00573AC1" w:rsidRPr="00573AC1">
        <w:rPr>
          <w:rFonts w:ascii="Open Sans" w:eastAsia="Times New Roman" w:hAnsi="Open Sans" w:cs="Open Sans"/>
          <w:color w:val="292938"/>
          <w:sz w:val="21"/>
          <w:szCs w:val="21"/>
        </w:rPr>
        <w:t>substantively restores the old definitions as subsections (1)-(3) of § 1508.1(g), renaming “cumulative impacts” as “cumulative effects.” It also revokes the 2020 rule’s guidance to not consider effects with mere “but for” causation and to generally exclude from consideration effects that are remote, the product of a lengthy causal chain, or that the agency has no ability to prevent. Note that the 2022 final rule retains the language defining all “effects or impacts” as “changes ... </w:t>
      </w:r>
      <w:r w:rsidR="00573AC1" w:rsidRPr="00573AC1">
        <w:rPr>
          <w:rFonts w:ascii="Open Sans" w:eastAsia="Times New Roman" w:hAnsi="Open Sans" w:cs="Open Sans"/>
          <w:i/>
          <w:iCs/>
          <w:color w:val="292938"/>
          <w:sz w:val="21"/>
          <w:szCs w:val="21"/>
        </w:rPr>
        <w:t>that are reasonably foreseeable</w:t>
      </w:r>
      <w:r w:rsidR="00573AC1" w:rsidRPr="00573AC1">
        <w:rPr>
          <w:rFonts w:ascii="Open Sans" w:eastAsia="Times New Roman" w:hAnsi="Open Sans" w:cs="Open Sans"/>
          <w:color w:val="292938"/>
          <w:sz w:val="21"/>
          <w:szCs w:val="21"/>
        </w:rPr>
        <w:t>,” thus retaining some limitation on the scope of eligible effects.</w:t>
      </w:r>
      <w:r w:rsidR="00927FD0">
        <w:rPr>
          <w:rFonts w:ascii="Open Sans" w:eastAsia="Times New Roman" w:hAnsi="Open Sans" w:cs="Open Sans"/>
          <w:color w:val="292938"/>
          <w:sz w:val="21"/>
          <w:szCs w:val="21"/>
        </w:rPr>
        <w:t xml:space="preserve"> </w:t>
      </w:r>
      <w:r>
        <w:rPr>
          <w:rFonts w:ascii="Open Sans" w:eastAsia="Times New Roman" w:hAnsi="Open Sans" w:cs="Open Sans"/>
          <w:color w:val="292938"/>
          <w:sz w:val="21"/>
          <w:szCs w:val="21"/>
        </w:rPr>
        <w:t>(</w:t>
      </w:r>
      <w:hyperlink r:id="rId6" w:history="1">
        <w:r w:rsidR="00AA7710" w:rsidRPr="007410D7">
          <w:rPr>
            <w:rStyle w:val="Hyperlink"/>
            <w:rFonts w:ascii="Open Sans" w:eastAsia="Times New Roman" w:hAnsi="Open Sans" w:cs="Open Sans"/>
            <w:sz w:val="21"/>
            <w:szCs w:val="21"/>
          </w:rPr>
          <w:t>https://www.orrick.com/en/Insights/2022/06/CEQs-Phase-I-NEPA-Revisions-a-Partial-Rollback-of-2020-Rules</w:t>
        </w:r>
      </w:hyperlink>
      <w:r>
        <w:rPr>
          <w:rFonts w:ascii="Open Sans" w:eastAsia="Times New Roman" w:hAnsi="Open Sans" w:cs="Open Sans"/>
          <w:color w:val="292938"/>
          <w:sz w:val="21"/>
          <w:szCs w:val="21"/>
        </w:rPr>
        <w:t>)</w:t>
      </w:r>
    </w:p>
    <w:p w14:paraId="0399E313" w14:textId="5D135E00" w:rsidR="007338D4" w:rsidRDefault="007338D4" w:rsidP="004F2DCB">
      <w:pPr>
        <w:shd w:val="clear" w:color="auto" w:fill="FFFFFF"/>
        <w:spacing w:before="100" w:beforeAutospacing="1"/>
        <w:rPr>
          <w:rFonts w:ascii="Open Sans" w:eastAsia="Times New Roman" w:hAnsi="Open Sans" w:cs="Open Sans"/>
          <w:color w:val="292938"/>
          <w:sz w:val="21"/>
          <w:szCs w:val="21"/>
        </w:rPr>
      </w:pPr>
      <w:r>
        <w:rPr>
          <w:rFonts w:ascii="Open Sans" w:eastAsia="Times New Roman" w:hAnsi="Open Sans" w:cs="Open Sans"/>
          <w:b/>
          <w:bCs/>
          <w:color w:val="292938"/>
          <w:sz w:val="21"/>
          <w:szCs w:val="21"/>
        </w:rPr>
        <w:t xml:space="preserve">1A. </w:t>
      </w:r>
      <w:r w:rsidR="00AA7710" w:rsidRPr="007338D4">
        <w:rPr>
          <w:rFonts w:ascii="Open Sans" w:eastAsia="Times New Roman" w:hAnsi="Open Sans" w:cs="Open Sans"/>
          <w:b/>
          <w:bCs/>
          <w:color w:val="292938"/>
          <w:sz w:val="21"/>
          <w:szCs w:val="21"/>
        </w:rPr>
        <w:t>USDA Forest Service has overemphasized the needs of the applicant in th</w:t>
      </w:r>
      <w:r w:rsidR="00927FD0">
        <w:rPr>
          <w:rFonts w:ascii="Open Sans" w:eastAsia="Times New Roman" w:hAnsi="Open Sans" w:cs="Open Sans"/>
          <w:b/>
          <w:bCs/>
          <w:color w:val="292938"/>
          <w:sz w:val="21"/>
          <w:szCs w:val="21"/>
        </w:rPr>
        <w:t>eir review of Holland Lake</w:t>
      </w:r>
      <w:r w:rsidR="00AA7710" w:rsidRPr="007338D4">
        <w:rPr>
          <w:rFonts w:ascii="Open Sans" w:eastAsia="Times New Roman" w:hAnsi="Open Sans" w:cs="Open Sans"/>
          <w:b/>
          <w:bCs/>
          <w:color w:val="292938"/>
          <w:sz w:val="21"/>
          <w:szCs w:val="21"/>
        </w:rPr>
        <w:t xml:space="preserve"> proposal which the 2020 CEQ regulations, as discussed above, </w:t>
      </w:r>
      <w:proofErr w:type="gramStart"/>
      <w:r w:rsidR="00AA7710" w:rsidRPr="007338D4">
        <w:rPr>
          <w:rFonts w:ascii="Open Sans" w:eastAsia="Times New Roman" w:hAnsi="Open Sans" w:cs="Open Sans"/>
          <w:b/>
          <w:bCs/>
          <w:color w:val="292938"/>
          <w:sz w:val="21"/>
          <w:szCs w:val="21"/>
        </w:rPr>
        <w:t>promoted</w:t>
      </w:r>
      <w:proofErr w:type="gramEnd"/>
      <w:r w:rsidR="00AA7710" w:rsidRPr="007338D4">
        <w:rPr>
          <w:rFonts w:ascii="Open Sans" w:eastAsia="Times New Roman" w:hAnsi="Open Sans" w:cs="Open Sans"/>
          <w:b/>
          <w:bCs/>
          <w:color w:val="292938"/>
          <w:sz w:val="21"/>
          <w:szCs w:val="21"/>
        </w:rPr>
        <w:t xml:space="preserve"> and supported</w:t>
      </w:r>
      <w:r w:rsidR="00927FD0">
        <w:rPr>
          <w:rFonts w:ascii="Open Sans" w:eastAsia="Times New Roman" w:hAnsi="Open Sans" w:cs="Open Sans"/>
          <w:b/>
          <w:bCs/>
          <w:color w:val="292938"/>
          <w:sz w:val="21"/>
          <w:szCs w:val="21"/>
        </w:rPr>
        <w:t xml:space="preserve"> and which the 2022 CEQ rule revoked</w:t>
      </w:r>
      <w:r w:rsidR="00AA7710" w:rsidRPr="007338D4">
        <w:rPr>
          <w:rFonts w:ascii="Open Sans" w:eastAsia="Times New Roman" w:hAnsi="Open Sans" w:cs="Open Sans"/>
          <w:b/>
          <w:bCs/>
          <w:color w:val="292938"/>
          <w:sz w:val="21"/>
          <w:szCs w:val="21"/>
        </w:rPr>
        <w:t>.</w:t>
      </w:r>
      <w:r w:rsidR="00AA7710">
        <w:rPr>
          <w:rFonts w:ascii="Open Sans" w:eastAsia="Times New Roman" w:hAnsi="Open Sans" w:cs="Open Sans"/>
          <w:color w:val="292938"/>
          <w:sz w:val="21"/>
          <w:szCs w:val="21"/>
        </w:rPr>
        <w:t xml:space="preserve">  </w:t>
      </w:r>
    </w:p>
    <w:p w14:paraId="201175EF" w14:textId="0775E81D" w:rsidR="00AA7710" w:rsidRPr="004F2DCB" w:rsidRDefault="000946AB" w:rsidP="004F2DCB">
      <w:pPr>
        <w:shd w:val="clear" w:color="auto" w:fill="FFFFFF"/>
        <w:spacing w:before="100" w:beforeAutospacing="1"/>
        <w:rPr>
          <w:rFonts w:ascii="Open Sans" w:eastAsia="Times New Roman" w:hAnsi="Open Sans" w:cs="Open Sans"/>
          <w:color w:val="292938"/>
          <w:sz w:val="21"/>
          <w:szCs w:val="21"/>
        </w:rPr>
      </w:pPr>
      <w:r>
        <w:rPr>
          <w:rFonts w:ascii="Open Sans" w:eastAsia="Times New Roman" w:hAnsi="Open Sans" w:cs="Open Sans"/>
          <w:color w:val="292938"/>
          <w:sz w:val="21"/>
          <w:szCs w:val="21"/>
        </w:rPr>
        <w:t xml:space="preserve">The 2022 regulations reversed this emphasis to original standards.  The intent of NEPA is to set up a process whereby a proper environmental review is conducted when it involves a federal agency, </w:t>
      </w:r>
      <w:proofErr w:type="gramStart"/>
      <w:r>
        <w:rPr>
          <w:rFonts w:ascii="Open Sans" w:eastAsia="Times New Roman" w:hAnsi="Open Sans" w:cs="Open Sans"/>
          <w:color w:val="292938"/>
          <w:sz w:val="21"/>
          <w:szCs w:val="21"/>
        </w:rPr>
        <w:t>lands</w:t>
      </w:r>
      <w:proofErr w:type="gramEnd"/>
      <w:r>
        <w:rPr>
          <w:rFonts w:ascii="Open Sans" w:eastAsia="Times New Roman" w:hAnsi="Open Sans" w:cs="Open Sans"/>
          <w:color w:val="292938"/>
          <w:sz w:val="21"/>
          <w:szCs w:val="21"/>
        </w:rPr>
        <w:t xml:space="preserve"> or federal resources. The primary justification is that our federal agencies are there to protect PUBLIC RESOURCES AND THE PUBLIC and not private endeavors.  It is not the job of the Forest Service or any other branch of the federal government to promote the interest</w:t>
      </w:r>
      <w:r w:rsidR="000E5B19">
        <w:rPr>
          <w:rFonts w:ascii="Open Sans" w:eastAsia="Times New Roman" w:hAnsi="Open Sans" w:cs="Open Sans"/>
          <w:color w:val="292938"/>
          <w:sz w:val="21"/>
          <w:szCs w:val="21"/>
        </w:rPr>
        <w:t xml:space="preserve">s </w:t>
      </w:r>
      <w:r>
        <w:rPr>
          <w:rFonts w:ascii="Open Sans" w:eastAsia="Times New Roman" w:hAnsi="Open Sans" w:cs="Open Sans"/>
          <w:color w:val="292938"/>
          <w:sz w:val="21"/>
          <w:szCs w:val="21"/>
        </w:rPr>
        <w:t xml:space="preserve">of private entities.  </w:t>
      </w:r>
    </w:p>
    <w:p w14:paraId="0CFDB868" w14:textId="6DB0C719" w:rsidR="004F2DCB" w:rsidRPr="004F2DCB" w:rsidRDefault="007338D4" w:rsidP="004F2DCB">
      <w:pPr>
        <w:shd w:val="clear" w:color="auto" w:fill="FFFFFF"/>
        <w:spacing w:before="100" w:beforeAutospacing="1"/>
        <w:rPr>
          <w:rFonts w:ascii="Open Sans" w:eastAsia="Times New Roman" w:hAnsi="Open Sans" w:cs="Open Sans"/>
          <w:b/>
          <w:bCs/>
          <w:color w:val="292938"/>
          <w:sz w:val="21"/>
          <w:szCs w:val="21"/>
        </w:rPr>
      </w:pPr>
      <w:r>
        <w:rPr>
          <w:rFonts w:ascii="Open Sans" w:eastAsia="Times New Roman" w:hAnsi="Open Sans" w:cs="Open Sans"/>
          <w:b/>
          <w:bCs/>
          <w:color w:val="292938"/>
          <w:sz w:val="21"/>
          <w:szCs w:val="21"/>
        </w:rPr>
        <w:t xml:space="preserve">1B. </w:t>
      </w:r>
      <w:r w:rsidR="00D94345" w:rsidRPr="00D94345">
        <w:rPr>
          <w:rFonts w:ascii="Open Sans" w:eastAsia="Times New Roman" w:hAnsi="Open Sans" w:cs="Open Sans"/>
          <w:b/>
          <w:bCs/>
          <w:color w:val="292938"/>
          <w:sz w:val="21"/>
          <w:szCs w:val="21"/>
        </w:rPr>
        <w:t xml:space="preserve">USDA Forest Service’s Decision </w:t>
      </w:r>
      <w:r w:rsidR="00344319">
        <w:rPr>
          <w:rFonts w:ascii="Open Sans" w:eastAsia="Times New Roman" w:hAnsi="Open Sans" w:cs="Open Sans"/>
          <w:b/>
          <w:bCs/>
          <w:color w:val="292938"/>
          <w:sz w:val="21"/>
          <w:szCs w:val="21"/>
        </w:rPr>
        <w:t>made a wrong decision to review</w:t>
      </w:r>
      <w:r w:rsidR="00D94345" w:rsidRPr="00D94345">
        <w:rPr>
          <w:rFonts w:ascii="Open Sans" w:eastAsia="Times New Roman" w:hAnsi="Open Sans" w:cs="Open Sans"/>
          <w:b/>
          <w:bCs/>
          <w:color w:val="292938"/>
          <w:sz w:val="21"/>
          <w:szCs w:val="21"/>
        </w:rPr>
        <w:t xml:space="preserve"> the Holland Lake Proposal </w:t>
      </w:r>
      <w:r w:rsidR="00344319">
        <w:rPr>
          <w:rFonts w:ascii="Open Sans" w:eastAsia="Times New Roman" w:hAnsi="Open Sans" w:cs="Open Sans"/>
          <w:b/>
          <w:bCs/>
          <w:color w:val="292938"/>
          <w:sz w:val="21"/>
          <w:szCs w:val="21"/>
        </w:rPr>
        <w:t xml:space="preserve">as a </w:t>
      </w:r>
      <w:r w:rsidR="00D94345" w:rsidRPr="00D94345">
        <w:rPr>
          <w:rFonts w:ascii="Open Sans" w:eastAsia="Times New Roman" w:hAnsi="Open Sans" w:cs="Open Sans"/>
          <w:b/>
          <w:bCs/>
          <w:color w:val="292938"/>
          <w:sz w:val="21"/>
          <w:szCs w:val="21"/>
        </w:rPr>
        <w:t>Categorical Exclusion (Cat EX)</w:t>
      </w:r>
    </w:p>
    <w:p w14:paraId="7C982274" w14:textId="58208C01" w:rsidR="004F2DCB" w:rsidRDefault="00D94345" w:rsidP="004F2DCB">
      <w:pPr>
        <w:shd w:val="clear" w:color="auto" w:fill="FFFFFF"/>
        <w:spacing w:before="240" w:after="100" w:afterAutospacing="1"/>
        <w:rPr>
          <w:rFonts w:ascii="Open Sans" w:eastAsia="Times New Roman" w:hAnsi="Open Sans" w:cs="Open Sans"/>
          <w:color w:val="292938"/>
          <w:sz w:val="21"/>
          <w:szCs w:val="21"/>
        </w:rPr>
      </w:pPr>
      <w:r>
        <w:rPr>
          <w:rFonts w:ascii="Open Sans" w:eastAsia="Times New Roman" w:hAnsi="Open Sans" w:cs="Open Sans"/>
          <w:color w:val="292938"/>
          <w:sz w:val="21"/>
          <w:szCs w:val="21"/>
        </w:rPr>
        <w:t>Under NEPA, the lead agency determines what level of environmental review is pertains to a specific proposal. In general</w:t>
      </w:r>
      <w:r w:rsidR="00C50820">
        <w:rPr>
          <w:rFonts w:ascii="Open Sans" w:eastAsia="Times New Roman" w:hAnsi="Open Sans" w:cs="Open Sans"/>
          <w:color w:val="292938"/>
          <w:sz w:val="21"/>
          <w:szCs w:val="21"/>
        </w:rPr>
        <w:t xml:space="preserve">, under NEPA, </w:t>
      </w:r>
      <w:r>
        <w:rPr>
          <w:rFonts w:ascii="Open Sans" w:eastAsia="Times New Roman" w:hAnsi="Open Sans" w:cs="Open Sans"/>
          <w:color w:val="292938"/>
          <w:sz w:val="21"/>
          <w:szCs w:val="21"/>
        </w:rPr>
        <w:t>a decision is made to undertake a categorical exclusion when the proposal is a minor</w:t>
      </w:r>
      <w:r w:rsidR="0091025E">
        <w:rPr>
          <w:rFonts w:ascii="Open Sans" w:eastAsia="Times New Roman" w:hAnsi="Open Sans" w:cs="Open Sans"/>
          <w:color w:val="292938"/>
          <w:sz w:val="21"/>
          <w:szCs w:val="21"/>
        </w:rPr>
        <w:t xml:space="preserve"> action or undertaking such as </w:t>
      </w:r>
      <w:proofErr w:type="gramStart"/>
      <w:r w:rsidR="0091025E">
        <w:rPr>
          <w:rFonts w:ascii="Open Sans" w:eastAsia="Times New Roman" w:hAnsi="Open Sans" w:cs="Open Sans"/>
          <w:color w:val="292938"/>
          <w:sz w:val="21"/>
          <w:szCs w:val="21"/>
        </w:rPr>
        <w:t>an</w:t>
      </w:r>
      <w:proofErr w:type="gramEnd"/>
      <w:r w:rsidR="0091025E">
        <w:rPr>
          <w:rFonts w:ascii="Open Sans" w:eastAsia="Times New Roman" w:hAnsi="Open Sans" w:cs="Open Sans"/>
          <w:color w:val="292938"/>
          <w:sz w:val="21"/>
          <w:szCs w:val="21"/>
        </w:rPr>
        <w:t xml:space="preserve"> reconstructing a trail or an administrative undertaking that will not have a significant effect on the environment. </w:t>
      </w:r>
    </w:p>
    <w:p w14:paraId="1C5C432A" w14:textId="1A76346A" w:rsidR="008172C8" w:rsidRPr="006C1B35" w:rsidRDefault="00D520B5" w:rsidP="006C1B35">
      <w:pPr>
        <w:pStyle w:val="NormalWeb"/>
      </w:pPr>
      <w:r>
        <w:rPr>
          <w:rFonts w:ascii="Open Sans" w:hAnsi="Open Sans" w:cs="Open Sans"/>
          <w:color w:val="292938"/>
          <w:sz w:val="21"/>
          <w:szCs w:val="21"/>
        </w:rPr>
        <w:t>According to the CEQ, “if the proposed action is not included in the description of the CE provided by the agency</w:t>
      </w:r>
      <w:r w:rsidR="00344319">
        <w:rPr>
          <w:rFonts w:ascii="Open Sans" w:hAnsi="Open Sans" w:cs="Open Sans"/>
          <w:color w:val="292938"/>
          <w:sz w:val="21"/>
          <w:szCs w:val="21"/>
        </w:rPr>
        <w:t>,</w:t>
      </w:r>
      <w:r>
        <w:rPr>
          <w:rFonts w:ascii="Open Sans" w:hAnsi="Open Sans" w:cs="Open Sans"/>
          <w:color w:val="292938"/>
          <w:sz w:val="21"/>
          <w:szCs w:val="21"/>
        </w:rPr>
        <w:t xml:space="preserve"> the agency must prepare an EA or an EIS, or develop a new proposal</w:t>
      </w:r>
      <w:r w:rsidR="00344319">
        <w:rPr>
          <w:rFonts w:ascii="Open Sans" w:hAnsi="Open Sans" w:cs="Open Sans"/>
          <w:color w:val="292938"/>
          <w:sz w:val="21"/>
          <w:szCs w:val="21"/>
        </w:rPr>
        <w:t xml:space="preserve"> that may qualify for application of a CE. When the agency does not know or is uncertain whether significant impacts are expected, the agency should prepare an EA to determine if there are significant environmental impacts.”</w:t>
      </w:r>
      <w:r w:rsidR="00497E6C">
        <w:rPr>
          <w:rFonts w:ascii="Open Sans" w:hAnsi="Open Sans" w:cs="Open Sans"/>
          <w:color w:val="292938"/>
          <w:sz w:val="21"/>
          <w:szCs w:val="21"/>
        </w:rPr>
        <w:t xml:space="preserve"> (</w:t>
      </w:r>
      <w:hyperlink r:id="rId7" w:history="1">
        <w:r w:rsidR="00497E6C" w:rsidRPr="007410D7">
          <w:rPr>
            <w:rStyle w:val="Hyperlink"/>
            <w:rFonts w:ascii="Open Sans" w:hAnsi="Open Sans" w:cs="Open Sans"/>
            <w:sz w:val="21"/>
            <w:szCs w:val="21"/>
          </w:rPr>
          <w:t>https://ceq.doe.gov/docs/get-involved/citizens-guide-to-nepa-2021.pdf</w:t>
        </w:r>
      </w:hyperlink>
      <w:r w:rsidR="00497E6C">
        <w:rPr>
          <w:rFonts w:ascii="Open Sans" w:hAnsi="Open Sans" w:cs="Open Sans"/>
          <w:color w:val="292938"/>
          <w:sz w:val="21"/>
          <w:szCs w:val="21"/>
        </w:rPr>
        <w:t xml:space="preserve">). </w:t>
      </w:r>
      <w:r w:rsidR="006C1B35">
        <w:rPr>
          <w:rFonts w:ascii="Open Sans" w:hAnsi="Open Sans" w:cs="Open Sans"/>
          <w:color w:val="292938"/>
          <w:sz w:val="21"/>
          <w:szCs w:val="21"/>
        </w:rPr>
        <w:t>As part of the Trump Administration’s</w:t>
      </w:r>
      <w:r w:rsidR="003810EE">
        <w:rPr>
          <w:rFonts w:ascii="Open Sans" w:hAnsi="Open Sans" w:cs="Open Sans"/>
          <w:color w:val="292938"/>
          <w:sz w:val="21"/>
          <w:szCs w:val="21"/>
        </w:rPr>
        <w:t xml:space="preserve"> </w:t>
      </w:r>
      <w:r w:rsidR="006C1B35">
        <w:rPr>
          <w:rFonts w:ascii="Open Sans" w:hAnsi="Open Sans" w:cs="Open Sans"/>
          <w:color w:val="292938"/>
          <w:sz w:val="21"/>
          <w:szCs w:val="21"/>
        </w:rPr>
        <w:t xml:space="preserve">revisions to </w:t>
      </w:r>
      <w:r w:rsidR="00B76C37">
        <w:rPr>
          <w:rFonts w:ascii="Open Sans" w:hAnsi="Open Sans" w:cs="Open Sans"/>
          <w:color w:val="292938"/>
          <w:sz w:val="21"/>
          <w:szCs w:val="21"/>
        </w:rPr>
        <w:t>the CEQ</w:t>
      </w:r>
      <w:r w:rsidR="006C1B35">
        <w:rPr>
          <w:rFonts w:ascii="Open Sans" w:hAnsi="Open Sans" w:cs="Open Sans"/>
          <w:color w:val="292938"/>
          <w:sz w:val="21"/>
          <w:szCs w:val="21"/>
        </w:rPr>
        <w:t xml:space="preserve"> (discussed above under 2020 revisions) </w:t>
      </w:r>
      <w:r w:rsidR="003810EE">
        <w:rPr>
          <w:rFonts w:ascii="Open Sans" w:hAnsi="Open Sans" w:cs="Open Sans"/>
          <w:color w:val="292938"/>
          <w:sz w:val="21"/>
          <w:szCs w:val="21"/>
        </w:rPr>
        <w:t>the</w:t>
      </w:r>
      <w:r w:rsidR="008172C8">
        <w:rPr>
          <w:rFonts w:ascii="Open Sans" w:hAnsi="Open Sans" w:cs="Open Sans"/>
          <w:color w:val="292938"/>
          <w:sz w:val="21"/>
          <w:szCs w:val="21"/>
        </w:rPr>
        <w:t xml:space="preserve"> USDA FS included a new CE in the USDA FS rule, 36 CFR 220.  According to the FS, </w:t>
      </w:r>
      <w:r w:rsidR="008172C8">
        <w:rPr>
          <w:rFonts w:ascii="TimesNewRomanPSMT" w:hAnsi="TimesNewRomanPSMT"/>
          <w:sz w:val="22"/>
          <w:szCs w:val="22"/>
        </w:rPr>
        <w:t>36 CFR 220.6(e)(22)</w:t>
      </w:r>
      <w:r w:rsidR="008172C8">
        <w:rPr>
          <w:rFonts w:ascii="TimesNewRomanPSMT" w:hAnsi="TimesNewRomanPSMT"/>
          <w:sz w:val="22"/>
          <w:szCs w:val="22"/>
        </w:rPr>
        <w:t xml:space="preserve"> a CE now includes</w:t>
      </w:r>
      <w:r w:rsidR="008172C8">
        <w:rPr>
          <w:rFonts w:ascii="TimesNewRomanPSMT" w:hAnsi="TimesNewRomanPSMT"/>
          <w:sz w:val="22"/>
          <w:szCs w:val="22"/>
        </w:rPr>
        <w:t xml:space="preserve">: </w:t>
      </w:r>
      <w:r w:rsidR="008172C8">
        <w:rPr>
          <w:rFonts w:ascii="TimesNewRomanPS" w:hAnsi="TimesNewRomanPS"/>
          <w:i/>
          <w:iCs/>
          <w:sz w:val="22"/>
          <w:szCs w:val="22"/>
        </w:rPr>
        <w:t xml:space="preserve">Construction, reconstruction, decommissioning, or disposal of buildings, infrastructure, or improvements at an existing recreation site, </w:t>
      </w:r>
      <w:r w:rsidR="008172C8">
        <w:rPr>
          <w:rFonts w:ascii="TimesNewRomanPS" w:hAnsi="TimesNewRomanPS"/>
          <w:i/>
          <w:iCs/>
          <w:sz w:val="22"/>
          <w:szCs w:val="22"/>
        </w:rPr>
        <w:lastRenderedPageBreak/>
        <w:t>including infrastructure or improvements that are adjacent or connected to an existing recreation site and provide access or utilities for that site</w:t>
      </w:r>
      <w:r w:rsidR="008172C8">
        <w:rPr>
          <w:rFonts w:ascii="TimesNewRomanPSMT" w:hAnsi="TimesNewRomanPSMT"/>
          <w:sz w:val="22"/>
          <w:szCs w:val="22"/>
        </w:rPr>
        <w:t>.</w:t>
      </w:r>
      <w:r w:rsidR="003810EE">
        <w:rPr>
          <w:rFonts w:ascii="TimesNewRomanPSMT" w:hAnsi="TimesNewRomanPSMT"/>
          <w:sz w:val="22"/>
          <w:szCs w:val="22"/>
        </w:rPr>
        <w:t xml:space="preserve"> </w:t>
      </w:r>
      <w:proofErr w:type="gramStart"/>
      <w:r w:rsidR="003810EE">
        <w:rPr>
          <w:rFonts w:ascii="TimesNewRomanPSMT" w:hAnsi="TimesNewRomanPSMT"/>
          <w:sz w:val="22"/>
          <w:szCs w:val="22"/>
        </w:rPr>
        <w:t>Again</w:t>
      </w:r>
      <w:proofErr w:type="gramEnd"/>
      <w:r w:rsidR="003810EE">
        <w:rPr>
          <w:rFonts w:ascii="TimesNewRomanPSMT" w:hAnsi="TimesNewRomanPSMT"/>
          <w:sz w:val="22"/>
          <w:szCs w:val="22"/>
        </w:rPr>
        <w:t xml:space="preserve"> application of a CE to a project such as the Holland Lake Project is misguided</w:t>
      </w:r>
      <w:r w:rsidR="00B76C37">
        <w:rPr>
          <w:rFonts w:ascii="TimesNewRomanPSMT" w:hAnsi="TimesNewRomanPSMT"/>
          <w:sz w:val="22"/>
          <w:szCs w:val="22"/>
        </w:rPr>
        <w:t xml:space="preserve"> because </w:t>
      </w:r>
      <w:r w:rsidR="001E1F04">
        <w:rPr>
          <w:rFonts w:ascii="TimesNewRomanPSMT" w:hAnsi="TimesNewRomanPSMT"/>
          <w:sz w:val="22"/>
          <w:szCs w:val="22"/>
        </w:rPr>
        <w:t>it means that the agency has determined that there will be no significant environmental impacts</w:t>
      </w:r>
      <w:r w:rsidR="003810EE">
        <w:rPr>
          <w:rFonts w:ascii="TimesNewRomanPSMT" w:hAnsi="TimesNewRomanPSMT"/>
          <w:sz w:val="22"/>
          <w:szCs w:val="22"/>
        </w:rPr>
        <w:t xml:space="preserve">. </w:t>
      </w:r>
      <w:r w:rsidR="003C10BC">
        <w:rPr>
          <w:rFonts w:ascii="TimesNewRomanPSMT" w:hAnsi="TimesNewRomanPSMT"/>
          <w:sz w:val="22"/>
          <w:szCs w:val="22"/>
        </w:rPr>
        <w:t xml:space="preserve">The project will involve the construction of an additional 30,000 </w:t>
      </w:r>
      <w:proofErr w:type="spellStart"/>
      <w:r w:rsidR="003C10BC">
        <w:rPr>
          <w:rFonts w:ascii="TimesNewRomanPSMT" w:hAnsi="TimesNewRomanPSMT"/>
          <w:sz w:val="22"/>
          <w:szCs w:val="22"/>
        </w:rPr>
        <w:t>sft</w:t>
      </w:r>
      <w:proofErr w:type="spellEnd"/>
      <w:r w:rsidR="003C10BC">
        <w:rPr>
          <w:rFonts w:ascii="TimesNewRomanPSMT" w:hAnsi="TimesNewRomanPSMT"/>
          <w:sz w:val="22"/>
          <w:szCs w:val="22"/>
        </w:rPr>
        <w:t xml:space="preserve"> in structures; major expansion of wastewater treatment in critical habitat for endangered species, change existing historic structures without required historic preservation reviews or mitigations, dramatically increase use on the lake affecting summer homes on the lake and negatively impact other local recreation access to the area.  </w:t>
      </w:r>
      <w:r w:rsidR="00C50820">
        <w:rPr>
          <w:rFonts w:ascii="TimesNewRomanPSMT" w:hAnsi="TimesNewRomanPSMT"/>
          <w:sz w:val="22"/>
          <w:szCs w:val="22"/>
        </w:rPr>
        <w:t>Therefore, a CE</w:t>
      </w:r>
      <w:r w:rsidR="001E1F04">
        <w:rPr>
          <w:rFonts w:ascii="TimesNewRomanPSMT" w:hAnsi="TimesNewRomanPSMT"/>
          <w:sz w:val="22"/>
          <w:szCs w:val="22"/>
        </w:rPr>
        <w:t xml:space="preserve"> conclusion</w:t>
      </w:r>
      <w:r w:rsidR="00C50820">
        <w:rPr>
          <w:rFonts w:ascii="TimesNewRomanPSMT" w:hAnsi="TimesNewRomanPSMT"/>
          <w:sz w:val="22"/>
          <w:szCs w:val="22"/>
        </w:rPr>
        <w:t xml:space="preserve"> determination</w:t>
      </w:r>
      <w:r w:rsidR="001E1F04">
        <w:rPr>
          <w:rFonts w:ascii="TimesNewRomanPSMT" w:hAnsi="TimesNewRomanPSMT"/>
          <w:sz w:val="22"/>
          <w:szCs w:val="22"/>
        </w:rPr>
        <w:t xml:space="preserve"> is unsupported. </w:t>
      </w:r>
      <w:r w:rsidR="003810EE">
        <w:rPr>
          <w:rFonts w:ascii="TimesNewRomanPSMT" w:hAnsi="TimesNewRomanPSMT"/>
          <w:sz w:val="22"/>
          <w:szCs w:val="22"/>
        </w:rPr>
        <w:t xml:space="preserve">It will </w:t>
      </w:r>
      <w:r w:rsidR="00C50820">
        <w:rPr>
          <w:rFonts w:ascii="TimesNewRomanPSMT" w:hAnsi="TimesNewRomanPSMT"/>
          <w:sz w:val="22"/>
          <w:szCs w:val="22"/>
        </w:rPr>
        <w:t xml:space="preserve">clearly </w:t>
      </w:r>
      <w:r w:rsidR="003810EE">
        <w:rPr>
          <w:rFonts w:ascii="TimesNewRomanPSMT" w:hAnsi="TimesNewRomanPSMT"/>
          <w:sz w:val="22"/>
          <w:szCs w:val="22"/>
        </w:rPr>
        <w:t>be a major construction project</w:t>
      </w:r>
      <w:r w:rsidR="001E1F04">
        <w:rPr>
          <w:rFonts w:ascii="TimesNewRomanPSMT" w:hAnsi="TimesNewRomanPSMT"/>
          <w:sz w:val="22"/>
          <w:szCs w:val="22"/>
        </w:rPr>
        <w:t xml:space="preserve"> adjacent to a wilderness area</w:t>
      </w:r>
      <w:r w:rsidR="003810EE">
        <w:rPr>
          <w:rFonts w:ascii="TimesNewRomanPSMT" w:hAnsi="TimesNewRomanPSMT"/>
          <w:sz w:val="22"/>
          <w:szCs w:val="22"/>
        </w:rPr>
        <w:t>, dramatically increasing the size, the footprint, and the potential for major impacts to air quality, water quality, endangered species and more.</w:t>
      </w:r>
    </w:p>
    <w:p w14:paraId="736EB094" w14:textId="4DF4533A" w:rsidR="004F2DCB" w:rsidRDefault="001E1F04" w:rsidP="00D520B5">
      <w:pPr>
        <w:shd w:val="clear" w:color="auto" w:fill="FFFFFF"/>
        <w:spacing w:before="240" w:after="100" w:afterAutospacing="1"/>
        <w:rPr>
          <w:rFonts w:ascii="Open Sans" w:eastAsia="Times New Roman" w:hAnsi="Open Sans" w:cs="Open Sans"/>
          <w:color w:val="292938"/>
          <w:sz w:val="21"/>
          <w:szCs w:val="21"/>
        </w:rPr>
      </w:pPr>
      <w:r>
        <w:rPr>
          <w:rFonts w:ascii="Open Sans" w:eastAsia="Times New Roman" w:hAnsi="Open Sans" w:cs="Open Sans"/>
          <w:color w:val="292938"/>
          <w:sz w:val="21"/>
          <w:szCs w:val="21"/>
        </w:rPr>
        <w:t>N</w:t>
      </w:r>
      <w:r w:rsidR="00627186">
        <w:rPr>
          <w:rFonts w:ascii="Open Sans" w:eastAsia="Times New Roman" w:hAnsi="Open Sans" w:cs="Open Sans"/>
          <w:color w:val="292938"/>
          <w:sz w:val="21"/>
          <w:szCs w:val="21"/>
        </w:rPr>
        <w:t xml:space="preserve">ew construction </w:t>
      </w:r>
      <w:r>
        <w:rPr>
          <w:rFonts w:ascii="Open Sans" w:eastAsia="Times New Roman" w:hAnsi="Open Sans" w:cs="Open Sans"/>
          <w:color w:val="292938"/>
          <w:sz w:val="21"/>
          <w:szCs w:val="21"/>
        </w:rPr>
        <w:t>with extensive</w:t>
      </w:r>
      <w:r w:rsidR="00627186">
        <w:rPr>
          <w:rFonts w:ascii="Open Sans" w:eastAsia="Times New Roman" w:hAnsi="Open Sans" w:cs="Open Sans"/>
          <w:color w:val="292938"/>
          <w:sz w:val="21"/>
          <w:szCs w:val="21"/>
        </w:rPr>
        <w:t xml:space="preserve"> expansion of existing facilities is </w:t>
      </w:r>
      <w:r w:rsidR="006F4220">
        <w:rPr>
          <w:rFonts w:ascii="Open Sans" w:eastAsia="Times New Roman" w:hAnsi="Open Sans" w:cs="Open Sans"/>
          <w:color w:val="292938"/>
          <w:sz w:val="21"/>
          <w:szCs w:val="21"/>
        </w:rPr>
        <w:t xml:space="preserve">not a CE. </w:t>
      </w:r>
      <w:r>
        <w:rPr>
          <w:rFonts w:ascii="Open Sans" w:eastAsia="Times New Roman" w:hAnsi="Open Sans" w:cs="Open Sans"/>
          <w:color w:val="292938"/>
          <w:sz w:val="21"/>
          <w:szCs w:val="21"/>
        </w:rPr>
        <w:t xml:space="preserve"> </w:t>
      </w:r>
      <w:r w:rsidR="00E15D5C">
        <w:rPr>
          <w:rFonts w:ascii="Open Sans" w:eastAsia="Times New Roman" w:hAnsi="Open Sans" w:cs="Open Sans"/>
          <w:color w:val="292938"/>
          <w:sz w:val="21"/>
          <w:szCs w:val="21"/>
        </w:rPr>
        <w:t xml:space="preserve">Activities in the proposal </w:t>
      </w:r>
      <w:r w:rsidR="00627186">
        <w:rPr>
          <w:rFonts w:ascii="Open Sans" w:eastAsia="Times New Roman" w:hAnsi="Open Sans" w:cs="Open Sans"/>
          <w:color w:val="292938"/>
          <w:sz w:val="21"/>
          <w:szCs w:val="21"/>
        </w:rPr>
        <w:t xml:space="preserve">will </w:t>
      </w:r>
      <w:r w:rsidR="00E15D5C">
        <w:rPr>
          <w:rFonts w:ascii="Open Sans" w:eastAsia="Times New Roman" w:hAnsi="Open Sans" w:cs="Open Sans"/>
          <w:color w:val="292938"/>
          <w:sz w:val="21"/>
          <w:szCs w:val="21"/>
        </w:rPr>
        <w:t xml:space="preserve">clearly </w:t>
      </w:r>
      <w:r w:rsidR="00627186">
        <w:rPr>
          <w:rFonts w:ascii="Open Sans" w:eastAsia="Times New Roman" w:hAnsi="Open Sans" w:cs="Open Sans"/>
          <w:color w:val="292938"/>
          <w:sz w:val="21"/>
          <w:szCs w:val="21"/>
        </w:rPr>
        <w:t xml:space="preserve">have a significant effect on the environment including </w:t>
      </w:r>
      <w:r w:rsidR="0013691E">
        <w:rPr>
          <w:rFonts w:ascii="Open Sans" w:eastAsia="Times New Roman" w:hAnsi="Open Sans" w:cs="Open Sans"/>
          <w:color w:val="292938"/>
          <w:sz w:val="21"/>
          <w:szCs w:val="21"/>
        </w:rPr>
        <w:t xml:space="preserve">the potential to impact </w:t>
      </w:r>
      <w:r w:rsidR="00627186">
        <w:rPr>
          <w:rFonts w:ascii="Open Sans" w:eastAsia="Times New Roman" w:hAnsi="Open Sans" w:cs="Open Sans"/>
          <w:color w:val="292938"/>
          <w:sz w:val="21"/>
          <w:szCs w:val="21"/>
        </w:rPr>
        <w:t xml:space="preserve">endangered species, </w:t>
      </w:r>
      <w:r w:rsidR="0013691E">
        <w:rPr>
          <w:rFonts w:ascii="Open Sans" w:eastAsia="Times New Roman" w:hAnsi="Open Sans" w:cs="Open Sans"/>
          <w:color w:val="292938"/>
          <w:sz w:val="21"/>
          <w:szCs w:val="21"/>
        </w:rPr>
        <w:t>wilderness</w:t>
      </w:r>
      <w:r w:rsidR="00627186">
        <w:rPr>
          <w:rFonts w:ascii="Open Sans" w:eastAsia="Times New Roman" w:hAnsi="Open Sans" w:cs="Open Sans"/>
          <w:color w:val="292938"/>
          <w:sz w:val="21"/>
          <w:szCs w:val="21"/>
        </w:rPr>
        <w:t>,</w:t>
      </w:r>
      <w:r w:rsidR="0013691E">
        <w:rPr>
          <w:rFonts w:ascii="Open Sans" w:eastAsia="Times New Roman" w:hAnsi="Open Sans" w:cs="Open Sans"/>
          <w:color w:val="292938"/>
          <w:sz w:val="21"/>
          <w:szCs w:val="21"/>
        </w:rPr>
        <w:t xml:space="preserve"> water quality, air quality,</w:t>
      </w:r>
      <w:r w:rsidR="00627186">
        <w:rPr>
          <w:rFonts w:ascii="Open Sans" w:eastAsia="Times New Roman" w:hAnsi="Open Sans" w:cs="Open Sans"/>
          <w:color w:val="292938"/>
          <w:sz w:val="21"/>
          <w:szCs w:val="21"/>
        </w:rPr>
        <w:t xml:space="preserve"> </w:t>
      </w:r>
      <w:r w:rsidR="0013691E">
        <w:rPr>
          <w:rFonts w:ascii="Open Sans" w:eastAsia="Times New Roman" w:hAnsi="Open Sans" w:cs="Open Sans"/>
          <w:color w:val="292938"/>
          <w:sz w:val="21"/>
          <w:szCs w:val="21"/>
        </w:rPr>
        <w:t>historic resources, and other areas</w:t>
      </w:r>
      <w:r w:rsidR="00E15D5C">
        <w:rPr>
          <w:rFonts w:ascii="Open Sans" w:eastAsia="Times New Roman" w:hAnsi="Open Sans" w:cs="Open Sans"/>
          <w:color w:val="292938"/>
          <w:sz w:val="21"/>
          <w:szCs w:val="21"/>
        </w:rPr>
        <w:t>. These potential impacts</w:t>
      </w:r>
      <w:r w:rsidR="0013691E">
        <w:rPr>
          <w:rFonts w:ascii="Open Sans" w:eastAsia="Times New Roman" w:hAnsi="Open Sans" w:cs="Open Sans"/>
          <w:color w:val="292938"/>
          <w:sz w:val="21"/>
          <w:szCs w:val="21"/>
        </w:rPr>
        <w:t xml:space="preserve"> </w:t>
      </w:r>
      <w:r w:rsidR="00627186">
        <w:rPr>
          <w:rFonts w:ascii="Open Sans" w:eastAsia="Times New Roman" w:hAnsi="Open Sans" w:cs="Open Sans"/>
          <w:color w:val="292938"/>
          <w:sz w:val="21"/>
          <w:szCs w:val="21"/>
        </w:rPr>
        <w:t xml:space="preserve">must be </w:t>
      </w:r>
      <w:r w:rsidR="0013691E">
        <w:rPr>
          <w:rFonts w:ascii="Open Sans" w:eastAsia="Times New Roman" w:hAnsi="Open Sans" w:cs="Open Sans"/>
          <w:color w:val="292938"/>
          <w:sz w:val="21"/>
          <w:szCs w:val="21"/>
        </w:rPr>
        <w:t xml:space="preserve">properly </w:t>
      </w:r>
      <w:r w:rsidR="00627186">
        <w:rPr>
          <w:rFonts w:ascii="Open Sans" w:eastAsia="Times New Roman" w:hAnsi="Open Sans" w:cs="Open Sans"/>
          <w:color w:val="292938"/>
          <w:sz w:val="21"/>
          <w:szCs w:val="21"/>
        </w:rPr>
        <w:t xml:space="preserve">analyzed </w:t>
      </w:r>
      <w:r w:rsidR="0013691E">
        <w:rPr>
          <w:rFonts w:ascii="Open Sans" w:eastAsia="Times New Roman" w:hAnsi="Open Sans" w:cs="Open Sans"/>
          <w:color w:val="292938"/>
          <w:sz w:val="21"/>
          <w:szCs w:val="21"/>
        </w:rPr>
        <w:t>using an</w:t>
      </w:r>
      <w:r w:rsidR="00627186">
        <w:rPr>
          <w:rFonts w:ascii="Open Sans" w:eastAsia="Times New Roman" w:hAnsi="Open Sans" w:cs="Open Sans"/>
          <w:color w:val="292938"/>
          <w:sz w:val="21"/>
          <w:szCs w:val="21"/>
        </w:rPr>
        <w:t xml:space="preserve"> Environmental Assessment or an Environmental Impact Statement</w:t>
      </w:r>
      <w:r w:rsidR="0013691E">
        <w:rPr>
          <w:rFonts w:ascii="Open Sans" w:eastAsia="Times New Roman" w:hAnsi="Open Sans" w:cs="Open Sans"/>
          <w:color w:val="292938"/>
          <w:sz w:val="21"/>
          <w:szCs w:val="21"/>
        </w:rPr>
        <w:t>.</w:t>
      </w:r>
    </w:p>
    <w:p w14:paraId="3129B8E1" w14:textId="5B844614" w:rsidR="001E1F04" w:rsidRDefault="001E1F04" w:rsidP="001A3BDE">
      <w:pPr>
        <w:pStyle w:val="ListParagraph"/>
        <w:numPr>
          <w:ilvl w:val="0"/>
          <w:numId w:val="6"/>
        </w:numPr>
        <w:shd w:val="clear" w:color="auto" w:fill="FFFFFF"/>
        <w:tabs>
          <w:tab w:val="left" w:pos="360"/>
        </w:tabs>
        <w:spacing w:before="240" w:after="100" w:afterAutospacing="1"/>
        <w:ind w:left="0" w:firstLine="0"/>
        <w:rPr>
          <w:rFonts w:ascii="Times New Roman" w:eastAsia="Times New Roman" w:hAnsi="Times New Roman" w:cs="Times New Roman"/>
          <w:b/>
          <w:bCs/>
        </w:rPr>
      </w:pPr>
      <w:r w:rsidRPr="001A3BDE">
        <w:rPr>
          <w:rFonts w:ascii="Times New Roman" w:eastAsia="Times New Roman" w:hAnsi="Times New Roman" w:cs="Times New Roman"/>
          <w:b/>
          <w:bCs/>
        </w:rPr>
        <w:t>Major impacts</w:t>
      </w:r>
      <w:r w:rsidR="001A3BDE" w:rsidRPr="001A3BDE">
        <w:rPr>
          <w:rFonts w:ascii="Times New Roman" w:eastAsia="Times New Roman" w:hAnsi="Times New Roman" w:cs="Times New Roman"/>
          <w:b/>
          <w:bCs/>
        </w:rPr>
        <w:t xml:space="preserve"> of the project</w:t>
      </w:r>
      <w:r w:rsidRPr="001A3BDE">
        <w:rPr>
          <w:rFonts w:ascii="Times New Roman" w:eastAsia="Times New Roman" w:hAnsi="Times New Roman" w:cs="Times New Roman"/>
          <w:b/>
          <w:bCs/>
        </w:rPr>
        <w:t xml:space="preserve"> have not been </w:t>
      </w:r>
      <w:r w:rsidR="001A3BDE">
        <w:rPr>
          <w:rFonts w:ascii="Times New Roman" w:eastAsia="Times New Roman" w:hAnsi="Times New Roman" w:cs="Times New Roman"/>
          <w:b/>
          <w:bCs/>
        </w:rPr>
        <w:t>identified</w:t>
      </w:r>
      <w:r w:rsidR="001A3BDE" w:rsidRPr="001A3BDE">
        <w:rPr>
          <w:rFonts w:ascii="Times New Roman" w:eastAsia="Times New Roman" w:hAnsi="Times New Roman" w:cs="Times New Roman"/>
          <w:b/>
          <w:bCs/>
        </w:rPr>
        <w:t xml:space="preserve"> adequately in the scoping process.</w:t>
      </w:r>
    </w:p>
    <w:p w14:paraId="0F2E7F84" w14:textId="64B850B0" w:rsidR="00C50820" w:rsidRDefault="00C50820" w:rsidP="00C50820">
      <w:pPr>
        <w:pStyle w:val="NormalWeb"/>
        <w:rPr>
          <w:rFonts w:ascii="TimesNewRomanPSMT" w:hAnsi="TimesNewRomanPSMT"/>
          <w:sz w:val="22"/>
          <w:szCs w:val="22"/>
        </w:rPr>
      </w:pPr>
      <w:r>
        <w:rPr>
          <w:rFonts w:ascii="TimesNewRomanPSMT" w:hAnsi="TimesNewRomanPSMT"/>
          <w:sz w:val="22"/>
          <w:szCs w:val="22"/>
        </w:rPr>
        <w:t xml:space="preserve">My family and I have spent almost 30 years visiting </w:t>
      </w:r>
      <w:proofErr w:type="gramStart"/>
      <w:r>
        <w:rPr>
          <w:rFonts w:ascii="TimesNewRomanPSMT" w:hAnsi="TimesNewRomanPSMT"/>
          <w:sz w:val="22"/>
          <w:szCs w:val="22"/>
        </w:rPr>
        <w:t>Holland lake</w:t>
      </w:r>
      <w:proofErr w:type="gramEnd"/>
      <w:r>
        <w:rPr>
          <w:rFonts w:ascii="TimesNewRomanPSMT" w:hAnsi="TimesNewRomanPSMT"/>
          <w:sz w:val="22"/>
          <w:szCs w:val="22"/>
        </w:rPr>
        <w:t xml:space="preserve"> and recreating there.</w:t>
      </w:r>
      <w:r w:rsidR="0057763E">
        <w:rPr>
          <w:rFonts w:ascii="TimesNewRomanPSMT" w:hAnsi="TimesNewRomanPSMT"/>
          <w:sz w:val="22"/>
          <w:szCs w:val="22"/>
        </w:rPr>
        <w:t xml:space="preserve"> We have camped there and consistently stayed in one of the summer </w:t>
      </w:r>
      <w:proofErr w:type="gramStart"/>
      <w:r w:rsidR="0057763E">
        <w:rPr>
          <w:rFonts w:ascii="TimesNewRomanPSMT" w:hAnsi="TimesNewRomanPSMT"/>
          <w:sz w:val="22"/>
          <w:szCs w:val="22"/>
        </w:rPr>
        <w:t>lease</w:t>
      </w:r>
      <w:proofErr w:type="gramEnd"/>
      <w:r w:rsidR="0057763E">
        <w:rPr>
          <w:rFonts w:ascii="TimesNewRomanPSMT" w:hAnsi="TimesNewRomanPSMT"/>
          <w:sz w:val="22"/>
          <w:szCs w:val="22"/>
        </w:rPr>
        <w:t xml:space="preserve"> homes every summer located directly across from the lodge.  This proposal directly affects our experience and use of </w:t>
      </w:r>
      <w:proofErr w:type="gramStart"/>
      <w:r w:rsidR="0057763E">
        <w:rPr>
          <w:rFonts w:ascii="TimesNewRomanPSMT" w:hAnsi="TimesNewRomanPSMT"/>
          <w:sz w:val="22"/>
          <w:szCs w:val="22"/>
        </w:rPr>
        <w:t>Holland lake</w:t>
      </w:r>
      <w:proofErr w:type="gramEnd"/>
      <w:r w:rsidR="0057763E">
        <w:rPr>
          <w:rFonts w:ascii="TimesNewRomanPSMT" w:hAnsi="TimesNewRomanPSMT"/>
          <w:sz w:val="22"/>
          <w:szCs w:val="22"/>
        </w:rPr>
        <w:t xml:space="preserve"> and w</w:t>
      </w:r>
      <w:r w:rsidR="009074DE">
        <w:rPr>
          <w:rFonts w:ascii="TimesNewRomanPSMT" w:hAnsi="TimesNewRomanPSMT"/>
          <w:sz w:val="22"/>
          <w:szCs w:val="22"/>
        </w:rPr>
        <w:t xml:space="preserve">ill </w:t>
      </w:r>
      <w:r w:rsidR="0057763E">
        <w:rPr>
          <w:rFonts w:ascii="TimesNewRomanPSMT" w:hAnsi="TimesNewRomanPSMT"/>
          <w:sz w:val="22"/>
          <w:szCs w:val="22"/>
        </w:rPr>
        <w:t xml:space="preserve">negatively impact the experience of the summer home </w:t>
      </w:r>
      <w:proofErr w:type="spellStart"/>
      <w:r w:rsidR="0057763E">
        <w:rPr>
          <w:rFonts w:ascii="TimesNewRomanPSMT" w:hAnsi="TimesNewRomanPSMT"/>
          <w:sz w:val="22"/>
          <w:szCs w:val="22"/>
        </w:rPr>
        <w:t>lease</w:t>
      </w:r>
      <w:r w:rsidR="009074DE">
        <w:rPr>
          <w:rFonts w:ascii="TimesNewRomanPSMT" w:hAnsi="TimesNewRomanPSMT"/>
          <w:sz w:val="22"/>
          <w:szCs w:val="22"/>
        </w:rPr>
        <w:t>e</w:t>
      </w:r>
      <w:r w:rsidR="0057763E">
        <w:rPr>
          <w:rFonts w:ascii="TimesNewRomanPSMT" w:hAnsi="TimesNewRomanPSMT"/>
          <w:sz w:val="22"/>
          <w:szCs w:val="22"/>
        </w:rPr>
        <w:t>s</w:t>
      </w:r>
      <w:proofErr w:type="spellEnd"/>
      <w:r w:rsidR="0057763E">
        <w:rPr>
          <w:rFonts w:ascii="TimesNewRomanPSMT" w:hAnsi="TimesNewRomanPSMT"/>
          <w:sz w:val="22"/>
          <w:szCs w:val="22"/>
        </w:rPr>
        <w:t xml:space="preserve">, campers, and other recreationists. It will </w:t>
      </w:r>
      <w:r w:rsidR="009074DE">
        <w:rPr>
          <w:rFonts w:ascii="TimesNewRomanPSMT" w:hAnsi="TimesNewRomanPSMT"/>
          <w:sz w:val="22"/>
          <w:szCs w:val="22"/>
        </w:rPr>
        <w:t>create an overuse of the lake impacting species of concern like loons and other threatened and endangered species like lynx, grizzly bears, and specific types of trout. As climate change impacts continue, drought and lower snowpacks have already impacted the lake resulting in lower lake levels.  More use will just exacerbate those impacts.</w:t>
      </w:r>
      <w:r w:rsidR="005F5375">
        <w:rPr>
          <w:rFonts w:ascii="TimesNewRomanPSMT" w:hAnsi="TimesNewRomanPSMT"/>
          <w:sz w:val="22"/>
          <w:szCs w:val="22"/>
        </w:rPr>
        <w:t xml:space="preserve"> These impacts must be evaluated.</w:t>
      </w:r>
    </w:p>
    <w:p w14:paraId="1DF8BCBF" w14:textId="558C9C19" w:rsidR="00C50820" w:rsidRPr="006C1B35" w:rsidRDefault="009074DE" w:rsidP="00C50820">
      <w:pPr>
        <w:pStyle w:val="NormalWeb"/>
      </w:pPr>
      <w:r>
        <w:rPr>
          <w:rFonts w:ascii="TimesNewRomanPSMT" w:hAnsi="TimesNewRomanPSMT"/>
          <w:sz w:val="22"/>
          <w:szCs w:val="22"/>
        </w:rPr>
        <w:t>Again, t</w:t>
      </w:r>
      <w:r w:rsidR="00C50820">
        <w:rPr>
          <w:rFonts w:ascii="TimesNewRomanPSMT" w:hAnsi="TimesNewRomanPSMT"/>
          <w:sz w:val="22"/>
          <w:szCs w:val="22"/>
        </w:rPr>
        <w:t xml:space="preserve">he project will involve the construction of an additional 30,000 </w:t>
      </w:r>
      <w:proofErr w:type="spellStart"/>
      <w:r w:rsidR="00C50820">
        <w:rPr>
          <w:rFonts w:ascii="TimesNewRomanPSMT" w:hAnsi="TimesNewRomanPSMT"/>
          <w:sz w:val="22"/>
          <w:szCs w:val="22"/>
        </w:rPr>
        <w:t>sft</w:t>
      </w:r>
      <w:proofErr w:type="spellEnd"/>
      <w:r w:rsidR="00C50820">
        <w:rPr>
          <w:rFonts w:ascii="TimesNewRomanPSMT" w:hAnsi="TimesNewRomanPSMT"/>
          <w:sz w:val="22"/>
          <w:szCs w:val="22"/>
        </w:rPr>
        <w:t xml:space="preserve"> in structures; major expansion of wastewater treatment in critical habitat for endangered species, change existing historic structures without required historic preservation reviews or mitigations, dramatically increase use on the lake affecting summer homes on the lake and negatively impact other local recreation access to the area.  It will clearly be a major construction project adjacent to a wilderness area, dramatically increasing the size, the footprint, and the potential for major impacts to air quality, water quality, endangered species and more.</w:t>
      </w:r>
      <w:r>
        <w:rPr>
          <w:rFonts w:ascii="TimesNewRomanPSMT" w:hAnsi="TimesNewRomanPSMT"/>
          <w:sz w:val="22"/>
          <w:szCs w:val="22"/>
        </w:rPr>
        <w:t xml:space="preserve"> NEPA requires that these potential impacts must be reviewed in either an EA (initially) or a full EIS.</w:t>
      </w:r>
    </w:p>
    <w:p w14:paraId="7C815F14" w14:textId="77777777" w:rsidR="001A3BDE" w:rsidRPr="001A3BDE" w:rsidRDefault="001A3BDE" w:rsidP="001A3BDE">
      <w:pPr>
        <w:shd w:val="clear" w:color="auto" w:fill="FFFFFF"/>
        <w:tabs>
          <w:tab w:val="left" w:pos="360"/>
        </w:tabs>
        <w:spacing w:before="240" w:after="100" w:afterAutospacing="1"/>
        <w:rPr>
          <w:rFonts w:ascii="Times New Roman" w:eastAsia="Times New Roman" w:hAnsi="Times New Roman" w:cs="Times New Roman"/>
          <w:b/>
          <w:bCs/>
        </w:rPr>
      </w:pPr>
    </w:p>
    <w:p w14:paraId="30FADCEF" w14:textId="77777777" w:rsidR="001A3BDE" w:rsidRPr="001A3BDE" w:rsidRDefault="001A3BDE" w:rsidP="001A3BDE">
      <w:pPr>
        <w:shd w:val="clear" w:color="auto" w:fill="FFFFFF"/>
        <w:tabs>
          <w:tab w:val="left" w:pos="360"/>
        </w:tabs>
        <w:spacing w:before="240" w:after="100" w:afterAutospacing="1"/>
        <w:rPr>
          <w:rFonts w:ascii="Times New Roman" w:eastAsia="Times New Roman" w:hAnsi="Times New Roman" w:cs="Times New Roman"/>
        </w:rPr>
      </w:pPr>
    </w:p>
    <w:p w14:paraId="06528A61" w14:textId="77777777" w:rsidR="001A3BDE" w:rsidRPr="001A3BDE" w:rsidRDefault="001A3BDE" w:rsidP="001A3BDE">
      <w:pPr>
        <w:shd w:val="clear" w:color="auto" w:fill="FFFFFF"/>
        <w:spacing w:before="240" w:after="100" w:afterAutospacing="1"/>
        <w:rPr>
          <w:rFonts w:ascii="Times New Roman" w:eastAsia="Times New Roman" w:hAnsi="Times New Roman" w:cs="Times New Roman"/>
        </w:rPr>
      </w:pPr>
    </w:p>
    <w:p w14:paraId="3CB718D9" w14:textId="77777777" w:rsidR="003A09A6" w:rsidRDefault="003A09A6" w:rsidP="003A09A6"/>
    <w:sectPr w:rsidR="003A09A6" w:rsidSect="003A09A6">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1F6A"/>
    <w:multiLevelType w:val="multilevel"/>
    <w:tmpl w:val="9628E998"/>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C9024FD"/>
    <w:multiLevelType w:val="multilevel"/>
    <w:tmpl w:val="8D9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73357"/>
    <w:multiLevelType w:val="multilevel"/>
    <w:tmpl w:val="B01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36F1C"/>
    <w:multiLevelType w:val="hybridMultilevel"/>
    <w:tmpl w:val="3BA20012"/>
    <w:lvl w:ilvl="0" w:tplc="3E70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3086F"/>
    <w:multiLevelType w:val="hybridMultilevel"/>
    <w:tmpl w:val="5318174C"/>
    <w:lvl w:ilvl="0" w:tplc="63BA3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95612"/>
    <w:multiLevelType w:val="hybridMultilevel"/>
    <w:tmpl w:val="FAAE6D26"/>
    <w:lvl w:ilvl="0" w:tplc="B83428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947056">
    <w:abstractNumId w:val="2"/>
  </w:num>
  <w:num w:numId="2" w16cid:durableId="886912534">
    <w:abstractNumId w:val="4"/>
  </w:num>
  <w:num w:numId="3" w16cid:durableId="1719276186">
    <w:abstractNumId w:val="0"/>
  </w:num>
  <w:num w:numId="4" w16cid:durableId="2030790564">
    <w:abstractNumId w:val="1"/>
  </w:num>
  <w:num w:numId="5" w16cid:durableId="961618983">
    <w:abstractNumId w:val="3"/>
  </w:num>
  <w:num w:numId="6" w16cid:durableId="633291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7"/>
    <w:rsid w:val="000946AB"/>
    <w:rsid w:val="000E5B19"/>
    <w:rsid w:val="0013691E"/>
    <w:rsid w:val="001548DA"/>
    <w:rsid w:val="0016092D"/>
    <w:rsid w:val="001A3BDE"/>
    <w:rsid w:val="001E1F04"/>
    <w:rsid w:val="00270F37"/>
    <w:rsid w:val="00344319"/>
    <w:rsid w:val="003810EE"/>
    <w:rsid w:val="003A09A6"/>
    <w:rsid w:val="003C10BC"/>
    <w:rsid w:val="003D2D5F"/>
    <w:rsid w:val="003F7CFD"/>
    <w:rsid w:val="00474C75"/>
    <w:rsid w:val="00497E6C"/>
    <w:rsid w:val="004E59DD"/>
    <w:rsid w:val="004F2DCB"/>
    <w:rsid w:val="00573AC1"/>
    <w:rsid w:val="0057763E"/>
    <w:rsid w:val="005F3655"/>
    <w:rsid w:val="005F5375"/>
    <w:rsid w:val="00622B49"/>
    <w:rsid w:val="00627186"/>
    <w:rsid w:val="006C1B35"/>
    <w:rsid w:val="006F4220"/>
    <w:rsid w:val="007338D4"/>
    <w:rsid w:val="008159E3"/>
    <w:rsid w:val="008172C8"/>
    <w:rsid w:val="0083442E"/>
    <w:rsid w:val="008640C8"/>
    <w:rsid w:val="009074DE"/>
    <w:rsid w:val="0091025E"/>
    <w:rsid w:val="00927FD0"/>
    <w:rsid w:val="00AA7710"/>
    <w:rsid w:val="00B76C37"/>
    <w:rsid w:val="00C50820"/>
    <w:rsid w:val="00C534E5"/>
    <w:rsid w:val="00D018C1"/>
    <w:rsid w:val="00D520B5"/>
    <w:rsid w:val="00D94345"/>
    <w:rsid w:val="00E1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3DC2C"/>
  <w15:chartTrackingRefBased/>
  <w15:docId w15:val="{5422BB33-C6A0-9B47-BC30-21FC66CD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09A6"/>
    <w:rPr>
      <w:i/>
      <w:iCs/>
    </w:rPr>
  </w:style>
  <w:style w:type="paragraph" w:styleId="ListParagraph">
    <w:name w:val="List Paragraph"/>
    <w:basedOn w:val="Normal"/>
    <w:uiPriority w:val="34"/>
    <w:qFormat/>
    <w:rsid w:val="003A09A6"/>
    <w:pPr>
      <w:ind w:left="720"/>
      <w:contextualSpacing/>
    </w:pPr>
  </w:style>
  <w:style w:type="character" w:styleId="Hyperlink">
    <w:name w:val="Hyperlink"/>
    <w:basedOn w:val="DefaultParagraphFont"/>
    <w:uiPriority w:val="99"/>
    <w:unhideWhenUsed/>
    <w:rsid w:val="001548DA"/>
    <w:rPr>
      <w:color w:val="0000FF"/>
      <w:u w:val="single"/>
    </w:rPr>
  </w:style>
  <w:style w:type="character" w:styleId="UnresolvedMention">
    <w:name w:val="Unresolved Mention"/>
    <w:basedOn w:val="DefaultParagraphFont"/>
    <w:uiPriority w:val="99"/>
    <w:semiHidden/>
    <w:unhideWhenUsed/>
    <w:rsid w:val="004E59DD"/>
    <w:rPr>
      <w:color w:val="605E5C"/>
      <w:shd w:val="clear" w:color="auto" w:fill="E1DFDD"/>
    </w:rPr>
  </w:style>
  <w:style w:type="paragraph" w:styleId="NormalWeb">
    <w:name w:val="Normal (Web)"/>
    <w:basedOn w:val="Normal"/>
    <w:uiPriority w:val="99"/>
    <w:unhideWhenUsed/>
    <w:rsid w:val="008172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3455">
      <w:bodyDiv w:val="1"/>
      <w:marLeft w:val="0"/>
      <w:marRight w:val="0"/>
      <w:marTop w:val="0"/>
      <w:marBottom w:val="0"/>
      <w:divBdr>
        <w:top w:val="none" w:sz="0" w:space="0" w:color="auto"/>
        <w:left w:val="none" w:sz="0" w:space="0" w:color="auto"/>
        <w:bottom w:val="none" w:sz="0" w:space="0" w:color="auto"/>
        <w:right w:val="none" w:sz="0" w:space="0" w:color="auto"/>
      </w:divBdr>
    </w:div>
    <w:div w:id="387074296">
      <w:bodyDiv w:val="1"/>
      <w:marLeft w:val="0"/>
      <w:marRight w:val="0"/>
      <w:marTop w:val="0"/>
      <w:marBottom w:val="0"/>
      <w:divBdr>
        <w:top w:val="none" w:sz="0" w:space="0" w:color="auto"/>
        <w:left w:val="none" w:sz="0" w:space="0" w:color="auto"/>
        <w:bottom w:val="none" w:sz="0" w:space="0" w:color="auto"/>
        <w:right w:val="none" w:sz="0" w:space="0" w:color="auto"/>
      </w:divBdr>
      <w:divsChild>
        <w:div w:id="722366596">
          <w:marLeft w:val="0"/>
          <w:marRight w:val="0"/>
          <w:marTop w:val="0"/>
          <w:marBottom w:val="0"/>
          <w:divBdr>
            <w:top w:val="none" w:sz="0" w:space="0" w:color="auto"/>
            <w:left w:val="none" w:sz="0" w:space="0" w:color="auto"/>
            <w:bottom w:val="none" w:sz="0" w:space="0" w:color="auto"/>
            <w:right w:val="none" w:sz="0" w:space="0" w:color="auto"/>
          </w:divBdr>
          <w:divsChild>
            <w:div w:id="2082214017">
              <w:marLeft w:val="0"/>
              <w:marRight w:val="0"/>
              <w:marTop w:val="0"/>
              <w:marBottom w:val="0"/>
              <w:divBdr>
                <w:top w:val="none" w:sz="0" w:space="0" w:color="auto"/>
                <w:left w:val="none" w:sz="0" w:space="0" w:color="auto"/>
                <w:bottom w:val="none" w:sz="0" w:space="0" w:color="auto"/>
                <w:right w:val="none" w:sz="0" w:space="0" w:color="auto"/>
              </w:divBdr>
              <w:divsChild>
                <w:div w:id="1819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2502">
      <w:bodyDiv w:val="1"/>
      <w:marLeft w:val="0"/>
      <w:marRight w:val="0"/>
      <w:marTop w:val="0"/>
      <w:marBottom w:val="0"/>
      <w:divBdr>
        <w:top w:val="none" w:sz="0" w:space="0" w:color="auto"/>
        <w:left w:val="none" w:sz="0" w:space="0" w:color="auto"/>
        <w:bottom w:val="none" w:sz="0" w:space="0" w:color="auto"/>
        <w:right w:val="none" w:sz="0" w:space="0" w:color="auto"/>
      </w:divBdr>
    </w:div>
    <w:div w:id="601113015">
      <w:bodyDiv w:val="1"/>
      <w:marLeft w:val="0"/>
      <w:marRight w:val="0"/>
      <w:marTop w:val="0"/>
      <w:marBottom w:val="0"/>
      <w:divBdr>
        <w:top w:val="none" w:sz="0" w:space="0" w:color="auto"/>
        <w:left w:val="none" w:sz="0" w:space="0" w:color="auto"/>
        <w:bottom w:val="none" w:sz="0" w:space="0" w:color="auto"/>
        <w:right w:val="none" w:sz="0" w:space="0" w:color="auto"/>
      </w:divBdr>
    </w:div>
    <w:div w:id="605969638">
      <w:bodyDiv w:val="1"/>
      <w:marLeft w:val="0"/>
      <w:marRight w:val="0"/>
      <w:marTop w:val="0"/>
      <w:marBottom w:val="0"/>
      <w:divBdr>
        <w:top w:val="none" w:sz="0" w:space="0" w:color="auto"/>
        <w:left w:val="none" w:sz="0" w:space="0" w:color="auto"/>
        <w:bottom w:val="none" w:sz="0" w:space="0" w:color="auto"/>
        <w:right w:val="none" w:sz="0" w:space="0" w:color="auto"/>
      </w:divBdr>
    </w:div>
    <w:div w:id="622616341">
      <w:bodyDiv w:val="1"/>
      <w:marLeft w:val="0"/>
      <w:marRight w:val="0"/>
      <w:marTop w:val="0"/>
      <w:marBottom w:val="0"/>
      <w:divBdr>
        <w:top w:val="none" w:sz="0" w:space="0" w:color="auto"/>
        <w:left w:val="none" w:sz="0" w:space="0" w:color="auto"/>
        <w:bottom w:val="none" w:sz="0" w:space="0" w:color="auto"/>
        <w:right w:val="none" w:sz="0" w:space="0" w:color="auto"/>
      </w:divBdr>
    </w:div>
    <w:div w:id="1425684637">
      <w:bodyDiv w:val="1"/>
      <w:marLeft w:val="0"/>
      <w:marRight w:val="0"/>
      <w:marTop w:val="0"/>
      <w:marBottom w:val="0"/>
      <w:divBdr>
        <w:top w:val="none" w:sz="0" w:space="0" w:color="auto"/>
        <w:left w:val="none" w:sz="0" w:space="0" w:color="auto"/>
        <w:bottom w:val="none" w:sz="0" w:space="0" w:color="auto"/>
        <w:right w:val="none" w:sz="0" w:space="0" w:color="auto"/>
      </w:divBdr>
    </w:div>
    <w:div w:id="1547838427">
      <w:bodyDiv w:val="1"/>
      <w:marLeft w:val="0"/>
      <w:marRight w:val="0"/>
      <w:marTop w:val="0"/>
      <w:marBottom w:val="0"/>
      <w:divBdr>
        <w:top w:val="none" w:sz="0" w:space="0" w:color="auto"/>
        <w:left w:val="none" w:sz="0" w:space="0" w:color="auto"/>
        <w:bottom w:val="none" w:sz="0" w:space="0" w:color="auto"/>
        <w:right w:val="none" w:sz="0" w:space="0" w:color="auto"/>
      </w:divBdr>
    </w:div>
    <w:div w:id="1582910676">
      <w:bodyDiv w:val="1"/>
      <w:marLeft w:val="0"/>
      <w:marRight w:val="0"/>
      <w:marTop w:val="0"/>
      <w:marBottom w:val="0"/>
      <w:divBdr>
        <w:top w:val="none" w:sz="0" w:space="0" w:color="auto"/>
        <w:left w:val="none" w:sz="0" w:space="0" w:color="auto"/>
        <w:bottom w:val="none" w:sz="0" w:space="0" w:color="auto"/>
        <w:right w:val="none" w:sz="0" w:space="0" w:color="auto"/>
      </w:divBdr>
    </w:div>
    <w:div w:id="1590890769">
      <w:bodyDiv w:val="1"/>
      <w:marLeft w:val="0"/>
      <w:marRight w:val="0"/>
      <w:marTop w:val="0"/>
      <w:marBottom w:val="0"/>
      <w:divBdr>
        <w:top w:val="none" w:sz="0" w:space="0" w:color="auto"/>
        <w:left w:val="none" w:sz="0" w:space="0" w:color="auto"/>
        <w:bottom w:val="none" w:sz="0" w:space="0" w:color="auto"/>
        <w:right w:val="none" w:sz="0" w:space="0" w:color="auto"/>
      </w:divBdr>
    </w:div>
    <w:div w:id="16702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q.doe.gov/docs/get-involved/citizens-guide-to-nepa-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rick.com/en/Insights/2022/06/CEQs-Phase-I-NEPA-Revisions-a-Partial-Rollback-of-2020-Rules" TargetMode="External"/><Relationship Id="rId5" Type="http://schemas.openxmlformats.org/officeDocument/2006/relationships/hyperlink" Target="https://www.fs.usda.gov/emc/nepa/nepa_procedures/index.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Berlin</dc:creator>
  <cp:keywords/>
  <dc:description/>
  <cp:lastModifiedBy>Beth Berlin</cp:lastModifiedBy>
  <cp:revision>2</cp:revision>
  <dcterms:created xsi:type="dcterms:W3CDTF">2022-10-08T04:23:00Z</dcterms:created>
  <dcterms:modified xsi:type="dcterms:W3CDTF">2022-10-08T04:23:00Z</dcterms:modified>
</cp:coreProperties>
</file>