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C0291" w14:textId="717CE61B" w:rsidR="00A17678" w:rsidRPr="00A17678" w:rsidRDefault="00A17678" w:rsidP="00A17678">
      <w:pPr>
        <w:pStyle w:val="Heading3"/>
        <w:rPr>
          <w:rFonts w:ascii="Bookman Old Style" w:hAnsi="Bookman Old Style"/>
          <w:color w:val="auto"/>
        </w:rPr>
      </w:pPr>
      <w:bookmarkStart w:id="0" w:name="_Toc61279070"/>
      <w:bookmarkStart w:id="1" w:name="_Toc385489860"/>
      <w:bookmarkStart w:id="2" w:name="_Toc17710513"/>
      <w:r w:rsidRPr="00A17678">
        <w:rPr>
          <w:rFonts w:ascii="Bookman Old Style" w:hAnsi="Bookman Old Style"/>
          <w:color w:val="auto"/>
        </w:rPr>
        <w:t xml:space="preserve">September </w:t>
      </w:r>
      <w:r>
        <w:rPr>
          <w:rFonts w:ascii="Bookman Old Style" w:hAnsi="Bookman Old Style"/>
          <w:color w:val="auto"/>
        </w:rPr>
        <w:t>1</w:t>
      </w:r>
      <w:r w:rsidR="000B7941">
        <w:rPr>
          <w:rFonts w:ascii="Bookman Old Style" w:hAnsi="Bookman Old Style"/>
          <w:color w:val="auto"/>
        </w:rPr>
        <w:t>4</w:t>
      </w:r>
      <w:r w:rsidRPr="00A17678">
        <w:rPr>
          <w:rFonts w:ascii="Bookman Old Style" w:hAnsi="Bookman Old Style"/>
          <w:color w:val="auto"/>
        </w:rPr>
        <w:t>, 2022</w:t>
      </w:r>
    </w:p>
    <w:p w14:paraId="60FB545C" w14:textId="77777777" w:rsidR="00A17678" w:rsidRPr="00A17678" w:rsidRDefault="00A17678" w:rsidP="00A17678">
      <w:pPr>
        <w:pStyle w:val="Heading3"/>
        <w:rPr>
          <w:rFonts w:ascii="Bookman Old Style" w:hAnsi="Bookman Old Style"/>
          <w:color w:val="auto"/>
        </w:rPr>
      </w:pPr>
    </w:p>
    <w:p w14:paraId="716B1454" w14:textId="77777777" w:rsidR="00A17678" w:rsidRDefault="00A17678" w:rsidP="00A17678">
      <w:pPr>
        <w:pStyle w:val="Heading3"/>
        <w:rPr>
          <w:rFonts w:ascii="Bookman Old Style" w:hAnsi="Bookman Old Style"/>
          <w:color w:val="auto"/>
        </w:rPr>
      </w:pPr>
      <w:r w:rsidRPr="00A17678">
        <w:rPr>
          <w:rFonts w:ascii="Bookman Old Style" w:hAnsi="Bookman Old Style"/>
          <w:color w:val="auto"/>
        </w:rPr>
        <w:t>Kurt Steele, Forest Supervisor</w:t>
      </w:r>
      <w:r>
        <w:rPr>
          <w:rFonts w:ascii="Bookman Old Style" w:hAnsi="Bookman Old Style"/>
          <w:color w:val="auto"/>
        </w:rPr>
        <w:t>;</w:t>
      </w:r>
    </w:p>
    <w:p w14:paraId="53C95DF4" w14:textId="26D93ED9" w:rsidR="00A17678" w:rsidRPr="00A17678" w:rsidRDefault="00A17678" w:rsidP="00A17678">
      <w:pPr>
        <w:pStyle w:val="Heading3"/>
        <w:rPr>
          <w:rFonts w:ascii="Bookman Old Style" w:hAnsi="Bookman Old Style"/>
          <w:color w:val="auto"/>
        </w:rPr>
      </w:pPr>
      <w:r>
        <w:rPr>
          <w:rFonts w:ascii="Bookman Old Style" w:hAnsi="Bookman Old Style"/>
          <w:color w:val="auto"/>
        </w:rPr>
        <w:t>and</w:t>
      </w:r>
      <w:r w:rsidRPr="00A17678">
        <w:rPr>
          <w:rFonts w:ascii="Bookman Old Style" w:hAnsi="Bookman Old Style"/>
          <w:color w:val="auto"/>
        </w:rPr>
        <w:t xml:space="preserve"> Shelli </w:t>
      </w:r>
      <w:proofErr w:type="spellStart"/>
      <w:r w:rsidRPr="00A17678">
        <w:rPr>
          <w:rFonts w:ascii="Bookman Old Style" w:hAnsi="Bookman Old Style"/>
          <w:color w:val="auto"/>
        </w:rPr>
        <w:t>Mavor</w:t>
      </w:r>
      <w:proofErr w:type="spellEnd"/>
      <w:r w:rsidRPr="00A17678">
        <w:rPr>
          <w:rFonts w:ascii="Bookman Old Style" w:hAnsi="Bookman Old Style"/>
          <w:color w:val="auto"/>
        </w:rPr>
        <w:t>, Project Lead</w:t>
      </w:r>
    </w:p>
    <w:p w14:paraId="24E0259D" w14:textId="77777777" w:rsidR="00A17678" w:rsidRPr="00A17678" w:rsidRDefault="00A17678" w:rsidP="00A17678">
      <w:pPr>
        <w:pStyle w:val="Heading3"/>
        <w:rPr>
          <w:rFonts w:ascii="Bookman Old Style" w:hAnsi="Bookman Old Style"/>
          <w:color w:val="auto"/>
        </w:rPr>
      </w:pPr>
      <w:r w:rsidRPr="00A17678">
        <w:rPr>
          <w:rFonts w:ascii="Bookman Old Style" w:hAnsi="Bookman Old Style"/>
          <w:color w:val="auto"/>
        </w:rPr>
        <w:t>Flathead National Forest</w:t>
      </w:r>
    </w:p>
    <w:p w14:paraId="460FC9DB" w14:textId="6F262E15" w:rsidR="00A17678" w:rsidRPr="00A17678" w:rsidRDefault="00A17678" w:rsidP="00A17678">
      <w:pPr>
        <w:pStyle w:val="Heading3"/>
        <w:rPr>
          <w:rFonts w:ascii="Bookman Old Style" w:hAnsi="Bookman Old Style"/>
          <w:color w:val="auto"/>
        </w:rPr>
      </w:pPr>
    </w:p>
    <w:p w14:paraId="66BFBDE2" w14:textId="77777777" w:rsidR="00A17678" w:rsidRPr="00A17678" w:rsidRDefault="00A17678" w:rsidP="00A17678">
      <w:pPr>
        <w:pStyle w:val="Heading3"/>
        <w:rPr>
          <w:rFonts w:ascii="Bookman Old Style" w:hAnsi="Bookman Old Style"/>
          <w:color w:val="auto"/>
        </w:rPr>
      </w:pPr>
      <w:r w:rsidRPr="00A17678">
        <w:rPr>
          <w:rFonts w:ascii="Bookman Old Style" w:hAnsi="Bookman Old Style"/>
          <w:color w:val="auto"/>
        </w:rPr>
        <w:t>Sent via: https://www.fs.usda.gov/project/?project=61746</w:t>
      </w:r>
    </w:p>
    <w:p w14:paraId="64E47372" w14:textId="77777777" w:rsidR="00A17678" w:rsidRPr="00A17678" w:rsidRDefault="00A17678" w:rsidP="00A17678">
      <w:pPr>
        <w:pStyle w:val="Heading3"/>
        <w:rPr>
          <w:rFonts w:ascii="Bookman Old Style" w:hAnsi="Bookman Old Style"/>
          <w:color w:val="auto"/>
        </w:rPr>
      </w:pPr>
    </w:p>
    <w:p w14:paraId="2B2DCF48" w14:textId="77777777" w:rsidR="00A17678" w:rsidRPr="00A17678" w:rsidRDefault="00A17678" w:rsidP="00A17678">
      <w:pPr>
        <w:pStyle w:val="Heading3"/>
        <w:rPr>
          <w:rFonts w:ascii="Bookman Old Style" w:hAnsi="Bookman Old Style"/>
          <w:color w:val="auto"/>
        </w:rPr>
      </w:pPr>
      <w:r w:rsidRPr="00A17678">
        <w:rPr>
          <w:rFonts w:ascii="Bookman Old Style" w:hAnsi="Bookman Old Style"/>
          <w:color w:val="auto"/>
        </w:rPr>
        <w:t xml:space="preserve">Dear Mr. Steele and Ms. </w:t>
      </w:r>
      <w:proofErr w:type="spellStart"/>
      <w:r w:rsidRPr="00A17678">
        <w:rPr>
          <w:rFonts w:ascii="Bookman Old Style" w:hAnsi="Bookman Old Style"/>
          <w:color w:val="auto"/>
        </w:rPr>
        <w:t>Mavor</w:t>
      </w:r>
      <w:proofErr w:type="spellEnd"/>
      <w:r w:rsidRPr="00A17678">
        <w:rPr>
          <w:rFonts w:ascii="Bookman Old Style" w:hAnsi="Bookman Old Style"/>
          <w:color w:val="auto"/>
        </w:rPr>
        <w:t>,</w:t>
      </w:r>
    </w:p>
    <w:p w14:paraId="1775C218" w14:textId="53B2FDA5" w:rsidR="00A17678" w:rsidRPr="00A17678" w:rsidRDefault="00A17678" w:rsidP="00A17678">
      <w:pPr>
        <w:pStyle w:val="Heading3"/>
        <w:rPr>
          <w:rFonts w:ascii="Bookman Old Style" w:hAnsi="Bookman Old Style"/>
          <w:color w:val="auto"/>
        </w:rPr>
      </w:pPr>
      <w:r w:rsidRPr="00A17678">
        <w:rPr>
          <w:rFonts w:ascii="Bookman Old Style" w:hAnsi="Bookman Old Style"/>
          <w:color w:val="auto"/>
        </w:rPr>
        <w:t xml:space="preserve">Please accept the following comments on the proposed Holland Lake Lodge </w:t>
      </w:r>
      <w:r>
        <w:rPr>
          <w:rFonts w:ascii="Bookman Old Style" w:hAnsi="Bookman Old Style"/>
          <w:color w:val="auto"/>
        </w:rPr>
        <w:t xml:space="preserve">Special-Use Permit </w:t>
      </w:r>
      <w:r w:rsidRPr="00A17678">
        <w:rPr>
          <w:rFonts w:ascii="Bookman Old Style" w:hAnsi="Bookman Old Style"/>
          <w:color w:val="auto"/>
        </w:rPr>
        <w:t>expansion on behalf</w:t>
      </w:r>
    </w:p>
    <w:p w14:paraId="1BA3CA65" w14:textId="0B584937" w:rsidR="00A17678" w:rsidRPr="00A17678" w:rsidRDefault="00A17678" w:rsidP="00A17678">
      <w:pPr>
        <w:pStyle w:val="Heading3"/>
        <w:rPr>
          <w:rFonts w:ascii="Bookman Old Style" w:hAnsi="Bookman Old Style"/>
          <w:color w:val="auto"/>
        </w:rPr>
      </w:pPr>
      <w:r w:rsidRPr="00A17678">
        <w:rPr>
          <w:rFonts w:ascii="Bookman Old Style" w:hAnsi="Bookman Old Style"/>
          <w:color w:val="auto"/>
        </w:rPr>
        <w:t xml:space="preserve">of </w:t>
      </w:r>
      <w:r w:rsidR="00C23F73">
        <w:rPr>
          <w:rFonts w:ascii="Bookman Old Style" w:hAnsi="Bookman Old Style"/>
          <w:color w:val="auto"/>
        </w:rPr>
        <w:t xml:space="preserve">the </w:t>
      </w:r>
      <w:r>
        <w:rPr>
          <w:rFonts w:ascii="Bookman Old Style" w:hAnsi="Bookman Old Style"/>
          <w:color w:val="auto"/>
        </w:rPr>
        <w:t>Council on Wildlife and Fish and the Alliance for the Wild Rockies</w:t>
      </w:r>
      <w:r w:rsidRPr="00A17678">
        <w:rPr>
          <w:rFonts w:ascii="Bookman Old Style" w:hAnsi="Bookman Old Style"/>
          <w:color w:val="auto"/>
        </w:rPr>
        <w:t>.</w:t>
      </w:r>
    </w:p>
    <w:p w14:paraId="44BE399C" w14:textId="77777777" w:rsidR="00A17678" w:rsidRDefault="00A17678" w:rsidP="00A17678">
      <w:pPr>
        <w:pStyle w:val="Heading3"/>
        <w:rPr>
          <w:rFonts w:ascii="Bookman Old Style" w:hAnsi="Bookman Old Style"/>
          <w:color w:val="auto"/>
        </w:rPr>
      </w:pPr>
    </w:p>
    <w:p w14:paraId="7319974D" w14:textId="77777777" w:rsidR="004A4DF2" w:rsidRPr="004A4DF2" w:rsidRDefault="004A4DF2" w:rsidP="00A17678">
      <w:pPr>
        <w:pStyle w:val="Heading3"/>
        <w:rPr>
          <w:rFonts w:ascii="Bookman Old Style" w:hAnsi="Bookman Old Style"/>
          <w:b/>
          <w:bCs/>
          <w:color w:val="auto"/>
        </w:rPr>
      </w:pPr>
      <w:r w:rsidRPr="004A4DF2">
        <w:rPr>
          <w:rFonts w:ascii="Bookman Old Style" w:hAnsi="Bookman Old Style"/>
          <w:b/>
          <w:bCs/>
          <w:color w:val="auto"/>
        </w:rPr>
        <w:t>National Environmental Policy Act (NEPA)</w:t>
      </w:r>
    </w:p>
    <w:p w14:paraId="1CA2E72D" w14:textId="41232217" w:rsidR="001D7B8C" w:rsidRDefault="00A17678" w:rsidP="00A17678">
      <w:pPr>
        <w:pStyle w:val="Heading3"/>
        <w:rPr>
          <w:rFonts w:ascii="Bookman Old Style" w:hAnsi="Bookman Old Style"/>
          <w:color w:val="auto"/>
        </w:rPr>
      </w:pPr>
      <w:r>
        <w:rPr>
          <w:rFonts w:ascii="Bookman Old Style" w:hAnsi="Bookman Old Style"/>
          <w:color w:val="auto"/>
        </w:rPr>
        <w:t>What the</w:t>
      </w:r>
      <w:r w:rsidRPr="00A17678">
        <w:rPr>
          <w:rFonts w:ascii="Bookman Old Style" w:hAnsi="Bookman Old Style"/>
          <w:color w:val="auto"/>
        </w:rPr>
        <w:t xml:space="preserve"> Flathead</w:t>
      </w:r>
      <w:r>
        <w:rPr>
          <w:rFonts w:ascii="Bookman Old Style" w:hAnsi="Bookman Old Style"/>
          <w:color w:val="auto"/>
        </w:rPr>
        <w:t xml:space="preserve"> National Forest</w:t>
      </w:r>
      <w:r w:rsidRPr="00A17678">
        <w:rPr>
          <w:rFonts w:ascii="Bookman Old Style" w:hAnsi="Bookman Old Style"/>
          <w:color w:val="auto"/>
        </w:rPr>
        <w:t xml:space="preserve"> is proposing </w:t>
      </w:r>
      <w:r>
        <w:rPr>
          <w:rFonts w:ascii="Bookman Old Style" w:hAnsi="Bookman Old Style"/>
          <w:color w:val="auto"/>
        </w:rPr>
        <w:t>under the NEPA exemption</w:t>
      </w:r>
      <w:r w:rsidR="00C23F73">
        <w:rPr>
          <w:rFonts w:ascii="Bookman Old Style" w:hAnsi="Bookman Old Style"/>
          <w:color w:val="auto"/>
        </w:rPr>
        <w:t xml:space="preserve"> --</w:t>
      </w:r>
      <w:r w:rsidRPr="00A17678">
        <w:rPr>
          <w:rFonts w:ascii="Bookman Old Style" w:hAnsi="Bookman Old Style"/>
          <w:color w:val="auto"/>
        </w:rPr>
        <w:t xml:space="preserve"> </w:t>
      </w:r>
      <w:r>
        <w:rPr>
          <w:rFonts w:ascii="Bookman Old Style" w:hAnsi="Bookman Old Style"/>
          <w:color w:val="auto"/>
        </w:rPr>
        <w:t>“C</w:t>
      </w:r>
      <w:r w:rsidRPr="00A17678">
        <w:rPr>
          <w:rFonts w:ascii="Bookman Old Style" w:hAnsi="Bookman Old Style"/>
          <w:color w:val="auto"/>
        </w:rPr>
        <w:t xml:space="preserve">ategorical </w:t>
      </w:r>
      <w:r>
        <w:rPr>
          <w:rFonts w:ascii="Bookman Old Style" w:hAnsi="Bookman Old Style"/>
          <w:color w:val="auto"/>
        </w:rPr>
        <w:t>E</w:t>
      </w:r>
      <w:r w:rsidRPr="00A17678">
        <w:rPr>
          <w:rFonts w:ascii="Bookman Old Style" w:hAnsi="Bookman Old Style"/>
          <w:color w:val="auto"/>
        </w:rPr>
        <w:t>xclu</w:t>
      </w:r>
      <w:r>
        <w:rPr>
          <w:rFonts w:ascii="Bookman Old Style" w:hAnsi="Bookman Old Style"/>
          <w:color w:val="auto"/>
        </w:rPr>
        <w:t>sion</w:t>
      </w:r>
      <w:r w:rsidR="00C23F73">
        <w:rPr>
          <w:rFonts w:ascii="Bookman Old Style" w:hAnsi="Bookman Old Style"/>
          <w:color w:val="auto"/>
        </w:rPr>
        <w:t xml:space="preserve"> (CE)</w:t>
      </w:r>
      <w:r>
        <w:rPr>
          <w:rFonts w:ascii="Bookman Old Style" w:hAnsi="Bookman Old Style"/>
          <w:color w:val="auto"/>
        </w:rPr>
        <w:t xml:space="preserve">” </w:t>
      </w:r>
      <w:r w:rsidR="00C23F73">
        <w:rPr>
          <w:rFonts w:ascii="Bookman Old Style" w:hAnsi="Bookman Old Style"/>
          <w:color w:val="auto"/>
        </w:rPr>
        <w:t>– is to evade the non-discretionary, mandatory</w:t>
      </w:r>
      <w:r>
        <w:rPr>
          <w:rFonts w:ascii="Bookman Old Style" w:hAnsi="Bookman Old Style"/>
          <w:color w:val="auto"/>
        </w:rPr>
        <w:t xml:space="preserve"> “hard look</w:t>
      </w:r>
      <w:r w:rsidR="00C23F73">
        <w:rPr>
          <w:rFonts w:ascii="Bookman Old Style" w:hAnsi="Bookman Old Style"/>
          <w:color w:val="auto"/>
        </w:rPr>
        <w:t>,</w:t>
      </w:r>
      <w:r>
        <w:rPr>
          <w:rFonts w:ascii="Bookman Old Style" w:hAnsi="Bookman Old Style"/>
          <w:color w:val="auto"/>
        </w:rPr>
        <w:t xml:space="preserve">” </w:t>
      </w:r>
      <w:r w:rsidR="00C23F73">
        <w:rPr>
          <w:rFonts w:ascii="Bookman Old Style" w:hAnsi="Bookman Old Style"/>
          <w:color w:val="auto"/>
        </w:rPr>
        <w:t xml:space="preserve">which is the </w:t>
      </w:r>
      <w:r>
        <w:rPr>
          <w:rFonts w:ascii="Bookman Old Style" w:hAnsi="Bookman Old Style"/>
          <w:color w:val="auto"/>
        </w:rPr>
        <w:t xml:space="preserve">proper </w:t>
      </w:r>
      <w:r w:rsidR="00C23F73">
        <w:rPr>
          <w:rFonts w:ascii="Bookman Old Style" w:hAnsi="Bookman Old Style"/>
          <w:color w:val="auto"/>
        </w:rPr>
        <w:t xml:space="preserve">method of </w:t>
      </w:r>
      <w:r>
        <w:rPr>
          <w:rFonts w:ascii="Bookman Old Style" w:hAnsi="Bookman Old Style"/>
          <w:color w:val="auto"/>
        </w:rPr>
        <w:t>environmental analysis</w:t>
      </w:r>
      <w:r w:rsidR="00C23F73">
        <w:rPr>
          <w:rFonts w:ascii="Bookman Old Style" w:hAnsi="Bookman Old Style"/>
          <w:color w:val="auto"/>
        </w:rPr>
        <w:t xml:space="preserve"> in this case.  Using the CE as a “loophole” in this instance </w:t>
      </w:r>
      <w:r>
        <w:rPr>
          <w:rFonts w:ascii="Bookman Old Style" w:hAnsi="Bookman Old Style"/>
          <w:color w:val="auto"/>
        </w:rPr>
        <w:t>is totally inappropriate, and unlawful under</w:t>
      </w:r>
      <w:r w:rsidR="00C23F73">
        <w:rPr>
          <w:rFonts w:ascii="Bookman Old Style" w:hAnsi="Bookman Old Style"/>
          <w:color w:val="auto"/>
        </w:rPr>
        <w:t xml:space="preserve"> NEPA’s CE</w:t>
      </w:r>
      <w:r>
        <w:rPr>
          <w:rFonts w:ascii="Bookman Old Style" w:hAnsi="Bookman Old Style"/>
          <w:color w:val="auto"/>
        </w:rPr>
        <w:t xml:space="preserve"> provisions</w:t>
      </w:r>
      <w:r w:rsidR="00C23F73">
        <w:rPr>
          <w:rFonts w:ascii="Bookman Old Style" w:hAnsi="Bookman Old Style"/>
          <w:color w:val="auto"/>
        </w:rPr>
        <w:t>.</w:t>
      </w:r>
      <w:r>
        <w:rPr>
          <w:rFonts w:ascii="Bookman Old Style" w:hAnsi="Bookman Old Style"/>
          <w:color w:val="auto"/>
        </w:rPr>
        <w:t xml:space="preserve"> </w:t>
      </w:r>
    </w:p>
    <w:p w14:paraId="6B733E02" w14:textId="214FC874" w:rsidR="00A17678" w:rsidRPr="00A17678" w:rsidRDefault="00AD505F" w:rsidP="00A17678">
      <w:pPr>
        <w:pStyle w:val="Heading3"/>
        <w:rPr>
          <w:rFonts w:ascii="Bookman Old Style" w:hAnsi="Bookman Old Style"/>
          <w:color w:val="auto"/>
        </w:rPr>
      </w:pPr>
      <w:r>
        <w:rPr>
          <w:rFonts w:ascii="Bookman Old Style" w:hAnsi="Bookman Old Style"/>
          <w:color w:val="auto"/>
        </w:rPr>
        <w:t xml:space="preserve">A massive expansion of the Holland Lake Lodge, and surrounding facilities does not fit the description or the category:  </w:t>
      </w:r>
    </w:p>
    <w:p w14:paraId="3284C384" w14:textId="77777777" w:rsidR="001D7B8C" w:rsidRDefault="001D7B8C" w:rsidP="00A17678">
      <w:pPr>
        <w:pStyle w:val="Heading3"/>
        <w:rPr>
          <w:rFonts w:ascii="Bookman Old Style" w:hAnsi="Bookman Old Style"/>
          <w:i/>
          <w:iCs/>
          <w:color w:val="auto"/>
        </w:rPr>
      </w:pPr>
      <w:r>
        <w:rPr>
          <w:rFonts w:ascii="Bookman Old Style" w:hAnsi="Bookman Old Style"/>
          <w:i/>
          <w:iCs/>
          <w:color w:val="auto"/>
        </w:rPr>
        <w:tab/>
      </w:r>
      <w:r>
        <w:rPr>
          <w:rFonts w:ascii="Bookman Old Style" w:hAnsi="Bookman Old Style"/>
          <w:i/>
          <w:iCs/>
          <w:color w:val="auto"/>
        </w:rPr>
        <w:tab/>
      </w:r>
      <w:r w:rsidR="00A17678" w:rsidRPr="001D7B8C">
        <w:rPr>
          <w:rFonts w:ascii="Bookman Old Style" w:hAnsi="Bookman Old Style"/>
          <w:i/>
          <w:iCs/>
          <w:color w:val="auto"/>
        </w:rPr>
        <w:t xml:space="preserve">Construction, reconstruction, decommissioning, or disposal of buildings, infrastructure, </w:t>
      </w:r>
    </w:p>
    <w:p w14:paraId="46BB9E7D" w14:textId="77777777" w:rsidR="001D7B8C" w:rsidRDefault="001D7B8C" w:rsidP="00A17678">
      <w:pPr>
        <w:pStyle w:val="Heading3"/>
        <w:rPr>
          <w:rFonts w:ascii="Bookman Old Style" w:hAnsi="Bookman Old Style"/>
          <w:i/>
          <w:iCs/>
          <w:color w:val="auto"/>
        </w:rPr>
      </w:pPr>
      <w:r>
        <w:rPr>
          <w:rFonts w:ascii="Bookman Old Style" w:hAnsi="Bookman Old Style"/>
          <w:i/>
          <w:iCs/>
          <w:color w:val="auto"/>
        </w:rPr>
        <w:tab/>
      </w:r>
      <w:r>
        <w:rPr>
          <w:rFonts w:ascii="Bookman Old Style" w:hAnsi="Bookman Old Style"/>
          <w:i/>
          <w:iCs/>
          <w:color w:val="auto"/>
        </w:rPr>
        <w:tab/>
      </w:r>
      <w:r w:rsidR="00A17678" w:rsidRPr="001D7B8C">
        <w:rPr>
          <w:rFonts w:ascii="Bookman Old Style" w:hAnsi="Bookman Old Style"/>
          <w:i/>
          <w:iCs/>
          <w:color w:val="auto"/>
        </w:rPr>
        <w:t>or</w:t>
      </w:r>
      <w:r>
        <w:rPr>
          <w:rFonts w:ascii="Bookman Old Style" w:hAnsi="Bookman Old Style"/>
          <w:i/>
          <w:iCs/>
          <w:color w:val="auto"/>
        </w:rPr>
        <w:t xml:space="preserve"> </w:t>
      </w:r>
      <w:r w:rsidR="00A17678" w:rsidRPr="001D7B8C">
        <w:rPr>
          <w:rFonts w:ascii="Bookman Old Style" w:hAnsi="Bookman Old Style"/>
          <w:i/>
          <w:iCs/>
          <w:color w:val="auto"/>
        </w:rPr>
        <w:t>improvements at an existing recreation site, including infrastructure or improvements</w:t>
      </w:r>
    </w:p>
    <w:p w14:paraId="2EB6FA4A" w14:textId="77777777" w:rsidR="001D7B8C" w:rsidRDefault="001D7B8C" w:rsidP="00A17678">
      <w:pPr>
        <w:pStyle w:val="Heading3"/>
        <w:rPr>
          <w:rFonts w:ascii="Bookman Old Style" w:hAnsi="Bookman Old Style"/>
          <w:i/>
          <w:iCs/>
          <w:color w:val="auto"/>
        </w:rPr>
      </w:pPr>
      <w:r>
        <w:rPr>
          <w:rFonts w:ascii="Bookman Old Style" w:hAnsi="Bookman Old Style"/>
          <w:i/>
          <w:iCs/>
          <w:color w:val="auto"/>
        </w:rPr>
        <w:tab/>
      </w:r>
      <w:r>
        <w:rPr>
          <w:rFonts w:ascii="Bookman Old Style" w:hAnsi="Bookman Old Style"/>
          <w:i/>
          <w:iCs/>
          <w:color w:val="auto"/>
        </w:rPr>
        <w:tab/>
      </w:r>
      <w:r w:rsidR="00A17678" w:rsidRPr="001D7B8C">
        <w:rPr>
          <w:rFonts w:ascii="Bookman Old Style" w:hAnsi="Bookman Old Style"/>
          <w:i/>
          <w:iCs/>
          <w:color w:val="auto"/>
        </w:rPr>
        <w:t>that are</w:t>
      </w:r>
      <w:r>
        <w:rPr>
          <w:rFonts w:ascii="Bookman Old Style" w:hAnsi="Bookman Old Style"/>
          <w:i/>
          <w:iCs/>
          <w:color w:val="auto"/>
        </w:rPr>
        <w:t xml:space="preserve"> </w:t>
      </w:r>
      <w:r w:rsidR="00A17678" w:rsidRPr="001D7B8C">
        <w:rPr>
          <w:rFonts w:ascii="Bookman Old Style" w:hAnsi="Bookman Old Style"/>
          <w:i/>
          <w:iCs/>
          <w:color w:val="auto"/>
        </w:rPr>
        <w:t xml:space="preserve">adjacent or connected to an existing recreation site and provide access or utilities </w:t>
      </w:r>
    </w:p>
    <w:p w14:paraId="4883D209" w14:textId="77777777" w:rsidR="001D7B8C" w:rsidRDefault="001D7B8C" w:rsidP="00A17678">
      <w:pPr>
        <w:pStyle w:val="Heading3"/>
        <w:rPr>
          <w:rFonts w:ascii="Bookman Old Style" w:hAnsi="Bookman Old Style"/>
          <w:i/>
          <w:iCs/>
          <w:color w:val="auto"/>
        </w:rPr>
      </w:pPr>
      <w:r>
        <w:rPr>
          <w:rFonts w:ascii="Bookman Old Style" w:hAnsi="Bookman Old Style"/>
          <w:i/>
          <w:iCs/>
          <w:color w:val="auto"/>
        </w:rPr>
        <w:tab/>
      </w:r>
      <w:r>
        <w:rPr>
          <w:rFonts w:ascii="Bookman Old Style" w:hAnsi="Bookman Old Style"/>
          <w:i/>
          <w:iCs/>
          <w:color w:val="auto"/>
        </w:rPr>
        <w:tab/>
      </w:r>
      <w:r w:rsidR="00A17678" w:rsidRPr="001D7B8C">
        <w:rPr>
          <w:rFonts w:ascii="Bookman Old Style" w:hAnsi="Bookman Old Style"/>
          <w:i/>
          <w:iCs/>
          <w:color w:val="auto"/>
        </w:rPr>
        <w:t>for that site.</w:t>
      </w:r>
      <w:r>
        <w:rPr>
          <w:rFonts w:ascii="Bookman Old Style" w:hAnsi="Bookman Old Style"/>
          <w:i/>
          <w:iCs/>
          <w:color w:val="auto"/>
        </w:rPr>
        <w:tab/>
      </w:r>
      <w:r w:rsidR="00A17678" w:rsidRPr="001D7B8C">
        <w:rPr>
          <w:rFonts w:ascii="Bookman Old Style" w:hAnsi="Bookman Old Style"/>
          <w:i/>
          <w:iCs/>
          <w:color w:val="auto"/>
        </w:rPr>
        <w:t xml:space="preserve">Recreation sites include but are not limited to campgrounds and camping areas, </w:t>
      </w:r>
    </w:p>
    <w:p w14:paraId="72DCA063" w14:textId="77777777" w:rsidR="001D7B8C" w:rsidRDefault="001D7B8C" w:rsidP="00A17678">
      <w:pPr>
        <w:pStyle w:val="Heading3"/>
        <w:rPr>
          <w:rFonts w:ascii="Bookman Old Style" w:hAnsi="Bookman Old Style"/>
          <w:i/>
          <w:iCs/>
          <w:color w:val="auto"/>
        </w:rPr>
      </w:pPr>
      <w:r>
        <w:rPr>
          <w:rFonts w:ascii="Bookman Old Style" w:hAnsi="Bookman Old Style"/>
          <w:i/>
          <w:iCs/>
          <w:color w:val="auto"/>
        </w:rPr>
        <w:tab/>
      </w:r>
      <w:r>
        <w:rPr>
          <w:rFonts w:ascii="Bookman Old Style" w:hAnsi="Bookman Old Style"/>
          <w:i/>
          <w:iCs/>
          <w:color w:val="auto"/>
        </w:rPr>
        <w:tab/>
      </w:r>
      <w:r w:rsidR="00A17678" w:rsidRPr="001D7B8C">
        <w:rPr>
          <w:rFonts w:ascii="Bookman Old Style" w:hAnsi="Bookman Old Style"/>
          <w:i/>
          <w:iCs/>
          <w:color w:val="auto"/>
        </w:rPr>
        <w:t>picnic areas, day</w:t>
      </w:r>
      <w:r>
        <w:rPr>
          <w:rFonts w:ascii="Bookman Old Style" w:hAnsi="Bookman Old Style"/>
          <w:i/>
          <w:iCs/>
          <w:color w:val="auto"/>
        </w:rPr>
        <w:t xml:space="preserve"> </w:t>
      </w:r>
      <w:r w:rsidR="00A17678" w:rsidRPr="001D7B8C">
        <w:rPr>
          <w:rFonts w:ascii="Bookman Old Style" w:hAnsi="Bookman Old Style"/>
          <w:i/>
          <w:iCs/>
          <w:color w:val="auto"/>
        </w:rPr>
        <w:t xml:space="preserve">use areas, fishing sites, interpretive sites, visitor centers, trailheads, ski </w:t>
      </w:r>
    </w:p>
    <w:p w14:paraId="7DE92B02" w14:textId="77777777" w:rsidR="001D7B8C" w:rsidRDefault="001D7B8C" w:rsidP="00A17678">
      <w:pPr>
        <w:pStyle w:val="Heading3"/>
        <w:rPr>
          <w:rFonts w:ascii="Bookman Old Style" w:hAnsi="Bookman Old Style"/>
          <w:i/>
          <w:iCs/>
          <w:color w:val="auto"/>
        </w:rPr>
      </w:pPr>
      <w:r>
        <w:rPr>
          <w:rFonts w:ascii="Bookman Old Style" w:hAnsi="Bookman Old Style"/>
          <w:i/>
          <w:iCs/>
          <w:color w:val="auto"/>
        </w:rPr>
        <w:tab/>
      </w:r>
      <w:r>
        <w:rPr>
          <w:rFonts w:ascii="Bookman Old Style" w:hAnsi="Bookman Old Style"/>
          <w:i/>
          <w:iCs/>
          <w:color w:val="auto"/>
        </w:rPr>
        <w:tab/>
      </w:r>
      <w:r w:rsidR="00A17678" w:rsidRPr="001D7B8C">
        <w:rPr>
          <w:rFonts w:ascii="Bookman Old Style" w:hAnsi="Bookman Old Style"/>
          <w:i/>
          <w:iCs/>
          <w:color w:val="auto"/>
        </w:rPr>
        <w:t>areas, and observation</w:t>
      </w:r>
      <w:r>
        <w:rPr>
          <w:rFonts w:ascii="Bookman Old Style" w:hAnsi="Bookman Old Style"/>
          <w:i/>
          <w:iCs/>
          <w:color w:val="auto"/>
        </w:rPr>
        <w:t xml:space="preserve"> </w:t>
      </w:r>
      <w:r w:rsidR="00A17678" w:rsidRPr="001D7B8C">
        <w:rPr>
          <w:rFonts w:ascii="Bookman Old Style" w:hAnsi="Bookman Old Style"/>
          <w:i/>
          <w:iCs/>
          <w:color w:val="auto"/>
        </w:rPr>
        <w:t xml:space="preserve">sites. Activities within this category are intended to apply to facilities </w:t>
      </w:r>
    </w:p>
    <w:p w14:paraId="1210BFBC" w14:textId="77777777" w:rsidR="001D7B8C" w:rsidRDefault="001D7B8C" w:rsidP="00A17678">
      <w:pPr>
        <w:pStyle w:val="Heading3"/>
        <w:rPr>
          <w:rFonts w:ascii="Bookman Old Style" w:hAnsi="Bookman Old Style"/>
          <w:i/>
          <w:iCs/>
          <w:color w:val="auto"/>
        </w:rPr>
      </w:pPr>
      <w:r>
        <w:rPr>
          <w:rFonts w:ascii="Bookman Old Style" w:hAnsi="Bookman Old Style"/>
          <w:i/>
          <w:iCs/>
          <w:color w:val="auto"/>
        </w:rPr>
        <w:tab/>
      </w:r>
      <w:r>
        <w:rPr>
          <w:rFonts w:ascii="Bookman Old Style" w:hAnsi="Bookman Old Style"/>
          <w:i/>
          <w:iCs/>
          <w:color w:val="auto"/>
        </w:rPr>
        <w:tab/>
      </w:r>
      <w:r w:rsidR="00A17678" w:rsidRPr="001D7B8C">
        <w:rPr>
          <w:rFonts w:ascii="Bookman Old Style" w:hAnsi="Bookman Old Style"/>
          <w:i/>
          <w:iCs/>
          <w:color w:val="auto"/>
        </w:rPr>
        <w:t>located at recreation sites</w:t>
      </w:r>
      <w:r>
        <w:rPr>
          <w:rFonts w:ascii="Bookman Old Style" w:hAnsi="Bookman Old Style"/>
          <w:i/>
          <w:iCs/>
          <w:color w:val="auto"/>
        </w:rPr>
        <w:t xml:space="preserve"> </w:t>
      </w:r>
      <w:r w:rsidR="00A17678" w:rsidRPr="001D7B8C">
        <w:rPr>
          <w:rFonts w:ascii="Bookman Old Style" w:hAnsi="Bookman Old Style"/>
          <w:i/>
          <w:iCs/>
          <w:color w:val="auto"/>
        </w:rPr>
        <w:t xml:space="preserve">managed by the Forest Service and those managed by concessioners </w:t>
      </w:r>
    </w:p>
    <w:p w14:paraId="6D00F0C3" w14:textId="20777A1C" w:rsidR="00A17678" w:rsidRPr="001D7B8C" w:rsidRDefault="001D7B8C" w:rsidP="00A17678">
      <w:pPr>
        <w:pStyle w:val="Heading3"/>
        <w:rPr>
          <w:rFonts w:ascii="Bookman Old Style" w:hAnsi="Bookman Old Style"/>
          <w:i/>
          <w:iCs/>
          <w:color w:val="auto"/>
        </w:rPr>
      </w:pPr>
      <w:r>
        <w:rPr>
          <w:rFonts w:ascii="Bookman Old Style" w:hAnsi="Bookman Old Style"/>
          <w:i/>
          <w:iCs/>
          <w:color w:val="auto"/>
        </w:rPr>
        <w:tab/>
      </w:r>
      <w:r>
        <w:rPr>
          <w:rFonts w:ascii="Bookman Old Style" w:hAnsi="Bookman Old Style"/>
          <w:i/>
          <w:iCs/>
          <w:color w:val="auto"/>
        </w:rPr>
        <w:tab/>
      </w:r>
      <w:r w:rsidR="00A17678" w:rsidRPr="001D7B8C">
        <w:rPr>
          <w:rFonts w:ascii="Bookman Old Style" w:hAnsi="Bookman Old Style"/>
          <w:i/>
          <w:iCs/>
          <w:color w:val="auto"/>
        </w:rPr>
        <w:t>under a special use</w:t>
      </w:r>
      <w:r>
        <w:rPr>
          <w:rFonts w:ascii="Bookman Old Style" w:hAnsi="Bookman Old Style"/>
          <w:i/>
          <w:iCs/>
          <w:color w:val="auto"/>
        </w:rPr>
        <w:t xml:space="preserve"> </w:t>
      </w:r>
      <w:r w:rsidR="00A17678" w:rsidRPr="001D7B8C">
        <w:rPr>
          <w:rFonts w:ascii="Bookman Old Style" w:hAnsi="Bookman Old Style"/>
          <w:i/>
          <w:iCs/>
          <w:color w:val="auto"/>
        </w:rPr>
        <w:t>authorization</w:t>
      </w:r>
      <w:r w:rsidRPr="001D7B8C">
        <w:rPr>
          <w:rFonts w:ascii="Bookman Old Style" w:hAnsi="Bookman Old Style"/>
          <w:i/>
          <w:iCs/>
          <w:color w:val="auto"/>
        </w:rPr>
        <w:t>.</w:t>
      </w:r>
      <w:r w:rsidR="00C23F73">
        <w:rPr>
          <w:rFonts w:ascii="Bookman Old Style" w:hAnsi="Bookman Old Style"/>
          <w:i/>
          <w:iCs/>
          <w:color w:val="auto"/>
        </w:rPr>
        <w:t xml:space="preserve">  </w:t>
      </w:r>
      <w:r w:rsidR="00C23F73" w:rsidRPr="00A17678">
        <w:rPr>
          <w:rFonts w:ascii="Bookman Old Style" w:hAnsi="Bookman Old Style"/>
          <w:color w:val="auto"/>
        </w:rPr>
        <w:t>36 CFR 220.6(e)(22)</w:t>
      </w:r>
      <w:r w:rsidR="00C23F73">
        <w:rPr>
          <w:rFonts w:ascii="Bookman Old Style" w:hAnsi="Bookman Old Style"/>
          <w:color w:val="auto"/>
        </w:rPr>
        <w:t>.</w:t>
      </w:r>
    </w:p>
    <w:p w14:paraId="5FFDEAB4" w14:textId="77777777" w:rsidR="001D7B8C" w:rsidRDefault="001D7B8C" w:rsidP="00A17678">
      <w:pPr>
        <w:pStyle w:val="Heading3"/>
        <w:rPr>
          <w:rFonts w:ascii="Bookman Old Style" w:hAnsi="Bookman Old Style"/>
          <w:color w:val="auto"/>
        </w:rPr>
      </w:pPr>
    </w:p>
    <w:p w14:paraId="58216B10" w14:textId="517DBE64" w:rsidR="00A17678" w:rsidRPr="00A17678" w:rsidRDefault="00A17678" w:rsidP="00A17678">
      <w:pPr>
        <w:pStyle w:val="Heading3"/>
        <w:rPr>
          <w:rFonts w:ascii="Bookman Old Style" w:hAnsi="Bookman Old Style"/>
          <w:color w:val="auto"/>
        </w:rPr>
      </w:pPr>
      <w:r w:rsidRPr="00A17678">
        <w:rPr>
          <w:rFonts w:ascii="Bookman Old Style" w:hAnsi="Bookman Old Style"/>
          <w:color w:val="auto"/>
        </w:rPr>
        <w:t>This categorical exclusion was intended for small projects such as:</w:t>
      </w:r>
    </w:p>
    <w:p w14:paraId="15153954" w14:textId="77777777" w:rsidR="00A17678" w:rsidRPr="00A17678" w:rsidRDefault="00A17678" w:rsidP="00A17678">
      <w:pPr>
        <w:pStyle w:val="Heading3"/>
        <w:rPr>
          <w:rFonts w:ascii="Bookman Old Style" w:hAnsi="Bookman Old Style"/>
          <w:color w:val="auto"/>
        </w:rPr>
      </w:pPr>
      <w:r w:rsidRPr="00A17678">
        <w:rPr>
          <w:rFonts w:ascii="Bookman Old Style" w:hAnsi="Bookman Old Style"/>
          <w:color w:val="auto"/>
        </w:rPr>
        <w:t>(</w:t>
      </w:r>
      <w:proofErr w:type="spellStart"/>
      <w:r w:rsidRPr="00A17678">
        <w:rPr>
          <w:rFonts w:ascii="Bookman Old Style" w:hAnsi="Bookman Old Style"/>
          <w:color w:val="auto"/>
        </w:rPr>
        <w:t>i</w:t>
      </w:r>
      <w:proofErr w:type="spellEnd"/>
      <w:r w:rsidRPr="00A17678">
        <w:rPr>
          <w:rFonts w:ascii="Bookman Old Style" w:hAnsi="Bookman Old Style"/>
          <w:color w:val="auto"/>
        </w:rPr>
        <w:t>) Constructing, reconstructing, or expanding a toilet or shower facility;</w:t>
      </w:r>
    </w:p>
    <w:p w14:paraId="6A45104C" w14:textId="77777777" w:rsidR="00A17678" w:rsidRPr="00A17678" w:rsidRDefault="00A17678" w:rsidP="00A17678">
      <w:pPr>
        <w:pStyle w:val="Heading3"/>
        <w:rPr>
          <w:rFonts w:ascii="Bookman Old Style" w:hAnsi="Bookman Old Style"/>
          <w:color w:val="auto"/>
        </w:rPr>
      </w:pPr>
      <w:r w:rsidRPr="00A17678">
        <w:rPr>
          <w:rFonts w:ascii="Bookman Old Style" w:hAnsi="Bookman Old Style"/>
          <w:color w:val="auto"/>
        </w:rPr>
        <w:t>(ii) Constructing or reconstructing a fishing pier, wildlife viewing platform, dock, or other</w:t>
      </w:r>
    </w:p>
    <w:p w14:paraId="768F2A11" w14:textId="77777777" w:rsidR="00A17678" w:rsidRPr="00A17678" w:rsidRDefault="00A17678" w:rsidP="00A17678">
      <w:pPr>
        <w:pStyle w:val="Heading3"/>
        <w:rPr>
          <w:rFonts w:ascii="Bookman Old Style" w:hAnsi="Bookman Old Style"/>
          <w:color w:val="auto"/>
        </w:rPr>
      </w:pPr>
      <w:r w:rsidRPr="00A17678">
        <w:rPr>
          <w:rFonts w:ascii="Bookman Old Style" w:hAnsi="Bookman Old Style"/>
          <w:color w:val="auto"/>
        </w:rPr>
        <w:t>constructed feature at a recreation site;</w:t>
      </w:r>
    </w:p>
    <w:p w14:paraId="6D4DD50B" w14:textId="77777777" w:rsidR="00A17678" w:rsidRPr="00A17678" w:rsidRDefault="00A17678" w:rsidP="00A17678">
      <w:pPr>
        <w:pStyle w:val="Heading3"/>
        <w:rPr>
          <w:rFonts w:ascii="Bookman Old Style" w:hAnsi="Bookman Old Style"/>
          <w:color w:val="auto"/>
        </w:rPr>
      </w:pPr>
      <w:r w:rsidRPr="00A17678">
        <w:rPr>
          <w:rFonts w:ascii="Bookman Old Style" w:hAnsi="Bookman Old Style"/>
          <w:color w:val="auto"/>
        </w:rPr>
        <w:t>(iii) Installing or reconstructing a water or waste disposal system;</w:t>
      </w:r>
    </w:p>
    <w:p w14:paraId="5DF30566" w14:textId="77777777" w:rsidR="00A17678" w:rsidRPr="00A17678" w:rsidRDefault="00A17678" w:rsidP="00A17678">
      <w:pPr>
        <w:pStyle w:val="Heading3"/>
        <w:rPr>
          <w:rFonts w:ascii="Bookman Old Style" w:hAnsi="Bookman Old Style"/>
          <w:color w:val="auto"/>
        </w:rPr>
      </w:pPr>
      <w:r w:rsidRPr="00A17678">
        <w:rPr>
          <w:rFonts w:ascii="Bookman Old Style" w:hAnsi="Bookman Old Style"/>
          <w:color w:val="auto"/>
        </w:rPr>
        <w:t>(iv) Constructing or reconstructing campsites;</w:t>
      </w:r>
    </w:p>
    <w:p w14:paraId="4F230461" w14:textId="77777777" w:rsidR="00A17678" w:rsidRPr="00A17678" w:rsidRDefault="00A17678" w:rsidP="00A17678">
      <w:pPr>
        <w:pStyle w:val="Heading3"/>
        <w:rPr>
          <w:rFonts w:ascii="Bookman Old Style" w:hAnsi="Bookman Old Style"/>
          <w:color w:val="auto"/>
        </w:rPr>
      </w:pPr>
      <w:r w:rsidRPr="00A17678">
        <w:rPr>
          <w:rFonts w:ascii="Bookman Old Style" w:hAnsi="Bookman Old Style"/>
          <w:color w:val="auto"/>
        </w:rPr>
        <w:t>(v) Disposal of facilities at a recreation site;</w:t>
      </w:r>
    </w:p>
    <w:p w14:paraId="0D6BCD6A" w14:textId="77777777" w:rsidR="00A17678" w:rsidRPr="00A17678" w:rsidRDefault="00A17678" w:rsidP="00A17678">
      <w:pPr>
        <w:pStyle w:val="Heading3"/>
        <w:rPr>
          <w:rFonts w:ascii="Bookman Old Style" w:hAnsi="Bookman Old Style"/>
          <w:color w:val="auto"/>
        </w:rPr>
      </w:pPr>
      <w:r w:rsidRPr="00A17678">
        <w:rPr>
          <w:rFonts w:ascii="Bookman Old Style" w:hAnsi="Bookman Old Style"/>
          <w:color w:val="auto"/>
        </w:rPr>
        <w:t>(vi) Constructing or reconstructing a boat landing;</w:t>
      </w:r>
    </w:p>
    <w:p w14:paraId="7BB41C9E" w14:textId="77777777" w:rsidR="00A17678" w:rsidRPr="00A17678" w:rsidRDefault="00A17678" w:rsidP="00A17678">
      <w:pPr>
        <w:pStyle w:val="Heading3"/>
        <w:rPr>
          <w:rFonts w:ascii="Bookman Old Style" w:hAnsi="Bookman Old Style"/>
          <w:color w:val="auto"/>
        </w:rPr>
      </w:pPr>
      <w:r w:rsidRPr="00A17678">
        <w:rPr>
          <w:rFonts w:ascii="Bookman Old Style" w:hAnsi="Bookman Old Style"/>
          <w:color w:val="auto"/>
        </w:rPr>
        <w:t>(vii) Replacing a chair lift at a ski area;</w:t>
      </w:r>
    </w:p>
    <w:p w14:paraId="47BAD3AE" w14:textId="77777777" w:rsidR="00A17678" w:rsidRPr="00A17678" w:rsidRDefault="00A17678" w:rsidP="00A17678">
      <w:pPr>
        <w:pStyle w:val="Heading3"/>
        <w:rPr>
          <w:rFonts w:ascii="Bookman Old Style" w:hAnsi="Bookman Old Style"/>
          <w:color w:val="auto"/>
        </w:rPr>
      </w:pPr>
      <w:r w:rsidRPr="00A17678">
        <w:rPr>
          <w:rFonts w:ascii="Bookman Old Style" w:hAnsi="Bookman Old Style"/>
          <w:color w:val="auto"/>
        </w:rPr>
        <w:t>(viii) Constructing or reconstructing a parking area or trailhead; and</w:t>
      </w:r>
    </w:p>
    <w:p w14:paraId="6557A4D5" w14:textId="77777777" w:rsidR="00A17678" w:rsidRPr="00A17678" w:rsidRDefault="00A17678" w:rsidP="00A17678">
      <w:pPr>
        <w:pStyle w:val="Heading3"/>
        <w:rPr>
          <w:rFonts w:ascii="Bookman Old Style" w:hAnsi="Bookman Old Style"/>
          <w:color w:val="auto"/>
        </w:rPr>
      </w:pPr>
      <w:r w:rsidRPr="00A17678">
        <w:rPr>
          <w:rFonts w:ascii="Bookman Old Style" w:hAnsi="Bookman Old Style"/>
          <w:color w:val="auto"/>
        </w:rPr>
        <w:t>(ix) Reconstructing or expanding a recreation rental cabin.</w:t>
      </w:r>
    </w:p>
    <w:p w14:paraId="4C23686C" w14:textId="77777777" w:rsidR="001D7B8C" w:rsidRDefault="001D7B8C" w:rsidP="00A17678">
      <w:pPr>
        <w:pStyle w:val="Heading3"/>
        <w:rPr>
          <w:rFonts w:ascii="Bookman Old Style" w:hAnsi="Bookman Old Style"/>
          <w:color w:val="auto"/>
        </w:rPr>
      </w:pPr>
    </w:p>
    <w:p w14:paraId="420A7559" w14:textId="34A12F5F" w:rsidR="00A17678" w:rsidRDefault="001D7B8C" w:rsidP="00A17678">
      <w:pPr>
        <w:pStyle w:val="Heading3"/>
        <w:rPr>
          <w:rFonts w:ascii="Bookman Old Style" w:hAnsi="Bookman Old Style"/>
          <w:color w:val="auto"/>
        </w:rPr>
      </w:pPr>
      <w:r>
        <w:rPr>
          <w:rFonts w:ascii="Bookman Old Style" w:hAnsi="Bookman Old Style"/>
          <w:color w:val="auto"/>
        </w:rPr>
        <w:t>Massive razing, reconstruction and e</w:t>
      </w:r>
      <w:r w:rsidRPr="00A17678">
        <w:rPr>
          <w:rFonts w:ascii="Bookman Old Style" w:hAnsi="Bookman Old Style"/>
          <w:color w:val="auto"/>
        </w:rPr>
        <w:t xml:space="preserve">xpansion of the entire </w:t>
      </w:r>
      <w:r>
        <w:rPr>
          <w:rFonts w:ascii="Bookman Old Style" w:hAnsi="Bookman Old Style"/>
          <w:color w:val="auto"/>
        </w:rPr>
        <w:t xml:space="preserve">15-acre </w:t>
      </w:r>
      <w:r w:rsidRPr="00A17678">
        <w:rPr>
          <w:rFonts w:ascii="Bookman Old Style" w:hAnsi="Bookman Old Style"/>
          <w:color w:val="auto"/>
        </w:rPr>
        <w:t xml:space="preserve">Holland Lake Lodge </w:t>
      </w:r>
      <w:r>
        <w:rPr>
          <w:rFonts w:ascii="Bookman Old Style" w:hAnsi="Bookman Old Style"/>
          <w:color w:val="auto"/>
        </w:rPr>
        <w:t xml:space="preserve">and recreation </w:t>
      </w:r>
      <w:r w:rsidRPr="00A17678">
        <w:rPr>
          <w:rFonts w:ascii="Bookman Old Style" w:hAnsi="Bookman Old Style"/>
          <w:color w:val="auto"/>
        </w:rPr>
        <w:t>complex</w:t>
      </w:r>
      <w:r>
        <w:rPr>
          <w:rFonts w:ascii="Bookman Old Style" w:hAnsi="Bookman Old Style"/>
          <w:color w:val="auto"/>
        </w:rPr>
        <w:t xml:space="preserve"> is no small project</w:t>
      </w:r>
      <w:r w:rsidRPr="00A17678">
        <w:rPr>
          <w:rFonts w:ascii="Bookman Old Style" w:hAnsi="Bookman Old Style"/>
          <w:color w:val="auto"/>
        </w:rPr>
        <w:t xml:space="preserve">. </w:t>
      </w:r>
      <w:r w:rsidR="00A17678" w:rsidRPr="00A17678">
        <w:rPr>
          <w:rFonts w:ascii="Bookman Old Style" w:hAnsi="Bookman Old Style"/>
          <w:color w:val="auto"/>
        </w:rPr>
        <w:t xml:space="preserve">While a few of these items are included in the large </w:t>
      </w:r>
      <w:r w:rsidR="00AD505F">
        <w:rPr>
          <w:rFonts w:ascii="Bookman Old Style" w:hAnsi="Bookman Old Style"/>
          <w:color w:val="auto"/>
        </w:rPr>
        <w:t>t</w:t>
      </w:r>
      <w:r>
        <w:rPr>
          <w:rFonts w:ascii="Bookman Old Style" w:hAnsi="Bookman Old Style"/>
          <w:color w:val="auto"/>
        </w:rPr>
        <w:t xml:space="preserve">he </w:t>
      </w:r>
      <w:r w:rsidR="00A17678" w:rsidRPr="00A17678">
        <w:rPr>
          <w:rFonts w:ascii="Bookman Old Style" w:hAnsi="Bookman Old Style"/>
          <w:color w:val="auto"/>
        </w:rPr>
        <w:t>scale</w:t>
      </w:r>
      <w:r w:rsidR="00F937C5">
        <w:rPr>
          <w:rFonts w:ascii="Bookman Old Style" w:hAnsi="Bookman Old Style"/>
          <w:color w:val="auto"/>
        </w:rPr>
        <w:t xml:space="preserve"> and scope (Cumulative Effects/Connected Actions)</w:t>
      </w:r>
      <w:r w:rsidR="00A17678" w:rsidRPr="00A17678">
        <w:rPr>
          <w:rFonts w:ascii="Bookman Old Style" w:hAnsi="Bookman Old Style"/>
          <w:color w:val="auto"/>
        </w:rPr>
        <w:t xml:space="preserve"> </w:t>
      </w:r>
      <w:r>
        <w:rPr>
          <w:rFonts w:ascii="Bookman Old Style" w:hAnsi="Bookman Old Style"/>
          <w:color w:val="auto"/>
        </w:rPr>
        <w:t xml:space="preserve">of the </w:t>
      </w:r>
      <w:r w:rsidR="00A17678" w:rsidRPr="00A17678">
        <w:rPr>
          <w:rFonts w:ascii="Bookman Old Style" w:hAnsi="Bookman Old Style"/>
          <w:color w:val="auto"/>
        </w:rPr>
        <w:t>proposal do</w:t>
      </w:r>
      <w:r>
        <w:rPr>
          <w:rFonts w:ascii="Bookman Old Style" w:hAnsi="Bookman Old Style"/>
          <w:color w:val="auto"/>
        </w:rPr>
        <w:t>es</w:t>
      </w:r>
      <w:r w:rsidR="00A17678" w:rsidRPr="00A17678">
        <w:rPr>
          <w:rFonts w:ascii="Bookman Old Style" w:hAnsi="Bookman Old Style"/>
          <w:color w:val="auto"/>
        </w:rPr>
        <w:t xml:space="preserve"> not </w:t>
      </w:r>
      <w:r>
        <w:rPr>
          <w:rFonts w:ascii="Bookman Old Style" w:hAnsi="Bookman Old Style"/>
          <w:color w:val="auto"/>
        </w:rPr>
        <w:t>conform to</w:t>
      </w:r>
      <w:r w:rsidR="00A17678" w:rsidRPr="00A17678">
        <w:rPr>
          <w:rFonts w:ascii="Bookman Old Style" w:hAnsi="Bookman Old Style"/>
          <w:color w:val="auto"/>
        </w:rPr>
        <w:t xml:space="preserve"> </w:t>
      </w:r>
      <w:r>
        <w:rPr>
          <w:rFonts w:ascii="Bookman Old Style" w:hAnsi="Bookman Old Style"/>
          <w:color w:val="auto"/>
        </w:rPr>
        <w:t xml:space="preserve">the intent or letter of </w:t>
      </w:r>
      <w:r w:rsidR="00F937C5">
        <w:rPr>
          <w:rFonts w:ascii="Bookman Old Style" w:hAnsi="Bookman Old Style"/>
          <w:color w:val="auto"/>
        </w:rPr>
        <w:t xml:space="preserve">NEPA’s </w:t>
      </w:r>
      <w:r w:rsidR="00A17678" w:rsidRPr="00A17678">
        <w:rPr>
          <w:rFonts w:ascii="Bookman Old Style" w:hAnsi="Bookman Old Style"/>
          <w:color w:val="auto"/>
        </w:rPr>
        <w:t>categorical exclusion</w:t>
      </w:r>
      <w:r>
        <w:rPr>
          <w:rFonts w:ascii="Bookman Old Style" w:hAnsi="Bookman Old Style"/>
          <w:color w:val="auto"/>
        </w:rPr>
        <w:t xml:space="preserve"> provisio</w:t>
      </w:r>
      <w:r w:rsidR="00F937C5">
        <w:rPr>
          <w:rFonts w:ascii="Bookman Old Style" w:hAnsi="Bookman Old Style"/>
          <w:color w:val="auto"/>
        </w:rPr>
        <w:t>n.</w:t>
      </w:r>
    </w:p>
    <w:p w14:paraId="213CC3CD" w14:textId="33305BFA" w:rsidR="00F65655" w:rsidRPr="00DB3887" w:rsidRDefault="00F65655" w:rsidP="00F65655">
      <w:pPr>
        <w:rPr>
          <w:rFonts w:ascii="Bookman Old Style" w:hAnsi="Bookman Old Style"/>
        </w:rPr>
      </w:pPr>
    </w:p>
    <w:p w14:paraId="596B366A" w14:textId="2426B447" w:rsidR="00AD505F" w:rsidRDefault="00F65655" w:rsidP="00F65655">
      <w:pPr>
        <w:rPr>
          <w:rFonts w:ascii="Bookman Old Style" w:hAnsi="Bookman Old Style"/>
        </w:rPr>
      </w:pPr>
      <w:r w:rsidRPr="00DB3887">
        <w:rPr>
          <w:rFonts w:ascii="Bookman Old Style" w:hAnsi="Bookman Old Style"/>
        </w:rPr>
        <w:t xml:space="preserve">This is also likely, in the “foreseeable future,” to expand recreational use in surrounding areas, which will adversely impact wildlife and fish, and the quality of the recreational experience.  Threatened and endangered species are likely to be among the wildlife species feeling the added human pressure and stress of helicopter overflights accessing the Holland Lake Lodge complex, well beyond the 15-acre site of the special-use permit.  These “connected actions” </w:t>
      </w:r>
      <w:r w:rsidR="00AD505F">
        <w:rPr>
          <w:rFonts w:ascii="Bookman Old Style" w:hAnsi="Bookman Old Style"/>
        </w:rPr>
        <w:t xml:space="preserve">and “cumulative effects” </w:t>
      </w:r>
      <w:r w:rsidRPr="00DB3887">
        <w:rPr>
          <w:rFonts w:ascii="Bookman Old Style" w:hAnsi="Bookman Old Style"/>
        </w:rPr>
        <w:t xml:space="preserve">must be analyzed in an </w:t>
      </w:r>
      <w:r w:rsidR="00AD505F">
        <w:rPr>
          <w:rFonts w:ascii="Bookman Old Style" w:hAnsi="Bookman Old Style"/>
        </w:rPr>
        <w:t>EIS</w:t>
      </w:r>
      <w:r w:rsidRPr="00DB3887">
        <w:rPr>
          <w:rFonts w:ascii="Bookman Old Style" w:hAnsi="Bookman Old Style"/>
        </w:rPr>
        <w:t xml:space="preserve"> </w:t>
      </w:r>
      <w:r w:rsidR="00AD505F">
        <w:rPr>
          <w:rFonts w:ascii="Bookman Old Style" w:hAnsi="Bookman Old Style"/>
        </w:rPr>
        <w:t xml:space="preserve">due </w:t>
      </w:r>
      <w:r w:rsidRPr="00DB3887">
        <w:rPr>
          <w:rFonts w:ascii="Bookman Old Style" w:hAnsi="Bookman Old Style"/>
        </w:rPr>
        <w:t xml:space="preserve">to </w:t>
      </w:r>
      <w:r w:rsidR="00AD505F">
        <w:rPr>
          <w:rFonts w:ascii="Bookman Old Style" w:hAnsi="Bookman Old Style"/>
        </w:rPr>
        <w:t>the obvious</w:t>
      </w:r>
      <w:r w:rsidRPr="00DB3887">
        <w:rPr>
          <w:rFonts w:ascii="Bookman Old Style" w:hAnsi="Bookman Old Style"/>
        </w:rPr>
        <w:t xml:space="preserve"> “significance” of the lodge expansion, plus the direct and indirect adverse impacts to the surrounding landscape, aquatic features and riparian areas. </w:t>
      </w:r>
      <w:r w:rsidR="00AD505F">
        <w:rPr>
          <w:rFonts w:ascii="Bookman Old Style" w:hAnsi="Bookman Old Style"/>
        </w:rPr>
        <w:t>What is being proposed may significantly, and adversely, affect the human environment, fish and wildlife and their secure habitat, and every living organism in the surrounding area.</w:t>
      </w:r>
    </w:p>
    <w:p w14:paraId="5F107368" w14:textId="77777777" w:rsidR="00AD505F" w:rsidRDefault="00AD505F" w:rsidP="00F65655">
      <w:pPr>
        <w:rPr>
          <w:rFonts w:ascii="Bookman Old Style" w:hAnsi="Bookman Old Style"/>
        </w:rPr>
      </w:pPr>
    </w:p>
    <w:p w14:paraId="435E9D77" w14:textId="65EDA278" w:rsidR="00292E2F" w:rsidRPr="003218F8" w:rsidRDefault="00AD505F" w:rsidP="00292E2F">
      <w:pPr>
        <w:rPr>
          <w:rFonts w:ascii="Arial" w:hAnsi="Arial" w:cs="Arial"/>
          <w:color w:val="222222"/>
          <w:sz w:val="23"/>
          <w:szCs w:val="23"/>
          <w:shd w:val="clear" w:color="auto" w:fill="FFFFFF"/>
        </w:rPr>
      </w:pPr>
      <w:r w:rsidRPr="00292E2F">
        <w:rPr>
          <w:rFonts w:ascii="Bookman Old Style" w:hAnsi="Bookman Old Style" w:cs="Arial"/>
          <w:color w:val="222222"/>
          <w:shd w:val="clear" w:color="auto" w:fill="FFFFFF"/>
        </w:rPr>
        <w:t xml:space="preserve">As in </w:t>
      </w:r>
      <w:hyperlink r:id="rId7" w:history="1">
        <w:r w:rsidR="00307DEB" w:rsidRPr="00292E2F">
          <w:rPr>
            <w:rStyle w:val="Hyperlink"/>
            <w:rFonts w:ascii="Bookman Old Style" w:hAnsi="Bookman Old Style" w:cs="Arial"/>
            <w:i/>
            <w:iCs/>
            <w:color w:val="1A0DAB"/>
            <w:shd w:val="clear" w:color="auto" w:fill="FFFFFF"/>
          </w:rPr>
          <w:t>Conner v. Burford,</w:t>
        </w:r>
        <w:r w:rsidR="00307DEB" w:rsidRPr="00292E2F">
          <w:rPr>
            <w:rStyle w:val="Hyperlink"/>
            <w:rFonts w:ascii="Bookman Old Style" w:hAnsi="Bookman Old Style" w:cs="Arial"/>
            <w:color w:val="1A0DAB"/>
            <w:shd w:val="clear" w:color="auto" w:fill="FFFFFF"/>
          </w:rPr>
          <w:t xml:space="preserve"> 605 </w:t>
        </w:r>
        <w:proofErr w:type="spellStart"/>
        <w:r w:rsidR="00307DEB" w:rsidRPr="00292E2F">
          <w:rPr>
            <w:rStyle w:val="Hyperlink"/>
            <w:rFonts w:ascii="Bookman Old Style" w:hAnsi="Bookman Old Style" w:cs="Arial"/>
            <w:color w:val="1A0DAB"/>
            <w:shd w:val="clear" w:color="auto" w:fill="FFFFFF"/>
          </w:rPr>
          <w:t>F.Supp</w:t>
        </w:r>
        <w:proofErr w:type="spellEnd"/>
        <w:r w:rsidR="00307DEB" w:rsidRPr="00292E2F">
          <w:rPr>
            <w:rStyle w:val="Hyperlink"/>
            <w:rFonts w:ascii="Bookman Old Style" w:hAnsi="Bookman Old Style" w:cs="Arial"/>
            <w:color w:val="1A0DAB"/>
            <w:shd w:val="clear" w:color="auto" w:fill="FFFFFF"/>
          </w:rPr>
          <w:t>. 107 (D.Mont.1985)</w:t>
        </w:r>
      </w:hyperlink>
      <w:r w:rsidRPr="00292E2F">
        <w:rPr>
          <w:rFonts w:ascii="Bookman Old Style" w:hAnsi="Bookman Old Style" w:cs="Arial"/>
          <w:color w:val="222222"/>
          <w:shd w:val="clear" w:color="auto" w:fill="FFFFFF"/>
        </w:rPr>
        <w:t>, where</w:t>
      </w:r>
      <w:r w:rsidR="00307DEB" w:rsidRPr="00292E2F">
        <w:rPr>
          <w:rFonts w:ascii="Bookman Old Style" w:hAnsi="Bookman Old Style" w:cs="Arial"/>
          <w:color w:val="222222"/>
          <w:shd w:val="clear" w:color="auto" w:fill="FFFFFF"/>
        </w:rPr>
        <w:t xml:space="preserve"> </w:t>
      </w:r>
      <w:r w:rsidRPr="00292E2F">
        <w:rPr>
          <w:rFonts w:ascii="Bookman Old Style" w:hAnsi="Bookman Old Style" w:cs="Arial"/>
          <w:color w:val="222222"/>
          <w:shd w:val="clear" w:color="auto" w:fill="FFFFFF"/>
        </w:rPr>
        <w:t>t</w:t>
      </w:r>
      <w:r w:rsidR="00307DEB" w:rsidRPr="00292E2F">
        <w:rPr>
          <w:rFonts w:ascii="Bookman Old Style" w:hAnsi="Bookman Old Style" w:cs="Arial"/>
          <w:color w:val="222222"/>
          <w:shd w:val="clear" w:color="auto" w:fill="FFFFFF"/>
        </w:rPr>
        <w:t>he court reasoned that NEPA requires a comprehensive EIS at the lease sale stage to project and analyze the cumulative effects of successive, interdependent steps culminating in oil and gas development and production</w:t>
      </w:r>
      <w:r w:rsidRPr="00292E2F">
        <w:rPr>
          <w:rFonts w:ascii="Bookman Old Style" w:hAnsi="Bookman Old Style" w:cs="Arial"/>
          <w:color w:val="222222"/>
          <w:shd w:val="clear" w:color="auto" w:fill="FFFFFF"/>
        </w:rPr>
        <w:t xml:space="preserve">, this project </w:t>
      </w:r>
      <w:r w:rsidR="003218F8" w:rsidRPr="00292E2F">
        <w:rPr>
          <w:rFonts w:ascii="Bookman Old Style" w:hAnsi="Bookman Old Style" w:cs="Arial"/>
          <w:color w:val="222222"/>
          <w:shd w:val="clear" w:color="auto" w:fill="FFFFFF"/>
        </w:rPr>
        <w:t xml:space="preserve">obviously has more to it </w:t>
      </w:r>
      <w:r w:rsidR="00292E2F">
        <w:rPr>
          <w:rFonts w:ascii="Bookman Old Style" w:hAnsi="Bookman Old Style" w:cs="Arial"/>
          <w:color w:val="222222"/>
          <w:shd w:val="clear" w:color="auto" w:fill="FFFFFF"/>
        </w:rPr>
        <w:t xml:space="preserve">down the road </w:t>
      </w:r>
      <w:r w:rsidR="003218F8" w:rsidRPr="00292E2F">
        <w:rPr>
          <w:rFonts w:ascii="Bookman Old Style" w:hAnsi="Bookman Old Style" w:cs="Arial"/>
          <w:color w:val="222222"/>
          <w:shd w:val="clear" w:color="auto" w:fill="FFFFFF"/>
        </w:rPr>
        <w:t>than meets the eye</w:t>
      </w:r>
      <w:r w:rsidR="00307DEB" w:rsidRPr="00292E2F">
        <w:rPr>
          <w:rFonts w:ascii="Bookman Old Style" w:hAnsi="Bookman Old Style" w:cs="Arial"/>
          <w:color w:val="222222"/>
          <w:shd w:val="clear" w:color="auto" w:fill="FFFFFF"/>
        </w:rPr>
        <w:t>. </w:t>
      </w:r>
      <w:r w:rsidR="003218F8" w:rsidRPr="00292E2F">
        <w:rPr>
          <w:rFonts w:ascii="Bookman Old Style" w:hAnsi="Bookman Old Style" w:cs="Arial"/>
          <w:color w:val="222222"/>
          <w:shd w:val="clear" w:color="auto" w:fill="FFFFFF"/>
        </w:rPr>
        <w:t xml:space="preserve">It too is the first step in a succession of interdependent steps culminating in a destination recreation complex with a multitude of </w:t>
      </w:r>
      <w:r w:rsidR="00292E2F">
        <w:rPr>
          <w:rFonts w:ascii="Bookman Old Style" w:hAnsi="Bookman Old Style" w:cs="Arial"/>
          <w:color w:val="222222"/>
          <w:shd w:val="clear" w:color="auto" w:fill="FFFFFF"/>
        </w:rPr>
        <w:t xml:space="preserve">hyped and expanded </w:t>
      </w:r>
      <w:r w:rsidR="003218F8" w:rsidRPr="00292E2F">
        <w:rPr>
          <w:rFonts w:ascii="Bookman Old Style" w:hAnsi="Bookman Old Style" w:cs="Arial"/>
          <w:color w:val="222222"/>
          <w:shd w:val="clear" w:color="auto" w:fill="FFFFFF"/>
        </w:rPr>
        <w:t xml:space="preserve">uses and </w:t>
      </w:r>
      <w:r w:rsidR="00292E2F">
        <w:rPr>
          <w:rFonts w:ascii="Bookman Old Style" w:hAnsi="Bookman Old Style" w:cs="Arial"/>
          <w:color w:val="222222"/>
          <w:shd w:val="clear" w:color="auto" w:fill="FFFFFF"/>
        </w:rPr>
        <w:t xml:space="preserve">irreversible </w:t>
      </w:r>
      <w:r w:rsidR="003218F8" w:rsidRPr="00292E2F">
        <w:rPr>
          <w:rFonts w:ascii="Bookman Old Style" w:hAnsi="Bookman Old Style" w:cs="Arial"/>
          <w:color w:val="222222"/>
          <w:shd w:val="clear" w:color="auto" w:fill="FFFFFF"/>
        </w:rPr>
        <w:t xml:space="preserve">environmental impacts that must be analyzed in a thorough cumulative effects analysis. In addition, </w:t>
      </w:r>
      <w:r w:rsidR="00292E2F">
        <w:rPr>
          <w:rFonts w:ascii="Bookman Old Style" w:hAnsi="Bookman Old Style" w:cs="Arial"/>
          <w:color w:val="222222"/>
          <w:shd w:val="clear" w:color="auto" w:fill="FFFFFF"/>
        </w:rPr>
        <w:t xml:space="preserve">in </w:t>
      </w:r>
      <w:r w:rsidR="00292E2F">
        <w:rPr>
          <w:rFonts w:ascii="Bookman Old Style" w:hAnsi="Bookman Old Style" w:cs="Arial"/>
          <w:i/>
          <w:iCs/>
          <w:color w:val="222222"/>
          <w:shd w:val="clear" w:color="auto" w:fill="FFFFFF"/>
        </w:rPr>
        <w:t xml:space="preserve">Connor, </w:t>
      </w:r>
      <w:r w:rsidR="003218F8" w:rsidRPr="00292E2F">
        <w:rPr>
          <w:rFonts w:ascii="Bookman Old Style" w:hAnsi="Bookman Old Style" w:cs="Arial"/>
          <w:color w:val="222222"/>
          <w:shd w:val="clear" w:color="auto" w:fill="FFFFFF"/>
        </w:rPr>
        <w:t>the court ruled that the biological opinions of the FWS were inadequate to satisfy the ESA because they failed to address the effects of oil and gas activities beyond the lease sale phase.</w:t>
      </w:r>
      <w:r w:rsidR="00292E2F">
        <w:rPr>
          <w:rFonts w:ascii="Bookman Old Style" w:hAnsi="Bookman Old Style" w:cs="Arial"/>
          <w:color w:val="222222"/>
          <w:shd w:val="clear" w:color="auto" w:fill="FFFFFF"/>
        </w:rPr>
        <w:t xml:space="preserve">  </w:t>
      </w:r>
      <w:r w:rsidR="00292E2F" w:rsidRPr="00DB3887">
        <w:rPr>
          <w:rFonts w:ascii="Bookman Old Style" w:hAnsi="Bookman Old Style"/>
          <w:i/>
          <w:iCs/>
        </w:rPr>
        <w:t>See</w:t>
      </w:r>
      <w:r w:rsidR="00292E2F">
        <w:rPr>
          <w:rFonts w:ascii="Bookman Old Style" w:hAnsi="Bookman Old Style"/>
          <w:i/>
          <w:iCs/>
        </w:rPr>
        <w:t xml:space="preserve"> also</w:t>
      </w:r>
      <w:r w:rsidR="00292E2F" w:rsidRPr="00DB3887">
        <w:rPr>
          <w:rFonts w:ascii="Bookman Old Style" w:hAnsi="Bookman Old Style"/>
        </w:rPr>
        <w:t xml:space="preserve">: Conner v. Burford 848 F.2d 1441 (9th Cir. 1988).  </w:t>
      </w:r>
    </w:p>
    <w:p w14:paraId="75EE2CCE" w14:textId="1FCBB693" w:rsidR="003218F8" w:rsidRPr="00292E2F" w:rsidRDefault="003218F8" w:rsidP="00F65655">
      <w:pPr>
        <w:rPr>
          <w:rFonts w:ascii="Bookman Old Style" w:hAnsi="Bookman Old Style" w:cs="Arial"/>
          <w:color w:val="222222"/>
          <w:shd w:val="clear" w:color="auto" w:fill="FFFFFF"/>
        </w:rPr>
      </w:pPr>
    </w:p>
    <w:p w14:paraId="3D7E386F" w14:textId="77777777" w:rsidR="003218F8" w:rsidRDefault="003218F8" w:rsidP="00F65655">
      <w:pPr>
        <w:rPr>
          <w:rFonts w:ascii="Arial" w:hAnsi="Arial" w:cs="Arial"/>
          <w:color w:val="222222"/>
          <w:sz w:val="23"/>
          <w:szCs w:val="23"/>
          <w:shd w:val="clear" w:color="auto" w:fill="FFFFFF"/>
        </w:rPr>
      </w:pPr>
    </w:p>
    <w:p w14:paraId="5C2EEA59" w14:textId="3E07BCC0" w:rsidR="00BA66B2" w:rsidRPr="00292E2F" w:rsidRDefault="003218F8" w:rsidP="00F65655">
      <w:pPr>
        <w:rPr>
          <w:rFonts w:ascii="Bookman Old Style" w:hAnsi="Bookman Old Style" w:cs="Arial"/>
          <w:color w:val="222222"/>
          <w:shd w:val="clear" w:color="auto" w:fill="FFFFFF"/>
        </w:rPr>
      </w:pPr>
      <w:r w:rsidRPr="00292E2F">
        <w:rPr>
          <w:rFonts w:ascii="Bookman Old Style" w:hAnsi="Bookman Old Style" w:cs="Arial"/>
          <w:color w:val="222222"/>
          <w:shd w:val="clear" w:color="auto" w:fill="FFFFFF"/>
        </w:rPr>
        <w:t>In</w:t>
      </w:r>
      <w:r w:rsidR="00307DEB" w:rsidRPr="00292E2F">
        <w:rPr>
          <w:rFonts w:ascii="Bookman Old Style" w:hAnsi="Bookman Old Style" w:cs="Arial"/>
          <w:color w:val="222222"/>
          <w:shd w:val="clear" w:color="auto" w:fill="FFFFFF"/>
        </w:rPr>
        <w:t> </w:t>
      </w:r>
      <w:hyperlink r:id="rId8" w:history="1">
        <w:r w:rsidR="00307DEB" w:rsidRPr="00292E2F">
          <w:rPr>
            <w:rStyle w:val="Hyperlink"/>
            <w:rFonts w:ascii="Bookman Old Style" w:hAnsi="Bookman Old Style" w:cs="Arial"/>
            <w:i/>
            <w:iCs/>
            <w:color w:val="1A0DAB"/>
            <w:shd w:val="clear" w:color="auto" w:fill="FFFFFF"/>
          </w:rPr>
          <w:t>Thomas v. Peterson,</w:t>
        </w:r>
        <w:r w:rsidR="00307DEB" w:rsidRPr="00292E2F">
          <w:rPr>
            <w:rStyle w:val="Hyperlink"/>
            <w:rFonts w:ascii="Bookman Old Style" w:hAnsi="Bookman Old Style" w:cs="Arial"/>
            <w:color w:val="1A0DAB"/>
            <w:shd w:val="clear" w:color="auto" w:fill="FFFFFF"/>
          </w:rPr>
          <w:t> 753 F.2d 754, 757 (9th Cir.1985)</w:t>
        </w:r>
      </w:hyperlink>
      <w:r w:rsidR="00307DEB" w:rsidRPr="00292E2F">
        <w:rPr>
          <w:rFonts w:ascii="Bookman Old Style" w:hAnsi="Bookman Old Style" w:cs="Arial"/>
          <w:color w:val="222222"/>
          <w:shd w:val="clear" w:color="auto" w:fill="FFFFFF"/>
        </w:rPr>
        <w:t>) the court feared, "a piecemeal invasion of the forests would occur, followed by the realization of a significant and irreversible impact."  The court reasoned this failure would lead to a piecemeal evaluation of the project consequences and a progressive "chipping away" of important habitat. </w:t>
      </w:r>
      <w:r w:rsidR="00307DEB" w:rsidRPr="00292E2F">
        <w:rPr>
          <w:rFonts w:ascii="Bookman Old Style" w:hAnsi="Bookman Old Style" w:cs="Arial"/>
          <w:i/>
          <w:iCs/>
          <w:color w:val="222222"/>
          <w:shd w:val="clear" w:color="auto" w:fill="FFFFFF"/>
        </w:rPr>
        <w:t>Id.</w:t>
      </w:r>
      <w:r w:rsidR="00307DEB" w:rsidRPr="00292E2F">
        <w:rPr>
          <w:rFonts w:ascii="Bookman Old Style" w:hAnsi="Bookman Old Style" w:cs="Arial"/>
          <w:color w:val="222222"/>
          <w:shd w:val="clear" w:color="auto" w:fill="FFFFFF"/>
        </w:rPr>
        <w:t> at 109.</w:t>
      </w:r>
      <w:r w:rsidR="00292E2F">
        <w:rPr>
          <w:rFonts w:ascii="Bookman Old Style" w:hAnsi="Bookman Old Style" w:cs="Arial"/>
          <w:color w:val="222222"/>
          <w:shd w:val="clear" w:color="auto" w:fill="FFFFFF"/>
        </w:rPr>
        <w:t xml:space="preserve">  </w:t>
      </w:r>
    </w:p>
    <w:p w14:paraId="76BA3243" w14:textId="25CCD4AD" w:rsidR="00BA66B2" w:rsidRPr="007324D0" w:rsidRDefault="00BA66B2" w:rsidP="00BA66B2">
      <w:pPr>
        <w:pStyle w:val="Heading3"/>
        <w:rPr>
          <w:rFonts w:ascii="Bookman Old Style" w:hAnsi="Bookman Old Style"/>
          <w:color w:val="auto"/>
        </w:rPr>
      </w:pPr>
      <w:r w:rsidRPr="007324D0">
        <w:rPr>
          <w:rFonts w:ascii="Bookman Old Style" w:hAnsi="Bookman Old Style" w:cs="Arial"/>
          <w:color w:val="000000"/>
          <w:spacing w:val="-3"/>
          <w:shd w:val="clear" w:color="auto" w:fill="FFFFFF"/>
        </w:rPr>
        <w:t xml:space="preserve">Cumulative effects analysis is a non-discretionary duty under the provisions of NEPA </w:t>
      </w:r>
      <w:r w:rsidR="00292E2F" w:rsidRPr="007324D0">
        <w:rPr>
          <w:rFonts w:ascii="Bookman Old Style" w:hAnsi="Bookman Old Style" w:cs="Arial"/>
          <w:color w:val="000000"/>
          <w:spacing w:val="-3"/>
          <w:shd w:val="clear" w:color="auto" w:fill="FFFFFF"/>
        </w:rPr>
        <w:t xml:space="preserve">involving </w:t>
      </w:r>
      <w:r w:rsidRPr="007324D0">
        <w:rPr>
          <w:rFonts w:ascii="Bookman Old Style" w:hAnsi="Bookman Old Style" w:cs="Arial"/>
          <w:color w:val="000000"/>
          <w:spacing w:val="-3"/>
          <w:shd w:val="clear" w:color="auto" w:fill="FFFFFF"/>
        </w:rPr>
        <w:t xml:space="preserve">circumstances </w:t>
      </w:r>
      <w:r w:rsidR="00292E2F" w:rsidRPr="007324D0">
        <w:rPr>
          <w:rFonts w:ascii="Bookman Old Style" w:hAnsi="Bookman Old Style" w:cs="Arial"/>
          <w:color w:val="000000"/>
          <w:spacing w:val="-3"/>
          <w:shd w:val="clear" w:color="auto" w:fill="FFFFFF"/>
        </w:rPr>
        <w:t xml:space="preserve">precisely </w:t>
      </w:r>
      <w:r w:rsidRPr="007324D0">
        <w:rPr>
          <w:rFonts w:ascii="Bookman Old Style" w:hAnsi="Bookman Old Style" w:cs="Arial"/>
          <w:color w:val="000000"/>
          <w:spacing w:val="-3"/>
          <w:shd w:val="clear" w:color="auto" w:fill="FFFFFF"/>
        </w:rPr>
        <w:t xml:space="preserve">like this. </w:t>
      </w:r>
      <w:r w:rsidR="000462D7" w:rsidRPr="007324D0">
        <w:rPr>
          <w:rFonts w:ascii="Bookman Old Style" w:hAnsi="Bookman Old Style" w:cs="Arial"/>
          <w:color w:val="000000"/>
          <w:spacing w:val="-3"/>
          <w:shd w:val="clear" w:color="auto" w:fill="FFFFFF"/>
        </w:rPr>
        <w:t xml:space="preserve"> T</w:t>
      </w:r>
      <w:r w:rsidRPr="007324D0">
        <w:rPr>
          <w:rFonts w:ascii="Bookman Old Style" w:hAnsi="Bookman Old Style"/>
          <w:color w:val="auto"/>
        </w:rPr>
        <w:t xml:space="preserve">his proposal </w:t>
      </w:r>
      <w:r w:rsidR="00292E2F" w:rsidRPr="007324D0">
        <w:rPr>
          <w:rFonts w:ascii="Bookman Old Style" w:hAnsi="Bookman Old Style"/>
          <w:color w:val="auto"/>
        </w:rPr>
        <w:t>involves</w:t>
      </w:r>
      <w:r w:rsidR="000462D7" w:rsidRPr="007324D0">
        <w:rPr>
          <w:rFonts w:ascii="Bookman Old Style" w:hAnsi="Bookman Old Style"/>
          <w:color w:val="auto"/>
        </w:rPr>
        <w:t xml:space="preserve"> so much more than the purported</w:t>
      </w:r>
      <w:r w:rsidRPr="007324D0">
        <w:rPr>
          <w:rFonts w:ascii="Bookman Old Style" w:hAnsi="Bookman Old Style"/>
          <w:color w:val="auto"/>
        </w:rPr>
        <w:t xml:space="preserve"> </w:t>
      </w:r>
      <w:r w:rsidR="000462D7" w:rsidRPr="007324D0">
        <w:rPr>
          <w:rFonts w:ascii="Bookman Old Style" w:hAnsi="Bookman Old Style"/>
          <w:color w:val="auto"/>
        </w:rPr>
        <w:t>“…</w:t>
      </w:r>
      <w:r w:rsidRPr="007324D0">
        <w:rPr>
          <w:rFonts w:ascii="Bookman Old Style" w:hAnsi="Bookman Old Style"/>
          <w:color w:val="auto"/>
        </w:rPr>
        <w:t>upgrade or replace existing structures</w:t>
      </w:r>
      <w:r w:rsidR="000462D7" w:rsidRPr="007324D0">
        <w:rPr>
          <w:rFonts w:ascii="Bookman Old Style" w:hAnsi="Bookman Old Style"/>
          <w:color w:val="auto"/>
        </w:rPr>
        <w:t>…”</w:t>
      </w:r>
      <w:r w:rsidR="00292E2F" w:rsidRPr="007324D0">
        <w:rPr>
          <w:rFonts w:ascii="Bookman Old Style" w:hAnsi="Bookman Old Style"/>
          <w:color w:val="auto"/>
        </w:rPr>
        <w:t xml:space="preserve"> being presented to the public.</w:t>
      </w:r>
      <w:r w:rsidR="000462D7" w:rsidRPr="007324D0">
        <w:rPr>
          <w:rFonts w:ascii="Bookman Old Style" w:hAnsi="Bookman Old Style"/>
          <w:color w:val="auto"/>
        </w:rPr>
        <w:t xml:space="preserve">  I</w:t>
      </w:r>
      <w:r w:rsidRPr="007324D0">
        <w:rPr>
          <w:rFonts w:ascii="Bookman Old Style" w:hAnsi="Bookman Old Style"/>
          <w:color w:val="auto"/>
        </w:rPr>
        <w:t>ncrease</w:t>
      </w:r>
      <w:r w:rsidR="000462D7" w:rsidRPr="007324D0">
        <w:rPr>
          <w:rFonts w:ascii="Bookman Old Style" w:hAnsi="Bookman Old Style"/>
          <w:color w:val="auto"/>
        </w:rPr>
        <w:t>d</w:t>
      </w:r>
      <w:r w:rsidRPr="007324D0">
        <w:rPr>
          <w:rFonts w:ascii="Bookman Old Style" w:hAnsi="Bookman Old Style"/>
          <w:color w:val="auto"/>
        </w:rPr>
        <w:t xml:space="preserve"> human</w:t>
      </w:r>
      <w:r w:rsidR="000462D7" w:rsidRPr="007324D0">
        <w:rPr>
          <w:rFonts w:ascii="Bookman Old Style" w:hAnsi="Bookman Old Style"/>
          <w:color w:val="auto"/>
        </w:rPr>
        <w:t xml:space="preserve"> impacts </w:t>
      </w:r>
      <w:r w:rsidRPr="007324D0">
        <w:rPr>
          <w:rFonts w:ascii="Bookman Old Style" w:hAnsi="Bookman Old Style"/>
          <w:color w:val="auto"/>
        </w:rPr>
        <w:t>on</w:t>
      </w:r>
      <w:r w:rsidR="000462D7" w:rsidRPr="007324D0">
        <w:rPr>
          <w:rFonts w:ascii="Bookman Old Style" w:hAnsi="Bookman Old Style"/>
          <w:color w:val="auto"/>
        </w:rPr>
        <w:t>-</w:t>
      </w:r>
      <w:r w:rsidRPr="007324D0">
        <w:rPr>
          <w:rFonts w:ascii="Bookman Old Style" w:hAnsi="Bookman Old Style"/>
          <w:color w:val="auto"/>
        </w:rPr>
        <w:t>site</w:t>
      </w:r>
      <w:r w:rsidR="000462D7" w:rsidRPr="007324D0">
        <w:rPr>
          <w:rFonts w:ascii="Bookman Old Style" w:hAnsi="Bookman Old Style"/>
          <w:color w:val="auto"/>
        </w:rPr>
        <w:t xml:space="preserve">, on and in the lake and creek, and </w:t>
      </w:r>
      <w:r w:rsidR="00292E2F" w:rsidRPr="007324D0">
        <w:rPr>
          <w:rFonts w:ascii="Bookman Old Style" w:hAnsi="Bookman Old Style"/>
          <w:color w:val="auto"/>
        </w:rPr>
        <w:t xml:space="preserve">over a wide area affecting </w:t>
      </w:r>
      <w:r w:rsidR="000462D7" w:rsidRPr="007324D0">
        <w:rPr>
          <w:rFonts w:ascii="Bookman Old Style" w:hAnsi="Bookman Old Style"/>
          <w:color w:val="auto"/>
        </w:rPr>
        <w:t xml:space="preserve">the surrounding landscape represents exponential growth, and a real </w:t>
      </w:r>
      <w:r w:rsidR="00292E2F" w:rsidRPr="007324D0">
        <w:rPr>
          <w:rFonts w:ascii="Bookman Old Style" w:hAnsi="Bookman Old Style"/>
          <w:color w:val="auto"/>
        </w:rPr>
        <w:t>threat/</w:t>
      </w:r>
      <w:r w:rsidR="000462D7" w:rsidRPr="007324D0">
        <w:rPr>
          <w:rFonts w:ascii="Bookman Old Style" w:hAnsi="Bookman Old Style"/>
          <w:color w:val="auto"/>
        </w:rPr>
        <w:t xml:space="preserve">challenge for wildlife and fish already struggling to adapt to rapid human encroachment.  The </w:t>
      </w:r>
      <w:r w:rsidRPr="007324D0">
        <w:rPr>
          <w:rFonts w:ascii="Bookman Old Style" w:hAnsi="Bookman Old Style"/>
          <w:color w:val="auto"/>
        </w:rPr>
        <w:t>cumulative</w:t>
      </w:r>
      <w:r w:rsidR="000462D7" w:rsidRPr="007324D0">
        <w:rPr>
          <w:rFonts w:ascii="Bookman Old Style" w:hAnsi="Bookman Old Style"/>
          <w:color w:val="auto"/>
        </w:rPr>
        <w:t xml:space="preserve"> </w:t>
      </w:r>
      <w:r w:rsidRPr="007324D0">
        <w:rPr>
          <w:rFonts w:ascii="Bookman Old Style" w:hAnsi="Bookman Old Style"/>
          <w:color w:val="auto"/>
        </w:rPr>
        <w:t xml:space="preserve">impacts to wildlife </w:t>
      </w:r>
      <w:r w:rsidR="000462D7" w:rsidRPr="007324D0">
        <w:rPr>
          <w:rFonts w:ascii="Bookman Old Style" w:hAnsi="Bookman Old Style"/>
          <w:color w:val="auto"/>
        </w:rPr>
        <w:t xml:space="preserve">and fish are “significant,” and as such, must be analyzed and disclosed </w:t>
      </w:r>
      <w:r w:rsidRPr="007324D0">
        <w:rPr>
          <w:rFonts w:ascii="Bookman Old Style" w:hAnsi="Bookman Old Style"/>
          <w:color w:val="auto"/>
        </w:rPr>
        <w:t>in an EIS.</w:t>
      </w:r>
      <w:r w:rsidR="000462D7" w:rsidRPr="007324D0">
        <w:rPr>
          <w:rFonts w:ascii="Bookman Old Style" w:hAnsi="Bookman Old Style"/>
          <w:color w:val="auto"/>
        </w:rPr>
        <w:t xml:space="preserve"> </w:t>
      </w:r>
      <w:r w:rsidR="00307DEB" w:rsidRPr="007324D0">
        <w:rPr>
          <w:rFonts w:ascii="Bookman Old Style" w:hAnsi="Bookman Old Style"/>
          <w:color w:val="auto"/>
        </w:rPr>
        <w:t xml:space="preserve"> </w:t>
      </w:r>
      <w:r w:rsidR="00292E2F" w:rsidRPr="007324D0">
        <w:rPr>
          <w:rFonts w:ascii="Bookman Old Style" w:hAnsi="Bookman Old Style"/>
          <w:color w:val="212121"/>
          <w:shd w:val="clear" w:color="auto" w:fill="FAFAFA"/>
        </w:rPr>
        <w:t xml:space="preserve">These cumulative effects, again citing </w:t>
      </w:r>
      <w:r w:rsidR="00292E2F" w:rsidRPr="007324D0">
        <w:rPr>
          <w:rFonts w:ascii="Bookman Old Style" w:hAnsi="Bookman Old Style"/>
          <w:i/>
          <w:iCs/>
          <w:color w:val="212121"/>
          <w:shd w:val="clear" w:color="auto" w:fill="FAFAFA"/>
        </w:rPr>
        <w:t>Thomas,</w:t>
      </w:r>
      <w:r w:rsidR="007324D0" w:rsidRPr="007324D0">
        <w:rPr>
          <w:rFonts w:ascii="Bookman Old Style" w:hAnsi="Bookman Old Style"/>
          <w:i/>
          <w:iCs/>
          <w:color w:val="212121"/>
          <w:shd w:val="clear" w:color="auto" w:fill="FAFAFA"/>
        </w:rPr>
        <w:t xml:space="preserve"> </w:t>
      </w:r>
      <w:r w:rsidR="007324D0" w:rsidRPr="007324D0">
        <w:rPr>
          <w:rFonts w:ascii="Bookman Old Style" w:hAnsi="Bookman Old Style"/>
          <w:color w:val="212121"/>
          <w:shd w:val="clear" w:color="auto" w:fill="FAFAFA"/>
        </w:rPr>
        <w:t>are</w:t>
      </w:r>
      <w:r w:rsidR="00292E2F" w:rsidRPr="007324D0">
        <w:rPr>
          <w:rFonts w:ascii="Bookman Old Style" w:hAnsi="Bookman Old Style"/>
          <w:i/>
          <w:iCs/>
          <w:color w:val="212121"/>
          <w:shd w:val="clear" w:color="auto" w:fill="FAFAFA"/>
        </w:rPr>
        <w:t xml:space="preserve"> </w:t>
      </w:r>
      <w:r w:rsidR="00307DEB" w:rsidRPr="007324D0">
        <w:rPr>
          <w:rFonts w:ascii="Bookman Old Style" w:hAnsi="Bookman Old Style"/>
          <w:color w:val="212121"/>
          <w:shd w:val="clear" w:color="auto" w:fill="FAFAFA"/>
        </w:rPr>
        <w:t xml:space="preserve">inextricably intertwined, and that they are "connected actions" within the </w:t>
      </w:r>
      <w:r w:rsidR="007324D0" w:rsidRPr="007324D0">
        <w:rPr>
          <w:rFonts w:ascii="Bookman Old Style" w:hAnsi="Bookman Old Style"/>
          <w:color w:val="212121"/>
          <w:shd w:val="clear" w:color="auto" w:fill="FAFAFA"/>
        </w:rPr>
        <w:t xml:space="preserve">purpose and </w:t>
      </w:r>
      <w:r w:rsidR="00307DEB" w:rsidRPr="007324D0">
        <w:rPr>
          <w:rFonts w:ascii="Bookman Old Style" w:hAnsi="Bookman Old Style"/>
          <w:color w:val="212121"/>
          <w:shd w:val="clear" w:color="auto" w:fill="FAFAFA"/>
        </w:rPr>
        <w:t xml:space="preserve">meaning of the CEQ regulations.  </w:t>
      </w:r>
      <w:r w:rsidR="00307DEB" w:rsidRPr="007324D0">
        <w:rPr>
          <w:rFonts w:ascii="Bookman Old Style" w:hAnsi="Bookman Old Style" w:cs="Arial"/>
          <w:color w:val="222222"/>
          <w:shd w:val="clear" w:color="auto" w:fill="F5F5F5"/>
        </w:rPr>
        <w:t>Thomas v. Peterson, 841 F. 2d 332 - Court of Appeals, 9th Circuit (1988).</w:t>
      </w:r>
      <w:r w:rsidR="00307DEB" w:rsidRPr="007324D0">
        <w:rPr>
          <w:rFonts w:ascii="Bookman Old Style" w:hAnsi="Bookman Old Style" w:cs="Arial"/>
          <w:b/>
          <w:bCs/>
          <w:color w:val="222222"/>
          <w:shd w:val="clear" w:color="auto" w:fill="F5F5F5"/>
        </w:rPr>
        <w:t xml:space="preserve">  </w:t>
      </w:r>
      <w:r w:rsidR="00307DEB" w:rsidRPr="007324D0">
        <w:rPr>
          <w:rFonts w:ascii="Bookman Old Style" w:hAnsi="Bookman Old Style"/>
          <w:color w:val="212121"/>
          <w:shd w:val="clear" w:color="auto" w:fill="FAFAFA"/>
        </w:rPr>
        <w:t>That purpose requires that the NEPA process be integrated with agency planning "at the earliest possible time," </w:t>
      </w:r>
      <w:hyperlink r:id="rId9" w:history="1">
        <w:r w:rsidR="00307DEB" w:rsidRPr="007324D0">
          <w:rPr>
            <w:rStyle w:val="Hyperlink"/>
            <w:rFonts w:ascii="Bookman Old Style" w:hAnsi="Bookman Old Style"/>
            <w:color w:val="005AAA"/>
            <w:shd w:val="clear" w:color="auto" w:fill="FAFAFA"/>
          </w:rPr>
          <w:t>40 C.F.R. § 1501.2</w:t>
        </w:r>
      </w:hyperlink>
      <w:r w:rsidR="00307DEB" w:rsidRPr="007324D0">
        <w:rPr>
          <w:rFonts w:ascii="Bookman Old Style" w:hAnsi="Bookman Old Style"/>
          <w:color w:val="212121"/>
          <w:shd w:val="clear" w:color="auto" w:fill="FAFAFA"/>
        </w:rPr>
        <w:t>, and the purpose cannot be fully served if consideration of the cumulative effects of successive, interdependent steps is delayed until the first step has already been taken.</w:t>
      </w:r>
    </w:p>
    <w:p w14:paraId="6EF080F2" w14:textId="77777777" w:rsidR="000462D7" w:rsidRPr="007324D0" w:rsidRDefault="000462D7" w:rsidP="00BA66B2">
      <w:pPr>
        <w:pStyle w:val="Heading3"/>
        <w:rPr>
          <w:rFonts w:ascii="Bookman Old Style" w:hAnsi="Bookman Old Style"/>
          <w:color w:val="auto"/>
        </w:rPr>
      </w:pPr>
    </w:p>
    <w:p w14:paraId="35BDBE96" w14:textId="77777777" w:rsidR="000B72D8" w:rsidRDefault="007324D0" w:rsidP="00BA66B2">
      <w:pPr>
        <w:pStyle w:val="Heading3"/>
        <w:rPr>
          <w:rFonts w:ascii="Bookman Old Style" w:hAnsi="Bookman Old Style"/>
          <w:color w:val="auto"/>
        </w:rPr>
      </w:pPr>
      <w:r w:rsidRPr="00F047B5">
        <w:rPr>
          <w:rFonts w:ascii="Bookman Old Style" w:hAnsi="Bookman Old Style"/>
          <w:color w:val="auto"/>
        </w:rPr>
        <w:t xml:space="preserve">So, I must ask the Forest Service:  </w:t>
      </w:r>
      <w:r w:rsidR="00BA66B2" w:rsidRPr="00F047B5">
        <w:rPr>
          <w:rFonts w:ascii="Bookman Old Style" w:hAnsi="Bookman Old Style"/>
          <w:color w:val="auto"/>
        </w:rPr>
        <w:t>Wh</w:t>
      </w:r>
      <w:r w:rsidR="000462D7" w:rsidRPr="00F047B5">
        <w:rPr>
          <w:rFonts w:ascii="Bookman Old Style" w:hAnsi="Bookman Old Style"/>
          <w:color w:val="auto"/>
        </w:rPr>
        <w:t xml:space="preserve">y is there no mention of the likelihood that with the </w:t>
      </w:r>
      <w:r w:rsidRPr="00F047B5">
        <w:rPr>
          <w:rFonts w:ascii="Bookman Old Style" w:hAnsi="Bookman Old Style"/>
          <w:color w:val="auto"/>
        </w:rPr>
        <w:t xml:space="preserve">lodge and cite </w:t>
      </w:r>
      <w:r w:rsidR="000462D7" w:rsidRPr="00F047B5">
        <w:rPr>
          <w:rFonts w:ascii="Bookman Old Style" w:hAnsi="Bookman Old Style"/>
          <w:color w:val="auto"/>
        </w:rPr>
        <w:t xml:space="preserve">expansion will come </w:t>
      </w:r>
      <w:r w:rsidRPr="00F047B5">
        <w:rPr>
          <w:rFonts w:ascii="Bookman Old Style" w:hAnsi="Bookman Old Style"/>
          <w:color w:val="auto"/>
        </w:rPr>
        <w:t xml:space="preserve">a massive </w:t>
      </w:r>
      <w:r w:rsidR="000462D7" w:rsidRPr="00F047B5">
        <w:rPr>
          <w:rFonts w:ascii="Bookman Old Style" w:hAnsi="Bookman Old Style"/>
          <w:color w:val="auto"/>
        </w:rPr>
        <w:t xml:space="preserve">expansion of destination tourism featuring expanded </w:t>
      </w:r>
      <w:r w:rsidR="00BA66B2" w:rsidRPr="00F047B5">
        <w:rPr>
          <w:rFonts w:ascii="Bookman Old Style" w:hAnsi="Bookman Old Style"/>
          <w:color w:val="auto"/>
        </w:rPr>
        <w:t xml:space="preserve">winter development </w:t>
      </w:r>
      <w:r w:rsidR="000462D7" w:rsidRPr="00F047B5">
        <w:rPr>
          <w:rFonts w:ascii="Bookman Old Style" w:hAnsi="Bookman Old Style"/>
          <w:color w:val="auto"/>
        </w:rPr>
        <w:t xml:space="preserve">and winter recreational activities?  </w:t>
      </w:r>
      <w:r w:rsidR="007B5CAC">
        <w:rPr>
          <w:rFonts w:ascii="Bookman Old Style" w:hAnsi="Bookman Old Style"/>
          <w:color w:val="auto"/>
        </w:rPr>
        <w:t xml:space="preserve">This is a “no-brainer.”  </w:t>
      </w:r>
      <w:r w:rsidR="00BA66B2" w:rsidRPr="00F047B5">
        <w:rPr>
          <w:rFonts w:ascii="Bookman Old Style" w:hAnsi="Bookman Old Style"/>
          <w:color w:val="auto"/>
        </w:rPr>
        <w:t>POWDR</w:t>
      </w:r>
      <w:r w:rsidR="000462D7" w:rsidRPr="00F047B5">
        <w:rPr>
          <w:rFonts w:ascii="Bookman Old Style" w:hAnsi="Bookman Old Style"/>
          <w:color w:val="auto"/>
        </w:rPr>
        <w:t xml:space="preserve"> </w:t>
      </w:r>
      <w:r w:rsidR="00BA66B2" w:rsidRPr="00F047B5">
        <w:rPr>
          <w:rFonts w:ascii="Bookman Old Style" w:hAnsi="Bookman Old Style"/>
          <w:color w:val="auto"/>
        </w:rPr>
        <w:t xml:space="preserve">Corporation owns </w:t>
      </w:r>
      <w:r w:rsidRPr="00F047B5">
        <w:rPr>
          <w:rFonts w:ascii="Bookman Old Style" w:hAnsi="Bookman Old Style"/>
          <w:color w:val="auto"/>
        </w:rPr>
        <w:t xml:space="preserve">numerous </w:t>
      </w:r>
      <w:r w:rsidR="00BA66B2" w:rsidRPr="00F047B5">
        <w:rPr>
          <w:rFonts w:ascii="Bookman Old Style" w:hAnsi="Bookman Old Style"/>
          <w:color w:val="auto"/>
        </w:rPr>
        <w:t>large ski area</w:t>
      </w:r>
      <w:r w:rsidRPr="00F047B5">
        <w:rPr>
          <w:rFonts w:ascii="Bookman Old Style" w:hAnsi="Bookman Old Style"/>
          <w:color w:val="auto"/>
        </w:rPr>
        <w:t xml:space="preserve"> complexes</w:t>
      </w:r>
      <w:r w:rsidR="00BA66B2" w:rsidRPr="00F047B5">
        <w:rPr>
          <w:rFonts w:ascii="Bookman Old Style" w:hAnsi="Bookman Old Style"/>
          <w:color w:val="auto"/>
        </w:rPr>
        <w:t xml:space="preserve"> </w:t>
      </w:r>
      <w:r w:rsidRPr="00F047B5">
        <w:rPr>
          <w:rFonts w:ascii="Bookman Old Style" w:hAnsi="Bookman Old Style"/>
          <w:color w:val="auto"/>
        </w:rPr>
        <w:t xml:space="preserve">across </w:t>
      </w:r>
      <w:r w:rsidR="00BA66B2" w:rsidRPr="00F047B5">
        <w:rPr>
          <w:rFonts w:ascii="Bookman Old Style" w:hAnsi="Bookman Old Style"/>
          <w:color w:val="auto"/>
        </w:rPr>
        <w:t xml:space="preserve">the country. </w:t>
      </w:r>
      <w:r w:rsidR="00F047B5" w:rsidRPr="00F047B5">
        <w:rPr>
          <w:rFonts w:ascii="Bookman Old Style" w:hAnsi="Bookman Old Style" w:cs="Arial"/>
          <w:color w:val="4D5156"/>
          <w:shd w:val="clear" w:color="auto" w:fill="FFFFFF"/>
        </w:rPr>
        <w:t>A lie of omission is </w:t>
      </w:r>
      <w:r w:rsidR="00F047B5" w:rsidRPr="00F047B5">
        <w:rPr>
          <w:rStyle w:val="Emphasis"/>
          <w:rFonts w:ascii="Bookman Old Style" w:hAnsi="Bookman Old Style" w:cs="Arial"/>
          <w:i w:val="0"/>
          <w:iCs w:val="0"/>
          <w:color w:val="5F6368"/>
          <w:shd w:val="clear" w:color="auto" w:fill="FFFFFF"/>
        </w:rPr>
        <w:t>an intentional failure to tell the truth in a situation requiring disclosure</w:t>
      </w:r>
      <w:r w:rsidR="00F047B5" w:rsidRPr="00F047B5">
        <w:rPr>
          <w:rFonts w:ascii="Bookman Old Style" w:hAnsi="Bookman Old Style" w:cs="Arial"/>
          <w:color w:val="4D5156"/>
          <w:shd w:val="clear" w:color="auto" w:fill="FFFFFF"/>
        </w:rPr>
        <w:t xml:space="preserve">.  </w:t>
      </w:r>
      <w:r w:rsidR="00F047B5" w:rsidRPr="00F047B5">
        <w:rPr>
          <w:rFonts w:ascii="Bookman Old Style" w:hAnsi="Bookman Old Style"/>
          <w:color w:val="auto"/>
        </w:rPr>
        <w:t xml:space="preserve">I certainly hope the Forest Service </w:t>
      </w:r>
      <w:r w:rsidR="00F047B5">
        <w:rPr>
          <w:rFonts w:ascii="Bookman Old Style" w:hAnsi="Bookman Old Style"/>
          <w:color w:val="auto"/>
        </w:rPr>
        <w:t>understands</w:t>
      </w:r>
      <w:r w:rsidR="00F047B5" w:rsidRPr="00F047B5">
        <w:rPr>
          <w:rFonts w:ascii="Bookman Old Style" w:hAnsi="Bookman Old Style"/>
          <w:color w:val="auto"/>
        </w:rPr>
        <w:t xml:space="preserve"> </w:t>
      </w:r>
      <w:r w:rsidR="00BA66B2" w:rsidRPr="00F047B5">
        <w:rPr>
          <w:rFonts w:ascii="Bookman Old Style" w:hAnsi="Bookman Old Style"/>
          <w:color w:val="auto"/>
        </w:rPr>
        <w:t>that</w:t>
      </w:r>
      <w:r w:rsidR="00F047B5" w:rsidRPr="00F047B5">
        <w:rPr>
          <w:rFonts w:ascii="Bookman Old Style" w:hAnsi="Bookman Old Style"/>
          <w:color w:val="auto"/>
        </w:rPr>
        <w:t xml:space="preserve"> POWDR</w:t>
      </w:r>
      <w:r w:rsidR="00BA66B2" w:rsidRPr="00F047B5">
        <w:rPr>
          <w:rFonts w:ascii="Bookman Old Style" w:hAnsi="Bookman Old Style"/>
          <w:color w:val="auto"/>
        </w:rPr>
        <w:t xml:space="preserve"> wants </w:t>
      </w:r>
      <w:r w:rsidR="00F047B5" w:rsidRPr="00F047B5">
        <w:rPr>
          <w:rFonts w:ascii="Bookman Old Style" w:hAnsi="Bookman Old Style"/>
          <w:color w:val="auto"/>
        </w:rPr>
        <w:t xml:space="preserve">much more than </w:t>
      </w:r>
      <w:r w:rsidR="00BA66B2" w:rsidRPr="00F047B5">
        <w:rPr>
          <w:rFonts w:ascii="Bookman Old Style" w:hAnsi="Bookman Old Style"/>
          <w:color w:val="auto"/>
        </w:rPr>
        <w:t xml:space="preserve">to </w:t>
      </w:r>
      <w:r w:rsidR="00F047B5" w:rsidRPr="00F047B5">
        <w:rPr>
          <w:rFonts w:ascii="Bookman Old Style" w:hAnsi="Bookman Old Style"/>
          <w:color w:val="auto"/>
        </w:rPr>
        <w:t xml:space="preserve">simply </w:t>
      </w:r>
      <w:r w:rsidR="00BA66B2" w:rsidRPr="00F047B5">
        <w:rPr>
          <w:rFonts w:ascii="Bookman Old Style" w:hAnsi="Bookman Old Style"/>
          <w:color w:val="auto"/>
        </w:rPr>
        <w:t xml:space="preserve">own and manage a small </w:t>
      </w:r>
      <w:r w:rsidR="00F047B5" w:rsidRPr="00F047B5">
        <w:rPr>
          <w:rFonts w:ascii="Bookman Old Style" w:hAnsi="Bookman Old Style"/>
          <w:color w:val="auto"/>
        </w:rPr>
        <w:t xml:space="preserve">recreation </w:t>
      </w:r>
      <w:r w:rsidR="00BA66B2" w:rsidRPr="00F047B5">
        <w:rPr>
          <w:rFonts w:ascii="Bookman Old Style" w:hAnsi="Bookman Old Style"/>
          <w:color w:val="auto"/>
        </w:rPr>
        <w:t xml:space="preserve">area on </w:t>
      </w:r>
      <w:r w:rsidR="00F047B5">
        <w:rPr>
          <w:rFonts w:ascii="Bookman Old Style" w:hAnsi="Bookman Old Style"/>
          <w:color w:val="auto"/>
        </w:rPr>
        <w:t xml:space="preserve">the shores of </w:t>
      </w:r>
      <w:r w:rsidR="00BA66B2" w:rsidRPr="00F047B5">
        <w:rPr>
          <w:rFonts w:ascii="Bookman Old Style" w:hAnsi="Bookman Old Style"/>
          <w:color w:val="auto"/>
        </w:rPr>
        <w:t>Holland Lake</w:t>
      </w:r>
      <w:r w:rsidR="00F047B5" w:rsidRPr="00F047B5">
        <w:rPr>
          <w:rFonts w:ascii="Bookman Old Style" w:hAnsi="Bookman Old Style"/>
          <w:color w:val="auto"/>
        </w:rPr>
        <w:t>. Bigger plans are afoot, and I believe the Forest Service is quite aware of at least some of POWDR’s aim here.  Please disclose to the public in the NEPA process all emails, meeting notes and other communication between the U.S. Forest Service (at all administrative levels, including, but not limited to the WO, RO, SO and District offices) and POWDR that may pertain directly, or indirectly to this project.</w:t>
      </w:r>
    </w:p>
    <w:p w14:paraId="3DC14AE6" w14:textId="77777777" w:rsidR="000B72D8" w:rsidRDefault="000B72D8" w:rsidP="00BA66B2">
      <w:pPr>
        <w:pStyle w:val="Heading3"/>
        <w:rPr>
          <w:rFonts w:ascii="Bookman Old Style" w:hAnsi="Bookman Old Style"/>
          <w:color w:val="auto"/>
        </w:rPr>
      </w:pPr>
    </w:p>
    <w:p w14:paraId="48EB63C3" w14:textId="77777777" w:rsidR="00560300" w:rsidRDefault="00B43158" w:rsidP="00BA66B2">
      <w:pPr>
        <w:pStyle w:val="Heading3"/>
        <w:rPr>
          <w:rFonts w:ascii="Bookman Old Style" w:hAnsi="Bookman Old Style"/>
          <w:color w:val="auto"/>
        </w:rPr>
      </w:pPr>
      <w:r>
        <w:rPr>
          <w:rFonts w:ascii="Bookman Old Style" w:hAnsi="Bookman Old Style"/>
          <w:color w:val="auto"/>
        </w:rPr>
        <w:t>A n</w:t>
      </w:r>
      <w:r w:rsidR="000B72D8">
        <w:rPr>
          <w:rFonts w:ascii="Bookman Old Style" w:hAnsi="Bookman Old Style"/>
          <w:color w:val="auto"/>
        </w:rPr>
        <w:t>o</w:t>
      </w:r>
      <w:r>
        <w:rPr>
          <w:rFonts w:ascii="Bookman Old Style" w:hAnsi="Bookman Old Style"/>
          <w:color w:val="auto"/>
        </w:rPr>
        <w:t>-</w:t>
      </w:r>
      <w:r w:rsidR="000B72D8">
        <w:rPr>
          <w:rFonts w:ascii="Bookman Old Style" w:hAnsi="Bookman Old Style"/>
          <w:color w:val="auto"/>
        </w:rPr>
        <w:t>action alternative</w:t>
      </w:r>
      <w:r>
        <w:rPr>
          <w:rFonts w:ascii="Bookman Old Style" w:hAnsi="Bookman Old Style"/>
          <w:color w:val="auto"/>
        </w:rPr>
        <w:t xml:space="preserve"> is critical to understanding and memorializing the baseline ecological conditions before a decision is made</w:t>
      </w:r>
      <w:r w:rsidR="008D55B5">
        <w:rPr>
          <w:rFonts w:ascii="Bookman Old Style" w:hAnsi="Bookman Old Style"/>
          <w:color w:val="auto"/>
        </w:rPr>
        <w:t xml:space="preserve">, which could “change everything.” </w:t>
      </w:r>
      <w:r>
        <w:rPr>
          <w:rFonts w:ascii="Bookman Old Style" w:hAnsi="Bookman Old Style"/>
          <w:color w:val="auto"/>
        </w:rPr>
        <w:t xml:space="preserve">Water quality, fisheries and wildlife habitat effectiveness and socio-cultural conditions may be adversely affected by rapid, exponential increases in levels of use, and expansion into new uses with unforeseen impacts.  This project has the potential to trigger rapid </w:t>
      </w:r>
      <w:r w:rsidR="008D55B5">
        <w:rPr>
          <w:rFonts w:ascii="Bookman Old Style" w:hAnsi="Bookman Old Style"/>
          <w:color w:val="auto"/>
        </w:rPr>
        <w:t xml:space="preserve">(cascading) </w:t>
      </w:r>
      <w:r>
        <w:rPr>
          <w:rFonts w:ascii="Bookman Old Style" w:hAnsi="Bookman Old Style"/>
          <w:color w:val="auto"/>
        </w:rPr>
        <w:t xml:space="preserve">urbanization in an area that has remained relatively free of the social and psychological impacts of noise, increased pace/speed, “the hustle” associated with the modern, materialistic mindset, and </w:t>
      </w:r>
      <w:r w:rsidR="008D55B5">
        <w:rPr>
          <w:rFonts w:ascii="Bookman Old Style" w:hAnsi="Bookman Old Style"/>
          <w:color w:val="auto"/>
        </w:rPr>
        <w:t xml:space="preserve">human </w:t>
      </w:r>
      <w:r>
        <w:rPr>
          <w:rFonts w:ascii="Bookman Old Style" w:hAnsi="Bookman Old Style"/>
          <w:color w:val="auto"/>
        </w:rPr>
        <w:t xml:space="preserve">fragmentation/dissociation </w:t>
      </w:r>
      <w:r w:rsidR="008D55B5">
        <w:rPr>
          <w:rFonts w:ascii="Bookman Old Style" w:hAnsi="Bookman Old Style"/>
          <w:color w:val="auto"/>
        </w:rPr>
        <w:t>that places man separate and apart from Nature’s language and the qualitative wonders that touch upon instinct/spirit/soul.  These are all impacts that have not historically existed as a direct threat to the quality of life sought by the local resident population. Before kicking off this potential avalanche of urban uniformity, a no-action NEPA alternative</w:t>
      </w:r>
      <w:r>
        <w:rPr>
          <w:rFonts w:ascii="Bookman Old Style" w:hAnsi="Bookman Old Style"/>
          <w:color w:val="auto"/>
        </w:rPr>
        <w:t xml:space="preserve"> </w:t>
      </w:r>
      <w:r w:rsidR="008D55B5">
        <w:rPr>
          <w:rFonts w:ascii="Bookman Old Style" w:hAnsi="Bookman Old Style"/>
          <w:color w:val="auto"/>
        </w:rPr>
        <w:t xml:space="preserve">is required. If nothing else, it will stand as a milepost down the road to help people grasp </w:t>
      </w:r>
      <w:r w:rsidR="00560300">
        <w:rPr>
          <w:rFonts w:ascii="Bookman Old Style" w:hAnsi="Bookman Old Style"/>
          <w:color w:val="auto"/>
        </w:rPr>
        <w:t xml:space="preserve">unique conditions that existed before </w:t>
      </w:r>
      <w:r w:rsidR="008D55B5">
        <w:rPr>
          <w:rFonts w:ascii="Bookman Old Style" w:hAnsi="Bookman Old Style"/>
          <w:color w:val="auto"/>
        </w:rPr>
        <w:t xml:space="preserve">the trigger point that </w:t>
      </w:r>
      <w:r w:rsidR="00560300">
        <w:rPr>
          <w:rFonts w:ascii="Bookman Old Style" w:hAnsi="Bookman Old Style"/>
          <w:color w:val="auto"/>
        </w:rPr>
        <w:t xml:space="preserve">moved the Swan Valley toward urban sameness/meaninglessness.  </w:t>
      </w:r>
      <w:r w:rsidR="000B72D8">
        <w:rPr>
          <w:rFonts w:ascii="Bookman Old Style" w:hAnsi="Bookman Old Style"/>
          <w:color w:val="auto"/>
        </w:rPr>
        <w:t xml:space="preserve">  </w:t>
      </w:r>
    </w:p>
    <w:p w14:paraId="208CCCA8" w14:textId="77777777" w:rsidR="00560300" w:rsidRDefault="00560300" w:rsidP="00BA66B2">
      <w:pPr>
        <w:pStyle w:val="Heading3"/>
        <w:rPr>
          <w:rFonts w:ascii="Bookman Old Style" w:hAnsi="Bookman Old Style"/>
          <w:color w:val="auto"/>
        </w:rPr>
      </w:pPr>
    </w:p>
    <w:p w14:paraId="7D54991F" w14:textId="77777777" w:rsidR="002B0CAD" w:rsidRDefault="00560300" w:rsidP="00BA66B2">
      <w:pPr>
        <w:pStyle w:val="Heading3"/>
        <w:rPr>
          <w:rFonts w:ascii="Bookman Old Style" w:hAnsi="Bookman Old Style"/>
          <w:color w:val="auto"/>
        </w:rPr>
      </w:pPr>
      <w:r>
        <w:rPr>
          <w:rFonts w:ascii="Bookman Old Style" w:hAnsi="Bookman Old Style"/>
          <w:color w:val="auto"/>
        </w:rPr>
        <w:t xml:space="preserve">Another gross inadequacy of the CE exemption from a proper NEPA analysis and disclosure process is the lack of imagination and creativity that only comes with full consideration of a range of viable alternatives.  For example, an alternative should consider the removal of the cabins in order to expand day-use opportunities. This would minimize the impacts from exposure to uber-rich tourist attitudes while maximizing opportunities for Montanans who are being priced out of many of the prime waterfront locations to wealthy corporations with the primary purpose of maximizing profit.  There is plenty of this selling-out to the highest bidder all around Montana. This could be an alternative that explicitly caters protecting the commons for commoners.  </w:t>
      </w:r>
    </w:p>
    <w:p w14:paraId="11C8A005" w14:textId="77777777" w:rsidR="002B0CAD" w:rsidRDefault="002B0CAD" w:rsidP="00BA66B2">
      <w:pPr>
        <w:pStyle w:val="Heading3"/>
        <w:rPr>
          <w:rFonts w:ascii="Bookman Old Style" w:hAnsi="Bookman Old Style"/>
          <w:color w:val="auto"/>
        </w:rPr>
      </w:pPr>
    </w:p>
    <w:p w14:paraId="1BE60C32" w14:textId="5439D318" w:rsidR="00D60048" w:rsidRPr="00D60048" w:rsidRDefault="00560300" w:rsidP="00D60048">
      <w:pPr>
        <w:pStyle w:val="Heading3"/>
        <w:rPr>
          <w:rFonts w:ascii="Bookman Old Style" w:hAnsi="Bookman Old Style"/>
          <w:color w:val="auto"/>
        </w:rPr>
      </w:pPr>
      <w:r>
        <w:rPr>
          <w:rFonts w:ascii="Bookman Old Style" w:hAnsi="Bookman Old Style"/>
          <w:color w:val="auto"/>
        </w:rPr>
        <w:t xml:space="preserve">Obviously, an alternative that prioritizes the recovery and persistence of </w:t>
      </w:r>
      <w:r w:rsidR="002B0CAD">
        <w:rPr>
          <w:rFonts w:ascii="Bookman Old Style" w:hAnsi="Bookman Old Style"/>
          <w:color w:val="auto"/>
        </w:rPr>
        <w:t xml:space="preserve">(ESA) </w:t>
      </w:r>
      <w:r>
        <w:rPr>
          <w:rFonts w:ascii="Bookman Old Style" w:hAnsi="Bookman Old Style"/>
          <w:color w:val="auto"/>
        </w:rPr>
        <w:t>threatened and candidate species</w:t>
      </w:r>
      <w:r w:rsidR="002B0CAD">
        <w:rPr>
          <w:rFonts w:ascii="Bookman Old Style" w:hAnsi="Bookman Old Style"/>
          <w:color w:val="auto"/>
        </w:rPr>
        <w:t xml:space="preserve"> is a mandatory legal requirement that cannot be overlooked. The ESA has no provision that exempts the intent and purpose of the Act to prioritize protection and recovery of listed species, especially over against a primary goal of maximizing private/corporate profit by exploiting the public domain. Expand public use, not private use for the 0.01% who need to be ferried from the Missoula airport by helicopter to avoid mixing with the “riff-raff” at the car rental service counter?  How long before a private jet port is needed to land and house tourists with private jets and pilots somewhere out in the “flats” near Clearwater Junction, just to maximize convenience</w:t>
      </w:r>
      <w:r w:rsidR="00C1008E">
        <w:rPr>
          <w:rFonts w:ascii="Bookman Old Style" w:hAnsi="Bookman Old Style"/>
          <w:color w:val="auto"/>
        </w:rPr>
        <w:t>?</w:t>
      </w:r>
      <w:r w:rsidR="002B0CAD">
        <w:rPr>
          <w:rFonts w:ascii="Bookman Old Style" w:hAnsi="Bookman Old Style"/>
          <w:color w:val="auto"/>
        </w:rPr>
        <w:t xml:space="preserve">  Think it can’t happen</w:t>
      </w:r>
      <w:r w:rsidR="00C1008E">
        <w:rPr>
          <w:rFonts w:ascii="Bookman Old Style" w:hAnsi="Bookman Old Style"/>
          <w:color w:val="auto"/>
        </w:rPr>
        <w:t>?</w:t>
      </w:r>
      <w:r w:rsidR="002B0CAD">
        <w:rPr>
          <w:rFonts w:ascii="Bookman Old Style" w:hAnsi="Bookman Old Style"/>
          <w:color w:val="auto"/>
        </w:rPr>
        <w:t xml:space="preserve">  </w:t>
      </w:r>
      <w:r w:rsidR="00C1008E">
        <w:rPr>
          <w:rFonts w:ascii="Bookman Old Style" w:hAnsi="Bookman Old Style"/>
          <w:color w:val="auto"/>
        </w:rPr>
        <w:t>I urge you to v</w:t>
      </w:r>
      <w:r w:rsidR="002B0CAD">
        <w:rPr>
          <w:rFonts w:ascii="Bookman Old Style" w:hAnsi="Bookman Old Style"/>
          <w:color w:val="auto"/>
        </w:rPr>
        <w:t xml:space="preserve">isit Three-Forks, or Ennis, and witness the </w:t>
      </w:r>
      <w:r w:rsidR="00C1008E">
        <w:rPr>
          <w:rFonts w:ascii="Bookman Old Style" w:hAnsi="Bookman Old Style"/>
          <w:color w:val="auto"/>
        </w:rPr>
        <w:t xml:space="preserve">building frenzy underway to construct enough private-jet hangers -- because Bozeman airport is running out of room to accommodate all the private jets carrying elite travelers destined for Big Sky.  </w:t>
      </w:r>
      <w:r w:rsidR="00C1008E" w:rsidRPr="00C1008E">
        <w:rPr>
          <w:rFonts w:ascii="Bookman Old Style" w:hAnsi="Bookman Old Style"/>
          <w:b/>
          <w:bCs/>
          <w:color w:val="auto"/>
        </w:rPr>
        <w:t>It can happen here!</w:t>
      </w:r>
      <w:r w:rsidR="002B0CAD" w:rsidRPr="00C1008E">
        <w:rPr>
          <w:rFonts w:ascii="Bookman Old Style" w:hAnsi="Bookman Old Style"/>
          <w:b/>
          <w:bCs/>
          <w:color w:val="auto"/>
        </w:rPr>
        <w:t xml:space="preserve"> </w:t>
      </w:r>
      <w:r w:rsidR="00C1008E">
        <w:rPr>
          <w:rFonts w:ascii="Bookman Old Style" w:hAnsi="Bookman Old Style"/>
          <w:color w:val="auto"/>
        </w:rPr>
        <w:t>Emphasis added.</w:t>
      </w:r>
      <w:r w:rsidR="00D60048">
        <w:rPr>
          <w:rFonts w:ascii="Bookman Old Style" w:hAnsi="Bookman Old Style"/>
          <w:color w:val="auto"/>
        </w:rPr>
        <w:t xml:space="preserve">  One final question:  Can a special-use permit be assigned of sold (or partnered) to a new corporate</w:t>
      </w:r>
    </w:p>
    <w:p w14:paraId="787F0600" w14:textId="77777777" w:rsidR="00C1008E" w:rsidRDefault="00C1008E" w:rsidP="00BA66B2">
      <w:pPr>
        <w:pStyle w:val="Heading3"/>
        <w:rPr>
          <w:rFonts w:ascii="Bookman Old Style" w:hAnsi="Bookman Old Style"/>
          <w:color w:val="auto"/>
        </w:rPr>
      </w:pPr>
    </w:p>
    <w:p w14:paraId="5795C3D6" w14:textId="47840643" w:rsidR="00C1008E" w:rsidRPr="00C9288E" w:rsidRDefault="00D60048" w:rsidP="00D60048">
      <w:pPr>
        <w:pStyle w:val="Heading3"/>
        <w:rPr>
          <w:rFonts w:ascii="Bookman Old Style" w:hAnsi="Bookman Old Style"/>
          <w:color w:val="auto"/>
        </w:rPr>
      </w:pPr>
      <w:r>
        <w:rPr>
          <w:rFonts w:ascii="Bookman Old Style" w:hAnsi="Bookman Old Style"/>
          <w:color w:val="auto"/>
        </w:rPr>
        <w:t>The public is not onboard.  The standard should be followed:</w:t>
      </w:r>
      <w:r w:rsidR="00C1008E">
        <w:rPr>
          <w:rFonts w:ascii="Bookman Old Style" w:hAnsi="Bookman Old Style"/>
          <w:color w:val="auto"/>
        </w:rPr>
        <w:t xml:space="preserve"> “…public need for the facilities and where there is no suitable private land for such facilities within reasonable distance.”  FSM Sec. 23</w:t>
      </w:r>
      <w:r>
        <w:rPr>
          <w:rFonts w:ascii="Bookman Old Style" w:hAnsi="Bookman Old Style"/>
          <w:color w:val="auto"/>
        </w:rPr>
        <w:t xml:space="preserve">43.3 and 2340.3.  “Public need” has not been established.  And judging from the public outrage at the proposal, none can be established without breaking rules.  Please, develop NEPA alternatives that do conform to the long-established rules governing </w:t>
      </w:r>
      <w:proofErr w:type="gramStart"/>
      <w:r>
        <w:rPr>
          <w:rFonts w:ascii="Bookman Old Style" w:hAnsi="Bookman Old Style"/>
          <w:color w:val="auto"/>
        </w:rPr>
        <w:t>special-use</w:t>
      </w:r>
      <w:proofErr w:type="gramEnd"/>
      <w:r>
        <w:rPr>
          <w:rFonts w:ascii="Bookman Old Style" w:hAnsi="Bookman Old Style"/>
          <w:color w:val="auto"/>
        </w:rPr>
        <w:t xml:space="preserve"> permits. </w:t>
      </w:r>
    </w:p>
    <w:p w14:paraId="2786D41E" w14:textId="77777777" w:rsidR="00C1008E" w:rsidRPr="00C9288E" w:rsidRDefault="00C1008E" w:rsidP="00C1008E">
      <w:pPr>
        <w:rPr>
          <w:rFonts w:ascii="Bookman Old Style" w:hAnsi="Bookman Old Style"/>
        </w:rPr>
      </w:pPr>
    </w:p>
    <w:p w14:paraId="7A844189" w14:textId="77777777" w:rsidR="00C1008E" w:rsidRPr="00C9288E" w:rsidRDefault="00C1008E" w:rsidP="00C1008E">
      <w:pPr>
        <w:rPr>
          <w:rFonts w:ascii="Bookman Old Style" w:hAnsi="Bookman Old Style"/>
        </w:rPr>
      </w:pPr>
      <w:r w:rsidRPr="00C9288E">
        <w:rPr>
          <w:rFonts w:ascii="Bookman Old Style" w:hAnsi="Bookman Old Style"/>
        </w:rPr>
        <w:t xml:space="preserve">This category includes sites and facilities such as lodges, hotels, motels, campgrounds, trailer courts and camps, and commercial group camps.  In addition to the general policies in </w:t>
      </w:r>
      <w:r w:rsidRPr="00C9288E">
        <w:rPr>
          <w:rFonts w:ascii="Bookman Old Style" w:hAnsi="Bookman Old Style"/>
        </w:rPr>
        <w:br/>
        <w:t>section 2340.3, the following policy applies to lodging and overnight accommodations.</w:t>
      </w:r>
    </w:p>
    <w:p w14:paraId="3ED31F47" w14:textId="23AFAFC5" w:rsidR="00C1008E" w:rsidRPr="000B7941" w:rsidRDefault="00C1008E" w:rsidP="00C1008E">
      <w:pPr>
        <w:pStyle w:val="NumberList1"/>
        <w:rPr>
          <w:rFonts w:ascii="Bookman Old Style" w:hAnsi="Bookman Old Style"/>
          <w:i/>
          <w:iCs/>
        </w:rPr>
      </w:pPr>
      <w:r w:rsidRPr="000B7941">
        <w:rPr>
          <w:rFonts w:ascii="Bookman Old Style" w:hAnsi="Bookman Old Style"/>
          <w:i/>
          <w:iCs/>
        </w:rPr>
        <w:t xml:space="preserve">Authorize provision of lodging accommodations on National Forest System land only where there is a public need for the facilities and where there is </w:t>
      </w:r>
      <w:r w:rsidR="000B7941">
        <w:rPr>
          <w:rFonts w:ascii="Bookman Old Style" w:hAnsi="Bookman Old Style"/>
          <w:i/>
          <w:iCs/>
        </w:rPr>
        <w:t xml:space="preserve">                                                                                    </w:t>
      </w:r>
      <w:bookmarkStart w:id="3" w:name="_GoBack"/>
      <w:bookmarkEnd w:id="3"/>
      <w:r w:rsidRPr="000B7941">
        <w:rPr>
          <w:rFonts w:ascii="Bookman Old Style" w:hAnsi="Bookman Old Style"/>
          <w:i/>
          <w:iCs/>
        </w:rPr>
        <w:t>no suitable private land for such facilities within a reasonable distance.</w:t>
      </w:r>
      <w:r w:rsidR="000B7941">
        <w:rPr>
          <w:rFonts w:ascii="Bookman Old Style" w:hAnsi="Bookman Old Style"/>
          <w:i/>
          <w:iCs/>
        </w:rPr>
        <w:t xml:space="preserve">  </w:t>
      </w:r>
      <w:r w:rsidR="000B7941">
        <w:rPr>
          <w:rFonts w:ascii="Bookman Old Style" w:hAnsi="Bookman Old Style"/>
        </w:rPr>
        <w:t>FSM Sec. 2340.3(1).</w:t>
      </w:r>
    </w:p>
    <w:p w14:paraId="513FB6F0" w14:textId="4463C008" w:rsidR="00C1008E" w:rsidRPr="000B7941" w:rsidRDefault="00C1008E" w:rsidP="00C1008E">
      <w:pPr>
        <w:rPr>
          <w:i/>
          <w:iCs/>
        </w:rPr>
      </w:pPr>
    </w:p>
    <w:p w14:paraId="602EE77C" w14:textId="77777777" w:rsidR="00F047B5" w:rsidRPr="00F047B5" w:rsidRDefault="00F047B5" w:rsidP="00F047B5"/>
    <w:p w14:paraId="61454AC1" w14:textId="5957DE81" w:rsidR="00F65655" w:rsidRPr="007B5CAC" w:rsidRDefault="00D465C1" w:rsidP="00F65655">
      <w:pPr>
        <w:rPr>
          <w:rFonts w:ascii="Bookman Old Style" w:hAnsi="Bookman Old Style" w:cs="Arial"/>
          <w:color w:val="000000"/>
          <w:spacing w:val="-3"/>
          <w:shd w:val="clear" w:color="auto" w:fill="FFFFFF"/>
        </w:rPr>
      </w:pPr>
      <w:r>
        <w:rPr>
          <w:rFonts w:ascii="Bookman Old Style" w:hAnsi="Bookman Old Style" w:cs="Arial"/>
          <w:color w:val="000000"/>
          <w:spacing w:val="-3"/>
          <w:shd w:val="clear" w:color="auto" w:fill="FFFFFF"/>
        </w:rPr>
        <w:t xml:space="preserve">A CE is wholly inappropriate and unlawful with this </w:t>
      </w:r>
      <w:r w:rsidR="002B0CAD">
        <w:rPr>
          <w:rFonts w:ascii="Bookman Old Style" w:hAnsi="Bookman Old Style" w:cs="Arial"/>
          <w:color w:val="000000"/>
          <w:spacing w:val="-3"/>
          <w:shd w:val="clear" w:color="auto" w:fill="FFFFFF"/>
        </w:rPr>
        <w:t xml:space="preserve">self-evident and </w:t>
      </w:r>
      <w:r w:rsidR="007B5CAC">
        <w:rPr>
          <w:rFonts w:ascii="Bookman Old Style" w:hAnsi="Bookman Old Style" w:cs="Arial"/>
          <w:color w:val="000000"/>
          <w:spacing w:val="-3"/>
          <w:shd w:val="clear" w:color="auto" w:fill="FFFFFF"/>
        </w:rPr>
        <w:t xml:space="preserve">significant </w:t>
      </w:r>
      <w:r>
        <w:rPr>
          <w:rFonts w:ascii="Bookman Old Style" w:hAnsi="Bookman Old Style" w:cs="Arial"/>
          <w:color w:val="000000"/>
          <w:spacing w:val="-3"/>
          <w:shd w:val="clear" w:color="auto" w:fill="FFFFFF"/>
        </w:rPr>
        <w:t>level of ecological impact</w:t>
      </w:r>
      <w:r w:rsidR="007B5CAC">
        <w:rPr>
          <w:rFonts w:ascii="Bookman Old Style" w:hAnsi="Bookman Old Style" w:cs="Arial"/>
          <w:color w:val="000000"/>
          <w:spacing w:val="-3"/>
          <w:shd w:val="clear" w:color="auto" w:fill="FFFFFF"/>
        </w:rPr>
        <w:t>.</w:t>
      </w:r>
      <w:r>
        <w:rPr>
          <w:rFonts w:ascii="Bookman Old Style" w:hAnsi="Bookman Old Style" w:cs="Arial"/>
          <w:color w:val="000000"/>
          <w:spacing w:val="-3"/>
          <w:shd w:val="clear" w:color="auto" w:fill="FFFFFF"/>
        </w:rPr>
        <w:t xml:space="preserve"> </w:t>
      </w:r>
      <w:r w:rsidR="007B5CAC">
        <w:rPr>
          <w:rFonts w:ascii="Bookman Old Style" w:hAnsi="Bookman Old Style" w:cs="Arial"/>
          <w:color w:val="000000"/>
          <w:spacing w:val="-3"/>
          <w:shd w:val="clear" w:color="auto" w:fill="FFFFFF"/>
        </w:rPr>
        <w:t>T</w:t>
      </w:r>
      <w:r>
        <w:rPr>
          <w:rFonts w:ascii="Bookman Old Style" w:hAnsi="Bookman Old Style" w:cs="Arial"/>
          <w:color w:val="000000"/>
          <w:spacing w:val="-3"/>
          <w:shd w:val="clear" w:color="auto" w:fill="FFFFFF"/>
        </w:rPr>
        <w:t xml:space="preserve">he Lodge </w:t>
      </w:r>
      <w:r w:rsidR="007B5CAC">
        <w:rPr>
          <w:rFonts w:ascii="Bookman Old Style" w:hAnsi="Bookman Old Style" w:cs="Arial"/>
          <w:color w:val="000000"/>
          <w:spacing w:val="-3"/>
          <w:shd w:val="clear" w:color="auto" w:fill="FFFFFF"/>
        </w:rPr>
        <w:t xml:space="preserve">and site </w:t>
      </w:r>
      <w:r>
        <w:rPr>
          <w:rFonts w:ascii="Bookman Old Style" w:hAnsi="Bookman Old Style" w:cs="Arial"/>
          <w:color w:val="000000"/>
          <w:spacing w:val="-3"/>
          <w:shd w:val="clear" w:color="auto" w:fill="FFFFFF"/>
        </w:rPr>
        <w:t xml:space="preserve">expansion </w:t>
      </w:r>
      <w:r w:rsidR="007B5CAC">
        <w:rPr>
          <w:rFonts w:ascii="Bookman Old Style" w:hAnsi="Bookman Old Style" w:cs="Arial"/>
          <w:color w:val="000000"/>
          <w:spacing w:val="-3"/>
          <w:shd w:val="clear" w:color="auto" w:fill="FFFFFF"/>
        </w:rPr>
        <w:t>will trigger</w:t>
      </w:r>
      <w:r>
        <w:rPr>
          <w:rFonts w:ascii="Bookman Old Style" w:hAnsi="Bookman Old Style" w:cs="Arial"/>
          <w:color w:val="000000"/>
          <w:spacing w:val="-3"/>
          <w:shd w:val="clear" w:color="auto" w:fill="FFFFFF"/>
        </w:rPr>
        <w:t xml:space="preserve"> </w:t>
      </w:r>
      <w:r w:rsidR="002B0CAD">
        <w:rPr>
          <w:rFonts w:ascii="Bookman Old Style" w:hAnsi="Bookman Old Style" w:cs="Arial"/>
          <w:color w:val="000000"/>
          <w:spacing w:val="-3"/>
          <w:shd w:val="clear" w:color="auto" w:fill="FFFFFF"/>
        </w:rPr>
        <w:t xml:space="preserve">widespread </w:t>
      </w:r>
      <w:r w:rsidR="007B5CAC">
        <w:rPr>
          <w:rFonts w:ascii="Bookman Old Style" w:hAnsi="Bookman Old Style" w:cs="Arial"/>
          <w:color w:val="000000"/>
          <w:spacing w:val="-3"/>
          <w:shd w:val="clear" w:color="auto" w:fill="FFFFFF"/>
        </w:rPr>
        <w:t xml:space="preserve">significant, </w:t>
      </w:r>
      <w:r>
        <w:rPr>
          <w:rFonts w:ascii="Bookman Old Style" w:hAnsi="Bookman Old Style" w:cs="Arial"/>
          <w:color w:val="000000"/>
          <w:spacing w:val="-3"/>
          <w:shd w:val="clear" w:color="auto" w:fill="FFFFFF"/>
        </w:rPr>
        <w:t>associated</w:t>
      </w:r>
      <w:r w:rsidR="007B5CAC">
        <w:rPr>
          <w:rFonts w:ascii="Bookman Old Style" w:hAnsi="Bookman Old Style" w:cs="Arial"/>
          <w:color w:val="000000"/>
          <w:spacing w:val="-3"/>
          <w:shd w:val="clear" w:color="auto" w:fill="FFFFFF"/>
        </w:rPr>
        <w:t xml:space="preserve">, irreversible, cumulative effects caused directly, and/or indirectly </w:t>
      </w:r>
      <w:r w:rsidR="002B0CAD">
        <w:rPr>
          <w:rFonts w:ascii="Bookman Old Style" w:hAnsi="Bookman Old Style" w:cs="Arial"/>
          <w:color w:val="000000"/>
          <w:spacing w:val="-3"/>
          <w:shd w:val="clear" w:color="auto" w:fill="FFFFFF"/>
        </w:rPr>
        <w:t xml:space="preserve">rippling outward </w:t>
      </w:r>
      <w:r w:rsidR="007B5CAC">
        <w:rPr>
          <w:rFonts w:ascii="Bookman Old Style" w:hAnsi="Bookman Old Style" w:cs="Arial"/>
          <w:color w:val="000000"/>
          <w:spacing w:val="-3"/>
          <w:shd w:val="clear" w:color="auto" w:fill="FFFFFF"/>
        </w:rPr>
        <w:t xml:space="preserve">from the expansion </w:t>
      </w:r>
      <w:r w:rsidR="002B0CAD">
        <w:rPr>
          <w:rFonts w:ascii="Bookman Old Style" w:hAnsi="Bookman Old Style" w:cs="Arial"/>
          <w:color w:val="000000"/>
          <w:spacing w:val="-3"/>
          <w:shd w:val="clear" w:color="auto" w:fill="FFFFFF"/>
        </w:rPr>
        <w:t xml:space="preserve">(epicenter) </w:t>
      </w:r>
      <w:r w:rsidR="007B5CAC">
        <w:rPr>
          <w:rFonts w:ascii="Bookman Old Style" w:hAnsi="Bookman Old Style" w:cs="Arial"/>
          <w:color w:val="000000"/>
          <w:spacing w:val="-3"/>
          <w:shd w:val="clear" w:color="auto" w:fill="FFFFFF"/>
        </w:rPr>
        <w:t>of this</w:t>
      </w:r>
      <w:r>
        <w:rPr>
          <w:rFonts w:ascii="Bookman Old Style" w:hAnsi="Bookman Old Style" w:cs="Arial"/>
          <w:color w:val="000000"/>
          <w:spacing w:val="-3"/>
          <w:shd w:val="clear" w:color="auto" w:fill="FFFFFF"/>
        </w:rPr>
        <w:t xml:space="preserve"> special-use permit</w:t>
      </w:r>
      <w:r w:rsidR="007B5CAC">
        <w:rPr>
          <w:rFonts w:ascii="Arial" w:hAnsi="Arial" w:cs="Arial"/>
          <w:color w:val="000000"/>
          <w:spacing w:val="-3"/>
          <w:sz w:val="21"/>
          <w:szCs w:val="21"/>
          <w:shd w:val="clear" w:color="auto" w:fill="FFFFFF"/>
        </w:rPr>
        <w:t xml:space="preserve">.  </w:t>
      </w:r>
      <w:r w:rsidR="007B5CAC" w:rsidRPr="007B5CAC">
        <w:rPr>
          <w:rFonts w:ascii="Bookman Old Style" w:hAnsi="Bookman Old Style" w:cs="Arial"/>
          <w:color w:val="000000"/>
          <w:spacing w:val="-3"/>
          <w:shd w:val="clear" w:color="auto" w:fill="FFFFFF"/>
        </w:rPr>
        <w:t>An EIS is required.</w:t>
      </w:r>
    </w:p>
    <w:p w14:paraId="2644BAD7" w14:textId="77777777" w:rsidR="00A17678" w:rsidRPr="00A17678" w:rsidRDefault="00A17678" w:rsidP="00A17678">
      <w:pPr>
        <w:pStyle w:val="Heading3"/>
        <w:rPr>
          <w:rFonts w:ascii="Bookman Old Style" w:hAnsi="Bookman Old Style"/>
          <w:color w:val="auto"/>
        </w:rPr>
      </w:pPr>
    </w:p>
    <w:p w14:paraId="04589131" w14:textId="77777777" w:rsidR="00F937C5" w:rsidRPr="00F937C5" w:rsidRDefault="00F937C5" w:rsidP="00A17678">
      <w:pPr>
        <w:pStyle w:val="Heading3"/>
        <w:rPr>
          <w:rFonts w:ascii="Bookman Old Style" w:hAnsi="Bookman Old Style"/>
          <w:b/>
          <w:bCs/>
          <w:color w:val="auto"/>
        </w:rPr>
      </w:pPr>
      <w:r w:rsidRPr="00F937C5">
        <w:rPr>
          <w:rFonts w:ascii="Bookman Old Style" w:hAnsi="Bookman Old Style"/>
          <w:b/>
          <w:bCs/>
          <w:color w:val="auto"/>
        </w:rPr>
        <w:t xml:space="preserve">Endangered Species Act (ESA) </w:t>
      </w:r>
    </w:p>
    <w:p w14:paraId="6758E4CC" w14:textId="77777777" w:rsidR="00F937C5" w:rsidRDefault="00F937C5" w:rsidP="00A17678">
      <w:pPr>
        <w:pStyle w:val="Heading3"/>
        <w:rPr>
          <w:rFonts w:ascii="Bookman Old Style" w:hAnsi="Bookman Old Style"/>
          <w:color w:val="auto"/>
        </w:rPr>
      </w:pPr>
    </w:p>
    <w:p w14:paraId="27B286DC" w14:textId="55915474" w:rsidR="00D465C1" w:rsidRDefault="00D465C1" w:rsidP="00A17678">
      <w:pPr>
        <w:pStyle w:val="Heading3"/>
        <w:rPr>
          <w:rFonts w:ascii="Bookman Old Style" w:hAnsi="Bookman Old Style" w:cs="Arial"/>
          <w:color w:val="000000"/>
          <w:spacing w:val="-3"/>
          <w:shd w:val="clear" w:color="auto" w:fill="FFFFFF"/>
        </w:rPr>
      </w:pPr>
      <w:r w:rsidRPr="00DB3887">
        <w:rPr>
          <w:rFonts w:ascii="Bookman Old Style" w:hAnsi="Bookman Old Style"/>
        </w:rPr>
        <w:t xml:space="preserve">Increased human encroachment resulting from Holland Lake Lodge expansion into secure wildlife habitat </w:t>
      </w:r>
      <w:r w:rsidR="00DB74F8">
        <w:rPr>
          <w:rFonts w:ascii="Bookman Old Style" w:hAnsi="Bookman Old Style"/>
        </w:rPr>
        <w:t xml:space="preserve">in the surrounding landscape and aquatic system </w:t>
      </w:r>
      <w:r w:rsidRPr="00DB3887">
        <w:rPr>
          <w:rFonts w:ascii="Bookman Old Style" w:hAnsi="Bookman Old Style"/>
        </w:rPr>
        <w:t>presents a potential</w:t>
      </w:r>
      <w:r w:rsidRPr="00DB3887">
        <w:rPr>
          <w:rFonts w:ascii="Bookman Old Style" w:hAnsi="Bookman Old Style" w:cs="Arial"/>
          <w:color w:val="000000"/>
          <w:spacing w:val="-3"/>
          <w:shd w:val="clear" w:color="auto" w:fill="FFFFFF"/>
        </w:rPr>
        <w:t> “may affect” situation for listed species or their habitat.</w:t>
      </w:r>
      <w:r>
        <w:rPr>
          <w:rFonts w:ascii="Bookman Old Style" w:hAnsi="Bookman Old Style" w:cs="Arial"/>
          <w:color w:val="000000"/>
          <w:spacing w:val="-3"/>
          <w:shd w:val="clear" w:color="auto" w:fill="FFFFFF"/>
        </w:rPr>
        <w:t xml:space="preserve"> Grizzly bears and lynx will be impacted in spring, summer and fall. Added </w:t>
      </w:r>
      <w:r w:rsidR="00DB74F8">
        <w:rPr>
          <w:rFonts w:ascii="Bookman Old Style" w:hAnsi="Bookman Old Style" w:cs="Arial"/>
          <w:color w:val="000000"/>
          <w:spacing w:val="-3"/>
          <w:shd w:val="clear" w:color="auto" w:fill="FFFFFF"/>
        </w:rPr>
        <w:t xml:space="preserve">pollution, boating and </w:t>
      </w:r>
      <w:r>
        <w:rPr>
          <w:rFonts w:ascii="Bookman Old Style" w:hAnsi="Bookman Old Style" w:cs="Arial"/>
          <w:color w:val="000000"/>
          <w:spacing w:val="-3"/>
          <w:shd w:val="clear" w:color="auto" w:fill="FFFFFF"/>
        </w:rPr>
        <w:t xml:space="preserve">fishing pressure will contribute to </w:t>
      </w:r>
      <w:r w:rsidR="00DB74F8">
        <w:rPr>
          <w:rFonts w:ascii="Bookman Old Style" w:hAnsi="Bookman Old Style" w:cs="Arial"/>
          <w:color w:val="000000"/>
          <w:spacing w:val="-3"/>
          <w:shd w:val="clear" w:color="auto" w:fill="FFFFFF"/>
        </w:rPr>
        <w:t xml:space="preserve">an increase in the level of </w:t>
      </w:r>
      <w:r>
        <w:rPr>
          <w:rFonts w:ascii="Bookman Old Style" w:hAnsi="Bookman Old Style" w:cs="Arial"/>
          <w:color w:val="000000"/>
          <w:spacing w:val="-3"/>
          <w:shd w:val="clear" w:color="auto" w:fill="FFFFFF"/>
        </w:rPr>
        <w:t>“take</w:t>
      </w:r>
      <w:r w:rsidR="00DB74F8">
        <w:rPr>
          <w:rFonts w:ascii="Bookman Old Style" w:hAnsi="Bookman Old Style" w:cs="Arial"/>
          <w:color w:val="000000"/>
          <w:spacing w:val="-3"/>
          <w:shd w:val="clear" w:color="auto" w:fill="FFFFFF"/>
        </w:rPr>
        <w:t>” for</w:t>
      </w:r>
      <w:r>
        <w:rPr>
          <w:rFonts w:ascii="Bookman Old Style" w:hAnsi="Bookman Old Style" w:cs="Arial"/>
          <w:color w:val="000000"/>
          <w:spacing w:val="-3"/>
          <w:shd w:val="clear" w:color="auto" w:fill="FFFFFF"/>
        </w:rPr>
        <w:t xml:space="preserve"> bull trout</w:t>
      </w:r>
      <w:r w:rsidR="00DB74F8">
        <w:rPr>
          <w:rFonts w:ascii="Bookman Old Style" w:hAnsi="Bookman Old Style" w:cs="Arial"/>
          <w:color w:val="000000"/>
          <w:spacing w:val="-3"/>
          <w:shd w:val="clear" w:color="auto" w:fill="FFFFFF"/>
        </w:rPr>
        <w:t>, lynx and grizzly bear</w:t>
      </w:r>
      <w:r>
        <w:rPr>
          <w:rFonts w:ascii="Bookman Old Style" w:hAnsi="Bookman Old Style" w:cs="Arial"/>
          <w:color w:val="000000"/>
          <w:spacing w:val="-3"/>
          <w:shd w:val="clear" w:color="auto" w:fill="FFFFFF"/>
        </w:rPr>
        <w:t>. Wolverine, warranted for listing, will feel the pressure in winter, especially if helicopter skiing is being offered as a destination resort option.</w:t>
      </w:r>
    </w:p>
    <w:p w14:paraId="38F418C4" w14:textId="77777777" w:rsidR="00D465C1" w:rsidRDefault="00D465C1" w:rsidP="00A17678">
      <w:pPr>
        <w:pStyle w:val="Heading3"/>
        <w:rPr>
          <w:rFonts w:ascii="Bookman Old Style" w:hAnsi="Bookman Old Style" w:cs="Arial"/>
          <w:color w:val="000000"/>
          <w:spacing w:val="-3"/>
          <w:shd w:val="clear" w:color="auto" w:fill="FFFFFF"/>
        </w:rPr>
      </w:pPr>
    </w:p>
    <w:p w14:paraId="35C085F9" w14:textId="48D78B30" w:rsidR="00A17678" w:rsidRPr="00A17678" w:rsidRDefault="00D465C1" w:rsidP="00A17678">
      <w:pPr>
        <w:pStyle w:val="Heading3"/>
        <w:rPr>
          <w:rFonts w:ascii="Bookman Old Style" w:hAnsi="Bookman Old Style"/>
          <w:color w:val="auto"/>
        </w:rPr>
      </w:pPr>
      <w:r>
        <w:rPr>
          <w:rFonts w:ascii="Bookman Old Style" w:hAnsi="Bookman Old Style"/>
          <w:color w:val="auto"/>
        </w:rPr>
        <w:t>There is no</w:t>
      </w:r>
      <w:r w:rsidR="00A17678" w:rsidRPr="00A17678">
        <w:rPr>
          <w:rFonts w:ascii="Bookman Old Style" w:hAnsi="Bookman Old Style"/>
          <w:color w:val="auto"/>
        </w:rPr>
        <w:t xml:space="preserve"> mention </w:t>
      </w:r>
      <w:r>
        <w:rPr>
          <w:rFonts w:ascii="Bookman Old Style" w:hAnsi="Bookman Old Style"/>
          <w:color w:val="auto"/>
        </w:rPr>
        <w:t xml:space="preserve">of </w:t>
      </w:r>
      <w:r w:rsidR="00A17678" w:rsidRPr="00A17678">
        <w:rPr>
          <w:rFonts w:ascii="Bookman Old Style" w:hAnsi="Bookman Old Style"/>
          <w:color w:val="auto"/>
        </w:rPr>
        <w:t xml:space="preserve">the extraordinary circumstances </w:t>
      </w:r>
      <w:r>
        <w:rPr>
          <w:rFonts w:ascii="Bookman Old Style" w:hAnsi="Bookman Old Style"/>
          <w:color w:val="auto"/>
        </w:rPr>
        <w:t>caused by expanded facilities, and associated increased human uses affecting the entire area</w:t>
      </w:r>
    </w:p>
    <w:p w14:paraId="4663E886" w14:textId="3091C1C3" w:rsidR="0014657A" w:rsidRDefault="00D465C1" w:rsidP="00A17678">
      <w:pPr>
        <w:pStyle w:val="Heading3"/>
        <w:rPr>
          <w:rFonts w:ascii="Bookman Old Style" w:hAnsi="Bookman Old Style"/>
          <w:color w:val="auto"/>
        </w:rPr>
      </w:pPr>
      <w:r>
        <w:rPr>
          <w:rFonts w:ascii="Bookman Old Style" w:hAnsi="Bookman Old Style"/>
          <w:color w:val="auto"/>
        </w:rPr>
        <w:t>The</w:t>
      </w:r>
      <w:r w:rsidR="00A17678" w:rsidRPr="00A17678">
        <w:rPr>
          <w:rFonts w:ascii="Bookman Old Style" w:hAnsi="Bookman Old Style"/>
          <w:color w:val="auto"/>
        </w:rPr>
        <w:t xml:space="preserve"> proposed actio</w:t>
      </w:r>
      <w:r>
        <w:rPr>
          <w:rFonts w:ascii="Bookman Old Style" w:hAnsi="Bookman Old Style"/>
          <w:color w:val="auto"/>
        </w:rPr>
        <w:t xml:space="preserve">n failed to </w:t>
      </w:r>
      <w:r w:rsidR="00DB74F8">
        <w:rPr>
          <w:rFonts w:ascii="Bookman Old Style" w:hAnsi="Bookman Old Style"/>
          <w:color w:val="auto"/>
        </w:rPr>
        <w:t>establish</w:t>
      </w:r>
      <w:r>
        <w:rPr>
          <w:rFonts w:ascii="Bookman Old Style" w:hAnsi="Bookman Old Style"/>
          <w:color w:val="auto"/>
        </w:rPr>
        <w:t xml:space="preserve"> the </w:t>
      </w:r>
      <w:r w:rsidR="0014657A">
        <w:rPr>
          <w:rFonts w:ascii="Bookman Old Style" w:hAnsi="Bookman Old Style"/>
          <w:color w:val="auto"/>
        </w:rPr>
        <w:t>baseline</w:t>
      </w:r>
      <w:r>
        <w:rPr>
          <w:rFonts w:ascii="Bookman Old Style" w:hAnsi="Bookman Old Style"/>
          <w:color w:val="auto"/>
        </w:rPr>
        <w:t xml:space="preserve"> </w:t>
      </w:r>
      <w:r w:rsidR="00A17678" w:rsidRPr="00A17678">
        <w:rPr>
          <w:rFonts w:ascii="Bookman Old Style" w:hAnsi="Bookman Old Style"/>
          <w:color w:val="auto"/>
        </w:rPr>
        <w:t>condition</w:t>
      </w:r>
      <w:r>
        <w:rPr>
          <w:rFonts w:ascii="Bookman Old Style" w:hAnsi="Bookman Old Style"/>
          <w:color w:val="auto"/>
        </w:rPr>
        <w:t xml:space="preserve"> of the wildlife and fish habitat</w:t>
      </w:r>
      <w:r w:rsidR="00DB74F8">
        <w:rPr>
          <w:rFonts w:ascii="Bookman Old Style" w:hAnsi="Bookman Old Style"/>
          <w:color w:val="auto"/>
        </w:rPr>
        <w:t xml:space="preserve"> </w:t>
      </w:r>
      <w:r w:rsidR="000E0C18">
        <w:rPr>
          <w:rFonts w:ascii="Bookman Old Style" w:hAnsi="Bookman Old Style"/>
          <w:color w:val="auto"/>
        </w:rPr>
        <w:t>and the habitat effectiveness for wildlife and fish, already under considerable human-caused stress because of the area’s popularity with a variety of recreationalists</w:t>
      </w:r>
      <w:r w:rsidR="0014657A">
        <w:rPr>
          <w:rFonts w:ascii="Bookman Old Style" w:hAnsi="Bookman Old Style"/>
          <w:color w:val="auto"/>
        </w:rPr>
        <w:t>. E</w:t>
      </w:r>
      <w:r w:rsidR="00A17678" w:rsidRPr="00A17678">
        <w:rPr>
          <w:rFonts w:ascii="Bookman Old Style" w:hAnsi="Bookman Old Style"/>
          <w:color w:val="auto"/>
        </w:rPr>
        <w:t xml:space="preserve">xtraordinary circumstances related to a proposed action </w:t>
      </w:r>
      <w:r w:rsidR="0014657A">
        <w:rPr>
          <w:rFonts w:ascii="Bookman Old Style" w:hAnsi="Bookman Old Style"/>
          <w:color w:val="auto"/>
        </w:rPr>
        <w:t xml:space="preserve">obviously exist and </w:t>
      </w:r>
      <w:r w:rsidR="00A17678" w:rsidRPr="00A17678">
        <w:rPr>
          <w:rFonts w:ascii="Bookman Old Style" w:hAnsi="Bookman Old Style"/>
          <w:color w:val="auto"/>
        </w:rPr>
        <w:t>warrant further analysis</w:t>
      </w:r>
      <w:r w:rsidR="0014657A">
        <w:rPr>
          <w:rFonts w:ascii="Bookman Old Style" w:hAnsi="Bookman Old Style"/>
          <w:color w:val="auto"/>
        </w:rPr>
        <w:t xml:space="preserve"> in a biological assessment (BA).</w:t>
      </w:r>
      <w:r w:rsidR="00A17678" w:rsidRPr="00A17678">
        <w:rPr>
          <w:rFonts w:ascii="Bookman Old Style" w:hAnsi="Bookman Old Style"/>
          <w:color w:val="auto"/>
        </w:rPr>
        <w:t xml:space="preserve"> </w:t>
      </w:r>
      <w:r w:rsidR="0014657A">
        <w:rPr>
          <w:rFonts w:ascii="Bookman Old Style" w:hAnsi="Bookman Old Style"/>
          <w:color w:val="auto"/>
        </w:rPr>
        <w:t xml:space="preserve">A BA will determine the level of impact to T&amp;E species and their habitat.  </w:t>
      </w:r>
    </w:p>
    <w:p w14:paraId="79CDCAD8" w14:textId="77777777" w:rsidR="0014657A" w:rsidRDefault="0014657A" w:rsidP="00A17678">
      <w:pPr>
        <w:pStyle w:val="Heading3"/>
        <w:rPr>
          <w:rFonts w:ascii="Bookman Old Style" w:hAnsi="Bookman Old Style"/>
          <w:color w:val="auto"/>
        </w:rPr>
      </w:pPr>
    </w:p>
    <w:p w14:paraId="508001AC" w14:textId="73A11F90" w:rsidR="00A17678" w:rsidRPr="00A17678" w:rsidRDefault="0014657A" w:rsidP="00A17678">
      <w:pPr>
        <w:pStyle w:val="Heading3"/>
        <w:rPr>
          <w:rFonts w:ascii="Bookman Old Style" w:hAnsi="Bookman Old Style"/>
          <w:color w:val="auto"/>
        </w:rPr>
      </w:pPr>
      <w:r>
        <w:rPr>
          <w:rFonts w:ascii="Bookman Old Style" w:hAnsi="Bookman Old Style"/>
          <w:color w:val="auto"/>
        </w:rPr>
        <w:t>Whenever a f</w:t>
      </w:r>
      <w:r w:rsidR="00A17678" w:rsidRPr="00A17678">
        <w:rPr>
          <w:rFonts w:ascii="Bookman Old Style" w:hAnsi="Bookman Old Style"/>
          <w:color w:val="auto"/>
        </w:rPr>
        <w:t>ederally listed threatened or endangered species or</w:t>
      </w:r>
      <w:r>
        <w:rPr>
          <w:rFonts w:ascii="Bookman Old Style" w:hAnsi="Bookman Old Style"/>
          <w:color w:val="auto"/>
        </w:rPr>
        <w:t xml:space="preserve"> a </w:t>
      </w:r>
      <w:r w:rsidR="00A17678" w:rsidRPr="00A17678">
        <w:rPr>
          <w:rFonts w:ascii="Bookman Old Style" w:hAnsi="Bookman Old Style"/>
          <w:color w:val="auto"/>
        </w:rPr>
        <w:t>species proposed for Federal listing</w:t>
      </w:r>
      <w:r>
        <w:rPr>
          <w:rFonts w:ascii="Bookman Old Style" w:hAnsi="Bookman Old Style"/>
          <w:color w:val="auto"/>
        </w:rPr>
        <w:t>,</w:t>
      </w:r>
      <w:r w:rsidRPr="0014657A">
        <w:rPr>
          <w:rFonts w:ascii="Bookman Old Style" w:hAnsi="Bookman Old Style"/>
          <w:color w:val="auto"/>
        </w:rPr>
        <w:t xml:space="preserve"> </w:t>
      </w:r>
      <w:r w:rsidRPr="00A17678">
        <w:rPr>
          <w:rFonts w:ascii="Bookman Old Style" w:hAnsi="Bookman Old Style"/>
          <w:color w:val="auto"/>
        </w:rPr>
        <w:t>designated critical habitat</w:t>
      </w:r>
      <w:r w:rsidR="00A17678" w:rsidRPr="00A17678">
        <w:rPr>
          <w:rFonts w:ascii="Bookman Old Style" w:hAnsi="Bookman Old Style"/>
          <w:color w:val="auto"/>
        </w:rPr>
        <w:t xml:space="preserve"> or proposed critical habitat, or</w:t>
      </w:r>
    </w:p>
    <w:p w14:paraId="59CCF4F8" w14:textId="42F86E42" w:rsidR="00A17678" w:rsidRDefault="00A17678" w:rsidP="00A17678">
      <w:pPr>
        <w:pStyle w:val="Heading3"/>
        <w:rPr>
          <w:rFonts w:ascii="Bookman Old Style" w:hAnsi="Bookman Old Style"/>
          <w:color w:val="auto"/>
        </w:rPr>
      </w:pPr>
      <w:r w:rsidRPr="00A17678">
        <w:rPr>
          <w:rFonts w:ascii="Bookman Old Style" w:hAnsi="Bookman Old Style"/>
          <w:color w:val="auto"/>
        </w:rPr>
        <w:t>Forest Service sensitive species</w:t>
      </w:r>
      <w:r w:rsidR="0014657A">
        <w:rPr>
          <w:rFonts w:ascii="Bookman Old Style" w:hAnsi="Bookman Old Style"/>
          <w:color w:val="auto"/>
        </w:rPr>
        <w:t xml:space="preserve"> may be present, a CE is not appropriate</w:t>
      </w:r>
      <w:r w:rsidRPr="00A17678">
        <w:rPr>
          <w:rFonts w:ascii="Bookman Old Style" w:hAnsi="Bookman Old Style"/>
          <w:color w:val="auto"/>
        </w:rPr>
        <w:t>. 36 CFR 220.6(b)(1)(</w:t>
      </w:r>
      <w:proofErr w:type="spellStart"/>
      <w:r w:rsidRPr="00A17678">
        <w:rPr>
          <w:rFonts w:ascii="Bookman Old Style" w:hAnsi="Bookman Old Style"/>
          <w:color w:val="auto"/>
        </w:rPr>
        <w:t>i</w:t>
      </w:r>
      <w:proofErr w:type="spellEnd"/>
      <w:r w:rsidRPr="00A17678">
        <w:rPr>
          <w:rFonts w:ascii="Bookman Old Style" w:hAnsi="Bookman Old Style"/>
          <w:color w:val="auto"/>
        </w:rPr>
        <w:t>)</w:t>
      </w:r>
      <w:r w:rsidR="0014657A">
        <w:rPr>
          <w:rFonts w:ascii="Bookman Old Style" w:hAnsi="Bookman Old Style"/>
          <w:color w:val="auto"/>
        </w:rPr>
        <w:t>.</w:t>
      </w:r>
    </w:p>
    <w:p w14:paraId="4FAAB6BD" w14:textId="6331458D" w:rsidR="000E0C18" w:rsidRDefault="000E0C18" w:rsidP="000E0C18"/>
    <w:p w14:paraId="46AF4296" w14:textId="7B3F3BFC" w:rsidR="000E0C18" w:rsidRDefault="000E0C18" w:rsidP="000E0C18">
      <w:pPr>
        <w:pStyle w:val="Heading3"/>
        <w:rPr>
          <w:rFonts w:ascii="Bookman Old Style" w:hAnsi="Bookman Old Style"/>
          <w:color w:val="auto"/>
        </w:rPr>
      </w:pPr>
      <w:r w:rsidRPr="00A17678">
        <w:rPr>
          <w:rFonts w:ascii="Bookman Old Style" w:hAnsi="Bookman Old Style"/>
          <w:color w:val="auto"/>
        </w:rPr>
        <w:t xml:space="preserve">The </w:t>
      </w:r>
      <w:r>
        <w:rPr>
          <w:rFonts w:ascii="Bookman Old Style" w:hAnsi="Bookman Old Style"/>
          <w:color w:val="auto"/>
        </w:rPr>
        <w:t xml:space="preserve">forested landscape surrounding </w:t>
      </w:r>
      <w:r w:rsidRPr="00A17678">
        <w:rPr>
          <w:rFonts w:ascii="Bookman Old Style" w:hAnsi="Bookman Old Style"/>
          <w:color w:val="auto"/>
        </w:rPr>
        <w:t>Holland Lak</w:t>
      </w:r>
      <w:r>
        <w:rPr>
          <w:rFonts w:ascii="Bookman Old Style" w:hAnsi="Bookman Old Style"/>
          <w:color w:val="auto"/>
        </w:rPr>
        <w:t>e</w:t>
      </w:r>
      <w:r w:rsidRPr="00A17678">
        <w:rPr>
          <w:rFonts w:ascii="Bookman Old Style" w:hAnsi="Bookman Old Style"/>
          <w:color w:val="auto"/>
        </w:rPr>
        <w:t xml:space="preserve"> is </w:t>
      </w:r>
      <w:r>
        <w:rPr>
          <w:rFonts w:ascii="Bookman Old Style" w:hAnsi="Bookman Old Style"/>
          <w:color w:val="auto"/>
        </w:rPr>
        <w:t>designated a</w:t>
      </w:r>
      <w:r w:rsidRPr="00A17678">
        <w:rPr>
          <w:rFonts w:ascii="Bookman Old Style" w:hAnsi="Bookman Old Style"/>
          <w:color w:val="auto"/>
        </w:rPr>
        <w:t xml:space="preserve"> </w:t>
      </w:r>
      <w:r>
        <w:rPr>
          <w:rFonts w:ascii="Bookman Old Style" w:hAnsi="Bookman Old Style"/>
          <w:color w:val="auto"/>
        </w:rPr>
        <w:t>“</w:t>
      </w:r>
      <w:r w:rsidRPr="00A17678">
        <w:rPr>
          <w:rFonts w:ascii="Bookman Old Style" w:hAnsi="Bookman Old Style"/>
          <w:color w:val="auto"/>
        </w:rPr>
        <w:t>primary conservation area</w:t>
      </w:r>
      <w:r>
        <w:rPr>
          <w:rFonts w:ascii="Bookman Old Style" w:hAnsi="Bookman Old Style"/>
          <w:color w:val="auto"/>
        </w:rPr>
        <w:t>”</w:t>
      </w:r>
      <w:r w:rsidRPr="00A17678">
        <w:rPr>
          <w:rFonts w:ascii="Bookman Old Style" w:hAnsi="Bookman Old Style"/>
          <w:color w:val="auto"/>
        </w:rPr>
        <w:t xml:space="preserve"> for grizzly bears in the Northern</w:t>
      </w:r>
      <w:r>
        <w:rPr>
          <w:rFonts w:ascii="Bookman Old Style" w:hAnsi="Bookman Old Style"/>
          <w:color w:val="auto"/>
        </w:rPr>
        <w:t xml:space="preserve"> </w:t>
      </w:r>
      <w:r w:rsidRPr="00A17678">
        <w:rPr>
          <w:rFonts w:ascii="Bookman Old Style" w:hAnsi="Bookman Old Style"/>
          <w:color w:val="auto"/>
        </w:rPr>
        <w:t>Continental Divide Ecosystem. The Swan</w:t>
      </w:r>
      <w:r>
        <w:rPr>
          <w:rFonts w:ascii="Bookman Old Style" w:hAnsi="Bookman Old Style"/>
          <w:color w:val="auto"/>
        </w:rPr>
        <w:t>-Mission</w:t>
      </w:r>
      <w:r w:rsidRPr="00A17678">
        <w:rPr>
          <w:rFonts w:ascii="Bookman Old Style" w:hAnsi="Bookman Old Style"/>
          <w:color w:val="auto"/>
        </w:rPr>
        <w:t xml:space="preserve"> Valley is a critical linkage </w:t>
      </w:r>
      <w:r>
        <w:rPr>
          <w:rFonts w:ascii="Bookman Old Style" w:hAnsi="Bookman Old Style"/>
          <w:color w:val="auto"/>
        </w:rPr>
        <w:t>corridor, which connects</w:t>
      </w:r>
      <w:r w:rsidRPr="00A17678">
        <w:rPr>
          <w:rFonts w:ascii="Bookman Old Style" w:hAnsi="Bookman Old Style"/>
          <w:color w:val="auto"/>
        </w:rPr>
        <w:t xml:space="preserve"> bears in the Bob</w:t>
      </w:r>
      <w:r>
        <w:rPr>
          <w:rFonts w:ascii="Bookman Old Style" w:hAnsi="Bookman Old Style"/>
          <w:color w:val="auto"/>
        </w:rPr>
        <w:t xml:space="preserve"> </w:t>
      </w:r>
      <w:r w:rsidRPr="00A17678">
        <w:rPr>
          <w:rFonts w:ascii="Bookman Old Style" w:hAnsi="Bookman Old Style"/>
          <w:color w:val="auto"/>
        </w:rPr>
        <w:t>Marshall Wilderness complex</w:t>
      </w:r>
      <w:r>
        <w:rPr>
          <w:rFonts w:ascii="Bookman Old Style" w:hAnsi="Bookman Old Style"/>
          <w:color w:val="auto"/>
        </w:rPr>
        <w:t xml:space="preserve"> to bears in</w:t>
      </w:r>
      <w:r w:rsidRPr="00A17678">
        <w:rPr>
          <w:rFonts w:ascii="Bookman Old Style" w:hAnsi="Bookman Old Style"/>
          <w:color w:val="auto"/>
        </w:rPr>
        <w:t xml:space="preserve"> Mission Mountain Wilderness</w:t>
      </w:r>
      <w:r>
        <w:rPr>
          <w:rFonts w:ascii="Bookman Old Style" w:hAnsi="Bookman Old Style"/>
          <w:color w:val="auto"/>
        </w:rPr>
        <w:t xml:space="preserve"> and the </w:t>
      </w:r>
      <w:r w:rsidRPr="00A17678">
        <w:rPr>
          <w:rFonts w:ascii="Bookman Old Style" w:hAnsi="Bookman Old Style"/>
          <w:color w:val="auto"/>
        </w:rPr>
        <w:t xml:space="preserve">Rattlesnake Wilderness </w:t>
      </w:r>
      <w:r>
        <w:rPr>
          <w:rFonts w:ascii="Bookman Old Style" w:hAnsi="Bookman Old Style"/>
          <w:color w:val="auto"/>
        </w:rPr>
        <w:t xml:space="preserve">to the south.  </w:t>
      </w:r>
    </w:p>
    <w:p w14:paraId="7E6CEFD5" w14:textId="12A4A0A2" w:rsidR="0014657A" w:rsidRDefault="000E0C18" w:rsidP="00A17678">
      <w:pPr>
        <w:pStyle w:val="Heading3"/>
        <w:rPr>
          <w:rFonts w:ascii="Bookman Old Style" w:hAnsi="Bookman Old Style"/>
          <w:color w:val="auto"/>
        </w:rPr>
      </w:pPr>
      <w:r>
        <w:rPr>
          <w:rFonts w:ascii="Bookman Old Style" w:hAnsi="Bookman Old Style"/>
          <w:color w:val="auto"/>
        </w:rPr>
        <w:t>T</w:t>
      </w:r>
      <w:r w:rsidRPr="00A17678">
        <w:rPr>
          <w:rFonts w:ascii="Bookman Old Style" w:hAnsi="Bookman Old Style"/>
          <w:color w:val="auto"/>
        </w:rPr>
        <w:t xml:space="preserve">he Master Development Plan </w:t>
      </w:r>
      <w:r>
        <w:rPr>
          <w:rFonts w:ascii="Bookman Old Style" w:hAnsi="Bookman Old Style"/>
          <w:color w:val="auto"/>
        </w:rPr>
        <w:t xml:space="preserve">uses anecdotal evidence (bear sightings) to rationalize its blindness to the presence of </w:t>
      </w:r>
      <w:r w:rsidRPr="00A17678">
        <w:rPr>
          <w:rFonts w:ascii="Bookman Old Style" w:hAnsi="Bookman Old Style"/>
          <w:color w:val="auto"/>
        </w:rPr>
        <w:t>grizzly bears</w:t>
      </w:r>
      <w:r>
        <w:rPr>
          <w:rFonts w:ascii="Bookman Old Style" w:hAnsi="Bookman Old Style"/>
          <w:color w:val="auto"/>
        </w:rPr>
        <w:t xml:space="preserve">.  The legal standard is: “…may be present…”  Obviously, grizzly bears “may be present” </w:t>
      </w:r>
      <w:r w:rsidR="00466DD0">
        <w:rPr>
          <w:rFonts w:ascii="Bookman Old Style" w:hAnsi="Bookman Old Style"/>
          <w:color w:val="auto"/>
        </w:rPr>
        <w:t>o</w:t>
      </w:r>
      <w:r>
        <w:rPr>
          <w:rFonts w:ascii="Bookman Old Style" w:hAnsi="Bookman Old Style"/>
          <w:color w:val="auto"/>
        </w:rPr>
        <w:t xml:space="preserve">n the </w:t>
      </w:r>
      <w:r w:rsidR="00466DD0">
        <w:rPr>
          <w:rFonts w:ascii="Bookman Old Style" w:hAnsi="Bookman Old Style"/>
          <w:color w:val="auto"/>
        </w:rPr>
        <w:t xml:space="preserve">15-acre site of expanded development, and obviously too in the surrounding area that will be frequented by a huge increase in human recreational activity.  This is the intent and purpose of this huge financial investment and expanded development – more wealthy (“upscale”) guests, more money and more profit:  yes or no?  </w:t>
      </w:r>
    </w:p>
    <w:p w14:paraId="5D6DFB2E" w14:textId="77777777" w:rsidR="00466DD0" w:rsidRPr="00466DD0" w:rsidRDefault="00466DD0" w:rsidP="00466DD0"/>
    <w:p w14:paraId="3FBADF18" w14:textId="24D0E027" w:rsidR="0014657A" w:rsidRPr="00A17678" w:rsidRDefault="00A17678" w:rsidP="0014657A">
      <w:pPr>
        <w:pStyle w:val="Heading3"/>
        <w:rPr>
          <w:rFonts w:ascii="Bookman Old Style" w:hAnsi="Bookman Old Style"/>
          <w:color w:val="auto"/>
        </w:rPr>
      </w:pPr>
      <w:r w:rsidRPr="00A17678">
        <w:rPr>
          <w:rFonts w:ascii="Bookman Old Style" w:hAnsi="Bookman Old Style"/>
          <w:color w:val="auto"/>
        </w:rPr>
        <w:t>Holland</w:t>
      </w:r>
      <w:r w:rsidR="0014657A">
        <w:rPr>
          <w:rFonts w:ascii="Bookman Old Style" w:hAnsi="Bookman Old Style"/>
          <w:color w:val="auto"/>
        </w:rPr>
        <w:t xml:space="preserve"> </w:t>
      </w:r>
      <w:r w:rsidRPr="00A17678">
        <w:rPr>
          <w:rFonts w:ascii="Bookman Old Style" w:hAnsi="Bookman Old Style"/>
          <w:color w:val="auto"/>
        </w:rPr>
        <w:t xml:space="preserve">Lake and </w:t>
      </w:r>
      <w:r w:rsidR="0014657A">
        <w:rPr>
          <w:rFonts w:ascii="Bookman Old Style" w:hAnsi="Bookman Old Style"/>
          <w:color w:val="auto"/>
        </w:rPr>
        <w:t xml:space="preserve">Holland </w:t>
      </w:r>
      <w:r w:rsidRPr="00A17678">
        <w:rPr>
          <w:rFonts w:ascii="Bookman Old Style" w:hAnsi="Bookman Old Style"/>
          <w:color w:val="auto"/>
        </w:rPr>
        <w:t xml:space="preserve">Creek </w:t>
      </w:r>
      <w:r w:rsidR="0014657A">
        <w:rPr>
          <w:rFonts w:ascii="Bookman Old Style" w:hAnsi="Bookman Old Style"/>
          <w:color w:val="auto"/>
        </w:rPr>
        <w:t>are occupied by</w:t>
      </w:r>
      <w:r w:rsidRPr="00A17678">
        <w:rPr>
          <w:rFonts w:ascii="Bookman Old Style" w:hAnsi="Bookman Old Style"/>
          <w:color w:val="auto"/>
        </w:rPr>
        <w:t xml:space="preserve"> a </w:t>
      </w:r>
      <w:r w:rsidR="0014657A">
        <w:rPr>
          <w:rFonts w:ascii="Bookman Old Style" w:hAnsi="Bookman Old Style"/>
          <w:color w:val="auto"/>
        </w:rPr>
        <w:t>“</w:t>
      </w:r>
      <w:r w:rsidRPr="00A17678">
        <w:rPr>
          <w:rFonts w:ascii="Bookman Old Style" w:hAnsi="Bookman Old Style"/>
          <w:color w:val="auto"/>
        </w:rPr>
        <w:t>disjunct population</w:t>
      </w:r>
      <w:r w:rsidR="0014657A">
        <w:rPr>
          <w:rFonts w:ascii="Bookman Old Style" w:hAnsi="Bookman Old Style"/>
          <w:color w:val="auto"/>
        </w:rPr>
        <w:t>”</w:t>
      </w:r>
      <w:r w:rsidRPr="00A17678">
        <w:rPr>
          <w:rFonts w:ascii="Bookman Old Style" w:hAnsi="Bookman Old Style"/>
          <w:color w:val="auto"/>
        </w:rPr>
        <w:t xml:space="preserve"> of bull trout and is designated bull trout critical</w:t>
      </w:r>
      <w:r w:rsidR="00DB74F8">
        <w:rPr>
          <w:rFonts w:ascii="Bookman Old Style" w:hAnsi="Bookman Old Style"/>
          <w:color w:val="auto"/>
        </w:rPr>
        <w:t xml:space="preserve"> </w:t>
      </w:r>
      <w:r w:rsidRPr="00A17678">
        <w:rPr>
          <w:rFonts w:ascii="Bookman Old Style" w:hAnsi="Bookman Old Style"/>
          <w:color w:val="auto"/>
        </w:rPr>
        <w:t xml:space="preserve">habitat. Bull trout </w:t>
      </w:r>
      <w:r w:rsidR="0014657A">
        <w:rPr>
          <w:rFonts w:ascii="Bookman Old Style" w:hAnsi="Bookman Old Style"/>
          <w:color w:val="auto"/>
        </w:rPr>
        <w:t>use</w:t>
      </w:r>
      <w:r w:rsidRPr="00A17678">
        <w:rPr>
          <w:rFonts w:ascii="Bookman Old Style" w:hAnsi="Bookman Old Style"/>
          <w:color w:val="auto"/>
        </w:rPr>
        <w:t xml:space="preserve"> Holland Creek </w:t>
      </w:r>
      <w:r w:rsidR="0014657A">
        <w:rPr>
          <w:rFonts w:ascii="Bookman Old Style" w:hAnsi="Bookman Old Style"/>
          <w:color w:val="auto"/>
        </w:rPr>
        <w:t>to spawn. They mature in</w:t>
      </w:r>
      <w:r w:rsidRPr="00A17678">
        <w:rPr>
          <w:rFonts w:ascii="Bookman Old Style" w:hAnsi="Bookman Old Style"/>
          <w:color w:val="auto"/>
        </w:rPr>
        <w:t xml:space="preserve"> Holland Lake several years</w:t>
      </w:r>
      <w:r w:rsidR="00DB74F8">
        <w:rPr>
          <w:rFonts w:ascii="Bookman Old Style" w:hAnsi="Bookman Old Style"/>
          <w:color w:val="auto"/>
        </w:rPr>
        <w:t xml:space="preserve"> </w:t>
      </w:r>
      <w:r w:rsidRPr="00A17678">
        <w:rPr>
          <w:rFonts w:ascii="Bookman Old Style" w:hAnsi="Bookman Old Style"/>
          <w:color w:val="auto"/>
        </w:rPr>
        <w:t xml:space="preserve">before returning to the creek to spawn again. </w:t>
      </w:r>
      <w:r w:rsidR="0014657A">
        <w:rPr>
          <w:rFonts w:ascii="Bookman Old Style" w:hAnsi="Bookman Old Style"/>
          <w:color w:val="auto"/>
        </w:rPr>
        <w:t xml:space="preserve">Holland Lake and Holland Creek </w:t>
      </w:r>
      <w:r w:rsidRPr="00A17678">
        <w:rPr>
          <w:rFonts w:ascii="Bookman Old Style" w:hAnsi="Bookman Old Style"/>
          <w:color w:val="auto"/>
        </w:rPr>
        <w:t xml:space="preserve">bull trout </w:t>
      </w:r>
      <w:r w:rsidR="00DB74F8">
        <w:rPr>
          <w:rFonts w:ascii="Bookman Old Style" w:hAnsi="Bookman Old Style"/>
          <w:color w:val="auto"/>
        </w:rPr>
        <w:t xml:space="preserve">do not </w:t>
      </w:r>
      <w:r w:rsidR="0014657A">
        <w:rPr>
          <w:rFonts w:ascii="Bookman Old Style" w:hAnsi="Bookman Old Style"/>
          <w:color w:val="auto"/>
        </w:rPr>
        <w:t xml:space="preserve">access the Swan River ecosystem.  </w:t>
      </w:r>
    </w:p>
    <w:p w14:paraId="7A9130DA" w14:textId="710BD1C8" w:rsidR="00A17678" w:rsidRDefault="0014657A" w:rsidP="00DB74F8">
      <w:pPr>
        <w:pStyle w:val="Heading3"/>
        <w:rPr>
          <w:rFonts w:ascii="Bookman Old Style" w:hAnsi="Bookman Old Style"/>
          <w:color w:val="auto"/>
        </w:rPr>
      </w:pPr>
      <w:r>
        <w:rPr>
          <w:rFonts w:ascii="Bookman Old Style" w:hAnsi="Bookman Old Style"/>
          <w:color w:val="auto"/>
        </w:rPr>
        <w:t xml:space="preserve">These bull trout </w:t>
      </w:r>
      <w:r w:rsidR="00DB74F8">
        <w:rPr>
          <w:rFonts w:ascii="Bookman Old Style" w:hAnsi="Bookman Old Style"/>
          <w:color w:val="auto"/>
        </w:rPr>
        <w:t xml:space="preserve">have a life cycle </w:t>
      </w:r>
      <w:proofErr w:type="gramStart"/>
      <w:r w:rsidR="00DB74F8">
        <w:rPr>
          <w:rFonts w:ascii="Bookman Old Style" w:hAnsi="Bookman Old Style"/>
          <w:color w:val="auto"/>
        </w:rPr>
        <w:t>similar to</w:t>
      </w:r>
      <w:proofErr w:type="gramEnd"/>
      <w:r w:rsidR="00DB74F8">
        <w:rPr>
          <w:rFonts w:ascii="Bookman Old Style" w:hAnsi="Bookman Old Style"/>
          <w:color w:val="auto"/>
        </w:rPr>
        <w:t xml:space="preserve"> the disjunct </w:t>
      </w:r>
      <w:r w:rsidR="00A17678" w:rsidRPr="00A17678">
        <w:rPr>
          <w:rFonts w:ascii="Bookman Old Style" w:hAnsi="Bookman Old Style"/>
          <w:color w:val="auto"/>
        </w:rPr>
        <w:t>Lindbergh</w:t>
      </w:r>
      <w:r w:rsidR="00DB74F8">
        <w:rPr>
          <w:rFonts w:ascii="Bookman Old Style" w:hAnsi="Bookman Old Style"/>
          <w:color w:val="auto"/>
        </w:rPr>
        <w:t xml:space="preserve"> </w:t>
      </w:r>
      <w:r w:rsidR="00A17678" w:rsidRPr="00A17678">
        <w:rPr>
          <w:rFonts w:ascii="Bookman Old Style" w:hAnsi="Bookman Old Style"/>
          <w:color w:val="auto"/>
        </w:rPr>
        <w:t>Lake population</w:t>
      </w:r>
      <w:r w:rsidR="00DB74F8">
        <w:rPr>
          <w:rFonts w:ascii="Bookman Old Style" w:hAnsi="Bookman Old Style"/>
          <w:color w:val="auto"/>
        </w:rPr>
        <w:t xml:space="preserve"> on the Mission Mountains (west) side of the Swan-Mission valley.   </w:t>
      </w:r>
      <w:r w:rsidR="00A17678" w:rsidRPr="00A17678">
        <w:rPr>
          <w:rFonts w:ascii="Bookman Old Style" w:hAnsi="Bookman Old Style"/>
          <w:color w:val="auto"/>
        </w:rPr>
        <w:t xml:space="preserve"> </w:t>
      </w:r>
    </w:p>
    <w:p w14:paraId="222530D6" w14:textId="77777777" w:rsidR="00DB74F8" w:rsidRPr="00DB74F8" w:rsidRDefault="00DB74F8" w:rsidP="00DB74F8"/>
    <w:p w14:paraId="574D521D" w14:textId="647B6B1A" w:rsidR="00A17678" w:rsidRPr="00A17678" w:rsidRDefault="00A17678" w:rsidP="00A17678">
      <w:pPr>
        <w:pStyle w:val="Heading3"/>
        <w:rPr>
          <w:rFonts w:ascii="Bookman Old Style" w:hAnsi="Bookman Old Style"/>
          <w:color w:val="auto"/>
        </w:rPr>
      </w:pPr>
      <w:r w:rsidRPr="00A17678">
        <w:rPr>
          <w:rFonts w:ascii="Bookman Old Style" w:hAnsi="Bookman Old Style"/>
          <w:color w:val="auto"/>
        </w:rPr>
        <w:t xml:space="preserve">The </w:t>
      </w:r>
      <w:r w:rsidR="00DB74F8">
        <w:rPr>
          <w:rFonts w:ascii="Bookman Old Style" w:hAnsi="Bookman Old Style"/>
          <w:color w:val="auto"/>
        </w:rPr>
        <w:t xml:space="preserve">area surrounding </w:t>
      </w:r>
      <w:r w:rsidRPr="00A17678">
        <w:rPr>
          <w:rFonts w:ascii="Bookman Old Style" w:hAnsi="Bookman Old Style"/>
          <w:color w:val="auto"/>
        </w:rPr>
        <w:t xml:space="preserve">Holland Lake is designated critical habitat for Canada lynx. </w:t>
      </w:r>
      <w:r w:rsidR="00DB74F8">
        <w:rPr>
          <w:rFonts w:ascii="Bookman Old Style" w:hAnsi="Bookman Old Style"/>
          <w:color w:val="auto"/>
        </w:rPr>
        <w:t xml:space="preserve"> Abundant </w:t>
      </w:r>
      <w:r w:rsidRPr="00A17678">
        <w:rPr>
          <w:rFonts w:ascii="Bookman Old Style" w:hAnsi="Bookman Old Style"/>
          <w:color w:val="auto"/>
        </w:rPr>
        <w:t>snow in winter</w:t>
      </w:r>
      <w:r w:rsidR="00DB74F8">
        <w:rPr>
          <w:rFonts w:ascii="Bookman Old Style" w:hAnsi="Bookman Old Style"/>
          <w:color w:val="auto"/>
        </w:rPr>
        <w:t xml:space="preserve"> favors lynx.  </w:t>
      </w:r>
      <w:r w:rsidR="00466DD0">
        <w:rPr>
          <w:rFonts w:ascii="Bookman Old Style" w:hAnsi="Bookman Old Style"/>
          <w:color w:val="auto"/>
        </w:rPr>
        <w:t xml:space="preserve">And helicopter skiing, I hear.  Is this a foreseeable action, or no? </w:t>
      </w:r>
      <w:r w:rsidRPr="00A17678">
        <w:rPr>
          <w:rFonts w:ascii="Bookman Old Style" w:hAnsi="Bookman Old Style"/>
          <w:color w:val="auto"/>
        </w:rPr>
        <w:t xml:space="preserve">Monitoring </w:t>
      </w:r>
      <w:r w:rsidR="00DB74F8">
        <w:rPr>
          <w:rFonts w:ascii="Bookman Old Style" w:hAnsi="Bookman Old Style"/>
          <w:color w:val="auto"/>
        </w:rPr>
        <w:t>has confirmed that</w:t>
      </w:r>
      <w:r w:rsidR="00466DD0">
        <w:rPr>
          <w:rFonts w:ascii="Bookman Old Style" w:hAnsi="Bookman Old Style"/>
          <w:color w:val="auto"/>
        </w:rPr>
        <w:t xml:space="preserve"> </w:t>
      </w:r>
      <w:r w:rsidRPr="00A17678">
        <w:rPr>
          <w:rFonts w:ascii="Bookman Old Style" w:hAnsi="Bookman Old Style"/>
          <w:color w:val="auto"/>
        </w:rPr>
        <w:t xml:space="preserve">lynx </w:t>
      </w:r>
      <w:r w:rsidR="00DB74F8">
        <w:rPr>
          <w:rFonts w:ascii="Bookman Old Style" w:hAnsi="Bookman Old Style"/>
          <w:color w:val="auto"/>
        </w:rPr>
        <w:t>occupy the Holland Lake</w:t>
      </w:r>
      <w:r w:rsidRPr="00A17678">
        <w:rPr>
          <w:rFonts w:ascii="Bookman Old Style" w:hAnsi="Bookman Old Style"/>
          <w:color w:val="auto"/>
        </w:rPr>
        <w:t xml:space="preserve"> area.</w:t>
      </w:r>
      <w:r w:rsidR="00466DD0">
        <w:rPr>
          <w:rFonts w:ascii="Bookman Old Style" w:hAnsi="Bookman Old Style"/>
          <w:color w:val="auto"/>
        </w:rPr>
        <w:t xml:space="preserve"> But, again, this is not the standard by which ESA action is triggered.  A proper “may be present” determination is mandatory.  </w:t>
      </w:r>
    </w:p>
    <w:p w14:paraId="574D3581" w14:textId="77777777" w:rsidR="00DB74F8" w:rsidRDefault="00DB74F8" w:rsidP="00A17678">
      <w:pPr>
        <w:pStyle w:val="Heading3"/>
        <w:rPr>
          <w:rFonts w:ascii="Bookman Old Style" w:hAnsi="Bookman Old Style"/>
          <w:color w:val="auto"/>
        </w:rPr>
      </w:pPr>
    </w:p>
    <w:p w14:paraId="0E07A575" w14:textId="52F1CA03" w:rsidR="00A17678" w:rsidRPr="00A17678" w:rsidRDefault="00A17678" w:rsidP="00A17678">
      <w:pPr>
        <w:pStyle w:val="Heading3"/>
        <w:rPr>
          <w:rFonts w:ascii="Bookman Old Style" w:hAnsi="Bookman Old Style"/>
          <w:color w:val="auto"/>
        </w:rPr>
      </w:pPr>
      <w:r w:rsidRPr="00A17678">
        <w:rPr>
          <w:rFonts w:ascii="Bookman Old Style" w:hAnsi="Bookman Old Style"/>
          <w:color w:val="auto"/>
        </w:rPr>
        <w:t xml:space="preserve">Wolverine are proposed for listing under the </w:t>
      </w:r>
      <w:r w:rsidR="00BA66B2">
        <w:rPr>
          <w:rFonts w:ascii="Bookman Old Style" w:hAnsi="Bookman Old Style"/>
          <w:color w:val="auto"/>
        </w:rPr>
        <w:t xml:space="preserve">federal </w:t>
      </w:r>
      <w:r w:rsidRPr="00A17678">
        <w:rPr>
          <w:rFonts w:ascii="Bookman Old Style" w:hAnsi="Bookman Old Style"/>
          <w:color w:val="auto"/>
        </w:rPr>
        <w:t xml:space="preserve">Endangered Species Act. </w:t>
      </w:r>
      <w:r w:rsidR="00BA66B2">
        <w:rPr>
          <w:rFonts w:ascii="Bookman Old Style" w:hAnsi="Bookman Old Style"/>
          <w:color w:val="auto"/>
        </w:rPr>
        <w:t xml:space="preserve"> Their presence, as with lynx,</w:t>
      </w:r>
      <w:r w:rsidRPr="00A17678">
        <w:rPr>
          <w:rFonts w:ascii="Bookman Old Style" w:hAnsi="Bookman Old Style"/>
          <w:color w:val="auto"/>
        </w:rPr>
        <w:t xml:space="preserve"> </w:t>
      </w:r>
      <w:r w:rsidR="00BA66B2">
        <w:rPr>
          <w:rFonts w:ascii="Bookman Old Style" w:hAnsi="Bookman Old Style"/>
          <w:color w:val="auto"/>
        </w:rPr>
        <w:t xml:space="preserve">has </w:t>
      </w:r>
      <w:r w:rsidRPr="00A17678">
        <w:rPr>
          <w:rFonts w:ascii="Bookman Old Style" w:hAnsi="Bookman Old Style"/>
          <w:color w:val="auto"/>
        </w:rPr>
        <w:t>been</w:t>
      </w:r>
    </w:p>
    <w:p w14:paraId="566327BC" w14:textId="036C7154" w:rsidR="00A17678" w:rsidRPr="00A17678" w:rsidRDefault="00BA66B2" w:rsidP="00A17678">
      <w:pPr>
        <w:pStyle w:val="Heading3"/>
        <w:rPr>
          <w:rFonts w:ascii="Bookman Old Style" w:hAnsi="Bookman Old Style"/>
          <w:color w:val="auto"/>
        </w:rPr>
      </w:pPr>
      <w:r>
        <w:rPr>
          <w:rFonts w:ascii="Bookman Old Style" w:hAnsi="Bookman Old Style"/>
          <w:color w:val="auto"/>
        </w:rPr>
        <w:t>confirmed by</w:t>
      </w:r>
      <w:r w:rsidR="00A17678" w:rsidRPr="00A17678">
        <w:rPr>
          <w:rFonts w:ascii="Bookman Old Style" w:hAnsi="Bookman Old Style"/>
          <w:color w:val="auto"/>
        </w:rPr>
        <w:t xml:space="preserve"> </w:t>
      </w:r>
      <w:r>
        <w:rPr>
          <w:rFonts w:ascii="Bookman Old Style" w:hAnsi="Bookman Old Style"/>
          <w:color w:val="auto"/>
        </w:rPr>
        <w:t>m</w:t>
      </w:r>
      <w:r w:rsidR="00A17678" w:rsidRPr="00A17678">
        <w:rPr>
          <w:rFonts w:ascii="Bookman Old Style" w:hAnsi="Bookman Old Style"/>
          <w:color w:val="auto"/>
        </w:rPr>
        <w:t>onitoring surveys</w:t>
      </w:r>
      <w:r>
        <w:rPr>
          <w:rFonts w:ascii="Bookman Old Style" w:hAnsi="Bookman Old Style"/>
          <w:color w:val="auto"/>
        </w:rPr>
        <w:t>.</w:t>
      </w:r>
      <w:r w:rsidR="00A17678" w:rsidRPr="00A17678">
        <w:rPr>
          <w:rFonts w:ascii="Bookman Old Style" w:hAnsi="Bookman Old Style"/>
          <w:color w:val="auto"/>
        </w:rPr>
        <w:t xml:space="preserve"> </w:t>
      </w:r>
      <w:r>
        <w:rPr>
          <w:rFonts w:ascii="Bookman Old Style" w:hAnsi="Bookman Old Style"/>
          <w:color w:val="auto"/>
        </w:rPr>
        <w:t>W</w:t>
      </w:r>
      <w:r w:rsidR="00466DD0">
        <w:rPr>
          <w:rFonts w:ascii="Bookman Old Style" w:hAnsi="Bookman Old Style"/>
          <w:color w:val="auto"/>
        </w:rPr>
        <w:t xml:space="preserve">olverine </w:t>
      </w:r>
      <w:r>
        <w:rPr>
          <w:rFonts w:ascii="Bookman Old Style" w:hAnsi="Bookman Old Style"/>
          <w:color w:val="auto"/>
        </w:rPr>
        <w:t>inhabit this</w:t>
      </w:r>
      <w:r w:rsidR="00466DD0">
        <w:rPr>
          <w:rFonts w:ascii="Bookman Old Style" w:hAnsi="Bookman Old Style"/>
          <w:color w:val="auto"/>
        </w:rPr>
        <w:t xml:space="preserve"> area.</w:t>
      </w:r>
    </w:p>
    <w:p w14:paraId="41740F56" w14:textId="77777777" w:rsidR="00BA66B2" w:rsidRDefault="00BA66B2" w:rsidP="00A17678">
      <w:pPr>
        <w:pStyle w:val="Heading3"/>
        <w:rPr>
          <w:rFonts w:ascii="Bookman Old Style" w:hAnsi="Bookman Old Style"/>
          <w:color w:val="auto"/>
        </w:rPr>
      </w:pPr>
    </w:p>
    <w:p w14:paraId="34F833E9" w14:textId="337DB9E9" w:rsidR="00A17678" w:rsidRPr="00A17678" w:rsidRDefault="00BA66B2" w:rsidP="00A17678">
      <w:pPr>
        <w:pStyle w:val="Heading3"/>
        <w:rPr>
          <w:rFonts w:ascii="Bookman Old Style" w:hAnsi="Bookman Old Style"/>
          <w:color w:val="auto"/>
        </w:rPr>
      </w:pPr>
      <w:r>
        <w:rPr>
          <w:rFonts w:ascii="Bookman Old Style" w:hAnsi="Bookman Old Style"/>
          <w:color w:val="auto"/>
        </w:rPr>
        <w:t>Three</w:t>
      </w:r>
      <w:r w:rsidR="00A17678" w:rsidRPr="00A17678">
        <w:rPr>
          <w:rFonts w:ascii="Bookman Old Style" w:hAnsi="Bookman Old Style"/>
          <w:color w:val="auto"/>
        </w:rPr>
        <w:t xml:space="preserve"> listed</w:t>
      </w:r>
      <w:r>
        <w:rPr>
          <w:rFonts w:ascii="Bookman Old Style" w:hAnsi="Bookman Old Style"/>
          <w:color w:val="auto"/>
        </w:rPr>
        <w:t xml:space="preserve"> species and one </w:t>
      </w:r>
      <w:r w:rsidR="00A17678" w:rsidRPr="00A17678">
        <w:rPr>
          <w:rFonts w:ascii="Bookman Old Style" w:hAnsi="Bookman Old Style"/>
          <w:color w:val="auto"/>
        </w:rPr>
        <w:t>proposed</w:t>
      </w:r>
      <w:r>
        <w:rPr>
          <w:rFonts w:ascii="Bookman Old Style" w:hAnsi="Bookman Old Style"/>
          <w:color w:val="auto"/>
        </w:rPr>
        <w:t>-for-listing</w:t>
      </w:r>
      <w:r w:rsidR="00A17678" w:rsidRPr="00A17678">
        <w:rPr>
          <w:rFonts w:ascii="Bookman Old Style" w:hAnsi="Bookman Old Style"/>
          <w:color w:val="auto"/>
        </w:rPr>
        <w:t xml:space="preserve"> species </w:t>
      </w:r>
      <w:r>
        <w:rPr>
          <w:rFonts w:ascii="Bookman Old Style" w:hAnsi="Bookman Old Style"/>
          <w:color w:val="auto"/>
        </w:rPr>
        <w:t xml:space="preserve">constitutes something </w:t>
      </w:r>
      <w:r w:rsidR="00A17678" w:rsidRPr="00A17678">
        <w:rPr>
          <w:rFonts w:ascii="Bookman Old Style" w:hAnsi="Bookman Old Style"/>
          <w:color w:val="auto"/>
        </w:rPr>
        <w:t>extraordinary</w:t>
      </w:r>
      <w:r>
        <w:rPr>
          <w:rFonts w:ascii="Bookman Old Style" w:hAnsi="Bookman Old Style"/>
          <w:color w:val="auto"/>
        </w:rPr>
        <w:t xml:space="preserve">. Extraordinary </w:t>
      </w:r>
      <w:r w:rsidR="00A17678" w:rsidRPr="00A17678">
        <w:rPr>
          <w:rFonts w:ascii="Bookman Old Style" w:hAnsi="Bookman Old Style"/>
          <w:color w:val="auto"/>
        </w:rPr>
        <w:t xml:space="preserve">warrants </w:t>
      </w:r>
      <w:r>
        <w:rPr>
          <w:rFonts w:ascii="Bookman Old Style" w:hAnsi="Bookman Old Style"/>
          <w:color w:val="auto"/>
        </w:rPr>
        <w:t xml:space="preserve">a biological assessment (BA) by the Forest Service and consultation with the U.S. Fish and Wildlife Service (USFWS) for the three listed species, and another </w:t>
      </w:r>
      <w:r w:rsidR="00A17678" w:rsidRPr="00A17678">
        <w:rPr>
          <w:rFonts w:ascii="Bookman Old Style" w:hAnsi="Bookman Old Style"/>
          <w:color w:val="auto"/>
        </w:rPr>
        <w:t xml:space="preserve">evaluation </w:t>
      </w:r>
      <w:r>
        <w:rPr>
          <w:rFonts w:ascii="Bookman Old Style" w:hAnsi="Bookman Old Style"/>
          <w:color w:val="auto"/>
        </w:rPr>
        <w:t>for Wolverine, and a letter of concurrence from the USFWS.</w:t>
      </w:r>
    </w:p>
    <w:p w14:paraId="30EC389A" w14:textId="15732B35" w:rsidR="00A17678" w:rsidRDefault="00A17678" w:rsidP="00A17678">
      <w:pPr>
        <w:pStyle w:val="Heading3"/>
        <w:rPr>
          <w:rFonts w:ascii="Bookman Old Style" w:hAnsi="Bookman Old Style"/>
          <w:color w:val="auto"/>
        </w:rPr>
      </w:pPr>
      <w:r w:rsidRPr="00A17678">
        <w:rPr>
          <w:rFonts w:ascii="Bookman Old Style" w:hAnsi="Bookman Old Style"/>
          <w:color w:val="auto"/>
        </w:rPr>
        <w:t>Environmental Impact Statement and consultation with the US Fish and Wildlife Service.</w:t>
      </w:r>
      <w:r w:rsidR="00BA66B2">
        <w:rPr>
          <w:rFonts w:ascii="Bookman Old Style" w:hAnsi="Bookman Old Style"/>
          <w:color w:val="auto"/>
        </w:rPr>
        <w:t xml:space="preserve">  Best get busy.  </w:t>
      </w:r>
    </w:p>
    <w:p w14:paraId="311703B7" w14:textId="77777777" w:rsidR="00A17678" w:rsidRDefault="00A17678" w:rsidP="00A17678">
      <w:pPr>
        <w:pStyle w:val="Heading3"/>
        <w:rPr>
          <w:rFonts w:ascii="Bookman Old Style" w:hAnsi="Bookman Old Style"/>
          <w:color w:val="auto"/>
        </w:rPr>
      </w:pPr>
    </w:p>
    <w:p w14:paraId="3B19A223" w14:textId="633B5870" w:rsidR="00112A6D" w:rsidRDefault="00FB7BB1" w:rsidP="00A17678">
      <w:pPr>
        <w:pStyle w:val="Heading3"/>
        <w:rPr>
          <w:rFonts w:ascii="Bookman Old Style" w:hAnsi="Bookman Old Style"/>
          <w:color w:val="auto"/>
        </w:rPr>
      </w:pPr>
      <w:r>
        <w:rPr>
          <w:rFonts w:ascii="Bookman Old Style" w:hAnsi="Bookman Old Style"/>
          <w:color w:val="auto"/>
        </w:rPr>
        <w:t xml:space="preserve">Please do not forget guidance provided to your staff in the Forest Service Manual (FSM).  </w:t>
      </w:r>
      <w:r w:rsidR="00C9288E" w:rsidRPr="00C9288E">
        <w:rPr>
          <w:rFonts w:ascii="Bookman Old Style" w:hAnsi="Bookman Old Style"/>
          <w:color w:val="auto"/>
        </w:rPr>
        <w:t xml:space="preserve">The following Forest Service Manual </w:t>
      </w:r>
      <w:r w:rsidR="00C9288E">
        <w:rPr>
          <w:rFonts w:ascii="Bookman Old Style" w:hAnsi="Bookman Old Style"/>
          <w:color w:val="auto"/>
        </w:rPr>
        <w:t xml:space="preserve">(FSM) </w:t>
      </w:r>
      <w:r w:rsidR="00C9288E" w:rsidRPr="00C9288E">
        <w:rPr>
          <w:rFonts w:ascii="Bookman Old Style" w:hAnsi="Bookman Old Style"/>
          <w:color w:val="auto"/>
        </w:rPr>
        <w:t>Policy requirements have not been fulfilled</w:t>
      </w:r>
      <w:r>
        <w:rPr>
          <w:rFonts w:ascii="Bookman Old Style" w:hAnsi="Bookman Old Style"/>
          <w:color w:val="auto"/>
        </w:rPr>
        <w:t>:</w:t>
      </w:r>
    </w:p>
    <w:p w14:paraId="616DE2D1" w14:textId="77777777" w:rsidR="00112A6D" w:rsidRPr="00112A6D" w:rsidRDefault="00112A6D" w:rsidP="00112A6D">
      <w:pPr>
        <w:pStyle w:val="Heading2"/>
        <w:rPr>
          <w:rFonts w:ascii="Bookman Old Style" w:hAnsi="Bookman Old Style"/>
          <w:color w:val="auto"/>
        </w:rPr>
      </w:pPr>
      <w:bookmarkStart w:id="4" w:name="_Toc116888142"/>
      <w:bookmarkStart w:id="5" w:name="_Toc533584449"/>
      <w:bookmarkStart w:id="6" w:name="_Toc363458719"/>
      <w:bookmarkStart w:id="7" w:name="_Toc380510222"/>
      <w:bookmarkStart w:id="8" w:name="_Toc385489807"/>
      <w:bookmarkStart w:id="9" w:name="_Toc17710460"/>
      <w:r w:rsidRPr="00112A6D">
        <w:rPr>
          <w:rFonts w:ascii="Bookman Old Style" w:hAnsi="Bookman Old Style"/>
          <w:color w:val="auto"/>
        </w:rPr>
        <w:t>2340.3 - Policy</w:t>
      </w:r>
      <w:bookmarkEnd w:id="4"/>
      <w:bookmarkEnd w:id="5"/>
      <w:bookmarkEnd w:id="6"/>
      <w:bookmarkEnd w:id="7"/>
      <w:bookmarkEnd w:id="8"/>
      <w:bookmarkEnd w:id="9"/>
    </w:p>
    <w:p w14:paraId="4FA35E6A" w14:textId="77777777" w:rsidR="00112A6D" w:rsidRPr="00112A6D" w:rsidRDefault="00112A6D" w:rsidP="00112A6D">
      <w:pPr>
        <w:pStyle w:val="NumberList1"/>
        <w:rPr>
          <w:rFonts w:ascii="Bookman Old Style" w:hAnsi="Bookman Old Style"/>
        </w:rPr>
      </w:pPr>
      <w:r w:rsidRPr="00112A6D">
        <w:rPr>
          <w:rFonts w:ascii="Bookman Old Style" w:hAnsi="Bookman Old Style"/>
        </w:rPr>
        <w:t xml:space="preserve">1.  </w:t>
      </w:r>
      <w:r w:rsidRPr="00112A6D">
        <w:rPr>
          <w:rFonts w:ascii="Bookman Old Style" w:hAnsi="Bookman Old Style"/>
          <w:u w:val="single"/>
        </w:rPr>
        <w:t>Issuance of Authorizations to State, County, or Municipal Agencies for Recreational Improvements</w:t>
      </w:r>
      <w:r w:rsidRPr="00112A6D">
        <w:rPr>
          <w:rFonts w:ascii="Bookman Old Style" w:hAnsi="Bookman Old Style"/>
        </w:rPr>
        <w:t>.</w:t>
      </w:r>
    </w:p>
    <w:p w14:paraId="4969F754" w14:textId="77777777" w:rsidR="00112A6D" w:rsidRPr="00112A6D" w:rsidRDefault="00112A6D" w:rsidP="00112A6D">
      <w:pPr>
        <w:pStyle w:val="NumberLista"/>
        <w:rPr>
          <w:rFonts w:ascii="Bookman Old Style" w:hAnsi="Bookman Old Style"/>
        </w:rPr>
      </w:pPr>
      <w:r w:rsidRPr="00112A6D">
        <w:rPr>
          <w:rFonts w:ascii="Bookman Old Style" w:hAnsi="Bookman Old Style"/>
        </w:rPr>
        <w:t>a.  Issue special use authorizations for State, County, or Municipal agencies to develop or manage recreational improvements on National Forest System lands for:</w:t>
      </w:r>
    </w:p>
    <w:p w14:paraId="01421DCC" w14:textId="77777777" w:rsidR="00112A6D" w:rsidRPr="00112A6D" w:rsidRDefault="00112A6D" w:rsidP="00112A6D">
      <w:pPr>
        <w:pStyle w:val="NumberLista"/>
        <w:rPr>
          <w:rFonts w:ascii="Bookman Old Style" w:hAnsi="Bookman Old Style"/>
        </w:rPr>
      </w:pPr>
      <w:r w:rsidRPr="00112A6D">
        <w:rPr>
          <w:rFonts w:ascii="Bookman Old Style" w:hAnsi="Bookman Old Style"/>
        </w:rPr>
        <w:t>(1)  Lands that over a long period should be dedicated to that purpose, or</w:t>
      </w:r>
    </w:p>
    <w:p w14:paraId="607DCB23" w14:textId="77777777" w:rsidR="00112A6D" w:rsidRPr="00112A6D" w:rsidRDefault="00112A6D" w:rsidP="00112A6D">
      <w:pPr>
        <w:pStyle w:val="NumberLista"/>
        <w:rPr>
          <w:rFonts w:ascii="Bookman Old Style" w:hAnsi="Bookman Old Style"/>
        </w:rPr>
      </w:pPr>
      <w:r w:rsidRPr="00112A6D">
        <w:rPr>
          <w:rFonts w:ascii="Bookman Old Style" w:hAnsi="Bookman Old Style"/>
        </w:rPr>
        <w:t>(2)  Lands that could logically be conveyed to State or local governments through land-exchange procedures without detriment to National Forest System administration or programs.</w:t>
      </w:r>
    </w:p>
    <w:p w14:paraId="54E6E81D" w14:textId="77777777" w:rsidR="00112A6D" w:rsidRPr="00112A6D" w:rsidRDefault="00112A6D" w:rsidP="00112A6D">
      <w:pPr>
        <w:pStyle w:val="NumberLista"/>
        <w:rPr>
          <w:rFonts w:ascii="Bookman Old Style" w:hAnsi="Bookman Old Style"/>
        </w:rPr>
      </w:pPr>
      <w:r w:rsidRPr="00112A6D">
        <w:rPr>
          <w:rFonts w:ascii="Bookman Old Style" w:hAnsi="Bookman Old Style"/>
        </w:rPr>
        <w:t>b.  In either case, National Forest System lands eligible for such use should meet at least two of the following conditions.  The lands must be:</w:t>
      </w:r>
    </w:p>
    <w:p w14:paraId="39638324" w14:textId="77777777" w:rsidR="00112A6D" w:rsidRPr="00112A6D" w:rsidRDefault="00112A6D" w:rsidP="00112A6D">
      <w:pPr>
        <w:pStyle w:val="NumberLista"/>
        <w:rPr>
          <w:rFonts w:ascii="Bookman Old Style" w:hAnsi="Bookman Old Style"/>
        </w:rPr>
      </w:pPr>
      <w:r w:rsidRPr="00112A6D">
        <w:rPr>
          <w:rFonts w:ascii="Bookman Old Style" w:hAnsi="Bookman Old Style"/>
        </w:rPr>
        <w:t>(1)  Tracts adjacent to exterior National Forest System boundaries.</w:t>
      </w:r>
    </w:p>
    <w:p w14:paraId="39AAD76B" w14:textId="77777777" w:rsidR="00112A6D" w:rsidRPr="00112A6D" w:rsidRDefault="00112A6D" w:rsidP="00112A6D">
      <w:pPr>
        <w:pStyle w:val="NumberLista"/>
        <w:rPr>
          <w:rFonts w:ascii="Bookman Old Style" w:hAnsi="Bookman Old Style"/>
        </w:rPr>
      </w:pPr>
      <w:r w:rsidRPr="00112A6D">
        <w:rPr>
          <w:rFonts w:ascii="Bookman Old Style" w:hAnsi="Bookman Old Style"/>
        </w:rPr>
        <w:t>(2)  Small tracts associated with adjacent, larger tracts managed by other agencies or privately owned that are not suitable for acquisition for National Forest System purposes.</w:t>
      </w:r>
    </w:p>
    <w:p w14:paraId="6A16E774" w14:textId="77777777" w:rsidR="00112A6D" w:rsidRPr="00112A6D" w:rsidRDefault="00112A6D" w:rsidP="00112A6D">
      <w:pPr>
        <w:pStyle w:val="NumberLista"/>
        <w:rPr>
          <w:rFonts w:ascii="Bookman Old Style" w:hAnsi="Bookman Old Style"/>
        </w:rPr>
      </w:pPr>
      <w:r w:rsidRPr="00112A6D">
        <w:rPr>
          <w:rFonts w:ascii="Bookman Old Style" w:hAnsi="Bookman Old Style"/>
        </w:rPr>
        <w:t>(3)  Tracts adjacent to lands owned by the agency proposing or applying for the authorization and needed to complete a unit for development as a park or recreation area.</w:t>
      </w:r>
    </w:p>
    <w:p w14:paraId="0BBA4734" w14:textId="77777777" w:rsidR="00112A6D" w:rsidRPr="00112A6D" w:rsidRDefault="00112A6D" w:rsidP="00112A6D">
      <w:pPr>
        <w:pStyle w:val="NumberLista"/>
        <w:rPr>
          <w:rFonts w:ascii="Bookman Old Style" w:hAnsi="Bookman Old Style"/>
        </w:rPr>
      </w:pPr>
      <w:r w:rsidRPr="00112A6D">
        <w:rPr>
          <w:rFonts w:ascii="Bookman Old Style" w:hAnsi="Bookman Old Style"/>
        </w:rPr>
        <w:t>c.  Although it would be preferable to adhere to the conditions in the preceding paragraphs 1 through 1b(3) for target range authorizations, target ranges may have specific needs for special site conditions, safety zones, and sound buffers that cannot be achieved along exterior boundaries, on small tracts, or adjacent to other privately owned lands.  Therefore, consider special use proposals and applications for target ranges not meeting these criteria on a site-specific, case-by-case basis.</w:t>
      </w:r>
    </w:p>
    <w:p w14:paraId="044A4540" w14:textId="77777777" w:rsidR="00112A6D" w:rsidRPr="00112A6D" w:rsidRDefault="00112A6D" w:rsidP="00112A6D">
      <w:pPr>
        <w:pStyle w:val="NumberList1"/>
        <w:rPr>
          <w:rFonts w:ascii="Bookman Old Style" w:hAnsi="Bookman Old Style"/>
        </w:rPr>
      </w:pPr>
      <w:r w:rsidRPr="00112A6D">
        <w:rPr>
          <w:rFonts w:ascii="Bookman Old Style" w:hAnsi="Bookman Old Style"/>
        </w:rPr>
        <w:t xml:space="preserve">2.  </w:t>
      </w:r>
      <w:r w:rsidRPr="00112A6D">
        <w:rPr>
          <w:rFonts w:ascii="Bookman Old Style" w:hAnsi="Bookman Old Style"/>
          <w:u w:val="single"/>
        </w:rPr>
        <w:t>Denial of Proposals by State, County, or Municipal Agencies for Recreational Improvements</w:t>
      </w:r>
      <w:r w:rsidRPr="00112A6D">
        <w:rPr>
          <w:rFonts w:ascii="Bookman Old Style" w:hAnsi="Bookman Old Style"/>
        </w:rPr>
        <w:t>.  Deny special use permit proposals by State and local agencies proposing to develop parks or recreational areas that do not qualify under the provisions in the preceding paragraphs 1(1)c, except in unusual circumstances or when the authorization is clearly in the public interest.  Obtain review and advice of the Chief before approving permits based on these exceptions.  Review by the Chief is not required for roadside rest and picnic developments by county or State agencies if no suitable private land or other agency land is available for such purposes.</w:t>
      </w:r>
    </w:p>
    <w:p w14:paraId="304F53EF" w14:textId="77777777" w:rsidR="00112A6D" w:rsidRPr="00112A6D" w:rsidRDefault="00112A6D" w:rsidP="00112A6D">
      <w:pPr>
        <w:pStyle w:val="NumberList1"/>
        <w:rPr>
          <w:rFonts w:ascii="Bookman Old Style" w:hAnsi="Bookman Old Style"/>
        </w:rPr>
      </w:pPr>
      <w:r w:rsidRPr="00112A6D">
        <w:rPr>
          <w:rFonts w:ascii="Bookman Old Style" w:hAnsi="Bookman Old Style"/>
        </w:rPr>
        <w:t xml:space="preserve">3.  </w:t>
      </w:r>
      <w:r w:rsidRPr="00112A6D">
        <w:rPr>
          <w:rFonts w:ascii="Bookman Old Style" w:hAnsi="Bookman Old Style"/>
          <w:u w:val="single"/>
        </w:rPr>
        <w:t>Denial of Proposals by the Private Sector for Recreational Facilities and Services</w:t>
      </w:r>
      <w:r w:rsidRPr="00112A6D">
        <w:rPr>
          <w:rFonts w:ascii="Bookman Old Style" w:hAnsi="Bookman Old Style"/>
        </w:rPr>
        <w:t>.  Deny proposals by the private sector to construct or provide outdoor recreation facilities and services on National Forest System lands if these facilities and services are reasonably available or could be provided elsewhere in the general vicinity.  Encourage business enterprises engaged in providing such facilities and services to locate on private lands or in nearby communities.</w:t>
      </w:r>
    </w:p>
    <w:p w14:paraId="6E53CDB1" w14:textId="77777777" w:rsidR="00112A6D" w:rsidRPr="00112A6D" w:rsidRDefault="00112A6D" w:rsidP="00112A6D">
      <w:pPr>
        <w:pStyle w:val="NumberList1"/>
        <w:rPr>
          <w:rFonts w:ascii="Bookman Old Style" w:hAnsi="Bookman Old Style"/>
        </w:rPr>
      </w:pPr>
      <w:r w:rsidRPr="00112A6D">
        <w:rPr>
          <w:rFonts w:ascii="Bookman Old Style" w:hAnsi="Bookman Old Style"/>
        </w:rPr>
        <w:t xml:space="preserve">4.  </w:t>
      </w:r>
      <w:r w:rsidRPr="00112A6D">
        <w:rPr>
          <w:rFonts w:ascii="Bookman Old Style" w:hAnsi="Bookman Old Style"/>
          <w:u w:val="single"/>
        </w:rPr>
        <w:t>Use of Appropriated Funds</w:t>
      </w:r>
      <w:r w:rsidRPr="00112A6D">
        <w:rPr>
          <w:rFonts w:ascii="Bookman Old Style" w:hAnsi="Bookman Old Style"/>
        </w:rPr>
        <w:t>.  Normally, do not use appropriated funds to construct recreation facilities for operation by others under special use authorization.  Use appropriated funds, when necessary, to restore existing Government-owned recreation improvements that have been operated under special use authorization.</w:t>
      </w:r>
    </w:p>
    <w:p w14:paraId="2006DF49" w14:textId="77777777" w:rsidR="00112A6D" w:rsidRPr="00112A6D" w:rsidRDefault="00112A6D" w:rsidP="00112A6D">
      <w:pPr>
        <w:pStyle w:val="NumberList1"/>
        <w:rPr>
          <w:rFonts w:ascii="Bookman Old Style" w:hAnsi="Bookman Old Style"/>
        </w:rPr>
      </w:pPr>
      <w:r w:rsidRPr="00112A6D">
        <w:rPr>
          <w:rFonts w:ascii="Bookman Old Style" w:hAnsi="Bookman Old Style"/>
        </w:rPr>
        <w:t xml:space="preserve">5.  </w:t>
      </w:r>
      <w:r w:rsidRPr="00112A6D">
        <w:rPr>
          <w:rFonts w:ascii="Bookman Old Style" w:hAnsi="Bookman Old Style"/>
          <w:u w:val="single"/>
        </w:rPr>
        <w:t>General Requirements and Prohibitions related to Authorizations for Recreation Facilities and Services</w:t>
      </w:r>
      <w:r w:rsidRPr="00112A6D">
        <w:rPr>
          <w:rFonts w:ascii="Bookman Old Style" w:hAnsi="Bookman Old Style"/>
        </w:rPr>
        <w:t>.</w:t>
      </w:r>
    </w:p>
    <w:p w14:paraId="42B0C138" w14:textId="77777777" w:rsidR="00112A6D" w:rsidRPr="00112A6D" w:rsidRDefault="00112A6D" w:rsidP="00112A6D">
      <w:pPr>
        <w:pStyle w:val="NumberLista"/>
        <w:rPr>
          <w:rFonts w:ascii="Bookman Old Style" w:hAnsi="Bookman Old Style"/>
        </w:rPr>
      </w:pPr>
      <w:r w:rsidRPr="00112A6D">
        <w:rPr>
          <w:rFonts w:ascii="Bookman Old Style" w:hAnsi="Bookman Old Style"/>
        </w:rPr>
        <w:t>a.  Require holders to protect soil, vegetation, and other resources within the authorized area to perpetuate a condition suitable for recreation purposes.</w:t>
      </w:r>
    </w:p>
    <w:p w14:paraId="11F1690C" w14:textId="77777777" w:rsidR="00112A6D" w:rsidRPr="00112A6D" w:rsidRDefault="00112A6D" w:rsidP="00112A6D">
      <w:pPr>
        <w:pStyle w:val="NumberLista"/>
        <w:rPr>
          <w:rFonts w:ascii="Bookman Old Style" w:hAnsi="Bookman Old Style"/>
        </w:rPr>
      </w:pPr>
      <w:r w:rsidRPr="00112A6D">
        <w:rPr>
          <w:rFonts w:ascii="Bookman Old Style" w:hAnsi="Bookman Old Style"/>
        </w:rPr>
        <w:t>b.  Ensure that all services and facilities provided by private individuals or public entities under special use permits are equally available to all members of the public.  Include non-discrimination clauses in special use permits (FSM 1700 and 2710) and revoke the permits if discriminatory practices occur.</w:t>
      </w:r>
    </w:p>
    <w:p w14:paraId="7557B3D1" w14:textId="77777777" w:rsidR="00112A6D" w:rsidRPr="00112A6D" w:rsidRDefault="00112A6D" w:rsidP="00112A6D">
      <w:pPr>
        <w:pStyle w:val="NumberLista"/>
        <w:rPr>
          <w:rFonts w:ascii="Bookman Old Style" w:hAnsi="Bookman Old Style"/>
        </w:rPr>
      </w:pPr>
      <w:r w:rsidRPr="00112A6D">
        <w:rPr>
          <w:rFonts w:ascii="Bookman Old Style" w:hAnsi="Bookman Old Style"/>
        </w:rPr>
        <w:t>c.  Prohibit gambling devices or activities at any facility or any area authorized for special recreation uses on National Forest System land.</w:t>
      </w:r>
    </w:p>
    <w:p w14:paraId="409A5D8D" w14:textId="77777777" w:rsidR="00112A6D" w:rsidRPr="00112A6D" w:rsidRDefault="00112A6D" w:rsidP="00112A6D">
      <w:pPr>
        <w:pStyle w:val="Heading2"/>
        <w:rPr>
          <w:rFonts w:ascii="Bookman Old Style" w:hAnsi="Bookman Old Style"/>
          <w:color w:val="auto"/>
        </w:rPr>
      </w:pPr>
      <w:bookmarkStart w:id="10" w:name="_Toc116888143"/>
      <w:bookmarkStart w:id="11" w:name="_Toc533584450"/>
      <w:bookmarkStart w:id="12" w:name="_Toc363458720"/>
      <w:bookmarkStart w:id="13" w:name="_Toc380510223"/>
      <w:bookmarkStart w:id="14" w:name="_Toc385489808"/>
      <w:bookmarkStart w:id="15" w:name="_Toc17710461"/>
      <w:r w:rsidRPr="00112A6D">
        <w:rPr>
          <w:rFonts w:ascii="Bookman Old Style" w:hAnsi="Bookman Old Style"/>
          <w:color w:val="auto"/>
        </w:rPr>
        <w:t>2340.4 - Responsibility</w:t>
      </w:r>
      <w:bookmarkEnd w:id="10"/>
      <w:bookmarkEnd w:id="11"/>
      <w:bookmarkEnd w:id="12"/>
      <w:bookmarkEnd w:id="13"/>
      <w:bookmarkEnd w:id="14"/>
      <w:bookmarkEnd w:id="15"/>
      <w:r w:rsidRPr="00112A6D">
        <w:rPr>
          <w:rFonts w:ascii="Bookman Old Style" w:hAnsi="Bookman Old Style"/>
          <w:color w:val="auto"/>
        </w:rPr>
        <w:t xml:space="preserve">  </w:t>
      </w:r>
    </w:p>
    <w:p w14:paraId="7D03B12D" w14:textId="77777777" w:rsidR="00112A6D" w:rsidRPr="00112A6D" w:rsidRDefault="00112A6D" w:rsidP="00112A6D">
      <w:pPr>
        <w:rPr>
          <w:rFonts w:ascii="Bookman Old Style" w:hAnsi="Bookman Old Style"/>
          <w:sz w:val="20"/>
          <w:szCs w:val="20"/>
        </w:rPr>
      </w:pPr>
    </w:p>
    <w:p w14:paraId="11B10C14" w14:textId="77777777" w:rsidR="00112A6D" w:rsidRPr="00112A6D" w:rsidRDefault="00112A6D" w:rsidP="00112A6D">
      <w:pPr>
        <w:rPr>
          <w:rFonts w:ascii="Bookman Old Style" w:hAnsi="Bookman Old Style"/>
        </w:rPr>
      </w:pPr>
      <w:r w:rsidRPr="00112A6D">
        <w:rPr>
          <w:rFonts w:ascii="Bookman Old Style" w:hAnsi="Bookman Old Style"/>
        </w:rPr>
        <w:t>See FSM 2710.4 for the responsibilities of the Chief; Washington Office, Director of Recreation, Heritage, and Wilderness Resources; Regional Foresters; Forest Supervisors; District Rangers; and Directors of Experiment Stations concerning the authorization and administration of special use permits.  See FSM 1920 for responsibilities for land management planning relevant to planning for private sector recreation uses.</w:t>
      </w:r>
    </w:p>
    <w:p w14:paraId="0F78F515" w14:textId="04653E74" w:rsidR="00C9288E" w:rsidRDefault="00C9288E" w:rsidP="00CE1114">
      <w:pPr>
        <w:pStyle w:val="Heading3"/>
        <w:rPr>
          <w:rFonts w:ascii="Bookman Old Style" w:hAnsi="Bookman Old Style"/>
          <w:color w:val="auto"/>
        </w:rPr>
      </w:pPr>
      <w:r w:rsidRPr="00C9288E">
        <w:rPr>
          <w:rFonts w:ascii="Bookman Old Style" w:hAnsi="Bookman Old Style"/>
          <w:color w:val="auto"/>
        </w:rPr>
        <w:t xml:space="preserve">  </w:t>
      </w:r>
    </w:p>
    <w:p w14:paraId="099F9B70" w14:textId="77777777" w:rsidR="00C9288E" w:rsidRDefault="00C9288E" w:rsidP="00CE1114">
      <w:pPr>
        <w:pStyle w:val="Heading3"/>
        <w:rPr>
          <w:rFonts w:ascii="Bookman Old Style" w:hAnsi="Bookman Old Style"/>
          <w:color w:val="auto"/>
        </w:rPr>
      </w:pPr>
    </w:p>
    <w:p w14:paraId="5E9D1ECF" w14:textId="4B1AD820" w:rsidR="00C9288E" w:rsidRPr="00C9288E" w:rsidRDefault="00C9288E" w:rsidP="00CE1114">
      <w:pPr>
        <w:pStyle w:val="Heading3"/>
        <w:rPr>
          <w:rFonts w:ascii="Bookman Old Style" w:hAnsi="Bookman Old Style"/>
          <w:color w:val="auto"/>
        </w:rPr>
      </w:pPr>
      <w:r w:rsidRPr="00C9288E">
        <w:rPr>
          <w:rFonts w:ascii="Bookman Old Style" w:hAnsi="Bookman Old Style"/>
          <w:color w:val="auto"/>
        </w:rPr>
        <w:t xml:space="preserve">Where is the “…required review by the regional forester…”?  </w:t>
      </w:r>
    </w:p>
    <w:p w14:paraId="1EDFC41A" w14:textId="77777777" w:rsidR="00C9288E" w:rsidRDefault="00C9288E" w:rsidP="00CE1114">
      <w:pPr>
        <w:pStyle w:val="Heading3"/>
        <w:rPr>
          <w:rFonts w:ascii="Bookman Old Style" w:hAnsi="Bookman Old Style"/>
          <w:b/>
          <w:bCs/>
          <w:color w:val="auto"/>
        </w:rPr>
      </w:pPr>
    </w:p>
    <w:p w14:paraId="26007D04" w14:textId="60C273C2" w:rsidR="00CE1114" w:rsidRPr="00C9288E" w:rsidRDefault="00CE1114" w:rsidP="00CE1114">
      <w:pPr>
        <w:pStyle w:val="Heading3"/>
        <w:rPr>
          <w:rFonts w:ascii="Bookman Old Style" w:hAnsi="Bookman Old Style"/>
          <w:b/>
          <w:bCs/>
          <w:color w:val="auto"/>
        </w:rPr>
      </w:pPr>
      <w:r w:rsidRPr="00C9288E">
        <w:rPr>
          <w:rFonts w:ascii="Bookman Old Style" w:hAnsi="Bookman Old Style"/>
          <w:b/>
          <w:bCs/>
          <w:color w:val="auto"/>
        </w:rPr>
        <w:t>2721.33 - Resort</w:t>
      </w:r>
      <w:bookmarkEnd w:id="0"/>
    </w:p>
    <w:p w14:paraId="5F2EAF2A" w14:textId="77777777" w:rsidR="00CE1114" w:rsidRPr="00C9288E" w:rsidRDefault="00CE1114" w:rsidP="00CE1114">
      <w:pPr>
        <w:rPr>
          <w:rFonts w:ascii="Bookman Old Style" w:hAnsi="Bookman Old Style"/>
        </w:rPr>
      </w:pPr>
      <w:r w:rsidRPr="00C9288E">
        <w:rPr>
          <w:rFonts w:ascii="Bookman Old Style" w:hAnsi="Bookman Old Style"/>
        </w:rPr>
        <w:t xml:space="preserve">Resorts are concessioner developments that include a complex of enterprises.  They may include any of the activities or services covered in FSM 2721.4 or FSM 2721.58.  In addition, winter recreation resorts include uphill transport systems and other specialized services covered in </w:t>
      </w:r>
      <w:r w:rsidRPr="00C9288E">
        <w:rPr>
          <w:rFonts w:ascii="Bookman Old Style" w:hAnsi="Bookman Old Style"/>
        </w:rPr>
        <w:br w:type="textWrapping" w:clear="all"/>
        <w:t>FSM 2721.6.</w:t>
      </w:r>
    </w:p>
    <w:p w14:paraId="1D02C716" w14:textId="77777777" w:rsidR="00CE1114" w:rsidRPr="00C9288E" w:rsidRDefault="00CE1114" w:rsidP="00CE1114">
      <w:pPr>
        <w:pStyle w:val="NumberList1"/>
        <w:rPr>
          <w:rFonts w:ascii="Bookman Old Style" w:hAnsi="Bookman Old Style"/>
        </w:rPr>
      </w:pPr>
      <w:r w:rsidRPr="00C9288E">
        <w:rPr>
          <w:rFonts w:ascii="Bookman Old Style" w:hAnsi="Bookman Old Style"/>
        </w:rPr>
        <w:t>1.  Determine the minimum public services to be provided by the permittee and those services that may be optional.  Make these a condition of the permit.  See FSM 2343 for direction relating to management of the various types of resorts permitted on National Forest System land.  See also FSM 2344 for policy on permitting use of Government-owned resorts.</w:t>
      </w:r>
    </w:p>
    <w:p w14:paraId="0E9C4EE4" w14:textId="77777777" w:rsidR="00CE1114" w:rsidRPr="00C9288E" w:rsidRDefault="00CE1114" w:rsidP="00CE1114">
      <w:pPr>
        <w:pStyle w:val="NumberList1"/>
        <w:rPr>
          <w:rFonts w:ascii="Bookman Old Style" w:hAnsi="Bookman Old Style"/>
        </w:rPr>
      </w:pPr>
      <w:r w:rsidRPr="00C9288E">
        <w:rPr>
          <w:rFonts w:ascii="Bookman Old Style" w:hAnsi="Bookman Old Style"/>
        </w:rPr>
        <w:t xml:space="preserve">2.  Except for ski areas authorized under the National Forest Ski Area Permit Act of 1986 (16 U.S.C. 497b) and those ski areas which elect to have their permit fees calculated under section 701 of the Omnibus Parks and Public Lands Management Act of 1996 </w:t>
      </w:r>
      <w:r w:rsidRPr="00C9288E">
        <w:rPr>
          <w:rFonts w:ascii="Bookman Old Style" w:hAnsi="Bookman Old Style"/>
        </w:rPr>
        <w:br w:type="textWrapping" w:clear="all"/>
        <w:t>(16 U.S.C. 497c; FSH 2709.11, sec. 38), calculate resort fees under the graduated rate fee system (FSH 2709.11 sec. 52.1).  The minimum fee is $300 per year.</w:t>
      </w:r>
    </w:p>
    <w:p w14:paraId="1D8B47A3" w14:textId="78D1A3B5" w:rsidR="00CE1114" w:rsidRDefault="00CE1114" w:rsidP="00CE1114">
      <w:pPr>
        <w:pStyle w:val="NumberList1"/>
        <w:rPr>
          <w:rFonts w:ascii="Bookman Old Style" w:hAnsi="Bookman Old Style"/>
        </w:rPr>
      </w:pPr>
      <w:r w:rsidRPr="00C9288E">
        <w:rPr>
          <w:rFonts w:ascii="Bookman Old Style" w:hAnsi="Bookman Old Style"/>
        </w:rPr>
        <w:t>3.  Ensure that the required review by the regional forester is completed prior to issuance of a permit where the capital investment to be authorized exceeds or is expected to exceed $500,000 for resorts.</w:t>
      </w:r>
    </w:p>
    <w:p w14:paraId="5336A3A8" w14:textId="79304D1B" w:rsidR="00934AF2" w:rsidRDefault="00934AF2" w:rsidP="00934AF2">
      <w:pPr>
        <w:pStyle w:val="NumberList1"/>
        <w:rPr>
          <w:rFonts w:ascii="Bookman Old Style" w:hAnsi="Bookman Old Style"/>
        </w:rPr>
      </w:pPr>
      <w:r w:rsidRPr="00C9288E">
        <w:rPr>
          <w:rFonts w:ascii="Bookman Old Style" w:hAnsi="Bookman Old Style"/>
        </w:rPr>
        <w:t xml:space="preserve">Where is the “…required review by the regional forester…”?  </w:t>
      </w:r>
      <w:r>
        <w:rPr>
          <w:rFonts w:ascii="Bookman Old Style" w:hAnsi="Bookman Old Style"/>
        </w:rPr>
        <w:t>FSM 2721.33(3).  It does not appear to be included in the “scoping package” presented for public review and comment.</w:t>
      </w:r>
    </w:p>
    <w:p w14:paraId="4D0AF87F" w14:textId="11591865" w:rsidR="00934AF2" w:rsidRDefault="00934AF2" w:rsidP="00934AF2">
      <w:pPr>
        <w:pStyle w:val="NumberList1"/>
        <w:rPr>
          <w:rFonts w:ascii="Bookman Old Style" w:hAnsi="Bookman Old Style"/>
        </w:rPr>
      </w:pPr>
      <w:r>
        <w:rPr>
          <w:rFonts w:ascii="Bookman Old Style" w:hAnsi="Bookman Old Style"/>
        </w:rPr>
        <w:t xml:space="preserve">Full disclosure, please, </w:t>
      </w:r>
      <w:r w:rsidRPr="00934AF2">
        <w:rPr>
          <w:rFonts w:ascii="Bookman Old Style" w:hAnsi="Bookman Old Style"/>
          <w:b/>
          <w:bCs/>
          <w:i/>
          <w:iCs/>
        </w:rPr>
        <w:t>before</w:t>
      </w:r>
      <w:r>
        <w:rPr>
          <w:rFonts w:ascii="Bookman Old Style" w:hAnsi="Bookman Old Style"/>
        </w:rPr>
        <w:t xml:space="preserve"> a decision is made. Emphasis added.</w:t>
      </w:r>
    </w:p>
    <w:p w14:paraId="220994C3" w14:textId="77777777" w:rsidR="00FB60D2" w:rsidRDefault="00FB60D2" w:rsidP="00934AF2">
      <w:pPr>
        <w:pStyle w:val="NumberList1"/>
        <w:rPr>
          <w:rFonts w:ascii="Bookman Old Style" w:hAnsi="Bookman Old Style"/>
        </w:rPr>
      </w:pPr>
    </w:p>
    <w:p w14:paraId="649CCDE9" w14:textId="77777777" w:rsidR="00FB60D2" w:rsidRPr="00FB60D2" w:rsidRDefault="00FB60D2" w:rsidP="00FB60D2">
      <w:pPr>
        <w:pStyle w:val="Heading1"/>
        <w:rPr>
          <w:rFonts w:ascii="Bookman Old Style" w:hAnsi="Bookman Old Style"/>
          <w:b/>
          <w:bCs/>
          <w:color w:val="auto"/>
          <w:sz w:val="24"/>
          <w:szCs w:val="24"/>
        </w:rPr>
      </w:pPr>
      <w:bookmarkStart w:id="16" w:name="_Toc385489810"/>
      <w:bookmarkStart w:id="17" w:name="_Toc17710463"/>
      <w:bookmarkStart w:id="18" w:name="_Toc116888147"/>
      <w:bookmarkStart w:id="19" w:name="_Toc533584454"/>
      <w:bookmarkStart w:id="20" w:name="_Toc363458724"/>
      <w:bookmarkStart w:id="21" w:name="_Toc380510227"/>
      <w:bookmarkStart w:id="22" w:name="_Toc385489812"/>
      <w:bookmarkStart w:id="23" w:name="_Toc17710465"/>
      <w:r w:rsidRPr="00FB60D2">
        <w:rPr>
          <w:rFonts w:ascii="Bookman Old Style" w:hAnsi="Bookman Old Style"/>
          <w:b/>
          <w:bCs/>
          <w:color w:val="auto"/>
          <w:sz w:val="24"/>
          <w:szCs w:val="24"/>
        </w:rPr>
        <w:t>2341 - PLANNING FOR PRIVATE SECTOR USES</w:t>
      </w:r>
      <w:bookmarkEnd w:id="16"/>
      <w:bookmarkEnd w:id="17"/>
    </w:p>
    <w:p w14:paraId="4B1B2C48" w14:textId="77777777" w:rsidR="00FB60D2" w:rsidRPr="00C9288E" w:rsidRDefault="00FB60D2" w:rsidP="00FB60D2">
      <w:pPr>
        <w:rPr>
          <w:rFonts w:ascii="Bookman Old Style" w:hAnsi="Bookman Old Style"/>
        </w:rPr>
      </w:pPr>
      <w:r w:rsidRPr="00C9288E">
        <w:rPr>
          <w:rFonts w:ascii="Bookman Old Style" w:hAnsi="Bookman Old Style"/>
        </w:rPr>
        <w:t>Generally, the planning process for private use requires the following management actions:</w:t>
      </w:r>
    </w:p>
    <w:p w14:paraId="6C7EB546" w14:textId="77777777" w:rsidR="00FB60D2" w:rsidRPr="00C9288E" w:rsidRDefault="00FB60D2" w:rsidP="00FB60D2">
      <w:pPr>
        <w:pStyle w:val="NumberList1"/>
        <w:rPr>
          <w:rFonts w:ascii="Bookman Old Style" w:hAnsi="Bookman Old Style"/>
        </w:rPr>
      </w:pPr>
      <w:r w:rsidRPr="00C9288E">
        <w:rPr>
          <w:rFonts w:ascii="Bookman Old Style" w:hAnsi="Bookman Old Style"/>
        </w:rPr>
        <w:t>1.  Identify and justify National Forest System sites and areas suitable for development, operation, and use by the private sector under special use authorization through Forest land and resource management plans and addendums (FSM 1920 and FSH 1909.12).</w:t>
      </w:r>
    </w:p>
    <w:p w14:paraId="53FD2694" w14:textId="77777777" w:rsidR="00FB60D2" w:rsidRPr="00C9288E" w:rsidRDefault="00FB60D2" w:rsidP="00FB60D2">
      <w:pPr>
        <w:pStyle w:val="NumberList1"/>
        <w:rPr>
          <w:rFonts w:ascii="Bookman Old Style" w:hAnsi="Bookman Old Style"/>
        </w:rPr>
      </w:pPr>
      <w:r w:rsidRPr="00C9288E">
        <w:rPr>
          <w:rFonts w:ascii="Bookman Old Style" w:hAnsi="Bookman Old Style"/>
        </w:rPr>
        <w:t>2.  Review needs assessments and development plans (master plans) to determine the location, nature, scope, and timing of development of facilities at current and potential permit sites.</w:t>
      </w:r>
    </w:p>
    <w:p w14:paraId="31BDE830" w14:textId="77777777" w:rsidR="00FB60D2" w:rsidRPr="00C9288E" w:rsidRDefault="00FB60D2" w:rsidP="00FB60D2">
      <w:pPr>
        <w:pStyle w:val="NumberList1"/>
        <w:rPr>
          <w:rFonts w:ascii="Bookman Old Style" w:hAnsi="Bookman Old Style"/>
        </w:rPr>
      </w:pPr>
      <w:r w:rsidRPr="00C9288E">
        <w:rPr>
          <w:rFonts w:ascii="Bookman Old Style" w:hAnsi="Bookman Old Style"/>
        </w:rPr>
        <w:t>3.  Review engineering designs and drawings and approve the configuration and design of structures and facilities to be placed at sites under permit.</w:t>
      </w:r>
    </w:p>
    <w:p w14:paraId="44D7ACF1" w14:textId="77777777" w:rsidR="00FB60D2" w:rsidRPr="00FB60D2" w:rsidRDefault="00FB60D2" w:rsidP="00FB60D2">
      <w:pPr>
        <w:pStyle w:val="Heading2"/>
        <w:rPr>
          <w:rFonts w:ascii="Bookman Old Style" w:hAnsi="Bookman Old Style"/>
          <w:b w:val="0"/>
          <w:bCs w:val="0"/>
        </w:rPr>
      </w:pPr>
      <w:r>
        <w:rPr>
          <w:rFonts w:ascii="Bookman Old Style" w:hAnsi="Bookman Old Style"/>
          <w:color w:val="auto"/>
          <w:szCs w:val="24"/>
        </w:rPr>
        <w:tab/>
      </w:r>
      <w:r w:rsidRPr="00FB60D2">
        <w:rPr>
          <w:rFonts w:ascii="Bookman Old Style" w:hAnsi="Bookman Old Style"/>
          <w:b w:val="0"/>
          <w:bCs w:val="0"/>
          <w:color w:val="auto"/>
          <w:szCs w:val="24"/>
        </w:rPr>
        <w:t xml:space="preserve">4.  Review and approve the Permittee's operating plan to ensure agreement with the Permittee about the management, operation, and maintenance of the permitted </w:t>
      </w:r>
      <w:r w:rsidRPr="00FB60D2">
        <w:rPr>
          <w:rFonts w:ascii="Bookman Old Style" w:hAnsi="Bookman Old Style"/>
          <w:b w:val="0"/>
          <w:bCs w:val="0"/>
          <w:color w:val="auto"/>
          <w:szCs w:val="24"/>
        </w:rPr>
        <w:tab/>
        <w:t>site and area.</w:t>
      </w:r>
      <w:r w:rsidRPr="00FB60D2">
        <w:rPr>
          <w:rFonts w:ascii="Bookman Old Style" w:hAnsi="Bookman Old Style"/>
          <w:b w:val="0"/>
          <w:bCs w:val="0"/>
        </w:rPr>
        <w:t xml:space="preserve">   </w:t>
      </w:r>
    </w:p>
    <w:p w14:paraId="5B93F87E" w14:textId="16E8BEE5" w:rsidR="00FB60D2" w:rsidRPr="00FB60D2" w:rsidRDefault="00FB60D2" w:rsidP="00FB60D2">
      <w:pPr>
        <w:pStyle w:val="Heading2"/>
        <w:rPr>
          <w:rFonts w:ascii="Bookman Old Style" w:hAnsi="Bookman Old Style"/>
          <w:b w:val="0"/>
          <w:bCs w:val="0"/>
          <w:color w:val="auto"/>
        </w:rPr>
      </w:pPr>
      <w:r>
        <w:rPr>
          <w:rFonts w:ascii="Bookman Old Style" w:hAnsi="Bookman Old Style"/>
          <w:b w:val="0"/>
          <w:bCs w:val="0"/>
          <w:color w:val="auto"/>
        </w:rPr>
        <w:t xml:space="preserve">Has the Permittee’s operating plan been reviewed and approved? </w:t>
      </w:r>
    </w:p>
    <w:p w14:paraId="2814905F" w14:textId="2112715E" w:rsidR="00934AF2" w:rsidRPr="00C9288E" w:rsidRDefault="00934AF2" w:rsidP="00FB60D2">
      <w:pPr>
        <w:pStyle w:val="Heading2"/>
        <w:rPr>
          <w:rFonts w:ascii="Bookman Old Style" w:hAnsi="Bookman Old Style"/>
          <w:color w:val="auto"/>
          <w:szCs w:val="24"/>
        </w:rPr>
      </w:pPr>
      <w:r w:rsidRPr="00C9288E">
        <w:rPr>
          <w:rFonts w:ascii="Bookman Old Style" w:hAnsi="Bookman Old Style"/>
          <w:color w:val="auto"/>
          <w:szCs w:val="24"/>
        </w:rPr>
        <w:t>2341.2 - Planning for Changes in Development and/or Use</w:t>
      </w:r>
      <w:bookmarkEnd w:id="18"/>
      <w:bookmarkEnd w:id="19"/>
      <w:bookmarkEnd w:id="20"/>
      <w:bookmarkEnd w:id="21"/>
      <w:bookmarkEnd w:id="22"/>
      <w:bookmarkEnd w:id="23"/>
      <w:r w:rsidRPr="00C9288E">
        <w:rPr>
          <w:rFonts w:ascii="Bookman Old Style" w:hAnsi="Bookman Old Style"/>
          <w:color w:val="auto"/>
          <w:szCs w:val="24"/>
        </w:rPr>
        <w:t xml:space="preserve"> </w:t>
      </w:r>
    </w:p>
    <w:p w14:paraId="0F87DDEC" w14:textId="56B0CF57" w:rsidR="00934AF2" w:rsidRDefault="00934AF2" w:rsidP="00934AF2">
      <w:pPr>
        <w:rPr>
          <w:rFonts w:ascii="Bookman Old Style" w:hAnsi="Bookman Old Style"/>
        </w:rPr>
      </w:pPr>
      <w:r w:rsidRPr="00C9288E">
        <w:rPr>
          <w:rFonts w:ascii="Bookman Old Style" w:hAnsi="Bookman Old Style"/>
        </w:rPr>
        <w:t xml:space="preserve">When it appears necessary to change development and/or use of an established site, conduct needs assessments and studies, preferably as part of the forest planning process, </w:t>
      </w:r>
      <w:r w:rsidR="00FB60D2">
        <w:rPr>
          <w:rFonts w:ascii="Bookman Old Style" w:hAnsi="Bookman Old Style"/>
        </w:rPr>
        <w:tab/>
      </w:r>
      <w:r w:rsidRPr="00C9288E">
        <w:rPr>
          <w:rFonts w:ascii="Bookman Old Style" w:hAnsi="Bookman Old Style"/>
        </w:rPr>
        <w:t>and, if appropriate, prepare and approve updated site development plans.</w:t>
      </w:r>
    </w:p>
    <w:p w14:paraId="25092247" w14:textId="77777777" w:rsidR="00FB60D2" w:rsidRDefault="00FB60D2" w:rsidP="00FB60D2">
      <w:pPr>
        <w:tabs>
          <w:tab w:val="left" w:pos="5400"/>
        </w:tabs>
        <w:rPr>
          <w:rFonts w:ascii="Bookman Old Style" w:hAnsi="Bookman Old Style"/>
        </w:rPr>
      </w:pPr>
    </w:p>
    <w:p w14:paraId="4F3D251A" w14:textId="61842194" w:rsidR="00FB60D2" w:rsidRDefault="00FB60D2" w:rsidP="00FB60D2">
      <w:pPr>
        <w:tabs>
          <w:tab w:val="left" w:pos="5400"/>
        </w:tabs>
        <w:rPr>
          <w:rFonts w:ascii="Bookman Old Style" w:hAnsi="Bookman Old Style"/>
        </w:rPr>
      </w:pPr>
      <w:r>
        <w:rPr>
          <w:rFonts w:ascii="Bookman Old Style" w:hAnsi="Bookman Old Style"/>
        </w:rPr>
        <w:t>Has “…conduct needs assessment and studies, preferable as part of the forest planning process…” been completed and disclosed to the public prior to initiating NEPA scoping?</w:t>
      </w:r>
      <w:r w:rsidRPr="00C9288E">
        <w:rPr>
          <w:rFonts w:ascii="Bookman Old Style" w:hAnsi="Bookman Old Style"/>
        </w:rPr>
        <w:t xml:space="preserve"> </w:t>
      </w:r>
    </w:p>
    <w:p w14:paraId="1DE06647" w14:textId="77777777" w:rsidR="00FB60D2" w:rsidRDefault="00FB60D2" w:rsidP="00FB60D2">
      <w:pPr>
        <w:tabs>
          <w:tab w:val="left" w:pos="5400"/>
        </w:tabs>
        <w:rPr>
          <w:rFonts w:ascii="Bookman Old Style" w:hAnsi="Bookman Old Style"/>
        </w:rPr>
      </w:pPr>
    </w:p>
    <w:p w14:paraId="5889CB98" w14:textId="0FB06D30" w:rsidR="00FB60D2" w:rsidRDefault="00FB60D2" w:rsidP="00FB60D2">
      <w:pPr>
        <w:tabs>
          <w:tab w:val="left" w:pos="5400"/>
        </w:tabs>
        <w:rPr>
          <w:rFonts w:ascii="Bookman Old Style" w:hAnsi="Bookman Old Style"/>
        </w:rPr>
      </w:pPr>
      <w:r>
        <w:rPr>
          <w:rFonts w:ascii="Bookman Old Style" w:hAnsi="Bookman Old Style"/>
        </w:rPr>
        <w:t xml:space="preserve">Have “…updated site development plans…” been prepared and approved? </w:t>
      </w:r>
    </w:p>
    <w:p w14:paraId="7E5982C8" w14:textId="4AFB2346" w:rsidR="00FB60D2" w:rsidRDefault="00FB60D2" w:rsidP="00FB60D2">
      <w:pPr>
        <w:tabs>
          <w:tab w:val="left" w:pos="5400"/>
        </w:tabs>
        <w:rPr>
          <w:rFonts w:ascii="Bookman Old Style" w:hAnsi="Bookman Old Style"/>
        </w:rPr>
      </w:pPr>
    </w:p>
    <w:p w14:paraId="4E8CBE38" w14:textId="77777777" w:rsidR="00FB60D2" w:rsidRPr="00C9288E" w:rsidRDefault="00FB60D2" w:rsidP="00FB60D2">
      <w:pPr>
        <w:pStyle w:val="Heading2"/>
        <w:rPr>
          <w:rFonts w:ascii="Bookman Old Style" w:hAnsi="Bookman Old Style"/>
          <w:color w:val="auto"/>
          <w:szCs w:val="24"/>
        </w:rPr>
      </w:pPr>
      <w:r w:rsidRPr="00C9288E">
        <w:rPr>
          <w:rFonts w:ascii="Bookman Old Style" w:hAnsi="Bookman Old Style"/>
          <w:color w:val="auto"/>
          <w:szCs w:val="24"/>
        </w:rPr>
        <w:t xml:space="preserve">2343.3 - Lodging and Overnight Accommodations </w:t>
      </w:r>
    </w:p>
    <w:p w14:paraId="086A599E" w14:textId="77777777" w:rsidR="00FB60D2" w:rsidRPr="00C9288E" w:rsidRDefault="00FB60D2" w:rsidP="00FB60D2">
      <w:pPr>
        <w:rPr>
          <w:rFonts w:ascii="Bookman Old Style" w:hAnsi="Bookman Old Style"/>
        </w:rPr>
      </w:pPr>
    </w:p>
    <w:p w14:paraId="72FCABC2" w14:textId="77777777" w:rsidR="00FB60D2" w:rsidRPr="00C9288E" w:rsidRDefault="00FB60D2" w:rsidP="00FB60D2">
      <w:pPr>
        <w:rPr>
          <w:rFonts w:ascii="Bookman Old Style" w:hAnsi="Bookman Old Style"/>
        </w:rPr>
      </w:pPr>
      <w:r w:rsidRPr="00C9288E">
        <w:rPr>
          <w:rFonts w:ascii="Bookman Old Style" w:hAnsi="Bookman Old Style"/>
        </w:rPr>
        <w:t xml:space="preserve">This category includes sites and facilities such as lodges, hotels, motels, campgrounds, trailer courts and camps, and commercial group camps.  In addition to the general policies in </w:t>
      </w:r>
      <w:r w:rsidRPr="00C9288E">
        <w:rPr>
          <w:rFonts w:ascii="Bookman Old Style" w:hAnsi="Bookman Old Style"/>
        </w:rPr>
        <w:br/>
        <w:t>section 2340.3, the following policy applies to lodging and overnight accommodations.</w:t>
      </w:r>
    </w:p>
    <w:p w14:paraId="62561581" w14:textId="77777777" w:rsidR="00FB60D2" w:rsidRPr="00C9288E" w:rsidRDefault="00FB60D2" w:rsidP="00FB60D2">
      <w:pPr>
        <w:pStyle w:val="NumberList1"/>
        <w:rPr>
          <w:rFonts w:ascii="Bookman Old Style" w:hAnsi="Bookman Old Style"/>
        </w:rPr>
      </w:pPr>
      <w:r w:rsidRPr="00C9288E">
        <w:rPr>
          <w:rFonts w:ascii="Bookman Old Style" w:hAnsi="Bookman Old Style"/>
        </w:rPr>
        <w:t>1.  Authorize provision of lodging accommodations on National Forest System land only where there is a public need for the facilities and where there is no suitable private land for such facilities within a reasonable distance.</w:t>
      </w:r>
    </w:p>
    <w:p w14:paraId="1B83E296" w14:textId="77777777" w:rsidR="00FB60D2" w:rsidRPr="00C9288E" w:rsidRDefault="00FB60D2" w:rsidP="00FB60D2">
      <w:pPr>
        <w:pStyle w:val="NumberList1"/>
        <w:rPr>
          <w:rFonts w:ascii="Bookman Old Style" w:hAnsi="Bookman Old Style"/>
        </w:rPr>
      </w:pPr>
      <w:r w:rsidRPr="00C9288E">
        <w:rPr>
          <w:rFonts w:ascii="Bookman Old Style" w:hAnsi="Bookman Old Style"/>
        </w:rPr>
        <w:t>2.  Require operation, management, and marketing of lodging and overnight accommodations in a manner that ensures the general public has full access to the facilities.  Deny exclusive or preferential use by holders, their employees, families, friends, business associates, partners, stockholders, lenders, or others who may have a monetary interest in the facilities.</w:t>
      </w:r>
    </w:p>
    <w:p w14:paraId="2D985D79" w14:textId="77777777" w:rsidR="00FB60D2" w:rsidRPr="00C9288E" w:rsidRDefault="00FB60D2" w:rsidP="00FB60D2">
      <w:pPr>
        <w:pStyle w:val="NumberList1"/>
        <w:rPr>
          <w:rFonts w:ascii="Bookman Old Style" w:hAnsi="Bookman Old Style"/>
        </w:rPr>
      </w:pPr>
      <w:r w:rsidRPr="00C9288E">
        <w:rPr>
          <w:rFonts w:ascii="Bookman Old Style" w:hAnsi="Bookman Old Style"/>
        </w:rPr>
        <w:t>3.  Require holders to establish guest stay limits of 30 days or less to ensure the continuing availability of facilities for public use and to ensure no personal, private, or preferential use of authorized facilities, including trailer sites, overnight houseboat mooring accommodations, and campsites.</w:t>
      </w:r>
    </w:p>
    <w:p w14:paraId="1F850E92" w14:textId="77777777" w:rsidR="00FB60D2" w:rsidRDefault="00FB60D2" w:rsidP="00FB60D2">
      <w:pPr>
        <w:tabs>
          <w:tab w:val="left" w:pos="5400"/>
        </w:tabs>
        <w:rPr>
          <w:rFonts w:ascii="Bookman Old Style" w:hAnsi="Bookman Old Style"/>
        </w:rPr>
      </w:pPr>
    </w:p>
    <w:p w14:paraId="7671600C" w14:textId="77777777" w:rsidR="00FB60D2" w:rsidRDefault="00FB60D2" w:rsidP="00FB60D2">
      <w:pPr>
        <w:tabs>
          <w:tab w:val="left" w:pos="5400"/>
        </w:tabs>
        <w:rPr>
          <w:rFonts w:ascii="Bookman Old Style" w:hAnsi="Bookman Old Style"/>
        </w:rPr>
      </w:pPr>
    </w:p>
    <w:p w14:paraId="73BEB0E3" w14:textId="395469F3" w:rsidR="00CE1114" w:rsidRPr="00FB60D2" w:rsidRDefault="00CE1114" w:rsidP="00FB60D2">
      <w:pPr>
        <w:tabs>
          <w:tab w:val="left" w:pos="5400"/>
        </w:tabs>
        <w:rPr>
          <w:rFonts w:ascii="Bookman Old Style" w:hAnsi="Bookman Old Style"/>
          <w:b/>
          <w:bCs/>
        </w:rPr>
      </w:pPr>
      <w:r w:rsidRPr="00FB60D2">
        <w:rPr>
          <w:rFonts w:ascii="Bookman Old Style" w:hAnsi="Bookman Old Style"/>
          <w:b/>
          <w:bCs/>
        </w:rPr>
        <w:t>2347.6 - Private Lodging</w:t>
      </w:r>
      <w:bookmarkEnd w:id="1"/>
      <w:bookmarkEnd w:id="2"/>
      <w:r w:rsidRPr="00FB60D2">
        <w:rPr>
          <w:rFonts w:ascii="Bookman Old Style" w:hAnsi="Bookman Old Style"/>
          <w:b/>
          <w:bCs/>
        </w:rPr>
        <w:t xml:space="preserve"> </w:t>
      </w:r>
    </w:p>
    <w:p w14:paraId="7594D99D" w14:textId="77777777" w:rsidR="00CE1114" w:rsidRPr="00C9288E" w:rsidRDefault="00CE1114" w:rsidP="00CE1114">
      <w:pPr>
        <w:rPr>
          <w:rFonts w:ascii="Bookman Old Style" w:hAnsi="Bookman Old Style"/>
        </w:rPr>
      </w:pPr>
    </w:p>
    <w:p w14:paraId="6A6D64A1" w14:textId="77777777" w:rsidR="00CE1114" w:rsidRPr="00C9288E" w:rsidRDefault="00CE1114" w:rsidP="00CE1114">
      <w:pPr>
        <w:rPr>
          <w:rFonts w:ascii="Bookman Old Style" w:hAnsi="Bookman Old Style"/>
        </w:rPr>
      </w:pPr>
      <w:r w:rsidRPr="00C9288E">
        <w:rPr>
          <w:rFonts w:ascii="Bookman Old Style" w:hAnsi="Bookman Old Style"/>
        </w:rPr>
        <w:t>This category includes private accommodations such as condominiums, condo-hotels, and time-share camps, hotels, and motels.  (See also FSM 2720 for direction on non-recreation special uses.)</w:t>
      </w:r>
    </w:p>
    <w:p w14:paraId="01BA536D" w14:textId="77777777" w:rsidR="00CE1114" w:rsidRPr="00C9288E" w:rsidRDefault="00CE1114" w:rsidP="00CE1114">
      <w:pPr>
        <w:pStyle w:val="NumberList1"/>
        <w:rPr>
          <w:rFonts w:ascii="Bookman Old Style" w:hAnsi="Bookman Old Style"/>
        </w:rPr>
      </w:pPr>
      <w:r w:rsidRPr="00C9288E">
        <w:rPr>
          <w:rFonts w:ascii="Bookman Old Style" w:hAnsi="Bookman Old Style"/>
        </w:rPr>
        <w:t>1.  Allow cooperative or condominium financing of overnight accommodations only when units will be operated on a fully public basis, available for rental to the general public.</w:t>
      </w:r>
    </w:p>
    <w:p w14:paraId="641F3564" w14:textId="77777777" w:rsidR="00CE1114" w:rsidRPr="00C9288E" w:rsidRDefault="00CE1114" w:rsidP="00CE1114">
      <w:pPr>
        <w:pStyle w:val="NumberList1"/>
        <w:rPr>
          <w:rFonts w:ascii="Bookman Old Style" w:hAnsi="Bookman Old Style"/>
        </w:rPr>
      </w:pPr>
      <w:r w:rsidRPr="00C9288E">
        <w:rPr>
          <w:rFonts w:ascii="Bookman Old Style" w:hAnsi="Bookman Old Style"/>
        </w:rPr>
        <w:t>2.  Submit all proposals for cooperative or condominium financing of overnight accommodations to the Chief for review.</w:t>
      </w:r>
    </w:p>
    <w:p w14:paraId="1C503166" w14:textId="77777777" w:rsidR="00CE1114" w:rsidRPr="00C9288E" w:rsidRDefault="00CE1114" w:rsidP="00CE1114">
      <w:pPr>
        <w:pStyle w:val="NumberList1"/>
        <w:rPr>
          <w:rFonts w:ascii="Bookman Old Style" w:hAnsi="Bookman Old Style"/>
        </w:rPr>
      </w:pPr>
      <w:r w:rsidRPr="00C9288E">
        <w:rPr>
          <w:rFonts w:ascii="Bookman Old Style" w:hAnsi="Bookman Old Style"/>
        </w:rPr>
        <w:t>3.  Issue permits for cooperative or condominium-financed lodging to a single permittee-operator entity, rather than to individual investors.</w:t>
      </w:r>
    </w:p>
    <w:p w14:paraId="4B83C808" w14:textId="77777777" w:rsidR="00CE1114" w:rsidRPr="00C9288E" w:rsidRDefault="00CE1114" w:rsidP="00CE1114">
      <w:pPr>
        <w:pStyle w:val="NumberList1"/>
        <w:rPr>
          <w:rFonts w:ascii="Bookman Old Style" w:hAnsi="Bookman Old Style"/>
        </w:rPr>
      </w:pPr>
      <w:r w:rsidRPr="00C9288E">
        <w:rPr>
          <w:rFonts w:ascii="Bookman Old Style" w:hAnsi="Bookman Old Style"/>
        </w:rPr>
        <w:t>4.  Require Permittees to exercise effective ownership and operational control of the structures through leaseback, lease, or other formal agreement.</w:t>
      </w:r>
    </w:p>
    <w:p w14:paraId="199DBAAB" w14:textId="77777777" w:rsidR="00CE1114" w:rsidRPr="00C9288E" w:rsidRDefault="00CE1114" w:rsidP="00CE1114">
      <w:pPr>
        <w:pStyle w:val="NumberList1"/>
        <w:rPr>
          <w:rFonts w:ascii="Bookman Old Style" w:hAnsi="Bookman Old Style"/>
        </w:rPr>
      </w:pPr>
      <w:r w:rsidRPr="00C9288E">
        <w:rPr>
          <w:rFonts w:ascii="Bookman Old Style" w:hAnsi="Bookman Old Style"/>
        </w:rPr>
        <w:t>5.  On an opportunity basis, convert all cooperative or condominium permits to fully public use.</w:t>
      </w:r>
    </w:p>
    <w:p w14:paraId="530EEAD7" w14:textId="77777777" w:rsidR="00CE1114" w:rsidRPr="00C9288E" w:rsidRDefault="00CE1114" w:rsidP="00CE1114">
      <w:pPr>
        <w:pStyle w:val="NumberList1"/>
        <w:rPr>
          <w:rFonts w:ascii="Bookman Old Style" w:hAnsi="Bookman Old Style"/>
        </w:rPr>
      </w:pPr>
      <w:r w:rsidRPr="00C9288E">
        <w:rPr>
          <w:rFonts w:ascii="Bookman Old Style" w:hAnsi="Bookman Old Style"/>
        </w:rPr>
        <w:t>6.  Require Permittees to establish reservation systems that guarantee access to condominium units by the general public and do not allow investor-owners to make a reservation more than 2 months in advance of any given period of occupancy.</w:t>
      </w:r>
    </w:p>
    <w:p w14:paraId="052BA650" w14:textId="77777777" w:rsidR="00C9288E" w:rsidRDefault="00CE1114" w:rsidP="00CE1114">
      <w:pPr>
        <w:pStyle w:val="NumberList1"/>
        <w:rPr>
          <w:rFonts w:ascii="Bookman Old Style" w:hAnsi="Bookman Old Style"/>
        </w:rPr>
      </w:pPr>
      <w:r w:rsidRPr="00C9288E">
        <w:rPr>
          <w:rFonts w:ascii="Bookman Old Style" w:hAnsi="Bookman Old Style"/>
        </w:rPr>
        <w:t>7.  Make no commitments to individual investors in the event of dissolution of the permittee through transfer, bankruptcy, foreclosure, or other legal proceeding.</w:t>
      </w:r>
    </w:p>
    <w:p w14:paraId="400430B4" w14:textId="696C920B" w:rsidR="00C9288E" w:rsidRPr="00C9288E" w:rsidRDefault="00C9288E" w:rsidP="00CE1114">
      <w:pPr>
        <w:pStyle w:val="NumberList1"/>
        <w:rPr>
          <w:rFonts w:ascii="Bookman Old Style" w:hAnsi="Bookman Old Style"/>
        </w:rPr>
      </w:pPr>
      <w:r>
        <w:rPr>
          <w:rFonts w:ascii="Bookman Old Style" w:hAnsi="Bookman Old Style"/>
        </w:rPr>
        <w:t xml:space="preserve">                                                                                                   </w:t>
      </w:r>
    </w:p>
    <w:p w14:paraId="7D70BB59" w14:textId="2EF42973" w:rsidR="00CE1114" w:rsidRDefault="00C9288E" w:rsidP="00CE1114">
      <w:pPr>
        <w:rPr>
          <w:rFonts w:ascii="Bookman Old Style" w:hAnsi="Bookman Old Style"/>
        </w:rPr>
      </w:pPr>
      <w:r>
        <w:rPr>
          <w:rFonts w:ascii="Bookman Old Style" w:hAnsi="Bookman Old Style"/>
        </w:rPr>
        <w:t>Is this special-use expansion project being issued to “…a single permittee-operator entity, rather than to individual investors…”?  FSM 2347.6</w:t>
      </w:r>
      <w:r w:rsidR="00934AF2">
        <w:rPr>
          <w:rFonts w:ascii="Bookman Old Style" w:hAnsi="Bookman Old Style"/>
        </w:rPr>
        <w:t>(3)</w:t>
      </w:r>
      <w:r>
        <w:rPr>
          <w:rFonts w:ascii="Bookman Old Style" w:hAnsi="Bookman Old Style"/>
        </w:rPr>
        <w:t>.</w:t>
      </w:r>
    </w:p>
    <w:p w14:paraId="63F5F5A0" w14:textId="4559950A" w:rsidR="00C9288E" w:rsidRPr="00C9288E" w:rsidRDefault="00C9288E" w:rsidP="00CE1114">
      <w:pPr>
        <w:rPr>
          <w:rFonts w:ascii="Bookman Old Style" w:hAnsi="Bookman Old Style"/>
        </w:rPr>
      </w:pPr>
      <w:r>
        <w:rPr>
          <w:rFonts w:ascii="Bookman Old Style" w:hAnsi="Bookman Old Style"/>
        </w:rPr>
        <w:t xml:space="preserve">Have any “…commitments to individual investors…” </w:t>
      </w:r>
      <w:r w:rsidR="001022AD">
        <w:rPr>
          <w:rFonts w:ascii="Bookman Old Style" w:hAnsi="Bookman Old Style"/>
        </w:rPr>
        <w:t xml:space="preserve">already </w:t>
      </w:r>
      <w:r>
        <w:rPr>
          <w:rFonts w:ascii="Bookman Old Style" w:hAnsi="Bookman Old Style"/>
        </w:rPr>
        <w:t>been made, verbally, or in writing, or in digital communication(s)?</w:t>
      </w:r>
      <w:r w:rsidR="00934AF2">
        <w:rPr>
          <w:rFonts w:ascii="Bookman Old Style" w:hAnsi="Bookman Old Style"/>
        </w:rPr>
        <w:t xml:space="preserve"> </w:t>
      </w:r>
      <w:r w:rsidR="001022AD">
        <w:rPr>
          <w:rFonts w:ascii="Bookman Old Style" w:hAnsi="Bookman Old Style"/>
        </w:rPr>
        <w:t xml:space="preserve"> Please disclose.</w:t>
      </w:r>
      <w:r w:rsidR="00934AF2">
        <w:rPr>
          <w:rFonts w:ascii="Bookman Old Style" w:hAnsi="Bookman Old Style"/>
        </w:rPr>
        <w:t xml:space="preserve"> FSM 2347.6(7).</w:t>
      </w:r>
    </w:p>
    <w:p w14:paraId="68D02DDB" w14:textId="03F086F3" w:rsidR="00CE1114" w:rsidRDefault="00CE1114" w:rsidP="00CE1114">
      <w:pPr>
        <w:rPr>
          <w:rFonts w:ascii="Bookman Old Style" w:hAnsi="Bookman Old Style"/>
        </w:rPr>
      </w:pPr>
    </w:p>
    <w:p w14:paraId="360300C2" w14:textId="0CE00BF1" w:rsidR="007F2AF2" w:rsidRDefault="00D603C1" w:rsidP="00CE1114">
      <w:pPr>
        <w:rPr>
          <w:rFonts w:ascii="Bookman Old Style" w:hAnsi="Bookman Old Style" w:cs="Segoe UI"/>
          <w:color w:val="222222"/>
          <w:shd w:val="clear" w:color="auto" w:fill="FFFFFF"/>
        </w:rPr>
      </w:pPr>
      <w:r w:rsidRPr="00D603C1">
        <w:rPr>
          <w:rFonts w:ascii="Bookman Old Style" w:hAnsi="Bookman Old Style" w:cs="Segoe UI"/>
          <w:color w:val="222222"/>
          <w:shd w:val="clear" w:color="auto" w:fill="FFFFFF"/>
        </w:rPr>
        <w:t>To summarize,</w:t>
      </w:r>
      <w:r w:rsidR="001022AD">
        <w:rPr>
          <w:rFonts w:ascii="Bookman Old Style" w:hAnsi="Bookman Old Style" w:cs="Segoe UI"/>
          <w:color w:val="222222"/>
          <w:shd w:val="clear" w:color="auto" w:fill="FFFFFF"/>
        </w:rPr>
        <w:t xml:space="preserve"> </w:t>
      </w:r>
      <w:r w:rsidR="007F2AF2">
        <w:rPr>
          <w:rFonts w:ascii="Bookman Old Style" w:hAnsi="Bookman Old Style" w:cs="Segoe UI"/>
          <w:color w:val="222222"/>
          <w:shd w:val="clear" w:color="auto" w:fill="FFFFFF"/>
        </w:rPr>
        <w:t>“</w:t>
      </w:r>
      <w:r w:rsidR="001022AD">
        <w:rPr>
          <w:rFonts w:ascii="Bookman Old Style" w:hAnsi="Bookman Old Style" w:cs="Segoe UI"/>
          <w:color w:val="222222"/>
          <w:shd w:val="clear" w:color="auto" w:fill="FFFFFF"/>
        </w:rPr>
        <w:t>truth is the first casualty in war</w:t>
      </w:r>
      <w:r w:rsidR="007F2AF2">
        <w:rPr>
          <w:rFonts w:ascii="Bookman Old Style" w:hAnsi="Bookman Old Style" w:cs="Segoe UI"/>
          <w:color w:val="222222"/>
          <w:shd w:val="clear" w:color="auto" w:fill="FFFFFF"/>
        </w:rPr>
        <w:t>”</w:t>
      </w:r>
      <w:r w:rsidR="001022AD">
        <w:rPr>
          <w:rFonts w:ascii="Bookman Old Style" w:hAnsi="Bookman Old Style" w:cs="Segoe UI"/>
          <w:color w:val="222222"/>
          <w:shd w:val="clear" w:color="auto" w:fill="FFFFFF"/>
        </w:rPr>
        <w:t xml:space="preserve"> (against Nature).  Exhibit #1: T</w:t>
      </w:r>
      <w:r w:rsidRPr="00D603C1">
        <w:rPr>
          <w:rFonts w:ascii="Bookman Old Style" w:hAnsi="Bookman Old Style" w:cs="Segoe UI"/>
          <w:color w:val="222222"/>
          <w:shd w:val="clear" w:color="auto" w:fill="FFFFFF"/>
        </w:rPr>
        <w:t xml:space="preserve">his whopper of a statement comes from the press release issued by the Flathead National Forest: </w:t>
      </w:r>
      <w:r w:rsidRPr="001022AD">
        <w:rPr>
          <w:rFonts w:ascii="Bookman Old Style" w:hAnsi="Bookman Old Style" w:cs="Segoe UI"/>
          <w:b/>
          <w:bCs/>
          <w:color w:val="222222"/>
          <w:shd w:val="clear" w:color="auto" w:fill="FFFFFF"/>
        </w:rPr>
        <w:t xml:space="preserve">“Improvements would provide a family-friendly destination with the modern comforts and amenities visitors have come to expect today while maintaining the integrity of the site.” </w:t>
      </w:r>
      <w:r w:rsidR="001022AD">
        <w:rPr>
          <w:rFonts w:ascii="Bookman Old Style" w:hAnsi="Bookman Old Style" w:cs="Segoe UI"/>
          <w:color w:val="222222"/>
          <w:shd w:val="clear" w:color="auto" w:fill="FFFFFF"/>
        </w:rPr>
        <w:t>Emphasis added.</w:t>
      </w:r>
      <w:r w:rsidRPr="00D603C1">
        <w:rPr>
          <w:rFonts w:ascii="Bookman Old Style" w:hAnsi="Bookman Old Style" w:cs="Segoe UI"/>
          <w:color w:val="222222"/>
          <w:shd w:val="clear" w:color="auto" w:fill="FFFFFF"/>
        </w:rPr>
        <w:t xml:space="preserve"> </w:t>
      </w:r>
      <w:r>
        <w:rPr>
          <w:rFonts w:ascii="Bookman Old Style" w:hAnsi="Bookman Old Style" w:cs="Segoe UI"/>
          <w:color w:val="222222"/>
          <w:shd w:val="clear" w:color="auto" w:fill="FFFFFF"/>
        </w:rPr>
        <w:t>OMG, t</w:t>
      </w:r>
      <w:r w:rsidRPr="00D603C1">
        <w:rPr>
          <w:rFonts w:ascii="Bookman Old Style" w:hAnsi="Bookman Old Style" w:cs="Segoe UI"/>
          <w:color w:val="222222"/>
          <w:shd w:val="clear" w:color="auto" w:fill="FFFFFF"/>
        </w:rPr>
        <w:t>his</w:t>
      </w:r>
      <w:r>
        <w:rPr>
          <w:rFonts w:ascii="Bookman Old Style" w:hAnsi="Bookman Old Style" w:cs="Segoe UI"/>
          <w:color w:val="222222"/>
          <w:shd w:val="clear" w:color="auto" w:fill="FFFFFF"/>
        </w:rPr>
        <w:t xml:space="preserve"> is a</w:t>
      </w:r>
      <w:r w:rsidRPr="00D603C1">
        <w:rPr>
          <w:rFonts w:ascii="Bookman Old Style" w:hAnsi="Bookman Old Style" w:cs="Segoe UI"/>
          <w:color w:val="222222"/>
          <w:shd w:val="clear" w:color="auto" w:fill="FFFFFF"/>
        </w:rPr>
        <w:t xml:space="preserve"> new </w:t>
      </w:r>
      <w:r w:rsidR="007F2AF2">
        <w:rPr>
          <w:rFonts w:ascii="Bookman Old Style" w:hAnsi="Bookman Old Style" w:cs="Segoe UI"/>
          <w:color w:val="222222"/>
          <w:shd w:val="clear" w:color="auto" w:fill="FFFFFF"/>
        </w:rPr>
        <w:t xml:space="preserve">(very creative) </w:t>
      </w:r>
      <w:r w:rsidRPr="00D603C1">
        <w:rPr>
          <w:rFonts w:ascii="Bookman Old Style" w:hAnsi="Bookman Old Style" w:cs="Segoe UI"/>
          <w:color w:val="222222"/>
          <w:shd w:val="clear" w:color="auto" w:fill="FFFFFF"/>
        </w:rPr>
        <w:t>pack of lies by omission on multiple levels</w:t>
      </w:r>
      <w:r>
        <w:rPr>
          <w:rFonts w:ascii="Bookman Old Style" w:hAnsi="Bookman Old Style" w:cs="Segoe UI"/>
          <w:color w:val="222222"/>
          <w:shd w:val="clear" w:color="auto" w:fill="FFFFFF"/>
        </w:rPr>
        <w:t>.</w:t>
      </w:r>
      <w:r w:rsidRPr="00D603C1">
        <w:rPr>
          <w:rFonts w:ascii="Bookman Old Style" w:hAnsi="Bookman Old Style" w:cs="Segoe UI"/>
          <w:color w:val="222222"/>
          <w:shd w:val="clear" w:color="auto" w:fill="FFFFFF"/>
        </w:rPr>
        <w:t xml:space="preserve"> </w:t>
      </w:r>
      <w:r>
        <w:rPr>
          <w:rFonts w:ascii="Bookman Old Style" w:hAnsi="Bookman Old Style" w:cs="Segoe UI"/>
          <w:color w:val="222222"/>
          <w:shd w:val="clear" w:color="auto" w:fill="FFFFFF"/>
        </w:rPr>
        <w:t xml:space="preserve">Nothing </w:t>
      </w:r>
      <w:r w:rsidR="001022AD">
        <w:rPr>
          <w:rFonts w:ascii="Bookman Old Style" w:hAnsi="Bookman Old Style" w:cs="Segoe UI"/>
          <w:color w:val="222222"/>
          <w:shd w:val="clear" w:color="auto" w:fill="FFFFFF"/>
        </w:rPr>
        <w:t xml:space="preserve">in this “we-can-have-it-all” statement seems </w:t>
      </w:r>
      <w:r>
        <w:rPr>
          <w:rFonts w:ascii="Bookman Old Style" w:hAnsi="Bookman Old Style" w:cs="Segoe UI"/>
          <w:color w:val="222222"/>
          <w:shd w:val="clear" w:color="auto" w:fill="FFFFFF"/>
        </w:rPr>
        <w:t>out of the ordinary</w:t>
      </w:r>
      <w:r w:rsidR="001022AD">
        <w:rPr>
          <w:rFonts w:ascii="Bookman Old Style" w:hAnsi="Bookman Old Style" w:cs="Segoe UI"/>
          <w:color w:val="222222"/>
          <w:shd w:val="clear" w:color="auto" w:fill="FFFFFF"/>
        </w:rPr>
        <w:t xml:space="preserve">. </w:t>
      </w:r>
      <w:r w:rsidR="007F2AF2">
        <w:rPr>
          <w:rFonts w:ascii="Bookman Old Style" w:hAnsi="Bookman Old Style" w:cs="Segoe UI"/>
          <w:color w:val="222222"/>
          <w:shd w:val="clear" w:color="auto" w:fill="FFFFFF"/>
        </w:rPr>
        <w:t>Extraordinary, posing as o</w:t>
      </w:r>
      <w:r w:rsidR="00D60048">
        <w:rPr>
          <w:rFonts w:ascii="Bookman Old Style" w:hAnsi="Bookman Old Style" w:cs="Segoe UI"/>
          <w:color w:val="222222"/>
          <w:shd w:val="clear" w:color="auto" w:fill="FFFFFF"/>
        </w:rPr>
        <w:t>rdinary</w:t>
      </w:r>
      <w:r w:rsidR="007F2AF2">
        <w:rPr>
          <w:rFonts w:ascii="Bookman Old Style" w:hAnsi="Bookman Old Style" w:cs="Segoe UI"/>
          <w:color w:val="222222"/>
          <w:shd w:val="clear" w:color="auto" w:fill="FFFFFF"/>
        </w:rPr>
        <w:t>; how clever.</w:t>
      </w:r>
      <w:r>
        <w:rPr>
          <w:rFonts w:ascii="Bookman Old Style" w:hAnsi="Bookman Old Style" w:cs="Segoe UI"/>
          <w:color w:val="222222"/>
          <w:shd w:val="clear" w:color="auto" w:fill="FFFFFF"/>
        </w:rPr>
        <w:t xml:space="preserve"> </w:t>
      </w:r>
      <w:r w:rsidR="001022AD">
        <w:rPr>
          <w:rFonts w:ascii="Bookman Old Style" w:hAnsi="Bookman Old Style" w:cs="Segoe UI"/>
          <w:color w:val="222222"/>
          <w:shd w:val="clear" w:color="auto" w:fill="FFFFFF"/>
        </w:rPr>
        <w:t>Unfortunately, t</w:t>
      </w:r>
      <w:r>
        <w:rPr>
          <w:rFonts w:ascii="Bookman Old Style" w:hAnsi="Bookman Old Style" w:cs="Segoe UI"/>
          <w:color w:val="222222"/>
          <w:shd w:val="clear" w:color="auto" w:fill="FFFFFF"/>
        </w:rPr>
        <w:t xml:space="preserve">his </w:t>
      </w:r>
      <w:r w:rsidR="001022AD">
        <w:rPr>
          <w:rFonts w:ascii="Bookman Old Style" w:hAnsi="Bookman Old Style" w:cs="Segoe UI"/>
          <w:color w:val="222222"/>
          <w:shd w:val="clear" w:color="auto" w:fill="FFFFFF"/>
        </w:rPr>
        <w:t xml:space="preserve">style of misrepresentation is </w:t>
      </w:r>
      <w:r>
        <w:rPr>
          <w:rFonts w:ascii="Bookman Old Style" w:hAnsi="Bookman Old Style" w:cs="Segoe UI"/>
          <w:color w:val="222222"/>
          <w:shd w:val="clear" w:color="auto" w:fill="FFFFFF"/>
        </w:rPr>
        <w:t>quite</w:t>
      </w:r>
      <w:r w:rsidRPr="00D603C1">
        <w:rPr>
          <w:rFonts w:ascii="Bookman Old Style" w:hAnsi="Bookman Old Style" w:cs="Segoe UI"/>
          <w:color w:val="222222"/>
          <w:shd w:val="clear" w:color="auto" w:fill="FFFFFF"/>
        </w:rPr>
        <w:t xml:space="preserve"> </w:t>
      </w:r>
      <w:r>
        <w:rPr>
          <w:rFonts w:ascii="Bookman Old Style" w:hAnsi="Bookman Old Style" w:cs="Segoe UI"/>
          <w:color w:val="222222"/>
          <w:shd w:val="clear" w:color="auto" w:fill="FFFFFF"/>
        </w:rPr>
        <w:t xml:space="preserve">familiar </w:t>
      </w:r>
      <w:r w:rsidR="007F2AF2">
        <w:rPr>
          <w:rFonts w:ascii="Bookman Old Style" w:hAnsi="Bookman Old Style" w:cs="Segoe UI"/>
          <w:color w:val="222222"/>
          <w:shd w:val="clear" w:color="auto" w:fill="FFFFFF"/>
        </w:rPr>
        <w:t xml:space="preserve">(ordinary) </w:t>
      </w:r>
      <w:r>
        <w:rPr>
          <w:rFonts w:ascii="Bookman Old Style" w:hAnsi="Bookman Old Style" w:cs="Segoe UI"/>
          <w:color w:val="222222"/>
          <w:shd w:val="clear" w:color="auto" w:fill="FFFFFF"/>
        </w:rPr>
        <w:t xml:space="preserve">to us and has been </w:t>
      </w:r>
      <w:r w:rsidR="007F2AF2">
        <w:rPr>
          <w:rFonts w:ascii="Bookman Old Style" w:hAnsi="Bookman Old Style" w:cs="Segoe UI"/>
          <w:color w:val="222222"/>
          <w:shd w:val="clear" w:color="auto" w:fill="FFFFFF"/>
        </w:rPr>
        <w:t xml:space="preserve">USFS-USDA </w:t>
      </w:r>
      <w:r>
        <w:rPr>
          <w:rFonts w:ascii="Bookman Old Style" w:hAnsi="Bookman Old Style" w:cs="Segoe UI"/>
          <w:color w:val="222222"/>
          <w:shd w:val="clear" w:color="auto" w:fill="FFFFFF"/>
        </w:rPr>
        <w:t>SOP for decades.  Our trust level</w:t>
      </w:r>
      <w:r w:rsidRPr="00D603C1">
        <w:rPr>
          <w:rFonts w:ascii="Bookman Old Style" w:hAnsi="Bookman Old Style" w:cs="Segoe UI"/>
          <w:color w:val="222222"/>
          <w:shd w:val="clear" w:color="auto" w:fill="FFFFFF"/>
        </w:rPr>
        <w:t xml:space="preserve"> when dealing with the federal government, the U.S. Forest Service-USDA, and the Flathead National Forest in particular</w:t>
      </w:r>
      <w:r w:rsidR="001022AD">
        <w:rPr>
          <w:rFonts w:ascii="Bookman Old Style" w:hAnsi="Bookman Old Style" w:cs="Segoe UI"/>
          <w:color w:val="222222"/>
          <w:shd w:val="clear" w:color="auto" w:fill="FFFFFF"/>
        </w:rPr>
        <w:t>,</w:t>
      </w:r>
      <w:r>
        <w:rPr>
          <w:rFonts w:ascii="Bookman Old Style" w:hAnsi="Bookman Old Style" w:cs="Segoe UI"/>
          <w:color w:val="222222"/>
          <w:shd w:val="clear" w:color="auto" w:fill="FFFFFF"/>
        </w:rPr>
        <w:t xml:space="preserve"> remains</w:t>
      </w:r>
      <w:r w:rsidR="007F2AF2">
        <w:rPr>
          <w:rFonts w:ascii="Bookman Old Style" w:hAnsi="Bookman Old Style" w:cs="Segoe UI"/>
          <w:color w:val="222222"/>
          <w:shd w:val="clear" w:color="auto" w:fill="FFFFFF"/>
        </w:rPr>
        <w:t>, reinforced by recent events</w:t>
      </w:r>
      <w:r>
        <w:rPr>
          <w:rFonts w:ascii="Bookman Old Style" w:hAnsi="Bookman Old Style" w:cs="Segoe UI"/>
          <w:color w:val="222222"/>
          <w:shd w:val="clear" w:color="auto" w:fill="FFFFFF"/>
        </w:rPr>
        <w:t xml:space="preserve"> at 0%</w:t>
      </w:r>
      <w:r w:rsidRPr="00D603C1">
        <w:rPr>
          <w:rFonts w:ascii="Bookman Old Style" w:hAnsi="Bookman Old Style" w:cs="Segoe UI"/>
          <w:color w:val="222222"/>
          <w:shd w:val="clear" w:color="auto" w:fill="FFFFFF"/>
        </w:rPr>
        <w:t xml:space="preserve">.  </w:t>
      </w:r>
    </w:p>
    <w:p w14:paraId="4E9D54CA" w14:textId="77777777" w:rsidR="007F2AF2" w:rsidRDefault="007F2AF2" w:rsidP="00CE1114">
      <w:pPr>
        <w:rPr>
          <w:rFonts w:ascii="Bookman Old Style" w:hAnsi="Bookman Old Style" w:cs="Segoe UI"/>
          <w:color w:val="222222"/>
          <w:shd w:val="clear" w:color="auto" w:fill="FFFFFF"/>
        </w:rPr>
      </w:pPr>
    </w:p>
    <w:p w14:paraId="3D75BE91" w14:textId="2C40D7A3" w:rsidR="007B5CAC" w:rsidRPr="00D603C1" w:rsidRDefault="007B5CAC" w:rsidP="00CE1114">
      <w:pPr>
        <w:rPr>
          <w:rFonts w:ascii="Bookman Old Style" w:hAnsi="Bookman Old Style"/>
        </w:rPr>
      </w:pPr>
      <w:r w:rsidRPr="00D603C1">
        <w:rPr>
          <w:rFonts w:ascii="Bookman Old Style" w:hAnsi="Bookman Old Style"/>
        </w:rPr>
        <w:t>We thank you for this opportunity to comment and express our concerns.</w:t>
      </w:r>
    </w:p>
    <w:p w14:paraId="2E1CAF09" w14:textId="1D73AC56" w:rsidR="007B5CAC" w:rsidRDefault="007B5CAC" w:rsidP="00CE1114">
      <w:pPr>
        <w:rPr>
          <w:rFonts w:ascii="Bookman Old Style" w:hAnsi="Bookman Old Style"/>
        </w:rPr>
      </w:pPr>
    </w:p>
    <w:p w14:paraId="79A71E54" w14:textId="11B05E18" w:rsidR="007B5CAC" w:rsidRDefault="007B5CAC" w:rsidP="00CE1114">
      <w:pPr>
        <w:rPr>
          <w:rFonts w:ascii="Bookman Old Style" w:hAnsi="Bookman Old Style"/>
        </w:rPr>
      </w:pPr>
      <w:r>
        <w:rPr>
          <w:rFonts w:ascii="Bookman Old Style" w:hAnsi="Bookman Old Style"/>
        </w:rPr>
        <w:t>Sincerely,</w:t>
      </w:r>
    </w:p>
    <w:p w14:paraId="3616684E" w14:textId="14AC4AE9" w:rsidR="007B5CAC" w:rsidRDefault="007B5CAC" w:rsidP="00CE1114">
      <w:pPr>
        <w:rPr>
          <w:rFonts w:ascii="Bookman Old Style" w:hAnsi="Bookman Old Style"/>
        </w:rPr>
      </w:pPr>
    </w:p>
    <w:p w14:paraId="30C28691" w14:textId="52D533AE" w:rsidR="007B5CAC" w:rsidRDefault="007B5CAC" w:rsidP="00CE1114">
      <w:pPr>
        <w:rPr>
          <w:rFonts w:ascii="Bookman Old Style" w:hAnsi="Bookman Old Style"/>
        </w:rPr>
      </w:pPr>
      <w:r>
        <w:rPr>
          <w:rFonts w:ascii="Bookman Old Style" w:hAnsi="Bookman Old Style"/>
        </w:rPr>
        <w:t>Steve Kelly, Pres.</w:t>
      </w:r>
    </w:p>
    <w:p w14:paraId="582C8821" w14:textId="319A6E56" w:rsidR="007B5CAC" w:rsidRDefault="007B5CAC" w:rsidP="00CE1114">
      <w:pPr>
        <w:rPr>
          <w:rFonts w:ascii="Bookman Old Style" w:hAnsi="Bookman Old Style"/>
        </w:rPr>
      </w:pPr>
      <w:r>
        <w:rPr>
          <w:rFonts w:ascii="Bookman Old Style" w:hAnsi="Bookman Old Style"/>
        </w:rPr>
        <w:t>Council on Wildlife and Fish, Inc.</w:t>
      </w:r>
    </w:p>
    <w:p w14:paraId="0C879B08" w14:textId="66807118" w:rsidR="007B5CAC" w:rsidRDefault="007B5CAC" w:rsidP="00CE1114">
      <w:pPr>
        <w:rPr>
          <w:rFonts w:ascii="Bookman Old Style" w:hAnsi="Bookman Old Style"/>
        </w:rPr>
      </w:pPr>
      <w:r>
        <w:rPr>
          <w:rFonts w:ascii="Bookman Old Style" w:hAnsi="Bookman Old Style"/>
        </w:rPr>
        <w:t>P.O. Box 4641</w:t>
      </w:r>
    </w:p>
    <w:p w14:paraId="687FA266" w14:textId="72AE919B" w:rsidR="007B5CAC" w:rsidRDefault="007B5CAC" w:rsidP="00CE1114">
      <w:pPr>
        <w:rPr>
          <w:rFonts w:ascii="Bookman Old Style" w:hAnsi="Bookman Old Style"/>
        </w:rPr>
      </w:pPr>
      <w:r>
        <w:rPr>
          <w:rFonts w:ascii="Bookman Old Style" w:hAnsi="Bookman Old Style"/>
        </w:rPr>
        <w:t xml:space="preserve">Bozeman, </w:t>
      </w:r>
      <w:proofErr w:type="gramStart"/>
      <w:r>
        <w:rPr>
          <w:rFonts w:ascii="Bookman Old Style" w:hAnsi="Bookman Old Style"/>
        </w:rPr>
        <w:t>Montana  59772</w:t>
      </w:r>
      <w:proofErr w:type="gramEnd"/>
    </w:p>
    <w:p w14:paraId="2E14DFB8" w14:textId="71D76BC9" w:rsidR="007B5CAC" w:rsidRDefault="007B5CAC" w:rsidP="00CE1114">
      <w:pPr>
        <w:rPr>
          <w:rFonts w:ascii="Bookman Old Style" w:hAnsi="Bookman Old Style"/>
        </w:rPr>
      </w:pPr>
    </w:p>
    <w:p w14:paraId="704EE4F8" w14:textId="1ECA546C" w:rsidR="007B5CAC" w:rsidRDefault="007B5CAC" w:rsidP="00CE1114">
      <w:pPr>
        <w:rPr>
          <w:rFonts w:ascii="Bookman Old Style" w:hAnsi="Bookman Old Style"/>
        </w:rPr>
      </w:pPr>
      <w:r>
        <w:rPr>
          <w:rFonts w:ascii="Bookman Old Style" w:hAnsi="Bookman Old Style"/>
        </w:rPr>
        <w:t>and;</w:t>
      </w:r>
    </w:p>
    <w:p w14:paraId="53156CDA" w14:textId="77FDDB2E" w:rsidR="007B5CAC" w:rsidRDefault="007B5CAC" w:rsidP="00CE1114">
      <w:pPr>
        <w:rPr>
          <w:rFonts w:ascii="Bookman Old Style" w:hAnsi="Bookman Old Style"/>
        </w:rPr>
      </w:pPr>
    </w:p>
    <w:p w14:paraId="60CE7ACE" w14:textId="3345E318" w:rsidR="007B5CAC" w:rsidRDefault="007B5CAC" w:rsidP="00CE1114">
      <w:pPr>
        <w:rPr>
          <w:rFonts w:ascii="Bookman Old Style" w:hAnsi="Bookman Old Style"/>
        </w:rPr>
      </w:pPr>
      <w:r>
        <w:rPr>
          <w:rFonts w:ascii="Bookman Old Style" w:hAnsi="Bookman Old Style"/>
        </w:rPr>
        <w:t>Mike Garrity, Exec. Director</w:t>
      </w:r>
    </w:p>
    <w:p w14:paraId="1B25E4EA" w14:textId="14CD44C5" w:rsidR="007B5CAC" w:rsidRDefault="007B5CAC" w:rsidP="00CE1114">
      <w:pPr>
        <w:rPr>
          <w:rFonts w:ascii="Bookman Old Style" w:hAnsi="Bookman Old Style"/>
        </w:rPr>
      </w:pPr>
      <w:r>
        <w:rPr>
          <w:rFonts w:ascii="Bookman Old Style" w:hAnsi="Bookman Old Style"/>
        </w:rPr>
        <w:t>Alliance for the Wild Rockies</w:t>
      </w:r>
    </w:p>
    <w:p w14:paraId="21D3F4C3" w14:textId="202D4CFF" w:rsidR="007B5CAC" w:rsidRDefault="007B5CAC" w:rsidP="00CE1114">
      <w:pPr>
        <w:rPr>
          <w:rFonts w:ascii="Bookman Old Style" w:hAnsi="Bookman Old Style"/>
        </w:rPr>
      </w:pPr>
      <w:r>
        <w:rPr>
          <w:rFonts w:ascii="Bookman Old Style" w:hAnsi="Bookman Old Style"/>
        </w:rPr>
        <w:t>P.O. Box 505</w:t>
      </w:r>
    </w:p>
    <w:p w14:paraId="04EF9A59" w14:textId="72535FAC" w:rsidR="007B5CAC" w:rsidRDefault="007B5CAC" w:rsidP="00CE1114">
      <w:pPr>
        <w:rPr>
          <w:rFonts w:ascii="Bookman Old Style" w:hAnsi="Bookman Old Style"/>
        </w:rPr>
      </w:pPr>
      <w:r>
        <w:rPr>
          <w:rFonts w:ascii="Bookman Old Style" w:hAnsi="Bookman Old Style"/>
        </w:rPr>
        <w:t xml:space="preserve">Helena, </w:t>
      </w:r>
      <w:proofErr w:type="gramStart"/>
      <w:r>
        <w:rPr>
          <w:rFonts w:ascii="Bookman Old Style" w:hAnsi="Bookman Old Style"/>
        </w:rPr>
        <w:t>Montana  5962</w:t>
      </w:r>
      <w:r w:rsidR="007F2AF2">
        <w:rPr>
          <w:rFonts w:ascii="Bookman Old Style" w:hAnsi="Bookman Old Style"/>
        </w:rPr>
        <w:t>4</w:t>
      </w:r>
      <w:proofErr w:type="gramEnd"/>
    </w:p>
    <w:p w14:paraId="5C446E0B" w14:textId="483E839F" w:rsidR="007B5CAC" w:rsidRDefault="007B5CAC" w:rsidP="00CE1114">
      <w:pPr>
        <w:rPr>
          <w:rFonts w:ascii="Bookman Old Style" w:hAnsi="Bookman Old Style"/>
        </w:rPr>
      </w:pPr>
    </w:p>
    <w:p w14:paraId="214C4C9F" w14:textId="77777777" w:rsidR="007B5CAC" w:rsidRPr="00C9288E" w:rsidRDefault="007B5CAC" w:rsidP="00CE1114">
      <w:pPr>
        <w:rPr>
          <w:rFonts w:ascii="Bookman Old Style" w:hAnsi="Bookman Old Style"/>
        </w:rPr>
      </w:pPr>
    </w:p>
    <w:p w14:paraId="21A0DD87" w14:textId="77777777" w:rsidR="00CE1114" w:rsidRPr="00C9288E" w:rsidRDefault="00CE1114" w:rsidP="000E34D8">
      <w:pPr>
        <w:tabs>
          <w:tab w:val="left" w:pos="5400"/>
        </w:tabs>
        <w:rPr>
          <w:rFonts w:ascii="Bookman Old Style" w:hAnsi="Bookman Old Style"/>
        </w:rPr>
      </w:pPr>
    </w:p>
    <w:sectPr w:rsidR="00CE1114" w:rsidRPr="00C9288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701F13" w14:textId="77777777" w:rsidR="00553367" w:rsidRDefault="00553367" w:rsidP="00B214EC">
      <w:r>
        <w:separator/>
      </w:r>
    </w:p>
  </w:endnote>
  <w:endnote w:type="continuationSeparator" w:id="0">
    <w:p w14:paraId="68F50E8A" w14:textId="77777777" w:rsidR="00553367" w:rsidRDefault="00553367" w:rsidP="00B21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2075497"/>
      <w:docPartObj>
        <w:docPartGallery w:val="Page Numbers (Bottom of Page)"/>
        <w:docPartUnique/>
      </w:docPartObj>
    </w:sdtPr>
    <w:sdtEndPr>
      <w:rPr>
        <w:noProof/>
      </w:rPr>
    </w:sdtEndPr>
    <w:sdtContent>
      <w:p w14:paraId="5524AD8B" w14:textId="783E4DEF" w:rsidR="00B214EC" w:rsidRDefault="00B214E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A88C07" w14:textId="77777777" w:rsidR="00B214EC" w:rsidRDefault="00B21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33D0B9" w14:textId="77777777" w:rsidR="00553367" w:rsidRDefault="00553367" w:rsidP="00B214EC">
      <w:r>
        <w:separator/>
      </w:r>
    </w:p>
  </w:footnote>
  <w:footnote w:type="continuationSeparator" w:id="0">
    <w:p w14:paraId="0D359C89" w14:textId="77777777" w:rsidR="00553367" w:rsidRDefault="00553367" w:rsidP="00B214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36E"/>
    <w:rsid w:val="0001418C"/>
    <w:rsid w:val="000462D7"/>
    <w:rsid w:val="000943FF"/>
    <w:rsid w:val="00097050"/>
    <w:rsid w:val="000B72D8"/>
    <w:rsid w:val="000B7941"/>
    <w:rsid w:val="000C6691"/>
    <w:rsid w:val="000C7A4E"/>
    <w:rsid w:val="000D6765"/>
    <w:rsid w:val="000E0C18"/>
    <w:rsid w:val="000E34D8"/>
    <w:rsid w:val="000E3C64"/>
    <w:rsid w:val="000F048E"/>
    <w:rsid w:val="001022AD"/>
    <w:rsid w:val="0010536E"/>
    <w:rsid w:val="00112A6D"/>
    <w:rsid w:val="0011382A"/>
    <w:rsid w:val="00125CA6"/>
    <w:rsid w:val="00132A5B"/>
    <w:rsid w:val="0014657A"/>
    <w:rsid w:val="00170450"/>
    <w:rsid w:val="00176E76"/>
    <w:rsid w:val="00185514"/>
    <w:rsid w:val="001A22F2"/>
    <w:rsid w:val="001C001A"/>
    <w:rsid w:val="001D7B8C"/>
    <w:rsid w:val="001F6829"/>
    <w:rsid w:val="00205408"/>
    <w:rsid w:val="00253140"/>
    <w:rsid w:val="002632DD"/>
    <w:rsid w:val="00264D1F"/>
    <w:rsid w:val="00285720"/>
    <w:rsid w:val="00292E2F"/>
    <w:rsid w:val="002A7387"/>
    <w:rsid w:val="002B0CAD"/>
    <w:rsid w:val="002D1208"/>
    <w:rsid w:val="00302D18"/>
    <w:rsid w:val="00307DEB"/>
    <w:rsid w:val="003218F8"/>
    <w:rsid w:val="00336380"/>
    <w:rsid w:val="0034749C"/>
    <w:rsid w:val="003475B3"/>
    <w:rsid w:val="003873E5"/>
    <w:rsid w:val="003A1342"/>
    <w:rsid w:val="0041033B"/>
    <w:rsid w:val="004234E6"/>
    <w:rsid w:val="004451AF"/>
    <w:rsid w:val="00466DD0"/>
    <w:rsid w:val="00494B27"/>
    <w:rsid w:val="004A4DF2"/>
    <w:rsid w:val="004B496A"/>
    <w:rsid w:val="004D2154"/>
    <w:rsid w:val="004D372C"/>
    <w:rsid w:val="004E4EDA"/>
    <w:rsid w:val="004E7640"/>
    <w:rsid w:val="00510D78"/>
    <w:rsid w:val="00553367"/>
    <w:rsid w:val="00557391"/>
    <w:rsid w:val="00560300"/>
    <w:rsid w:val="00561140"/>
    <w:rsid w:val="00580FEB"/>
    <w:rsid w:val="005A24C5"/>
    <w:rsid w:val="005B395A"/>
    <w:rsid w:val="005D455C"/>
    <w:rsid w:val="005E504C"/>
    <w:rsid w:val="005F1ABD"/>
    <w:rsid w:val="00615B85"/>
    <w:rsid w:val="00615EF1"/>
    <w:rsid w:val="00685479"/>
    <w:rsid w:val="00696F02"/>
    <w:rsid w:val="006B33CD"/>
    <w:rsid w:val="006C3118"/>
    <w:rsid w:val="006C683E"/>
    <w:rsid w:val="006D41B2"/>
    <w:rsid w:val="00716132"/>
    <w:rsid w:val="0071691B"/>
    <w:rsid w:val="007324D0"/>
    <w:rsid w:val="00733434"/>
    <w:rsid w:val="007649EF"/>
    <w:rsid w:val="007830F7"/>
    <w:rsid w:val="0079331C"/>
    <w:rsid w:val="007B5CAC"/>
    <w:rsid w:val="007C5B20"/>
    <w:rsid w:val="007D1C0D"/>
    <w:rsid w:val="007D613D"/>
    <w:rsid w:val="007D6D4F"/>
    <w:rsid w:val="007F06C4"/>
    <w:rsid w:val="007F2AF2"/>
    <w:rsid w:val="007F4FA7"/>
    <w:rsid w:val="007F7C0C"/>
    <w:rsid w:val="008244DF"/>
    <w:rsid w:val="00825870"/>
    <w:rsid w:val="0083451B"/>
    <w:rsid w:val="00841196"/>
    <w:rsid w:val="00845485"/>
    <w:rsid w:val="008473A1"/>
    <w:rsid w:val="0087223F"/>
    <w:rsid w:val="008900E5"/>
    <w:rsid w:val="0089689F"/>
    <w:rsid w:val="008A1F3E"/>
    <w:rsid w:val="008A36AF"/>
    <w:rsid w:val="008A6F66"/>
    <w:rsid w:val="008B22F3"/>
    <w:rsid w:val="008C52A1"/>
    <w:rsid w:val="008D55B5"/>
    <w:rsid w:val="008E7E83"/>
    <w:rsid w:val="00913289"/>
    <w:rsid w:val="00934AF2"/>
    <w:rsid w:val="009428C1"/>
    <w:rsid w:val="00954409"/>
    <w:rsid w:val="00984285"/>
    <w:rsid w:val="00985BCA"/>
    <w:rsid w:val="009A5D54"/>
    <w:rsid w:val="009C19AA"/>
    <w:rsid w:val="00A17678"/>
    <w:rsid w:val="00A2074E"/>
    <w:rsid w:val="00A32C94"/>
    <w:rsid w:val="00A46BA4"/>
    <w:rsid w:val="00A64519"/>
    <w:rsid w:val="00A86670"/>
    <w:rsid w:val="00A96FE7"/>
    <w:rsid w:val="00AD505F"/>
    <w:rsid w:val="00AE050A"/>
    <w:rsid w:val="00AF1431"/>
    <w:rsid w:val="00B1187B"/>
    <w:rsid w:val="00B214EC"/>
    <w:rsid w:val="00B333F4"/>
    <w:rsid w:val="00B43158"/>
    <w:rsid w:val="00B853EA"/>
    <w:rsid w:val="00B862E9"/>
    <w:rsid w:val="00B92398"/>
    <w:rsid w:val="00BA4A75"/>
    <w:rsid w:val="00BA66B2"/>
    <w:rsid w:val="00BB2993"/>
    <w:rsid w:val="00BE252F"/>
    <w:rsid w:val="00BF476C"/>
    <w:rsid w:val="00BF7282"/>
    <w:rsid w:val="00C1008E"/>
    <w:rsid w:val="00C114D7"/>
    <w:rsid w:val="00C20438"/>
    <w:rsid w:val="00C22A54"/>
    <w:rsid w:val="00C23F73"/>
    <w:rsid w:val="00C80ACF"/>
    <w:rsid w:val="00C85FF0"/>
    <w:rsid w:val="00C9288E"/>
    <w:rsid w:val="00CE1114"/>
    <w:rsid w:val="00D465C1"/>
    <w:rsid w:val="00D5068F"/>
    <w:rsid w:val="00D60048"/>
    <w:rsid w:val="00D603C1"/>
    <w:rsid w:val="00D73510"/>
    <w:rsid w:val="00D93E4A"/>
    <w:rsid w:val="00DB3887"/>
    <w:rsid w:val="00DB74F8"/>
    <w:rsid w:val="00DC5BB3"/>
    <w:rsid w:val="00DD199D"/>
    <w:rsid w:val="00DD2E21"/>
    <w:rsid w:val="00E05A51"/>
    <w:rsid w:val="00E15640"/>
    <w:rsid w:val="00E15CE7"/>
    <w:rsid w:val="00E51274"/>
    <w:rsid w:val="00E979D0"/>
    <w:rsid w:val="00EA2B20"/>
    <w:rsid w:val="00EA4868"/>
    <w:rsid w:val="00EB12A4"/>
    <w:rsid w:val="00EC3687"/>
    <w:rsid w:val="00ED2429"/>
    <w:rsid w:val="00EE1E61"/>
    <w:rsid w:val="00EF7491"/>
    <w:rsid w:val="00F047B5"/>
    <w:rsid w:val="00F135BE"/>
    <w:rsid w:val="00F3779C"/>
    <w:rsid w:val="00F40DAB"/>
    <w:rsid w:val="00F65655"/>
    <w:rsid w:val="00F937C5"/>
    <w:rsid w:val="00FA18D1"/>
    <w:rsid w:val="00FA77C4"/>
    <w:rsid w:val="00FB60D2"/>
    <w:rsid w:val="00FB7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F2B8B"/>
  <w15:chartTrackingRefBased/>
  <w15:docId w15:val="{C55DDD70-86FD-40EB-B668-70696E918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111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CE1114"/>
    <w:pPr>
      <w:keepNext/>
      <w:spacing w:before="240"/>
      <w:outlineLvl w:val="1"/>
    </w:pPr>
    <w:rPr>
      <w:rFonts w:ascii="Arial" w:eastAsia="Times New Roman" w:hAnsi="Arial" w:cs="Arial"/>
      <w:b/>
      <w:bCs/>
      <w:iCs/>
      <w:color w:val="0000FF"/>
      <w:szCs w:val="28"/>
    </w:rPr>
  </w:style>
  <w:style w:type="paragraph" w:styleId="Heading3">
    <w:name w:val="heading 3"/>
    <w:basedOn w:val="Normal"/>
    <w:next w:val="Normal"/>
    <w:link w:val="Heading3Char"/>
    <w:uiPriority w:val="9"/>
    <w:unhideWhenUsed/>
    <w:qFormat/>
    <w:rsid w:val="00CE111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6380"/>
    <w:rPr>
      <w:color w:val="0563C1" w:themeColor="hyperlink"/>
      <w:u w:val="single"/>
    </w:rPr>
  </w:style>
  <w:style w:type="character" w:styleId="UnresolvedMention">
    <w:name w:val="Unresolved Mention"/>
    <w:basedOn w:val="DefaultParagraphFont"/>
    <w:uiPriority w:val="99"/>
    <w:semiHidden/>
    <w:unhideWhenUsed/>
    <w:rsid w:val="00336380"/>
    <w:rPr>
      <w:color w:val="605E5C"/>
      <w:shd w:val="clear" w:color="auto" w:fill="E1DFDD"/>
    </w:rPr>
  </w:style>
  <w:style w:type="paragraph" w:styleId="Header">
    <w:name w:val="header"/>
    <w:basedOn w:val="Normal"/>
    <w:link w:val="HeaderChar"/>
    <w:uiPriority w:val="99"/>
    <w:unhideWhenUsed/>
    <w:rsid w:val="00B214EC"/>
    <w:pPr>
      <w:tabs>
        <w:tab w:val="center" w:pos="4680"/>
        <w:tab w:val="right" w:pos="9360"/>
      </w:tabs>
    </w:pPr>
  </w:style>
  <w:style w:type="character" w:customStyle="1" w:styleId="HeaderChar">
    <w:name w:val="Header Char"/>
    <w:basedOn w:val="DefaultParagraphFont"/>
    <w:link w:val="Header"/>
    <w:uiPriority w:val="99"/>
    <w:rsid w:val="00B214EC"/>
  </w:style>
  <w:style w:type="paragraph" w:styleId="Footer">
    <w:name w:val="footer"/>
    <w:basedOn w:val="Normal"/>
    <w:link w:val="FooterChar"/>
    <w:uiPriority w:val="99"/>
    <w:unhideWhenUsed/>
    <w:rsid w:val="00B214EC"/>
    <w:pPr>
      <w:tabs>
        <w:tab w:val="center" w:pos="4680"/>
        <w:tab w:val="right" w:pos="9360"/>
      </w:tabs>
    </w:pPr>
  </w:style>
  <w:style w:type="character" w:customStyle="1" w:styleId="FooterChar">
    <w:name w:val="Footer Char"/>
    <w:basedOn w:val="DefaultParagraphFont"/>
    <w:link w:val="Footer"/>
    <w:uiPriority w:val="99"/>
    <w:rsid w:val="00B214EC"/>
  </w:style>
  <w:style w:type="paragraph" w:styleId="FootnoteText">
    <w:name w:val="footnote text"/>
    <w:basedOn w:val="Normal"/>
    <w:link w:val="FootnoteTextChar"/>
    <w:uiPriority w:val="99"/>
    <w:semiHidden/>
    <w:unhideWhenUsed/>
    <w:rsid w:val="00716132"/>
    <w:rPr>
      <w:sz w:val="20"/>
      <w:szCs w:val="20"/>
    </w:rPr>
  </w:style>
  <w:style w:type="character" w:customStyle="1" w:styleId="FootnoteTextChar">
    <w:name w:val="Footnote Text Char"/>
    <w:basedOn w:val="DefaultParagraphFont"/>
    <w:link w:val="FootnoteText"/>
    <w:uiPriority w:val="99"/>
    <w:semiHidden/>
    <w:rsid w:val="00716132"/>
    <w:rPr>
      <w:sz w:val="20"/>
      <w:szCs w:val="20"/>
    </w:rPr>
  </w:style>
  <w:style w:type="character" w:styleId="FootnoteReference">
    <w:name w:val="footnote reference"/>
    <w:basedOn w:val="DefaultParagraphFont"/>
    <w:uiPriority w:val="99"/>
    <w:semiHidden/>
    <w:unhideWhenUsed/>
    <w:rsid w:val="00716132"/>
    <w:rPr>
      <w:vertAlign w:val="superscript"/>
    </w:rPr>
  </w:style>
  <w:style w:type="character" w:customStyle="1" w:styleId="Heading2Char">
    <w:name w:val="Heading 2 Char"/>
    <w:basedOn w:val="DefaultParagraphFont"/>
    <w:link w:val="Heading2"/>
    <w:rsid w:val="00CE1114"/>
    <w:rPr>
      <w:rFonts w:ascii="Arial" w:eastAsia="Times New Roman" w:hAnsi="Arial" w:cs="Arial"/>
      <w:b/>
      <w:bCs/>
      <w:iCs/>
      <w:color w:val="0000FF"/>
      <w:szCs w:val="28"/>
    </w:rPr>
  </w:style>
  <w:style w:type="paragraph" w:customStyle="1" w:styleId="NumberList1">
    <w:name w:val="Number List 1"/>
    <w:aliases w:val="2,3,Numbered List - 1,3..."/>
    <w:basedOn w:val="Normal"/>
    <w:link w:val="NumberList1Char"/>
    <w:rsid w:val="00CE1114"/>
    <w:pPr>
      <w:spacing w:before="240"/>
      <w:ind w:left="720"/>
    </w:pPr>
    <w:rPr>
      <w:rFonts w:eastAsia="Times New Roman"/>
    </w:rPr>
  </w:style>
  <w:style w:type="character" w:customStyle="1" w:styleId="NumberList1Char">
    <w:name w:val="Number List 1 Char"/>
    <w:aliases w:val="2 Char,3 Char,Numbered List - 1 Char,3... Char"/>
    <w:link w:val="NumberList1"/>
    <w:rsid w:val="00CE1114"/>
    <w:rPr>
      <w:rFonts w:eastAsia="Times New Roman"/>
    </w:rPr>
  </w:style>
  <w:style w:type="character" w:customStyle="1" w:styleId="Heading1Char">
    <w:name w:val="Heading 1 Char"/>
    <w:basedOn w:val="DefaultParagraphFont"/>
    <w:link w:val="Heading1"/>
    <w:uiPriority w:val="9"/>
    <w:rsid w:val="00CE111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CE1114"/>
    <w:rPr>
      <w:rFonts w:asciiTheme="majorHAnsi" w:eastAsiaTheme="majorEastAsia" w:hAnsiTheme="majorHAnsi" w:cstheme="majorBidi"/>
      <w:color w:val="1F3763" w:themeColor="accent1" w:themeShade="7F"/>
    </w:rPr>
  </w:style>
  <w:style w:type="paragraph" w:customStyle="1" w:styleId="NumberLista">
    <w:name w:val="Number List a"/>
    <w:aliases w:val="(1),(a)"/>
    <w:basedOn w:val="Normal"/>
    <w:link w:val="NumberListaChar"/>
    <w:rsid w:val="00112A6D"/>
    <w:pPr>
      <w:spacing w:before="240"/>
      <w:ind w:left="1080"/>
    </w:pPr>
    <w:rPr>
      <w:rFonts w:eastAsia="Times New Roman"/>
    </w:rPr>
  </w:style>
  <w:style w:type="character" w:customStyle="1" w:styleId="NumberListaChar">
    <w:name w:val="Number List a Char"/>
    <w:aliases w:val="(1) Char,(a) Char"/>
    <w:link w:val="NumberLista"/>
    <w:rsid w:val="00112A6D"/>
    <w:rPr>
      <w:rFonts w:eastAsia="Times New Roman"/>
    </w:rPr>
  </w:style>
  <w:style w:type="character" w:styleId="Emphasis">
    <w:name w:val="Emphasis"/>
    <w:basedOn w:val="DefaultParagraphFont"/>
    <w:uiPriority w:val="20"/>
    <w:qFormat/>
    <w:rsid w:val="00F047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97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scholar_case?case=7684899048785605771&amp;hl=en&amp;as_sdt=6,27&amp;as_vis=1" TargetMode="External"/><Relationship Id="rId3" Type="http://schemas.openxmlformats.org/officeDocument/2006/relationships/settings" Target="settings.xml"/><Relationship Id="rId7" Type="http://schemas.openxmlformats.org/officeDocument/2006/relationships/hyperlink" Target="https://scholar.google.com/scholar_case?case=813886437118455417&amp;hl=en&amp;as_sdt=6,27&amp;as_vis=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asetext.com/regulation/code-of-federal-regulations/title-40-protection-of-environment/chapter-v-council-on-environmental-quality/subchapter-a-national-environmental-policy-act-implementing-regulations/part-1501-nepa-and-agency-planning/section-15012-apply-nepa-early-in-the-pro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A5ADC-B22A-4684-8A98-AAA85A05C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4001</TotalTime>
  <Pages>1</Pages>
  <Words>4130</Words>
  <Characters>23542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Rocky Smith</dc:creator>
  <cp:keywords/>
  <dc:description/>
  <cp:lastModifiedBy>Steve Kelly</cp:lastModifiedBy>
  <cp:revision>86</cp:revision>
  <dcterms:created xsi:type="dcterms:W3CDTF">2022-07-15T17:44:00Z</dcterms:created>
  <dcterms:modified xsi:type="dcterms:W3CDTF">2022-09-14T17:09:00Z</dcterms:modified>
</cp:coreProperties>
</file>