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3F5712" w14:textId="77777777" w:rsidR="007C58AD" w:rsidRDefault="007C58AD" w:rsidP="00CF7EBF">
      <w:pPr>
        <w:spacing w:after="0"/>
        <w:jc w:val="center"/>
        <w:rPr>
          <w:rFonts w:ascii="Times New Roman" w:hAnsi="Times New Roman" w:cs="Times New Roman"/>
          <w:b/>
          <w:sz w:val="24"/>
          <w:szCs w:val="24"/>
        </w:rPr>
      </w:pPr>
    </w:p>
    <w:p w14:paraId="5E46A676" w14:textId="78905CA6" w:rsidR="00CF7EBF" w:rsidRPr="001616AF" w:rsidRDefault="00CF7EBF" w:rsidP="00CF7EBF">
      <w:pPr>
        <w:spacing w:after="0"/>
        <w:jc w:val="center"/>
        <w:rPr>
          <w:rFonts w:ascii="Times New Roman" w:hAnsi="Times New Roman" w:cs="Times New Roman"/>
          <w:b/>
          <w:sz w:val="24"/>
          <w:szCs w:val="24"/>
        </w:rPr>
      </w:pPr>
      <w:r w:rsidRPr="001616AF">
        <w:rPr>
          <w:rFonts w:ascii="Times New Roman" w:hAnsi="Times New Roman" w:cs="Times New Roman"/>
          <w:b/>
          <w:sz w:val="24"/>
          <w:szCs w:val="24"/>
        </w:rPr>
        <w:t>John W. Schoen, Ph.D.</w:t>
      </w:r>
    </w:p>
    <w:p w14:paraId="576CF235" w14:textId="77777777" w:rsidR="00CF7EBF" w:rsidRPr="001616AF" w:rsidRDefault="00CF7EBF" w:rsidP="00CF7EBF">
      <w:pPr>
        <w:spacing w:after="0"/>
        <w:jc w:val="center"/>
        <w:rPr>
          <w:rFonts w:ascii="Times New Roman" w:hAnsi="Times New Roman" w:cs="Times New Roman"/>
          <w:sz w:val="24"/>
          <w:szCs w:val="24"/>
        </w:rPr>
      </w:pPr>
      <w:r w:rsidRPr="001616AF">
        <w:rPr>
          <w:rFonts w:ascii="Times New Roman" w:hAnsi="Times New Roman" w:cs="Times New Roman"/>
          <w:sz w:val="24"/>
          <w:szCs w:val="24"/>
        </w:rPr>
        <w:t>13240 Mountain Place</w:t>
      </w:r>
    </w:p>
    <w:p w14:paraId="0994B6F8" w14:textId="77777777" w:rsidR="00CF7EBF" w:rsidRPr="001616AF" w:rsidRDefault="00CF7EBF" w:rsidP="00CF7EBF">
      <w:pPr>
        <w:spacing w:after="0"/>
        <w:jc w:val="center"/>
        <w:rPr>
          <w:rFonts w:ascii="Times New Roman" w:hAnsi="Times New Roman" w:cs="Times New Roman"/>
          <w:sz w:val="24"/>
          <w:szCs w:val="24"/>
        </w:rPr>
      </w:pPr>
      <w:r w:rsidRPr="001616AF">
        <w:rPr>
          <w:rFonts w:ascii="Times New Roman" w:hAnsi="Times New Roman" w:cs="Times New Roman"/>
          <w:sz w:val="24"/>
          <w:szCs w:val="24"/>
        </w:rPr>
        <w:t>Anchorage, AK 99516</w:t>
      </w:r>
    </w:p>
    <w:p w14:paraId="293C0829" w14:textId="610F7469" w:rsidR="00CF7EBF" w:rsidRPr="001616AF" w:rsidRDefault="00CF7EBF" w:rsidP="00CF7EBF">
      <w:pPr>
        <w:spacing w:after="0"/>
        <w:jc w:val="center"/>
        <w:rPr>
          <w:rFonts w:ascii="Times New Roman" w:hAnsi="Times New Roman" w:cs="Times New Roman"/>
          <w:sz w:val="24"/>
          <w:szCs w:val="24"/>
        </w:rPr>
      </w:pPr>
      <w:r w:rsidRPr="001616AF">
        <w:rPr>
          <w:rFonts w:ascii="Times New Roman" w:hAnsi="Times New Roman" w:cs="Times New Roman"/>
          <w:sz w:val="24"/>
          <w:szCs w:val="24"/>
        </w:rPr>
        <w:t>Ph: 907-3</w:t>
      </w:r>
      <w:r w:rsidR="001616AF">
        <w:rPr>
          <w:rFonts w:ascii="Times New Roman" w:hAnsi="Times New Roman" w:cs="Times New Roman"/>
          <w:sz w:val="24"/>
          <w:szCs w:val="24"/>
        </w:rPr>
        <w:t>17-2764</w:t>
      </w:r>
      <w:r w:rsidRPr="001616AF">
        <w:rPr>
          <w:rFonts w:ascii="Times New Roman" w:hAnsi="Times New Roman" w:cs="Times New Roman"/>
          <w:sz w:val="24"/>
          <w:szCs w:val="24"/>
        </w:rPr>
        <w:t xml:space="preserve">;  Email: </w:t>
      </w:r>
      <w:hyperlink r:id="rId8" w:history="1">
        <w:r w:rsidR="00F65578" w:rsidRPr="001616AF">
          <w:rPr>
            <w:rStyle w:val="Hyperlink"/>
            <w:rFonts w:ascii="Times New Roman" w:hAnsi="Times New Roman" w:cs="Times New Roman"/>
            <w:sz w:val="24"/>
            <w:szCs w:val="24"/>
          </w:rPr>
          <w:t>schoenak@gci.net</w:t>
        </w:r>
      </w:hyperlink>
    </w:p>
    <w:p w14:paraId="7F11CBFB" w14:textId="0CA239C6" w:rsidR="00CF7EBF" w:rsidRPr="001616AF" w:rsidRDefault="00CF7EBF" w:rsidP="00CF7EBF">
      <w:pPr>
        <w:spacing w:after="0"/>
        <w:rPr>
          <w:rFonts w:ascii="Times New Roman" w:hAnsi="Times New Roman" w:cs="Times New Roman"/>
          <w:sz w:val="24"/>
          <w:szCs w:val="24"/>
        </w:rPr>
      </w:pPr>
    </w:p>
    <w:p w14:paraId="468F0A71" w14:textId="77777777" w:rsidR="007C58AD" w:rsidRPr="001616AF" w:rsidRDefault="007C58AD" w:rsidP="00CF7EBF">
      <w:pPr>
        <w:spacing w:after="0"/>
        <w:rPr>
          <w:rFonts w:ascii="Times New Roman" w:hAnsi="Times New Roman" w:cs="Times New Roman"/>
          <w:sz w:val="24"/>
          <w:szCs w:val="24"/>
        </w:rPr>
      </w:pPr>
    </w:p>
    <w:p w14:paraId="580BACA3" w14:textId="4D8B40E2" w:rsidR="0034003D" w:rsidRPr="001616AF" w:rsidRDefault="0034003D" w:rsidP="00CF7EBF">
      <w:pPr>
        <w:spacing w:after="0" w:line="240" w:lineRule="auto"/>
        <w:rPr>
          <w:rFonts w:ascii="Times New Roman" w:hAnsi="Times New Roman" w:cs="Times New Roman"/>
          <w:sz w:val="24"/>
          <w:szCs w:val="24"/>
        </w:rPr>
      </w:pPr>
      <w:r w:rsidRPr="001616AF">
        <w:rPr>
          <w:rFonts w:ascii="Times New Roman" w:hAnsi="Times New Roman" w:cs="Times New Roman"/>
          <w:sz w:val="24"/>
          <w:szCs w:val="24"/>
        </w:rPr>
        <w:t xml:space="preserve">USDA </w:t>
      </w:r>
      <w:r w:rsidR="009D441C" w:rsidRPr="001616AF">
        <w:rPr>
          <w:rFonts w:ascii="Times New Roman" w:hAnsi="Times New Roman" w:cs="Times New Roman"/>
          <w:sz w:val="24"/>
          <w:szCs w:val="24"/>
        </w:rPr>
        <w:t xml:space="preserve">&amp; USDI </w:t>
      </w:r>
    </w:p>
    <w:p w14:paraId="777B25AC" w14:textId="69D54AEE" w:rsidR="00CF7EBF" w:rsidRPr="001616AF" w:rsidRDefault="00D070E9" w:rsidP="00CF7EBF">
      <w:pPr>
        <w:spacing w:after="0" w:line="240" w:lineRule="auto"/>
        <w:rPr>
          <w:rFonts w:ascii="Times New Roman" w:hAnsi="Times New Roman" w:cs="Times New Roman"/>
          <w:color w:val="403F42"/>
          <w:sz w:val="24"/>
          <w:szCs w:val="24"/>
        </w:rPr>
      </w:pPr>
      <w:r w:rsidRPr="001616AF">
        <w:rPr>
          <w:rFonts w:ascii="Times New Roman" w:hAnsi="Times New Roman" w:cs="Times New Roman"/>
          <w:color w:val="403F42"/>
          <w:sz w:val="24"/>
          <w:szCs w:val="24"/>
        </w:rPr>
        <w:t xml:space="preserve">Online submission: </w:t>
      </w:r>
    </w:p>
    <w:p w14:paraId="4F1250FB" w14:textId="77777777" w:rsidR="00130CB4" w:rsidRPr="001616AF" w:rsidRDefault="00130CB4" w:rsidP="00CF7EBF">
      <w:pPr>
        <w:spacing w:after="0" w:line="240" w:lineRule="auto"/>
        <w:rPr>
          <w:rFonts w:ascii="Times New Roman" w:hAnsi="Times New Roman" w:cs="Times New Roman"/>
          <w:sz w:val="24"/>
          <w:szCs w:val="24"/>
        </w:rPr>
      </w:pPr>
    </w:p>
    <w:p w14:paraId="4A6128B3" w14:textId="06C67072" w:rsidR="00CF7EBF" w:rsidRPr="001616AF" w:rsidRDefault="00CF7EBF" w:rsidP="00CF7EBF">
      <w:pPr>
        <w:spacing w:after="0" w:line="240" w:lineRule="auto"/>
        <w:rPr>
          <w:rFonts w:ascii="Times New Roman" w:hAnsi="Times New Roman" w:cs="Times New Roman"/>
          <w:b/>
          <w:sz w:val="24"/>
          <w:szCs w:val="24"/>
        </w:rPr>
      </w:pPr>
      <w:r w:rsidRPr="001616AF">
        <w:rPr>
          <w:rFonts w:ascii="Times New Roman" w:hAnsi="Times New Roman" w:cs="Times New Roman"/>
          <w:b/>
          <w:sz w:val="24"/>
          <w:szCs w:val="24"/>
        </w:rPr>
        <w:t>Re: Comments on</w:t>
      </w:r>
      <w:r w:rsidR="00DA2F2A" w:rsidRPr="001616AF">
        <w:rPr>
          <w:rFonts w:ascii="Times New Roman" w:hAnsi="Times New Roman" w:cs="Times New Roman"/>
          <w:b/>
          <w:sz w:val="24"/>
          <w:szCs w:val="24"/>
        </w:rPr>
        <w:t xml:space="preserve"> </w:t>
      </w:r>
      <w:r w:rsidR="00130CB4" w:rsidRPr="001616AF">
        <w:rPr>
          <w:rFonts w:ascii="Times New Roman" w:hAnsi="Times New Roman" w:cs="Times New Roman"/>
          <w:b/>
          <w:sz w:val="24"/>
          <w:szCs w:val="24"/>
        </w:rPr>
        <w:t xml:space="preserve">USDA </w:t>
      </w:r>
      <w:r w:rsidR="009D441C" w:rsidRPr="001616AF">
        <w:rPr>
          <w:rFonts w:ascii="Times New Roman" w:hAnsi="Times New Roman" w:cs="Times New Roman"/>
          <w:b/>
          <w:sz w:val="24"/>
          <w:szCs w:val="24"/>
        </w:rPr>
        <w:t>&amp; USDI Definition Framework for Old-growth and Mature Forests on Federally Managed Lands</w:t>
      </w:r>
      <w:r w:rsidR="00A051CF">
        <w:rPr>
          <w:rFonts w:ascii="Times New Roman" w:hAnsi="Times New Roman" w:cs="Times New Roman"/>
          <w:b/>
          <w:sz w:val="24"/>
          <w:szCs w:val="24"/>
        </w:rPr>
        <w:t xml:space="preserve"> (EO 14072)</w:t>
      </w:r>
    </w:p>
    <w:p w14:paraId="0C63468E" w14:textId="77777777" w:rsidR="00CF7EBF" w:rsidRPr="001616AF" w:rsidRDefault="00CF7EBF" w:rsidP="00CF7EBF">
      <w:pPr>
        <w:spacing w:after="0" w:line="240" w:lineRule="auto"/>
        <w:rPr>
          <w:rFonts w:ascii="Times New Roman" w:hAnsi="Times New Roman" w:cs="Times New Roman"/>
          <w:sz w:val="24"/>
          <w:szCs w:val="24"/>
        </w:rPr>
      </w:pPr>
    </w:p>
    <w:p w14:paraId="57965BCC" w14:textId="2AA7AE23" w:rsidR="00CF7EBF" w:rsidRPr="001616AF" w:rsidRDefault="009D441C" w:rsidP="00CF7EBF">
      <w:pPr>
        <w:spacing w:line="240" w:lineRule="auto"/>
        <w:rPr>
          <w:rFonts w:ascii="Times New Roman" w:hAnsi="Times New Roman" w:cs="Times New Roman"/>
          <w:sz w:val="24"/>
          <w:szCs w:val="24"/>
        </w:rPr>
      </w:pPr>
      <w:r w:rsidRPr="001616AF">
        <w:rPr>
          <w:rFonts w:ascii="Times New Roman" w:hAnsi="Times New Roman" w:cs="Times New Roman"/>
          <w:sz w:val="24"/>
          <w:szCs w:val="24"/>
        </w:rPr>
        <w:t xml:space="preserve">August 26, 2022 </w:t>
      </w:r>
    </w:p>
    <w:p w14:paraId="0FB34544" w14:textId="304D6395" w:rsidR="00636370" w:rsidRPr="001616AF" w:rsidRDefault="00CF7EBF" w:rsidP="00CF7EBF">
      <w:pPr>
        <w:spacing w:after="0" w:line="240" w:lineRule="auto"/>
        <w:rPr>
          <w:rFonts w:ascii="Times New Roman" w:hAnsi="Times New Roman" w:cs="Times New Roman"/>
          <w:sz w:val="24"/>
          <w:szCs w:val="24"/>
        </w:rPr>
      </w:pPr>
      <w:r w:rsidRPr="001616AF">
        <w:rPr>
          <w:rFonts w:ascii="Times New Roman" w:hAnsi="Times New Roman" w:cs="Times New Roman"/>
          <w:sz w:val="24"/>
          <w:szCs w:val="24"/>
        </w:rPr>
        <w:t xml:space="preserve">This letter </w:t>
      </w:r>
      <w:r w:rsidR="005E0896" w:rsidRPr="001616AF">
        <w:rPr>
          <w:rFonts w:ascii="Times New Roman" w:hAnsi="Times New Roman" w:cs="Times New Roman"/>
          <w:sz w:val="24"/>
          <w:szCs w:val="24"/>
        </w:rPr>
        <w:t xml:space="preserve">is my response to the </w:t>
      </w:r>
      <w:r w:rsidR="00D63D36" w:rsidRPr="001616AF">
        <w:rPr>
          <w:rFonts w:ascii="Times New Roman" w:hAnsi="Times New Roman" w:cs="Times New Roman"/>
          <w:sz w:val="24"/>
          <w:szCs w:val="24"/>
        </w:rPr>
        <w:t xml:space="preserve">USDA </w:t>
      </w:r>
      <w:r w:rsidR="009D441C" w:rsidRPr="001616AF">
        <w:rPr>
          <w:rFonts w:ascii="Times New Roman" w:hAnsi="Times New Roman" w:cs="Times New Roman"/>
          <w:sz w:val="24"/>
          <w:szCs w:val="24"/>
        </w:rPr>
        <w:t xml:space="preserve">&amp; USDI requests for comments on a definition framework for old-growth and mature forests on federally managed lands. </w:t>
      </w:r>
      <w:r w:rsidR="006B61A5">
        <w:rPr>
          <w:rFonts w:ascii="Times New Roman" w:hAnsi="Times New Roman" w:cs="Times New Roman"/>
          <w:sz w:val="24"/>
          <w:szCs w:val="24"/>
        </w:rPr>
        <w:t xml:space="preserve">My comments will focus primarily on old growth.  </w:t>
      </w:r>
      <w:r w:rsidRPr="001616AF">
        <w:rPr>
          <w:rFonts w:ascii="Times New Roman" w:hAnsi="Times New Roman" w:cs="Times New Roman"/>
          <w:sz w:val="24"/>
          <w:szCs w:val="24"/>
        </w:rPr>
        <w:t xml:space="preserve">I have been involved wildlife science and conservation </w:t>
      </w:r>
      <w:r w:rsidR="009D441C" w:rsidRPr="001616AF">
        <w:rPr>
          <w:rFonts w:ascii="Times New Roman" w:hAnsi="Times New Roman" w:cs="Times New Roman"/>
          <w:sz w:val="24"/>
          <w:szCs w:val="24"/>
        </w:rPr>
        <w:t xml:space="preserve">western forests since the 1970s.  </w:t>
      </w:r>
      <w:r w:rsidR="000946B3" w:rsidRPr="001616AF">
        <w:rPr>
          <w:rFonts w:ascii="Times New Roman" w:hAnsi="Times New Roman" w:cs="Times New Roman"/>
          <w:sz w:val="24"/>
          <w:szCs w:val="24"/>
        </w:rPr>
        <w:t xml:space="preserve">I received my Ph.D. in wildlife ecology from the College of Forest Resources at the University of Washington and </w:t>
      </w:r>
      <w:r w:rsidRPr="001616AF">
        <w:rPr>
          <w:rFonts w:ascii="Times New Roman" w:hAnsi="Times New Roman" w:cs="Times New Roman"/>
          <w:sz w:val="24"/>
          <w:szCs w:val="24"/>
        </w:rPr>
        <w:t>moved to Juneau to begin Sitka black-tailed deer research on the Tongass National Forest for the Alaska Department of Fish and Game</w:t>
      </w:r>
      <w:r w:rsidR="000946B3" w:rsidRPr="001616AF">
        <w:rPr>
          <w:rFonts w:ascii="Times New Roman" w:hAnsi="Times New Roman" w:cs="Times New Roman"/>
          <w:sz w:val="24"/>
          <w:szCs w:val="24"/>
        </w:rPr>
        <w:t xml:space="preserve"> in 1977.</w:t>
      </w:r>
      <w:r w:rsidRPr="001616AF">
        <w:rPr>
          <w:rFonts w:ascii="Times New Roman" w:hAnsi="Times New Roman" w:cs="Times New Roman"/>
          <w:sz w:val="24"/>
          <w:szCs w:val="24"/>
        </w:rPr>
        <w:t xml:space="preserve">  During my twelve years in Juneau, I also conducted research on brown bears and mountain goats and their relationships to forest management.  Since that time, I have remained involved in conservation and management issues on the Tongass</w:t>
      </w:r>
      <w:r w:rsidR="000946B3" w:rsidRPr="001616AF">
        <w:rPr>
          <w:rFonts w:ascii="Times New Roman" w:hAnsi="Times New Roman" w:cs="Times New Roman"/>
          <w:sz w:val="24"/>
          <w:szCs w:val="24"/>
        </w:rPr>
        <w:t xml:space="preserve"> National Forest</w:t>
      </w:r>
      <w:r w:rsidRPr="001616AF">
        <w:rPr>
          <w:rFonts w:ascii="Times New Roman" w:hAnsi="Times New Roman" w:cs="Times New Roman"/>
          <w:sz w:val="24"/>
          <w:szCs w:val="24"/>
        </w:rPr>
        <w:t xml:space="preserve">.  For example, I was a co-investigator of the Audubon-TNC conservation Assessment of the Tongass from 2004 through 2007, served on the Tongass Futures Roundtable, was a co-editor of the book </w:t>
      </w:r>
      <w:r w:rsidRPr="001616AF">
        <w:rPr>
          <w:rFonts w:ascii="Times New Roman" w:hAnsi="Times New Roman" w:cs="Times New Roman"/>
          <w:i/>
          <w:sz w:val="24"/>
          <w:szCs w:val="24"/>
        </w:rPr>
        <w:t>North Pacific Temperate Rainforests: ecology and conservation</w:t>
      </w:r>
      <w:r w:rsidRPr="001616AF">
        <w:rPr>
          <w:rFonts w:ascii="Times New Roman" w:hAnsi="Times New Roman" w:cs="Times New Roman"/>
          <w:sz w:val="24"/>
          <w:szCs w:val="24"/>
        </w:rPr>
        <w:t>, published by the University of Washington Press (</w:t>
      </w:r>
      <w:proofErr w:type="spellStart"/>
      <w:r w:rsidRPr="001616AF">
        <w:rPr>
          <w:rFonts w:ascii="Times New Roman" w:hAnsi="Times New Roman" w:cs="Times New Roman"/>
          <w:sz w:val="24"/>
          <w:szCs w:val="24"/>
        </w:rPr>
        <w:t>Orians</w:t>
      </w:r>
      <w:proofErr w:type="spellEnd"/>
      <w:r w:rsidRPr="001616AF">
        <w:rPr>
          <w:rFonts w:ascii="Times New Roman" w:hAnsi="Times New Roman" w:cs="Times New Roman"/>
          <w:sz w:val="24"/>
          <w:szCs w:val="24"/>
        </w:rPr>
        <w:t xml:space="preserve"> and Schoen 2013)</w:t>
      </w:r>
      <w:r w:rsidR="005E0896" w:rsidRPr="001616AF">
        <w:rPr>
          <w:rFonts w:ascii="Times New Roman" w:hAnsi="Times New Roman" w:cs="Times New Roman"/>
          <w:sz w:val="24"/>
          <w:szCs w:val="24"/>
        </w:rPr>
        <w:t xml:space="preserve">, and recently authored </w:t>
      </w:r>
      <w:r w:rsidR="005E0896" w:rsidRPr="001616AF">
        <w:rPr>
          <w:rFonts w:ascii="Times New Roman" w:hAnsi="Times New Roman" w:cs="Times New Roman"/>
          <w:i/>
          <w:iCs/>
          <w:sz w:val="24"/>
          <w:szCs w:val="24"/>
        </w:rPr>
        <w:t>Tongass Odyssey: Seeing the Forest Ecosystem through the Politics of Trees</w:t>
      </w:r>
      <w:r w:rsidR="005E0896" w:rsidRPr="001616AF">
        <w:rPr>
          <w:rFonts w:ascii="Times New Roman" w:hAnsi="Times New Roman" w:cs="Times New Roman"/>
          <w:sz w:val="24"/>
          <w:szCs w:val="24"/>
        </w:rPr>
        <w:t xml:space="preserve"> </w:t>
      </w:r>
      <w:r w:rsidR="000946B3" w:rsidRPr="001616AF">
        <w:rPr>
          <w:rFonts w:ascii="Times New Roman" w:hAnsi="Times New Roman" w:cs="Times New Roman"/>
          <w:sz w:val="24"/>
          <w:szCs w:val="24"/>
        </w:rPr>
        <w:t xml:space="preserve">– A Biologist’s Memoir </w:t>
      </w:r>
      <w:r w:rsidR="00DA2F2A" w:rsidRPr="001616AF">
        <w:rPr>
          <w:rFonts w:ascii="Times New Roman" w:hAnsi="Times New Roman" w:cs="Times New Roman"/>
          <w:sz w:val="24"/>
          <w:szCs w:val="24"/>
        </w:rPr>
        <w:t>(Schoen 2020)</w:t>
      </w:r>
      <w:r w:rsidR="00304CF2" w:rsidRPr="001616AF">
        <w:rPr>
          <w:rFonts w:ascii="Times New Roman" w:hAnsi="Times New Roman" w:cs="Times New Roman"/>
          <w:sz w:val="24"/>
          <w:szCs w:val="24"/>
        </w:rPr>
        <w:t xml:space="preserve"> </w:t>
      </w:r>
      <w:r w:rsidR="005E0896" w:rsidRPr="001616AF">
        <w:rPr>
          <w:rFonts w:ascii="Times New Roman" w:hAnsi="Times New Roman" w:cs="Times New Roman"/>
          <w:sz w:val="24"/>
          <w:szCs w:val="24"/>
        </w:rPr>
        <w:t>published by the University of Alaska Press</w:t>
      </w:r>
      <w:r w:rsidRPr="001616AF">
        <w:rPr>
          <w:rFonts w:ascii="Times New Roman" w:hAnsi="Times New Roman" w:cs="Times New Roman"/>
          <w:sz w:val="24"/>
          <w:szCs w:val="24"/>
        </w:rPr>
        <w:t xml:space="preserve">.  I have </w:t>
      </w:r>
      <w:r w:rsidR="005E0896" w:rsidRPr="001616AF">
        <w:rPr>
          <w:rFonts w:ascii="Times New Roman" w:hAnsi="Times New Roman" w:cs="Times New Roman"/>
          <w:sz w:val="24"/>
          <w:szCs w:val="24"/>
        </w:rPr>
        <w:t xml:space="preserve">also </w:t>
      </w:r>
      <w:r w:rsidRPr="001616AF">
        <w:rPr>
          <w:rFonts w:ascii="Times New Roman" w:hAnsi="Times New Roman" w:cs="Times New Roman"/>
          <w:sz w:val="24"/>
          <w:szCs w:val="24"/>
        </w:rPr>
        <w:t>published over 60 scientific and popular papers and major reports addressing Alaska forest-wildlife issues covering a period of four decades</w:t>
      </w:r>
      <w:r w:rsidR="005E0896" w:rsidRPr="001616AF">
        <w:rPr>
          <w:rFonts w:ascii="Times New Roman" w:hAnsi="Times New Roman" w:cs="Times New Roman"/>
          <w:sz w:val="24"/>
          <w:szCs w:val="24"/>
        </w:rPr>
        <w:t xml:space="preserve"> and have served as an affiliate professor of wildlife biology with the University of Alaska system.</w:t>
      </w:r>
      <w:r w:rsidRPr="001616AF">
        <w:rPr>
          <w:rFonts w:ascii="Times New Roman" w:hAnsi="Times New Roman" w:cs="Times New Roman"/>
          <w:sz w:val="24"/>
          <w:szCs w:val="24"/>
        </w:rPr>
        <w:t xml:space="preserve">  </w:t>
      </w:r>
    </w:p>
    <w:p w14:paraId="0250477B" w14:textId="3881F756" w:rsidR="00636370" w:rsidRPr="001616AF" w:rsidRDefault="00636370" w:rsidP="00CF7EBF">
      <w:pPr>
        <w:spacing w:after="0" w:line="240" w:lineRule="auto"/>
        <w:rPr>
          <w:rFonts w:ascii="Times New Roman" w:hAnsi="Times New Roman" w:cs="Times New Roman"/>
          <w:sz w:val="24"/>
          <w:szCs w:val="24"/>
        </w:rPr>
      </w:pPr>
    </w:p>
    <w:p w14:paraId="3B309C73" w14:textId="09CD294E" w:rsidR="00CF7EBF" w:rsidRDefault="00CF7EBF" w:rsidP="00CF7EBF">
      <w:pPr>
        <w:spacing w:after="0" w:line="240" w:lineRule="auto"/>
        <w:rPr>
          <w:rFonts w:ascii="Times New Roman" w:hAnsi="Times New Roman" w:cs="Times New Roman"/>
          <w:b/>
          <w:sz w:val="24"/>
          <w:szCs w:val="24"/>
        </w:rPr>
      </w:pPr>
      <w:r w:rsidRPr="001616AF">
        <w:rPr>
          <w:rFonts w:ascii="Times New Roman" w:hAnsi="Times New Roman" w:cs="Times New Roman"/>
          <w:b/>
          <w:sz w:val="24"/>
          <w:szCs w:val="24"/>
        </w:rPr>
        <w:t xml:space="preserve">Key </w:t>
      </w:r>
      <w:r w:rsidR="00D63D36" w:rsidRPr="001616AF">
        <w:rPr>
          <w:rFonts w:ascii="Times New Roman" w:hAnsi="Times New Roman" w:cs="Times New Roman"/>
          <w:b/>
          <w:sz w:val="24"/>
          <w:szCs w:val="24"/>
        </w:rPr>
        <w:t>Recommendations</w:t>
      </w:r>
      <w:r w:rsidR="000946B3" w:rsidRPr="001616AF">
        <w:rPr>
          <w:rFonts w:ascii="Times New Roman" w:hAnsi="Times New Roman" w:cs="Times New Roman"/>
          <w:b/>
          <w:sz w:val="24"/>
          <w:szCs w:val="24"/>
        </w:rPr>
        <w:t xml:space="preserve"> Regarding </w:t>
      </w:r>
      <w:r w:rsidR="006B61A5">
        <w:rPr>
          <w:rFonts w:ascii="Times New Roman" w:hAnsi="Times New Roman" w:cs="Times New Roman"/>
          <w:b/>
          <w:sz w:val="24"/>
          <w:szCs w:val="24"/>
        </w:rPr>
        <w:t xml:space="preserve">For of the </w:t>
      </w:r>
      <w:r w:rsidR="000946B3" w:rsidRPr="001616AF">
        <w:rPr>
          <w:rFonts w:ascii="Times New Roman" w:hAnsi="Times New Roman" w:cs="Times New Roman"/>
          <w:b/>
          <w:sz w:val="24"/>
          <w:szCs w:val="24"/>
        </w:rPr>
        <w:t>Questions Posed in the Federal Register</w:t>
      </w:r>
      <w:r w:rsidR="00D63D36" w:rsidRPr="001616AF">
        <w:rPr>
          <w:rFonts w:ascii="Times New Roman" w:hAnsi="Times New Roman" w:cs="Times New Roman"/>
          <w:b/>
          <w:sz w:val="24"/>
          <w:szCs w:val="24"/>
        </w:rPr>
        <w:t>:</w:t>
      </w:r>
    </w:p>
    <w:p w14:paraId="1EB65E18" w14:textId="77777777" w:rsidR="006B61A5" w:rsidRPr="001616AF" w:rsidRDefault="006B61A5" w:rsidP="00CF7EBF">
      <w:pPr>
        <w:spacing w:after="0" w:line="240" w:lineRule="auto"/>
        <w:rPr>
          <w:rFonts w:ascii="Times New Roman" w:hAnsi="Times New Roman" w:cs="Times New Roman"/>
          <w:sz w:val="24"/>
          <w:szCs w:val="24"/>
        </w:rPr>
      </w:pPr>
    </w:p>
    <w:p w14:paraId="225F631D" w14:textId="4745131F" w:rsidR="009C3883" w:rsidRPr="001616AF" w:rsidRDefault="00052FF6" w:rsidP="00CF7EBF">
      <w:pPr>
        <w:pStyle w:val="ListParagraph"/>
        <w:numPr>
          <w:ilvl w:val="0"/>
          <w:numId w:val="1"/>
        </w:numPr>
        <w:spacing w:after="0" w:line="240" w:lineRule="auto"/>
        <w:rPr>
          <w:rFonts w:ascii="Times New Roman" w:hAnsi="Times New Roman" w:cs="Times New Roman"/>
          <w:color w:val="auto"/>
        </w:rPr>
      </w:pPr>
      <w:r w:rsidRPr="001616AF">
        <w:rPr>
          <w:rFonts w:ascii="Times New Roman" w:hAnsi="Times New Roman" w:cs="Times New Roman"/>
          <w:color w:val="auto"/>
        </w:rPr>
        <w:t>Criteria needed for a universal definition framework for old-growth mature forests:  First</w:t>
      </w:r>
      <w:r w:rsidR="00F13702" w:rsidRPr="001616AF">
        <w:rPr>
          <w:rFonts w:ascii="Times New Roman" w:hAnsi="Times New Roman" w:cs="Times New Roman"/>
          <w:color w:val="auto"/>
        </w:rPr>
        <w:t xml:space="preserve">, </w:t>
      </w:r>
      <w:r w:rsidRPr="001616AF">
        <w:rPr>
          <w:rFonts w:ascii="Times New Roman" w:hAnsi="Times New Roman" w:cs="Times New Roman"/>
          <w:color w:val="auto"/>
        </w:rPr>
        <w:t xml:space="preserve"> </w:t>
      </w:r>
      <w:r w:rsidR="00D63D36" w:rsidRPr="001616AF">
        <w:rPr>
          <w:rFonts w:ascii="Times New Roman" w:hAnsi="Times New Roman" w:cs="Times New Roman"/>
          <w:color w:val="auto"/>
        </w:rPr>
        <w:t xml:space="preserve">I strongly recommend </w:t>
      </w:r>
      <w:r w:rsidRPr="001616AF">
        <w:rPr>
          <w:rFonts w:ascii="Times New Roman" w:hAnsi="Times New Roman" w:cs="Times New Roman"/>
          <w:color w:val="auto"/>
        </w:rPr>
        <w:t xml:space="preserve">separating the single category of mature and old-growth forests into </w:t>
      </w:r>
      <w:r w:rsidR="000C3402" w:rsidRPr="001616AF">
        <w:rPr>
          <w:rFonts w:ascii="Times New Roman" w:hAnsi="Times New Roman" w:cs="Times New Roman"/>
          <w:color w:val="auto"/>
        </w:rPr>
        <w:t xml:space="preserve">two </w:t>
      </w:r>
      <w:r w:rsidRPr="001616AF">
        <w:rPr>
          <w:rFonts w:ascii="Times New Roman" w:hAnsi="Times New Roman" w:cs="Times New Roman"/>
          <w:color w:val="auto"/>
        </w:rPr>
        <w:t xml:space="preserve">categories.  Old growth today is extremely rare (&lt;5% of its original distribution) across the contiguous US.  The primary focus </w:t>
      </w:r>
      <w:r w:rsidR="00F13702" w:rsidRPr="001616AF">
        <w:rPr>
          <w:rFonts w:ascii="Times New Roman" w:hAnsi="Times New Roman" w:cs="Times New Roman"/>
          <w:color w:val="auto"/>
        </w:rPr>
        <w:t xml:space="preserve">for </w:t>
      </w:r>
      <w:r w:rsidRPr="001616AF">
        <w:rPr>
          <w:rFonts w:ascii="Times New Roman" w:hAnsi="Times New Roman" w:cs="Times New Roman"/>
          <w:color w:val="auto"/>
        </w:rPr>
        <w:t>old growth should be conservation of the remaining stands</w:t>
      </w:r>
      <w:r w:rsidR="00F13702" w:rsidRPr="001616AF">
        <w:rPr>
          <w:rFonts w:ascii="Times New Roman" w:hAnsi="Times New Roman" w:cs="Times New Roman"/>
          <w:color w:val="auto"/>
        </w:rPr>
        <w:t xml:space="preserve"> that exist on </w:t>
      </w:r>
      <w:r w:rsidR="006B61A5">
        <w:rPr>
          <w:rFonts w:ascii="Times New Roman" w:hAnsi="Times New Roman" w:cs="Times New Roman"/>
          <w:color w:val="auto"/>
        </w:rPr>
        <w:t xml:space="preserve">federal </w:t>
      </w:r>
      <w:r w:rsidR="00F13702" w:rsidRPr="001616AF">
        <w:rPr>
          <w:rFonts w:ascii="Times New Roman" w:hAnsi="Times New Roman" w:cs="Times New Roman"/>
          <w:color w:val="auto"/>
        </w:rPr>
        <w:t xml:space="preserve">lands.  Mature forests are more abundant and these stands offer long-term restoration opportunities for moving representative portions into old-growth conditions.  Second, key criteria include age, structure, composition, ecosystem type (e.g., rainforest, boreal forest, hardwood forest, </w:t>
      </w:r>
      <w:r w:rsidR="000C3402" w:rsidRPr="001616AF">
        <w:rPr>
          <w:rFonts w:ascii="Times New Roman" w:hAnsi="Times New Roman" w:cs="Times New Roman"/>
          <w:color w:val="auto"/>
        </w:rPr>
        <w:t xml:space="preserve">dry </w:t>
      </w:r>
      <w:r w:rsidR="00F13702" w:rsidRPr="001616AF">
        <w:rPr>
          <w:rFonts w:ascii="Times New Roman" w:hAnsi="Times New Roman" w:cs="Times New Roman"/>
          <w:color w:val="auto"/>
        </w:rPr>
        <w:t>fire</w:t>
      </w:r>
      <w:r w:rsidR="000C3402" w:rsidRPr="001616AF">
        <w:rPr>
          <w:rFonts w:ascii="Times New Roman" w:hAnsi="Times New Roman" w:cs="Times New Roman"/>
          <w:color w:val="auto"/>
        </w:rPr>
        <w:t>-</w:t>
      </w:r>
      <w:r w:rsidR="00F13702" w:rsidRPr="001616AF">
        <w:rPr>
          <w:rFonts w:ascii="Times New Roman" w:hAnsi="Times New Roman" w:cs="Times New Roman"/>
          <w:color w:val="auto"/>
        </w:rPr>
        <w:t>prone forest, etc.), geographical distribution</w:t>
      </w:r>
      <w:r w:rsidR="000C3402" w:rsidRPr="001616AF">
        <w:rPr>
          <w:rFonts w:ascii="Times New Roman" w:hAnsi="Times New Roman" w:cs="Times New Roman"/>
          <w:color w:val="auto"/>
        </w:rPr>
        <w:t>, site productivity, percentage of down &amp; dead trees</w:t>
      </w:r>
      <w:r w:rsidR="009C3883" w:rsidRPr="001616AF">
        <w:rPr>
          <w:rFonts w:ascii="Times New Roman" w:hAnsi="Times New Roman" w:cs="Times New Roman"/>
          <w:color w:val="auto"/>
        </w:rPr>
        <w:t xml:space="preserve"> on </w:t>
      </w:r>
      <w:r w:rsidR="00A27A48">
        <w:rPr>
          <w:rFonts w:ascii="Times New Roman" w:hAnsi="Times New Roman" w:cs="Times New Roman"/>
          <w:color w:val="auto"/>
        </w:rPr>
        <w:t xml:space="preserve">the forest floor </w:t>
      </w:r>
      <w:r w:rsidR="009C3883" w:rsidRPr="001616AF">
        <w:rPr>
          <w:rFonts w:ascii="Times New Roman" w:hAnsi="Times New Roman" w:cs="Times New Roman"/>
          <w:color w:val="auto"/>
        </w:rPr>
        <w:t>and in streams</w:t>
      </w:r>
      <w:r w:rsidR="000C3402" w:rsidRPr="001616AF">
        <w:rPr>
          <w:rFonts w:ascii="Times New Roman" w:hAnsi="Times New Roman" w:cs="Times New Roman"/>
          <w:color w:val="auto"/>
        </w:rPr>
        <w:t xml:space="preserve">, </w:t>
      </w:r>
      <w:r w:rsidR="009C3883" w:rsidRPr="001616AF">
        <w:rPr>
          <w:rFonts w:ascii="Times New Roman" w:hAnsi="Times New Roman" w:cs="Times New Roman"/>
          <w:color w:val="auto"/>
        </w:rPr>
        <w:t xml:space="preserve">distribution of arboreal epiphytes, habitat features for fish and </w:t>
      </w:r>
      <w:r w:rsidR="009C3883" w:rsidRPr="001616AF">
        <w:rPr>
          <w:rFonts w:ascii="Times New Roman" w:hAnsi="Times New Roman" w:cs="Times New Roman"/>
          <w:color w:val="auto"/>
        </w:rPr>
        <w:lastRenderedPageBreak/>
        <w:t>wildlife, and carbon storage and sequestration potential.  A good model for describing ecological characteristics of old growth is the general technical report (PNW-118) for old</w:t>
      </w:r>
      <w:r w:rsidR="00B85056" w:rsidRPr="001616AF">
        <w:rPr>
          <w:rFonts w:ascii="Times New Roman" w:hAnsi="Times New Roman" w:cs="Times New Roman"/>
          <w:color w:val="auto"/>
        </w:rPr>
        <w:t>-growth Douglas-fir forests by Franklin et al. 1981.</w:t>
      </w:r>
    </w:p>
    <w:p w14:paraId="087C1F18" w14:textId="77777777" w:rsidR="008F2FF9" w:rsidRPr="001616AF" w:rsidRDefault="008F2FF9" w:rsidP="008F2FF9">
      <w:pPr>
        <w:pStyle w:val="ListParagraph"/>
        <w:spacing w:after="0" w:line="240" w:lineRule="auto"/>
        <w:rPr>
          <w:rFonts w:ascii="Times New Roman" w:hAnsi="Times New Roman" w:cs="Times New Roman"/>
          <w:color w:val="auto"/>
        </w:rPr>
      </w:pPr>
    </w:p>
    <w:p w14:paraId="305A82D3" w14:textId="12C7AC7C" w:rsidR="006C2EBE" w:rsidRPr="001616AF" w:rsidRDefault="00B85056" w:rsidP="00CF7EBF">
      <w:pPr>
        <w:pStyle w:val="ListParagraph"/>
        <w:numPr>
          <w:ilvl w:val="0"/>
          <w:numId w:val="1"/>
        </w:numPr>
        <w:spacing w:after="0" w:line="240" w:lineRule="auto"/>
        <w:rPr>
          <w:rFonts w:ascii="Times New Roman" w:hAnsi="Times New Roman" w:cs="Times New Roman"/>
          <w:color w:val="auto"/>
        </w:rPr>
      </w:pPr>
      <w:r w:rsidRPr="001616AF">
        <w:rPr>
          <w:rFonts w:ascii="Times New Roman" w:hAnsi="Times New Roman" w:cs="Times New Roman"/>
          <w:color w:val="auto"/>
        </w:rPr>
        <w:t>The overarching old-growth forest characteristics for a definition include uneven-age structure including old (centuries-old) trees</w:t>
      </w:r>
      <w:r w:rsidR="006C2EBE" w:rsidRPr="001616AF">
        <w:rPr>
          <w:rFonts w:ascii="Times New Roman" w:hAnsi="Times New Roman" w:cs="Times New Roman"/>
          <w:color w:val="auto"/>
        </w:rPr>
        <w:t xml:space="preserve">, mature trees (75-150 </w:t>
      </w:r>
      <w:proofErr w:type="spellStart"/>
      <w:r w:rsidR="006C2EBE" w:rsidRPr="001616AF">
        <w:rPr>
          <w:rFonts w:ascii="Times New Roman" w:hAnsi="Times New Roman" w:cs="Times New Roman"/>
          <w:color w:val="auto"/>
        </w:rPr>
        <w:t>yrs</w:t>
      </w:r>
      <w:proofErr w:type="spellEnd"/>
      <w:r w:rsidR="006C2EBE" w:rsidRPr="001616AF">
        <w:rPr>
          <w:rFonts w:ascii="Times New Roman" w:hAnsi="Times New Roman" w:cs="Times New Roman"/>
          <w:color w:val="auto"/>
        </w:rPr>
        <w:t xml:space="preserve"> depending on ecosystem), seedlings, saplings, and dead snags and down logs</w:t>
      </w:r>
      <w:r w:rsidR="00311F0C" w:rsidRPr="001616AF">
        <w:rPr>
          <w:rFonts w:ascii="Times New Roman" w:hAnsi="Times New Roman" w:cs="Times New Roman"/>
          <w:color w:val="auto"/>
        </w:rPr>
        <w:t>;</w:t>
      </w:r>
      <w:r w:rsidR="006C2EBE" w:rsidRPr="001616AF">
        <w:rPr>
          <w:rFonts w:ascii="Times New Roman" w:hAnsi="Times New Roman" w:cs="Times New Roman"/>
          <w:color w:val="auto"/>
        </w:rPr>
        <w:t xml:space="preserve">  </w:t>
      </w:r>
      <w:r w:rsidR="00311F0C" w:rsidRPr="001616AF">
        <w:rPr>
          <w:rFonts w:ascii="Times New Roman" w:hAnsi="Times New Roman" w:cs="Times New Roman"/>
          <w:color w:val="auto"/>
        </w:rPr>
        <w:t>b</w:t>
      </w:r>
      <w:r w:rsidR="006C2EBE" w:rsidRPr="001616AF">
        <w:rPr>
          <w:rFonts w:ascii="Times New Roman" w:hAnsi="Times New Roman" w:cs="Times New Roman"/>
          <w:color w:val="auto"/>
        </w:rPr>
        <w:t>roken, multi-layered canopies</w:t>
      </w:r>
      <w:r w:rsidR="00311F0C" w:rsidRPr="001616AF">
        <w:rPr>
          <w:rFonts w:ascii="Times New Roman" w:hAnsi="Times New Roman" w:cs="Times New Roman"/>
          <w:color w:val="auto"/>
        </w:rPr>
        <w:t>;  a</w:t>
      </w:r>
      <w:r w:rsidR="006C2EBE" w:rsidRPr="001616AF">
        <w:rPr>
          <w:rFonts w:ascii="Times New Roman" w:hAnsi="Times New Roman" w:cs="Times New Roman"/>
          <w:color w:val="auto"/>
        </w:rPr>
        <w:t xml:space="preserve">bundant and diverse understories of herbs, shrubs, ferns, moss, </w:t>
      </w:r>
      <w:r w:rsidR="00A166F7">
        <w:rPr>
          <w:rFonts w:ascii="Times New Roman" w:hAnsi="Times New Roman" w:cs="Times New Roman"/>
          <w:color w:val="auto"/>
        </w:rPr>
        <w:t xml:space="preserve">fungi, </w:t>
      </w:r>
      <w:r w:rsidR="006C2EBE" w:rsidRPr="001616AF">
        <w:rPr>
          <w:rFonts w:ascii="Times New Roman" w:hAnsi="Times New Roman" w:cs="Times New Roman"/>
          <w:color w:val="auto"/>
        </w:rPr>
        <w:t>and lichens</w:t>
      </w:r>
      <w:r w:rsidR="00311F0C" w:rsidRPr="001616AF">
        <w:rPr>
          <w:rFonts w:ascii="Times New Roman" w:hAnsi="Times New Roman" w:cs="Times New Roman"/>
          <w:color w:val="auto"/>
        </w:rPr>
        <w:t>;</w:t>
      </w:r>
      <w:r w:rsidR="006C2EBE" w:rsidRPr="001616AF">
        <w:rPr>
          <w:rFonts w:ascii="Times New Roman" w:hAnsi="Times New Roman" w:cs="Times New Roman"/>
          <w:color w:val="auto"/>
        </w:rPr>
        <w:t xml:space="preserve">  </w:t>
      </w:r>
      <w:r w:rsidR="00311F0C" w:rsidRPr="001616AF">
        <w:rPr>
          <w:rFonts w:ascii="Times New Roman" w:hAnsi="Times New Roman" w:cs="Times New Roman"/>
          <w:color w:val="auto"/>
        </w:rPr>
        <w:t>s</w:t>
      </w:r>
      <w:r w:rsidR="006C2EBE" w:rsidRPr="001616AF">
        <w:rPr>
          <w:rFonts w:ascii="Times New Roman" w:hAnsi="Times New Roman" w:cs="Times New Roman"/>
          <w:color w:val="auto"/>
        </w:rPr>
        <w:t xml:space="preserve">tand diversity </w:t>
      </w:r>
      <w:r w:rsidR="00311F0C" w:rsidRPr="001616AF">
        <w:rPr>
          <w:rFonts w:ascii="Times New Roman" w:hAnsi="Times New Roman" w:cs="Times New Roman"/>
          <w:color w:val="auto"/>
        </w:rPr>
        <w:t xml:space="preserve">on a fine-grained scale </w:t>
      </w:r>
      <w:r w:rsidR="006C2EBE" w:rsidRPr="001616AF">
        <w:rPr>
          <w:rFonts w:ascii="Times New Roman" w:hAnsi="Times New Roman" w:cs="Times New Roman"/>
          <w:color w:val="auto"/>
        </w:rPr>
        <w:t>related to site productivity, soil moisture, and micro-climate</w:t>
      </w:r>
      <w:r w:rsidR="00311F0C" w:rsidRPr="001616AF">
        <w:rPr>
          <w:rFonts w:ascii="Times New Roman" w:hAnsi="Times New Roman" w:cs="Times New Roman"/>
          <w:color w:val="auto"/>
        </w:rPr>
        <w:t>; and tree species and understory composition.</w:t>
      </w:r>
    </w:p>
    <w:p w14:paraId="7B49FDD9" w14:textId="77777777" w:rsidR="0064601A" w:rsidRPr="001616AF" w:rsidRDefault="0064601A" w:rsidP="0064601A">
      <w:pPr>
        <w:spacing w:after="0" w:line="240" w:lineRule="auto"/>
        <w:rPr>
          <w:rFonts w:ascii="Times New Roman" w:hAnsi="Times New Roman" w:cs="Times New Roman"/>
          <w:sz w:val="24"/>
          <w:szCs w:val="24"/>
        </w:rPr>
      </w:pPr>
    </w:p>
    <w:p w14:paraId="525B01A3" w14:textId="7483D16E" w:rsidR="00B85056" w:rsidRPr="001616AF" w:rsidRDefault="00B85056" w:rsidP="00CF7EBF">
      <w:pPr>
        <w:pStyle w:val="ListParagraph"/>
        <w:numPr>
          <w:ilvl w:val="0"/>
          <w:numId w:val="1"/>
        </w:numPr>
        <w:spacing w:after="0" w:line="240" w:lineRule="auto"/>
        <w:rPr>
          <w:rFonts w:ascii="Times New Roman" w:hAnsi="Times New Roman" w:cs="Times New Roman"/>
          <w:color w:val="auto"/>
        </w:rPr>
      </w:pPr>
      <w:r w:rsidRPr="001616AF">
        <w:rPr>
          <w:rFonts w:ascii="Times New Roman" w:hAnsi="Times New Roman" w:cs="Times New Roman"/>
          <w:color w:val="auto"/>
        </w:rPr>
        <w:t xml:space="preserve"> </w:t>
      </w:r>
      <w:r w:rsidR="00311F0C" w:rsidRPr="001616AF">
        <w:rPr>
          <w:rFonts w:ascii="Times New Roman" w:hAnsi="Times New Roman" w:cs="Times New Roman"/>
          <w:color w:val="auto"/>
        </w:rPr>
        <w:t xml:space="preserve">The old-growth definitions </w:t>
      </w:r>
      <w:r w:rsidR="00311F0C" w:rsidRPr="001616AF">
        <w:rPr>
          <w:rFonts w:ascii="Times New Roman" w:hAnsi="Times New Roman" w:cs="Times New Roman"/>
          <w:color w:val="auto"/>
          <w:u w:val="single"/>
        </w:rPr>
        <w:t>must</w:t>
      </w:r>
      <w:r w:rsidR="00311F0C" w:rsidRPr="001616AF">
        <w:rPr>
          <w:rFonts w:ascii="Times New Roman" w:hAnsi="Times New Roman" w:cs="Times New Roman"/>
          <w:color w:val="auto"/>
        </w:rPr>
        <w:t xml:space="preserve"> reflect variability based on disturbance and variation in forest type</w:t>
      </w:r>
      <w:r w:rsidR="00993FF0" w:rsidRPr="001616AF">
        <w:rPr>
          <w:rFonts w:ascii="Times New Roman" w:hAnsi="Times New Roman" w:cs="Times New Roman"/>
          <w:color w:val="auto"/>
        </w:rPr>
        <w:t xml:space="preserve">/composition, climate, site productivity and geographic region.  </w:t>
      </w:r>
      <w:r w:rsidR="00993FF0" w:rsidRPr="00A166F7">
        <w:rPr>
          <w:rFonts w:ascii="Times New Roman" w:hAnsi="Times New Roman" w:cs="Times New Roman"/>
          <w:color w:val="auto"/>
          <w:u w:val="single"/>
        </w:rPr>
        <w:t>Not all old growth is the same</w:t>
      </w:r>
      <w:r w:rsidR="00993FF0" w:rsidRPr="001616AF">
        <w:rPr>
          <w:rFonts w:ascii="Times New Roman" w:hAnsi="Times New Roman" w:cs="Times New Roman"/>
          <w:color w:val="auto"/>
        </w:rPr>
        <w:t xml:space="preserve">.  For example, in Alaska’s Tongass </w:t>
      </w:r>
      <w:r w:rsidR="00A166F7">
        <w:rPr>
          <w:rFonts w:ascii="Times New Roman" w:hAnsi="Times New Roman" w:cs="Times New Roman"/>
          <w:color w:val="auto"/>
        </w:rPr>
        <w:t xml:space="preserve">National </w:t>
      </w:r>
      <w:r w:rsidR="00993FF0" w:rsidRPr="001616AF">
        <w:rPr>
          <w:rFonts w:ascii="Times New Roman" w:hAnsi="Times New Roman" w:cs="Times New Roman"/>
          <w:color w:val="auto"/>
        </w:rPr>
        <w:t xml:space="preserve">Forest (the most intact temperate rainforest on Earth), old-growth stand types are highly variable </w:t>
      </w:r>
      <w:r w:rsidR="00A166F7">
        <w:rPr>
          <w:rFonts w:ascii="Times New Roman" w:hAnsi="Times New Roman" w:cs="Times New Roman"/>
          <w:color w:val="auto"/>
        </w:rPr>
        <w:t xml:space="preserve">(on an acre scale) </w:t>
      </w:r>
      <w:r w:rsidR="00993FF0" w:rsidRPr="001616AF">
        <w:rPr>
          <w:rFonts w:ascii="Times New Roman" w:hAnsi="Times New Roman" w:cs="Times New Roman"/>
          <w:color w:val="auto"/>
        </w:rPr>
        <w:t xml:space="preserve">based on site productivity, soil drainage and micro-climate.  Logging has been highly selective of the large-tree old-growth stands which were always rare.  </w:t>
      </w:r>
      <w:r w:rsidR="00AD4257" w:rsidRPr="001616AF">
        <w:rPr>
          <w:rFonts w:ascii="Times New Roman" w:hAnsi="Times New Roman" w:cs="Times New Roman"/>
          <w:color w:val="auto"/>
        </w:rPr>
        <w:t xml:space="preserve">Maintaining a diversity of stand types will require setting conservation priorities on the rare stands that also have high fish and wildlife habitat values.  Recognizing this stand variability within old growth will be a critical element in maintaining the natural diversity within the forest. </w:t>
      </w:r>
    </w:p>
    <w:p w14:paraId="44BB7B53" w14:textId="77777777" w:rsidR="0064601A" w:rsidRPr="001616AF" w:rsidRDefault="0064601A" w:rsidP="0064601A">
      <w:pPr>
        <w:spacing w:after="0" w:line="240" w:lineRule="auto"/>
        <w:rPr>
          <w:rFonts w:ascii="Times New Roman" w:hAnsi="Times New Roman" w:cs="Times New Roman"/>
          <w:sz w:val="24"/>
          <w:szCs w:val="24"/>
        </w:rPr>
      </w:pPr>
    </w:p>
    <w:p w14:paraId="2E232FF5" w14:textId="30C5E254" w:rsidR="00D63D36" w:rsidRPr="001616AF" w:rsidRDefault="009C3883" w:rsidP="00CF7EBF">
      <w:pPr>
        <w:pStyle w:val="ListParagraph"/>
        <w:numPr>
          <w:ilvl w:val="0"/>
          <w:numId w:val="1"/>
        </w:numPr>
        <w:spacing w:after="0" w:line="240" w:lineRule="auto"/>
        <w:rPr>
          <w:rFonts w:ascii="Times New Roman" w:hAnsi="Times New Roman" w:cs="Times New Roman"/>
          <w:color w:val="auto"/>
        </w:rPr>
      </w:pPr>
      <w:r w:rsidRPr="001616AF">
        <w:rPr>
          <w:rFonts w:ascii="Times New Roman" w:hAnsi="Times New Roman" w:cs="Times New Roman"/>
          <w:color w:val="auto"/>
        </w:rPr>
        <w:t xml:space="preserve"> </w:t>
      </w:r>
      <w:r w:rsidR="00AD4257" w:rsidRPr="001616AF">
        <w:rPr>
          <w:rFonts w:ascii="Times New Roman" w:hAnsi="Times New Roman" w:cs="Times New Roman"/>
          <w:color w:val="auto"/>
        </w:rPr>
        <w:t xml:space="preserve">The definition of old growth must be crafted with respect to different forest ecosystems across the nation.  There </w:t>
      </w:r>
      <w:r w:rsidR="0064601A" w:rsidRPr="001616AF">
        <w:rPr>
          <w:rFonts w:ascii="Times New Roman" w:hAnsi="Times New Roman" w:cs="Times New Roman"/>
          <w:color w:val="auto"/>
        </w:rPr>
        <w:t xml:space="preserve">should </w:t>
      </w:r>
      <w:r w:rsidR="00AD4257" w:rsidRPr="001616AF">
        <w:rPr>
          <w:rFonts w:ascii="Times New Roman" w:hAnsi="Times New Roman" w:cs="Times New Roman"/>
          <w:color w:val="auto"/>
        </w:rPr>
        <w:t xml:space="preserve">be no uniform definition of old growth other </w:t>
      </w:r>
      <w:r w:rsidR="0064601A" w:rsidRPr="001616AF">
        <w:rPr>
          <w:rFonts w:ascii="Times New Roman" w:hAnsi="Times New Roman" w:cs="Times New Roman"/>
          <w:color w:val="auto"/>
        </w:rPr>
        <w:t xml:space="preserve">than in </w:t>
      </w:r>
      <w:r w:rsidR="00AD4257" w:rsidRPr="001616AF">
        <w:rPr>
          <w:rFonts w:ascii="Times New Roman" w:hAnsi="Times New Roman" w:cs="Times New Roman"/>
          <w:color w:val="auto"/>
        </w:rPr>
        <w:t xml:space="preserve">the most general sense.  </w:t>
      </w:r>
    </w:p>
    <w:p w14:paraId="7867DE8B" w14:textId="3A4F43DC" w:rsidR="008F2FF9" w:rsidRPr="001616AF" w:rsidRDefault="008F2FF9" w:rsidP="008F2FF9">
      <w:pPr>
        <w:spacing w:after="0" w:line="240" w:lineRule="auto"/>
        <w:rPr>
          <w:rFonts w:ascii="Times New Roman" w:hAnsi="Times New Roman" w:cs="Times New Roman"/>
          <w:sz w:val="24"/>
          <w:szCs w:val="24"/>
        </w:rPr>
      </w:pPr>
    </w:p>
    <w:p w14:paraId="0DEB265E" w14:textId="112B96A7" w:rsidR="008F2FF9" w:rsidRPr="001616AF" w:rsidRDefault="008F2FF9" w:rsidP="008F2FF9">
      <w:pPr>
        <w:spacing w:after="0" w:line="240" w:lineRule="auto"/>
        <w:rPr>
          <w:rFonts w:ascii="Times New Roman" w:hAnsi="Times New Roman" w:cs="Times New Roman"/>
          <w:sz w:val="24"/>
          <w:szCs w:val="24"/>
        </w:rPr>
      </w:pPr>
    </w:p>
    <w:p w14:paraId="77167EE6" w14:textId="32887AC5" w:rsidR="00CF7EBF" w:rsidRPr="001616AF" w:rsidRDefault="00CF7EBF" w:rsidP="00CF7EBF">
      <w:pPr>
        <w:spacing w:after="0" w:line="240" w:lineRule="auto"/>
        <w:rPr>
          <w:rFonts w:ascii="Times New Roman" w:hAnsi="Times New Roman" w:cs="Times New Roman"/>
          <w:sz w:val="24"/>
          <w:szCs w:val="24"/>
        </w:rPr>
      </w:pPr>
    </w:p>
    <w:p w14:paraId="299AF79D" w14:textId="4D1B9F7A" w:rsidR="00CF7EBF" w:rsidRPr="001616AF" w:rsidRDefault="00B6510F" w:rsidP="00CF7EBF">
      <w:pPr>
        <w:spacing w:after="0" w:line="240" w:lineRule="auto"/>
        <w:rPr>
          <w:rFonts w:ascii="Times New Roman" w:hAnsi="Times New Roman" w:cs="Times New Roman"/>
          <w:b/>
          <w:sz w:val="24"/>
          <w:szCs w:val="24"/>
        </w:rPr>
      </w:pPr>
      <w:r w:rsidRPr="001616AF">
        <w:rPr>
          <w:rFonts w:ascii="Times New Roman" w:hAnsi="Times New Roman" w:cs="Times New Roman"/>
          <w:b/>
          <w:sz w:val="24"/>
          <w:szCs w:val="24"/>
        </w:rPr>
        <w:t xml:space="preserve">Scientific consensus that clear-cutting old growth should end </w:t>
      </w:r>
      <w:r w:rsidR="00CF7EBF" w:rsidRPr="001616AF">
        <w:rPr>
          <w:rFonts w:ascii="Times New Roman" w:hAnsi="Times New Roman" w:cs="Times New Roman"/>
          <w:b/>
          <w:sz w:val="24"/>
          <w:szCs w:val="24"/>
        </w:rPr>
        <w:t xml:space="preserve">on </w:t>
      </w:r>
      <w:r w:rsidR="00AE5875" w:rsidRPr="001616AF">
        <w:rPr>
          <w:rFonts w:ascii="Times New Roman" w:hAnsi="Times New Roman" w:cs="Times New Roman"/>
          <w:b/>
          <w:sz w:val="24"/>
          <w:szCs w:val="24"/>
        </w:rPr>
        <w:t xml:space="preserve">federal lands.  </w:t>
      </w:r>
    </w:p>
    <w:p w14:paraId="37592CD1" w14:textId="3E29AB9A" w:rsidR="00CF7EBF" w:rsidRPr="001616AF" w:rsidRDefault="00CF7EBF" w:rsidP="00CF7EBF">
      <w:pPr>
        <w:spacing w:after="0" w:line="240" w:lineRule="auto"/>
        <w:rPr>
          <w:rFonts w:ascii="Times New Roman" w:hAnsi="Times New Roman" w:cs="Times New Roman"/>
          <w:sz w:val="24"/>
          <w:szCs w:val="24"/>
        </w:rPr>
      </w:pPr>
      <w:r w:rsidRPr="001616AF">
        <w:rPr>
          <w:rFonts w:ascii="Times New Roman" w:hAnsi="Times New Roman" w:cs="Times New Roman"/>
          <w:sz w:val="24"/>
          <w:szCs w:val="24"/>
        </w:rPr>
        <w:t>The Earth’s old-growth forests are today exceedingly rare</w:t>
      </w:r>
      <w:r w:rsidR="00A166F7">
        <w:rPr>
          <w:rFonts w:ascii="Times New Roman" w:hAnsi="Times New Roman" w:cs="Times New Roman"/>
          <w:sz w:val="24"/>
          <w:szCs w:val="24"/>
        </w:rPr>
        <w:t xml:space="preserve"> and highly fragmented</w:t>
      </w:r>
      <w:r w:rsidRPr="001616AF">
        <w:rPr>
          <w:rFonts w:ascii="Times New Roman" w:hAnsi="Times New Roman" w:cs="Times New Roman"/>
          <w:sz w:val="24"/>
          <w:szCs w:val="24"/>
        </w:rPr>
        <w:t>.  In the United States, perhaps as little as 5-10% of our original forests still remain and most of that occurs on the Tongass National Forest.  The ecological structure and function of old growth requires many centuries to develop.  Thus, when clear</w:t>
      </w:r>
      <w:r w:rsidR="0084390B" w:rsidRPr="001616AF">
        <w:rPr>
          <w:rFonts w:ascii="Times New Roman" w:hAnsi="Times New Roman" w:cs="Times New Roman"/>
          <w:sz w:val="24"/>
          <w:szCs w:val="24"/>
        </w:rPr>
        <w:t>-</w:t>
      </w:r>
      <w:r w:rsidRPr="001616AF">
        <w:rPr>
          <w:rFonts w:ascii="Times New Roman" w:hAnsi="Times New Roman" w:cs="Times New Roman"/>
          <w:sz w:val="24"/>
          <w:szCs w:val="24"/>
        </w:rPr>
        <w:t xml:space="preserve">cut on short (less than two-three century) harvest schedules, the many ecological, economic, and societal values old-growth forests </w:t>
      </w:r>
      <w:r w:rsidR="005C58A5" w:rsidRPr="001616AF">
        <w:rPr>
          <w:rFonts w:ascii="Times New Roman" w:hAnsi="Times New Roman" w:cs="Times New Roman"/>
          <w:sz w:val="24"/>
          <w:szCs w:val="24"/>
        </w:rPr>
        <w:t xml:space="preserve">provide </w:t>
      </w:r>
      <w:r w:rsidRPr="001616AF">
        <w:rPr>
          <w:rFonts w:ascii="Times New Roman" w:hAnsi="Times New Roman" w:cs="Times New Roman"/>
          <w:sz w:val="24"/>
          <w:szCs w:val="24"/>
        </w:rPr>
        <w:t xml:space="preserve">will be permanently lost.  </w:t>
      </w:r>
      <w:r w:rsidRPr="001616AF">
        <w:rPr>
          <w:rFonts w:ascii="Times New Roman" w:hAnsi="Times New Roman" w:cs="Times New Roman"/>
          <w:sz w:val="24"/>
          <w:szCs w:val="24"/>
          <w:u w:val="single"/>
        </w:rPr>
        <w:t>Old-growth forests are essentially a non-renewable resource.</w:t>
      </w:r>
      <w:r w:rsidRPr="001616AF">
        <w:rPr>
          <w:rFonts w:ascii="Times New Roman" w:hAnsi="Times New Roman" w:cs="Times New Roman"/>
          <w:sz w:val="24"/>
          <w:szCs w:val="24"/>
        </w:rPr>
        <w:t xml:space="preserve"> </w:t>
      </w:r>
    </w:p>
    <w:p w14:paraId="4FCE0B44" w14:textId="77777777" w:rsidR="00CF7EBF" w:rsidRPr="001616AF" w:rsidRDefault="00CF7EBF" w:rsidP="00CF7EBF">
      <w:pPr>
        <w:spacing w:after="0" w:line="240" w:lineRule="auto"/>
        <w:rPr>
          <w:rFonts w:ascii="Times New Roman" w:hAnsi="Times New Roman" w:cs="Times New Roman"/>
          <w:sz w:val="24"/>
          <w:szCs w:val="24"/>
        </w:rPr>
      </w:pPr>
    </w:p>
    <w:p w14:paraId="2E93099E" w14:textId="3E956EF6" w:rsidR="00CF7EBF" w:rsidRPr="001616AF" w:rsidRDefault="00CF7EBF" w:rsidP="00CF7EBF">
      <w:pPr>
        <w:spacing w:after="0" w:line="240" w:lineRule="auto"/>
        <w:rPr>
          <w:rFonts w:ascii="Times New Roman" w:hAnsi="Times New Roman" w:cs="Times New Roman"/>
          <w:sz w:val="24"/>
          <w:szCs w:val="24"/>
        </w:rPr>
      </w:pPr>
      <w:r w:rsidRPr="001616AF">
        <w:rPr>
          <w:rFonts w:ascii="Times New Roman" w:hAnsi="Times New Roman" w:cs="Times New Roman"/>
          <w:sz w:val="24"/>
          <w:szCs w:val="24"/>
        </w:rPr>
        <w:t>The scientific concern for preserving the nation’s remaining old-growth forests has grown significantly since the 1980s.  Today, the Tongass is the only national forest in the United States that is still clear</w:t>
      </w:r>
      <w:r w:rsidR="0084390B" w:rsidRPr="001616AF">
        <w:rPr>
          <w:rFonts w:ascii="Times New Roman" w:hAnsi="Times New Roman" w:cs="Times New Roman"/>
          <w:sz w:val="24"/>
          <w:szCs w:val="24"/>
        </w:rPr>
        <w:t>-</w:t>
      </w:r>
      <w:r w:rsidRPr="001616AF">
        <w:rPr>
          <w:rFonts w:ascii="Times New Roman" w:hAnsi="Times New Roman" w:cs="Times New Roman"/>
          <w:sz w:val="24"/>
          <w:szCs w:val="24"/>
        </w:rPr>
        <w:t>cutting old growth</w:t>
      </w:r>
      <w:r w:rsidR="00AE5875" w:rsidRPr="001616AF">
        <w:rPr>
          <w:rFonts w:ascii="Times New Roman" w:hAnsi="Times New Roman" w:cs="Times New Roman"/>
          <w:sz w:val="24"/>
          <w:szCs w:val="24"/>
        </w:rPr>
        <w:t xml:space="preserve"> on an industrial scale</w:t>
      </w:r>
      <w:r w:rsidRPr="001616AF">
        <w:rPr>
          <w:rFonts w:ascii="Times New Roman" w:hAnsi="Times New Roman" w:cs="Times New Roman"/>
          <w:sz w:val="24"/>
          <w:szCs w:val="24"/>
        </w:rPr>
        <w:t xml:space="preserve">.  And the scientific support for ending this </w:t>
      </w:r>
      <w:r w:rsidRPr="001616AF">
        <w:rPr>
          <w:rFonts w:ascii="Times New Roman" w:hAnsi="Times New Roman" w:cs="Times New Roman"/>
          <w:sz w:val="24"/>
          <w:szCs w:val="24"/>
          <w:u w:val="single"/>
        </w:rPr>
        <w:t>unsustainable</w:t>
      </w:r>
      <w:r w:rsidRPr="001616AF">
        <w:rPr>
          <w:rFonts w:ascii="Times New Roman" w:hAnsi="Times New Roman" w:cs="Times New Roman"/>
          <w:sz w:val="24"/>
          <w:szCs w:val="24"/>
        </w:rPr>
        <w:t xml:space="preserve"> silvicultural practice has grown dramatically as scientists increasingly learn of old growth’s irreplaceable ecological and economic values to society (including ameliorating the impacts of climate change) and recognize that </w:t>
      </w:r>
      <w:r w:rsidRPr="001616AF">
        <w:rPr>
          <w:rFonts w:ascii="Times New Roman" w:hAnsi="Times New Roman" w:cs="Times New Roman"/>
          <w:i/>
          <w:sz w:val="24"/>
          <w:szCs w:val="24"/>
        </w:rPr>
        <w:t>old growth</w:t>
      </w:r>
      <w:r w:rsidRPr="001616AF">
        <w:rPr>
          <w:rFonts w:ascii="Times New Roman" w:hAnsi="Times New Roman" w:cs="Times New Roman"/>
          <w:sz w:val="24"/>
          <w:szCs w:val="24"/>
        </w:rPr>
        <w:t xml:space="preserve"> has become an endangered ecosystem.  In the last decade, there have been numerous letters to the Department of Agriculture and the President from scientists requesting an end to old growth clear</w:t>
      </w:r>
      <w:r w:rsidR="0084390B" w:rsidRPr="001616AF">
        <w:rPr>
          <w:rFonts w:ascii="Times New Roman" w:hAnsi="Times New Roman" w:cs="Times New Roman"/>
          <w:sz w:val="24"/>
          <w:szCs w:val="24"/>
        </w:rPr>
        <w:t>-</w:t>
      </w:r>
      <w:r w:rsidRPr="001616AF">
        <w:rPr>
          <w:rFonts w:ascii="Times New Roman" w:hAnsi="Times New Roman" w:cs="Times New Roman"/>
          <w:sz w:val="24"/>
          <w:szCs w:val="24"/>
        </w:rPr>
        <w:t xml:space="preserve">cutting on national forests in general and specifically requesting a rapid transition out of old growth clearcutting on the Tongass.  In 2003, former Forest Service Chiefs </w:t>
      </w:r>
      <w:r w:rsidR="005C58A5" w:rsidRPr="001616AF">
        <w:rPr>
          <w:rFonts w:ascii="Times New Roman" w:hAnsi="Times New Roman" w:cs="Times New Roman"/>
          <w:sz w:val="24"/>
          <w:szCs w:val="24"/>
        </w:rPr>
        <w:t xml:space="preserve">Mike </w:t>
      </w:r>
      <w:proofErr w:type="spellStart"/>
      <w:r w:rsidR="005C58A5" w:rsidRPr="001616AF">
        <w:rPr>
          <w:rFonts w:ascii="Times New Roman" w:hAnsi="Times New Roman" w:cs="Times New Roman"/>
          <w:sz w:val="24"/>
          <w:szCs w:val="24"/>
        </w:rPr>
        <w:t>Dombeck</w:t>
      </w:r>
      <w:proofErr w:type="spellEnd"/>
      <w:r w:rsidR="005C58A5" w:rsidRPr="001616AF">
        <w:rPr>
          <w:rFonts w:ascii="Times New Roman" w:hAnsi="Times New Roman" w:cs="Times New Roman"/>
          <w:sz w:val="24"/>
          <w:szCs w:val="24"/>
        </w:rPr>
        <w:t xml:space="preserve"> and </w:t>
      </w:r>
      <w:r w:rsidRPr="001616AF">
        <w:rPr>
          <w:rFonts w:ascii="Times New Roman" w:hAnsi="Times New Roman" w:cs="Times New Roman"/>
          <w:sz w:val="24"/>
          <w:szCs w:val="24"/>
        </w:rPr>
        <w:t>Jack Ward Thomas urged that “…harvest of old growth from the national forests should come to an end…” (Seattle PI, 8-23-03)</w:t>
      </w:r>
    </w:p>
    <w:p w14:paraId="035E5386" w14:textId="0A8B4352" w:rsidR="00CF7EBF" w:rsidRPr="001616AF" w:rsidRDefault="00CF7EBF" w:rsidP="00DA73E5">
      <w:pPr>
        <w:spacing w:after="0" w:line="240" w:lineRule="auto"/>
        <w:rPr>
          <w:rFonts w:ascii="Times New Roman" w:hAnsi="Times New Roman" w:cs="Times New Roman"/>
          <w:sz w:val="24"/>
          <w:szCs w:val="24"/>
        </w:rPr>
      </w:pPr>
      <w:r w:rsidRPr="001616AF">
        <w:rPr>
          <w:rFonts w:ascii="Times New Roman" w:hAnsi="Times New Roman" w:cs="Times New Roman"/>
          <w:sz w:val="24"/>
          <w:szCs w:val="24"/>
        </w:rPr>
        <w:t xml:space="preserve">In 2014, 78 scientists, led by former chiefs Thomas and </w:t>
      </w:r>
      <w:proofErr w:type="spellStart"/>
      <w:r w:rsidRPr="001616AF">
        <w:rPr>
          <w:rFonts w:ascii="Times New Roman" w:hAnsi="Times New Roman" w:cs="Times New Roman"/>
          <w:sz w:val="24"/>
          <w:szCs w:val="24"/>
        </w:rPr>
        <w:t>Dombeck</w:t>
      </w:r>
      <w:proofErr w:type="spellEnd"/>
      <w:r w:rsidRPr="001616AF">
        <w:rPr>
          <w:rFonts w:ascii="Times New Roman" w:hAnsi="Times New Roman" w:cs="Times New Roman"/>
          <w:sz w:val="24"/>
          <w:szCs w:val="24"/>
        </w:rPr>
        <w:t>, sent a letter to the President of the United States requesting that he “…direct the Secretary of Agriculture and Chief of the U.S. Forest Service to utilize their authority to craft a National Old Growth Policy that fully protects the remaining old-growth forests on national forests throughout the United States…” (Letter to President Obama, 6-24-14).</w:t>
      </w:r>
      <w:r w:rsidR="00DA73E5" w:rsidRPr="001616AF">
        <w:rPr>
          <w:rFonts w:ascii="Times New Roman" w:hAnsi="Times New Roman" w:cs="Times New Roman"/>
          <w:sz w:val="24"/>
          <w:szCs w:val="24"/>
        </w:rPr>
        <w:t xml:space="preserve">  In addition, in </w:t>
      </w:r>
      <w:r w:rsidRPr="001616AF">
        <w:rPr>
          <w:rFonts w:ascii="Times New Roman" w:hAnsi="Times New Roman" w:cs="Times New Roman"/>
          <w:sz w:val="24"/>
          <w:szCs w:val="24"/>
        </w:rPr>
        <w:t xml:space="preserve">2015, seven scientific societies (American Fisheries Society, American Ornithologist’s Union, American Society of </w:t>
      </w:r>
      <w:proofErr w:type="spellStart"/>
      <w:r w:rsidRPr="001616AF">
        <w:rPr>
          <w:rFonts w:ascii="Times New Roman" w:hAnsi="Times New Roman" w:cs="Times New Roman"/>
          <w:sz w:val="24"/>
          <w:szCs w:val="24"/>
        </w:rPr>
        <w:t>Mammalogists</w:t>
      </w:r>
      <w:proofErr w:type="spellEnd"/>
      <w:r w:rsidRPr="001616AF">
        <w:rPr>
          <w:rFonts w:ascii="Times New Roman" w:hAnsi="Times New Roman" w:cs="Times New Roman"/>
          <w:sz w:val="24"/>
          <w:szCs w:val="24"/>
        </w:rPr>
        <w:t xml:space="preserve">, Ecological Society of America, Pacific Seabird Group, Society for Conservation Biology, and The Wildlife Society), representing a combined membership of over 30,000 scientists and natural resource professionals, sent a joint letter to </w:t>
      </w:r>
      <w:r w:rsidR="002F2B1F">
        <w:rPr>
          <w:rFonts w:ascii="Times New Roman" w:hAnsi="Times New Roman" w:cs="Times New Roman"/>
          <w:sz w:val="24"/>
          <w:szCs w:val="24"/>
        </w:rPr>
        <w:t>the Secretar</w:t>
      </w:r>
      <w:r w:rsidR="006E72FE">
        <w:rPr>
          <w:rFonts w:ascii="Times New Roman" w:hAnsi="Times New Roman" w:cs="Times New Roman"/>
          <w:sz w:val="24"/>
          <w:szCs w:val="24"/>
        </w:rPr>
        <w:t xml:space="preserve">y of Agriculture </w:t>
      </w:r>
      <w:r w:rsidRPr="001616AF">
        <w:rPr>
          <w:rFonts w:ascii="Times New Roman" w:hAnsi="Times New Roman" w:cs="Times New Roman"/>
          <w:sz w:val="24"/>
          <w:szCs w:val="24"/>
        </w:rPr>
        <w:t>regarding the clearcutting of old growth on the Tongass.  The letter stated in part “The Tongass National Forest has the greatest abundance of old growth remaining in the nation.  Managing for its old-growth forests, carbon stores, and fish and wildlife populations, would provide an example to the world of the administration’s commitment to climate change remediation as well as assure that the Tongass region will continue to provide robust natural resources for future generations.  For these reasons, we request that you (1) provide additional guidance to the Forest Service to end clear</w:t>
      </w:r>
      <w:r w:rsidR="00D070E9" w:rsidRPr="001616AF">
        <w:rPr>
          <w:rFonts w:ascii="Times New Roman" w:hAnsi="Times New Roman" w:cs="Times New Roman"/>
          <w:sz w:val="24"/>
          <w:szCs w:val="24"/>
        </w:rPr>
        <w:t>-</w:t>
      </w:r>
      <w:r w:rsidRPr="001616AF">
        <w:rPr>
          <w:rFonts w:ascii="Times New Roman" w:hAnsi="Times New Roman" w:cs="Times New Roman"/>
          <w:sz w:val="24"/>
          <w:szCs w:val="24"/>
        </w:rPr>
        <w:t>cut logging of old-growth forests during the forest plan amendment process, and (2) ensure that the timber industry’s transition to second growth is completed as rapidly as possible, ideally within the next three years.” (Letter to Secretary Vilsack, 1-20-15)</w:t>
      </w:r>
      <w:r w:rsidR="0084390B" w:rsidRPr="001616AF">
        <w:rPr>
          <w:rFonts w:ascii="Times New Roman" w:hAnsi="Times New Roman" w:cs="Times New Roman"/>
          <w:sz w:val="24"/>
          <w:szCs w:val="24"/>
        </w:rPr>
        <w:t>.</w:t>
      </w:r>
      <w:r w:rsidRPr="001616AF">
        <w:rPr>
          <w:rFonts w:ascii="Times New Roman" w:hAnsi="Times New Roman" w:cs="Times New Roman"/>
          <w:sz w:val="24"/>
          <w:szCs w:val="24"/>
        </w:rPr>
        <w:t xml:space="preserve">  Clearly, these examples demonstrate strong scientific consensus that the clear</w:t>
      </w:r>
      <w:r w:rsidR="0084390B" w:rsidRPr="001616AF">
        <w:rPr>
          <w:rFonts w:ascii="Times New Roman" w:hAnsi="Times New Roman" w:cs="Times New Roman"/>
          <w:sz w:val="24"/>
          <w:szCs w:val="24"/>
        </w:rPr>
        <w:t>-</w:t>
      </w:r>
      <w:r w:rsidRPr="001616AF">
        <w:rPr>
          <w:rFonts w:ascii="Times New Roman" w:hAnsi="Times New Roman" w:cs="Times New Roman"/>
          <w:sz w:val="24"/>
          <w:szCs w:val="24"/>
        </w:rPr>
        <w:t xml:space="preserve">cutting of old-growth forests should come to a rapid end.  </w:t>
      </w:r>
    </w:p>
    <w:p w14:paraId="59A5E84E" w14:textId="77777777" w:rsidR="00D070E9" w:rsidRPr="001616AF" w:rsidRDefault="00D070E9" w:rsidP="00CF7EBF">
      <w:pPr>
        <w:spacing w:line="240" w:lineRule="auto"/>
        <w:rPr>
          <w:rFonts w:ascii="Times New Roman" w:hAnsi="Times New Roman" w:cs="Times New Roman"/>
          <w:sz w:val="24"/>
          <w:szCs w:val="24"/>
        </w:rPr>
      </w:pPr>
    </w:p>
    <w:p w14:paraId="643BA6F9" w14:textId="01844E1D" w:rsidR="00CF7EBF" w:rsidRPr="001616AF" w:rsidRDefault="00CF7EBF" w:rsidP="00CF7EBF">
      <w:pPr>
        <w:spacing w:after="0" w:line="240" w:lineRule="auto"/>
        <w:rPr>
          <w:rFonts w:ascii="Times New Roman" w:hAnsi="Times New Roman" w:cs="Times New Roman"/>
          <w:b/>
          <w:sz w:val="24"/>
          <w:szCs w:val="24"/>
        </w:rPr>
      </w:pPr>
      <w:r w:rsidRPr="001616AF">
        <w:rPr>
          <w:rFonts w:ascii="Times New Roman" w:hAnsi="Times New Roman" w:cs="Times New Roman"/>
          <w:b/>
          <w:sz w:val="24"/>
          <w:szCs w:val="24"/>
        </w:rPr>
        <w:t>High-grading the large-tree old-growth stands</w:t>
      </w:r>
      <w:r w:rsidR="005C58A5" w:rsidRPr="001616AF">
        <w:rPr>
          <w:rFonts w:ascii="Times New Roman" w:hAnsi="Times New Roman" w:cs="Times New Roman"/>
          <w:b/>
          <w:sz w:val="24"/>
          <w:szCs w:val="24"/>
        </w:rPr>
        <w:t xml:space="preserve"> on the Tongass National Forest</w:t>
      </w:r>
      <w:r w:rsidRPr="001616AF">
        <w:rPr>
          <w:rFonts w:ascii="Times New Roman" w:hAnsi="Times New Roman" w:cs="Times New Roman"/>
          <w:b/>
          <w:sz w:val="24"/>
          <w:szCs w:val="24"/>
        </w:rPr>
        <w:t xml:space="preserve">: </w:t>
      </w:r>
    </w:p>
    <w:p w14:paraId="0740F2A5" w14:textId="11F5F824" w:rsidR="00CF7EBF" w:rsidRPr="001616AF" w:rsidRDefault="00CF7EBF" w:rsidP="00CF7EBF">
      <w:pPr>
        <w:spacing w:after="0" w:line="240" w:lineRule="auto"/>
        <w:rPr>
          <w:rFonts w:ascii="Times New Roman" w:hAnsi="Times New Roman" w:cs="Times New Roman"/>
          <w:sz w:val="24"/>
          <w:szCs w:val="24"/>
        </w:rPr>
      </w:pPr>
      <w:r w:rsidRPr="001616AF">
        <w:rPr>
          <w:rFonts w:ascii="Times New Roman" w:hAnsi="Times New Roman" w:cs="Times New Roman"/>
          <w:sz w:val="24"/>
          <w:szCs w:val="24"/>
        </w:rPr>
        <w:t>For decades, scientists have been urging the Forest Service to end high-grading (i.e., disproportionate harvest of rare forest types) the most valuable stands of large-tree old growth on the Tongass.  In 1985, the Alaska Chapter of The Wildlife Society recommended “The disproportionate harvest of high-volume, old-growth classes should cease.” (TWS Position Statement on old-growth forest management in coastal Alaska,</w:t>
      </w:r>
      <w:r w:rsidR="00D070E9" w:rsidRPr="001616AF">
        <w:rPr>
          <w:rFonts w:ascii="Times New Roman" w:hAnsi="Times New Roman" w:cs="Times New Roman"/>
          <w:sz w:val="24"/>
          <w:szCs w:val="24"/>
        </w:rPr>
        <w:t xml:space="preserve"> </w:t>
      </w:r>
      <w:r w:rsidRPr="001616AF">
        <w:rPr>
          <w:rFonts w:ascii="Times New Roman" w:hAnsi="Times New Roman" w:cs="Times New Roman"/>
          <w:sz w:val="24"/>
          <w:szCs w:val="24"/>
        </w:rPr>
        <w:t>6-85).</w:t>
      </w:r>
    </w:p>
    <w:p w14:paraId="61A95205" w14:textId="77777777" w:rsidR="00CF7EBF" w:rsidRPr="001616AF" w:rsidRDefault="00CF7EBF" w:rsidP="00CF7EBF">
      <w:pPr>
        <w:spacing w:after="0" w:line="240" w:lineRule="auto"/>
        <w:rPr>
          <w:rFonts w:ascii="Times New Roman" w:hAnsi="Times New Roman" w:cs="Times New Roman"/>
          <w:sz w:val="24"/>
          <w:szCs w:val="24"/>
        </w:rPr>
      </w:pPr>
    </w:p>
    <w:p w14:paraId="37BC7EDB" w14:textId="77777777" w:rsidR="00CF7EBF" w:rsidRPr="001616AF" w:rsidRDefault="00CF7EBF" w:rsidP="00CF7EBF">
      <w:pPr>
        <w:spacing w:after="0" w:line="240" w:lineRule="auto"/>
        <w:rPr>
          <w:rFonts w:ascii="Times New Roman" w:hAnsi="Times New Roman" w:cs="Times New Roman"/>
          <w:sz w:val="24"/>
          <w:szCs w:val="24"/>
        </w:rPr>
      </w:pPr>
      <w:r w:rsidRPr="001616AF">
        <w:rPr>
          <w:rFonts w:ascii="Times New Roman" w:hAnsi="Times New Roman" w:cs="Times New Roman"/>
          <w:sz w:val="24"/>
          <w:szCs w:val="24"/>
        </w:rPr>
        <w:t xml:space="preserve">The high-grading issue on the Tongass was also recognized as a significant problem by the United States Congress.  One of the key measures of the Tongass Timber Reform Act (passed by Congress and signed by the President in 1990) was a requirement that the harvest of timber stands on the Tongass should not exceed the proportion of their occurrence on the forest.  This important measure was designed to prohibit high-grading the rare, high-volume old-growth stands.  Unfortunately, this provision was specific to the 50-year pulp mill contracts which were terminated during the 1990s. </w:t>
      </w:r>
    </w:p>
    <w:p w14:paraId="555B66C2" w14:textId="77777777" w:rsidR="00CF7EBF" w:rsidRPr="001616AF" w:rsidRDefault="00CF7EBF" w:rsidP="00CF7EBF">
      <w:pPr>
        <w:spacing w:after="0" w:line="240" w:lineRule="auto"/>
        <w:rPr>
          <w:rFonts w:ascii="Times New Roman" w:hAnsi="Times New Roman" w:cs="Times New Roman"/>
          <w:sz w:val="24"/>
          <w:szCs w:val="24"/>
        </w:rPr>
      </w:pPr>
    </w:p>
    <w:p w14:paraId="5C4BA5CC" w14:textId="77777777" w:rsidR="00CF7EBF" w:rsidRPr="001616AF" w:rsidRDefault="00CF7EBF" w:rsidP="00CF7EBF">
      <w:pPr>
        <w:pStyle w:val="Body1"/>
        <w:spacing w:line="240" w:lineRule="auto"/>
        <w:ind w:firstLine="0"/>
        <w:rPr>
          <w:sz w:val="24"/>
        </w:rPr>
      </w:pPr>
      <w:r w:rsidRPr="001616AF">
        <w:rPr>
          <w:sz w:val="24"/>
        </w:rPr>
        <w:t xml:space="preserve">The significant loss of large-tree old growth (SD67) habitat (i.e., high-volume old growth), especially in certain biogeographic provinces such as northern Prince of Wales, is not compatible with the goal of maintaining habitat diversity well distributed across the Tongass.  The 2008 FEIS (3-174) stated: “It can be assumed that the more an alternative changes the natural distribution and composition of old-growth ecosystems, the greater are its effects on biodiversity.”   Past high-grading of old growth on the Tongass (as well as on adjacent state and private lands) and future management under the Amended Forest Plan will have a significant cumulative impact on biodiversity and the integrity and resilience of the rainforest ecosystem on the Tongass and particularly on Prince of Wales Island where it is likely that more high-grading will occur if the remaining roadless areas are opened to development.  </w:t>
      </w:r>
    </w:p>
    <w:p w14:paraId="5D247693" w14:textId="77777777" w:rsidR="00CF7EBF" w:rsidRPr="001616AF" w:rsidRDefault="00CF7EBF" w:rsidP="00CF7EBF">
      <w:pPr>
        <w:spacing w:after="0" w:line="240" w:lineRule="auto"/>
        <w:rPr>
          <w:rFonts w:ascii="Times New Roman" w:hAnsi="Times New Roman" w:cs="Times New Roman"/>
          <w:sz w:val="24"/>
          <w:szCs w:val="24"/>
        </w:rPr>
      </w:pPr>
    </w:p>
    <w:p w14:paraId="5AE5BBB8" w14:textId="77777777" w:rsidR="00CF7EBF" w:rsidRPr="001616AF" w:rsidRDefault="00CF7EBF" w:rsidP="00CF7EBF">
      <w:pPr>
        <w:spacing w:after="0" w:line="240" w:lineRule="auto"/>
        <w:rPr>
          <w:rFonts w:ascii="Times New Roman" w:hAnsi="Times New Roman" w:cs="Times New Roman"/>
          <w:sz w:val="24"/>
          <w:szCs w:val="24"/>
        </w:rPr>
      </w:pPr>
      <w:r w:rsidRPr="001616AF">
        <w:rPr>
          <w:rFonts w:ascii="Times New Roman" w:hAnsi="Times New Roman" w:cs="Times New Roman"/>
          <w:sz w:val="24"/>
          <w:szCs w:val="24"/>
        </w:rPr>
        <w:t xml:space="preserve">In 2013, TNC ecologist Dave Albert and I published a paper in the journal </w:t>
      </w:r>
      <w:r w:rsidRPr="001616AF">
        <w:rPr>
          <w:rFonts w:ascii="Times New Roman" w:hAnsi="Times New Roman" w:cs="Times New Roman"/>
          <w:i/>
          <w:sz w:val="24"/>
          <w:szCs w:val="24"/>
        </w:rPr>
        <w:t>Conservation Biology,</w:t>
      </w:r>
      <w:r w:rsidRPr="001616AF">
        <w:rPr>
          <w:rFonts w:ascii="Times New Roman" w:hAnsi="Times New Roman" w:cs="Times New Roman"/>
          <w:sz w:val="24"/>
          <w:szCs w:val="24"/>
        </w:rPr>
        <w:t xml:space="preserve"> “</w:t>
      </w:r>
      <w:bookmarkStart w:id="0" w:name="_Hlk526944789"/>
      <w:r w:rsidRPr="001616AF">
        <w:rPr>
          <w:rFonts w:ascii="Times New Roman" w:hAnsi="Times New Roman" w:cs="Times New Roman"/>
          <w:sz w:val="24"/>
          <w:szCs w:val="24"/>
        </w:rPr>
        <w:t>Use of Historical Logging Patterns to Identify Disproportionately Logged Ecosystems within the Temperate Rainforests of Southeastern Alaska</w:t>
      </w:r>
      <w:bookmarkEnd w:id="0"/>
      <w:r w:rsidRPr="001616AF">
        <w:rPr>
          <w:rFonts w:ascii="Times New Roman" w:hAnsi="Times New Roman" w:cs="Times New Roman"/>
          <w:sz w:val="24"/>
          <w:szCs w:val="24"/>
        </w:rPr>
        <w:t>” (Albert and Schoen 2013).  We evaluated the pre-1954 occurrence of contiguous high-volume forest (large-tree old growth) in southeast Alaska to the forest that remained in 2004.  Key excerpts from that paper follow.</w:t>
      </w:r>
    </w:p>
    <w:p w14:paraId="3A5F6546" w14:textId="77777777" w:rsidR="00CF7EBF" w:rsidRPr="001616AF" w:rsidRDefault="00CF7EBF" w:rsidP="00CF7EBF">
      <w:pPr>
        <w:spacing w:after="0" w:line="240" w:lineRule="auto"/>
        <w:rPr>
          <w:rFonts w:ascii="Times New Roman" w:hAnsi="Times New Roman" w:cs="Times New Roman"/>
          <w:sz w:val="24"/>
          <w:szCs w:val="24"/>
        </w:rPr>
      </w:pPr>
    </w:p>
    <w:p w14:paraId="78BD09B0" w14:textId="77777777" w:rsidR="00CF7EBF" w:rsidRPr="001616AF" w:rsidRDefault="00CF7EBF" w:rsidP="00CF7EBF">
      <w:pPr>
        <w:spacing w:after="0" w:line="240" w:lineRule="auto"/>
        <w:rPr>
          <w:rFonts w:ascii="Times New Roman" w:hAnsi="Times New Roman" w:cs="Times New Roman"/>
          <w:b/>
          <w:i/>
          <w:sz w:val="24"/>
          <w:szCs w:val="24"/>
        </w:rPr>
      </w:pPr>
      <w:r w:rsidRPr="001616AF">
        <w:rPr>
          <w:rFonts w:ascii="Times New Roman" w:hAnsi="Times New Roman" w:cs="Times New Roman"/>
          <w:i/>
          <w:sz w:val="24"/>
          <w:szCs w:val="24"/>
        </w:rPr>
        <w:t xml:space="preserve">The highest volume landscape forests in 1954 were reduced by 66.5% region-wide from 243,373 ha in 1954 to 81,611 ha in 2004.  This reduction was accompanied by similar declines in the number of patches, average patch size, and largest patch size.  Due to natural fragmentation, high-volume forests contiguous at a landscape scale were always rare.  </w:t>
      </w:r>
      <w:r w:rsidRPr="001616AF">
        <w:rPr>
          <w:rFonts w:ascii="Times New Roman" w:hAnsi="Times New Roman" w:cs="Times New Roman"/>
          <w:b/>
          <w:i/>
          <w:sz w:val="24"/>
          <w:szCs w:val="24"/>
        </w:rPr>
        <w:t>The largest proportion (31%) of contiguous high-volume forest occurred on northern Prince of Wales Island, where such forests have been reduced by 93.8%...</w:t>
      </w:r>
    </w:p>
    <w:p w14:paraId="0729AE49" w14:textId="77777777" w:rsidR="00CF7EBF" w:rsidRPr="001616AF" w:rsidRDefault="00CF7EBF" w:rsidP="00CF7EBF">
      <w:pPr>
        <w:spacing w:after="0" w:line="240" w:lineRule="auto"/>
        <w:rPr>
          <w:rFonts w:ascii="Times New Roman" w:hAnsi="Times New Roman" w:cs="Times New Roman"/>
          <w:i/>
          <w:sz w:val="24"/>
          <w:szCs w:val="24"/>
        </w:rPr>
      </w:pPr>
    </w:p>
    <w:p w14:paraId="15F7FD22" w14:textId="0598558D" w:rsidR="00AB4D54" w:rsidRPr="001616AF" w:rsidRDefault="00CF7EBF" w:rsidP="00090AC4">
      <w:pPr>
        <w:spacing w:after="0" w:line="240" w:lineRule="auto"/>
        <w:rPr>
          <w:rFonts w:ascii="Times New Roman" w:hAnsi="Times New Roman" w:cs="Times New Roman"/>
          <w:b/>
          <w:bCs/>
          <w:sz w:val="24"/>
          <w:szCs w:val="24"/>
        </w:rPr>
      </w:pPr>
      <w:r w:rsidRPr="001616AF">
        <w:rPr>
          <w:rFonts w:ascii="Times New Roman" w:hAnsi="Times New Roman" w:cs="Times New Roman"/>
          <w:sz w:val="24"/>
          <w:szCs w:val="24"/>
        </w:rPr>
        <w:t xml:space="preserve">Although it has been indisputably documented that the rare, large-tree old-growth forests on the Tongass have been significantly targeted for logging and scientists have strongly cautioned that this practice will increase conservation risks to wildlife, this management approach </w:t>
      </w:r>
      <w:r w:rsidR="006E72FE">
        <w:rPr>
          <w:rFonts w:ascii="Times New Roman" w:hAnsi="Times New Roman" w:cs="Times New Roman"/>
          <w:sz w:val="24"/>
          <w:szCs w:val="24"/>
        </w:rPr>
        <w:t xml:space="preserve">has continued. </w:t>
      </w:r>
      <w:r w:rsidRPr="001616AF">
        <w:rPr>
          <w:rFonts w:ascii="Times New Roman" w:hAnsi="Times New Roman" w:cs="Times New Roman"/>
          <w:sz w:val="24"/>
          <w:szCs w:val="24"/>
        </w:rPr>
        <w:t xml:space="preserve">This is a significant conservation concern and a major justification for NOT modifying the </w:t>
      </w:r>
      <w:r w:rsidR="00671DA2" w:rsidRPr="001616AF">
        <w:rPr>
          <w:rFonts w:ascii="Times New Roman" w:hAnsi="Times New Roman" w:cs="Times New Roman"/>
          <w:sz w:val="24"/>
          <w:szCs w:val="24"/>
        </w:rPr>
        <w:t>200</w:t>
      </w:r>
      <w:r w:rsidR="00BD4154" w:rsidRPr="001616AF">
        <w:rPr>
          <w:rFonts w:ascii="Times New Roman" w:hAnsi="Times New Roman" w:cs="Times New Roman"/>
          <w:sz w:val="24"/>
          <w:szCs w:val="24"/>
        </w:rPr>
        <w:t>1</w:t>
      </w:r>
      <w:r w:rsidR="00671DA2" w:rsidRPr="001616AF">
        <w:rPr>
          <w:rFonts w:ascii="Times New Roman" w:hAnsi="Times New Roman" w:cs="Times New Roman"/>
          <w:sz w:val="24"/>
          <w:szCs w:val="24"/>
        </w:rPr>
        <w:t xml:space="preserve"> </w:t>
      </w:r>
      <w:r w:rsidRPr="001616AF">
        <w:rPr>
          <w:rFonts w:ascii="Times New Roman" w:hAnsi="Times New Roman" w:cs="Times New Roman"/>
          <w:sz w:val="24"/>
          <w:szCs w:val="24"/>
        </w:rPr>
        <w:t xml:space="preserve">Roadless Rule on the Tongass Forest.  </w:t>
      </w:r>
    </w:p>
    <w:p w14:paraId="077DB77A" w14:textId="7CF48601" w:rsidR="00AF5C1D" w:rsidRPr="001616AF" w:rsidRDefault="00AF5C1D" w:rsidP="00CF7EBF">
      <w:pPr>
        <w:spacing w:after="0" w:line="240" w:lineRule="auto"/>
        <w:rPr>
          <w:rFonts w:ascii="Times New Roman" w:hAnsi="Times New Roman" w:cs="Times New Roman"/>
          <w:sz w:val="24"/>
          <w:szCs w:val="24"/>
        </w:rPr>
      </w:pPr>
    </w:p>
    <w:p w14:paraId="694B38BC" w14:textId="38E870C8" w:rsidR="00CF7EBF" w:rsidRPr="001616AF" w:rsidRDefault="0085274D" w:rsidP="00CF7EBF">
      <w:pPr>
        <w:spacing w:after="0" w:line="240" w:lineRule="auto"/>
        <w:rPr>
          <w:rFonts w:ascii="Times New Roman" w:hAnsi="Times New Roman" w:cs="Times New Roman"/>
          <w:b/>
          <w:bCs/>
          <w:sz w:val="24"/>
          <w:szCs w:val="24"/>
        </w:rPr>
      </w:pPr>
      <w:r w:rsidRPr="001616AF">
        <w:rPr>
          <w:rFonts w:ascii="Times New Roman" w:hAnsi="Times New Roman" w:cs="Times New Roman"/>
          <w:b/>
          <w:bCs/>
          <w:sz w:val="24"/>
          <w:szCs w:val="24"/>
        </w:rPr>
        <w:t xml:space="preserve">The </w:t>
      </w:r>
      <w:r w:rsidR="00141B5C" w:rsidRPr="001616AF">
        <w:rPr>
          <w:rFonts w:ascii="Times New Roman" w:hAnsi="Times New Roman" w:cs="Times New Roman"/>
          <w:b/>
          <w:bCs/>
          <w:sz w:val="24"/>
          <w:szCs w:val="24"/>
        </w:rPr>
        <w:t>national i</w:t>
      </w:r>
      <w:r w:rsidRPr="001616AF">
        <w:rPr>
          <w:rFonts w:ascii="Times New Roman" w:hAnsi="Times New Roman" w:cs="Times New Roman"/>
          <w:b/>
          <w:bCs/>
          <w:sz w:val="24"/>
          <w:szCs w:val="24"/>
        </w:rPr>
        <w:t>mportance of the Tongass as a carbon sink</w:t>
      </w:r>
      <w:r w:rsidR="00C0683F" w:rsidRPr="001616AF">
        <w:rPr>
          <w:rFonts w:ascii="Times New Roman" w:hAnsi="Times New Roman" w:cs="Times New Roman"/>
          <w:b/>
          <w:bCs/>
          <w:sz w:val="24"/>
          <w:szCs w:val="24"/>
        </w:rPr>
        <w:t xml:space="preserve"> and in mitigating climate change</w:t>
      </w:r>
      <w:r w:rsidR="00141B5C" w:rsidRPr="001616AF">
        <w:rPr>
          <w:rFonts w:ascii="Times New Roman" w:hAnsi="Times New Roman" w:cs="Times New Roman"/>
          <w:b/>
          <w:bCs/>
          <w:sz w:val="24"/>
          <w:szCs w:val="24"/>
        </w:rPr>
        <w:t>:</w:t>
      </w:r>
    </w:p>
    <w:p w14:paraId="1EF2E07D" w14:textId="784FA5EE" w:rsidR="00141B5C" w:rsidRPr="001616AF" w:rsidRDefault="00C0683F" w:rsidP="00CF7EBF">
      <w:pPr>
        <w:spacing w:after="0" w:line="240" w:lineRule="auto"/>
        <w:rPr>
          <w:rFonts w:ascii="Times New Roman" w:hAnsi="Times New Roman" w:cs="Times New Roman"/>
          <w:sz w:val="24"/>
          <w:szCs w:val="24"/>
        </w:rPr>
      </w:pPr>
      <w:r w:rsidRPr="001616AF">
        <w:rPr>
          <w:rFonts w:ascii="Times New Roman" w:hAnsi="Times New Roman" w:cs="Times New Roman"/>
          <w:sz w:val="24"/>
          <w:szCs w:val="24"/>
        </w:rPr>
        <w:t xml:space="preserve">Climate change is a global threat </w:t>
      </w:r>
      <w:r w:rsidR="00ED4F06" w:rsidRPr="001616AF">
        <w:rPr>
          <w:rFonts w:ascii="Times New Roman" w:hAnsi="Times New Roman" w:cs="Times New Roman"/>
          <w:sz w:val="24"/>
          <w:szCs w:val="24"/>
        </w:rPr>
        <w:t xml:space="preserve">to </w:t>
      </w:r>
      <w:r w:rsidRPr="001616AF">
        <w:rPr>
          <w:rFonts w:ascii="Times New Roman" w:hAnsi="Times New Roman" w:cs="Times New Roman"/>
          <w:sz w:val="24"/>
          <w:szCs w:val="24"/>
        </w:rPr>
        <w:t>life on Earth.  The most effective way to reverse climate warming is to reduce CO</w:t>
      </w:r>
      <w:r w:rsidRPr="001616AF">
        <w:rPr>
          <w:rFonts w:ascii="Times New Roman" w:hAnsi="Times New Roman" w:cs="Times New Roman"/>
          <w:sz w:val="24"/>
          <w:szCs w:val="24"/>
          <w:vertAlign w:val="subscript"/>
        </w:rPr>
        <w:t>2</w:t>
      </w:r>
      <w:r w:rsidRPr="001616AF">
        <w:rPr>
          <w:rFonts w:ascii="Times New Roman" w:hAnsi="Times New Roman" w:cs="Times New Roman"/>
          <w:sz w:val="24"/>
          <w:szCs w:val="24"/>
        </w:rPr>
        <w:t xml:space="preserve"> emissions and increase C</w:t>
      </w:r>
      <w:r w:rsidR="006E72FE">
        <w:rPr>
          <w:rFonts w:ascii="Times New Roman" w:hAnsi="Times New Roman" w:cs="Times New Roman"/>
          <w:sz w:val="24"/>
          <w:szCs w:val="24"/>
        </w:rPr>
        <w:t>O</w:t>
      </w:r>
      <w:r w:rsidRPr="001616AF">
        <w:rPr>
          <w:rFonts w:ascii="Times New Roman" w:hAnsi="Times New Roman" w:cs="Times New Roman"/>
          <w:sz w:val="24"/>
          <w:szCs w:val="24"/>
          <w:vertAlign w:val="subscript"/>
        </w:rPr>
        <w:t>2</w:t>
      </w:r>
      <w:r w:rsidRPr="001616AF">
        <w:rPr>
          <w:rFonts w:ascii="Times New Roman" w:hAnsi="Times New Roman" w:cs="Times New Roman"/>
          <w:sz w:val="24"/>
          <w:szCs w:val="24"/>
        </w:rPr>
        <w:t xml:space="preserve"> removal by vegetation.   Forests which store carbon in wood and soil are particularly effective at removing CO</w:t>
      </w:r>
      <w:r w:rsidRPr="001616AF">
        <w:rPr>
          <w:rFonts w:ascii="Times New Roman" w:hAnsi="Times New Roman" w:cs="Times New Roman"/>
          <w:sz w:val="24"/>
          <w:szCs w:val="24"/>
          <w:vertAlign w:val="subscript"/>
        </w:rPr>
        <w:t>2</w:t>
      </w:r>
      <w:r w:rsidRPr="001616AF">
        <w:rPr>
          <w:rFonts w:ascii="Times New Roman" w:hAnsi="Times New Roman" w:cs="Times New Roman"/>
          <w:sz w:val="24"/>
          <w:szCs w:val="24"/>
        </w:rPr>
        <w:t xml:space="preserve"> from the atmosphere.</w:t>
      </w:r>
      <w:r w:rsidR="007F5940" w:rsidRPr="001616AF">
        <w:rPr>
          <w:rFonts w:ascii="Times New Roman" w:hAnsi="Times New Roman" w:cs="Times New Roman"/>
          <w:sz w:val="24"/>
          <w:szCs w:val="24"/>
        </w:rPr>
        <w:t xml:space="preserve">  It takes hundreds to thousands of years to accumulate car</w:t>
      </w:r>
      <w:r w:rsidR="00153E6A">
        <w:rPr>
          <w:rFonts w:ascii="Times New Roman" w:hAnsi="Times New Roman" w:cs="Times New Roman"/>
          <w:sz w:val="24"/>
          <w:szCs w:val="24"/>
        </w:rPr>
        <w:t>b</w:t>
      </w:r>
      <w:r w:rsidR="007F5940" w:rsidRPr="001616AF">
        <w:rPr>
          <w:rFonts w:ascii="Times New Roman" w:hAnsi="Times New Roman" w:cs="Times New Roman"/>
          <w:sz w:val="24"/>
          <w:szCs w:val="24"/>
        </w:rPr>
        <w:t>on in trees and soils to their ecological potential and ecosystems that are more intact and less disturbed generally maintain higher carbon storage.  Protection of intact forests is one of the most cost-effective ways to mitigate climate change. The total carbon stock in the forests and soils of the Tongass is about 8% of that of all the forests of the conterminous US and over 40% of carbon on national forest lands.  Thus, t</w:t>
      </w:r>
      <w:r w:rsidR="00141B5C" w:rsidRPr="001616AF">
        <w:rPr>
          <w:rFonts w:ascii="Times New Roman" w:hAnsi="Times New Roman" w:cs="Times New Roman"/>
          <w:sz w:val="24"/>
          <w:szCs w:val="24"/>
        </w:rPr>
        <w:t>he Tongass National Forest is one of the most important carbon sinks in the nation</w:t>
      </w:r>
      <w:r w:rsidR="007F5940" w:rsidRPr="001616AF">
        <w:rPr>
          <w:rFonts w:ascii="Times New Roman" w:hAnsi="Times New Roman" w:cs="Times New Roman"/>
          <w:sz w:val="24"/>
          <w:szCs w:val="24"/>
        </w:rPr>
        <w:t xml:space="preserve"> and its role in mitigating climate change is far more valuable tha</w:t>
      </w:r>
      <w:r w:rsidR="00ED4F06" w:rsidRPr="001616AF">
        <w:rPr>
          <w:rFonts w:ascii="Times New Roman" w:hAnsi="Times New Roman" w:cs="Times New Roman"/>
          <w:sz w:val="24"/>
          <w:szCs w:val="24"/>
        </w:rPr>
        <w:t>n</w:t>
      </w:r>
      <w:r w:rsidR="007F5940" w:rsidRPr="001616AF">
        <w:rPr>
          <w:rFonts w:ascii="Times New Roman" w:hAnsi="Times New Roman" w:cs="Times New Roman"/>
          <w:sz w:val="24"/>
          <w:szCs w:val="24"/>
        </w:rPr>
        <w:t xml:space="preserve"> subsidizing the harvest of </w:t>
      </w:r>
      <w:r w:rsidR="00247782" w:rsidRPr="001616AF">
        <w:rPr>
          <w:rFonts w:ascii="Times New Roman" w:hAnsi="Times New Roman" w:cs="Times New Roman"/>
          <w:sz w:val="24"/>
          <w:szCs w:val="24"/>
        </w:rPr>
        <w:t xml:space="preserve">old growth on our nation’s largest national forest. </w:t>
      </w:r>
    </w:p>
    <w:p w14:paraId="67C49B15" w14:textId="7C7E5DC0" w:rsidR="00247782" w:rsidRPr="001616AF" w:rsidRDefault="00247782" w:rsidP="00CF7EBF">
      <w:pPr>
        <w:spacing w:after="0" w:line="240" w:lineRule="auto"/>
        <w:rPr>
          <w:rFonts w:ascii="Times New Roman" w:hAnsi="Times New Roman" w:cs="Times New Roman"/>
          <w:sz w:val="24"/>
          <w:szCs w:val="24"/>
        </w:rPr>
      </w:pPr>
    </w:p>
    <w:p w14:paraId="16DF88E3" w14:textId="6E008B70" w:rsidR="00247782" w:rsidRPr="001616AF" w:rsidRDefault="00247782" w:rsidP="00CF7EBF">
      <w:pPr>
        <w:spacing w:after="0" w:line="240" w:lineRule="auto"/>
        <w:rPr>
          <w:rFonts w:ascii="Times New Roman" w:hAnsi="Times New Roman" w:cs="Times New Roman"/>
          <w:b/>
          <w:bCs/>
          <w:sz w:val="24"/>
          <w:szCs w:val="24"/>
        </w:rPr>
      </w:pPr>
      <w:r w:rsidRPr="001616AF">
        <w:rPr>
          <w:rFonts w:ascii="Times New Roman" w:hAnsi="Times New Roman" w:cs="Times New Roman"/>
          <w:b/>
          <w:bCs/>
          <w:sz w:val="24"/>
          <w:szCs w:val="24"/>
        </w:rPr>
        <w:t xml:space="preserve">The role of the Tongass in </w:t>
      </w:r>
      <w:r w:rsidR="00771D95" w:rsidRPr="001616AF">
        <w:rPr>
          <w:rFonts w:ascii="Times New Roman" w:hAnsi="Times New Roman" w:cs="Times New Roman"/>
          <w:b/>
          <w:bCs/>
          <w:sz w:val="24"/>
          <w:szCs w:val="24"/>
        </w:rPr>
        <w:t xml:space="preserve">the </w:t>
      </w:r>
      <w:r w:rsidRPr="001616AF">
        <w:rPr>
          <w:rFonts w:ascii="Times New Roman" w:hAnsi="Times New Roman" w:cs="Times New Roman"/>
          <w:b/>
          <w:bCs/>
          <w:sz w:val="24"/>
          <w:szCs w:val="24"/>
        </w:rPr>
        <w:t>regional economy of southeast Alaska:</w:t>
      </w:r>
    </w:p>
    <w:p w14:paraId="275EDE9D" w14:textId="2106E8C9" w:rsidR="00247782" w:rsidRPr="001616AF" w:rsidRDefault="00DC6AAD" w:rsidP="00CF7EBF">
      <w:pPr>
        <w:spacing w:after="0" w:line="240" w:lineRule="auto"/>
        <w:rPr>
          <w:rFonts w:ascii="Times New Roman" w:hAnsi="Times New Roman" w:cs="Times New Roman"/>
          <w:sz w:val="24"/>
          <w:szCs w:val="24"/>
        </w:rPr>
      </w:pPr>
      <w:r w:rsidRPr="001616AF">
        <w:rPr>
          <w:rFonts w:ascii="Times New Roman" w:hAnsi="Times New Roman" w:cs="Times New Roman"/>
          <w:sz w:val="24"/>
          <w:szCs w:val="24"/>
        </w:rPr>
        <w:t xml:space="preserve">The seafood and tourism industries together represent about 25% of southeast Alaska’s labor force while </w:t>
      </w:r>
      <w:r w:rsidR="00671DA2" w:rsidRPr="001616AF">
        <w:rPr>
          <w:rFonts w:ascii="Times New Roman" w:hAnsi="Times New Roman" w:cs="Times New Roman"/>
          <w:sz w:val="24"/>
          <w:szCs w:val="24"/>
        </w:rPr>
        <w:t xml:space="preserve">harvest of </w:t>
      </w:r>
      <w:r w:rsidRPr="001616AF">
        <w:rPr>
          <w:rFonts w:ascii="Times New Roman" w:hAnsi="Times New Roman" w:cs="Times New Roman"/>
          <w:sz w:val="24"/>
          <w:szCs w:val="24"/>
        </w:rPr>
        <w:t xml:space="preserve">national forest timber represents less than 1%.  </w:t>
      </w:r>
      <w:r w:rsidR="0044177C" w:rsidRPr="001616AF">
        <w:rPr>
          <w:rFonts w:ascii="Times New Roman" w:hAnsi="Times New Roman" w:cs="Times New Roman"/>
          <w:sz w:val="24"/>
          <w:szCs w:val="24"/>
        </w:rPr>
        <w:t xml:space="preserve">Average timber employment on the Tongass Forest was estimated at 137 (TLMP 2016).  </w:t>
      </w:r>
      <w:r w:rsidRPr="001616AF">
        <w:rPr>
          <w:rFonts w:ascii="Times New Roman" w:hAnsi="Times New Roman" w:cs="Times New Roman"/>
          <w:sz w:val="24"/>
          <w:szCs w:val="24"/>
        </w:rPr>
        <w:t>According to Taxpayers for Common Sense, the timber program on the Tongass lost approximately $30 million annually</w:t>
      </w:r>
      <w:r w:rsidR="0044177C" w:rsidRPr="001616AF">
        <w:rPr>
          <w:rFonts w:ascii="Times New Roman" w:hAnsi="Times New Roman" w:cs="Times New Roman"/>
          <w:sz w:val="24"/>
          <w:szCs w:val="24"/>
        </w:rPr>
        <w:t xml:space="preserve"> between 2002-2014</w:t>
      </w:r>
      <w:r w:rsidRPr="001616AF">
        <w:rPr>
          <w:rFonts w:ascii="Times New Roman" w:hAnsi="Times New Roman" w:cs="Times New Roman"/>
          <w:sz w:val="24"/>
          <w:szCs w:val="24"/>
        </w:rPr>
        <w:t>.  Conserving</w:t>
      </w:r>
      <w:r w:rsidR="0044177C" w:rsidRPr="001616AF">
        <w:rPr>
          <w:rFonts w:ascii="Times New Roman" w:hAnsi="Times New Roman" w:cs="Times New Roman"/>
          <w:sz w:val="24"/>
          <w:szCs w:val="24"/>
        </w:rPr>
        <w:t xml:space="preserve"> the old-growth temperate rainforest is a prudent economic strategy for maintaining the economic diversity and resilience of southeast Alaska that leans heavily on the fishing and tourism industries as major economic drivers.  Fishing, tourism, subsistence </w:t>
      </w:r>
      <w:r w:rsidR="00671DA2" w:rsidRPr="001616AF">
        <w:rPr>
          <w:rFonts w:ascii="Times New Roman" w:hAnsi="Times New Roman" w:cs="Times New Roman"/>
          <w:sz w:val="24"/>
          <w:szCs w:val="24"/>
        </w:rPr>
        <w:t xml:space="preserve">and cultural </w:t>
      </w:r>
      <w:r w:rsidR="0044177C" w:rsidRPr="001616AF">
        <w:rPr>
          <w:rFonts w:ascii="Times New Roman" w:hAnsi="Times New Roman" w:cs="Times New Roman"/>
          <w:sz w:val="24"/>
          <w:szCs w:val="24"/>
        </w:rPr>
        <w:t xml:space="preserve">use of natural resources, and outdoor recreation all depend on the ecological integrity </w:t>
      </w:r>
      <w:r w:rsidR="00671DA2" w:rsidRPr="001616AF">
        <w:rPr>
          <w:rFonts w:ascii="Times New Roman" w:hAnsi="Times New Roman" w:cs="Times New Roman"/>
          <w:sz w:val="24"/>
          <w:szCs w:val="24"/>
        </w:rPr>
        <w:t xml:space="preserve">and productivity </w:t>
      </w:r>
      <w:r w:rsidR="0044177C" w:rsidRPr="001616AF">
        <w:rPr>
          <w:rFonts w:ascii="Times New Roman" w:hAnsi="Times New Roman" w:cs="Times New Roman"/>
          <w:sz w:val="24"/>
          <w:szCs w:val="24"/>
        </w:rPr>
        <w:t>of the Tongass rainforest.</w:t>
      </w:r>
      <w:r w:rsidRPr="001616AF">
        <w:rPr>
          <w:rFonts w:ascii="Times New Roman" w:hAnsi="Times New Roman" w:cs="Times New Roman"/>
          <w:sz w:val="24"/>
          <w:szCs w:val="24"/>
        </w:rPr>
        <w:t xml:space="preserve">  </w:t>
      </w:r>
      <w:r w:rsidR="00153E6A">
        <w:rPr>
          <w:rFonts w:ascii="Times New Roman" w:hAnsi="Times New Roman" w:cs="Times New Roman"/>
          <w:sz w:val="24"/>
          <w:szCs w:val="24"/>
        </w:rPr>
        <w:t>The recent recommendation by the Department of Agriculture to end commercial harvest of old growth on the Tongass is a significant step toward ecosystem and economic sustainability.</w:t>
      </w:r>
    </w:p>
    <w:p w14:paraId="0964455D" w14:textId="77777777" w:rsidR="00141B5C" w:rsidRPr="001616AF" w:rsidRDefault="00141B5C" w:rsidP="00CF7EBF">
      <w:pPr>
        <w:spacing w:after="0" w:line="240" w:lineRule="auto"/>
        <w:rPr>
          <w:rFonts w:ascii="Times New Roman" w:hAnsi="Times New Roman" w:cs="Times New Roman"/>
          <w:sz w:val="24"/>
          <w:szCs w:val="24"/>
        </w:rPr>
      </w:pPr>
    </w:p>
    <w:p w14:paraId="6FA8E33D" w14:textId="77777777" w:rsidR="0064601A" w:rsidRPr="001616AF" w:rsidRDefault="0064601A" w:rsidP="00CF7EBF">
      <w:pPr>
        <w:spacing w:after="0" w:line="240" w:lineRule="auto"/>
        <w:rPr>
          <w:rFonts w:ascii="Times New Roman" w:hAnsi="Times New Roman" w:cs="Times New Roman"/>
          <w:b/>
          <w:sz w:val="24"/>
          <w:szCs w:val="24"/>
        </w:rPr>
      </w:pPr>
    </w:p>
    <w:p w14:paraId="05CC851A" w14:textId="1DEEDD34" w:rsidR="00CF7EBF" w:rsidRPr="001616AF" w:rsidRDefault="00CF7EBF" w:rsidP="00CF7EBF">
      <w:pPr>
        <w:spacing w:after="0" w:line="240" w:lineRule="auto"/>
        <w:rPr>
          <w:rFonts w:ascii="Times New Roman" w:hAnsi="Times New Roman" w:cs="Times New Roman"/>
          <w:b/>
          <w:sz w:val="24"/>
          <w:szCs w:val="24"/>
        </w:rPr>
      </w:pPr>
      <w:r w:rsidRPr="001616AF">
        <w:rPr>
          <w:rFonts w:ascii="Times New Roman" w:hAnsi="Times New Roman" w:cs="Times New Roman"/>
          <w:b/>
          <w:sz w:val="24"/>
          <w:szCs w:val="24"/>
        </w:rPr>
        <w:t>Summary and Conclusions:</w:t>
      </w:r>
    </w:p>
    <w:p w14:paraId="18E451C0" w14:textId="211D2FED" w:rsidR="000513CD" w:rsidRPr="001616AF" w:rsidRDefault="008F2FF9" w:rsidP="000513CD">
      <w:pPr>
        <w:spacing w:after="0" w:line="240" w:lineRule="auto"/>
        <w:rPr>
          <w:rFonts w:ascii="Times New Roman" w:eastAsia="Times New Roman" w:hAnsi="Times New Roman" w:cs="Times New Roman"/>
          <w:sz w:val="24"/>
          <w:szCs w:val="24"/>
        </w:rPr>
      </w:pPr>
      <w:r w:rsidRPr="001616AF">
        <w:rPr>
          <w:rFonts w:ascii="Times New Roman" w:hAnsi="Times New Roman" w:cs="Times New Roman"/>
          <w:sz w:val="24"/>
          <w:szCs w:val="24"/>
        </w:rPr>
        <w:t xml:space="preserve">Old-growth forests are rare throughout the world and provide highly valuable carbon stores as well and diverse and valuable fish and wildlife habitats critical for maintaining global biodiversity. </w:t>
      </w:r>
      <w:r w:rsidR="00153E6A">
        <w:rPr>
          <w:rFonts w:ascii="Times New Roman" w:hAnsi="Times New Roman" w:cs="Times New Roman"/>
          <w:sz w:val="24"/>
          <w:szCs w:val="24"/>
        </w:rPr>
        <w:t xml:space="preserve"> </w:t>
      </w:r>
      <w:r w:rsidR="00CF7EBF" w:rsidRPr="001616AF">
        <w:rPr>
          <w:rFonts w:ascii="Times New Roman" w:hAnsi="Times New Roman" w:cs="Times New Roman"/>
          <w:sz w:val="24"/>
          <w:szCs w:val="24"/>
        </w:rPr>
        <w:t>Alaska’s Tongass National Forest is the greatest repository of</w:t>
      </w:r>
      <w:r w:rsidR="00D34457" w:rsidRPr="001616AF">
        <w:rPr>
          <w:rFonts w:ascii="Times New Roman" w:hAnsi="Times New Roman" w:cs="Times New Roman"/>
          <w:sz w:val="24"/>
          <w:szCs w:val="24"/>
        </w:rPr>
        <w:t xml:space="preserve"> large</w:t>
      </w:r>
      <w:r w:rsidR="00CF7EBF" w:rsidRPr="001616AF">
        <w:rPr>
          <w:rFonts w:ascii="Times New Roman" w:hAnsi="Times New Roman" w:cs="Times New Roman"/>
          <w:sz w:val="24"/>
          <w:szCs w:val="24"/>
        </w:rPr>
        <w:t>-t</w:t>
      </w:r>
      <w:r w:rsidR="00671DA2" w:rsidRPr="001616AF">
        <w:rPr>
          <w:rFonts w:ascii="Times New Roman" w:hAnsi="Times New Roman" w:cs="Times New Roman"/>
          <w:sz w:val="24"/>
          <w:szCs w:val="24"/>
        </w:rPr>
        <w:t>r</w:t>
      </w:r>
      <w:r w:rsidR="00CF7EBF" w:rsidRPr="001616AF">
        <w:rPr>
          <w:rFonts w:ascii="Times New Roman" w:hAnsi="Times New Roman" w:cs="Times New Roman"/>
          <w:sz w:val="24"/>
          <w:szCs w:val="24"/>
        </w:rPr>
        <w:t>ee, old-growth temperate rainforest remaining on Earth.  These old-growth stands—of immense value as fish and wildlife habitat—are exceedingly rare today because they have been the target of clear</w:t>
      </w:r>
      <w:r w:rsidR="0079300A" w:rsidRPr="001616AF">
        <w:rPr>
          <w:rFonts w:ascii="Times New Roman" w:hAnsi="Times New Roman" w:cs="Times New Roman"/>
          <w:sz w:val="24"/>
          <w:szCs w:val="24"/>
        </w:rPr>
        <w:t>-</w:t>
      </w:r>
      <w:r w:rsidR="00CF7EBF" w:rsidRPr="001616AF">
        <w:rPr>
          <w:rFonts w:ascii="Times New Roman" w:hAnsi="Times New Roman" w:cs="Times New Roman"/>
          <w:sz w:val="24"/>
          <w:szCs w:val="24"/>
        </w:rPr>
        <w:t xml:space="preserve">cutting for more than a century.  The consensus of scientists, including two former Chiefs of the US Forest Service, is that the nation’s remaining old growth should be protected.  </w:t>
      </w:r>
      <w:r w:rsidR="000513CD" w:rsidRPr="001616AF">
        <w:rPr>
          <w:rFonts w:ascii="Times New Roman" w:eastAsia="Times New Roman" w:hAnsi="Times New Roman" w:cs="Times New Roman"/>
          <w:sz w:val="24"/>
          <w:szCs w:val="24"/>
        </w:rPr>
        <w:t>Aldo Leopold’s first princip</w:t>
      </w:r>
      <w:r w:rsidR="00D34457" w:rsidRPr="001616AF">
        <w:rPr>
          <w:rFonts w:ascii="Times New Roman" w:eastAsia="Times New Roman" w:hAnsi="Times New Roman" w:cs="Times New Roman"/>
          <w:sz w:val="24"/>
          <w:szCs w:val="24"/>
        </w:rPr>
        <w:t>le</w:t>
      </w:r>
      <w:r w:rsidR="000513CD" w:rsidRPr="001616AF">
        <w:rPr>
          <w:rFonts w:ascii="Times New Roman" w:eastAsia="Times New Roman" w:hAnsi="Times New Roman" w:cs="Times New Roman"/>
          <w:sz w:val="24"/>
          <w:szCs w:val="24"/>
        </w:rPr>
        <w:t xml:space="preserve"> of conservation was to maintain all the parts of the ecosystem.  This principal is violated </w:t>
      </w:r>
      <w:r w:rsidR="00771D95" w:rsidRPr="001616AF">
        <w:rPr>
          <w:rFonts w:ascii="Times New Roman" w:eastAsia="Times New Roman" w:hAnsi="Times New Roman" w:cs="Times New Roman"/>
          <w:sz w:val="24"/>
          <w:szCs w:val="24"/>
        </w:rPr>
        <w:t xml:space="preserve">by continued logging of old growth.  </w:t>
      </w:r>
      <w:r w:rsidR="000513CD" w:rsidRPr="001616AF">
        <w:rPr>
          <w:rFonts w:ascii="Times New Roman" w:eastAsia="Times New Roman" w:hAnsi="Times New Roman" w:cs="Times New Roman"/>
          <w:sz w:val="24"/>
          <w:szCs w:val="24"/>
        </w:rPr>
        <w:t>Large-tree old</w:t>
      </w:r>
      <w:r w:rsidR="00D34457" w:rsidRPr="001616AF">
        <w:rPr>
          <w:rFonts w:ascii="Times New Roman" w:eastAsia="Times New Roman" w:hAnsi="Times New Roman" w:cs="Times New Roman"/>
          <w:sz w:val="24"/>
          <w:szCs w:val="24"/>
        </w:rPr>
        <w:t>-</w:t>
      </w:r>
      <w:r w:rsidR="000513CD" w:rsidRPr="001616AF">
        <w:rPr>
          <w:rFonts w:ascii="Times New Roman" w:eastAsia="Times New Roman" w:hAnsi="Times New Roman" w:cs="Times New Roman"/>
          <w:sz w:val="24"/>
          <w:szCs w:val="24"/>
        </w:rPr>
        <w:t>growth communities have always been rare and have always been the target o</w:t>
      </w:r>
      <w:r w:rsidR="00DA2F2A" w:rsidRPr="001616AF">
        <w:rPr>
          <w:rFonts w:ascii="Times New Roman" w:eastAsia="Times New Roman" w:hAnsi="Times New Roman" w:cs="Times New Roman"/>
          <w:sz w:val="24"/>
          <w:szCs w:val="24"/>
        </w:rPr>
        <w:t>f l</w:t>
      </w:r>
      <w:r w:rsidR="000513CD" w:rsidRPr="001616AF">
        <w:rPr>
          <w:rFonts w:ascii="Times New Roman" w:eastAsia="Times New Roman" w:hAnsi="Times New Roman" w:cs="Times New Roman"/>
          <w:sz w:val="24"/>
          <w:szCs w:val="24"/>
        </w:rPr>
        <w:t xml:space="preserve">ogging.  These remaining old-growth stands will be at high risk under </w:t>
      </w:r>
      <w:r w:rsidRPr="001616AF">
        <w:rPr>
          <w:rFonts w:ascii="Times New Roman" w:eastAsia="Times New Roman" w:hAnsi="Times New Roman" w:cs="Times New Roman"/>
          <w:sz w:val="24"/>
          <w:szCs w:val="24"/>
        </w:rPr>
        <w:t xml:space="preserve">continued logging of old growth.  </w:t>
      </w:r>
      <w:r w:rsidR="00D34457" w:rsidRPr="001616AF">
        <w:rPr>
          <w:rFonts w:ascii="Times New Roman" w:eastAsia="Times New Roman" w:hAnsi="Times New Roman" w:cs="Times New Roman"/>
          <w:sz w:val="24"/>
          <w:szCs w:val="24"/>
        </w:rPr>
        <w:t xml:space="preserve">Gifford Pinchot, </w:t>
      </w:r>
      <w:r w:rsidR="000513CD" w:rsidRPr="001616AF">
        <w:rPr>
          <w:rFonts w:ascii="Times New Roman" w:eastAsia="Times New Roman" w:hAnsi="Times New Roman" w:cs="Times New Roman"/>
          <w:sz w:val="24"/>
          <w:szCs w:val="24"/>
        </w:rPr>
        <w:t xml:space="preserve">first Chief of the </w:t>
      </w:r>
      <w:r w:rsidR="00D34457" w:rsidRPr="001616AF">
        <w:rPr>
          <w:rFonts w:ascii="Times New Roman" w:eastAsia="Times New Roman" w:hAnsi="Times New Roman" w:cs="Times New Roman"/>
          <w:sz w:val="24"/>
          <w:szCs w:val="24"/>
        </w:rPr>
        <w:t>US Forest Service</w:t>
      </w:r>
      <w:r w:rsidR="000513CD" w:rsidRPr="001616AF">
        <w:rPr>
          <w:rFonts w:ascii="Times New Roman" w:eastAsia="Times New Roman" w:hAnsi="Times New Roman" w:cs="Times New Roman"/>
          <w:sz w:val="24"/>
          <w:szCs w:val="24"/>
        </w:rPr>
        <w:t>, stated that the role of the FS was to provide</w:t>
      </w:r>
      <w:r w:rsidR="00ED4F06" w:rsidRPr="001616AF">
        <w:rPr>
          <w:rFonts w:ascii="Times New Roman" w:eastAsia="Times New Roman" w:hAnsi="Times New Roman" w:cs="Times New Roman"/>
          <w:sz w:val="24"/>
          <w:szCs w:val="24"/>
        </w:rPr>
        <w:t xml:space="preserve"> the </w:t>
      </w:r>
      <w:r w:rsidR="000513CD" w:rsidRPr="001616AF">
        <w:rPr>
          <w:rFonts w:ascii="Times New Roman" w:eastAsia="Times New Roman" w:hAnsi="Times New Roman" w:cs="Times New Roman"/>
          <w:sz w:val="24"/>
          <w:szCs w:val="24"/>
        </w:rPr>
        <w:t xml:space="preserve">“…greatest good for the greatest number for the longest time.”  </w:t>
      </w:r>
      <w:r w:rsidR="00771D95" w:rsidRPr="001616AF">
        <w:rPr>
          <w:rFonts w:ascii="Times New Roman" w:eastAsia="Times New Roman" w:hAnsi="Times New Roman" w:cs="Times New Roman"/>
          <w:sz w:val="24"/>
          <w:szCs w:val="24"/>
        </w:rPr>
        <w:t xml:space="preserve">The current proposal by the Forest Service to restore the 2001 Roadless Rule protections on the Tongass and end large-scale old-growth timber harvest is a positive move and one that will focus Tongass management on forest restoration, </w:t>
      </w:r>
      <w:r w:rsidR="00546F5B" w:rsidRPr="001616AF">
        <w:rPr>
          <w:rFonts w:ascii="Times New Roman" w:eastAsia="Times New Roman" w:hAnsi="Times New Roman" w:cs="Times New Roman"/>
          <w:sz w:val="24"/>
          <w:szCs w:val="24"/>
        </w:rPr>
        <w:t>fish and wildlife habitat, watershed conservation</w:t>
      </w:r>
      <w:r w:rsidR="0036330A" w:rsidRPr="001616AF">
        <w:rPr>
          <w:rFonts w:ascii="Times New Roman" w:eastAsia="Times New Roman" w:hAnsi="Times New Roman" w:cs="Times New Roman"/>
          <w:sz w:val="24"/>
          <w:szCs w:val="24"/>
        </w:rPr>
        <w:t xml:space="preserve">, </w:t>
      </w:r>
      <w:r w:rsidR="00771D95" w:rsidRPr="001616AF">
        <w:rPr>
          <w:rFonts w:ascii="Times New Roman" w:eastAsia="Times New Roman" w:hAnsi="Times New Roman" w:cs="Times New Roman"/>
          <w:sz w:val="24"/>
          <w:szCs w:val="24"/>
        </w:rPr>
        <w:t>recreation</w:t>
      </w:r>
      <w:r w:rsidR="0036330A" w:rsidRPr="001616AF">
        <w:rPr>
          <w:rFonts w:ascii="Times New Roman" w:eastAsia="Times New Roman" w:hAnsi="Times New Roman" w:cs="Times New Roman"/>
          <w:sz w:val="24"/>
          <w:szCs w:val="24"/>
        </w:rPr>
        <w:t>,</w:t>
      </w:r>
      <w:r w:rsidR="00670564" w:rsidRPr="001616AF">
        <w:rPr>
          <w:rFonts w:ascii="Times New Roman" w:eastAsia="Times New Roman" w:hAnsi="Times New Roman" w:cs="Times New Roman"/>
          <w:sz w:val="24"/>
          <w:szCs w:val="24"/>
        </w:rPr>
        <w:t xml:space="preserve"> and </w:t>
      </w:r>
      <w:r w:rsidR="0036330A" w:rsidRPr="001616AF">
        <w:rPr>
          <w:rFonts w:ascii="Times New Roman" w:eastAsia="Times New Roman" w:hAnsi="Times New Roman" w:cs="Times New Roman"/>
          <w:sz w:val="24"/>
          <w:szCs w:val="24"/>
        </w:rPr>
        <w:t xml:space="preserve">climate </w:t>
      </w:r>
      <w:r w:rsidR="00670564" w:rsidRPr="001616AF">
        <w:rPr>
          <w:rFonts w:ascii="Times New Roman" w:eastAsia="Times New Roman" w:hAnsi="Times New Roman" w:cs="Times New Roman"/>
          <w:sz w:val="24"/>
          <w:szCs w:val="24"/>
        </w:rPr>
        <w:t>resilience</w:t>
      </w:r>
      <w:r w:rsidR="0036330A" w:rsidRPr="001616AF">
        <w:rPr>
          <w:rFonts w:ascii="Times New Roman" w:eastAsia="Times New Roman" w:hAnsi="Times New Roman" w:cs="Times New Roman"/>
          <w:sz w:val="24"/>
          <w:szCs w:val="24"/>
        </w:rPr>
        <w:t>.</w:t>
      </w:r>
    </w:p>
    <w:p w14:paraId="6FFD5B27" w14:textId="659EDB9B" w:rsidR="0064601A" w:rsidRPr="001616AF" w:rsidRDefault="0064601A" w:rsidP="000513CD">
      <w:pPr>
        <w:spacing w:after="0" w:line="240" w:lineRule="auto"/>
        <w:rPr>
          <w:rFonts w:ascii="Times New Roman" w:eastAsia="Times New Roman" w:hAnsi="Times New Roman" w:cs="Times New Roman"/>
          <w:sz w:val="24"/>
          <w:szCs w:val="24"/>
        </w:rPr>
      </w:pPr>
    </w:p>
    <w:p w14:paraId="2AA2B627" w14:textId="4A21285F" w:rsidR="00CF7EBF" w:rsidRPr="001616AF" w:rsidRDefault="00CF7EBF" w:rsidP="00CF7EBF">
      <w:pPr>
        <w:spacing w:after="0" w:line="240" w:lineRule="auto"/>
        <w:rPr>
          <w:rFonts w:ascii="Times New Roman" w:hAnsi="Times New Roman" w:cs="Times New Roman"/>
          <w:sz w:val="24"/>
          <w:szCs w:val="24"/>
        </w:rPr>
      </w:pPr>
      <w:r w:rsidRPr="001616AF">
        <w:rPr>
          <w:rFonts w:ascii="Times New Roman" w:hAnsi="Times New Roman" w:cs="Times New Roman"/>
          <w:sz w:val="24"/>
          <w:szCs w:val="24"/>
        </w:rPr>
        <w:t>Thank you for the opportunity to comment on this important p</w:t>
      </w:r>
      <w:r w:rsidR="00670564" w:rsidRPr="001616AF">
        <w:rPr>
          <w:rFonts w:ascii="Times New Roman" w:hAnsi="Times New Roman" w:cs="Times New Roman"/>
          <w:sz w:val="24"/>
          <w:szCs w:val="24"/>
        </w:rPr>
        <w:t xml:space="preserve">roposal.  </w:t>
      </w:r>
    </w:p>
    <w:p w14:paraId="3F32B6C2" w14:textId="77777777" w:rsidR="00CF7EBF" w:rsidRPr="001616AF" w:rsidRDefault="00CF7EBF" w:rsidP="00CF7EBF">
      <w:pPr>
        <w:spacing w:after="0" w:line="240" w:lineRule="auto"/>
        <w:rPr>
          <w:rFonts w:ascii="Times New Roman" w:hAnsi="Times New Roman" w:cs="Times New Roman"/>
          <w:sz w:val="24"/>
          <w:szCs w:val="24"/>
        </w:rPr>
      </w:pPr>
    </w:p>
    <w:p w14:paraId="1799F9FC" w14:textId="5668BD11" w:rsidR="00CF7EBF" w:rsidRPr="001616AF" w:rsidRDefault="00CF7EBF" w:rsidP="00CF7EBF">
      <w:pPr>
        <w:spacing w:after="0" w:line="240" w:lineRule="auto"/>
        <w:rPr>
          <w:rFonts w:ascii="Times New Roman" w:hAnsi="Times New Roman" w:cs="Times New Roman"/>
          <w:sz w:val="24"/>
          <w:szCs w:val="24"/>
        </w:rPr>
      </w:pPr>
      <w:r w:rsidRPr="001616AF">
        <w:rPr>
          <w:rFonts w:ascii="Times New Roman" w:hAnsi="Times New Roman" w:cs="Times New Roman"/>
          <w:sz w:val="24"/>
          <w:szCs w:val="24"/>
        </w:rPr>
        <w:t>Sincerely,</w:t>
      </w:r>
    </w:p>
    <w:p w14:paraId="0B2A2B44" w14:textId="6BCA8D5E" w:rsidR="00D34457" w:rsidRPr="001616AF" w:rsidRDefault="00D34457" w:rsidP="00CF7EBF">
      <w:pPr>
        <w:spacing w:after="0" w:line="240" w:lineRule="auto"/>
        <w:rPr>
          <w:rFonts w:ascii="Times New Roman" w:hAnsi="Times New Roman" w:cs="Times New Roman"/>
          <w:sz w:val="24"/>
          <w:szCs w:val="24"/>
        </w:rPr>
      </w:pPr>
    </w:p>
    <w:p w14:paraId="549E3BCB" w14:textId="35D55D63" w:rsidR="00D34457" w:rsidRPr="001616AF" w:rsidRDefault="00D34457" w:rsidP="00CF7EBF">
      <w:pPr>
        <w:spacing w:after="0" w:line="240" w:lineRule="auto"/>
        <w:rPr>
          <w:rFonts w:ascii="Times New Roman" w:hAnsi="Times New Roman" w:cs="Times New Roman"/>
          <w:sz w:val="24"/>
          <w:szCs w:val="24"/>
        </w:rPr>
      </w:pPr>
      <w:r w:rsidRPr="001616AF">
        <w:rPr>
          <w:rFonts w:ascii="Times New Roman" w:hAnsi="Times New Roman" w:cs="Times New Roman"/>
          <w:sz w:val="24"/>
          <w:szCs w:val="24"/>
        </w:rPr>
        <w:t>John W. Schoen</w:t>
      </w:r>
    </w:p>
    <w:p w14:paraId="0917F34B" w14:textId="77777777" w:rsidR="00CF7EBF" w:rsidRPr="001616AF" w:rsidRDefault="00CF7EBF" w:rsidP="00CF7EBF">
      <w:pPr>
        <w:spacing w:after="0" w:line="240" w:lineRule="auto"/>
        <w:rPr>
          <w:rFonts w:ascii="Times New Roman" w:hAnsi="Times New Roman" w:cs="Times New Roman"/>
          <w:sz w:val="24"/>
          <w:szCs w:val="24"/>
        </w:rPr>
      </w:pPr>
    </w:p>
    <w:p w14:paraId="76DD474E" w14:textId="77777777" w:rsidR="00CF7EBF" w:rsidRPr="001616AF" w:rsidRDefault="00CF7EBF" w:rsidP="00CF7EBF">
      <w:pPr>
        <w:spacing w:after="0" w:line="240" w:lineRule="auto"/>
        <w:rPr>
          <w:rFonts w:ascii="Times New Roman" w:hAnsi="Times New Roman" w:cs="Times New Roman"/>
          <w:sz w:val="24"/>
          <w:szCs w:val="24"/>
        </w:rPr>
      </w:pPr>
      <w:r w:rsidRPr="001616AF">
        <w:rPr>
          <w:rFonts w:ascii="Times New Roman" w:hAnsi="Times New Roman" w:cs="Times New Roman"/>
          <w:sz w:val="24"/>
          <w:szCs w:val="24"/>
        </w:rPr>
        <w:t>John W. Schoen, Ph.D.</w:t>
      </w:r>
    </w:p>
    <w:p w14:paraId="22056AFB" w14:textId="171A9C57" w:rsidR="00CF7EBF" w:rsidRPr="001616AF" w:rsidRDefault="00CF7EBF" w:rsidP="00CF7EBF">
      <w:pPr>
        <w:spacing w:after="0" w:line="240" w:lineRule="auto"/>
        <w:rPr>
          <w:rFonts w:ascii="Times New Roman" w:hAnsi="Times New Roman" w:cs="Times New Roman"/>
          <w:sz w:val="24"/>
          <w:szCs w:val="24"/>
        </w:rPr>
      </w:pPr>
      <w:r w:rsidRPr="001616AF">
        <w:rPr>
          <w:rFonts w:ascii="Times New Roman" w:hAnsi="Times New Roman" w:cs="Times New Roman"/>
          <w:sz w:val="24"/>
          <w:szCs w:val="24"/>
        </w:rPr>
        <w:t>Wildlife Ecologist, retired</w:t>
      </w:r>
    </w:p>
    <w:p w14:paraId="72EC6A94" w14:textId="59595A4F" w:rsidR="00E06A56" w:rsidRPr="001616AF" w:rsidRDefault="0064601A" w:rsidP="00CF7EBF">
      <w:pPr>
        <w:spacing w:after="0" w:line="240" w:lineRule="auto"/>
        <w:rPr>
          <w:rFonts w:ascii="Times New Roman" w:hAnsi="Times New Roman" w:cs="Times New Roman"/>
          <w:sz w:val="24"/>
          <w:szCs w:val="24"/>
        </w:rPr>
      </w:pPr>
      <w:r w:rsidRPr="001616AF">
        <w:rPr>
          <w:rFonts w:ascii="Times New Roman" w:hAnsi="Times New Roman" w:cs="Times New Roman"/>
          <w:sz w:val="24"/>
          <w:szCs w:val="24"/>
        </w:rPr>
        <w:t>Anchorage, AK</w:t>
      </w:r>
    </w:p>
    <w:p w14:paraId="0832D554" w14:textId="212EB4E2" w:rsidR="00E06A56" w:rsidRPr="001616AF" w:rsidRDefault="00E06A56" w:rsidP="00CF7EBF">
      <w:pPr>
        <w:spacing w:after="0" w:line="240" w:lineRule="auto"/>
        <w:rPr>
          <w:rFonts w:ascii="Times New Roman" w:hAnsi="Times New Roman" w:cs="Times New Roman"/>
          <w:sz w:val="24"/>
          <w:szCs w:val="24"/>
        </w:rPr>
      </w:pPr>
    </w:p>
    <w:p w14:paraId="17360C45" w14:textId="3D86EDDF" w:rsidR="00CF7EBF" w:rsidRPr="001616AF" w:rsidRDefault="00CF7EBF" w:rsidP="00CF7EBF">
      <w:pPr>
        <w:spacing w:line="240" w:lineRule="auto"/>
        <w:rPr>
          <w:rFonts w:ascii="Times New Roman" w:hAnsi="Times New Roman" w:cs="Times New Roman"/>
          <w:sz w:val="24"/>
          <w:szCs w:val="24"/>
        </w:rPr>
      </w:pPr>
      <w:bookmarkStart w:id="1" w:name="_Hlk526944458"/>
      <w:bookmarkStart w:id="2" w:name="_Hlk54014849"/>
      <w:r w:rsidRPr="001616AF">
        <w:rPr>
          <w:rFonts w:ascii="Times New Roman" w:hAnsi="Times New Roman" w:cs="Times New Roman"/>
          <w:sz w:val="24"/>
          <w:szCs w:val="24"/>
        </w:rPr>
        <w:t>References Cited:</w:t>
      </w:r>
    </w:p>
    <w:p w14:paraId="6950DC66" w14:textId="6D3E1FE3" w:rsidR="00CF7EBF" w:rsidRPr="001616AF" w:rsidRDefault="00CF7EBF" w:rsidP="00CF7EBF">
      <w:pPr>
        <w:autoSpaceDE w:val="0"/>
        <w:autoSpaceDN w:val="0"/>
        <w:adjustRightInd w:val="0"/>
        <w:spacing w:after="0" w:line="240" w:lineRule="auto"/>
        <w:rPr>
          <w:rFonts w:ascii="Times New Roman" w:hAnsi="Times New Roman" w:cs="Times New Roman"/>
          <w:sz w:val="24"/>
          <w:szCs w:val="24"/>
        </w:rPr>
      </w:pPr>
      <w:r w:rsidRPr="001616AF">
        <w:rPr>
          <w:rFonts w:ascii="Times New Roman" w:hAnsi="Times New Roman" w:cs="Times New Roman"/>
          <w:sz w:val="24"/>
          <w:szCs w:val="24"/>
        </w:rPr>
        <w:t>Albert D. and J. Schoen. 2013. Use of historical logging patterns to identify disproportionately logged</w:t>
      </w:r>
      <w:r w:rsidR="00DA2F2A" w:rsidRPr="001616AF">
        <w:rPr>
          <w:rFonts w:ascii="Times New Roman" w:hAnsi="Times New Roman" w:cs="Times New Roman"/>
          <w:sz w:val="24"/>
          <w:szCs w:val="24"/>
        </w:rPr>
        <w:t xml:space="preserve"> </w:t>
      </w:r>
      <w:proofErr w:type="spellStart"/>
      <w:r w:rsidRPr="001616AF">
        <w:rPr>
          <w:rFonts w:ascii="Times New Roman" w:hAnsi="Times New Roman" w:cs="Times New Roman"/>
          <w:sz w:val="24"/>
          <w:szCs w:val="24"/>
        </w:rPr>
        <w:t>ecosytems</w:t>
      </w:r>
      <w:proofErr w:type="spellEnd"/>
      <w:r w:rsidRPr="001616AF">
        <w:rPr>
          <w:rFonts w:ascii="Times New Roman" w:hAnsi="Times New Roman" w:cs="Times New Roman"/>
          <w:sz w:val="24"/>
          <w:szCs w:val="24"/>
        </w:rPr>
        <w:t xml:space="preserve"> within temperate rainforests of southeastern Alaska. Conservation Biology 27:774-784.</w:t>
      </w:r>
    </w:p>
    <w:p w14:paraId="5E241E2D" w14:textId="77777777" w:rsidR="00CF7EBF" w:rsidRPr="001616AF" w:rsidRDefault="00CF7EBF" w:rsidP="00CF7EBF">
      <w:pPr>
        <w:autoSpaceDE w:val="0"/>
        <w:autoSpaceDN w:val="0"/>
        <w:adjustRightInd w:val="0"/>
        <w:spacing w:after="0" w:line="240" w:lineRule="auto"/>
        <w:rPr>
          <w:rFonts w:ascii="Times New Roman" w:hAnsi="Times New Roman" w:cs="Times New Roman"/>
          <w:sz w:val="24"/>
          <w:szCs w:val="24"/>
        </w:rPr>
      </w:pPr>
    </w:p>
    <w:p w14:paraId="0D0E39EF" w14:textId="77777777" w:rsidR="00CF7EBF" w:rsidRPr="001616AF" w:rsidRDefault="00CF7EBF" w:rsidP="00CF7EBF">
      <w:pPr>
        <w:autoSpaceDE w:val="0"/>
        <w:autoSpaceDN w:val="0"/>
        <w:adjustRightInd w:val="0"/>
        <w:spacing w:after="0" w:line="240" w:lineRule="auto"/>
        <w:rPr>
          <w:rFonts w:ascii="Times New Roman" w:hAnsi="Times New Roman" w:cs="Times New Roman"/>
          <w:sz w:val="24"/>
          <w:szCs w:val="24"/>
        </w:rPr>
      </w:pPr>
      <w:proofErr w:type="spellStart"/>
      <w:r w:rsidRPr="001616AF">
        <w:rPr>
          <w:rFonts w:ascii="Times New Roman" w:hAnsi="Times New Roman" w:cs="Times New Roman"/>
          <w:sz w:val="24"/>
          <w:szCs w:val="24"/>
        </w:rPr>
        <w:t>Orians</w:t>
      </w:r>
      <w:proofErr w:type="spellEnd"/>
      <w:r w:rsidRPr="001616AF">
        <w:rPr>
          <w:rFonts w:ascii="Times New Roman" w:hAnsi="Times New Roman" w:cs="Times New Roman"/>
          <w:sz w:val="24"/>
          <w:szCs w:val="24"/>
        </w:rPr>
        <w:t xml:space="preserve">, G. and J. Schoen (eds), </w:t>
      </w:r>
      <w:r w:rsidRPr="001616AF">
        <w:rPr>
          <w:rFonts w:ascii="Times New Roman" w:hAnsi="Times New Roman" w:cs="Times New Roman"/>
          <w:i/>
          <w:sz w:val="24"/>
          <w:szCs w:val="24"/>
        </w:rPr>
        <w:t>North Pacific Temperate Rainforests Ecology and Conservation.</w:t>
      </w:r>
      <w:r w:rsidRPr="001616AF">
        <w:rPr>
          <w:rFonts w:ascii="Times New Roman" w:hAnsi="Times New Roman" w:cs="Times New Roman"/>
          <w:sz w:val="24"/>
          <w:szCs w:val="24"/>
        </w:rPr>
        <w:t xml:space="preserve"> University of Washington Press: Seattle, WA.</w:t>
      </w:r>
    </w:p>
    <w:p w14:paraId="75D13BFF" w14:textId="77777777" w:rsidR="00CF7EBF" w:rsidRPr="001616AF" w:rsidRDefault="00CF7EBF" w:rsidP="00CF7EBF">
      <w:pPr>
        <w:autoSpaceDE w:val="0"/>
        <w:autoSpaceDN w:val="0"/>
        <w:adjustRightInd w:val="0"/>
        <w:spacing w:after="0" w:line="240" w:lineRule="auto"/>
        <w:rPr>
          <w:rFonts w:ascii="Times New Roman" w:hAnsi="Times New Roman" w:cs="Times New Roman"/>
          <w:sz w:val="24"/>
          <w:szCs w:val="24"/>
        </w:rPr>
      </w:pPr>
    </w:p>
    <w:p w14:paraId="551967A0" w14:textId="379C59DB" w:rsidR="00DA2F2A" w:rsidRPr="001616AF" w:rsidRDefault="00DA2F2A" w:rsidP="00CF7EBF">
      <w:pPr>
        <w:pStyle w:val="EndNoteBibliography"/>
        <w:rPr>
          <w:rFonts w:ascii="Times New Roman" w:hAnsi="Times New Roman" w:cs="Times New Roman"/>
          <w:color w:val="auto"/>
        </w:rPr>
      </w:pPr>
      <w:bookmarkStart w:id="3" w:name="_ENREF_186"/>
      <w:r w:rsidRPr="001616AF">
        <w:rPr>
          <w:rFonts w:ascii="Times New Roman" w:hAnsi="Times New Roman" w:cs="Times New Roman"/>
          <w:color w:val="auto"/>
        </w:rPr>
        <w:t xml:space="preserve">Schoen, J. 2020. Tongass Odyssey: Seeing the forest ecosystem through the politics of trees. University of Alaska Press. </w:t>
      </w:r>
      <w:bookmarkEnd w:id="1"/>
      <w:bookmarkEnd w:id="2"/>
      <w:bookmarkEnd w:id="3"/>
    </w:p>
    <w:sectPr w:rsidR="00DA2F2A" w:rsidRPr="001616AF" w:rsidSect="008335A0">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4A2365" w14:textId="77777777" w:rsidR="008B06D6" w:rsidRDefault="008B06D6" w:rsidP="00D34457">
      <w:pPr>
        <w:spacing w:after="0" w:line="240" w:lineRule="auto"/>
      </w:pPr>
      <w:r>
        <w:separator/>
      </w:r>
    </w:p>
  </w:endnote>
  <w:endnote w:type="continuationSeparator" w:id="0">
    <w:p w14:paraId="3869A6F0" w14:textId="77777777" w:rsidR="008B06D6" w:rsidRDefault="008B06D6" w:rsidP="00D344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360B97" w14:textId="77777777" w:rsidR="008B06D6" w:rsidRDefault="008B06D6" w:rsidP="00D34457">
      <w:pPr>
        <w:spacing w:after="0" w:line="240" w:lineRule="auto"/>
      </w:pPr>
      <w:r>
        <w:separator/>
      </w:r>
    </w:p>
  </w:footnote>
  <w:footnote w:type="continuationSeparator" w:id="0">
    <w:p w14:paraId="0AAD2FCF" w14:textId="77777777" w:rsidR="008B06D6" w:rsidRDefault="008B06D6" w:rsidP="00D344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7599803"/>
      <w:docPartObj>
        <w:docPartGallery w:val="Page Numbers (Top of Page)"/>
        <w:docPartUnique/>
      </w:docPartObj>
    </w:sdtPr>
    <w:sdtEndPr>
      <w:rPr>
        <w:noProof/>
      </w:rPr>
    </w:sdtEndPr>
    <w:sdtContent>
      <w:p w14:paraId="77251EB3" w14:textId="2999DC93" w:rsidR="00D34457" w:rsidRDefault="00D34457" w:rsidP="00D34457">
        <w:pPr>
          <w:pStyle w:val="Header"/>
        </w:pPr>
        <w:r>
          <w:t xml:space="preserve">Schoen Comments on </w:t>
        </w:r>
        <w:r w:rsidR="0064601A">
          <w:t>a Definition Framework for Old Growth</w:t>
        </w:r>
        <w:r>
          <w:tab/>
        </w:r>
        <w:r>
          <w:tab/>
        </w:r>
        <w:r>
          <w:fldChar w:fldCharType="begin"/>
        </w:r>
        <w:r>
          <w:instrText xml:space="preserve"> PAGE   \* MERGEFORMAT </w:instrText>
        </w:r>
        <w:r>
          <w:fldChar w:fldCharType="separate"/>
        </w:r>
        <w:r>
          <w:rPr>
            <w:noProof/>
          </w:rPr>
          <w:t>2</w:t>
        </w:r>
        <w:r>
          <w:rPr>
            <w:noProof/>
          </w:rPr>
          <w:fldChar w:fldCharType="end"/>
        </w:r>
      </w:p>
    </w:sdtContent>
  </w:sdt>
  <w:p w14:paraId="65427C00" w14:textId="77777777" w:rsidR="00D34457" w:rsidRDefault="00D344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76848"/>
    <w:multiLevelType w:val="hybridMultilevel"/>
    <w:tmpl w:val="3B8833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A202E88"/>
    <w:multiLevelType w:val="hybridMultilevel"/>
    <w:tmpl w:val="722448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3571F31"/>
    <w:multiLevelType w:val="hybridMultilevel"/>
    <w:tmpl w:val="3B8833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303A5C91"/>
    <w:multiLevelType w:val="hybridMultilevel"/>
    <w:tmpl w:val="3B8833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3D022FD4"/>
    <w:multiLevelType w:val="hybridMultilevel"/>
    <w:tmpl w:val="3C3885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0791299"/>
    <w:multiLevelType w:val="hybridMultilevel"/>
    <w:tmpl w:val="722448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089424634">
    <w:abstractNumId w:val="4"/>
  </w:num>
  <w:num w:numId="2" w16cid:durableId="14965314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935143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36402358">
    <w:abstractNumId w:val="2"/>
  </w:num>
  <w:num w:numId="5" w16cid:durableId="1367214025">
    <w:abstractNumId w:val="0"/>
  </w:num>
  <w:num w:numId="6" w16cid:durableId="296110432">
    <w:abstractNumId w:val="3"/>
  </w:num>
  <w:num w:numId="7" w16cid:durableId="15441700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160"/>
    <w:rsid w:val="000513CD"/>
    <w:rsid w:val="00052FF6"/>
    <w:rsid w:val="00090AC4"/>
    <w:rsid w:val="000946B3"/>
    <w:rsid w:val="000C3402"/>
    <w:rsid w:val="00130CB4"/>
    <w:rsid w:val="00141B5C"/>
    <w:rsid w:val="00153E6A"/>
    <w:rsid w:val="001616AF"/>
    <w:rsid w:val="00235085"/>
    <w:rsid w:val="00243A75"/>
    <w:rsid w:val="00247782"/>
    <w:rsid w:val="002F2B1F"/>
    <w:rsid w:val="00304CF2"/>
    <w:rsid w:val="00311F0C"/>
    <w:rsid w:val="0034003D"/>
    <w:rsid w:val="00344B53"/>
    <w:rsid w:val="0036330A"/>
    <w:rsid w:val="003B5F1D"/>
    <w:rsid w:val="0044177C"/>
    <w:rsid w:val="004E7088"/>
    <w:rsid w:val="00546F5B"/>
    <w:rsid w:val="0056583B"/>
    <w:rsid w:val="005C58A5"/>
    <w:rsid w:val="005E0896"/>
    <w:rsid w:val="005F5BB4"/>
    <w:rsid w:val="00625F99"/>
    <w:rsid w:val="00627160"/>
    <w:rsid w:val="00636370"/>
    <w:rsid w:val="0064601A"/>
    <w:rsid w:val="00670564"/>
    <w:rsid w:val="00671DA2"/>
    <w:rsid w:val="006B61A5"/>
    <w:rsid w:val="006C2EBE"/>
    <w:rsid w:val="006E72FE"/>
    <w:rsid w:val="00771D95"/>
    <w:rsid w:val="007830C1"/>
    <w:rsid w:val="0079300A"/>
    <w:rsid w:val="007C58AD"/>
    <w:rsid w:val="007F5940"/>
    <w:rsid w:val="008335A0"/>
    <w:rsid w:val="00837FCE"/>
    <w:rsid w:val="0084390B"/>
    <w:rsid w:val="0085274D"/>
    <w:rsid w:val="00852E36"/>
    <w:rsid w:val="008B06D6"/>
    <w:rsid w:val="008F2FF9"/>
    <w:rsid w:val="00993FF0"/>
    <w:rsid w:val="009C3883"/>
    <w:rsid w:val="009D441C"/>
    <w:rsid w:val="00A051CF"/>
    <w:rsid w:val="00A166F7"/>
    <w:rsid w:val="00A27A48"/>
    <w:rsid w:val="00AB4D54"/>
    <w:rsid w:val="00AD4257"/>
    <w:rsid w:val="00AE5875"/>
    <w:rsid w:val="00AF5C1D"/>
    <w:rsid w:val="00B6510F"/>
    <w:rsid w:val="00B85056"/>
    <w:rsid w:val="00BD4154"/>
    <w:rsid w:val="00BF26E4"/>
    <w:rsid w:val="00C0683F"/>
    <w:rsid w:val="00CF7EBF"/>
    <w:rsid w:val="00D070E9"/>
    <w:rsid w:val="00D34457"/>
    <w:rsid w:val="00D40261"/>
    <w:rsid w:val="00D63D36"/>
    <w:rsid w:val="00DA2F2A"/>
    <w:rsid w:val="00DA73E5"/>
    <w:rsid w:val="00DC6AAD"/>
    <w:rsid w:val="00E06A56"/>
    <w:rsid w:val="00ED4F06"/>
    <w:rsid w:val="00F13702"/>
    <w:rsid w:val="00F2301E"/>
    <w:rsid w:val="00F46E4B"/>
    <w:rsid w:val="00F65578"/>
    <w:rsid w:val="00F974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76112"/>
  <w15:chartTrackingRefBased/>
  <w15:docId w15:val="{8E35C515-60B4-4F10-BDD8-4DC35FB18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71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F7EBF"/>
    <w:rPr>
      <w:u w:val="single"/>
    </w:rPr>
  </w:style>
  <w:style w:type="paragraph" w:styleId="ListParagraph">
    <w:name w:val="List Paragraph"/>
    <w:uiPriority w:val="34"/>
    <w:qFormat/>
    <w:rsid w:val="00CF7EBF"/>
    <w:pPr>
      <w:pBdr>
        <w:top w:val="nil"/>
        <w:left w:val="nil"/>
        <w:bottom w:val="nil"/>
        <w:right w:val="nil"/>
        <w:between w:val="nil"/>
        <w:bar w:val="nil"/>
      </w:pBdr>
      <w:suppressAutoHyphens/>
      <w:ind w:left="720"/>
    </w:pPr>
    <w:rPr>
      <w:rFonts w:ascii="Garamond" w:eastAsia="Arial Unicode MS" w:hAnsi="Arial Unicode MS" w:cs="Arial Unicode MS"/>
      <w:color w:val="000000"/>
      <w:kern w:val="1"/>
      <w:sz w:val="24"/>
      <w:szCs w:val="24"/>
      <w:u w:color="000000"/>
      <w:bdr w:val="nil"/>
    </w:rPr>
  </w:style>
  <w:style w:type="paragraph" w:customStyle="1" w:styleId="EndNoteBibliography">
    <w:name w:val="EndNote Bibliography"/>
    <w:link w:val="EndNoteBibliographyChar"/>
    <w:rsid w:val="00CF7EBF"/>
    <w:pPr>
      <w:pBdr>
        <w:top w:val="nil"/>
        <w:left w:val="nil"/>
        <w:bottom w:val="nil"/>
        <w:right w:val="nil"/>
        <w:between w:val="nil"/>
        <w:bar w:val="nil"/>
      </w:pBdr>
      <w:suppressAutoHyphens/>
      <w:spacing w:line="240" w:lineRule="auto"/>
    </w:pPr>
    <w:rPr>
      <w:rFonts w:ascii="Garamond" w:eastAsia="Garamond" w:hAnsi="Garamond" w:cs="Garamond"/>
      <w:color w:val="000000"/>
      <w:kern w:val="1"/>
      <w:sz w:val="24"/>
      <w:szCs w:val="24"/>
      <w:u w:color="000000"/>
      <w:bdr w:val="nil"/>
    </w:rPr>
  </w:style>
  <w:style w:type="paragraph" w:customStyle="1" w:styleId="Body1">
    <w:name w:val="Body1"/>
    <w:basedOn w:val="Normal"/>
    <w:rsid w:val="00CF7EBF"/>
    <w:pPr>
      <w:spacing w:after="0" w:line="270" w:lineRule="atLeast"/>
      <w:ind w:firstLine="288"/>
    </w:pPr>
    <w:rPr>
      <w:rFonts w:ascii="Times New Roman" w:eastAsia="Times New Roman" w:hAnsi="Times New Roman" w:cs="Times New Roman"/>
      <w:szCs w:val="24"/>
      <w:u w:color="000000"/>
    </w:rPr>
  </w:style>
  <w:style w:type="paragraph" w:customStyle="1" w:styleId="Atlasbodytext">
    <w:name w:val="Atlas body text"/>
    <w:basedOn w:val="BodyText"/>
    <w:link w:val="AtlasbodytextChar"/>
    <w:autoRedefine/>
    <w:qFormat/>
    <w:rsid w:val="00CF7EBF"/>
    <w:pPr>
      <w:spacing w:after="160" w:line="252" w:lineRule="auto"/>
    </w:pPr>
    <w:rPr>
      <w:rFonts w:ascii="Garamond" w:eastAsia="Times New Roman" w:hAnsi="Garamond" w:cs="Times New Roman"/>
      <w:noProof/>
      <w:sz w:val="26"/>
      <w:szCs w:val="26"/>
      <w:u w:color="000000"/>
    </w:rPr>
  </w:style>
  <w:style w:type="character" w:customStyle="1" w:styleId="AtlasbodytextChar">
    <w:name w:val="Atlas body text Char"/>
    <w:link w:val="Atlasbodytext"/>
    <w:rsid w:val="00CF7EBF"/>
    <w:rPr>
      <w:rFonts w:ascii="Garamond" w:eastAsia="Times New Roman" w:hAnsi="Garamond" w:cs="Times New Roman"/>
      <w:noProof/>
      <w:sz w:val="26"/>
      <w:szCs w:val="26"/>
      <w:u w:color="000000"/>
    </w:rPr>
  </w:style>
  <w:style w:type="character" w:customStyle="1" w:styleId="EndNoteBibliographyChar">
    <w:name w:val="EndNote Bibliography Char"/>
    <w:basedOn w:val="DefaultParagraphFont"/>
    <w:link w:val="EndNoteBibliography"/>
    <w:rsid w:val="00CF7EBF"/>
    <w:rPr>
      <w:rFonts w:ascii="Garamond" w:eastAsia="Garamond" w:hAnsi="Garamond" w:cs="Garamond"/>
      <w:color w:val="000000"/>
      <w:kern w:val="1"/>
      <w:sz w:val="24"/>
      <w:szCs w:val="24"/>
      <w:u w:color="000000"/>
      <w:bdr w:val="nil"/>
    </w:rPr>
  </w:style>
  <w:style w:type="paragraph" w:styleId="BodyText">
    <w:name w:val="Body Text"/>
    <w:basedOn w:val="Normal"/>
    <w:link w:val="BodyTextChar"/>
    <w:uiPriority w:val="99"/>
    <w:semiHidden/>
    <w:unhideWhenUsed/>
    <w:rsid w:val="00CF7EBF"/>
    <w:pPr>
      <w:spacing w:after="120"/>
    </w:pPr>
  </w:style>
  <w:style w:type="character" w:customStyle="1" w:styleId="BodyTextChar">
    <w:name w:val="Body Text Char"/>
    <w:basedOn w:val="DefaultParagraphFont"/>
    <w:link w:val="BodyText"/>
    <w:uiPriority w:val="99"/>
    <w:semiHidden/>
    <w:rsid w:val="00CF7EBF"/>
  </w:style>
  <w:style w:type="paragraph" w:styleId="Header">
    <w:name w:val="header"/>
    <w:basedOn w:val="Normal"/>
    <w:link w:val="HeaderChar"/>
    <w:uiPriority w:val="99"/>
    <w:unhideWhenUsed/>
    <w:rsid w:val="00D344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4457"/>
  </w:style>
  <w:style w:type="paragraph" w:styleId="Footer">
    <w:name w:val="footer"/>
    <w:basedOn w:val="Normal"/>
    <w:link w:val="FooterChar"/>
    <w:uiPriority w:val="99"/>
    <w:unhideWhenUsed/>
    <w:rsid w:val="00D344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4457"/>
  </w:style>
  <w:style w:type="character" w:styleId="UnresolvedMention">
    <w:name w:val="Unresolved Mention"/>
    <w:basedOn w:val="DefaultParagraphFont"/>
    <w:uiPriority w:val="99"/>
    <w:semiHidden/>
    <w:unhideWhenUsed/>
    <w:rsid w:val="00F655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379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hoenak@gci.ne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3AC7194E-3409-4128-9FC3-820D91504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2365</Words>
  <Characters>13481</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Schoen</dc:creator>
  <cp:keywords/>
  <dc:description/>
  <cp:lastModifiedBy>Schoen</cp:lastModifiedBy>
  <cp:revision>4</cp:revision>
  <cp:lastPrinted>2022-08-26T23:37:00Z</cp:lastPrinted>
  <dcterms:created xsi:type="dcterms:W3CDTF">2022-08-26T23:53:00Z</dcterms:created>
  <dcterms:modified xsi:type="dcterms:W3CDTF">2022-08-26T23:56:00Z</dcterms:modified>
</cp:coreProperties>
</file>