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9168" w14:textId="77777777" w:rsidR="00361805" w:rsidRDefault="00361805" w:rsidP="00FF5DB4">
      <w:pPr>
        <w:ind w:left="1080" w:hanging="720"/>
      </w:pPr>
    </w:p>
    <w:p w14:paraId="63E05B51" w14:textId="2E2E194D" w:rsidR="00361805" w:rsidRPr="00361805" w:rsidRDefault="00361805" w:rsidP="00361805">
      <w:pPr>
        <w:rPr>
          <w:b/>
          <w:bCs/>
        </w:rPr>
      </w:pPr>
      <w:r>
        <w:rPr>
          <w:noProof/>
        </w:rPr>
        <w:drawing>
          <wp:inline distT="0" distB="0" distL="0" distR="0" wp14:anchorId="398D6BDA" wp14:editId="016F4B9D">
            <wp:extent cx="5486400" cy="10610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_2Color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5FB91" w14:textId="77777777" w:rsidR="00E36437" w:rsidRDefault="00E36437" w:rsidP="00361805"/>
    <w:p w14:paraId="0965E3E2" w14:textId="3C6DE757" w:rsidR="00E36437" w:rsidRPr="008E7370" w:rsidRDefault="00E36437" w:rsidP="00E36437">
      <w:pPr>
        <w:spacing w:before="100" w:beforeAutospacing="1" w:after="100" w:afterAutospacing="1" w:line="240" w:lineRule="auto"/>
        <w:rPr>
          <w:rFonts w:eastAsia="Times New Roman" w:cstheme="minorHAnsi"/>
          <w:i/>
          <w:iCs/>
        </w:rPr>
      </w:pPr>
      <w:r w:rsidRPr="008E7370">
        <w:rPr>
          <w:rFonts w:eastAsia="Times New Roman" w:cstheme="minorHAnsi"/>
          <w:i/>
          <w:iCs/>
        </w:rPr>
        <w:t xml:space="preserve">Submitted via online portal </w:t>
      </w:r>
    </w:p>
    <w:p w14:paraId="4A87E28A" w14:textId="6554BE52" w:rsidR="00E36437" w:rsidRDefault="00E36437" w:rsidP="00E36437">
      <w:pPr>
        <w:spacing w:before="100" w:beforeAutospacing="1" w:after="100" w:afterAutospacing="1" w:line="240" w:lineRule="auto"/>
        <w:jc w:val="right"/>
        <w:rPr>
          <w:rFonts w:eastAsia="Times New Roman" w:cstheme="minorHAnsi"/>
        </w:rPr>
      </w:pPr>
      <w:r w:rsidRPr="008E7370">
        <w:rPr>
          <w:rFonts w:eastAsia="Times New Roman" w:cstheme="minorHAnsi"/>
        </w:rPr>
        <w:t>August 17, 2022</w:t>
      </w:r>
    </w:p>
    <w:p w14:paraId="7F162C3F" w14:textId="5BF0EA49" w:rsidR="00E36437" w:rsidRDefault="00E36437" w:rsidP="008E737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Christopher French</w:t>
      </w:r>
    </w:p>
    <w:p w14:paraId="4B3F8497" w14:textId="77777777" w:rsidR="00E36437" w:rsidRDefault="00E36437" w:rsidP="00E36437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Deputy Chief</w:t>
      </w:r>
    </w:p>
    <w:p w14:paraId="4458E3E3" w14:textId="4413EB87" w:rsidR="00E36437" w:rsidRDefault="00E36437" w:rsidP="008E737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National Forest System, Forest Service</w:t>
      </w:r>
    </w:p>
    <w:p w14:paraId="319D2891" w14:textId="0B7E8E57" w:rsidR="00E36437" w:rsidRDefault="00E36437" w:rsidP="00E36437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U.S. Department of Agriculture</w:t>
      </w:r>
    </w:p>
    <w:p w14:paraId="112769CA" w14:textId="4CC3E180" w:rsidR="00E36437" w:rsidRDefault="00E36437" w:rsidP="00E36437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Sidney R. Yates Federal Building</w:t>
      </w:r>
    </w:p>
    <w:p w14:paraId="11AEC6B1" w14:textId="5C98BCBB" w:rsidR="00E36437" w:rsidRDefault="00E36437" w:rsidP="00E36437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201 14</w:t>
      </w:r>
      <w:r w:rsidRPr="008E7370">
        <w:rPr>
          <w:rFonts w:eastAsia="Times New Roman" w:cstheme="minorHAnsi"/>
          <w:vertAlign w:val="superscript"/>
        </w:rPr>
        <w:t>th</w:t>
      </w:r>
      <w:r>
        <w:rPr>
          <w:rFonts w:eastAsia="Times New Roman" w:cstheme="minorHAnsi"/>
        </w:rPr>
        <w:t xml:space="preserve"> Street, SW</w:t>
      </w:r>
    </w:p>
    <w:p w14:paraId="07045002" w14:textId="234149C6" w:rsidR="00E36437" w:rsidRDefault="00E36437" w:rsidP="00E36437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Washington, DC 20024</w:t>
      </w:r>
    </w:p>
    <w:p w14:paraId="4C5665D1" w14:textId="45D65164" w:rsidR="00E36437" w:rsidRDefault="00E36437" w:rsidP="00E36437">
      <w:pPr>
        <w:spacing w:after="0" w:line="240" w:lineRule="auto"/>
        <w:rPr>
          <w:rFonts w:eastAsia="Times New Roman" w:cstheme="minorHAnsi"/>
        </w:rPr>
      </w:pPr>
    </w:p>
    <w:p w14:paraId="49FD53CD" w14:textId="77777777" w:rsidR="00E36437" w:rsidRPr="008E7370" w:rsidRDefault="00E36437" w:rsidP="008E7370">
      <w:pPr>
        <w:spacing w:after="0" w:line="240" w:lineRule="auto"/>
        <w:rPr>
          <w:rFonts w:eastAsia="Times New Roman" w:cstheme="minorHAnsi"/>
        </w:rPr>
      </w:pPr>
    </w:p>
    <w:p w14:paraId="42B1DD08" w14:textId="77777777" w:rsidR="00E36437" w:rsidRPr="00E36437" w:rsidRDefault="00E36437" w:rsidP="00E364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</w:rPr>
        <w:t xml:space="preserve">Re: Comments Regarding Executive Order 14072, Request for Information on Federal Old-Growth and Mature Forests, Docket Number: </w:t>
      </w:r>
      <w:r w:rsidRPr="008E7370">
        <w:rPr>
          <w:rFonts w:eastAsia="Times New Roman" w:cstheme="minorHAnsi"/>
        </w:rPr>
        <w:t>FS-2022-0003</w:t>
      </w:r>
    </w:p>
    <w:p w14:paraId="1B3DADAA" w14:textId="3C795F90" w:rsidR="00E36437" w:rsidRPr="008E7370" w:rsidRDefault="00E36437" w:rsidP="00361805">
      <w:pPr>
        <w:rPr>
          <w:b/>
          <w:bCs/>
        </w:rPr>
      </w:pPr>
    </w:p>
    <w:p w14:paraId="2199FF8A" w14:textId="7D294E57" w:rsidR="00E36437" w:rsidRDefault="00E36437" w:rsidP="00361805">
      <w:r>
        <w:t xml:space="preserve">Dear </w:t>
      </w:r>
      <w:proofErr w:type="gramStart"/>
      <w:r>
        <w:t>Deputy</w:t>
      </w:r>
      <w:proofErr w:type="gramEnd"/>
      <w:r>
        <w:t xml:space="preserve"> Chief French, </w:t>
      </w:r>
    </w:p>
    <w:p w14:paraId="12DEFC93" w14:textId="686EB170" w:rsidR="00361805" w:rsidRDefault="00E36437" w:rsidP="00361805">
      <w:proofErr w:type="spellStart"/>
      <w:r>
        <w:t>SalmonState</w:t>
      </w:r>
      <w:proofErr w:type="spellEnd"/>
      <w:r>
        <w:t xml:space="preserve"> t</w:t>
      </w:r>
      <w:r w:rsidR="00361805">
        <w:t>hank</w:t>
      </w:r>
      <w:r>
        <w:t>s</w:t>
      </w:r>
      <w:r w:rsidR="00361805">
        <w:t xml:space="preserve"> you for the opportunity to comment on Executive Order 14072, Request for information on federal old</w:t>
      </w:r>
      <w:r>
        <w:t>-</w:t>
      </w:r>
      <w:r w:rsidR="00361805">
        <w:t>growth and mature forests.</w:t>
      </w:r>
      <w:r w:rsidR="00110DC2">
        <w:t xml:space="preserve"> These comments reflect the role that</w:t>
      </w:r>
      <w:r w:rsidR="006A2E86">
        <w:t xml:space="preserve"> </w:t>
      </w:r>
      <w:r w:rsidR="001B505A">
        <w:t xml:space="preserve">protected </w:t>
      </w:r>
      <w:r w:rsidR="00110DC2">
        <w:t xml:space="preserve">old growth forests play supporting economic activity, as well as recommendations for developing community-led local and regional economic development opportunities. </w:t>
      </w:r>
    </w:p>
    <w:p w14:paraId="5197E1D1" w14:textId="354029CE" w:rsidR="00361805" w:rsidRPr="00212BE4" w:rsidRDefault="00361805" w:rsidP="00361805">
      <w:pPr>
        <w:rPr>
          <w:rFonts w:eastAsia="Calibri" w:cstheme="minorHAnsi"/>
        </w:rPr>
      </w:pPr>
      <w:proofErr w:type="spellStart"/>
      <w:r w:rsidRPr="00212BE4">
        <w:rPr>
          <w:rFonts w:eastAsia="Calibri" w:cstheme="minorHAnsi"/>
        </w:rPr>
        <w:t>SalmonState</w:t>
      </w:r>
      <w:proofErr w:type="spellEnd"/>
      <w:r w:rsidRPr="00212BE4">
        <w:rPr>
          <w:rFonts w:eastAsia="Calibri" w:cstheme="minorHAnsi"/>
        </w:rPr>
        <w:t xml:space="preserve">, a seven-year-old initiative housed at NVF, works to protect </w:t>
      </w:r>
      <w:proofErr w:type="gramStart"/>
      <w:r w:rsidRPr="00212BE4">
        <w:rPr>
          <w:rFonts w:eastAsia="Calibri" w:cstheme="minorHAnsi"/>
        </w:rPr>
        <w:t>habitat</w:t>
      </w:r>
      <w:proofErr w:type="gramEnd"/>
      <w:r w:rsidRPr="00212BE4">
        <w:rPr>
          <w:rFonts w:eastAsia="Calibri" w:cstheme="minorHAnsi"/>
        </w:rPr>
        <w:t xml:space="preserve"> and promote policies that will guarantee Alaska remains the SalmonState; the home of the world's largest, healthiest and most abundant wild salmon resource, which provides culture, food, income, employment and recreation to Alaskans, Americans and the rest of the world. </w:t>
      </w:r>
    </w:p>
    <w:p w14:paraId="56B699C9" w14:textId="21AD5D3F" w:rsidR="00D42A4E" w:rsidRPr="00FF5DB4" w:rsidRDefault="00D7278C" w:rsidP="00FF5DB4">
      <w:pPr>
        <w:pStyle w:val="ListParagraph"/>
        <w:numPr>
          <w:ilvl w:val="0"/>
          <w:numId w:val="2"/>
        </w:numPr>
        <w:rPr>
          <w:b/>
          <w:bCs/>
        </w:rPr>
      </w:pPr>
      <w:r w:rsidRPr="00FF5DB4">
        <w:rPr>
          <w:b/>
          <w:bCs/>
        </w:rPr>
        <w:t xml:space="preserve">Old Growth forests are already an important part of the working forest. </w:t>
      </w:r>
    </w:p>
    <w:p w14:paraId="0E2E7DC8" w14:textId="757F5124" w:rsidR="00A304B5" w:rsidRDefault="008B13CE">
      <w:r>
        <w:t>Protect</w:t>
      </w:r>
      <w:r w:rsidR="002753FA">
        <w:t>ed</w:t>
      </w:r>
      <w:r>
        <w:t xml:space="preserve"> old-growth and mature forests </w:t>
      </w:r>
      <w:r w:rsidR="002753FA">
        <w:t xml:space="preserve">are essential components </w:t>
      </w:r>
      <w:r>
        <w:t xml:space="preserve">of </w:t>
      </w:r>
      <w:r w:rsidR="002F2109">
        <w:t xml:space="preserve">a </w:t>
      </w:r>
      <w:r>
        <w:t>working forest and contribute to econom</w:t>
      </w:r>
      <w:r w:rsidR="00742D52">
        <w:t>ic value</w:t>
      </w:r>
      <w:r>
        <w:t xml:space="preserve">s. </w:t>
      </w:r>
      <w:r w:rsidR="00A304B5">
        <w:t xml:space="preserve">The Tongass National Forest </w:t>
      </w:r>
      <w:r w:rsidR="00B86223">
        <w:t>provides</w:t>
      </w:r>
      <w:r w:rsidR="00A304B5">
        <w:t xml:space="preserve"> an </w:t>
      </w:r>
      <w:r w:rsidR="00D7278C">
        <w:t xml:space="preserve">outstanding </w:t>
      </w:r>
      <w:r w:rsidR="00A304B5">
        <w:t xml:space="preserve">example of </w:t>
      </w:r>
      <w:r w:rsidR="007514AA">
        <w:t xml:space="preserve">how </w:t>
      </w:r>
      <w:r w:rsidR="00A304B5">
        <w:t xml:space="preserve">protecting </w:t>
      </w:r>
      <w:r w:rsidR="007514AA">
        <w:t>old growth</w:t>
      </w:r>
      <w:r w:rsidR="00A304B5">
        <w:t xml:space="preserve"> </w:t>
      </w:r>
      <w:r w:rsidR="00212BE4">
        <w:t>supports</w:t>
      </w:r>
      <w:r w:rsidR="001B505A">
        <w:t xml:space="preserve"> </w:t>
      </w:r>
      <w:r w:rsidR="001B505A">
        <w:t>the leading private sector economies</w:t>
      </w:r>
      <w:r w:rsidR="001B505A">
        <w:t xml:space="preserve"> of</w:t>
      </w:r>
      <w:r w:rsidR="00212BE4">
        <w:t xml:space="preserve"> commercial fishing and tourism</w:t>
      </w:r>
      <w:r w:rsidR="007514AA">
        <w:t xml:space="preserve">. </w:t>
      </w:r>
    </w:p>
    <w:p w14:paraId="1444E9B0" w14:textId="60E7ECA0" w:rsidR="007514AA" w:rsidRDefault="005855E0">
      <w:r>
        <w:lastRenderedPageBreak/>
        <w:t>In the Southeast Alaska Sustainability Strategy, t</w:t>
      </w:r>
      <w:r w:rsidR="00B86223">
        <w:t>he</w:t>
      </w:r>
      <w:r w:rsidR="002F2109">
        <w:t xml:space="preserve"> USDA </w:t>
      </w:r>
      <w:r w:rsidR="00B86223">
        <w:t>has recognized the value</w:t>
      </w:r>
      <w:r w:rsidR="00197373">
        <w:t xml:space="preserve"> of</w:t>
      </w:r>
      <w:r w:rsidR="00B86223">
        <w:t xml:space="preserve"> </w:t>
      </w:r>
      <w:r w:rsidR="007411C6">
        <w:t xml:space="preserve">old-growth forests and </w:t>
      </w:r>
      <w:r w:rsidR="00F214CA">
        <w:t>community-led development</w:t>
      </w:r>
      <w:r>
        <w:t xml:space="preserve"> </w:t>
      </w:r>
      <w:r w:rsidR="00197373">
        <w:t xml:space="preserve">by ending the large-scale clear cutting of old-growth </w:t>
      </w:r>
      <w:r>
        <w:t>and</w:t>
      </w:r>
      <w:r w:rsidR="007411C6">
        <w:t xml:space="preserve"> identifying the need to</w:t>
      </w:r>
      <w:r>
        <w:t xml:space="preserve"> shift agency priorities to focus </w:t>
      </w:r>
      <w:r w:rsidR="00CC6670">
        <w:t xml:space="preserve">on recreation, restoration, and resiliency. </w:t>
      </w:r>
    </w:p>
    <w:p w14:paraId="3D73B952" w14:textId="2BA836EB" w:rsidR="005B4ED5" w:rsidRPr="00C20196" w:rsidRDefault="00FF5DB4" w:rsidP="00C20196">
      <w:r>
        <w:t>Alaska’s vibrant commercial and sport fishing sectors</w:t>
      </w:r>
      <w:r w:rsidR="00C20196">
        <w:t>, and traditional harvest</w:t>
      </w:r>
      <w:r>
        <w:t xml:space="preserve"> are based </w:t>
      </w:r>
      <w:r w:rsidR="00D64513">
        <w:t xml:space="preserve">abundant </w:t>
      </w:r>
      <w:r>
        <w:t xml:space="preserve">wild salmon. Alaska still has the </w:t>
      </w:r>
      <w:r w:rsidR="00C20196">
        <w:t xml:space="preserve">old growth forest </w:t>
      </w:r>
      <w:r>
        <w:t>habitat to support healthy, wild runs</w:t>
      </w:r>
      <w:r w:rsidR="002C7A6B">
        <w:t>. The massive efforts to recover lost salmon runs in the lower 48</w:t>
      </w:r>
      <w:r w:rsidR="00E36437">
        <w:t xml:space="preserve"> coastal states</w:t>
      </w:r>
      <w:r w:rsidR="002F2109">
        <w:t>, which have declined in part due to logging practices,</w:t>
      </w:r>
      <w:r w:rsidR="002C7A6B">
        <w:t xml:space="preserve"> highlight the need to protect remaining salmon habitat. </w:t>
      </w:r>
      <w:r w:rsidR="005B4ED5" w:rsidRPr="00BF74A5">
        <w:rPr>
          <w:rFonts w:cstheme="minorHAnsi"/>
          <w:color w:val="000000"/>
        </w:rPr>
        <w:t xml:space="preserve">The Tongass has more than 5,000 salmon streams and </w:t>
      </w:r>
      <w:hyperlink r:id="rId9" w:history="1">
        <w:r w:rsidR="005B4ED5" w:rsidRPr="00BF74A5">
          <w:rPr>
            <w:rStyle w:val="Hyperlink"/>
            <w:rFonts w:cstheme="minorHAnsi"/>
            <w:color w:val="1155CC"/>
          </w:rPr>
          <w:t>produces 80 percent of the commercial salmon harvest from Southeast Alaska</w:t>
        </w:r>
      </w:hyperlink>
      <w:r w:rsidR="005B4ED5" w:rsidRPr="00BF74A5">
        <w:rPr>
          <w:rFonts w:cstheme="minorHAnsi"/>
          <w:color w:val="000000"/>
        </w:rPr>
        <w:t>, valued at $60 million annually.</w:t>
      </w:r>
      <w:r w:rsidR="005B4ED5" w:rsidRPr="00E94497">
        <w:rPr>
          <w:rFonts w:cstheme="minorHAnsi"/>
          <w:color w:val="000000"/>
        </w:rPr>
        <w:t> </w:t>
      </w:r>
      <w:r w:rsidR="00E36437">
        <w:rPr>
          <w:rFonts w:cstheme="minorHAnsi"/>
          <w:color w:val="000000"/>
        </w:rPr>
        <w:t xml:space="preserve">Additionally, </w:t>
      </w:r>
      <w:r w:rsidR="005B4ED5" w:rsidRPr="00BF74A5">
        <w:rPr>
          <w:rFonts w:cstheme="minorHAnsi"/>
          <w:color w:val="000000"/>
        </w:rPr>
        <w:t>25</w:t>
      </w:r>
      <w:r w:rsidR="00E36437">
        <w:rPr>
          <w:rFonts w:cstheme="minorHAnsi"/>
          <w:color w:val="000000"/>
        </w:rPr>
        <w:t>%</w:t>
      </w:r>
      <w:r w:rsidR="005B4ED5" w:rsidRPr="00BF74A5">
        <w:rPr>
          <w:rFonts w:cstheme="minorHAnsi"/>
          <w:color w:val="000000"/>
        </w:rPr>
        <w:t xml:space="preserve"> of the West Coast’s salmon catch </w:t>
      </w:r>
      <w:r w:rsidR="00BF74A5" w:rsidRPr="00BF74A5">
        <w:rPr>
          <w:rFonts w:cstheme="minorHAnsi"/>
          <w:color w:val="000000"/>
        </w:rPr>
        <w:t>comes from</w:t>
      </w:r>
      <w:r w:rsidR="005B4ED5" w:rsidRPr="00BF74A5">
        <w:rPr>
          <w:rFonts w:cstheme="minorHAnsi"/>
          <w:color w:val="000000"/>
        </w:rPr>
        <w:t xml:space="preserve"> the Tongass.</w:t>
      </w:r>
      <w:r w:rsidR="00C20196">
        <w:rPr>
          <w:rFonts w:cstheme="minorHAnsi"/>
          <w:color w:val="000000"/>
        </w:rPr>
        <w:t xml:space="preserve"> </w:t>
      </w:r>
      <w:r w:rsidR="005B4ED5" w:rsidRPr="00BF74A5">
        <w:rPr>
          <w:rFonts w:cstheme="minorHAnsi"/>
          <w:color w:val="000000"/>
        </w:rPr>
        <w:t>Commercial fishing contributes $1 billion to Southeast Alaska’s economy and is one of the region’s largest employers</w:t>
      </w:r>
      <w:r w:rsidR="00E94497">
        <w:rPr>
          <w:rFonts w:cstheme="minorHAnsi"/>
          <w:color w:val="000000"/>
        </w:rPr>
        <w:t>, accounting for 8% of jobs and earnings.</w:t>
      </w:r>
    </w:p>
    <w:p w14:paraId="47308F7A" w14:textId="371D7D60" w:rsidR="00BF74A5" w:rsidRDefault="00281775" w:rsidP="00D64513">
      <w:r>
        <w:t>Alaska’s strong tourism economy</w:t>
      </w:r>
      <w:r w:rsidR="00212BE4">
        <w:t xml:space="preserve"> is based on scenic and natural landscapes</w:t>
      </w:r>
      <w:r>
        <w:t xml:space="preserve">. </w:t>
      </w:r>
      <w:r w:rsidR="008B13CE">
        <w:t xml:space="preserve">Old-growth forests </w:t>
      </w:r>
      <w:r w:rsidR="00A304B5">
        <w:t>are part of th</w:t>
      </w:r>
      <w:r w:rsidR="007411C6">
        <w:t>is</w:t>
      </w:r>
      <w:r w:rsidR="00A304B5">
        <w:t xml:space="preserve"> dramatic natural landscape</w:t>
      </w:r>
      <w:r>
        <w:t xml:space="preserve"> and support iconic fish and wildlife populations</w:t>
      </w:r>
      <w:r w:rsidR="00A304B5">
        <w:t xml:space="preserve"> that attracts more than one million visitors to the remote region every year.</w:t>
      </w:r>
      <w:r w:rsidR="008B11CF">
        <w:t xml:space="preserve"> More than half of Alaska’s visitors come to the Tongass National Forest</w:t>
      </w:r>
      <w:r w:rsidR="00D64513">
        <w:t xml:space="preserve">, </w:t>
      </w:r>
      <w:hyperlink r:id="rId10" w:history="1">
        <w:r w:rsidR="00BF74A5" w:rsidRPr="00505F36">
          <w:rPr>
            <w:rStyle w:val="Hyperlink"/>
          </w:rPr>
          <w:t>driving over $1 billion in economic activity</w:t>
        </w:r>
        <w:r w:rsidR="00644AD7" w:rsidRPr="00505F36">
          <w:rPr>
            <w:rStyle w:val="Hyperlink"/>
          </w:rPr>
          <w:t xml:space="preserve"> in the region and </w:t>
        </w:r>
        <w:r w:rsidR="00505F36" w:rsidRPr="00505F36">
          <w:rPr>
            <w:rStyle w:val="Hyperlink"/>
          </w:rPr>
          <w:t>$2.8 billion state-wide prior to the pandemic</w:t>
        </w:r>
      </w:hyperlink>
      <w:r w:rsidR="00505F36">
        <w:t xml:space="preserve">. Tourism in and around the </w:t>
      </w:r>
      <w:proofErr w:type="spellStart"/>
      <w:r w:rsidR="00505F36">
        <w:t>Tongass</w:t>
      </w:r>
      <w:proofErr w:type="spellEnd"/>
      <w:r w:rsidR="00505F36">
        <w:t xml:space="preserve"> National Forest accounted for </w:t>
      </w:r>
      <w:r w:rsidR="00505F36">
        <w:fldChar w:fldCharType="begin"/>
      </w:r>
      <w:r w:rsidR="00505F36">
        <w:instrText xml:space="preserve"> HYPERLINK "https://www.seconference.org/sites/default/files/FINAL%20Southeast%20by%20the%20Numbers%202019.pdf" </w:instrText>
      </w:r>
      <w:r w:rsidR="00505F36">
        <w:fldChar w:fldCharType="separate"/>
      </w:r>
      <w:r w:rsidR="00505F36" w:rsidRPr="00505F36">
        <w:rPr>
          <w:rStyle w:val="Hyperlink"/>
        </w:rPr>
        <w:t xml:space="preserve">18 </w:t>
      </w:r>
      <w:r w:rsidR="00BF74A5" w:rsidRPr="00505F36">
        <w:rPr>
          <w:rStyle w:val="Hyperlink"/>
        </w:rPr>
        <w:t>% of regional employment</w:t>
      </w:r>
      <w:r w:rsidR="00505F36" w:rsidRPr="00505F36">
        <w:rPr>
          <w:rStyle w:val="Hyperlink"/>
        </w:rPr>
        <w:t xml:space="preserve"> in 2019</w:t>
      </w:r>
      <w:r w:rsidR="00505F36">
        <w:fldChar w:fldCharType="end"/>
      </w:r>
      <w:r w:rsidR="00505F36">
        <w:t xml:space="preserve"> is quickly recovering</w:t>
      </w:r>
      <w:r w:rsidR="00D64513">
        <w:t>.</w:t>
      </w:r>
      <w:r w:rsidR="002C7A6B">
        <w:t xml:space="preserve"> We would like to see greater focus </w:t>
      </w:r>
      <w:r w:rsidR="002F2109">
        <w:t xml:space="preserve">from the USDA </w:t>
      </w:r>
      <w:r w:rsidR="002C7A6B">
        <w:t>on engagement with communities to develop community-led tourism and recreation plans and management</w:t>
      </w:r>
      <w:r w:rsidR="00505F36">
        <w:t xml:space="preserve"> that helps make tourism work for communities in the National Forest. </w:t>
      </w:r>
    </w:p>
    <w:p w14:paraId="24C516A7" w14:textId="1EA04A59" w:rsidR="00AC3152" w:rsidRDefault="003E6B8C">
      <w:r>
        <w:t>Alaska’s culture is defined by access to the land</w:t>
      </w:r>
      <w:r w:rsidR="00E36437">
        <w:t>, waters, and its abundant fish and wildlife</w:t>
      </w:r>
      <w:r>
        <w:t>. Old growth forest</w:t>
      </w:r>
      <w:r w:rsidR="00961DB7">
        <w:t>s</w:t>
      </w:r>
      <w:r>
        <w:t xml:space="preserve"> provide</w:t>
      </w:r>
      <w:r w:rsidR="00961DB7">
        <w:t xml:space="preserve"> an</w:t>
      </w:r>
      <w:r>
        <w:t xml:space="preserve"> important</w:t>
      </w:r>
      <w:r w:rsidR="00961DB7">
        <w:t xml:space="preserve"> community resource as a place</w:t>
      </w:r>
      <w:r>
        <w:t xml:space="preserve"> for customary and traditional uses, hunting, fishing, and other recreational activities that are important parts of our culture. </w:t>
      </w:r>
      <w:r w:rsidR="00AC3152">
        <w:t xml:space="preserve"> </w:t>
      </w:r>
    </w:p>
    <w:p w14:paraId="7B7DC203" w14:textId="0385CDD8" w:rsidR="006E664E" w:rsidRDefault="006E664E" w:rsidP="006E664E">
      <w:r>
        <w:t xml:space="preserve">The </w:t>
      </w:r>
      <w:proofErr w:type="spellStart"/>
      <w:r>
        <w:t>Tongass</w:t>
      </w:r>
      <w:proofErr w:type="spellEnd"/>
      <w:r>
        <w:t xml:space="preserve"> is also a nationally and globally significant carbon sink, representing ~20% of the total forest carbon stock in the entire national forest system. The </w:t>
      </w:r>
      <w:proofErr w:type="spellStart"/>
      <w:r>
        <w:t>Tongass</w:t>
      </w:r>
      <w:proofErr w:type="spellEnd"/>
      <w:r>
        <w:t xml:space="preserve"> stores more than 1.5 times the 2019 US greenhouse gas emissions. Approximately half of this carbon is stored in old growth forests, in both soil and woody biomass. (</w:t>
      </w:r>
      <w:proofErr w:type="spellStart"/>
      <w:r>
        <w:fldChar w:fldCharType="begin"/>
      </w:r>
      <w:r>
        <w:instrText xml:space="preserve"> HYPERLINK "https://www.researchgate.net/publication/360511060_The_Tongass_National_Forest_Southeast_Alaska_USA_A_Natural_Climate_Solution_of_Global_Significance" </w:instrText>
      </w:r>
      <w:r>
        <w:fldChar w:fldCharType="separate"/>
      </w:r>
      <w:r w:rsidRPr="006E664E">
        <w:rPr>
          <w:rStyle w:val="Hyperlink"/>
        </w:rPr>
        <w:t>DellaSala</w:t>
      </w:r>
      <w:proofErr w:type="spellEnd"/>
      <w:r w:rsidRPr="006E664E">
        <w:rPr>
          <w:rStyle w:val="Hyperlink"/>
        </w:rPr>
        <w:t xml:space="preserve"> et al., 2020</w:t>
      </w:r>
      <w:r>
        <w:fldChar w:fldCharType="end"/>
      </w:r>
      <w:r>
        <w:t xml:space="preserve">). Secretary Vilsack’s June 23, </w:t>
      </w:r>
      <w:proofErr w:type="gramStart"/>
      <w:r>
        <w:t>2022</w:t>
      </w:r>
      <w:proofErr w:type="gramEnd"/>
      <w:r>
        <w:t xml:space="preserve"> memorandum to the Forest Service on natural climate solutions, should direct the agency to develop metrics for valuing carbon value of old growth forests.</w:t>
      </w:r>
    </w:p>
    <w:p w14:paraId="43A4D168" w14:textId="6E41EDFB" w:rsidR="00742D52" w:rsidRPr="00563E4C" w:rsidRDefault="00B86223" w:rsidP="00563E4C">
      <w:pPr>
        <w:pStyle w:val="ListParagraph"/>
        <w:numPr>
          <w:ilvl w:val="0"/>
          <w:numId w:val="2"/>
        </w:numPr>
        <w:rPr>
          <w:b/>
          <w:bCs/>
        </w:rPr>
      </w:pPr>
      <w:r w:rsidRPr="00281775">
        <w:rPr>
          <w:b/>
          <w:bCs/>
        </w:rPr>
        <w:t>Efforts in Southeast Alaska, such as the Southeast Alaska Sustainability Strategy</w:t>
      </w:r>
      <w:r w:rsidR="002C7A6B" w:rsidRPr="00281775">
        <w:rPr>
          <w:b/>
          <w:bCs/>
        </w:rPr>
        <w:t>, can guide efforts</w:t>
      </w:r>
      <w:r w:rsidRPr="00281775">
        <w:rPr>
          <w:b/>
          <w:bCs/>
        </w:rPr>
        <w:t xml:space="preserve"> </w:t>
      </w:r>
      <w:r w:rsidR="0018026A" w:rsidRPr="00281775">
        <w:rPr>
          <w:b/>
          <w:bCs/>
        </w:rPr>
        <w:t>t</w:t>
      </w:r>
      <w:r w:rsidR="00FF5DB4" w:rsidRPr="00281775">
        <w:rPr>
          <w:b/>
          <w:bCs/>
        </w:rPr>
        <w:t>o</w:t>
      </w:r>
      <w:r w:rsidR="008B11CF" w:rsidRPr="00281775">
        <w:rPr>
          <w:b/>
          <w:bCs/>
        </w:rPr>
        <w:t xml:space="preserve"> develop recommendations for community-led local and regional economic development opportunities</w:t>
      </w:r>
      <w:r w:rsidR="00D7278C" w:rsidRPr="00281775">
        <w:rPr>
          <w:b/>
          <w:bCs/>
        </w:rPr>
        <w:t xml:space="preserve">. </w:t>
      </w:r>
    </w:p>
    <w:p w14:paraId="34B3ED4C" w14:textId="577DD799" w:rsidR="00281775" w:rsidRDefault="00545AB9">
      <w:pPr>
        <w:rPr>
          <w:b/>
          <w:bCs/>
        </w:rPr>
      </w:pPr>
      <w:r>
        <w:rPr>
          <w:b/>
          <w:bCs/>
        </w:rPr>
        <w:t>The USDA should</w:t>
      </w:r>
      <w:r w:rsidR="00281775">
        <w:rPr>
          <w:b/>
          <w:bCs/>
        </w:rPr>
        <w:t xml:space="preserve"> support the </w:t>
      </w:r>
      <w:proofErr w:type="spellStart"/>
      <w:r>
        <w:rPr>
          <w:b/>
          <w:bCs/>
        </w:rPr>
        <w:t>OneUSDA</w:t>
      </w:r>
      <w:proofErr w:type="spellEnd"/>
      <w:r>
        <w:rPr>
          <w:b/>
          <w:bCs/>
        </w:rPr>
        <w:t xml:space="preserve"> approach and </w:t>
      </w:r>
      <w:r w:rsidR="00563E4C">
        <w:rPr>
          <w:b/>
          <w:bCs/>
        </w:rPr>
        <w:t xml:space="preserve">Southeast Alaska </w:t>
      </w:r>
      <w:r w:rsidR="00281775">
        <w:rPr>
          <w:b/>
          <w:bCs/>
        </w:rPr>
        <w:t>Sustainability Strategy.</w:t>
      </w:r>
    </w:p>
    <w:p w14:paraId="5D59205A" w14:textId="4B4688ED" w:rsidR="00281775" w:rsidRDefault="00295454">
      <w:r>
        <w:t>The</w:t>
      </w:r>
      <w:r w:rsidR="00563E4C">
        <w:t xml:space="preserve"> </w:t>
      </w:r>
      <w:proofErr w:type="spellStart"/>
      <w:r w:rsidR="00563E4C">
        <w:t>OneUSDA</w:t>
      </w:r>
      <w:proofErr w:type="spellEnd"/>
      <w:r w:rsidR="00563E4C">
        <w:t xml:space="preserve"> </w:t>
      </w:r>
      <w:r w:rsidR="00553373">
        <w:t>initiative</w:t>
      </w:r>
      <w:r>
        <w:t xml:space="preserve"> has provided a framework to address community concerns that transcend the National Forest boundaries. </w:t>
      </w:r>
      <w:r w:rsidR="00545AB9">
        <w:t xml:space="preserve">The Southeast Alaska Sustainability Strategy </w:t>
      </w:r>
      <w:r w:rsidR="00E15996">
        <w:t xml:space="preserve">is an example of how this is being implemented. </w:t>
      </w:r>
      <w:r>
        <w:t xml:space="preserve">We encourage the </w:t>
      </w:r>
      <w:r w:rsidR="00E36437">
        <w:t>USDA</w:t>
      </w:r>
      <w:r>
        <w:t xml:space="preserve"> to continue supporting</w:t>
      </w:r>
      <w:r w:rsidR="00563E4C">
        <w:t xml:space="preserve"> Forest Service </w:t>
      </w:r>
      <w:r w:rsidR="007B787F">
        <w:t>efforts to prioritize</w:t>
      </w:r>
      <w:r w:rsidR="00281775" w:rsidRPr="00281775">
        <w:t xml:space="preserve"> recreation, restoration, and resiliency</w:t>
      </w:r>
      <w:r w:rsidR="007B787F">
        <w:t xml:space="preserve"> by </w:t>
      </w:r>
      <w:r w:rsidR="005172B8">
        <w:t>working on</w:t>
      </w:r>
      <w:r w:rsidR="007B787F">
        <w:t xml:space="preserve"> community-led </w:t>
      </w:r>
      <w:r w:rsidR="005172B8">
        <w:t>priorities.</w:t>
      </w:r>
      <w:r w:rsidR="00553373">
        <w:t xml:space="preserve"> </w:t>
      </w:r>
    </w:p>
    <w:p w14:paraId="103E0914" w14:textId="026CEE1F" w:rsidR="00563E4C" w:rsidRDefault="00017A18">
      <w:r>
        <w:t>Today, the ecosystem services provided by old-growth forests are the foundation of the region’s tourism and fishing economies</w:t>
      </w:r>
      <w:r>
        <w:t xml:space="preserve">. </w:t>
      </w:r>
      <w:r w:rsidR="00563E4C">
        <w:t>Past boom and bust old</w:t>
      </w:r>
      <w:r w:rsidR="00E36437">
        <w:t>-</w:t>
      </w:r>
      <w:r w:rsidR="00563E4C">
        <w:t>growth timber harvest in Southeast Alaska left some rural communities economically stranded</w:t>
      </w:r>
      <w:r w:rsidR="006E664E">
        <w:t xml:space="preserve">. Locally led efforts like </w:t>
      </w:r>
      <w:r w:rsidR="00553373">
        <w:t xml:space="preserve">The Sustainable Southeast Partnership </w:t>
      </w:r>
      <w:r w:rsidR="008A7CC7">
        <w:lastRenderedPageBreak/>
        <w:t xml:space="preserve">and </w:t>
      </w:r>
      <w:r w:rsidR="00553373">
        <w:t xml:space="preserve">the </w:t>
      </w:r>
      <w:r w:rsidR="006E664E">
        <w:t>USDA’s Southeast Alaska</w:t>
      </w:r>
      <w:r w:rsidR="00553373">
        <w:t xml:space="preserve"> Sustainability Strategy</w:t>
      </w:r>
      <w:r w:rsidR="00563E4C">
        <w:t xml:space="preserve"> are example</w:t>
      </w:r>
      <w:r w:rsidR="00F517C4">
        <w:t>s</w:t>
      </w:r>
      <w:r w:rsidR="00563E4C">
        <w:t xml:space="preserve"> of </w:t>
      </w:r>
      <w:r w:rsidR="00F517C4">
        <w:t>how to develop community-led, regional development strategies.</w:t>
      </w:r>
      <w:r w:rsidR="003E6B8C">
        <w:t xml:space="preserve"> </w:t>
      </w:r>
    </w:p>
    <w:p w14:paraId="799A65B6" w14:textId="3B0436DA" w:rsidR="0041293F" w:rsidRDefault="00F867B7">
      <w:r w:rsidRPr="00C82E70">
        <w:rPr>
          <w:b/>
          <w:bCs/>
        </w:rPr>
        <w:t>Co-management</w:t>
      </w:r>
      <w:r w:rsidR="00991B43" w:rsidRPr="00C82E70">
        <w:rPr>
          <w:b/>
          <w:bCs/>
        </w:rPr>
        <w:t xml:space="preserve"> with </w:t>
      </w:r>
      <w:r w:rsidR="00E36437">
        <w:rPr>
          <w:b/>
          <w:bCs/>
        </w:rPr>
        <w:t>T</w:t>
      </w:r>
      <w:r w:rsidR="00991B43" w:rsidRPr="00C82E70">
        <w:rPr>
          <w:b/>
          <w:bCs/>
        </w:rPr>
        <w:t>ribes</w:t>
      </w:r>
      <w:r w:rsidR="002753FA">
        <w:t>:</w:t>
      </w:r>
      <w:r w:rsidR="005B2D0E">
        <w:t xml:space="preserve"> </w:t>
      </w:r>
      <w:r w:rsidR="0041293F">
        <w:t xml:space="preserve">Co-management with sovereign </w:t>
      </w:r>
      <w:r w:rsidR="00E36437">
        <w:t>T</w:t>
      </w:r>
      <w:r w:rsidR="0041293F">
        <w:t>ribes provides</w:t>
      </w:r>
      <w:r w:rsidR="00D576FC">
        <w:t xml:space="preserve"> a</w:t>
      </w:r>
      <w:r w:rsidR="0041293F">
        <w:t xml:space="preserve"> framework </w:t>
      </w:r>
      <w:r w:rsidR="007D6577">
        <w:t xml:space="preserve">for </w:t>
      </w:r>
      <w:r w:rsidR="00D576FC">
        <w:t xml:space="preserve">beginning to address the </w:t>
      </w:r>
      <w:r w:rsidR="007D6577">
        <w:t>exclusion</w:t>
      </w:r>
      <w:r w:rsidR="00D576FC">
        <w:t xml:space="preserve"> and removal</w:t>
      </w:r>
      <w:r w:rsidR="007D6577">
        <w:t xml:space="preserve"> of </w:t>
      </w:r>
      <w:r w:rsidR="00E36437">
        <w:t>I</w:t>
      </w:r>
      <w:r w:rsidR="007D6577">
        <w:t>ndigenous people from their</w:t>
      </w:r>
      <w:r w:rsidR="00D576FC">
        <w:t xml:space="preserve"> traditional</w:t>
      </w:r>
      <w:r w:rsidR="007D6577">
        <w:t xml:space="preserve"> lands</w:t>
      </w:r>
      <w:r w:rsidR="00D64513">
        <w:t xml:space="preserve"> and past management actions that may have excluded </w:t>
      </w:r>
      <w:r w:rsidR="00E36437">
        <w:t>I</w:t>
      </w:r>
      <w:r w:rsidR="00D64513">
        <w:t>ndigenous perspectives</w:t>
      </w:r>
      <w:r w:rsidR="00D576FC">
        <w:t xml:space="preserve">. </w:t>
      </w:r>
      <w:r w:rsidR="005172B8">
        <w:t xml:space="preserve">The Forest Service should establish cooperative agreements with </w:t>
      </w:r>
      <w:r w:rsidR="00E36437">
        <w:t>T</w:t>
      </w:r>
      <w:r w:rsidR="005172B8">
        <w:t>ribes</w:t>
      </w:r>
      <w:r w:rsidR="003E6B8C">
        <w:t xml:space="preserve"> to develop shared priorities</w:t>
      </w:r>
      <w:r w:rsidR="005172B8">
        <w:t xml:space="preserve"> </w:t>
      </w:r>
      <w:r w:rsidR="003E6B8C">
        <w:t xml:space="preserve">and allow </w:t>
      </w:r>
      <w:r w:rsidR="00E36437">
        <w:t>T</w:t>
      </w:r>
      <w:r w:rsidR="003E6B8C">
        <w:t xml:space="preserve">ribes to </w:t>
      </w:r>
      <w:r w:rsidR="005172B8">
        <w:t xml:space="preserve">conduct agency monitoring and management tasks to create employment opportunities. </w:t>
      </w:r>
    </w:p>
    <w:p w14:paraId="6136C92B" w14:textId="11398647" w:rsidR="00D023E0" w:rsidRDefault="00C21789">
      <w:r>
        <w:t>We encourage the USDA to use existing authorities, while supporting the d</w:t>
      </w:r>
      <w:r w:rsidR="00C82E70">
        <w:t>evelop</w:t>
      </w:r>
      <w:r>
        <w:t>ment</w:t>
      </w:r>
      <w:r w:rsidR="00C82E70">
        <w:t xml:space="preserve"> s</w:t>
      </w:r>
      <w:r w:rsidR="00D023E0">
        <w:t>pecific co-management authorities</w:t>
      </w:r>
      <w:r w:rsidR="00D576FC">
        <w:t xml:space="preserve"> through the legislative process</w:t>
      </w:r>
      <w:r w:rsidR="007D6577">
        <w:t xml:space="preserve">. </w:t>
      </w:r>
      <w:r w:rsidR="00742D52">
        <w:t xml:space="preserve">In Bridges to a New Era </w:t>
      </w:r>
      <w:hyperlink r:id="rId11" w:history="1">
        <w:r w:rsidR="00742D52" w:rsidRPr="006E664E">
          <w:rPr>
            <w:rStyle w:val="Hyperlink"/>
          </w:rPr>
          <w:t>parts 1</w:t>
        </w:r>
      </w:hyperlink>
      <w:r w:rsidR="00742D52">
        <w:t xml:space="preserve"> and</w:t>
      </w:r>
      <w:r w:rsidR="006E664E">
        <w:t xml:space="preserve"> </w:t>
      </w:r>
      <w:hyperlink r:id="rId12" w:history="1">
        <w:r w:rsidR="006E664E" w:rsidRPr="006E664E">
          <w:rPr>
            <w:rStyle w:val="Hyperlink"/>
          </w:rPr>
          <w:t>part</w:t>
        </w:r>
        <w:r w:rsidR="00742D52" w:rsidRPr="006E664E">
          <w:rPr>
            <w:rStyle w:val="Hyperlink"/>
          </w:rPr>
          <w:t xml:space="preserve"> 2</w:t>
        </w:r>
      </w:hyperlink>
      <w:r w:rsidR="00742D52">
        <w:t xml:space="preserve">, </w:t>
      </w:r>
      <w:r w:rsidR="005172B8">
        <w:t xml:space="preserve">Mills and </w:t>
      </w:r>
      <w:proofErr w:type="spellStart"/>
      <w:r w:rsidR="005172B8">
        <w:t>Nie</w:t>
      </w:r>
      <w:proofErr w:type="spellEnd"/>
      <w:r w:rsidR="005172B8">
        <w:t xml:space="preserve"> (</w:t>
      </w:r>
      <w:r w:rsidR="00742D52">
        <w:t xml:space="preserve">2020, </w:t>
      </w:r>
      <w:r w:rsidR="005172B8">
        <w:t>2022) lay out</w:t>
      </w:r>
      <w:r w:rsidR="00C82E70">
        <w:t xml:space="preserve"> e</w:t>
      </w:r>
      <w:r w:rsidR="00D023E0">
        <w:t>xisting authorities</w:t>
      </w:r>
      <w:r w:rsidR="005172B8">
        <w:t xml:space="preserve"> </w:t>
      </w:r>
      <w:r w:rsidR="00742D52">
        <w:t xml:space="preserve">in public land law and Indian law </w:t>
      </w:r>
      <w:r w:rsidR="005172B8">
        <w:t>that allow for cooperative input and management that can be used</w:t>
      </w:r>
      <w:r w:rsidR="00D023E0">
        <w:t xml:space="preserve"> </w:t>
      </w:r>
      <w:r w:rsidR="00C82E70">
        <w:t xml:space="preserve">to </w:t>
      </w:r>
      <w:r w:rsidR="00877538">
        <w:t xml:space="preserve">begin achieving the benefits of co-management. </w:t>
      </w:r>
    </w:p>
    <w:p w14:paraId="5F4AB991" w14:textId="6EEF8F42" w:rsidR="0018026A" w:rsidRDefault="00CF0876">
      <w:r w:rsidRPr="00877538">
        <w:rPr>
          <w:b/>
          <w:bCs/>
        </w:rPr>
        <w:t>Pre-planning engagement</w:t>
      </w:r>
      <w:r>
        <w:t xml:space="preserve"> </w:t>
      </w:r>
      <w:r w:rsidR="00991B43">
        <w:t>with communities and stakeholders</w:t>
      </w:r>
      <w:r w:rsidR="005B2D0E">
        <w:t xml:space="preserve">. </w:t>
      </w:r>
      <w:r w:rsidR="002A3F01">
        <w:t>NEPA p</w:t>
      </w:r>
      <w:r w:rsidR="001B6F93">
        <w:t>lanning</w:t>
      </w:r>
      <w:r w:rsidR="002A3F01">
        <w:t xml:space="preserve"> </w:t>
      </w:r>
      <w:r w:rsidR="00230008">
        <w:t>provides</w:t>
      </w:r>
      <w:r w:rsidR="002A3F01">
        <w:t xml:space="preserve"> </w:t>
      </w:r>
      <w:r w:rsidR="00230008">
        <w:t>an essential tool for protecting</w:t>
      </w:r>
      <w:r w:rsidR="003E6B8C">
        <w:t xml:space="preserve"> communities</w:t>
      </w:r>
      <w:r w:rsidR="00312CC6">
        <w:t xml:space="preserve"> and the public good</w:t>
      </w:r>
      <w:r w:rsidR="00230008">
        <w:t xml:space="preserve"> from environmental harm</w:t>
      </w:r>
      <w:r w:rsidR="00FF5DB4">
        <w:t>.</w:t>
      </w:r>
      <w:r w:rsidR="00230008">
        <w:t xml:space="preserve"> However, agencies can do more to engage with communities in advance of planning efforts to develop </w:t>
      </w:r>
      <w:r w:rsidR="003E6B8C">
        <w:t xml:space="preserve">shared priorities and </w:t>
      </w:r>
      <w:r w:rsidR="00230008">
        <w:t>collaborative direction.</w:t>
      </w:r>
      <w:r w:rsidR="00FF5DB4">
        <w:t xml:space="preserve"> </w:t>
      </w:r>
      <w:r w:rsidR="005B2D0E">
        <w:t>Agency culture</w:t>
      </w:r>
      <w:r w:rsidR="00230008">
        <w:t>, compounded by understaffing,</w:t>
      </w:r>
      <w:r w:rsidR="005B2D0E">
        <w:t xml:space="preserve"> tends to favor</w:t>
      </w:r>
      <w:r w:rsidR="00230008">
        <w:t xml:space="preserve"> </w:t>
      </w:r>
      <w:r w:rsidR="005B2D0E">
        <w:t>the clearly delineated process of NEPA planning</w:t>
      </w:r>
      <w:r w:rsidR="003E6B8C">
        <w:t>, creating</w:t>
      </w:r>
      <w:r w:rsidR="005B2D0E">
        <w:t xml:space="preserve"> a situation where </w:t>
      </w:r>
      <w:r w:rsidR="007D6577">
        <w:t>plans</w:t>
      </w:r>
      <w:r w:rsidR="005B2D0E">
        <w:t xml:space="preserve"> are developed out of the public eye </w:t>
      </w:r>
      <w:r w:rsidR="007D6577">
        <w:t>and the public is put in a reactive position, rather than a collaborative position.</w:t>
      </w:r>
      <w:r w:rsidR="00742D52">
        <w:t xml:space="preserve"> Land management agencies must w</w:t>
      </w:r>
      <w:r w:rsidR="0018026A">
        <w:t xml:space="preserve">ork with communities, </w:t>
      </w:r>
      <w:r w:rsidR="00E36437">
        <w:t>T</w:t>
      </w:r>
      <w:r w:rsidR="0018026A">
        <w:t xml:space="preserve">ribes, stakeholders in advance of </w:t>
      </w:r>
      <w:r w:rsidR="00474E8C">
        <w:t>initiating planning</w:t>
      </w:r>
      <w:r w:rsidR="0018026A">
        <w:t xml:space="preserve"> to identify </w:t>
      </w:r>
      <w:r w:rsidR="00474E8C">
        <w:t xml:space="preserve">priorities, </w:t>
      </w:r>
      <w:r w:rsidR="0018026A">
        <w:t>compatible economic development opportunities</w:t>
      </w:r>
      <w:r w:rsidR="00474E8C">
        <w:t>, methods</w:t>
      </w:r>
      <w:r w:rsidR="00225DA1">
        <w:t>,</w:t>
      </w:r>
      <w:r w:rsidR="00474E8C">
        <w:t xml:space="preserve"> and concerns.</w:t>
      </w:r>
      <w:r w:rsidR="00225DA1">
        <w:t xml:space="preserve"> </w:t>
      </w:r>
      <w:r w:rsidR="00474E8C">
        <w:t xml:space="preserve"> </w:t>
      </w:r>
    </w:p>
    <w:p w14:paraId="6617A1B7" w14:textId="223AC489" w:rsidR="00CF0876" w:rsidRPr="00474E8C" w:rsidRDefault="00424D9C">
      <w:r>
        <w:rPr>
          <w:b/>
          <w:bCs/>
        </w:rPr>
        <w:t>Metrics that allow l</w:t>
      </w:r>
      <w:r w:rsidR="00CF0876" w:rsidRPr="00C82E70">
        <w:rPr>
          <w:b/>
          <w:bCs/>
        </w:rPr>
        <w:t>ocal communities share</w:t>
      </w:r>
      <w:r w:rsidR="00742D52">
        <w:rPr>
          <w:b/>
          <w:bCs/>
        </w:rPr>
        <w:t xml:space="preserve"> in the economic</w:t>
      </w:r>
      <w:r w:rsidR="00CF0876" w:rsidRPr="00C82E70">
        <w:rPr>
          <w:b/>
          <w:bCs/>
        </w:rPr>
        <w:t xml:space="preserve"> value of old</w:t>
      </w:r>
      <w:r w:rsidR="00C21789">
        <w:rPr>
          <w:b/>
          <w:bCs/>
        </w:rPr>
        <w:t xml:space="preserve"> </w:t>
      </w:r>
      <w:r w:rsidR="00CF0876" w:rsidRPr="00C82E70">
        <w:rPr>
          <w:b/>
          <w:bCs/>
        </w:rPr>
        <w:t>growth.</w:t>
      </w:r>
      <w:r w:rsidR="00474E8C">
        <w:rPr>
          <w:b/>
          <w:bCs/>
        </w:rPr>
        <w:t xml:space="preserve"> </w:t>
      </w:r>
      <w:r w:rsidR="00474E8C">
        <w:t xml:space="preserve">Old growth forests have real value in the economy, via sectors such as tourism and recreation, fish habitat, and carbon sequestration. We encourage the agency to </w:t>
      </w:r>
      <w:r w:rsidR="006E664E">
        <w:t>develop metrics to capture the carbon sequestration and storage values, as well as recreation and fish values of old growth and mature forests</w:t>
      </w:r>
      <w:r w:rsidR="006E664E">
        <w:t xml:space="preserve"> and </w:t>
      </w:r>
      <w:r w:rsidR="006E664E">
        <w:t>ensure that these benefits are shared locally</w:t>
      </w:r>
      <w:r w:rsidR="006E664E">
        <w:t>.</w:t>
      </w:r>
    </w:p>
    <w:p w14:paraId="3454F079" w14:textId="777CFA2A" w:rsidR="005B2781" w:rsidRDefault="00E36437">
      <w:r>
        <w:t xml:space="preserve">Thank you for the opportunity for public engagement and to comment on the importance of maintaining old-growth and mature forests.  We look forward to working with USDA further to protect Alaska’s old-growth forests.  Please contact Dan Kirkwood at </w:t>
      </w:r>
      <w:hyperlink r:id="rId13" w:history="1">
        <w:r w:rsidRPr="00115EC6">
          <w:rPr>
            <w:rStyle w:val="Hyperlink"/>
          </w:rPr>
          <w:t>dan@salmonstate.org</w:t>
        </w:r>
      </w:hyperlink>
      <w:r>
        <w:t xml:space="preserve"> with any questions related to these comments.</w:t>
      </w:r>
    </w:p>
    <w:p w14:paraId="109617D8" w14:textId="78FC378A" w:rsidR="00E36437" w:rsidRDefault="00E36437"/>
    <w:p w14:paraId="441C17B0" w14:textId="214D8C6C" w:rsidR="00E36437" w:rsidRDefault="00E36437" w:rsidP="00E36437">
      <w:pPr>
        <w:jc w:val="both"/>
      </w:pPr>
    </w:p>
    <w:p w14:paraId="3710DC15" w14:textId="34ECA69B" w:rsidR="00E36437" w:rsidRDefault="00E36437" w:rsidP="00E3643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Sincerely, </w:t>
      </w:r>
    </w:p>
    <w:p w14:paraId="75C04B71" w14:textId="144F5574" w:rsidR="00E36437" w:rsidRDefault="00E36437" w:rsidP="00E36437">
      <w:pPr>
        <w:jc w:val="both"/>
      </w:pPr>
    </w:p>
    <w:p w14:paraId="428DF3EB" w14:textId="6503583C" w:rsidR="00E36437" w:rsidRDefault="00E36437" w:rsidP="00E36437">
      <w:pPr>
        <w:jc w:val="both"/>
      </w:pPr>
    </w:p>
    <w:p w14:paraId="4C5CCF8F" w14:textId="3DC1F59B" w:rsidR="00E36437" w:rsidRDefault="00E36437" w:rsidP="008E737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54F81AC4" w14:textId="060F9310" w:rsidR="00E36437" w:rsidRDefault="00E36437" w:rsidP="008E737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 Kirkwood</w:t>
      </w:r>
    </w:p>
    <w:p w14:paraId="1E898A2E" w14:textId="10AB8329" w:rsidR="00E36437" w:rsidRDefault="00E36437" w:rsidP="008E737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SalmonState</w:t>
      </w:r>
    </w:p>
    <w:p w14:paraId="1ED368C7" w14:textId="2427CB6C" w:rsidR="00E36437" w:rsidRDefault="00E36437" w:rsidP="008E737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dan@salmonstate.org</w:t>
      </w:r>
    </w:p>
    <w:p w14:paraId="22606C84" w14:textId="1C5D44B6" w:rsidR="002F2109" w:rsidRDefault="00505F36">
      <w:r>
        <w:lastRenderedPageBreak/>
        <w:t>References</w:t>
      </w:r>
    </w:p>
    <w:p w14:paraId="505EF450" w14:textId="77777777" w:rsidR="006E664E" w:rsidRDefault="006E664E" w:rsidP="006E664E">
      <w:proofErr w:type="spellStart"/>
      <w:r>
        <w:t>DellaSala</w:t>
      </w:r>
      <w:proofErr w:type="spellEnd"/>
      <w:r>
        <w:t xml:space="preserve">, D.A., Gorelik, S.R., Walker, W.S. 2022a. The </w:t>
      </w:r>
      <w:proofErr w:type="spellStart"/>
      <w:r>
        <w:t>Tongass</w:t>
      </w:r>
      <w:proofErr w:type="spellEnd"/>
      <w:r>
        <w:t xml:space="preserve"> National Forest, southeast Alaska, UA: a natural climate solution of global significance. Land 2022, 11:717; </w:t>
      </w:r>
      <w:hyperlink r:id="rId14" w:history="1">
        <w:r w:rsidRPr="00CC3707">
          <w:rPr>
            <w:rStyle w:val="Hyperlink"/>
          </w:rPr>
          <w:t>https://d</w:t>
        </w:r>
        <w:r w:rsidRPr="00CC3707">
          <w:rPr>
            <w:rStyle w:val="Hyperlink"/>
          </w:rPr>
          <w:t>o</w:t>
        </w:r>
        <w:r w:rsidRPr="00CC3707">
          <w:rPr>
            <w:rStyle w:val="Hyperlink"/>
          </w:rPr>
          <w:t>i.org/10.3390/land11050717</w:t>
        </w:r>
      </w:hyperlink>
      <w:r>
        <w:t xml:space="preserve"> </w:t>
      </w:r>
    </w:p>
    <w:p w14:paraId="65CF7967" w14:textId="015F917D" w:rsidR="006E664E" w:rsidRDefault="006E664E" w:rsidP="006E664E">
      <w:hyperlink r:id="rId15" w:history="1">
        <w:r w:rsidRPr="00CC3707">
          <w:rPr>
            <w:rStyle w:val="Hyperlink"/>
          </w:rPr>
          <w:t>https://www.researchgate.net/publication/360511060_The_Tongass_National_Forest_Southeast_Alaska_USA_A_Natural_Climate_Solution_of_Global_Significance</w:t>
        </w:r>
      </w:hyperlink>
    </w:p>
    <w:p w14:paraId="16C0B046" w14:textId="5C0B01FB" w:rsidR="00505F36" w:rsidRDefault="00505F36" w:rsidP="006E664E">
      <w:r>
        <w:t xml:space="preserve">McKinley Group, 2018. Economic Impact of Alaska’s Visitor Industry. </w:t>
      </w:r>
      <w:r w:rsidRPr="00505F36">
        <w:t>https://www.mcdowellgroup.net/wp-content/uploads/2018/11/visitor-impacts-2016-17-report.pdf</w:t>
      </w:r>
    </w:p>
    <w:p w14:paraId="6371442D" w14:textId="77777777" w:rsidR="006E664E" w:rsidRDefault="006E664E" w:rsidP="006E664E">
      <w:r>
        <w:t xml:space="preserve">Mills and </w:t>
      </w:r>
      <w:proofErr w:type="spellStart"/>
      <w:r>
        <w:t>Nie</w:t>
      </w:r>
      <w:proofErr w:type="spellEnd"/>
      <w:r>
        <w:t xml:space="preserve">, 2020. Bridges to a New Era Part 1 </w:t>
      </w:r>
      <w:hyperlink r:id="rId16" w:history="1">
        <w:r w:rsidRPr="00CC3707">
          <w:rPr>
            <w:rStyle w:val="Hyperlink"/>
          </w:rPr>
          <w:t>https://ak.audubon.org/sites/default/files/bridges_to_a_new_era_by_mills.nie_2020.pdf</w:t>
        </w:r>
      </w:hyperlink>
    </w:p>
    <w:p w14:paraId="0B51516F" w14:textId="1C8FCF14" w:rsidR="006E664E" w:rsidRDefault="006E664E" w:rsidP="006E664E">
      <w:r>
        <w:t xml:space="preserve">Mills and </w:t>
      </w:r>
      <w:proofErr w:type="spellStart"/>
      <w:r>
        <w:t>Nie</w:t>
      </w:r>
      <w:proofErr w:type="spellEnd"/>
      <w:r>
        <w:t xml:space="preserve">, 2022. Bridges to a New Era Part 2. Columbia Journal of Environmental Law. Vol 46:S, page 176. </w:t>
      </w:r>
      <w:hyperlink r:id="rId17" w:history="1">
        <w:r w:rsidR="00505F36" w:rsidRPr="00CC3707">
          <w:rPr>
            <w:rStyle w:val="Hyperlink"/>
          </w:rPr>
          <w:t>https://journals.library.columbia.edu/index.php/cjel/article/view/9477/4841</w:t>
        </w:r>
      </w:hyperlink>
    </w:p>
    <w:p w14:paraId="385C4C88" w14:textId="505E40AA" w:rsidR="00505F36" w:rsidRDefault="00505F36" w:rsidP="006E664E">
      <w:r>
        <w:t xml:space="preserve">Southeast Conference. Southeast by the Numbers 2019 </w:t>
      </w:r>
      <w:hyperlink r:id="rId18" w:history="1">
        <w:r w:rsidRPr="00CC3707">
          <w:rPr>
            <w:rStyle w:val="Hyperlink"/>
          </w:rPr>
          <w:t>https://www.seconference.org/</w:t>
        </w:r>
        <w:r w:rsidRPr="00CC3707">
          <w:rPr>
            <w:rStyle w:val="Hyperlink"/>
          </w:rPr>
          <w:t>s</w:t>
        </w:r>
        <w:r w:rsidRPr="00CC3707">
          <w:rPr>
            <w:rStyle w:val="Hyperlink"/>
          </w:rPr>
          <w:t>ites/default/files/FINAL%20Southeast%20by%20the%20Numbers%202019.pdf</w:t>
        </w:r>
      </w:hyperlink>
    </w:p>
    <w:p w14:paraId="49ADD60E" w14:textId="77777777" w:rsidR="006E664E" w:rsidRDefault="006E664E" w:rsidP="006E664E">
      <w:r>
        <w:t xml:space="preserve">Southeast Conference. Southeast by the Numbers 2021 </w:t>
      </w:r>
      <w:hyperlink r:id="rId19" w:history="1">
        <w:r w:rsidRPr="00CC3707">
          <w:rPr>
            <w:rStyle w:val="Hyperlink"/>
          </w:rPr>
          <w:t>https://www.seconference.org/wp-content/uploads/2021/09/SE-by-the-numbers-2021-final.pdf</w:t>
        </w:r>
        <w:r w:rsidRPr="00CC3707">
          <w:rPr>
            <w:rStyle w:val="Hyperlink"/>
          </w:rPr>
          <w:t>?</w:t>
        </w:r>
        <w:r w:rsidRPr="00CC3707">
          <w:rPr>
            <w:rStyle w:val="Hyperlink"/>
          </w:rPr>
          <w:t>2070f3&amp;2070f3</w:t>
        </w:r>
      </w:hyperlink>
    </w:p>
    <w:p w14:paraId="04B726BC" w14:textId="77777777" w:rsidR="006E664E" w:rsidRDefault="006E664E" w:rsidP="006E664E">
      <w:r>
        <w:t xml:space="preserve">U.S.D.A. Forest Service, 2017. Salmon Factsheet </w:t>
      </w:r>
      <w:hyperlink r:id="rId20" w:history="1">
        <w:r w:rsidRPr="00CC3707">
          <w:rPr>
            <w:rStyle w:val="Hyperlink"/>
          </w:rPr>
          <w:t>https://www.fs.usda.gov/In</w:t>
        </w:r>
        <w:r w:rsidRPr="00CC3707">
          <w:rPr>
            <w:rStyle w:val="Hyperlink"/>
          </w:rPr>
          <w:t>t</w:t>
        </w:r>
        <w:r w:rsidRPr="00CC3707">
          <w:rPr>
            <w:rStyle w:val="Hyperlink"/>
          </w:rPr>
          <w:t>ernet/FSE_DOCUMENTS/fseprd554592.pdf</w:t>
        </w:r>
      </w:hyperlink>
    </w:p>
    <w:p w14:paraId="0B9C719E" w14:textId="77777777" w:rsidR="002F2109" w:rsidRDefault="002F2109"/>
    <w:p w14:paraId="492384D7" w14:textId="77777777" w:rsidR="002F2109" w:rsidRDefault="002F2109"/>
    <w:p w14:paraId="4E1C1330" w14:textId="77777777" w:rsidR="002F2109" w:rsidRDefault="002F2109"/>
    <w:p w14:paraId="255B67BE" w14:textId="77777777" w:rsidR="002F2109" w:rsidRDefault="002F2109"/>
    <w:p w14:paraId="06934C7D" w14:textId="5BEA045E" w:rsidR="00CF57BF" w:rsidRDefault="00CF57BF"/>
    <w:p w14:paraId="3BB66363" w14:textId="6BFBBF1B" w:rsidR="00CF57BF" w:rsidRDefault="00000000">
      <w:hyperlink r:id="rId21" w:tgtFrame="_blank" w:history="1">
        <w:r w:rsidR="00CF57BF">
          <w:rPr>
            <w:rStyle w:val="Hyperlink"/>
          </w:rPr>
          <w:t>https://cara.fs2c.usda.gov/​Public/​CommentInput?​project=​NP</w:t>
        </w:r>
        <w:r w:rsidR="00CF57BF">
          <w:rPr>
            <w:rStyle w:val="Hyperlink"/>
          </w:rPr>
          <w:t>-</w:t>
        </w:r>
        <w:r w:rsidR="00CF57BF">
          <w:rPr>
            <w:rStyle w:val="Hyperlink"/>
          </w:rPr>
          <w:t>3239</w:t>
        </w:r>
      </w:hyperlink>
      <w:r w:rsidR="00CF57BF">
        <w:t>.</w:t>
      </w:r>
    </w:p>
    <w:p w14:paraId="5472E476" w14:textId="2AED4BF4" w:rsidR="006667AB" w:rsidRDefault="006667AB"/>
    <w:p w14:paraId="6C87A38F" w14:textId="77777777" w:rsidR="00CF0876" w:rsidRDefault="00CF0876"/>
    <w:sectPr w:rsidR="00CF0876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4864F" w14:textId="77777777" w:rsidR="00C331AB" w:rsidRDefault="00C331AB" w:rsidP="001B505A">
      <w:pPr>
        <w:spacing w:after="0" w:line="240" w:lineRule="auto"/>
      </w:pPr>
      <w:r>
        <w:separator/>
      </w:r>
    </w:p>
  </w:endnote>
  <w:endnote w:type="continuationSeparator" w:id="0">
    <w:p w14:paraId="19FF6EBF" w14:textId="77777777" w:rsidR="00C331AB" w:rsidRDefault="00C331AB" w:rsidP="001B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27B7B" w14:textId="77777777" w:rsidR="00C331AB" w:rsidRDefault="00C331AB" w:rsidP="001B505A">
      <w:pPr>
        <w:spacing w:after="0" w:line="240" w:lineRule="auto"/>
      </w:pPr>
      <w:r>
        <w:separator/>
      </w:r>
    </w:p>
  </w:footnote>
  <w:footnote w:type="continuationSeparator" w:id="0">
    <w:p w14:paraId="2DB11CA4" w14:textId="77777777" w:rsidR="00C331AB" w:rsidRDefault="00C331AB" w:rsidP="001B5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A3CB" w14:textId="6806A989" w:rsidR="001B505A" w:rsidRPr="00E36437" w:rsidRDefault="001B505A" w:rsidP="001B505A">
    <w:pPr>
      <w:rPr>
        <w:rFonts w:ascii="Times New Roman" w:eastAsia="Times New Roman" w:hAnsi="Times New Roman" w:cs="Times New Roman"/>
        <w:sz w:val="24"/>
        <w:szCs w:val="24"/>
      </w:rPr>
    </w:pPr>
    <w:r>
      <w:rPr>
        <w:b/>
        <w:bCs/>
      </w:rPr>
      <w:t xml:space="preserve">8. 18.2022 To: Christopher French Deputy Chief </w:t>
    </w:r>
    <w:r>
      <w:rPr>
        <w:b/>
        <w:bCs/>
      </w:rPr>
      <w:t xml:space="preserve">Re: Comments Regarding Executive Order 14072, Docket Number: </w:t>
    </w:r>
    <w:r w:rsidRPr="008E7370">
      <w:rPr>
        <w:rFonts w:eastAsia="Times New Roman" w:cstheme="minorHAnsi"/>
      </w:rPr>
      <w:t>FS-2022-0003</w:t>
    </w:r>
  </w:p>
  <w:p w14:paraId="090D17AF" w14:textId="77777777" w:rsidR="001B505A" w:rsidRDefault="001B50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6A7"/>
    <w:multiLevelType w:val="hybridMultilevel"/>
    <w:tmpl w:val="9200B84A"/>
    <w:lvl w:ilvl="0" w:tplc="D4A43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45113"/>
    <w:multiLevelType w:val="hybridMultilevel"/>
    <w:tmpl w:val="2496110C"/>
    <w:lvl w:ilvl="0" w:tplc="0242F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D6C44"/>
    <w:multiLevelType w:val="multilevel"/>
    <w:tmpl w:val="5072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D7272"/>
    <w:multiLevelType w:val="hybridMultilevel"/>
    <w:tmpl w:val="A516B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B044C"/>
    <w:multiLevelType w:val="multilevel"/>
    <w:tmpl w:val="F766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11D5F"/>
    <w:multiLevelType w:val="hybridMultilevel"/>
    <w:tmpl w:val="94DC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606598">
    <w:abstractNumId w:val="1"/>
  </w:num>
  <w:num w:numId="2" w16cid:durableId="1355767222">
    <w:abstractNumId w:val="0"/>
  </w:num>
  <w:num w:numId="3" w16cid:durableId="194080887">
    <w:abstractNumId w:val="3"/>
  </w:num>
  <w:num w:numId="4" w16cid:durableId="1514565457">
    <w:abstractNumId w:val="2"/>
  </w:num>
  <w:num w:numId="5" w16cid:durableId="1123227373">
    <w:abstractNumId w:val="4"/>
  </w:num>
  <w:num w:numId="6" w16cid:durableId="1012949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BF"/>
    <w:rsid w:val="00017A18"/>
    <w:rsid w:val="00054026"/>
    <w:rsid w:val="00084D82"/>
    <w:rsid w:val="000E3E43"/>
    <w:rsid w:val="00110DC2"/>
    <w:rsid w:val="0018026A"/>
    <w:rsid w:val="00197373"/>
    <w:rsid w:val="001B505A"/>
    <w:rsid w:val="001B6F93"/>
    <w:rsid w:val="001E391F"/>
    <w:rsid w:val="002008A6"/>
    <w:rsid w:val="00204C89"/>
    <w:rsid w:val="00212BE4"/>
    <w:rsid w:val="00225DA1"/>
    <w:rsid w:val="00230008"/>
    <w:rsid w:val="002753FA"/>
    <w:rsid w:val="00281775"/>
    <w:rsid w:val="0028423C"/>
    <w:rsid w:val="00295454"/>
    <w:rsid w:val="002A3F01"/>
    <w:rsid w:val="002C7A6B"/>
    <w:rsid w:val="002F2109"/>
    <w:rsid w:val="00312CC6"/>
    <w:rsid w:val="00361805"/>
    <w:rsid w:val="003E6B8C"/>
    <w:rsid w:val="003F4AA0"/>
    <w:rsid w:val="0041293F"/>
    <w:rsid w:val="00424D9C"/>
    <w:rsid w:val="00474E8C"/>
    <w:rsid w:val="00505F36"/>
    <w:rsid w:val="005172B8"/>
    <w:rsid w:val="00545AB9"/>
    <w:rsid w:val="00553373"/>
    <w:rsid w:val="00563E4C"/>
    <w:rsid w:val="005855E0"/>
    <w:rsid w:val="005B2781"/>
    <w:rsid w:val="005B2D0E"/>
    <w:rsid w:val="005B4ED5"/>
    <w:rsid w:val="005E44A8"/>
    <w:rsid w:val="0060017A"/>
    <w:rsid w:val="00644AD7"/>
    <w:rsid w:val="00664622"/>
    <w:rsid w:val="006667AB"/>
    <w:rsid w:val="006A2E86"/>
    <w:rsid w:val="006E664E"/>
    <w:rsid w:val="007077CB"/>
    <w:rsid w:val="007411C6"/>
    <w:rsid w:val="00742D52"/>
    <w:rsid w:val="007514AA"/>
    <w:rsid w:val="00754198"/>
    <w:rsid w:val="00783081"/>
    <w:rsid w:val="007834F3"/>
    <w:rsid w:val="00793EF8"/>
    <w:rsid w:val="007975F3"/>
    <w:rsid w:val="007A4F3C"/>
    <w:rsid w:val="007B787F"/>
    <w:rsid w:val="007D6577"/>
    <w:rsid w:val="00877538"/>
    <w:rsid w:val="00883535"/>
    <w:rsid w:val="008A7CC7"/>
    <w:rsid w:val="008B11CF"/>
    <w:rsid w:val="008B13CE"/>
    <w:rsid w:val="008E7370"/>
    <w:rsid w:val="00926FC5"/>
    <w:rsid w:val="00961DB7"/>
    <w:rsid w:val="00991B43"/>
    <w:rsid w:val="00A16E79"/>
    <w:rsid w:val="00A304B5"/>
    <w:rsid w:val="00AB25CD"/>
    <w:rsid w:val="00AC3152"/>
    <w:rsid w:val="00B24BF3"/>
    <w:rsid w:val="00B62B6C"/>
    <w:rsid w:val="00B80A37"/>
    <w:rsid w:val="00B86223"/>
    <w:rsid w:val="00BE574F"/>
    <w:rsid w:val="00BE5750"/>
    <w:rsid w:val="00BF74A5"/>
    <w:rsid w:val="00C20196"/>
    <w:rsid w:val="00C21789"/>
    <w:rsid w:val="00C331AB"/>
    <w:rsid w:val="00C60341"/>
    <w:rsid w:val="00C82555"/>
    <w:rsid w:val="00C82E70"/>
    <w:rsid w:val="00CC6670"/>
    <w:rsid w:val="00CF0876"/>
    <w:rsid w:val="00CF57BF"/>
    <w:rsid w:val="00D023E0"/>
    <w:rsid w:val="00D42A4E"/>
    <w:rsid w:val="00D555FA"/>
    <w:rsid w:val="00D576FC"/>
    <w:rsid w:val="00D64513"/>
    <w:rsid w:val="00D7278C"/>
    <w:rsid w:val="00DD3DF8"/>
    <w:rsid w:val="00E15996"/>
    <w:rsid w:val="00E36437"/>
    <w:rsid w:val="00E672C1"/>
    <w:rsid w:val="00E94497"/>
    <w:rsid w:val="00EC20F2"/>
    <w:rsid w:val="00EE3117"/>
    <w:rsid w:val="00F214CA"/>
    <w:rsid w:val="00F517C4"/>
    <w:rsid w:val="00F867B7"/>
    <w:rsid w:val="00F90203"/>
    <w:rsid w:val="00FE2C43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DD41A"/>
  <w15:chartTrackingRefBased/>
  <w15:docId w15:val="{A9005915-5C79-48E1-B014-903E560F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7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781"/>
    <w:pPr>
      <w:ind w:left="720"/>
      <w:contextualSpacing/>
    </w:pPr>
  </w:style>
  <w:style w:type="character" w:customStyle="1" w:styleId="gmail-markedcontent">
    <w:name w:val="gmail-markedcontent"/>
    <w:basedOn w:val="DefaultParagraphFont"/>
    <w:rsid w:val="006667AB"/>
  </w:style>
  <w:style w:type="paragraph" w:styleId="NormalWeb">
    <w:name w:val="Normal (Web)"/>
    <w:basedOn w:val="Normal"/>
    <w:uiPriority w:val="99"/>
    <w:unhideWhenUsed/>
    <w:rsid w:val="005B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6180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6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4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4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4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643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364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5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05A"/>
  </w:style>
  <w:style w:type="paragraph" w:styleId="Footer">
    <w:name w:val="footer"/>
    <w:basedOn w:val="Normal"/>
    <w:link w:val="FooterChar"/>
    <w:uiPriority w:val="99"/>
    <w:unhideWhenUsed/>
    <w:rsid w:val="001B5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5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dan@salmonstate.org" TargetMode="External"/><Relationship Id="rId18" Type="http://schemas.openxmlformats.org/officeDocument/2006/relationships/hyperlink" Target="https://www.seconference.org/sites/default/files/FINAL%20Southeast%20by%20the%20Numbers%202019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cara.fs2c.usda.gov/Public/CommentInput?project=NP-323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ournals.library.columbia.edu/index.php/cjel/article/view/9477/4841" TargetMode="External"/><Relationship Id="rId17" Type="http://schemas.openxmlformats.org/officeDocument/2006/relationships/hyperlink" Target="https://journals.library.columbia.edu/index.php/cjel/article/view/9477/48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k.audubon.org/sites/default/files/bridges_to_a_new_era_by_mills.nie_2020.pdf" TargetMode="External"/><Relationship Id="rId20" Type="http://schemas.openxmlformats.org/officeDocument/2006/relationships/hyperlink" Target="https://www.fs.usda.gov/Internet/FSE_DOCUMENTS/fseprd55459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k.audubon.org/sites/default/files/bridges_to_a_new_era_by_mills.nie_2020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esearchgate.net/publication/360511060_The_Tongass_National_Forest_Southeast_Alaska_USA_A_Natural_Climate_Solution_of_Global_Significanc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cdowellgroup.net/wp-content/uploads/2018/11/visitor-impacts-2016-17-report.pdf" TargetMode="External"/><Relationship Id="rId19" Type="http://schemas.openxmlformats.org/officeDocument/2006/relationships/hyperlink" Target="https://www.seconference.org/wp-content/uploads/2021/09/SE-by-the-numbers-2021-final.pdf?2070f3&amp;2070f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s.usda.gov/Internet/FSE_DOCUMENTS/fseprd554592.pdf" TargetMode="External"/><Relationship Id="rId14" Type="http://schemas.openxmlformats.org/officeDocument/2006/relationships/hyperlink" Target="https://doi.org/10.3390/land11050717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7B6A0-F526-4389-BC01-DD298063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Alaska Seaplanes</dc:creator>
  <cp:keywords/>
  <dc:description/>
  <cp:lastModifiedBy> </cp:lastModifiedBy>
  <cp:revision>2</cp:revision>
  <cp:lastPrinted>2022-08-18T20:30:00Z</cp:lastPrinted>
  <dcterms:created xsi:type="dcterms:W3CDTF">2022-08-18T22:41:00Z</dcterms:created>
  <dcterms:modified xsi:type="dcterms:W3CDTF">2022-08-18T22:41:00Z</dcterms:modified>
</cp:coreProperties>
</file>