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0A" w:rsidRDefault="005245B5">
      <w:pPr>
        <w:spacing w:before="79"/>
        <w:ind w:left="100"/>
        <w:rPr>
          <w:b/>
        </w:rPr>
      </w:pPr>
      <w:r>
        <w:rPr>
          <w:b/>
        </w:rPr>
        <w:t>East Boulder Mine: Environmental Impact Statement Scoping Comment</w:t>
      </w:r>
    </w:p>
    <w:p w:rsidR="0078240A" w:rsidRDefault="0078240A">
      <w:pPr>
        <w:pStyle w:val="BodyText"/>
        <w:rPr>
          <w:b/>
          <w:sz w:val="26"/>
        </w:rPr>
      </w:pPr>
    </w:p>
    <w:p w:rsidR="0078240A" w:rsidRDefault="0078240A">
      <w:pPr>
        <w:pStyle w:val="BodyText"/>
        <w:spacing w:before="2"/>
        <w:rPr>
          <w:b/>
        </w:rPr>
      </w:pPr>
    </w:p>
    <w:p w:rsidR="0078240A" w:rsidRDefault="005245B5">
      <w:pPr>
        <w:pStyle w:val="BodyText"/>
        <w:ind w:left="100"/>
      </w:pPr>
      <w:r>
        <w:t>Dear Mr. Grosvenor and Mr. Jones,</w:t>
      </w:r>
    </w:p>
    <w:p w:rsidR="0078240A" w:rsidRDefault="005245B5">
      <w:pPr>
        <w:pStyle w:val="BodyText"/>
        <w:spacing w:before="158"/>
        <w:ind w:left="100" w:right="109"/>
        <w:jc w:val="both"/>
      </w:pPr>
      <w:r>
        <w:t>I am writing in support of Sibanye-Stillwater’s proposal for the next phase of tailings and waste</w:t>
      </w:r>
      <w:r>
        <w:rPr>
          <w:spacing w:val="-16"/>
        </w:rPr>
        <w:t xml:space="preserve"> </w:t>
      </w:r>
      <w:r>
        <w:t>rock</w:t>
      </w:r>
      <w:r>
        <w:rPr>
          <w:spacing w:val="-14"/>
        </w:rPr>
        <w:t xml:space="preserve"> </w:t>
      </w:r>
      <w:r>
        <w:t>storage</w:t>
      </w:r>
      <w:r>
        <w:rPr>
          <w:spacing w:val="-19"/>
        </w:rPr>
        <w:t xml:space="preserve"> </w:t>
      </w:r>
      <w:r>
        <w:t>at</w:t>
      </w:r>
      <w:r>
        <w:rPr>
          <w:spacing w:val="-18"/>
        </w:rPr>
        <w:t xml:space="preserve"> </w:t>
      </w:r>
      <w:r>
        <w:t>the</w:t>
      </w:r>
      <w:r>
        <w:rPr>
          <w:spacing w:val="-11"/>
        </w:rPr>
        <w:t xml:space="preserve"> </w:t>
      </w:r>
      <w:r>
        <w:t>East</w:t>
      </w:r>
      <w:r>
        <w:rPr>
          <w:spacing w:val="-18"/>
        </w:rPr>
        <w:t xml:space="preserve"> </w:t>
      </w:r>
      <w:r>
        <w:t>Boulder</w:t>
      </w:r>
      <w:r>
        <w:rPr>
          <w:spacing w:val="-18"/>
        </w:rPr>
        <w:t xml:space="preserve"> </w:t>
      </w:r>
      <w:r>
        <w:t>Mine.</w:t>
      </w:r>
      <w:r>
        <w:rPr>
          <w:spacing w:val="-14"/>
        </w:rPr>
        <w:t xml:space="preserve"> </w:t>
      </w:r>
      <w:r>
        <w:t>Sibanye-Stillwater</w:t>
      </w:r>
      <w:r>
        <w:rPr>
          <w:spacing w:val="-14"/>
        </w:rPr>
        <w:t xml:space="preserve"> </w:t>
      </w:r>
      <w:r>
        <w:t>is</w:t>
      </w:r>
      <w:r>
        <w:rPr>
          <w:spacing w:val="-17"/>
        </w:rPr>
        <w:t xml:space="preserve"> </w:t>
      </w:r>
      <w:r>
        <w:t>a</w:t>
      </w:r>
      <w:r>
        <w:rPr>
          <w:spacing w:val="-14"/>
        </w:rPr>
        <w:t xml:space="preserve"> </w:t>
      </w:r>
      <w:r>
        <w:t>global</w:t>
      </w:r>
      <w:r>
        <w:rPr>
          <w:spacing w:val="-10"/>
        </w:rPr>
        <w:t xml:space="preserve"> </w:t>
      </w:r>
      <w:r>
        <w:t>precious</w:t>
      </w:r>
      <w:r>
        <w:rPr>
          <w:spacing w:val="-17"/>
        </w:rPr>
        <w:t xml:space="preserve"> </w:t>
      </w:r>
      <w:r>
        <w:t>metals producer and recycler and operates the East Boulder and Stillwater Mines, as well as a metal recycling and processing facility in Columbus, Montana. Sibanye-Stillwater is the world’s largest producer of platin</w:t>
      </w:r>
      <w:r>
        <w:t>um group metals (PGMs) and is the only primary US producer</w:t>
      </w:r>
      <w:r>
        <w:rPr>
          <w:spacing w:val="-3"/>
        </w:rPr>
        <w:t xml:space="preserve"> </w:t>
      </w:r>
      <w:r>
        <w:t>of</w:t>
      </w:r>
      <w:r>
        <w:rPr>
          <w:spacing w:val="-9"/>
        </w:rPr>
        <w:t xml:space="preserve"> </w:t>
      </w:r>
      <w:r>
        <w:t>platinum</w:t>
      </w:r>
      <w:r>
        <w:rPr>
          <w:spacing w:val="-7"/>
        </w:rPr>
        <w:t xml:space="preserve"> </w:t>
      </w:r>
      <w:r>
        <w:t>and</w:t>
      </w:r>
      <w:r>
        <w:rPr>
          <w:spacing w:val="-6"/>
        </w:rPr>
        <w:t xml:space="preserve"> </w:t>
      </w:r>
      <w:r>
        <w:t>palladium,</w:t>
      </w:r>
      <w:r>
        <w:rPr>
          <w:spacing w:val="-9"/>
        </w:rPr>
        <w:t xml:space="preserve"> </w:t>
      </w:r>
      <w:r>
        <w:t>which</w:t>
      </w:r>
      <w:r>
        <w:rPr>
          <w:spacing w:val="-3"/>
        </w:rPr>
        <w:t xml:space="preserve"> </w:t>
      </w:r>
      <w:r>
        <w:t>are</w:t>
      </w:r>
      <w:r>
        <w:rPr>
          <w:spacing w:val="-6"/>
        </w:rPr>
        <w:t xml:space="preserve"> </w:t>
      </w:r>
      <w:r>
        <w:t>both</w:t>
      </w:r>
      <w:r>
        <w:rPr>
          <w:spacing w:val="-3"/>
        </w:rPr>
        <w:t xml:space="preserve"> </w:t>
      </w:r>
      <w:r>
        <w:t>designated</w:t>
      </w:r>
      <w:r>
        <w:rPr>
          <w:spacing w:val="-7"/>
        </w:rPr>
        <w:t xml:space="preserve"> </w:t>
      </w:r>
      <w:r>
        <w:t>as</w:t>
      </w:r>
      <w:r>
        <w:rPr>
          <w:spacing w:val="-5"/>
        </w:rPr>
        <w:t xml:space="preserve"> </w:t>
      </w:r>
      <w:r>
        <w:t>“critical</w:t>
      </w:r>
      <w:r>
        <w:rPr>
          <w:spacing w:val="-4"/>
        </w:rPr>
        <w:t xml:space="preserve"> </w:t>
      </w:r>
      <w:r>
        <w:t>minerals”</w:t>
      </w:r>
      <w:r>
        <w:rPr>
          <w:spacing w:val="-7"/>
        </w:rPr>
        <w:t xml:space="preserve"> </w:t>
      </w:r>
      <w:r>
        <w:t>in the</w:t>
      </w:r>
      <w:r>
        <w:rPr>
          <w:spacing w:val="-10"/>
        </w:rPr>
        <w:t xml:space="preserve"> </w:t>
      </w:r>
      <w:r>
        <w:t>US.</w:t>
      </w:r>
      <w:r>
        <w:rPr>
          <w:spacing w:val="-8"/>
        </w:rPr>
        <w:t xml:space="preserve"> </w:t>
      </w:r>
      <w:r>
        <w:t>Over</w:t>
      </w:r>
      <w:r>
        <w:rPr>
          <w:spacing w:val="-5"/>
        </w:rPr>
        <w:t xml:space="preserve"> </w:t>
      </w:r>
      <w:r>
        <w:t>the</w:t>
      </w:r>
      <w:r>
        <w:rPr>
          <w:spacing w:val="-9"/>
        </w:rPr>
        <w:t xml:space="preserve"> </w:t>
      </w:r>
      <w:r>
        <w:t>past</w:t>
      </w:r>
      <w:r>
        <w:rPr>
          <w:spacing w:val="-9"/>
        </w:rPr>
        <w:t xml:space="preserve"> </w:t>
      </w:r>
      <w:r>
        <w:t>40</w:t>
      </w:r>
      <w:r>
        <w:rPr>
          <w:spacing w:val="-12"/>
        </w:rPr>
        <w:t xml:space="preserve"> </w:t>
      </w:r>
      <w:r>
        <w:t>years,</w:t>
      </w:r>
      <w:r>
        <w:rPr>
          <w:spacing w:val="-11"/>
        </w:rPr>
        <w:t xml:space="preserve"> </w:t>
      </w:r>
      <w:r>
        <w:t>Sibanye-Stillwater</w:t>
      </w:r>
      <w:r>
        <w:rPr>
          <w:spacing w:val="-8"/>
        </w:rPr>
        <w:t xml:space="preserve"> </w:t>
      </w:r>
      <w:r>
        <w:t>has</w:t>
      </w:r>
      <w:r>
        <w:rPr>
          <w:spacing w:val="-11"/>
        </w:rPr>
        <w:t xml:space="preserve"> </w:t>
      </w:r>
      <w:r>
        <w:t>proven</w:t>
      </w:r>
      <w:r>
        <w:rPr>
          <w:spacing w:val="-9"/>
        </w:rPr>
        <w:t xml:space="preserve"> </w:t>
      </w:r>
      <w:r>
        <w:t>that</w:t>
      </w:r>
      <w:r>
        <w:rPr>
          <w:spacing w:val="-13"/>
        </w:rPr>
        <w:t xml:space="preserve"> </w:t>
      </w:r>
      <w:r>
        <w:t>mining</w:t>
      </w:r>
      <w:r>
        <w:rPr>
          <w:spacing w:val="-9"/>
        </w:rPr>
        <w:t xml:space="preserve"> </w:t>
      </w:r>
      <w:r>
        <w:t>in</w:t>
      </w:r>
      <w:r>
        <w:rPr>
          <w:spacing w:val="-5"/>
        </w:rPr>
        <w:t xml:space="preserve"> </w:t>
      </w:r>
      <w:r>
        <w:t>Montana</w:t>
      </w:r>
      <w:r>
        <w:rPr>
          <w:spacing w:val="-9"/>
        </w:rPr>
        <w:t xml:space="preserve"> </w:t>
      </w:r>
      <w:r>
        <w:t>can be done sustainably and</w:t>
      </w:r>
      <w:r>
        <w:rPr>
          <w:spacing w:val="-1"/>
        </w:rPr>
        <w:t xml:space="preserve"> </w:t>
      </w:r>
      <w:r>
        <w:t>responsibly.</w:t>
      </w:r>
    </w:p>
    <w:p w:rsidR="0078240A" w:rsidRDefault="005245B5">
      <w:pPr>
        <w:pStyle w:val="BodyText"/>
        <w:spacing w:before="163"/>
        <w:ind w:left="100" w:right="109"/>
        <w:jc w:val="both"/>
      </w:pPr>
      <w:r>
        <w:t>Sibanye-Stillwater has spent years planning and designing these facilities to ensure maximum protection to the environment and public safety. During that time, Sibanye- Stillwater collaborated with Good Neighbor Agreement representatives who l</w:t>
      </w:r>
      <w:r>
        <w:t>ive in the local communities. Their partnership positively influenced the proposed facility designs and associated best practices to ensure that community concerns are thoroughly addressed.</w:t>
      </w:r>
    </w:p>
    <w:p w:rsidR="0078240A" w:rsidRDefault="005245B5">
      <w:pPr>
        <w:pStyle w:val="BodyText"/>
        <w:spacing w:before="158"/>
        <w:ind w:left="100"/>
      </w:pPr>
      <w:r>
        <w:t>Please consider the following key points as you proceed with the E</w:t>
      </w:r>
      <w:r>
        <w:t>IS:</w:t>
      </w:r>
    </w:p>
    <w:p w:rsidR="0078240A" w:rsidRDefault="005245B5">
      <w:pPr>
        <w:pStyle w:val="ListParagraph"/>
        <w:numPr>
          <w:ilvl w:val="0"/>
          <w:numId w:val="1"/>
        </w:numPr>
        <w:tabs>
          <w:tab w:val="left" w:pos="461"/>
        </w:tabs>
        <w:spacing w:before="162"/>
        <w:rPr>
          <w:rFonts w:ascii="Symbol" w:hAnsi="Symbol"/>
        </w:rPr>
      </w:pPr>
      <w:r>
        <w:t>The proposed Lewis Gulch tailings storage facility (TSF) meets or exceeds all of the engineering design, operating, and closure planning requirements in the Montana Metal Mines Reclamation Act, and its associated plans appropriately address the full li</w:t>
      </w:r>
      <w:r>
        <w:t>fe-cycle of the facility. Montana’s regulations for TSFs are among the most stringent in the</w:t>
      </w:r>
      <w:r>
        <w:rPr>
          <w:spacing w:val="-4"/>
        </w:rPr>
        <w:t xml:space="preserve"> </w:t>
      </w:r>
      <w:r>
        <w:t>world.</w:t>
      </w:r>
    </w:p>
    <w:p w:rsidR="0078240A" w:rsidRDefault="0078240A">
      <w:pPr>
        <w:pStyle w:val="BodyText"/>
        <w:spacing w:before="10"/>
        <w:rPr>
          <w:sz w:val="21"/>
        </w:rPr>
      </w:pPr>
    </w:p>
    <w:p w:rsidR="0078240A" w:rsidRDefault="005245B5">
      <w:pPr>
        <w:pStyle w:val="ListParagraph"/>
        <w:numPr>
          <w:ilvl w:val="0"/>
          <w:numId w:val="1"/>
        </w:numPr>
        <w:tabs>
          <w:tab w:val="left" w:pos="461"/>
        </w:tabs>
        <w:ind w:right="119"/>
        <w:rPr>
          <w:rFonts w:ascii="Symbol" w:hAnsi="Symbol"/>
        </w:rPr>
      </w:pPr>
      <w:r>
        <w:t>As required by Montana law, an Independent Review Panel has reviewed and approved the Lewis Gulch TSF design and associated plans. This panel consists of t</w:t>
      </w:r>
      <w:r>
        <w:t xml:space="preserve">ailings management experts </w:t>
      </w:r>
      <w:r>
        <w:rPr>
          <w:spacing w:val="3"/>
        </w:rPr>
        <w:t xml:space="preserve">who </w:t>
      </w:r>
      <w:r>
        <w:t>regularly review and audit TSFs across the</w:t>
      </w:r>
      <w:r>
        <w:rPr>
          <w:spacing w:val="-40"/>
        </w:rPr>
        <w:t xml:space="preserve"> </w:t>
      </w:r>
      <w:r>
        <w:t>world.</w:t>
      </w:r>
    </w:p>
    <w:p w:rsidR="0078240A" w:rsidRDefault="0078240A">
      <w:pPr>
        <w:pStyle w:val="BodyText"/>
        <w:spacing w:before="2"/>
      </w:pPr>
    </w:p>
    <w:p w:rsidR="0078240A" w:rsidRDefault="005245B5">
      <w:pPr>
        <w:pStyle w:val="ListParagraph"/>
        <w:numPr>
          <w:ilvl w:val="0"/>
          <w:numId w:val="1"/>
        </w:numPr>
        <w:tabs>
          <w:tab w:val="left" w:pos="461"/>
        </w:tabs>
        <w:ind w:right="112"/>
        <w:rPr>
          <w:rFonts w:ascii="Symbol" w:hAnsi="Symbol"/>
        </w:rPr>
      </w:pPr>
      <w:r>
        <w:t>The</w:t>
      </w:r>
      <w:r>
        <w:rPr>
          <w:spacing w:val="-11"/>
        </w:rPr>
        <w:t xml:space="preserve"> </w:t>
      </w:r>
      <w:r>
        <w:t>proposed</w:t>
      </w:r>
      <w:r>
        <w:rPr>
          <w:spacing w:val="-6"/>
        </w:rPr>
        <w:t xml:space="preserve"> </w:t>
      </w:r>
      <w:r>
        <w:t>Dry</w:t>
      </w:r>
      <w:r>
        <w:rPr>
          <w:spacing w:val="-6"/>
        </w:rPr>
        <w:t xml:space="preserve"> </w:t>
      </w:r>
      <w:r>
        <w:t>Fork</w:t>
      </w:r>
      <w:r>
        <w:rPr>
          <w:spacing w:val="-10"/>
        </w:rPr>
        <w:t xml:space="preserve"> </w:t>
      </w:r>
      <w:r>
        <w:t>waste</w:t>
      </w:r>
      <w:r>
        <w:rPr>
          <w:spacing w:val="-6"/>
        </w:rPr>
        <w:t xml:space="preserve"> </w:t>
      </w:r>
      <w:r>
        <w:t>rock</w:t>
      </w:r>
      <w:r>
        <w:rPr>
          <w:spacing w:val="-7"/>
        </w:rPr>
        <w:t xml:space="preserve"> </w:t>
      </w:r>
      <w:r>
        <w:t>storage</w:t>
      </w:r>
      <w:r>
        <w:rPr>
          <w:spacing w:val="-7"/>
        </w:rPr>
        <w:t xml:space="preserve"> </w:t>
      </w:r>
      <w:r>
        <w:t>area</w:t>
      </w:r>
      <w:r>
        <w:rPr>
          <w:spacing w:val="-4"/>
        </w:rPr>
        <w:t xml:space="preserve"> </w:t>
      </w:r>
      <w:r>
        <w:t>will</w:t>
      </w:r>
      <w:r>
        <w:rPr>
          <w:spacing w:val="-8"/>
        </w:rPr>
        <w:t xml:space="preserve"> </w:t>
      </w:r>
      <w:r>
        <w:t>be</w:t>
      </w:r>
      <w:r>
        <w:rPr>
          <w:spacing w:val="-6"/>
        </w:rPr>
        <w:t xml:space="preserve"> </w:t>
      </w:r>
      <w:r>
        <w:t>a</w:t>
      </w:r>
      <w:r>
        <w:rPr>
          <w:spacing w:val="-10"/>
        </w:rPr>
        <w:t xml:space="preserve"> </w:t>
      </w:r>
      <w:r>
        <w:t>lined</w:t>
      </w:r>
      <w:r>
        <w:rPr>
          <w:spacing w:val="-6"/>
        </w:rPr>
        <w:t xml:space="preserve"> </w:t>
      </w:r>
      <w:r>
        <w:t>facility</w:t>
      </w:r>
      <w:r>
        <w:rPr>
          <w:spacing w:val="-2"/>
        </w:rPr>
        <w:t xml:space="preserve"> </w:t>
      </w:r>
      <w:r>
        <w:t>and</w:t>
      </w:r>
      <w:r>
        <w:rPr>
          <w:spacing w:val="-6"/>
        </w:rPr>
        <w:t xml:space="preserve"> </w:t>
      </w:r>
      <w:r>
        <w:t>includes</w:t>
      </w:r>
      <w:r>
        <w:rPr>
          <w:spacing w:val="-9"/>
        </w:rPr>
        <w:t xml:space="preserve"> </w:t>
      </w:r>
      <w:r>
        <w:t>an underdrain system for the protection of water resources, which is a standard of leading</w:t>
      </w:r>
      <w:r>
        <w:t>-practice that exceeds regulatory</w:t>
      </w:r>
      <w:r>
        <w:rPr>
          <w:spacing w:val="-5"/>
        </w:rPr>
        <w:t xml:space="preserve"> </w:t>
      </w:r>
      <w:r>
        <w:t>requirements.</w:t>
      </w:r>
    </w:p>
    <w:p w:rsidR="0078240A" w:rsidRDefault="0078240A">
      <w:pPr>
        <w:pStyle w:val="BodyText"/>
        <w:spacing w:before="8"/>
        <w:rPr>
          <w:sz w:val="23"/>
        </w:rPr>
      </w:pPr>
    </w:p>
    <w:p w:rsidR="0078240A" w:rsidRDefault="005245B5">
      <w:pPr>
        <w:pStyle w:val="ListParagraph"/>
        <w:numPr>
          <w:ilvl w:val="0"/>
          <w:numId w:val="1"/>
        </w:numPr>
        <w:tabs>
          <w:tab w:val="left" w:pos="461"/>
        </w:tabs>
        <w:spacing w:before="1"/>
        <w:ind w:right="111"/>
        <w:rPr>
          <w:rFonts w:ascii="Symbol" w:hAnsi="Symbol"/>
        </w:rPr>
      </w:pPr>
      <w:r>
        <w:t>Sibanye-Stillwater has been able to optimize its water treatment capabilities to treat water at its mines to better than drinking water standards through the best current available technology. Its air quality control measures at its processing facilities a</w:t>
      </w:r>
      <w:r>
        <w:t>re state of the art and employ the best available control</w:t>
      </w:r>
      <w:r>
        <w:rPr>
          <w:spacing w:val="-12"/>
        </w:rPr>
        <w:t xml:space="preserve"> </w:t>
      </w:r>
      <w:r>
        <w:t>technology.</w:t>
      </w:r>
    </w:p>
    <w:p w:rsidR="0078240A" w:rsidRDefault="0078240A">
      <w:pPr>
        <w:pStyle w:val="BodyText"/>
        <w:spacing w:before="11"/>
        <w:rPr>
          <w:sz w:val="23"/>
        </w:rPr>
      </w:pPr>
    </w:p>
    <w:p w:rsidR="0078240A" w:rsidRDefault="005245B5">
      <w:pPr>
        <w:pStyle w:val="ListParagraph"/>
        <w:numPr>
          <w:ilvl w:val="0"/>
          <w:numId w:val="1"/>
        </w:numPr>
        <w:tabs>
          <w:tab w:val="left" w:pos="461"/>
        </w:tabs>
        <w:ind w:right="112"/>
        <w:rPr>
          <w:rFonts w:ascii="Symbol" w:hAnsi="Symbol"/>
        </w:rPr>
      </w:pPr>
      <w:r>
        <w:t xml:space="preserve">Approving Major Amendment 004 would allow the economic longevity and sustainable revenue the mine provides to our communities and Montana to extend through approximately 2043. </w:t>
      </w:r>
      <w:r>
        <w:rPr>
          <w:spacing w:val="3"/>
        </w:rPr>
        <w:t xml:space="preserve">In </w:t>
      </w:r>
      <w:r>
        <w:t>the absence of Amendment 004 approval, the East Boulder Mine and its economic benefit to Montana could cease as soon as</w:t>
      </w:r>
      <w:r>
        <w:rPr>
          <w:spacing w:val="-33"/>
        </w:rPr>
        <w:t xml:space="preserve"> </w:t>
      </w:r>
      <w:r>
        <w:t>2026.</w:t>
      </w:r>
    </w:p>
    <w:p w:rsidR="0078240A" w:rsidRDefault="0078240A">
      <w:pPr>
        <w:pStyle w:val="BodyText"/>
        <w:spacing w:before="7"/>
        <w:rPr>
          <w:sz w:val="23"/>
        </w:rPr>
      </w:pPr>
    </w:p>
    <w:p w:rsidR="0078240A" w:rsidRDefault="005245B5">
      <w:pPr>
        <w:pStyle w:val="ListParagraph"/>
        <w:numPr>
          <w:ilvl w:val="0"/>
          <w:numId w:val="1"/>
        </w:numPr>
        <w:tabs>
          <w:tab w:val="left" w:pos="461"/>
        </w:tabs>
        <w:spacing w:before="1" w:line="242" w:lineRule="auto"/>
        <w:rPr>
          <w:rFonts w:ascii="Symbol" w:hAnsi="Symbol"/>
        </w:rPr>
      </w:pPr>
      <w:r>
        <w:t>The University of Montana Bureau of Business and Economic Research has analyzed the economic impact of Sibanye-Stillwater’s US Op</w:t>
      </w:r>
      <w:r>
        <w:t>erations to</w:t>
      </w:r>
      <w:r>
        <w:rPr>
          <w:spacing w:val="-20"/>
        </w:rPr>
        <w:t xml:space="preserve"> </w:t>
      </w:r>
      <w:r>
        <w:t>Montana, including</w:t>
      </w:r>
    </w:p>
    <w:p w:rsidR="0078240A" w:rsidRDefault="0078240A">
      <w:pPr>
        <w:spacing w:line="242" w:lineRule="auto"/>
        <w:jc w:val="both"/>
        <w:rPr>
          <w:rFonts w:ascii="Symbol" w:hAnsi="Symbol"/>
        </w:rPr>
        <w:sectPr w:rsidR="0078240A">
          <w:type w:val="continuous"/>
          <w:pgSz w:w="12240" w:h="15840"/>
          <w:pgMar w:top="1360" w:right="1320" w:bottom="280" w:left="1340" w:header="720" w:footer="720" w:gutter="0"/>
          <w:cols w:space="720"/>
        </w:sectPr>
      </w:pPr>
    </w:p>
    <w:p w:rsidR="0078240A" w:rsidRDefault="005245B5">
      <w:pPr>
        <w:pStyle w:val="BodyText"/>
        <w:spacing w:before="79"/>
        <w:ind w:left="460"/>
      </w:pPr>
      <w:r>
        <w:lastRenderedPageBreak/>
        <w:t>these significant positive annual impacts of Sibanye-Stillwater’s Montana operations, based on 2021 data:</w:t>
      </w:r>
    </w:p>
    <w:p w:rsidR="0078240A" w:rsidRDefault="0078240A">
      <w:pPr>
        <w:pStyle w:val="BodyText"/>
        <w:rPr>
          <w:sz w:val="26"/>
        </w:rPr>
      </w:pPr>
    </w:p>
    <w:p w:rsidR="0078240A" w:rsidRDefault="0078240A">
      <w:pPr>
        <w:pStyle w:val="BodyText"/>
        <w:spacing w:before="9"/>
        <w:rPr>
          <w:sz w:val="19"/>
        </w:rPr>
      </w:pPr>
    </w:p>
    <w:p w:rsidR="0078240A" w:rsidRDefault="005245B5">
      <w:pPr>
        <w:pStyle w:val="ListParagraph"/>
        <w:numPr>
          <w:ilvl w:val="1"/>
          <w:numId w:val="1"/>
        </w:numPr>
        <w:tabs>
          <w:tab w:val="left" w:pos="1181"/>
        </w:tabs>
        <w:ind w:right="0"/>
      </w:pPr>
      <w:r>
        <w:t>More than $6 billion contributed to Montana’s economy every</w:t>
      </w:r>
      <w:r>
        <w:rPr>
          <w:spacing w:val="-13"/>
        </w:rPr>
        <w:t xml:space="preserve"> </w:t>
      </w:r>
      <w:r>
        <w:t>year</w:t>
      </w:r>
    </w:p>
    <w:p w:rsidR="0078240A" w:rsidRDefault="005245B5">
      <w:pPr>
        <w:pStyle w:val="ListParagraph"/>
        <w:numPr>
          <w:ilvl w:val="1"/>
          <w:numId w:val="1"/>
        </w:numPr>
        <w:tabs>
          <w:tab w:val="left" w:pos="1181"/>
        </w:tabs>
        <w:spacing w:before="2"/>
        <w:ind w:right="116"/>
      </w:pPr>
      <w:r>
        <w:t>More than 11,000 permanent year-round jo</w:t>
      </w:r>
      <w:r>
        <w:t>bs across a wide spectrum of industries</w:t>
      </w:r>
    </w:p>
    <w:p w:rsidR="0078240A" w:rsidRDefault="005245B5">
      <w:pPr>
        <w:pStyle w:val="ListParagraph"/>
        <w:numPr>
          <w:ilvl w:val="1"/>
          <w:numId w:val="1"/>
        </w:numPr>
        <w:tabs>
          <w:tab w:val="left" w:pos="1181"/>
        </w:tabs>
        <w:spacing w:line="242" w:lineRule="auto"/>
      </w:pPr>
      <w:r>
        <w:t>Payment</w:t>
      </w:r>
      <w:r>
        <w:rPr>
          <w:spacing w:val="-10"/>
        </w:rPr>
        <w:t xml:space="preserve"> </w:t>
      </w:r>
      <w:r>
        <w:t>of</w:t>
      </w:r>
      <w:r>
        <w:rPr>
          <w:spacing w:val="-4"/>
        </w:rPr>
        <w:t xml:space="preserve"> </w:t>
      </w:r>
      <w:r>
        <w:t>total</w:t>
      </w:r>
      <w:r>
        <w:rPr>
          <w:spacing w:val="-4"/>
        </w:rPr>
        <w:t xml:space="preserve"> </w:t>
      </w:r>
      <w:r>
        <w:t>state</w:t>
      </w:r>
      <w:r>
        <w:rPr>
          <w:spacing w:val="-1"/>
        </w:rPr>
        <w:t xml:space="preserve"> </w:t>
      </w:r>
      <w:r>
        <w:t>tax</w:t>
      </w:r>
      <w:r>
        <w:rPr>
          <w:spacing w:val="-9"/>
        </w:rPr>
        <w:t xml:space="preserve"> </w:t>
      </w:r>
      <w:r>
        <w:t>and</w:t>
      </w:r>
      <w:r>
        <w:rPr>
          <w:spacing w:val="-6"/>
        </w:rPr>
        <w:t xml:space="preserve"> </w:t>
      </w:r>
      <w:r>
        <w:t>non-tax</w:t>
      </w:r>
      <w:r>
        <w:rPr>
          <w:spacing w:val="-8"/>
        </w:rPr>
        <w:t xml:space="preserve"> </w:t>
      </w:r>
      <w:r>
        <w:t>revenues</w:t>
      </w:r>
      <w:r>
        <w:rPr>
          <w:spacing w:val="-9"/>
        </w:rPr>
        <w:t xml:space="preserve"> </w:t>
      </w:r>
      <w:r>
        <w:t>of</w:t>
      </w:r>
      <w:r>
        <w:rPr>
          <w:spacing w:val="-5"/>
        </w:rPr>
        <w:t xml:space="preserve"> </w:t>
      </w:r>
      <w:r>
        <w:t>approximately</w:t>
      </w:r>
      <w:r>
        <w:rPr>
          <w:spacing w:val="-6"/>
        </w:rPr>
        <w:t xml:space="preserve"> </w:t>
      </w:r>
      <w:r>
        <w:t>$295</w:t>
      </w:r>
      <w:r>
        <w:rPr>
          <w:spacing w:val="-5"/>
        </w:rPr>
        <w:t xml:space="preserve"> </w:t>
      </w:r>
      <w:r>
        <w:t>million annually</w:t>
      </w:r>
    </w:p>
    <w:p w:rsidR="0078240A" w:rsidRDefault="005245B5">
      <w:pPr>
        <w:pStyle w:val="ListParagraph"/>
        <w:numPr>
          <w:ilvl w:val="1"/>
          <w:numId w:val="1"/>
        </w:numPr>
        <w:tabs>
          <w:tab w:val="left" w:pos="1181"/>
        </w:tabs>
        <w:ind w:right="111"/>
      </w:pPr>
      <w:r>
        <w:t>Employment for nearly 2,000 employees with an average compensation, before benefits, of more than $150,000 per year, which is mor</w:t>
      </w:r>
      <w:r>
        <w:t>e than double the state average and which results in over $260 million in total annual payroll expenditures</w:t>
      </w:r>
      <w:bookmarkStart w:id="0" w:name="_GoBack"/>
      <w:bookmarkEnd w:id="0"/>
    </w:p>
    <w:p w:rsidR="0078240A" w:rsidRDefault="005245B5">
      <w:pPr>
        <w:pStyle w:val="ListParagraph"/>
        <w:numPr>
          <w:ilvl w:val="1"/>
          <w:numId w:val="1"/>
        </w:numPr>
        <w:tabs>
          <w:tab w:val="left" w:pos="1181"/>
        </w:tabs>
        <w:ind w:right="128"/>
      </w:pPr>
      <w:r>
        <w:t xml:space="preserve">Expenditures on purchases of over </w:t>
      </w:r>
      <w:r>
        <w:rPr>
          <w:spacing w:val="-3"/>
        </w:rPr>
        <w:t xml:space="preserve">$430 </w:t>
      </w:r>
      <w:r>
        <w:t xml:space="preserve">million in 2021, including nearly </w:t>
      </w:r>
      <w:r>
        <w:rPr>
          <w:spacing w:val="-3"/>
        </w:rPr>
        <w:t xml:space="preserve">$225 </w:t>
      </w:r>
      <w:r>
        <w:t>million of purchases in</w:t>
      </w:r>
      <w:r>
        <w:rPr>
          <w:spacing w:val="-6"/>
        </w:rPr>
        <w:t xml:space="preserve"> </w:t>
      </w:r>
      <w:r>
        <w:t>Montana</w:t>
      </w:r>
    </w:p>
    <w:p w:rsidR="0078240A" w:rsidRDefault="0078240A">
      <w:pPr>
        <w:pStyle w:val="BodyText"/>
        <w:spacing w:before="1"/>
        <w:rPr>
          <w:sz w:val="19"/>
        </w:rPr>
      </w:pPr>
    </w:p>
    <w:p w:rsidR="0078240A" w:rsidRDefault="005245B5">
      <w:pPr>
        <w:pStyle w:val="ListParagraph"/>
        <w:numPr>
          <w:ilvl w:val="0"/>
          <w:numId w:val="1"/>
        </w:numPr>
        <w:tabs>
          <w:tab w:val="left" w:pos="461"/>
        </w:tabs>
        <w:ind w:right="114"/>
        <w:rPr>
          <w:rFonts w:ascii="Symbol" w:hAnsi="Symbol"/>
          <w:color w:val="171717"/>
        </w:rPr>
      </w:pPr>
      <w:r>
        <w:t>The</w:t>
      </w:r>
      <w:r>
        <w:rPr>
          <w:spacing w:val="-15"/>
        </w:rPr>
        <w:t xml:space="preserve"> </w:t>
      </w:r>
      <w:r>
        <w:t>East</w:t>
      </w:r>
      <w:r>
        <w:rPr>
          <w:spacing w:val="-18"/>
        </w:rPr>
        <w:t xml:space="preserve"> </w:t>
      </w:r>
      <w:r>
        <w:t>Boulder</w:t>
      </w:r>
      <w:r>
        <w:rPr>
          <w:spacing w:val="-15"/>
        </w:rPr>
        <w:t xml:space="preserve"> </w:t>
      </w:r>
      <w:r>
        <w:t>and</w:t>
      </w:r>
      <w:r>
        <w:rPr>
          <w:spacing w:val="-14"/>
        </w:rPr>
        <w:t xml:space="preserve"> </w:t>
      </w:r>
      <w:r>
        <w:t>Stillwater</w:t>
      </w:r>
      <w:r>
        <w:rPr>
          <w:spacing w:val="-15"/>
        </w:rPr>
        <w:t xml:space="preserve"> </w:t>
      </w:r>
      <w:r>
        <w:t>mines</w:t>
      </w:r>
      <w:r>
        <w:rPr>
          <w:spacing w:val="-17"/>
        </w:rPr>
        <w:t xml:space="preserve"> </w:t>
      </w:r>
      <w:r>
        <w:t>are</w:t>
      </w:r>
      <w:r>
        <w:rPr>
          <w:spacing w:val="-16"/>
        </w:rPr>
        <w:t xml:space="preserve"> </w:t>
      </w:r>
      <w:r>
        <w:t>the</w:t>
      </w:r>
      <w:r>
        <w:rPr>
          <w:spacing w:val="-10"/>
        </w:rPr>
        <w:t xml:space="preserve"> </w:t>
      </w:r>
      <w:r>
        <w:t>only</w:t>
      </w:r>
      <w:r>
        <w:rPr>
          <w:spacing w:val="-14"/>
        </w:rPr>
        <w:t xml:space="preserve"> </w:t>
      </w:r>
      <w:r>
        <w:t>PGM</w:t>
      </w:r>
      <w:r>
        <w:rPr>
          <w:spacing w:val="-18"/>
        </w:rPr>
        <w:t xml:space="preserve"> </w:t>
      </w:r>
      <w:r>
        <w:t>mines</w:t>
      </w:r>
      <w:r>
        <w:rPr>
          <w:spacing w:val="-18"/>
        </w:rPr>
        <w:t xml:space="preserve"> </w:t>
      </w:r>
      <w:r>
        <w:t>in</w:t>
      </w:r>
      <w:r>
        <w:rPr>
          <w:spacing w:val="-14"/>
        </w:rPr>
        <w:t xml:space="preserve"> </w:t>
      </w:r>
      <w:r>
        <w:t>the</w:t>
      </w:r>
      <w:r>
        <w:rPr>
          <w:spacing w:val="-16"/>
        </w:rPr>
        <w:t xml:space="preserve"> </w:t>
      </w:r>
      <w:r>
        <w:t>United</w:t>
      </w:r>
      <w:r>
        <w:rPr>
          <w:spacing w:val="-14"/>
        </w:rPr>
        <w:t xml:space="preserve"> </w:t>
      </w:r>
      <w:r>
        <w:t>States.</w:t>
      </w:r>
      <w:r>
        <w:rPr>
          <w:spacing w:val="-15"/>
        </w:rPr>
        <w:t xml:space="preserve"> </w:t>
      </w:r>
      <w:r>
        <w:t xml:space="preserve">Both platinum and palladium are on the United States Geological Survey’s 2022 critical minerals list. </w:t>
      </w:r>
      <w:r>
        <w:rPr>
          <w:color w:val="171717"/>
        </w:rPr>
        <w:t>The Energy Act of 2020 defines a “critical mineral” as a non-fuel mineral or</w:t>
      </w:r>
      <w:r>
        <w:rPr>
          <w:color w:val="171717"/>
          <w:spacing w:val="-18"/>
        </w:rPr>
        <w:t xml:space="preserve"> </w:t>
      </w:r>
      <w:r>
        <w:rPr>
          <w:color w:val="171717"/>
        </w:rPr>
        <w:t>mineral</w:t>
      </w:r>
      <w:r>
        <w:rPr>
          <w:color w:val="171717"/>
          <w:spacing w:val="-16"/>
        </w:rPr>
        <w:t xml:space="preserve"> </w:t>
      </w:r>
      <w:r>
        <w:rPr>
          <w:color w:val="171717"/>
        </w:rPr>
        <w:t>material</w:t>
      </w:r>
      <w:r>
        <w:rPr>
          <w:color w:val="171717"/>
          <w:spacing w:val="-16"/>
        </w:rPr>
        <w:t xml:space="preserve"> </w:t>
      </w:r>
      <w:r>
        <w:rPr>
          <w:color w:val="171717"/>
        </w:rPr>
        <w:t>essential</w:t>
      </w:r>
      <w:r>
        <w:rPr>
          <w:color w:val="171717"/>
          <w:spacing w:val="-15"/>
        </w:rPr>
        <w:t xml:space="preserve"> </w:t>
      </w:r>
      <w:r>
        <w:rPr>
          <w:color w:val="171717"/>
        </w:rPr>
        <w:t>to</w:t>
      </w:r>
      <w:r>
        <w:rPr>
          <w:color w:val="171717"/>
          <w:spacing w:val="-19"/>
        </w:rPr>
        <w:t xml:space="preserve"> </w:t>
      </w:r>
      <w:r>
        <w:rPr>
          <w:color w:val="171717"/>
        </w:rPr>
        <w:t>t</w:t>
      </w:r>
      <w:r>
        <w:rPr>
          <w:color w:val="171717"/>
        </w:rPr>
        <w:t>he</w:t>
      </w:r>
      <w:r>
        <w:rPr>
          <w:color w:val="171717"/>
          <w:spacing w:val="-18"/>
        </w:rPr>
        <w:t xml:space="preserve"> </w:t>
      </w:r>
      <w:r>
        <w:rPr>
          <w:color w:val="171717"/>
        </w:rPr>
        <w:t>economic</w:t>
      </w:r>
      <w:r>
        <w:rPr>
          <w:color w:val="171717"/>
          <w:spacing w:val="-17"/>
        </w:rPr>
        <w:t xml:space="preserve"> </w:t>
      </w:r>
      <w:r>
        <w:rPr>
          <w:color w:val="171717"/>
        </w:rPr>
        <w:t>or</w:t>
      </w:r>
      <w:r>
        <w:rPr>
          <w:color w:val="171717"/>
          <w:spacing w:val="-18"/>
        </w:rPr>
        <w:t xml:space="preserve"> </w:t>
      </w:r>
      <w:r>
        <w:rPr>
          <w:color w:val="171717"/>
        </w:rPr>
        <w:t>national</w:t>
      </w:r>
      <w:r>
        <w:rPr>
          <w:color w:val="171717"/>
          <w:spacing w:val="-16"/>
        </w:rPr>
        <w:t xml:space="preserve"> </w:t>
      </w:r>
      <w:r>
        <w:rPr>
          <w:color w:val="171717"/>
        </w:rPr>
        <w:t>security</w:t>
      </w:r>
      <w:r>
        <w:rPr>
          <w:color w:val="171717"/>
          <w:spacing w:val="-17"/>
        </w:rPr>
        <w:t xml:space="preserve"> </w:t>
      </w:r>
      <w:r>
        <w:rPr>
          <w:color w:val="171717"/>
        </w:rPr>
        <w:t>of</w:t>
      </w:r>
      <w:r>
        <w:rPr>
          <w:color w:val="171717"/>
          <w:spacing w:val="-20"/>
        </w:rPr>
        <w:t xml:space="preserve"> </w:t>
      </w:r>
      <w:r>
        <w:rPr>
          <w:color w:val="171717"/>
        </w:rPr>
        <w:t>the</w:t>
      </w:r>
      <w:r>
        <w:rPr>
          <w:color w:val="171717"/>
          <w:spacing w:val="-18"/>
        </w:rPr>
        <w:t xml:space="preserve"> </w:t>
      </w:r>
      <w:r>
        <w:rPr>
          <w:color w:val="171717"/>
        </w:rPr>
        <w:t>U.S.</w:t>
      </w:r>
      <w:r>
        <w:rPr>
          <w:color w:val="171717"/>
          <w:spacing w:val="-19"/>
        </w:rPr>
        <w:t xml:space="preserve"> </w:t>
      </w:r>
      <w:r>
        <w:rPr>
          <w:color w:val="171717"/>
        </w:rPr>
        <w:t>and</w:t>
      </w:r>
      <w:r>
        <w:rPr>
          <w:color w:val="171717"/>
          <w:spacing w:val="-22"/>
        </w:rPr>
        <w:t xml:space="preserve"> </w:t>
      </w:r>
      <w:r>
        <w:rPr>
          <w:color w:val="171717"/>
        </w:rPr>
        <w:t>which has a supply chain vulnerable to disruption. Critical minerals are also characterized as serving an essential function in the manufacturing of a product, the absence of which would have significant consequences for the economy or national security.</w:t>
      </w:r>
      <w:r>
        <w:t xml:space="preserve"> D</w:t>
      </w:r>
      <w:r>
        <w:t xml:space="preserve">ue to the recent global events and supply chain disruptions, it is essential that the USFS and DEQ analyze Sibanye-Stillwater’s positive contribution to our national security, strategic reserve, and </w:t>
      </w:r>
      <w:r>
        <w:rPr>
          <w:color w:val="171717"/>
        </w:rPr>
        <w:t>the current vulnerabilities to potential supply chain dis</w:t>
      </w:r>
      <w:r>
        <w:rPr>
          <w:color w:val="171717"/>
        </w:rPr>
        <w:t>ruptions.</w:t>
      </w:r>
    </w:p>
    <w:p w:rsidR="0078240A" w:rsidRDefault="0078240A">
      <w:pPr>
        <w:pStyle w:val="BodyText"/>
        <w:spacing w:before="9"/>
        <w:rPr>
          <w:sz w:val="19"/>
        </w:rPr>
      </w:pPr>
    </w:p>
    <w:p w:rsidR="0078240A" w:rsidRDefault="005245B5">
      <w:pPr>
        <w:pStyle w:val="ListParagraph"/>
        <w:numPr>
          <w:ilvl w:val="0"/>
          <w:numId w:val="1"/>
        </w:numPr>
        <w:tabs>
          <w:tab w:val="left" w:pos="461"/>
        </w:tabs>
        <w:rPr>
          <w:rFonts w:ascii="Symbol" w:hAnsi="Symbol"/>
        </w:rPr>
      </w:pPr>
      <w:r>
        <w:t>Please also consider the beneficial impacts on the environment and the value of cleaner, safer air due to reduced emissions from motor vehicles with catalytic converters manufactured from the platinum and palladium that Sibanye-Stillwater produc</w:t>
      </w:r>
      <w:r>
        <w:t>es at its Montana mining and recycling</w:t>
      </w:r>
      <w:r>
        <w:rPr>
          <w:spacing w:val="-14"/>
        </w:rPr>
        <w:t xml:space="preserve"> </w:t>
      </w:r>
      <w:r>
        <w:t>operations.</w:t>
      </w:r>
    </w:p>
    <w:p w:rsidR="0078240A" w:rsidRDefault="0078240A">
      <w:pPr>
        <w:pStyle w:val="BodyText"/>
        <w:spacing w:before="4"/>
        <w:rPr>
          <w:sz w:val="19"/>
        </w:rPr>
      </w:pPr>
    </w:p>
    <w:p w:rsidR="0078240A" w:rsidRDefault="005245B5">
      <w:pPr>
        <w:pStyle w:val="BodyText"/>
        <w:ind w:left="100" w:right="109"/>
        <w:jc w:val="both"/>
      </w:pPr>
      <w:r>
        <w:t>I</w:t>
      </w:r>
      <w:r>
        <w:rPr>
          <w:spacing w:val="-15"/>
        </w:rPr>
        <w:t xml:space="preserve"> </w:t>
      </w:r>
      <w:r>
        <w:t>appreciate</w:t>
      </w:r>
      <w:r>
        <w:rPr>
          <w:spacing w:val="-17"/>
        </w:rPr>
        <w:t xml:space="preserve"> </w:t>
      </w:r>
      <w:r>
        <w:t>the</w:t>
      </w:r>
      <w:r>
        <w:rPr>
          <w:spacing w:val="-17"/>
        </w:rPr>
        <w:t xml:space="preserve"> </w:t>
      </w:r>
      <w:r>
        <w:t>opportunity</w:t>
      </w:r>
      <w:r>
        <w:rPr>
          <w:spacing w:val="-16"/>
        </w:rPr>
        <w:t xml:space="preserve"> </w:t>
      </w:r>
      <w:r>
        <w:t>to</w:t>
      </w:r>
      <w:r>
        <w:rPr>
          <w:spacing w:val="-16"/>
        </w:rPr>
        <w:t xml:space="preserve"> </w:t>
      </w:r>
      <w:r>
        <w:t>provide</w:t>
      </w:r>
      <w:r>
        <w:rPr>
          <w:spacing w:val="-17"/>
        </w:rPr>
        <w:t xml:space="preserve"> </w:t>
      </w:r>
      <w:r>
        <w:t>public</w:t>
      </w:r>
      <w:r>
        <w:rPr>
          <w:spacing w:val="-16"/>
        </w:rPr>
        <w:t xml:space="preserve"> </w:t>
      </w:r>
      <w:r>
        <w:t>input</w:t>
      </w:r>
      <w:r>
        <w:rPr>
          <w:spacing w:val="-14"/>
        </w:rPr>
        <w:t xml:space="preserve"> </w:t>
      </w:r>
      <w:r>
        <w:t>for</w:t>
      </w:r>
      <w:r>
        <w:rPr>
          <w:spacing w:val="-15"/>
        </w:rPr>
        <w:t xml:space="preserve"> </w:t>
      </w:r>
      <w:r>
        <w:t>the</w:t>
      </w:r>
      <w:r>
        <w:rPr>
          <w:spacing w:val="-16"/>
        </w:rPr>
        <w:t xml:space="preserve"> </w:t>
      </w:r>
      <w:r>
        <w:t>environmental</w:t>
      </w:r>
      <w:r>
        <w:rPr>
          <w:spacing w:val="-14"/>
        </w:rPr>
        <w:t xml:space="preserve"> </w:t>
      </w:r>
      <w:r>
        <w:t>review</w:t>
      </w:r>
      <w:r>
        <w:rPr>
          <w:spacing w:val="-9"/>
        </w:rPr>
        <w:t xml:space="preserve"> </w:t>
      </w:r>
      <w:r>
        <w:t>process and encourage the Agencies to disclose the beneficial long-term impacts Sibanye- Stillwater will continue to provi</w:t>
      </w:r>
      <w:r>
        <w:t xml:space="preserve">de for </w:t>
      </w:r>
      <w:r>
        <w:rPr>
          <w:spacing w:val="-3"/>
        </w:rPr>
        <w:t xml:space="preserve">our </w:t>
      </w:r>
      <w:r>
        <w:t>rural communities, Montana, and our</w:t>
      </w:r>
      <w:r>
        <w:rPr>
          <w:spacing w:val="-26"/>
        </w:rPr>
        <w:t xml:space="preserve"> </w:t>
      </w:r>
      <w:r>
        <w:t>country.</w:t>
      </w:r>
    </w:p>
    <w:p w:rsidR="0078240A" w:rsidRDefault="0078240A">
      <w:pPr>
        <w:pStyle w:val="BodyText"/>
        <w:spacing w:before="10"/>
        <w:rPr>
          <w:sz w:val="19"/>
        </w:rPr>
      </w:pPr>
    </w:p>
    <w:p w:rsidR="0078240A" w:rsidRDefault="005245B5" w:rsidP="005245B5">
      <w:pPr>
        <w:pStyle w:val="BodyText"/>
        <w:spacing w:before="1"/>
        <w:ind w:left="100" w:right="7960"/>
      </w:pPr>
      <w:r>
        <w:t>Sincerely, Marty Talley</w:t>
      </w:r>
      <w:r>
        <w:t xml:space="preserve"> Po Box 1413 Big Timber MT</w:t>
      </w:r>
    </w:p>
    <w:sectPr w:rsidR="0078240A">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35FC8"/>
    <w:multiLevelType w:val="hybridMultilevel"/>
    <w:tmpl w:val="A04C1E5E"/>
    <w:lvl w:ilvl="0" w:tplc="85AA5824">
      <w:numFmt w:val="bullet"/>
      <w:lvlText w:val=""/>
      <w:lvlJc w:val="left"/>
      <w:pPr>
        <w:ind w:left="460" w:hanging="360"/>
      </w:pPr>
      <w:rPr>
        <w:rFonts w:hint="default"/>
        <w:w w:val="100"/>
        <w:lang w:val="en-US" w:eastAsia="en-US" w:bidi="en-US"/>
      </w:rPr>
    </w:lvl>
    <w:lvl w:ilvl="1" w:tplc="B5806A58">
      <w:numFmt w:val="bullet"/>
      <w:lvlText w:val=""/>
      <w:lvlJc w:val="left"/>
      <w:pPr>
        <w:ind w:left="1181" w:hanging="361"/>
      </w:pPr>
      <w:rPr>
        <w:rFonts w:ascii="Symbol" w:eastAsia="Symbol" w:hAnsi="Symbol" w:cs="Symbol" w:hint="default"/>
        <w:w w:val="100"/>
        <w:sz w:val="22"/>
        <w:szCs w:val="22"/>
        <w:lang w:val="en-US" w:eastAsia="en-US" w:bidi="en-US"/>
      </w:rPr>
    </w:lvl>
    <w:lvl w:ilvl="2" w:tplc="23109644">
      <w:numFmt w:val="bullet"/>
      <w:lvlText w:val="•"/>
      <w:lvlJc w:val="left"/>
      <w:pPr>
        <w:ind w:left="2113" w:hanging="361"/>
      </w:pPr>
      <w:rPr>
        <w:rFonts w:hint="default"/>
        <w:lang w:val="en-US" w:eastAsia="en-US" w:bidi="en-US"/>
      </w:rPr>
    </w:lvl>
    <w:lvl w:ilvl="3" w:tplc="268E81A0">
      <w:numFmt w:val="bullet"/>
      <w:lvlText w:val="•"/>
      <w:lvlJc w:val="left"/>
      <w:pPr>
        <w:ind w:left="3046" w:hanging="361"/>
      </w:pPr>
      <w:rPr>
        <w:rFonts w:hint="default"/>
        <w:lang w:val="en-US" w:eastAsia="en-US" w:bidi="en-US"/>
      </w:rPr>
    </w:lvl>
    <w:lvl w:ilvl="4" w:tplc="5406E34A">
      <w:numFmt w:val="bullet"/>
      <w:lvlText w:val="•"/>
      <w:lvlJc w:val="left"/>
      <w:pPr>
        <w:ind w:left="3980" w:hanging="361"/>
      </w:pPr>
      <w:rPr>
        <w:rFonts w:hint="default"/>
        <w:lang w:val="en-US" w:eastAsia="en-US" w:bidi="en-US"/>
      </w:rPr>
    </w:lvl>
    <w:lvl w:ilvl="5" w:tplc="2E4EAE68">
      <w:numFmt w:val="bullet"/>
      <w:lvlText w:val="•"/>
      <w:lvlJc w:val="left"/>
      <w:pPr>
        <w:ind w:left="4913" w:hanging="361"/>
      </w:pPr>
      <w:rPr>
        <w:rFonts w:hint="default"/>
        <w:lang w:val="en-US" w:eastAsia="en-US" w:bidi="en-US"/>
      </w:rPr>
    </w:lvl>
    <w:lvl w:ilvl="6" w:tplc="593CA468">
      <w:numFmt w:val="bullet"/>
      <w:lvlText w:val="•"/>
      <w:lvlJc w:val="left"/>
      <w:pPr>
        <w:ind w:left="5846" w:hanging="361"/>
      </w:pPr>
      <w:rPr>
        <w:rFonts w:hint="default"/>
        <w:lang w:val="en-US" w:eastAsia="en-US" w:bidi="en-US"/>
      </w:rPr>
    </w:lvl>
    <w:lvl w:ilvl="7" w:tplc="9A985404">
      <w:numFmt w:val="bullet"/>
      <w:lvlText w:val="•"/>
      <w:lvlJc w:val="left"/>
      <w:pPr>
        <w:ind w:left="6780" w:hanging="361"/>
      </w:pPr>
      <w:rPr>
        <w:rFonts w:hint="default"/>
        <w:lang w:val="en-US" w:eastAsia="en-US" w:bidi="en-US"/>
      </w:rPr>
    </w:lvl>
    <w:lvl w:ilvl="8" w:tplc="6FC664EE">
      <w:numFmt w:val="bullet"/>
      <w:lvlText w:val="•"/>
      <w:lvlJc w:val="left"/>
      <w:pPr>
        <w:ind w:left="7713"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0A"/>
    <w:rsid w:val="005245B5"/>
    <w:rsid w:val="0078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C62"/>
  <w15:docId w15:val="{C6FEFB7C-F715-432D-948A-FA7DCD56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Lane</dc:creator>
  <cp:lastModifiedBy>Marty Talley</cp:lastModifiedBy>
  <cp:revision>2</cp:revision>
  <dcterms:created xsi:type="dcterms:W3CDTF">2022-07-18T13:35:00Z</dcterms:created>
  <dcterms:modified xsi:type="dcterms:W3CDTF">2022-07-18T13:35:00Z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2016</vt:lpwstr>
  </property>
  <property fmtid="{D5CDD505-2E9C-101B-9397-08002B2CF9AE}" pid="4" name="LastSaved">
    <vt:filetime>2022-07-18T00:00:00Z</vt:filetime>
  </property>
</Properties>
</file>