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78B2" w14:textId="77777777" w:rsidR="00CD3BE7" w:rsidRPr="00CD3BE7" w:rsidRDefault="00CD3BE7" w:rsidP="00CD3BE7">
      <w:pPr>
        <w:spacing w:after="0" w:line="240" w:lineRule="auto"/>
        <w:jc w:val="center"/>
        <w:textAlignment w:val="center"/>
        <w:outlineLvl w:val="1"/>
        <w:rPr>
          <w:rFonts w:ascii="Arial" w:eastAsia="Times New Roman" w:hAnsi="Arial" w:cs="Arial"/>
          <w:color w:val="505050"/>
          <w:sz w:val="36"/>
          <w:szCs w:val="36"/>
        </w:rPr>
      </w:pPr>
      <w:hyperlink r:id="rId4" w:tooltip="Go to Science of The Total Environment on ScienceDirect" w:history="1">
        <w:r w:rsidRPr="00CD3BE7">
          <w:rPr>
            <w:rFonts w:ascii="Arial" w:eastAsia="Times New Roman" w:hAnsi="Arial" w:cs="Arial"/>
            <w:color w:val="505050"/>
            <w:sz w:val="36"/>
            <w:szCs w:val="36"/>
          </w:rPr>
          <w:t>Science of The Total Environment</w:t>
        </w:r>
      </w:hyperlink>
    </w:p>
    <w:p w14:paraId="26CC380E" w14:textId="77777777" w:rsidR="00CD3BE7" w:rsidRPr="00CD3BE7" w:rsidRDefault="00CD3BE7" w:rsidP="00CD3BE7">
      <w:pPr>
        <w:spacing w:after="100" w:line="240" w:lineRule="auto"/>
        <w:jc w:val="center"/>
        <w:textAlignment w:val="center"/>
        <w:rPr>
          <w:rFonts w:ascii="Arial" w:eastAsia="Times New Roman" w:hAnsi="Arial" w:cs="Arial"/>
          <w:color w:val="2E2E2E"/>
          <w:sz w:val="21"/>
          <w:szCs w:val="21"/>
        </w:rPr>
      </w:pPr>
      <w:hyperlink r:id="rId5" w:tooltip="Go to table of contents for this volume/issue" w:history="1">
        <w:r w:rsidRPr="00CD3BE7">
          <w:rPr>
            <w:rFonts w:ascii="Arial" w:eastAsia="Times New Roman" w:hAnsi="Arial" w:cs="Arial"/>
            <w:color w:val="0C7DBB"/>
            <w:sz w:val="21"/>
            <w:szCs w:val="21"/>
          </w:rPr>
          <w:t>Volume 642</w:t>
        </w:r>
      </w:hyperlink>
      <w:r w:rsidRPr="00CD3BE7">
        <w:rPr>
          <w:rFonts w:ascii="Arial" w:eastAsia="Times New Roman" w:hAnsi="Arial" w:cs="Arial"/>
          <w:color w:val="2E2E2E"/>
          <w:sz w:val="21"/>
          <w:szCs w:val="21"/>
        </w:rPr>
        <w:t>, 15 November 2018, Pages 285-291</w:t>
      </w:r>
    </w:p>
    <w:p w14:paraId="038F4070" w14:textId="124DCFD8" w:rsidR="00CD3BE7" w:rsidRPr="00CD3BE7" w:rsidRDefault="00CD3BE7" w:rsidP="00CD3BE7">
      <w:pPr>
        <w:spacing w:after="120" w:line="240" w:lineRule="auto"/>
        <w:jc w:val="right"/>
        <w:textAlignment w:val="top"/>
        <w:rPr>
          <w:rFonts w:ascii="Arial" w:eastAsia="Times New Roman" w:hAnsi="Arial" w:cs="Arial"/>
          <w:color w:val="2E2E2E"/>
          <w:sz w:val="21"/>
          <w:szCs w:val="21"/>
        </w:rPr>
      </w:pPr>
    </w:p>
    <w:p w14:paraId="29A7C9E0" w14:textId="77777777" w:rsidR="00CD3BE7" w:rsidRPr="00CD3BE7" w:rsidRDefault="00CD3BE7" w:rsidP="00CD3BE7">
      <w:pPr>
        <w:spacing w:after="0" w:line="240" w:lineRule="auto"/>
        <w:outlineLvl w:val="0"/>
        <w:rPr>
          <w:rFonts w:ascii="Georgia" w:eastAsia="Times New Roman" w:hAnsi="Georgia" w:cs="Times New Roman"/>
          <w:color w:val="505050"/>
          <w:kern w:val="36"/>
          <w:sz w:val="48"/>
          <w:szCs w:val="48"/>
        </w:rPr>
      </w:pPr>
      <w:r w:rsidRPr="00CD3BE7">
        <w:rPr>
          <w:rFonts w:ascii="Georgia" w:eastAsia="Times New Roman" w:hAnsi="Georgia" w:cs="Times New Roman"/>
          <w:color w:val="505050"/>
          <w:kern w:val="36"/>
          <w:sz w:val="48"/>
          <w:szCs w:val="48"/>
        </w:rPr>
        <w:t>Glyphosate decreases mycorrhizal colonization and affects plant-soil feedback</w:t>
      </w:r>
    </w:p>
    <w:p w14:paraId="24F87144" w14:textId="77777777" w:rsidR="00CD3BE7" w:rsidRPr="00CD3BE7" w:rsidRDefault="00CD3BE7" w:rsidP="00CD3BE7">
      <w:pPr>
        <w:spacing w:after="120" w:line="240" w:lineRule="auto"/>
        <w:rPr>
          <w:rFonts w:ascii="Arial" w:eastAsia="Times New Roman" w:hAnsi="Arial" w:cs="Arial"/>
          <w:color w:val="2E2E2E"/>
          <w:sz w:val="21"/>
          <w:szCs w:val="21"/>
        </w:rPr>
      </w:pPr>
      <w:r w:rsidRPr="00CD3BE7">
        <w:rPr>
          <w:rFonts w:ascii="Arial" w:eastAsia="Times New Roman" w:hAnsi="Arial" w:cs="Arial"/>
          <w:color w:val="2E2E2E"/>
          <w:sz w:val="21"/>
          <w:szCs w:val="21"/>
          <w:bdr w:val="none" w:sz="0" w:space="0" w:color="auto" w:frame="1"/>
        </w:rPr>
        <w:t>Author links open overlay panel</w:t>
      </w:r>
      <w:bookmarkStart w:id="0" w:name="bau0005"/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begin"/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instrText xml:space="preserve"> HYPERLINK "https://www.sciencedirect.com/science/article/pii/S0048969718320345" \l "!" </w:instrText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separate"/>
      </w:r>
      <w:r w:rsidRPr="00CD3BE7">
        <w:rPr>
          <w:rFonts w:ascii="Arial" w:eastAsia="Times New Roman" w:hAnsi="Arial" w:cs="Arial"/>
          <w:color w:val="0C7DBB"/>
          <w:sz w:val="21"/>
          <w:szCs w:val="21"/>
        </w:rPr>
        <w:t>MarjoHelander</w:t>
      </w:r>
      <w:r w:rsidRPr="00CD3BE7">
        <w:rPr>
          <w:rFonts w:ascii="Arial" w:eastAsia="Times New Roman" w:hAnsi="Arial" w:cs="Arial"/>
          <w:color w:val="0C7DBB"/>
          <w:sz w:val="16"/>
          <w:szCs w:val="16"/>
          <w:vertAlign w:val="superscript"/>
        </w:rPr>
        <w:t>ab</w:t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end"/>
      </w:r>
      <w:bookmarkStart w:id="1" w:name="bau0010"/>
      <w:bookmarkEnd w:id="0"/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begin"/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instrText xml:space="preserve"> HYPERLINK "https://www.sciencedirect.com/science/article/pii/S0048969718320345" \l "!" </w:instrText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separate"/>
      </w:r>
      <w:r w:rsidRPr="00CD3BE7">
        <w:rPr>
          <w:rFonts w:ascii="Arial" w:eastAsia="Times New Roman" w:hAnsi="Arial" w:cs="Arial"/>
          <w:color w:val="0C7DBB"/>
          <w:sz w:val="21"/>
          <w:szCs w:val="21"/>
        </w:rPr>
        <w:t>IrmaSaloniemi</w:t>
      </w:r>
      <w:r w:rsidRPr="00CD3BE7">
        <w:rPr>
          <w:rFonts w:ascii="Arial" w:eastAsia="Times New Roman" w:hAnsi="Arial" w:cs="Arial"/>
          <w:color w:val="0C7DBB"/>
          <w:sz w:val="16"/>
          <w:szCs w:val="16"/>
          <w:vertAlign w:val="superscript"/>
        </w:rPr>
        <w:t>ab</w:t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end"/>
      </w:r>
      <w:bookmarkStart w:id="2" w:name="bau0015"/>
      <w:bookmarkEnd w:id="1"/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begin"/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instrText xml:space="preserve"> HYPERLINK "https://www.sciencedirect.com/science/article/pii/S0048969718320345" \l "!" </w:instrText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separate"/>
      </w:r>
      <w:r w:rsidRPr="00CD3BE7">
        <w:rPr>
          <w:rFonts w:ascii="Arial" w:eastAsia="Times New Roman" w:hAnsi="Arial" w:cs="Arial"/>
          <w:color w:val="0C7DBB"/>
          <w:sz w:val="21"/>
          <w:szCs w:val="21"/>
        </w:rPr>
        <w:t>MarinaOmacini</w:t>
      </w:r>
      <w:r w:rsidRPr="00CD3BE7">
        <w:rPr>
          <w:rFonts w:ascii="Arial" w:eastAsia="Times New Roman" w:hAnsi="Arial" w:cs="Arial"/>
          <w:color w:val="0C7DBB"/>
          <w:sz w:val="16"/>
          <w:szCs w:val="16"/>
          <w:vertAlign w:val="superscript"/>
        </w:rPr>
        <w:t>c</w:t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end"/>
      </w:r>
      <w:bookmarkStart w:id="3" w:name="bau0020"/>
      <w:bookmarkEnd w:id="2"/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begin"/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instrText xml:space="preserve"> HYPERLINK "https://www.sciencedirect.com/science/article/pii/S0048969718320345" \l "!" </w:instrText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separate"/>
      </w:r>
      <w:r w:rsidRPr="00CD3BE7">
        <w:rPr>
          <w:rFonts w:ascii="Arial" w:eastAsia="Times New Roman" w:hAnsi="Arial" w:cs="Arial"/>
          <w:color w:val="0C7DBB"/>
          <w:sz w:val="21"/>
          <w:szCs w:val="21"/>
        </w:rPr>
        <w:t>MagdalenaDruille</w:t>
      </w:r>
      <w:r w:rsidRPr="00CD3BE7">
        <w:rPr>
          <w:rFonts w:ascii="Arial" w:eastAsia="Times New Roman" w:hAnsi="Arial" w:cs="Arial"/>
          <w:color w:val="0C7DBB"/>
          <w:sz w:val="16"/>
          <w:szCs w:val="16"/>
          <w:vertAlign w:val="superscript"/>
        </w:rPr>
        <w:t>d</w:t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end"/>
      </w:r>
      <w:bookmarkStart w:id="4" w:name="bau0025"/>
      <w:bookmarkEnd w:id="3"/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begin"/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instrText xml:space="preserve"> HYPERLINK "https://www.sciencedirect.com/science/article/pii/S0048969718320345" \l "!" </w:instrText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separate"/>
      </w:r>
      <w:r w:rsidRPr="00CD3BE7">
        <w:rPr>
          <w:rFonts w:ascii="Arial" w:eastAsia="Times New Roman" w:hAnsi="Arial" w:cs="Arial"/>
          <w:color w:val="0C7DBB"/>
          <w:sz w:val="21"/>
          <w:szCs w:val="21"/>
        </w:rPr>
        <w:t>Juha-PekkaSalminen</w:t>
      </w:r>
      <w:r w:rsidRPr="00CD3BE7">
        <w:rPr>
          <w:rFonts w:ascii="Arial" w:eastAsia="Times New Roman" w:hAnsi="Arial" w:cs="Arial"/>
          <w:color w:val="0C7DBB"/>
          <w:sz w:val="16"/>
          <w:szCs w:val="16"/>
          <w:vertAlign w:val="superscript"/>
        </w:rPr>
        <w:t>e</w:t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end"/>
      </w:r>
      <w:bookmarkStart w:id="5" w:name="bau0030"/>
      <w:bookmarkEnd w:id="4"/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begin"/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instrText xml:space="preserve"> HYPERLINK "https://www.sciencedirect.com/science/article/pii/S0048969718320345" \l "!" </w:instrText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separate"/>
      </w:r>
      <w:r w:rsidRPr="00CD3BE7">
        <w:rPr>
          <w:rFonts w:ascii="Arial" w:eastAsia="Times New Roman" w:hAnsi="Arial" w:cs="Arial"/>
          <w:color w:val="0C7DBB"/>
          <w:sz w:val="21"/>
          <w:szCs w:val="21"/>
        </w:rPr>
        <w:t>KariSaikkonen</w:t>
      </w:r>
      <w:r w:rsidRPr="00CD3BE7">
        <w:rPr>
          <w:rFonts w:ascii="Arial" w:eastAsia="Times New Roman" w:hAnsi="Arial" w:cs="Arial"/>
          <w:color w:val="0C7DBB"/>
          <w:sz w:val="16"/>
          <w:szCs w:val="16"/>
          <w:vertAlign w:val="superscript"/>
        </w:rPr>
        <w:t>bf1</w:t>
      </w:r>
      <w:r w:rsidRPr="00CD3BE7">
        <w:rPr>
          <w:rFonts w:ascii="Arial" w:eastAsia="Times New Roman" w:hAnsi="Arial" w:cs="Arial"/>
          <w:color w:val="2E2E2E"/>
          <w:sz w:val="21"/>
          <w:szCs w:val="21"/>
        </w:rPr>
        <w:fldChar w:fldCharType="end"/>
      </w:r>
      <w:bookmarkEnd w:id="5"/>
    </w:p>
    <w:p w14:paraId="7911DC58" w14:textId="77777777" w:rsidR="00CD3BE7" w:rsidRDefault="00CD3BE7" w:rsidP="00CD3BE7">
      <w:pPr>
        <w:shd w:val="clear" w:color="auto" w:fill="F5F5F5"/>
        <w:spacing w:after="120" w:line="240" w:lineRule="auto"/>
        <w:outlineLvl w:val="1"/>
        <w:rPr>
          <w:rFonts w:ascii="Georgia" w:eastAsia="Times New Roman" w:hAnsi="Georgia" w:cs="Times New Roman"/>
          <w:color w:val="505050"/>
          <w:sz w:val="36"/>
          <w:szCs w:val="36"/>
          <w:lang w:val="en"/>
        </w:rPr>
      </w:pPr>
    </w:p>
    <w:p w14:paraId="39FA6C37" w14:textId="77777777" w:rsidR="00CD3BE7" w:rsidRDefault="00CD3BE7" w:rsidP="00CD3BE7">
      <w:pPr>
        <w:shd w:val="clear" w:color="auto" w:fill="F5F5F5"/>
        <w:spacing w:after="120" w:line="240" w:lineRule="auto"/>
        <w:outlineLvl w:val="1"/>
        <w:rPr>
          <w:rFonts w:ascii="Georgia" w:eastAsia="Times New Roman" w:hAnsi="Georgia" w:cs="Times New Roman"/>
          <w:color w:val="505050"/>
          <w:sz w:val="36"/>
          <w:szCs w:val="36"/>
          <w:lang w:val="en"/>
        </w:rPr>
      </w:pPr>
    </w:p>
    <w:p w14:paraId="185F9824" w14:textId="3D3F21A4" w:rsidR="00CD3BE7" w:rsidRPr="00CD3BE7" w:rsidRDefault="00CD3BE7" w:rsidP="00CD3BE7">
      <w:pPr>
        <w:shd w:val="clear" w:color="auto" w:fill="F5F5F5"/>
        <w:spacing w:after="120" w:line="240" w:lineRule="auto"/>
        <w:outlineLvl w:val="1"/>
        <w:rPr>
          <w:rFonts w:ascii="Georgia" w:eastAsia="Times New Roman" w:hAnsi="Georgia" w:cs="Times New Roman"/>
          <w:color w:val="505050"/>
          <w:sz w:val="36"/>
          <w:szCs w:val="36"/>
          <w:lang w:val="en"/>
        </w:rPr>
      </w:pPr>
      <w:r w:rsidRPr="00CD3BE7">
        <w:rPr>
          <w:rFonts w:ascii="Georgia" w:eastAsia="Times New Roman" w:hAnsi="Georgia" w:cs="Times New Roman"/>
          <w:color w:val="505050"/>
          <w:sz w:val="36"/>
          <w:szCs w:val="36"/>
          <w:lang w:val="en"/>
        </w:rPr>
        <w:t>Highlights</w:t>
      </w:r>
    </w:p>
    <w:p w14:paraId="3FF27918" w14:textId="45AC5C46" w:rsidR="00CD3BE7" w:rsidRPr="00CD3BE7" w:rsidRDefault="00CD3BE7" w:rsidP="00BD7EF7">
      <w:pPr>
        <w:shd w:val="clear" w:color="auto" w:fill="F5F5F5"/>
        <w:spacing w:after="0" w:line="240" w:lineRule="auto"/>
        <w:ind w:right="30"/>
        <w:rPr>
          <w:rFonts w:ascii="Georgia" w:eastAsia="Times New Roman" w:hAnsi="Georgia" w:cs="Times New Roman"/>
          <w:color w:val="2E2E2E"/>
          <w:sz w:val="27"/>
          <w:szCs w:val="27"/>
          <w:lang w:val="en"/>
        </w:rPr>
      </w:pPr>
      <w:r w:rsidRPr="00CD3BE7">
        <w:rPr>
          <w:rFonts w:ascii="Georgia" w:eastAsia="Times New Roman" w:hAnsi="Georgia" w:cs="Times New Roman"/>
          <w:color w:val="2E2E2E"/>
          <w:sz w:val="27"/>
          <w:szCs w:val="27"/>
          <w:lang w:val="en"/>
        </w:rPr>
        <w:t>•In northern ecosystems glyphosate residues are detected in crop plants the following growing season.</w:t>
      </w:r>
      <w:r w:rsidR="00BD7EF7">
        <w:rPr>
          <w:rFonts w:ascii="Georgia" w:eastAsia="Times New Roman" w:hAnsi="Georgia" w:cs="Times New Roman"/>
          <w:color w:val="2E2E2E"/>
          <w:sz w:val="27"/>
          <w:szCs w:val="27"/>
          <w:lang w:val="en"/>
        </w:rPr>
        <w:br/>
      </w:r>
    </w:p>
    <w:p w14:paraId="5E36E7B8" w14:textId="005CB26A" w:rsidR="00CD3BE7" w:rsidRPr="00CD3BE7" w:rsidRDefault="00CD3BE7" w:rsidP="00BD7EF7">
      <w:pPr>
        <w:shd w:val="clear" w:color="auto" w:fill="F5F5F5"/>
        <w:spacing w:after="0" w:line="240" w:lineRule="auto"/>
        <w:ind w:right="30"/>
        <w:rPr>
          <w:rFonts w:ascii="Georgia" w:eastAsia="Times New Roman" w:hAnsi="Georgia" w:cs="Times New Roman"/>
          <w:color w:val="2E2E2E"/>
          <w:sz w:val="27"/>
          <w:szCs w:val="27"/>
          <w:lang w:val="en"/>
        </w:rPr>
      </w:pPr>
      <w:r w:rsidRPr="00CD3BE7">
        <w:rPr>
          <w:rFonts w:ascii="Georgia" w:eastAsia="Times New Roman" w:hAnsi="Georgia" w:cs="Times New Roman"/>
          <w:color w:val="2E2E2E"/>
          <w:sz w:val="27"/>
          <w:szCs w:val="27"/>
          <w:lang w:val="en"/>
        </w:rPr>
        <w:t>•Arbuscular mycorrhizal colonization is decreased in glyphosate treated plants.</w:t>
      </w:r>
      <w:r w:rsidR="00BD7EF7">
        <w:rPr>
          <w:rFonts w:ascii="Georgia" w:eastAsia="Times New Roman" w:hAnsi="Georgia" w:cs="Times New Roman"/>
          <w:color w:val="2E2E2E"/>
          <w:sz w:val="27"/>
          <w:szCs w:val="27"/>
          <w:lang w:val="en"/>
        </w:rPr>
        <w:br/>
      </w:r>
    </w:p>
    <w:p w14:paraId="546D7BC5" w14:textId="06121904" w:rsidR="00CD3BE7" w:rsidRPr="00CD3BE7" w:rsidRDefault="00CD3BE7" w:rsidP="00BD7EF7">
      <w:pPr>
        <w:shd w:val="clear" w:color="auto" w:fill="F5F5F5"/>
        <w:spacing w:after="0" w:line="240" w:lineRule="auto"/>
        <w:ind w:right="30"/>
        <w:rPr>
          <w:rFonts w:ascii="Georgia" w:eastAsia="Times New Roman" w:hAnsi="Georgia" w:cs="Times New Roman"/>
          <w:color w:val="2E2E2E"/>
          <w:sz w:val="27"/>
          <w:szCs w:val="27"/>
          <w:lang w:val="en"/>
        </w:rPr>
      </w:pPr>
      <w:r w:rsidRPr="00CD3BE7">
        <w:rPr>
          <w:rFonts w:ascii="Georgia" w:eastAsia="Times New Roman" w:hAnsi="Georgia" w:cs="Times New Roman"/>
          <w:color w:val="2E2E2E"/>
          <w:sz w:val="27"/>
          <w:szCs w:val="27"/>
          <w:lang w:val="en"/>
        </w:rPr>
        <w:t>•The magnitude of mycorrhizal reduction is dependent on tilling and soil history.</w:t>
      </w:r>
    </w:p>
    <w:p w14:paraId="393BA30D" w14:textId="77777777" w:rsidR="00570565" w:rsidRDefault="00570565"/>
    <w:sectPr w:rsidR="00570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E7"/>
    <w:rsid w:val="00570565"/>
    <w:rsid w:val="00BD7EF7"/>
    <w:rsid w:val="00C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20AE"/>
  <w15:chartTrackingRefBased/>
  <w15:docId w15:val="{D26D9D6D-CF25-4753-8E41-EF04C669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9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8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0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2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20025420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510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6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8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journal/science-of-the-total-environment/vol/642/suppl/C" TargetMode="External"/><Relationship Id="rId4" Type="http://schemas.openxmlformats.org/officeDocument/2006/relationships/hyperlink" Target="https://www.sciencedirect.com/journal/science-of-the-total-environ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Coffey</dc:creator>
  <cp:keywords/>
  <dc:description/>
  <cp:lastModifiedBy>Gail Coffey</cp:lastModifiedBy>
  <cp:revision>2</cp:revision>
  <dcterms:created xsi:type="dcterms:W3CDTF">2022-05-04T22:29:00Z</dcterms:created>
  <dcterms:modified xsi:type="dcterms:W3CDTF">2022-05-04T22:31:00Z</dcterms:modified>
</cp:coreProperties>
</file>